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346E8" w14:textId="562E240B" w:rsidR="00025A4F" w:rsidRPr="00CF1EDC" w:rsidRDefault="000773D2" w:rsidP="00025A4F">
      <w:pPr>
        <w:jc w:val="center"/>
        <w:rPr>
          <w:rFonts w:ascii="Times New Roman" w:hAnsi="Times New Roman" w:cs="Times New Roman"/>
          <w:b/>
          <w:bCs/>
        </w:rPr>
      </w:pPr>
      <w:r w:rsidRPr="00CF1EDC">
        <w:rPr>
          <w:rFonts w:ascii="Times New Roman" w:hAnsi="Times New Roman" w:cs="Times New Roman"/>
          <w:b/>
          <w:bCs/>
        </w:rPr>
        <w:t xml:space="preserve">FIELD STUDY ON ASSESSMENT OF INTEGRATED MANAGEMENT OF SHEATH BLIGHT </w:t>
      </w:r>
      <w:r w:rsidR="00487802">
        <w:rPr>
          <w:rFonts w:ascii="Times New Roman" w:hAnsi="Times New Roman" w:cs="Times New Roman"/>
          <w:b/>
          <w:bCs/>
        </w:rPr>
        <w:t xml:space="preserve">IN </w:t>
      </w:r>
      <w:r w:rsidRPr="00CF1EDC">
        <w:rPr>
          <w:rFonts w:ascii="Times New Roman" w:hAnsi="Times New Roman" w:cs="Times New Roman"/>
          <w:b/>
          <w:bCs/>
        </w:rPr>
        <w:t xml:space="preserve">PADDY </w:t>
      </w:r>
    </w:p>
    <w:p w14:paraId="25D060AF" w14:textId="77777777" w:rsidR="002A4C42" w:rsidRDefault="002A4C42" w:rsidP="00025A4F">
      <w:pPr>
        <w:ind w:left="567" w:right="-472" w:hanging="425"/>
        <w:rPr>
          <w:rFonts w:ascii="Times New Roman" w:hAnsi="Times New Roman" w:cs="Times New Roman"/>
          <w:b/>
          <w:bCs/>
        </w:rPr>
      </w:pPr>
    </w:p>
    <w:p w14:paraId="4B959364" w14:textId="62A9C3FB" w:rsidR="00025A4F" w:rsidRDefault="000773D2" w:rsidP="00025A4F">
      <w:pPr>
        <w:ind w:left="567" w:right="-472" w:hanging="425"/>
        <w:rPr>
          <w:rFonts w:ascii="Times New Roman" w:hAnsi="Times New Roman" w:cs="Times New Roman"/>
          <w:b/>
          <w:bCs/>
        </w:rPr>
      </w:pPr>
      <w:r w:rsidRPr="00CF1EDC">
        <w:rPr>
          <w:rFonts w:ascii="Times New Roman" w:hAnsi="Times New Roman" w:cs="Times New Roman"/>
          <w:b/>
          <w:bCs/>
        </w:rPr>
        <w:t>ABSTRACT</w:t>
      </w:r>
    </w:p>
    <w:p w14:paraId="096ABEC6" w14:textId="1B90A651" w:rsidR="00723027" w:rsidRPr="000204D1" w:rsidRDefault="00723027" w:rsidP="00D43554">
      <w:pPr>
        <w:ind w:right="-188"/>
        <w:jc w:val="both"/>
        <w:rPr>
          <w:rFonts w:ascii="Times New Roman" w:hAnsi="Times New Roman" w:cs="Times New Roman"/>
        </w:rPr>
      </w:pPr>
      <w:r w:rsidRPr="000204D1">
        <w:rPr>
          <w:rFonts w:ascii="Times New Roman" w:hAnsi="Times New Roman" w:cs="Times New Roman"/>
        </w:rPr>
        <w:t xml:space="preserve">On farm trial was conducted in </w:t>
      </w:r>
      <w:proofErr w:type="spellStart"/>
      <w:r w:rsidRPr="000204D1">
        <w:rPr>
          <w:rFonts w:ascii="Times New Roman" w:hAnsi="Times New Roman" w:cs="Times New Roman"/>
        </w:rPr>
        <w:t>farmers</w:t>
      </w:r>
      <w:proofErr w:type="spellEnd"/>
      <w:r w:rsidRPr="000204D1">
        <w:rPr>
          <w:rFonts w:ascii="Times New Roman" w:hAnsi="Times New Roman" w:cs="Times New Roman"/>
        </w:rPr>
        <w:t xml:space="preserve"> fields to evaluate the efficacy of integrated disease management </w:t>
      </w:r>
      <w:r w:rsidR="00D45790">
        <w:rPr>
          <w:rFonts w:ascii="Times New Roman" w:hAnsi="Times New Roman" w:cs="Times New Roman"/>
        </w:rPr>
        <w:t xml:space="preserve">(IDM) </w:t>
      </w:r>
      <w:r w:rsidRPr="000204D1">
        <w:rPr>
          <w:rFonts w:ascii="Times New Roman" w:hAnsi="Times New Roman" w:cs="Times New Roman"/>
        </w:rPr>
        <w:t xml:space="preserve">against sheath blight </w:t>
      </w:r>
      <w:r w:rsidR="00D45790">
        <w:rPr>
          <w:rFonts w:ascii="Times New Roman" w:hAnsi="Times New Roman" w:cs="Times New Roman"/>
        </w:rPr>
        <w:t>in</w:t>
      </w:r>
      <w:r w:rsidRPr="000204D1">
        <w:rPr>
          <w:rFonts w:ascii="Times New Roman" w:hAnsi="Times New Roman" w:cs="Times New Roman"/>
        </w:rPr>
        <w:t xml:space="preserve"> paddy. The results revealed that</w:t>
      </w:r>
      <w:r w:rsidR="00D45790">
        <w:rPr>
          <w:rFonts w:ascii="Times New Roman" w:hAnsi="Times New Roman" w:cs="Times New Roman"/>
        </w:rPr>
        <w:t>,</w:t>
      </w:r>
      <w:r w:rsidRPr="000204D1">
        <w:rPr>
          <w:rFonts w:ascii="Times New Roman" w:hAnsi="Times New Roman" w:cs="Times New Roman"/>
        </w:rPr>
        <w:t xml:space="preserve"> </w:t>
      </w:r>
      <w:r w:rsidR="000204D1" w:rsidRPr="000204D1">
        <w:rPr>
          <w:rFonts w:ascii="Times New Roman" w:hAnsi="Times New Roman" w:cs="Times New Roman"/>
        </w:rPr>
        <w:t xml:space="preserve">the per cent disease incidence of sheath blight in IDM, chemical-based management and farmers practice was </w:t>
      </w:r>
      <w:r w:rsidR="000204D1">
        <w:rPr>
          <w:rFonts w:ascii="Times New Roman" w:hAnsi="Times New Roman" w:cs="Times New Roman"/>
        </w:rPr>
        <w:t xml:space="preserve">11.14, 19.9 and 26.2 per cent, respectively with per cent reduction of 57.4 and 24.1 </w:t>
      </w:r>
      <w:r w:rsidR="00D45790">
        <w:rPr>
          <w:rFonts w:ascii="Times New Roman" w:hAnsi="Times New Roman" w:cs="Times New Roman"/>
        </w:rPr>
        <w:t>per cent</w:t>
      </w:r>
      <w:r w:rsidR="000204D1">
        <w:rPr>
          <w:rFonts w:ascii="Times New Roman" w:hAnsi="Times New Roman" w:cs="Times New Roman"/>
        </w:rPr>
        <w:t xml:space="preserve"> over </w:t>
      </w:r>
      <w:r w:rsidR="00D45790">
        <w:rPr>
          <w:rFonts w:ascii="Times New Roman" w:hAnsi="Times New Roman" w:cs="Times New Roman"/>
        </w:rPr>
        <w:t xml:space="preserve">farmers’ </w:t>
      </w:r>
      <w:r w:rsidR="000204D1">
        <w:rPr>
          <w:rFonts w:ascii="Times New Roman" w:hAnsi="Times New Roman" w:cs="Times New Roman"/>
        </w:rPr>
        <w:t xml:space="preserve">practice. </w:t>
      </w:r>
      <w:r w:rsidR="00881BE6">
        <w:rPr>
          <w:rFonts w:ascii="Times New Roman" w:hAnsi="Times New Roman" w:cs="Times New Roman"/>
        </w:rPr>
        <w:t xml:space="preserve">With respect to per cent disease severity, it was 13.8, 19.1 and 28.4 per cent in IDM treated plot, chemical based management plot and farmers practice with 51.4 and 32.7 per cent reduction over control, </w:t>
      </w:r>
      <w:proofErr w:type="gramStart"/>
      <w:r w:rsidR="000204D1">
        <w:rPr>
          <w:rFonts w:ascii="Times New Roman" w:hAnsi="Times New Roman" w:cs="Times New Roman"/>
        </w:rPr>
        <w:t>The</w:t>
      </w:r>
      <w:proofErr w:type="gramEnd"/>
      <w:r w:rsidR="000204D1">
        <w:rPr>
          <w:rFonts w:ascii="Times New Roman" w:hAnsi="Times New Roman" w:cs="Times New Roman"/>
        </w:rPr>
        <w:t xml:space="preserve"> yield recorded was 63</w:t>
      </w:r>
      <w:r w:rsidR="00D45790">
        <w:rPr>
          <w:rFonts w:ascii="Times New Roman" w:hAnsi="Times New Roman" w:cs="Times New Roman"/>
        </w:rPr>
        <w:t>.</w:t>
      </w:r>
      <w:r w:rsidR="000204D1">
        <w:rPr>
          <w:rFonts w:ascii="Times New Roman" w:hAnsi="Times New Roman" w:cs="Times New Roman"/>
        </w:rPr>
        <w:t>1</w:t>
      </w:r>
      <w:r w:rsidR="00D45790">
        <w:rPr>
          <w:rFonts w:ascii="Times New Roman" w:hAnsi="Times New Roman" w:cs="Times New Roman"/>
        </w:rPr>
        <w:t>3</w:t>
      </w:r>
      <w:r w:rsidR="000204D1">
        <w:rPr>
          <w:rFonts w:ascii="Times New Roman" w:hAnsi="Times New Roman" w:cs="Times New Roman"/>
        </w:rPr>
        <w:t>, 61</w:t>
      </w:r>
      <w:r w:rsidR="00D45790">
        <w:rPr>
          <w:rFonts w:ascii="Times New Roman" w:hAnsi="Times New Roman" w:cs="Times New Roman"/>
        </w:rPr>
        <w:t>.</w:t>
      </w:r>
      <w:r w:rsidR="000204D1">
        <w:rPr>
          <w:rFonts w:ascii="Times New Roman" w:hAnsi="Times New Roman" w:cs="Times New Roman"/>
        </w:rPr>
        <w:t>56 and 59</w:t>
      </w:r>
      <w:r w:rsidR="00D45790">
        <w:rPr>
          <w:rFonts w:ascii="Times New Roman" w:hAnsi="Times New Roman" w:cs="Times New Roman"/>
        </w:rPr>
        <w:t>.</w:t>
      </w:r>
      <w:r w:rsidR="000204D1">
        <w:rPr>
          <w:rFonts w:ascii="Times New Roman" w:hAnsi="Times New Roman" w:cs="Times New Roman"/>
        </w:rPr>
        <w:t xml:space="preserve">68 </w:t>
      </w:r>
      <w:r w:rsidR="00D45790">
        <w:rPr>
          <w:rFonts w:ascii="Times New Roman" w:hAnsi="Times New Roman" w:cs="Times New Roman"/>
          <w:bCs/>
          <w:sz w:val="22"/>
          <w:szCs w:val="22"/>
        </w:rPr>
        <w:t>q</w:t>
      </w:r>
      <w:r w:rsidR="00A418D4" w:rsidRPr="00ED4599">
        <w:rPr>
          <w:rFonts w:ascii="Times New Roman" w:hAnsi="Times New Roman" w:cs="Times New Roman"/>
          <w:bCs/>
          <w:sz w:val="22"/>
          <w:szCs w:val="22"/>
        </w:rPr>
        <w:t xml:space="preserve"> ha</w:t>
      </w:r>
      <w:r w:rsidR="00A418D4" w:rsidRPr="00ED4599">
        <w:rPr>
          <w:rFonts w:ascii="Times New Roman" w:hAnsi="Times New Roman" w:cs="Times New Roman"/>
          <w:bCs/>
          <w:sz w:val="22"/>
          <w:szCs w:val="22"/>
          <w:vertAlign w:val="superscript"/>
        </w:rPr>
        <w:t>-1</w:t>
      </w:r>
      <w:r w:rsidR="00A418D4">
        <w:rPr>
          <w:rFonts w:ascii="Times New Roman" w:hAnsi="Times New Roman" w:cs="Times New Roman"/>
          <w:bCs/>
          <w:sz w:val="22"/>
          <w:szCs w:val="22"/>
          <w:vertAlign w:val="superscript"/>
        </w:rPr>
        <w:t xml:space="preserve"> </w:t>
      </w:r>
      <w:r w:rsidR="000204D1">
        <w:rPr>
          <w:rFonts w:ascii="Times New Roman" w:hAnsi="Times New Roman" w:cs="Times New Roman"/>
        </w:rPr>
        <w:t xml:space="preserve">with 5.8 and 3.1 per cent increase over farmer practice, respectively.  </w:t>
      </w:r>
    </w:p>
    <w:p w14:paraId="5256645C" w14:textId="6BB7ACBD" w:rsidR="000773D2" w:rsidRPr="00D43554" w:rsidRDefault="000773D2" w:rsidP="00D43554">
      <w:pPr>
        <w:ind w:left="567" w:right="-472" w:hanging="425"/>
        <w:rPr>
          <w:rFonts w:ascii="Times New Roman" w:hAnsi="Times New Roman" w:cs="Times New Roman"/>
        </w:rPr>
      </w:pPr>
      <w:r>
        <w:rPr>
          <w:rFonts w:ascii="Times New Roman" w:hAnsi="Times New Roman" w:cs="Times New Roman"/>
          <w:b/>
          <w:bCs/>
        </w:rPr>
        <w:t xml:space="preserve">Keywords: </w:t>
      </w:r>
      <w:r w:rsidR="00E82E04">
        <w:rPr>
          <w:rFonts w:ascii="Times New Roman" w:hAnsi="Times New Roman" w:cs="Times New Roman"/>
        </w:rPr>
        <w:t>S</w:t>
      </w:r>
      <w:r w:rsidRPr="00E82E04">
        <w:rPr>
          <w:rFonts w:ascii="Times New Roman" w:hAnsi="Times New Roman" w:cs="Times New Roman"/>
        </w:rPr>
        <w:t>heath blight,</w:t>
      </w:r>
      <w:r w:rsidR="00E82E04">
        <w:rPr>
          <w:rFonts w:ascii="Times New Roman" w:hAnsi="Times New Roman" w:cs="Times New Roman"/>
          <w:b/>
          <w:bCs/>
        </w:rPr>
        <w:t xml:space="preserve"> </w:t>
      </w:r>
      <w:r w:rsidR="00E82E04" w:rsidRPr="00E82E04">
        <w:rPr>
          <w:rFonts w:ascii="Times New Roman" w:hAnsi="Times New Roman" w:cs="Times New Roman"/>
          <w:i/>
          <w:iCs/>
        </w:rPr>
        <w:t>Pseudomonas fluorescens</w:t>
      </w:r>
      <w:r w:rsidR="00E82E04" w:rsidRPr="00E82E04">
        <w:rPr>
          <w:rFonts w:ascii="Times New Roman" w:hAnsi="Times New Roman" w:cs="Times New Roman"/>
        </w:rPr>
        <w:t>,</w:t>
      </w:r>
      <w:r w:rsidR="00D45790">
        <w:rPr>
          <w:rFonts w:ascii="Times New Roman" w:hAnsi="Times New Roman" w:cs="Times New Roman"/>
        </w:rPr>
        <w:t xml:space="preserve"> D</w:t>
      </w:r>
      <w:r w:rsidR="00E82E04" w:rsidRPr="00E82E04">
        <w:rPr>
          <w:rFonts w:ascii="Times New Roman" w:hAnsi="Times New Roman" w:cs="Times New Roman"/>
        </w:rPr>
        <w:t>isease incidence, Yield</w:t>
      </w:r>
      <w:r w:rsidR="00D43554">
        <w:rPr>
          <w:rFonts w:ascii="Times New Roman" w:hAnsi="Times New Roman" w:cs="Times New Roman"/>
        </w:rPr>
        <w:t>, Net returns</w:t>
      </w:r>
      <w:r w:rsidRPr="00E82E04">
        <w:rPr>
          <w:rFonts w:ascii="Times New Roman" w:hAnsi="Times New Roman" w:cs="Times New Roman"/>
        </w:rPr>
        <w:tab/>
      </w:r>
      <w:r w:rsidRPr="00E82E04">
        <w:rPr>
          <w:rFonts w:ascii="Times New Roman" w:hAnsi="Times New Roman" w:cs="Times New Roman"/>
        </w:rPr>
        <w:tab/>
      </w:r>
      <w:r w:rsidRPr="00E82E04">
        <w:rPr>
          <w:rFonts w:ascii="Times New Roman" w:hAnsi="Times New Roman" w:cs="Times New Roman"/>
        </w:rPr>
        <w:tab/>
      </w:r>
      <w:r w:rsidRPr="00E82E04">
        <w:rPr>
          <w:rFonts w:ascii="Times New Roman" w:hAnsi="Times New Roman" w:cs="Times New Roman"/>
        </w:rPr>
        <w:tab/>
      </w:r>
      <w:r>
        <w:rPr>
          <w:rFonts w:ascii="Times New Roman" w:hAnsi="Times New Roman" w:cs="Times New Roman"/>
          <w:b/>
          <w:bCs/>
        </w:rPr>
        <w:tab/>
      </w:r>
      <w:r>
        <w:rPr>
          <w:rFonts w:ascii="Times New Roman" w:hAnsi="Times New Roman" w:cs="Times New Roman"/>
          <w:b/>
          <w:bCs/>
        </w:rPr>
        <w:tab/>
      </w:r>
    </w:p>
    <w:p w14:paraId="70F79156" w14:textId="4A73AA3B" w:rsidR="000E58F8" w:rsidRPr="00CF1EDC" w:rsidRDefault="000773D2" w:rsidP="00E82E04">
      <w:pPr>
        <w:ind w:right="-472"/>
        <w:rPr>
          <w:rFonts w:ascii="Times New Roman" w:hAnsi="Times New Roman" w:cs="Times New Roman"/>
          <w:b/>
          <w:bCs/>
        </w:rPr>
      </w:pPr>
      <w:r w:rsidRPr="00CF1EDC">
        <w:rPr>
          <w:rFonts w:ascii="Times New Roman" w:hAnsi="Times New Roman" w:cs="Times New Roman"/>
          <w:b/>
          <w:bCs/>
        </w:rPr>
        <w:t>INTRODUCTION</w:t>
      </w:r>
    </w:p>
    <w:p w14:paraId="73C81DD6" w14:textId="5A871C1C" w:rsidR="007C2991" w:rsidRPr="00CF1EDC" w:rsidRDefault="00025A4F" w:rsidP="00D43554">
      <w:pPr>
        <w:spacing w:line="480" w:lineRule="auto"/>
        <w:ind w:right="-46"/>
        <w:jc w:val="both"/>
        <w:rPr>
          <w:rFonts w:ascii="Times New Roman" w:hAnsi="Times New Roman" w:cs="Times New Roman"/>
        </w:rPr>
      </w:pPr>
      <w:r w:rsidRPr="00CF1EDC">
        <w:rPr>
          <w:rFonts w:ascii="Times New Roman" w:hAnsi="Times New Roman" w:cs="Times New Roman"/>
        </w:rPr>
        <w:t>Paddy is the major agricultural crop cultivated in Krishna district, Andhra Pradesh in an area of 1.37 lakh ha and with productivity of 5958 kg ha</w:t>
      </w:r>
      <w:r w:rsidRPr="00CF1EDC">
        <w:rPr>
          <w:rFonts w:ascii="Times New Roman" w:hAnsi="Times New Roman" w:cs="Times New Roman"/>
          <w:vertAlign w:val="superscript"/>
        </w:rPr>
        <w:t xml:space="preserve">-1 </w:t>
      </w:r>
      <w:r w:rsidRPr="00CF1EDC">
        <w:rPr>
          <w:rFonts w:ascii="Times New Roman" w:hAnsi="Times New Roman" w:cs="Times New Roman"/>
        </w:rPr>
        <w:t>(Andhra Pradesh Agricultural Statistics at a glance, 2022-23). Among the various biotic stresses affecting the yield, diseases like sheath blight, stem rot and false smut were found to be predominant in Krishna district</w:t>
      </w:r>
      <w:r w:rsidR="000E58F8" w:rsidRPr="00CF1EDC">
        <w:rPr>
          <w:rFonts w:ascii="Times New Roman" w:hAnsi="Times New Roman" w:cs="Times New Roman"/>
        </w:rPr>
        <w:t xml:space="preserve">. </w:t>
      </w:r>
      <w:proofErr w:type="spellStart"/>
      <w:r w:rsidR="000E58F8" w:rsidRPr="00CF1EDC">
        <w:rPr>
          <w:rFonts w:ascii="Times New Roman" w:hAnsi="Times New Roman" w:cs="Times New Roman"/>
          <w:i/>
          <w:iCs/>
        </w:rPr>
        <w:t>Rhizoctonia</w:t>
      </w:r>
      <w:proofErr w:type="spellEnd"/>
      <w:r w:rsidR="000E58F8" w:rsidRPr="00CF1EDC">
        <w:rPr>
          <w:rFonts w:ascii="Times New Roman" w:hAnsi="Times New Roman" w:cs="Times New Roman"/>
          <w:i/>
          <w:iCs/>
        </w:rPr>
        <w:t xml:space="preserve"> </w:t>
      </w:r>
      <w:proofErr w:type="spellStart"/>
      <w:r w:rsidR="000E58F8" w:rsidRPr="00CF1EDC">
        <w:rPr>
          <w:rFonts w:ascii="Times New Roman" w:hAnsi="Times New Roman" w:cs="Times New Roman"/>
          <w:i/>
          <w:iCs/>
        </w:rPr>
        <w:t>solani</w:t>
      </w:r>
      <w:proofErr w:type="spellEnd"/>
      <w:r w:rsidR="000E58F8" w:rsidRPr="00CF1EDC">
        <w:rPr>
          <w:rFonts w:ascii="Times New Roman" w:hAnsi="Times New Roman" w:cs="Times New Roman"/>
        </w:rPr>
        <w:t>, causal organism of sheath blight in paddy is one o</w:t>
      </w:r>
      <w:r w:rsidR="00CF1EDC">
        <w:rPr>
          <w:rFonts w:ascii="Times New Roman" w:hAnsi="Times New Roman" w:cs="Times New Roman"/>
        </w:rPr>
        <w:t>f</w:t>
      </w:r>
      <w:r w:rsidR="000E58F8" w:rsidRPr="00CF1EDC">
        <w:rPr>
          <w:rFonts w:ascii="Times New Roman" w:hAnsi="Times New Roman" w:cs="Times New Roman"/>
        </w:rPr>
        <w:t xml:space="preserve"> the most damaging fungal </w:t>
      </w:r>
      <w:r w:rsidR="00E82E04" w:rsidRPr="00CF1EDC">
        <w:rPr>
          <w:rFonts w:ascii="Times New Roman" w:hAnsi="Times New Roman" w:cs="Times New Roman"/>
        </w:rPr>
        <w:t>organisms</w:t>
      </w:r>
      <w:r w:rsidR="000E58F8" w:rsidRPr="00CF1EDC">
        <w:rPr>
          <w:rFonts w:ascii="Times New Roman" w:hAnsi="Times New Roman" w:cs="Times New Roman"/>
        </w:rPr>
        <w:t xml:space="preserve"> in paddy causing an estimated yield loss of </w:t>
      </w:r>
      <w:proofErr w:type="spellStart"/>
      <w:r w:rsidR="000E58F8" w:rsidRPr="00CF1EDC">
        <w:rPr>
          <w:rFonts w:ascii="Times New Roman" w:hAnsi="Times New Roman" w:cs="Times New Roman"/>
        </w:rPr>
        <w:t>upto</w:t>
      </w:r>
      <w:proofErr w:type="spellEnd"/>
      <w:r w:rsidR="000E58F8" w:rsidRPr="00CF1EDC">
        <w:rPr>
          <w:rFonts w:ascii="Times New Roman" w:hAnsi="Times New Roman" w:cs="Times New Roman"/>
        </w:rPr>
        <w:t xml:space="preserve"> 50% based on intensity of the disease and weather factors. Moreover, the yield loss may extend </w:t>
      </w:r>
      <w:proofErr w:type="spellStart"/>
      <w:r w:rsidR="000E58F8" w:rsidRPr="00CF1EDC">
        <w:rPr>
          <w:rFonts w:ascii="Times New Roman" w:hAnsi="Times New Roman" w:cs="Times New Roman"/>
        </w:rPr>
        <w:t>upto</w:t>
      </w:r>
      <w:proofErr w:type="spellEnd"/>
      <w:r w:rsidR="000E58F8" w:rsidRPr="00CF1EDC">
        <w:rPr>
          <w:rFonts w:ascii="Times New Roman" w:hAnsi="Times New Roman" w:cs="Times New Roman"/>
        </w:rPr>
        <w:t xml:space="preserve"> 70 % (</w:t>
      </w:r>
      <w:proofErr w:type="spellStart"/>
      <w:r w:rsidR="00AF2B4C">
        <w:rPr>
          <w:rFonts w:ascii="Times New Roman" w:hAnsi="Times New Roman" w:cs="Times New Roman"/>
        </w:rPr>
        <w:t>Bhunkal</w:t>
      </w:r>
      <w:proofErr w:type="spellEnd"/>
      <w:r w:rsidR="00AF2B4C">
        <w:rPr>
          <w:rFonts w:ascii="Times New Roman" w:hAnsi="Times New Roman" w:cs="Times New Roman"/>
        </w:rPr>
        <w:t xml:space="preserve"> et al., 2015 and </w:t>
      </w:r>
      <w:r w:rsidR="000E58F8" w:rsidRPr="00CF1EDC">
        <w:rPr>
          <w:rFonts w:ascii="Times New Roman" w:hAnsi="Times New Roman" w:cs="Times New Roman"/>
        </w:rPr>
        <w:t>Singh et al., 2016)</w:t>
      </w:r>
      <w:r w:rsidR="008750B2" w:rsidRPr="00CF1EDC">
        <w:rPr>
          <w:rFonts w:ascii="Times New Roman" w:hAnsi="Times New Roman" w:cs="Times New Roman"/>
        </w:rPr>
        <w:t xml:space="preserve">. </w:t>
      </w:r>
      <w:r w:rsidR="00256FA1">
        <w:rPr>
          <w:rFonts w:ascii="Times New Roman" w:hAnsi="Times New Roman" w:cs="Times New Roman"/>
        </w:rPr>
        <w:t xml:space="preserve">Sheath blight was first reported in India at Gurdaspur in Punjab (Chahal and </w:t>
      </w:r>
      <w:proofErr w:type="spellStart"/>
      <w:r w:rsidR="00256FA1">
        <w:rPr>
          <w:rFonts w:ascii="Times New Roman" w:hAnsi="Times New Roman" w:cs="Times New Roman"/>
        </w:rPr>
        <w:t>Paracer</w:t>
      </w:r>
      <w:proofErr w:type="spellEnd"/>
      <w:r w:rsidR="00256FA1">
        <w:rPr>
          <w:rFonts w:ascii="Times New Roman" w:hAnsi="Times New Roman" w:cs="Times New Roman"/>
        </w:rPr>
        <w:t xml:space="preserve">, 1963) and thereafter in Uttar Pradesh by Kohli (1966). </w:t>
      </w:r>
      <w:r w:rsidR="008750B2" w:rsidRPr="00CF1EDC">
        <w:rPr>
          <w:rFonts w:ascii="Times New Roman" w:hAnsi="Times New Roman" w:cs="Times New Roman"/>
        </w:rPr>
        <w:t xml:space="preserve">The fungus also produces sclerotia which serves as primary source of infection, may survive for a longer period during unfavourable conditions. </w:t>
      </w:r>
      <w:r w:rsidR="003F5F8C">
        <w:rPr>
          <w:rFonts w:ascii="Times New Roman" w:hAnsi="Times New Roman" w:cs="Times New Roman"/>
        </w:rPr>
        <w:t>In soil, the s</w:t>
      </w:r>
      <w:r w:rsidR="000C45FA">
        <w:rPr>
          <w:rFonts w:ascii="Times New Roman" w:hAnsi="Times New Roman" w:cs="Times New Roman"/>
        </w:rPr>
        <w:t xml:space="preserve">clerotia may survive for about 8-10 years in the absence of host </w:t>
      </w:r>
      <w:r w:rsidR="003F5F8C">
        <w:rPr>
          <w:rFonts w:ascii="Times New Roman" w:hAnsi="Times New Roman" w:cs="Times New Roman"/>
        </w:rPr>
        <w:t xml:space="preserve">(Feng et al., 2017). </w:t>
      </w:r>
      <w:r w:rsidR="008750B2" w:rsidRPr="00CF1EDC">
        <w:rPr>
          <w:rFonts w:ascii="Times New Roman" w:hAnsi="Times New Roman" w:cs="Times New Roman"/>
        </w:rPr>
        <w:t xml:space="preserve">Irrigation water and rainfall provide spread of the sclerotia and subsequently provide primary inoculum for infection. Many of the weed species viz., </w:t>
      </w:r>
      <w:proofErr w:type="spellStart"/>
      <w:r w:rsidR="008750B2" w:rsidRPr="00CF1EDC">
        <w:rPr>
          <w:rFonts w:ascii="Times New Roman" w:hAnsi="Times New Roman" w:cs="Times New Roman"/>
          <w:i/>
          <w:iCs/>
        </w:rPr>
        <w:t>Echinochloa</w:t>
      </w:r>
      <w:proofErr w:type="spellEnd"/>
      <w:r w:rsidR="008750B2" w:rsidRPr="00CF1EDC">
        <w:rPr>
          <w:rFonts w:ascii="Times New Roman" w:hAnsi="Times New Roman" w:cs="Times New Roman"/>
          <w:i/>
          <w:iCs/>
        </w:rPr>
        <w:t xml:space="preserve"> </w:t>
      </w:r>
      <w:proofErr w:type="spellStart"/>
      <w:r w:rsidR="008750B2" w:rsidRPr="00CF1EDC">
        <w:rPr>
          <w:rFonts w:ascii="Times New Roman" w:hAnsi="Times New Roman" w:cs="Times New Roman"/>
          <w:i/>
          <w:iCs/>
        </w:rPr>
        <w:t>colona</w:t>
      </w:r>
      <w:proofErr w:type="spellEnd"/>
      <w:r w:rsidR="008750B2" w:rsidRPr="00CF1EDC">
        <w:rPr>
          <w:rFonts w:ascii="Times New Roman" w:hAnsi="Times New Roman" w:cs="Times New Roman"/>
        </w:rPr>
        <w:t xml:space="preserve">, </w:t>
      </w:r>
      <w:r w:rsidR="008750B2" w:rsidRPr="00CF1EDC">
        <w:rPr>
          <w:rFonts w:ascii="Times New Roman" w:hAnsi="Times New Roman" w:cs="Times New Roman"/>
          <w:i/>
          <w:iCs/>
        </w:rPr>
        <w:t xml:space="preserve">E. </w:t>
      </w:r>
      <w:proofErr w:type="spellStart"/>
      <w:r w:rsidR="008750B2" w:rsidRPr="00CF1EDC">
        <w:rPr>
          <w:rFonts w:ascii="Times New Roman" w:hAnsi="Times New Roman" w:cs="Times New Roman"/>
          <w:i/>
          <w:iCs/>
        </w:rPr>
        <w:t>crusgalli</w:t>
      </w:r>
      <w:proofErr w:type="spellEnd"/>
      <w:r w:rsidR="008750B2" w:rsidRPr="00CF1EDC">
        <w:rPr>
          <w:rFonts w:ascii="Times New Roman" w:hAnsi="Times New Roman" w:cs="Times New Roman"/>
        </w:rPr>
        <w:t xml:space="preserve">, </w:t>
      </w:r>
      <w:proofErr w:type="spellStart"/>
      <w:r w:rsidR="00023493" w:rsidRPr="00023493">
        <w:rPr>
          <w:rFonts w:ascii="Times New Roman" w:hAnsi="Times New Roman" w:cs="Times New Roman"/>
          <w:i/>
          <w:iCs/>
        </w:rPr>
        <w:t>Saccharaum</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spontanuem</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Digitaria</w:t>
      </w:r>
      <w:proofErr w:type="spellEnd"/>
      <w:r w:rsidR="00023493" w:rsidRPr="00023493">
        <w:rPr>
          <w:rFonts w:ascii="Times New Roman" w:hAnsi="Times New Roman" w:cs="Times New Roman"/>
          <w:i/>
          <w:iCs/>
        </w:rPr>
        <w:t xml:space="preserve"> </w:t>
      </w:r>
      <w:proofErr w:type="spellStart"/>
      <w:r w:rsidR="00023493" w:rsidRPr="00023493">
        <w:rPr>
          <w:rFonts w:ascii="Times New Roman" w:hAnsi="Times New Roman" w:cs="Times New Roman"/>
          <w:i/>
          <w:iCs/>
        </w:rPr>
        <w:t>sangunalis</w:t>
      </w:r>
      <w:proofErr w:type="spellEnd"/>
      <w:r w:rsidR="00023493" w:rsidRPr="00023493">
        <w:rPr>
          <w:rFonts w:ascii="Times New Roman" w:hAnsi="Times New Roman" w:cs="Times New Roman"/>
          <w:i/>
          <w:iCs/>
        </w:rPr>
        <w:t xml:space="preserve">, Phyllanthus </w:t>
      </w:r>
      <w:proofErr w:type="spellStart"/>
      <w:r w:rsidR="00023493" w:rsidRPr="00023493">
        <w:rPr>
          <w:rFonts w:ascii="Times New Roman" w:hAnsi="Times New Roman" w:cs="Times New Roman"/>
          <w:i/>
          <w:iCs/>
        </w:rPr>
        <w:t>niruri</w:t>
      </w:r>
      <w:proofErr w:type="spellEnd"/>
      <w:r w:rsidR="00023493" w:rsidRPr="00023493">
        <w:rPr>
          <w:rFonts w:ascii="Times New Roman" w:hAnsi="Times New Roman" w:cs="Times New Roman"/>
          <w:i/>
          <w:iCs/>
        </w:rPr>
        <w:t>,</w:t>
      </w:r>
      <w:r w:rsidR="00023493">
        <w:rPr>
          <w:rFonts w:ascii="Times New Roman" w:hAnsi="Times New Roman" w:cs="Times New Roman"/>
        </w:rPr>
        <w:t xml:space="preserve"> </w:t>
      </w:r>
      <w:proofErr w:type="spellStart"/>
      <w:r w:rsidR="008750B2" w:rsidRPr="00CF1EDC">
        <w:rPr>
          <w:rFonts w:ascii="Times New Roman" w:hAnsi="Times New Roman" w:cs="Times New Roman"/>
          <w:i/>
          <w:iCs/>
        </w:rPr>
        <w:t>Cynodon</w:t>
      </w:r>
      <w:proofErr w:type="spellEnd"/>
      <w:r w:rsidR="008750B2" w:rsidRPr="00CF1EDC">
        <w:rPr>
          <w:rFonts w:ascii="Times New Roman" w:hAnsi="Times New Roman" w:cs="Times New Roman"/>
          <w:i/>
          <w:iCs/>
        </w:rPr>
        <w:t xml:space="preserve"> </w:t>
      </w:r>
      <w:proofErr w:type="spellStart"/>
      <w:r w:rsidR="008750B2" w:rsidRPr="00CF1EDC">
        <w:rPr>
          <w:rFonts w:ascii="Times New Roman" w:hAnsi="Times New Roman" w:cs="Times New Roman"/>
          <w:i/>
          <w:iCs/>
        </w:rPr>
        <w:t>dactylon</w:t>
      </w:r>
      <w:proofErr w:type="spellEnd"/>
      <w:r w:rsidR="008750B2" w:rsidRPr="00CF1EDC">
        <w:rPr>
          <w:rFonts w:ascii="Times New Roman" w:hAnsi="Times New Roman" w:cs="Times New Roman"/>
        </w:rPr>
        <w:t xml:space="preserve"> etc., growing in the paddy fields and on the bunds also serves as a </w:t>
      </w:r>
      <w:r w:rsidR="008750B2" w:rsidRPr="00CF1EDC">
        <w:rPr>
          <w:rFonts w:ascii="Times New Roman" w:hAnsi="Times New Roman" w:cs="Times New Roman"/>
        </w:rPr>
        <w:lastRenderedPageBreak/>
        <w:t>source of primary infectio</w:t>
      </w:r>
      <w:r w:rsidR="005F15D1" w:rsidRPr="00CF1EDC">
        <w:rPr>
          <w:rFonts w:ascii="Times New Roman" w:hAnsi="Times New Roman" w:cs="Times New Roman"/>
        </w:rPr>
        <w:t>n</w:t>
      </w:r>
      <w:r w:rsidR="00023493">
        <w:rPr>
          <w:rFonts w:ascii="Times New Roman" w:hAnsi="Times New Roman" w:cs="Times New Roman"/>
        </w:rPr>
        <w:t xml:space="preserve"> (</w:t>
      </w:r>
      <w:proofErr w:type="spellStart"/>
      <w:r w:rsidR="00023493">
        <w:rPr>
          <w:rFonts w:ascii="Times New Roman" w:hAnsi="Times New Roman" w:cs="Times New Roman"/>
        </w:rPr>
        <w:t>Mohd</w:t>
      </w:r>
      <w:proofErr w:type="spellEnd"/>
      <w:r w:rsidR="00023493">
        <w:rPr>
          <w:rFonts w:ascii="Times New Roman" w:hAnsi="Times New Roman" w:cs="Times New Roman"/>
        </w:rPr>
        <w:t xml:space="preserve"> Ali, 2019)</w:t>
      </w:r>
      <w:r w:rsidR="008750B2" w:rsidRPr="00CF1EDC">
        <w:rPr>
          <w:rFonts w:ascii="Times New Roman" w:hAnsi="Times New Roman" w:cs="Times New Roman"/>
        </w:rPr>
        <w:t xml:space="preserve">. </w:t>
      </w:r>
      <w:r w:rsidR="006A0345">
        <w:rPr>
          <w:rFonts w:ascii="Times New Roman" w:hAnsi="Times New Roman" w:cs="Times New Roman"/>
        </w:rPr>
        <w:t xml:space="preserve">Spraying of fungicides </w:t>
      </w:r>
      <w:r w:rsidR="00256FA1">
        <w:rPr>
          <w:rFonts w:ascii="Times New Roman" w:hAnsi="Times New Roman" w:cs="Times New Roman"/>
        </w:rPr>
        <w:t xml:space="preserve">for the management of sheath blight in paddy </w:t>
      </w:r>
      <w:r w:rsidR="006A0345">
        <w:rPr>
          <w:rFonts w:ascii="Times New Roman" w:hAnsi="Times New Roman" w:cs="Times New Roman"/>
        </w:rPr>
        <w:t xml:space="preserve">is the most common method </w:t>
      </w:r>
      <w:r w:rsidR="00256FA1">
        <w:rPr>
          <w:rFonts w:ascii="Times New Roman" w:hAnsi="Times New Roman" w:cs="Times New Roman"/>
        </w:rPr>
        <w:t xml:space="preserve">among the farmers. </w:t>
      </w:r>
      <w:r w:rsidR="008750B2" w:rsidRPr="00CF1EDC">
        <w:rPr>
          <w:rFonts w:ascii="Times New Roman" w:hAnsi="Times New Roman" w:cs="Times New Roman"/>
        </w:rPr>
        <w:t xml:space="preserve">Relying on fungicides alone for management of sheath blight </w:t>
      </w:r>
      <w:r w:rsidR="00E82E04">
        <w:rPr>
          <w:rFonts w:ascii="Times New Roman" w:hAnsi="Times New Roman" w:cs="Times New Roman"/>
        </w:rPr>
        <w:t>was</w:t>
      </w:r>
      <w:r w:rsidR="008750B2" w:rsidRPr="00CF1EDC">
        <w:rPr>
          <w:rFonts w:ascii="Times New Roman" w:hAnsi="Times New Roman" w:cs="Times New Roman"/>
        </w:rPr>
        <w:t xml:space="preserve"> becoming expensive</w:t>
      </w:r>
      <w:r w:rsidR="003E4731" w:rsidRPr="00CF1EDC">
        <w:rPr>
          <w:rFonts w:ascii="Times New Roman" w:hAnsi="Times New Roman" w:cs="Times New Roman"/>
        </w:rPr>
        <w:t xml:space="preserve"> with increased cost of cultivation and reduced net returns to the </w:t>
      </w:r>
      <w:r w:rsidR="0098720B" w:rsidRPr="00CF1EDC">
        <w:rPr>
          <w:rFonts w:ascii="Times New Roman" w:hAnsi="Times New Roman" w:cs="Times New Roman"/>
        </w:rPr>
        <w:t>pa</w:t>
      </w:r>
      <w:r w:rsidR="003E4731" w:rsidRPr="00CF1EDC">
        <w:rPr>
          <w:rFonts w:ascii="Times New Roman" w:hAnsi="Times New Roman" w:cs="Times New Roman"/>
        </w:rPr>
        <w:t>ddy farmers</w:t>
      </w:r>
      <w:r w:rsidR="008750B2" w:rsidRPr="00CF1EDC">
        <w:rPr>
          <w:rFonts w:ascii="Times New Roman" w:hAnsi="Times New Roman" w:cs="Times New Roman"/>
        </w:rPr>
        <w:t>.</w:t>
      </w:r>
      <w:r w:rsidR="005F15D1" w:rsidRPr="00CF1EDC">
        <w:rPr>
          <w:rFonts w:ascii="Times New Roman" w:hAnsi="Times New Roman" w:cs="Times New Roman"/>
        </w:rPr>
        <w:t xml:space="preserve"> </w:t>
      </w:r>
      <w:r w:rsidR="00881BE6">
        <w:rPr>
          <w:rFonts w:ascii="Times New Roman" w:hAnsi="Times New Roman" w:cs="Times New Roman"/>
        </w:rPr>
        <w:t xml:space="preserve">Moreover, chemical method of disease management is less sustainable in paddy production owing to increased cost of production, chances of development of fungicide tolerance and residual toxicity (Senapati </w:t>
      </w:r>
      <w:r w:rsidR="00881BE6" w:rsidRPr="00881BE6">
        <w:rPr>
          <w:rFonts w:ascii="Times New Roman" w:hAnsi="Times New Roman" w:cs="Times New Roman"/>
          <w:i/>
          <w:iCs/>
        </w:rPr>
        <w:t>et al</w:t>
      </w:r>
      <w:r w:rsidR="00881BE6">
        <w:rPr>
          <w:rFonts w:ascii="Times New Roman" w:hAnsi="Times New Roman" w:cs="Times New Roman"/>
        </w:rPr>
        <w:t xml:space="preserve">., 2022). </w:t>
      </w:r>
      <w:r w:rsidR="008750B2" w:rsidRPr="00CF1EDC">
        <w:rPr>
          <w:rFonts w:ascii="Times New Roman" w:hAnsi="Times New Roman" w:cs="Times New Roman"/>
        </w:rPr>
        <w:t xml:space="preserve">Keeping this in view, </w:t>
      </w:r>
      <w:r w:rsidR="003678BD" w:rsidRPr="00CF1EDC">
        <w:rPr>
          <w:rFonts w:ascii="Times New Roman" w:hAnsi="Times New Roman" w:cs="Times New Roman"/>
        </w:rPr>
        <w:t>an</w:t>
      </w:r>
      <w:r w:rsidR="00CF1EDC">
        <w:rPr>
          <w:rFonts w:ascii="Times New Roman" w:hAnsi="Times New Roman" w:cs="Times New Roman"/>
        </w:rPr>
        <w:t xml:space="preserve"> </w:t>
      </w:r>
      <w:proofErr w:type="gramStart"/>
      <w:r w:rsidR="008750B2" w:rsidRPr="00CF1EDC">
        <w:rPr>
          <w:rFonts w:ascii="Times New Roman" w:hAnsi="Times New Roman" w:cs="Times New Roman"/>
        </w:rPr>
        <w:t xml:space="preserve">On </w:t>
      </w:r>
      <w:r w:rsidR="003678BD">
        <w:rPr>
          <w:rFonts w:ascii="Times New Roman" w:hAnsi="Times New Roman" w:cs="Times New Roman"/>
        </w:rPr>
        <w:t>F</w:t>
      </w:r>
      <w:r w:rsidR="008750B2" w:rsidRPr="00CF1EDC">
        <w:rPr>
          <w:rFonts w:ascii="Times New Roman" w:hAnsi="Times New Roman" w:cs="Times New Roman"/>
        </w:rPr>
        <w:t>arm</w:t>
      </w:r>
      <w:proofErr w:type="gramEnd"/>
      <w:r w:rsidR="008750B2" w:rsidRPr="00CF1EDC">
        <w:rPr>
          <w:rFonts w:ascii="Times New Roman" w:hAnsi="Times New Roman" w:cs="Times New Roman"/>
        </w:rPr>
        <w:t xml:space="preserve"> </w:t>
      </w:r>
      <w:r w:rsidR="003678BD">
        <w:rPr>
          <w:rFonts w:ascii="Times New Roman" w:hAnsi="Times New Roman" w:cs="Times New Roman"/>
        </w:rPr>
        <w:t>T</w:t>
      </w:r>
      <w:r w:rsidR="008750B2" w:rsidRPr="00CF1EDC">
        <w:rPr>
          <w:rFonts w:ascii="Times New Roman" w:hAnsi="Times New Roman" w:cs="Times New Roman"/>
        </w:rPr>
        <w:t xml:space="preserve">rail (OFT) was conducted focussing on integrated </w:t>
      </w:r>
      <w:r w:rsidR="00D45790">
        <w:rPr>
          <w:rFonts w:ascii="Times New Roman" w:hAnsi="Times New Roman" w:cs="Times New Roman"/>
        </w:rPr>
        <w:t xml:space="preserve">disease </w:t>
      </w:r>
      <w:r w:rsidR="008750B2" w:rsidRPr="00CF1EDC">
        <w:rPr>
          <w:rFonts w:ascii="Times New Roman" w:hAnsi="Times New Roman" w:cs="Times New Roman"/>
        </w:rPr>
        <w:t>management viz., use of biocontrol agents, better crop management practices and need based use of fungicides for the effective management of sheath blight disease in paddy fields.</w:t>
      </w:r>
    </w:p>
    <w:p w14:paraId="370E284E" w14:textId="2A08D0CE" w:rsidR="005F15D1" w:rsidRPr="00CF1EDC" w:rsidRDefault="005F15D1" w:rsidP="00D43554">
      <w:pPr>
        <w:ind w:right="-46"/>
        <w:rPr>
          <w:rFonts w:ascii="Times New Roman" w:hAnsi="Times New Roman" w:cs="Times New Roman"/>
          <w:b/>
          <w:bCs/>
        </w:rPr>
      </w:pPr>
      <w:r w:rsidRPr="00CF1EDC">
        <w:rPr>
          <w:rFonts w:ascii="Times New Roman" w:hAnsi="Times New Roman" w:cs="Times New Roman"/>
          <w:b/>
          <w:bCs/>
        </w:rPr>
        <w:t>Methodology</w:t>
      </w:r>
    </w:p>
    <w:p w14:paraId="24BAE13C" w14:textId="26CE4C22" w:rsidR="005F15D1" w:rsidRPr="00CF1EDC" w:rsidRDefault="005F15D1" w:rsidP="00D43554">
      <w:pPr>
        <w:spacing w:line="480" w:lineRule="auto"/>
        <w:ind w:right="-46"/>
        <w:jc w:val="both"/>
        <w:rPr>
          <w:rFonts w:ascii="Times New Roman" w:hAnsi="Times New Roman" w:cs="Times New Roman"/>
        </w:rPr>
      </w:pPr>
      <w:r w:rsidRPr="00CF1EDC">
        <w:rPr>
          <w:rFonts w:ascii="Times New Roman" w:hAnsi="Times New Roman" w:cs="Times New Roman"/>
        </w:rPr>
        <w:t xml:space="preserve">On farm trials (OFTs) were conducted in </w:t>
      </w:r>
      <w:r w:rsidR="00D45790">
        <w:rPr>
          <w:rFonts w:ascii="Times New Roman" w:hAnsi="Times New Roman" w:cs="Times New Roman"/>
        </w:rPr>
        <w:t xml:space="preserve">three locations of </w:t>
      </w:r>
      <w:proofErr w:type="spellStart"/>
      <w:r w:rsidRPr="00CF1EDC">
        <w:rPr>
          <w:rFonts w:ascii="Times New Roman" w:hAnsi="Times New Roman" w:cs="Times New Roman"/>
        </w:rPr>
        <w:t>farmers</w:t>
      </w:r>
      <w:proofErr w:type="spellEnd"/>
      <w:r w:rsidRPr="00CF1EDC">
        <w:rPr>
          <w:rFonts w:ascii="Times New Roman" w:hAnsi="Times New Roman" w:cs="Times New Roman"/>
        </w:rPr>
        <w:t xml:space="preserve"> fields </w:t>
      </w:r>
      <w:r w:rsidR="00D45790">
        <w:rPr>
          <w:rFonts w:ascii="Times New Roman" w:hAnsi="Times New Roman" w:cs="Times New Roman"/>
        </w:rPr>
        <w:t xml:space="preserve">(0.1 ha each) </w:t>
      </w:r>
      <w:r w:rsidRPr="00CF1EDC">
        <w:rPr>
          <w:rFonts w:ascii="Times New Roman" w:hAnsi="Times New Roman" w:cs="Times New Roman"/>
        </w:rPr>
        <w:t xml:space="preserve">located in </w:t>
      </w:r>
      <w:proofErr w:type="spellStart"/>
      <w:r w:rsidR="006B71A8" w:rsidRPr="00CF1EDC">
        <w:rPr>
          <w:rFonts w:ascii="Times New Roman" w:hAnsi="Times New Roman" w:cs="Times New Roman"/>
        </w:rPr>
        <w:t>Ghan</w:t>
      </w:r>
      <w:r w:rsidR="00CF1EDC">
        <w:rPr>
          <w:rFonts w:ascii="Times New Roman" w:hAnsi="Times New Roman" w:cs="Times New Roman"/>
        </w:rPr>
        <w:t>ta</w:t>
      </w:r>
      <w:r w:rsidR="006B71A8" w:rsidRPr="00CF1EDC">
        <w:rPr>
          <w:rFonts w:ascii="Times New Roman" w:hAnsi="Times New Roman" w:cs="Times New Roman"/>
        </w:rPr>
        <w:t>sala</w:t>
      </w:r>
      <w:proofErr w:type="spellEnd"/>
      <w:r w:rsidR="006B71A8" w:rsidRPr="00CF1EDC">
        <w:rPr>
          <w:rFonts w:ascii="Times New Roman" w:hAnsi="Times New Roman" w:cs="Times New Roman"/>
        </w:rPr>
        <w:t xml:space="preserve">, </w:t>
      </w:r>
      <w:proofErr w:type="spellStart"/>
      <w:r w:rsidR="006B71A8" w:rsidRPr="00CF1EDC">
        <w:rPr>
          <w:rFonts w:ascii="Times New Roman" w:hAnsi="Times New Roman" w:cs="Times New Roman"/>
        </w:rPr>
        <w:t>Venkatapuram</w:t>
      </w:r>
      <w:proofErr w:type="spellEnd"/>
      <w:r w:rsidR="006B71A8" w:rsidRPr="00CF1EDC">
        <w:rPr>
          <w:rFonts w:ascii="Times New Roman" w:hAnsi="Times New Roman" w:cs="Times New Roman"/>
        </w:rPr>
        <w:t xml:space="preserve"> and </w:t>
      </w:r>
      <w:proofErr w:type="spellStart"/>
      <w:r w:rsidR="006B71A8" w:rsidRPr="00CF1EDC">
        <w:rPr>
          <w:rFonts w:ascii="Times New Roman" w:hAnsi="Times New Roman" w:cs="Times New Roman"/>
        </w:rPr>
        <w:t>Kammanamolu</w:t>
      </w:r>
      <w:proofErr w:type="spellEnd"/>
      <w:r w:rsidR="006B71A8" w:rsidRPr="00CF1EDC">
        <w:rPr>
          <w:rFonts w:ascii="Times New Roman" w:hAnsi="Times New Roman" w:cs="Times New Roman"/>
        </w:rPr>
        <w:t xml:space="preserve"> villages of </w:t>
      </w:r>
      <w:proofErr w:type="spellStart"/>
      <w:r w:rsidRPr="00CF1EDC">
        <w:rPr>
          <w:rFonts w:ascii="Times New Roman" w:hAnsi="Times New Roman" w:cs="Times New Roman"/>
        </w:rPr>
        <w:t>Ghantasala</w:t>
      </w:r>
      <w:proofErr w:type="spellEnd"/>
      <w:r w:rsidRPr="00CF1EDC">
        <w:rPr>
          <w:rFonts w:ascii="Times New Roman" w:hAnsi="Times New Roman" w:cs="Times New Roman"/>
        </w:rPr>
        <w:t xml:space="preserve">, </w:t>
      </w:r>
      <w:proofErr w:type="spellStart"/>
      <w:r w:rsidRPr="00CF1EDC">
        <w:rPr>
          <w:rFonts w:ascii="Times New Roman" w:hAnsi="Times New Roman" w:cs="Times New Roman"/>
        </w:rPr>
        <w:t>Mopidevi</w:t>
      </w:r>
      <w:proofErr w:type="spellEnd"/>
      <w:r w:rsidRPr="00CF1EDC">
        <w:rPr>
          <w:rFonts w:ascii="Times New Roman" w:hAnsi="Times New Roman" w:cs="Times New Roman"/>
        </w:rPr>
        <w:t xml:space="preserve"> and </w:t>
      </w:r>
      <w:proofErr w:type="spellStart"/>
      <w:r w:rsidRPr="00CF1EDC">
        <w:rPr>
          <w:rFonts w:ascii="Times New Roman" w:hAnsi="Times New Roman" w:cs="Times New Roman"/>
        </w:rPr>
        <w:t>Nagayalanka</w:t>
      </w:r>
      <w:proofErr w:type="spellEnd"/>
      <w:r w:rsidRPr="00CF1EDC">
        <w:rPr>
          <w:rFonts w:ascii="Times New Roman" w:hAnsi="Times New Roman" w:cs="Times New Roman"/>
        </w:rPr>
        <w:t xml:space="preserve"> </w:t>
      </w:r>
      <w:proofErr w:type="spellStart"/>
      <w:r w:rsidRPr="00CF1EDC">
        <w:rPr>
          <w:rFonts w:ascii="Times New Roman" w:hAnsi="Times New Roman" w:cs="Times New Roman"/>
        </w:rPr>
        <w:t>mandals</w:t>
      </w:r>
      <w:proofErr w:type="spellEnd"/>
      <w:r w:rsidR="006B71A8" w:rsidRPr="00CF1EDC">
        <w:rPr>
          <w:rFonts w:ascii="Times New Roman" w:hAnsi="Times New Roman" w:cs="Times New Roman"/>
        </w:rPr>
        <w:t xml:space="preserve">, respectively </w:t>
      </w:r>
      <w:r w:rsidRPr="00CF1EDC">
        <w:rPr>
          <w:rFonts w:ascii="Times New Roman" w:hAnsi="Times New Roman" w:cs="Times New Roman"/>
        </w:rPr>
        <w:t>of Krishna district during kharif, 2024-25</w:t>
      </w:r>
      <w:r w:rsidR="00CF1EDC">
        <w:rPr>
          <w:rFonts w:ascii="Times New Roman" w:hAnsi="Times New Roman" w:cs="Times New Roman"/>
        </w:rPr>
        <w:t xml:space="preserve"> with paddy variety MTU 1061</w:t>
      </w:r>
      <w:r w:rsidRPr="00CF1EDC">
        <w:rPr>
          <w:rFonts w:ascii="Times New Roman" w:hAnsi="Times New Roman" w:cs="Times New Roman"/>
        </w:rPr>
        <w:t xml:space="preserve">. </w:t>
      </w:r>
      <w:r w:rsidR="006B71A8" w:rsidRPr="00CF1EDC">
        <w:rPr>
          <w:rFonts w:ascii="Times New Roman" w:hAnsi="Times New Roman" w:cs="Times New Roman"/>
        </w:rPr>
        <w:t xml:space="preserve">All the </w:t>
      </w:r>
      <w:r w:rsidR="00CF1EDC" w:rsidRPr="00CF1EDC">
        <w:rPr>
          <w:rFonts w:ascii="Times New Roman" w:hAnsi="Times New Roman" w:cs="Times New Roman"/>
        </w:rPr>
        <w:t xml:space="preserve">recommended </w:t>
      </w:r>
      <w:r w:rsidR="006B71A8" w:rsidRPr="00CF1EDC">
        <w:rPr>
          <w:rFonts w:ascii="Times New Roman" w:hAnsi="Times New Roman" w:cs="Times New Roman"/>
        </w:rPr>
        <w:t xml:space="preserve">agronomic practices were followed in raising of the crop. </w:t>
      </w:r>
    </w:p>
    <w:p w14:paraId="2A63F61D" w14:textId="04461270" w:rsidR="006B71A8" w:rsidRPr="00CF1EDC" w:rsidRDefault="006B71A8" w:rsidP="00D43554">
      <w:pPr>
        <w:ind w:right="-46"/>
        <w:rPr>
          <w:rFonts w:ascii="Times New Roman" w:hAnsi="Times New Roman" w:cs="Times New Roman"/>
          <w:b/>
          <w:bCs/>
        </w:rPr>
      </w:pPr>
      <w:r w:rsidRPr="00CF1EDC">
        <w:rPr>
          <w:rFonts w:ascii="Times New Roman" w:hAnsi="Times New Roman" w:cs="Times New Roman"/>
          <w:b/>
          <w:bCs/>
        </w:rPr>
        <w:t>Treatments for integrated management of sheath blight in paddy</w:t>
      </w:r>
    </w:p>
    <w:p w14:paraId="488E9BE5" w14:textId="4076855F" w:rsidR="006B71A8" w:rsidRPr="00CF1EDC" w:rsidRDefault="006B71A8" w:rsidP="00D43554">
      <w:pPr>
        <w:spacing w:line="480" w:lineRule="auto"/>
        <w:ind w:right="-46"/>
        <w:jc w:val="both"/>
        <w:rPr>
          <w:rFonts w:ascii="Times New Roman" w:hAnsi="Times New Roman" w:cs="Times New Roman"/>
          <w:bCs/>
          <w:lang w:val="en-GB" w:bidi="ar-SA"/>
        </w:rPr>
      </w:pPr>
      <w:r w:rsidRPr="00CF1EDC">
        <w:rPr>
          <w:rFonts w:ascii="Times New Roman" w:hAnsi="Times New Roman" w:cs="Times New Roman"/>
          <w:b/>
          <w:bCs/>
        </w:rPr>
        <w:t>T</w:t>
      </w:r>
      <w:r w:rsidRPr="00CF1EDC">
        <w:rPr>
          <w:rFonts w:ascii="Times New Roman" w:hAnsi="Times New Roman" w:cs="Times New Roman"/>
          <w:b/>
          <w:bCs/>
          <w:vertAlign w:val="subscript"/>
        </w:rPr>
        <w:t>1</w:t>
      </w:r>
      <w:r w:rsidRPr="00CF1EDC">
        <w:rPr>
          <w:rFonts w:ascii="Times New Roman" w:hAnsi="Times New Roman" w:cs="Times New Roman"/>
          <w:b/>
          <w:bCs/>
        </w:rPr>
        <w:t xml:space="preserve">: Integrated Disease Management Practices (IDM) - </w:t>
      </w:r>
      <w:r w:rsidRPr="00CF1EDC">
        <w:rPr>
          <w:rFonts w:ascii="Times New Roman" w:hAnsi="Times New Roman" w:cs="Times New Roman"/>
          <w:bCs/>
          <w:lang w:bidi="ar-SA"/>
        </w:rPr>
        <w:t xml:space="preserve">Seed treatment with </w:t>
      </w:r>
      <w:r w:rsidRPr="00CF1EDC">
        <w:rPr>
          <w:rFonts w:ascii="Times New Roman" w:hAnsi="Times New Roman" w:cs="Times New Roman"/>
          <w:bCs/>
          <w:i/>
          <w:iCs/>
          <w:lang w:bidi="ar-SA"/>
        </w:rPr>
        <w:t>Pseudomonas fluorescens</w:t>
      </w:r>
      <w:r w:rsidRPr="00CF1EDC">
        <w:rPr>
          <w:rFonts w:ascii="Times New Roman" w:hAnsi="Times New Roman" w:cs="Times New Roman"/>
          <w:bCs/>
          <w:lang w:bidi="ar-SA"/>
        </w:rPr>
        <w:t xml:space="preserve"> @ 10 g/ kg seed, Intermittent drying of the field, Provision of proper drainage facility to the field, use of recommended dose of nitrogenous fertilizers, removal of weeds in the field and on the bunds, Need based </w:t>
      </w:r>
      <w:r w:rsidRPr="00CF1EDC">
        <w:rPr>
          <w:rFonts w:ascii="Times New Roman" w:hAnsi="Times New Roman" w:cs="Times New Roman"/>
          <w:bCs/>
          <w:lang w:val="en-GB" w:bidi="ar-SA"/>
        </w:rPr>
        <w:t xml:space="preserve">sprays of Azoxystrobin +Tebuconazole @ 1.5 ml/l at </w:t>
      </w:r>
      <w:r w:rsidR="00CF1EDC">
        <w:rPr>
          <w:rFonts w:ascii="Times New Roman" w:hAnsi="Times New Roman" w:cs="Times New Roman"/>
          <w:bCs/>
          <w:lang w:val="en-GB" w:bidi="ar-SA"/>
        </w:rPr>
        <w:t xml:space="preserve">    </w:t>
      </w:r>
      <w:r w:rsidRPr="00CF1EDC">
        <w:rPr>
          <w:rFonts w:ascii="Times New Roman" w:hAnsi="Times New Roman" w:cs="Times New Roman"/>
          <w:bCs/>
          <w:lang w:val="en-GB" w:bidi="ar-SA"/>
        </w:rPr>
        <w:t>5-7 days</w:t>
      </w:r>
      <w:r w:rsidR="00EB7718" w:rsidRPr="00CF1EDC">
        <w:rPr>
          <w:rFonts w:ascii="Times New Roman" w:hAnsi="Times New Roman" w:cs="Times New Roman"/>
          <w:bCs/>
          <w:lang w:val="en-GB" w:bidi="ar-SA"/>
        </w:rPr>
        <w:t xml:space="preserve"> interval.</w:t>
      </w:r>
    </w:p>
    <w:p w14:paraId="723CB95C" w14:textId="01339354" w:rsidR="00EB7718" w:rsidRPr="00CF1EDC" w:rsidRDefault="00EB7718" w:rsidP="00D43554">
      <w:pPr>
        <w:pStyle w:val="Normal1"/>
        <w:spacing w:line="480" w:lineRule="auto"/>
        <w:ind w:right="-46"/>
        <w:jc w:val="both"/>
        <w:rPr>
          <w:rFonts w:ascii="Times New Roman" w:hAnsi="Times New Roman" w:cs="Times New Roman"/>
          <w:bCs/>
          <w:sz w:val="24"/>
          <w:szCs w:val="24"/>
          <w:lang w:val="en-GB" w:bidi="ar-SA"/>
        </w:rPr>
      </w:pPr>
      <w:r w:rsidRPr="00CF1EDC">
        <w:rPr>
          <w:rFonts w:ascii="Times New Roman" w:hAnsi="Times New Roman" w:cs="Times New Roman"/>
          <w:b/>
          <w:sz w:val="24"/>
          <w:szCs w:val="24"/>
          <w:lang w:val="en-GB" w:bidi="ar-SA"/>
        </w:rPr>
        <w:t>T</w:t>
      </w:r>
      <w:r w:rsidRPr="00CF1EDC">
        <w:rPr>
          <w:rFonts w:ascii="Times New Roman" w:hAnsi="Times New Roman" w:cs="Times New Roman"/>
          <w:b/>
          <w:sz w:val="24"/>
          <w:szCs w:val="24"/>
          <w:vertAlign w:val="subscript"/>
          <w:lang w:val="en-GB" w:bidi="ar-SA"/>
        </w:rPr>
        <w:t>2</w:t>
      </w:r>
      <w:r w:rsidR="00CF1EDC">
        <w:rPr>
          <w:rFonts w:ascii="Times New Roman" w:hAnsi="Times New Roman" w:cs="Times New Roman"/>
          <w:b/>
          <w:sz w:val="24"/>
          <w:szCs w:val="24"/>
          <w:lang w:val="en-GB" w:bidi="ar-SA"/>
        </w:rPr>
        <w:t xml:space="preserve">: </w:t>
      </w:r>
      <w:r w:rsidRPr="00CF1EDC">
        <w:rPr>
          <w:rFonts w:ascii="Times New Roman" w:hAnsi="Times New Roman" w:cs="Times New Roman"/>
          <w:b/>
          <w:sz w:val="24"/>
          <w:szCs w:val="24"/>
          <w:lang w:bidi="ar-SA"/>
        </w:rPr>
        <w:t>Chemical based management</w:t>
      </w:r>
      <w:r w:rsidR="00CF1EDC">
        <w:rPr>
          <w:rFonts w:ascii="Times New Roman" w:hAnsi="Times New Roman" w:cs="Times New Roman"/>
          <w:b/>
          <w:sz w:val="24"/>
          <w:szCs w:val="24"/>
          <w:lang w:bidi="ar-SA"/>
        </w:rPr>
        <w:t xml:space="preserve"> -</w:t>
      </w:r>
      <w:r w:rsidRPr="00CF1EDC">
        <w:rPr>
          <w:rFonts w:ascii="Times New Roman" w:hAnsi="Times New Roman" w:cs="Times New Roman"/>
          <w:bCs/>
          <w:sz w:val="24"/>
          <w:szCs w:val="24"/>
          <w:lang w:bidi="ar-SA"/>
        </w:rPr>
        <w:t xml:space="preserve"> Seed treatment with carbendazim @ 1 g/kg seed, </w:t>
      </w:r>
      <w:r w:rsidRPr="00CF1EDC">
        <w:rPr>
          <w:rFonts w:ascii="Times New Roman" w:hAnsi="Times New Roman" w:cs="Times New Roman"/>
          <w:bCs/>
          <w:sz w:val="24"/>
          <w:szCs w:val="24"/>
          <w:lang w:val="en-GB" w:bidi="ar-SA"/>
        </w:rPr>
        <w:t xml:space="preserve">Two sprayings of Carbendazim 50% @ 1.0 g/l or </w:t>
      </w:r>
      <w:proofErr w:type="spellStart"/>
      <w:r w:rsidRPr="00CF1EDC">
        <w:rPr>
          <w:rFonts w:ascii="Times New Roman" w:hAnsi="Times New Roman" w:cs="Times New Roman"/>
          <w:bCs/>
          <w:sz w:val="24"/>
          <w:szCs w:val="24"/>
          <w:lang w:val="en-GB" w:bidi="ar-SA"/>
        </w:rPr>
        <w:t>Carbandazim+Mancozeb</w:t>
      </w:r>
      <w:proofErr w:type="spellEnd"/>
      <w:r w:rsidRPr="00CF1EDC">
        <w:rPr>
          <w:rFonts w:ascii="Times New Roman" w:hAnsi="Times New Roman" w:cs="Times New Roman"/>
          <w:bCs/>
          <w:sz w:val="24"/>
          <w:szCs w:val="24"/>
          <w:lang w:val="en-GB" w:bidi="ar-SA"/>
        </w:rPr>
        <w:t xml:space="preserve"> 75WP @ 2 g/l or hexaconazole @ 2 ml/l of water at 7 days interval.</w:t>
      </w:r>
    </w:p>
    <w:p w14:paraId="5C3CAB5F" w14:textId="7C1A992E" w:rsidR="006B71A8" w:rsidRDefault="00EB7718" w:rsidP="00D43554">
      <w:pPr>
        <w:spacing w:line="480" w:lineRule="auto"/>
        <w:ind w:right="-46"/>
        <w:jc w:val="both"/>
        <w:rPr>
          <w:rFonts w:ascii="Times New Roman" w:hAnsi="Times New Roman" w:cs="Times New Roman"/>
          <w:bCs/>
          <w:lang w:val="en-GB"/>
        </w:rPr>
      </w:pPr>
      <w:r w:rsidRPr="00CF1EDC">
        <w:rPr>
          <w:rFonts w:ascii="Times New Roman" w:hAnsi="Times New Roman" w:cs="Times New Roman"/>
          <w:b/>
          <w:lang w:val="en-GB"/>
        </w:rPr>
        <w:lastRenderedPageBreak/>
        <w:t>T</w:t>
      </w:r>
      <w:r w:rsidRPr="00CF1EDC">
        <w:rPr>
          <w:rFonts w:ascii="Times New Roman" w:hAnsi="Times New Roman" w:cs="Times New Roman"/>
          <w:b/>
          <w:vertAlign w:val="subscript"/>
          <w:lang w:val="en-GB"/>
        </w:rPr>
        <w:t>3</w:t>
      </w:r>
      <w:r w:rsidR="00CF1EDC" w:rsidRPr="00CF1EDC">
        <w:rPr>
          <w:rFonts w:ascii="Times New Roman" w:hAnsi="Times New Roman" w:cs="Times New Roman"/>
          <w:b/>
          <w:vertAlign w:val="subscript"/>
          <w:lang w:val="en-GB"/>
        </w:rPr>
        <w:t xml:space="preserve">: </w:t>
      </w:r>
      <w:r w:rsidRPr="00CF1EDC">
        <w:rPr>
          <w:rFonts w:ascii="Times New Roman" w:hAnsi="Times New Roman" w:cs="Times New Roman"/>
          <w:b/>
          <w:lang w:val="en-GB"/>
        </w:rPr>
        <w:t>Farmers Practice</w:t>
      </w:r>
      <w:r w:rsidRPr="00CF1EDC">
        <w:rPr>
          <w:rFonts w:ascii="Times New Roman" w:hAnsi="Times New Roman" w:cs="Times New Roman"/>
          <w:bCs/>
          <w:lang w:val="en-GB"/>
        </w:rPr>
        <w:t xml:space="preserve"> – No seed treatment, spraying of combination of fungicides after disease incidence.</w:t>
      </w:r>
    </w:p>
    <w:p w14:paraId="7C4D98A8" w14:textId="77777777" w:rsidR="00CF1EDC" w:rsidRPr="00B91500" w:rsidRDefault="00CF1EDC" w:rsidP="00D43554">
      <w:pPr>
        <w:ind w:right="-46"/>
        <w:jc w:val="both"/>
        <w:rPr>
          <w:rFonts w:ascii="Times New Roman" w:hAnsi="Times New Roman" w:cs="Times New Roman"/>
          <w:b/>
          <w:bCs/>
        </w:rPr>
      </w:pPr>
      <w:r>
        <w:rPr>
          <w:rFonts w:ascii="Times New Roman" w:hAnsi="Times New Roman" w:cs="Times New Roman"/>
          <w:b/>
          <w:bCs/>
        </w:rPr>
        <w:t>Observations and data recording</w:t>
      </w:r>
    </w:p>
    <w:p w14:paraId="6B0439DD" w14:textId="38800A95" w:rsidR="00CD6F8C" w:rsidRDefault="00CD6F8C" w:rsidP="00D43554">
      <w:pPr>
        <w:spacing w:line="480" w:lineRule="auto"/>
        <w:ind w:right="-46"/>
        <w:jc w:val="both"/>
        <w:rPr>
          <w:rFonts w:ascii="Times New Roman" w:hAnsi="Times New Roman" w:cs="Times New Roman"/>
        </w:rPr>
      </w:pPr>
      <w:r>
        <w:rPr>
          <w:rFonts w:ascii="Times New Roman" w:hAnsi="Times New Roman" w:cs="Times New Roman"/>
        </w:rPr>
        <w:t>Five quadrants of 1 m x 1 m area</w:t>
      </w:r>
      <w:r w:rsidRPr="00913270">
        <w:rPr>
          <w:rFonts w:ascii="Times New Roman" w:hAnsi="Times New Roman" w:cs="Times New Roman"/>
        </w:rPr>
        <w:t xml:space="preserve"> </w:t>
      </w:r>
      <w:r>
        <w:rPr>
          <w:rFonts w:ascii="Times New Roman" w:hAnsi="Times New Roman" w:cs="Times New Roman"/>
        </w:rPr>
        <w:t xml:space="preserve">were randomly selected in the experimental area. 50 plants were randomly selected from the five quadrants and the data on </w:t>
      </w:r>
      <w:r w:rsidR="00D45790">
        <w:rPr>
          <w:rFonts w:ascii="Times New Roman" w:hAnsi="Times New Roman" w:cs="Times New Roman"/>
        </w:rPr>
        <w:t>per cent</w:t>
      </w:r>
      <w:r>
        <w:rPr>
          <w:rFonts w:ascii="Times New Roman" w:hAnsi="Times New Roman" w:cs="Times New Roman"/>
        </w:rPr>
        <w:t xml:space="preserve"> sheath blight </w:t>
      </w:r>
      <w:r w:rsidR="00D45790">
        <w:rPr>
          <w:rFonts w:ascii="Times New Roman" w:hAnsi="Times New Roman" w:cs="Times New Roman"/>
        </w:rPr>
        <w:t xml:space="preserve">incidence </w:t>
      </w:r>
      <w:r w:rsidR="00CC0E24">
        <w:rPr>
          <w:rFonts w:ascii="Times New Roman" w:hAnsi="Times New Roman" w:cs="Times New Roman"/>
        </w:rPr>
        <w:t xml:space="preserve">and disease severity </w:t>
      </w:r>
      <w:r w:rsidR="00D45790">
        <w:rPr>
          <w:rFonts w:ascii="Times New Roman" w:hAnsi="Times New Roman" w:cs="Times New Roman"/>
        </w:rPr>
        <w:t>was</w:t>
      </w:r>
      <w:r>
        <w:rPr>
          <w:rFonts w:ascii="Times New Roman" w:hAnsi="Times New Roman" w:cs="Times New Roman"/>
        </w:rPr>
        <w:t xml:space="preserve"> recorded</w:t>
      </w:r>
      <w:r w:rsidR="00CD0F3E">
        <w:rPr>
          <w:rFonts w:ascii="Times New Roman" w:hAnsi="Times New Roman" w:cs="Times New Roman"/>
        </w:rPr>
        <w:t xml:space="preserve"> using the formula.</w:t>
      </w:r>
    </w:p>
    <w:p w14:paraId="16E259DC" w14:textId="39ED989B" w:rsidR="00CD6F8C" w:rsidRPr="00CD6F8C" w:rsidRDefault="00CD6F8C" w:rsidP="00D43554">
      <w:pPr>
        <w:spacing w:line="480" w:lineRule="auto"/>
        <w:ind w:right="-46"/>
        <w:jc w:val="both"/>
        <w:rPr>
          <w:rFonts w:ascii="Times New Roman" w:eastAsiaTheme="minorEastAsia" w:hAnsi="Times New Roman" w:cs="Times New Roman"/>
          <w:sz w:val="22"/>
          <w:szCs w:val="22"/>
        </w:rPr>
      </w:pPr>
      <m:oMathPara>
        <m:oMath>
          <m:r>
            <m:rPr>
              <m:sty m:val="p"/>
            </m:rPr>
            <w:rPr>
              <w:rFonts w:ascii="Cambria Math" w:hAnsi="Cambria Math" w:cs="Times New Roman"/>
              <w:sz w:val="22"/>
              <w:szCs w:val="22"/>
            </w:rPr>
            <m:t xml:space="preserve">Per cent sheath blight incidence  </m:t>
          </m:r>
          <m:d>
            <m:dPr>
              <m:ctrlPr>
                <w:rPr>
                  <w:rFonts w:ascii="Cambria Math" w:hAnsi="Cambria Math" w:cs="Times New Roman"/>
                  <w:sz w:val="22"/>
                  <w:szCs w:val="22"/>
                </w:rPr>
              </m:ctrlPr>
            </m:dPr>
            <m:e>
              <m:r>
                <m:rPr>
                  <m:sty m:val="p"/>
                </m:rPr>
                <w:rPr>
                  <w:rFonts w:ascii="Cambria Math" w:hAnsi="Cambria Math" w:cs="Times New Roman"/>
                  <w:sz w:val="22"/>
                  <w:szCs w:val="22"/>
                </w:rPr>
                <m:t>%</m:t>
              </m:r>
            </m:e>
          </m:d>
          <m:r>
            <m:rPr>
              <m:sty m:val="p"/>
            </m:rPr>
            <w:rPr>
              <w:rFonts w:ascii="Cambria Math" w:hAnsi="Cambria Math" w:cs="Times New Roman"/>
              <w:sz w:val="22"/>
              <w:szCs w:val="22"/>
            </w:rPr>
            <m:t xml:space="preserve"> =</m:t>
          </m:r>
          <m:f>
            <m:fPr>
              <m:ctrlPr>
                <w:rPr>
                  <w:rFonts w:ascii="Cambria Math" w:hAnsi="Cambria Math" w:cs="Times New Roman"/>
                  <w:iCs/>
                  <w:sz w:val="22"/>
                  <w:szCs w:val="22"/>
                </w:rPr>
              </m:ctrlPr>
            </m:fPr>
            <m:num>
              <m:r>
                <m:rPr>
                  <m:sty m:val="p"/>
                </m:rPr>
                <w:rPr>
                  <w:rFonts w:ascii="Cambria Math" w:hAnsi="Cambria Math" w:cs="Times New Roman"/>
                  <w:sz w:val="22"/>
                  <w:szCs w:val="22"/>
                </w:rPr>
                <m:t xml:space="preserve">No. of hills showing sheath blight symptoms   </m:t>
              </m:r>
            </m:num>
            <m:den>
              <m:r>
                <m:rPr>
                  <m:sty m:val="p"/>
                </m:rPr>
                <w:rPr>
                  <w:rFonts w:ascii="Cambria Math" w:hAnsi="Cambria Math" w:cs="Times New Roman"/>
                  <w:sz w:val="22"/>
                  <w:szCs w:val="22"/>
                </w:rPr>
                <m:t>Total no. of hills observed</m:t>
              </m:r>
            </m:den>
          </m:f>
          <m:r>
            <w:rPr>
              <w:rFonts w:ascii="Cambria Math" w:hAnsi="Cambria Math" w:cs="Times New Roman"/>
              <w:sz w:val="22"/>
              <w:szCs w:val="22"/>
            </w:rPr>
            <m:t xml:space="preserve">  </m:t>
          </m:r>
          <m:r>
            <m:rPr>
              <m:sty m:val="p"/>
            </m:rPr>
            <w:rPr>
              <w:rFonts w:ascii="Cambria Math" w:hAnsi="Cambria Math" w:cs="Times New Roman"/>
              <w:sz w:val="22"/>
              <w:szCs w:val="22"/>
            </w:rPr>
            <m:t>X</m:t>
          </m:r>
          <m:r>
            <w:rPr>
              <w:rFonts w:ascii="Cambria Math" w:hAnsi="Cambria Math" w:cs="Times New Roman"/>
              <w:sz w:val="22"/>
              <w:szCs w:val="22"/>
            </w:rPr>
            <m:t xml:space="preserve"> 100</m:t>
          </m:r>
        </m:oMath>
      </m:oMathPara>
    </w:p>
    <w:p w14:paraId="15E89E95" w14:textId="7BDF43F6" w:rsidR="00CD6F8C" w:rsidRDefault="00CC0E24" w:rsidP="00CF1EDC">
      <w:pPr>
        <w:spacing w:line="480" w:lineRule="auto"/>
        <w:jc w:val="both"/>
        <w:rPr>
          <w:rFonts w:ascii="Times New Roman" w:hAnsi="Times New Roman" w:cs="Times New Roman"/>
        </w:rPr>
      </w:pPr>
      <w:r>
        <w:rPr>
          <w:rFonts w:ascii="Times New Roman" w:hAnsi="Times New Roman" w:cs="Times New Roman"/>
        </w:rPr>
        <w:t>The disease severity was estimated as plan tissue damaged by sheath blight symptom</w:t>
      </w:r>
      <w:r w:rsidR="00890EF7">
        <w:rPr>
          <w:rFonts w:ascii="Times New Roman" w:hAnsi="Times New Roman" w:cs="Times New Roman"/>
        </w:rPr>
        <w:t xml:space="preserve">s to the total area observed and expressed as percentage. </w:t>
      </w:r>
      <w:r w:rsidR="00CD6F8C">
        <w:rPr>
          <w:rFonts w:ascii="Times New Roman" w:hAnsi="Times New Roman" w:cs="Times New Roman"/>
        </w:rPr>
        <w:t>Data on y</w:t>
      </w:r>
      <w:r w:rsidR="00CF1EDC" w:rsidRPr="00913270">
        <w:rPr>
          <w:rFonts w:ascii="Times New Roman" w:hAnsi="Times New Roman" w:cs="Times New Roman"/>
        </w:rPr>
        <w:t>ield</w:t>
      </w:r>
      <w:r w:rsidR="00CD6F8C">
        <w:rPr>
          <w:rFonts w:ascii="Times New Roman" w:hAnsi="Times New Roman" w:cs="Times New Roman"/>
        </w:rPr>
        <w:t xml:space="preserve"> </w:t>
      </w:r>
      <w:r w:rsidR="00CF1EDC">
        <w:rPr>
          <w:rFonts w:ascii="Times New Roman" w:hAnsi="Times New Roman" w:cs="Times New Roman"/>
        </w:rPr>
        <w:t xml:space="preserve">from each treatment </w:t>
      </w:r>
      <w:r w:rsidR="00CD6F8C">
        <w:rPr>
          <w:rFonts w:ascii="Times New Roman" w:hAnsi="Times New Roman" w:cs="Times New Roman"/>
        </w:rPr>
        <w:t xml:space="preserve">was recorded </w:t>
      </w:r>
      <w:r w:rsidR="00CF1EDC">
        <w:rPr>
          <w:rFonts w:ascii="Times New Roman" w:hAnsi="Times New Roman" w:cs="Times New Roman"/>
        </w:rPr>
        <w:t xml:space="preserve">and </w:t>
      </w:r>
      <w:r w:rsidR="00CD6F8C">
        <w:rPr>
          <w:rFonts w:ascii="Times New Roman" w:hAnsi="Times New Roman" w:cs="Times New Roman"/>
        </w:rPr>
        <w:t xml:space="preserve">cost </w:t>
      </w:r>
      <w:r w:rsidR="00CF1EDC">
        <w:rPr>
          <w:rFonts w:ascii="Times New Roman" w:hAnsi="Times New Roman" w:cs="Times New Roman"/>
        </w:rPr>
        <w:t xml:space="preserve">economic </w:t>
      </w:r>
      <w:r w:rsidR="00CD6F8C">
        <w:rPr>
          <w:rFonts w:ascii="Times New Roman" w:hAnsi="Times New Roman" w:cs="Times New Roman"/>
        </w:rPr>
        <w:t>particulars viz.,</w:t>
      </w:r>
      <w:r w:rsidR="00CF1EDC">
        <w:rPr>
          <w:rFonts w:ascii="Times New Roman" w:hAnsi="Times New Roman" w:cs="Times New Roman"/>
        </w:rPr>
        <w:t xml:space="preserve"> </w:t>
      </w:r>
      <w:r w:rsidR="00CF1EDC" w:rsidRPr="00913270">
        <w:rPr>
          <w:rFonts w:ascii="Times New Roman" w:hAnsi="Times New Roman" w:cs="Times New Roman"/>
        </w:rPr>
        <w:t>cost of cultivation, gross</w:t>
      </w:r>
      <w:r w:rsidR="00CD6F8C">
        <w:rPr>
          <w:rFonts w:ascii="Times New Roman" w:hAnsi="Times New Roman" w:cs="Times New Roman"/>
        </w:rPr>
        <w:t xml:space="preserve"> returns, </w:t>
      </w:r>
      <w:r w:rsidR="00CF1EDC" w:rsidRPr="00913270">
        <w:rPr>
          <w:rFonts w:ascii="Times New Roman" w:hAnsi="Times New Roman" w:cs="Times New Roman"/>
        </w:rPr>
        <w:t>net returns</w:t>
      </w:r>
      <w:r w:rsidR="00CD6F8C">
        <w:rPr>
          <w:rFonts w:ascii="Times New Roman" w:hAnsi="Times New Roman" w:cs="Times New Roman"/>
        </w:rPr>
        <w:t xml:space="preserve"> and </w:t>
      </w:r>
      <w:r w:rsidR="00CF1EDC" w:rsidRPr="00913270">
        <w:rPr>
          <w:rFonts w:ascii="Times New Roman" w:hAnsi="Times New Roman" w:cs="Times New Roman"/>
        </w:rPr>
        <w:t xml:space="preserve">benefit cost </w:t>
      </w:r>
      <w:r w:rsidR="00CF1EDC">
        <w:rPr>
          <w:rFonts w:ascii="Times New Roman" w:hAnsi="Times New Roman" w:cs="Times New Roman"/>
        </w:rPr>
        <w:t xml:space="preserve">(B:C) </w:t>
      </w:r>
      <w:r w:rsidR="00CF1EDC" w:rsidRPr="00913270">
        <w:rPr>
          <w:rFonts w:ascii="Times New Roman" w:hAnsi="Times New Roman" w:cs="Times New Roman"/>
        </w:rPr>
        <w:t>ratio were tabulated.</w:t>
      </w:r>
      <w:r w:rsidR="00CD6F8C">
        <w:rPr>
          <w:rFonts w:ascii="Times New Roman" w:hAnsi="Times New Roman" w:cs="Times New Roman"/>
        </w:rPr>
        <w:t xml:space="preserve"> Per cent yield gain was calculated using the formula</w:t>
      </w:r>
    </w:p>
    <w:p w14:paraId="47E653DA" w14:textId="70F09BB1" w:rsidR="00CF1EDC" w:rsidRPr="00CD6F8C" w:rsidRDefault="00CD6F8C" w:rsidP="00CF1EDC">
      <w:pPr>
        <w:spacing w:line="480" w:lineRule="auto"/>
        <w:jc w:val="both"/>
        <w:rPr>
          <w:rFonts w:ascii="Times New Roman" w:eastAsiaTheme="minorEastAsia" w:hAnsi="Times New Roman" w:cs="Times New Roman"/>
        </w:rPr>
      </w:pPr>
      <m:oMath>
        <m:r>
          <m:rPr>
            <m:sty m:val="p"/>
          </m:rPr>
          <w:rPr>
            <w:rFonts w:ascii="Cambria Math" w:hAnsi="Cambria Math" w:cs="Times New Roman"/>
          </w:rPr>
          <m:t xml:space="preserve">Per cent increase in yield  </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 xml:space="preserve"> =</m:t>
        </m:r>
        <m:f>
          <m:fPr>
            <m:ctrlPr>
              <w:rPr>
                <w:rFonts w:ascii="Cambria Math" w:hAnsi="Cambria Math" w:cs="Times New Roman"/>
                <w:iCs/>
              </w:rPr>
            </m:ctrlPr>
          </m:fPr>
          <m:num>
            <m:r>
              <m:rPr>
                <m:sty m:val="p"/>
              </m:rPr>
              <w:rPr>
                <w:rFonts w:ascii="Cambria Math" w:hAnsi="Cambria Math" w:cs="Times New Roman"/>
              </w:rPr>
              <m:t xml:space="preserve">Yield in treated plot-Yield in farmer practice  </m:t>
            </m:r>
          </m:num>
          <m:den>
            <m:r>
              <m:rPr>
                <m:sty m:val="p"/>
              </m:rPr>
              <w:rPr>
                <w:rFonts w:ascii="Cambria Math" w:hAnsi="Cambria Math" w:cs="Times New Roman"/>
              </w:rPr>
              <m:t>Yield in farmers practice</m:t>
            </m:r>
          </m:den>
        </m:f>
        <m:r>
          <w:rPr>
            <w:rFonts w:ascii="Cambria Math" w:hAnsi="Cambria Math" w:cs="Times New Roman"/>
          </w:rPr>
          <m:t xml:space="preserve">  </m:t>
        </m:r>
        <m:r>
          <m:rPr>
            <m:sty m:val="p"/>
          </m:rPr>
          <w:rPr>
            <w:rFonts w:ascii="Cambria Math" w:hAnsi="Cambria Math" w:cs="Times New Roman"/>
          </w:rPr>
          <m:t>X</m:t>
        </m:r>
        <m:r>
          <w:rPr>
            <w:rFonts w:ascii="Cambria Math" w:hAnsi="Cambria Math" w:cs="Times New Roman"/>
          </w:rPr>
          <m:t xml:space="preserve"> 100</m:t>
        </m:r>
      </m:oMath>
      <w:r>
        <w:rPr>
          <w:rFonts w:ascii="Times New Roman" w:hAnsi="Times New Roman" w:cs="Times New Roman"/>
        </w:rPr>
        <w:t xml:space="preserve"> </w:t>
      </w:r>
    </w:p>
    <w:p w14:paraId="5F1D2627" w14:textId="242AD5C6" w:rsidR="00CF1EDC" w:rsidRDefault="00723027" w:rsidP="00CF1EDC">
      <w:pPr>
        <w:spacing w:line="480" w:lineRule="auto"/>
        <w:jc w:val="both"/>
        <w:rPr>
          <w:rFonts w:ascii="Times New Roman" w:hAnsi="Times New Roman" w:cs="Times New Roman"/>
          <w:b/>
          <w:bCs/>
        </w:rPr>
      </w:pPr>
      <w:r>
        <w:rPr>
          <w:rFonts w:ascii="Times New Roman" w:hAnsi="Times New Roman" w:cs="Times New Roman"/>
          <w:b/>
          <w:bCs/>
        </w:rPr>
        <w:t>RESULTS AND DISCUSSION</w:t>
      </w:r>
    </w:p>
    <w:p w14:paraId="7A4DF9F3" w14:textId="77777777" w:rsidR="00C1545D" w:rsidRDefault="00075F27" w:rsidP="00CF1EDC">
      <w:pPr>
        <w:spacing w:line="480" w:lineRule="auto"/>
        <w:jc w:val="both"/>
        <w:rPr>
          <w:rFonts w:ascii="Times New Roman" w:hAnsi="Times New Roman" w:cs="Times New Roman"/>
          <w:b/>
          <w:bCs/>
        </w:rPr>
      </w:pPr>
      <w:r w:rsidRPr="005A3057">
        <w:rPr>
          <w:rFonts w:ascii="Times New Roman" w:hAnsi="Times New Roman" w:cs="Times New Roman"/>
          <w:b/>
          <w:bCs/>
        </w:rPr>
        <w:t xml:space="preserve">Effect of </w:t>
      </w:r>
      <w:r>
        <w:rPr>
          <w:rFonts w:ascii="Times New Roman" w:hAnsi="Times New Roman" w:cs="Times New Roman"/>
          <w:b/>
          <w:bCs/>
        </w:rPr>
        <w:t>integrated disease management practices</w:t>
      </w:r>
      <w:r w:rsidRPr="005A3057">
        <w:rPr>
          <w:rFonts w:ascii="Times New Roman" w:hAnsi="Times New Roman" w:cs="Times New Roman"/>
          <w:b/>
          <w:bCs/>
        </w:rPr>
        <w:t xml:space="preserve"> </w:t>
      </w:r>
      <w:r>
        <w:rPr>
          <w:rFonts w:ascii="Times New Roman" w:hAnsi="Times New Roman" w:cs="Times New Roman"/>
          <w:b/>
          <w:bCs/>
        </w:rPr>
        <w:t xml:space="preserve">(IDM) </w:t>
      </w:r>
      <w:r w:rsidRPr="005A3057">
        <w:rPr>
          <w:rFonts w:ascii="Times New Roman" w:hAnsi="Times New Roman" w:cs="Times New Roman"/>
          <w:b/>
          <w:bCs/>
        </w:rPr>
        <w:t xml:space="preserve">on </w:t>
      </w:r>
      <w:r>
        <w:rPr>
          <w:rFonts w:ascii="Times New Roman" w:hAnsi="Times New Roman" w:cs="Times New Roman"/>
          <w:b/>
          <w:bCs/>
        </w:rPr>
        <w:t>per cent disease incidence and severity</w:t>
      </w:r>
      <w:r w:rsidRPr="005A3057">
        <w:rPr>
          <w:rFonts w:ascii="Times New Roman" w:hAnsi="Times New Roman" w:cs="Times New Roman"/>
          <w:b/>
          <w:bCs/>
        </w:rPr>
        <w:t>:</w:t>
      </w:r>
      <w:r>
        <w:rPr>
          <w:rFonts w:ascii="Times New Roman" w:hAnsi="Times New Roman" w:cs="Times New Roman"/>
          <w:b/>
          <w:bCs/>
        </w:rPr>
        <w:t xml:space="preserve"> </w:t>
      </w:r>
    </w:p>
    <w:p w14:paraId="1A6FA8E5" w14:textId="46104C5A" w:rsidR="00220979" w:rsidRDefault="00D43554" w:rsidP="00CF1EDC">
      <w:pPr>
        <w:spacing w:line="480" w:lineRule="auto"/>
        <w:jc w:val="both"/>
        <w:rPr>
          <w:rFonts w:ascii="Times New Roman" w:hAnsi="Times New Roman" w:cs="Times New Roman"/>
        </w:rPr>
      </w:pPr>
      <w:r w:rsidRPr="00D43554">
        <w:rPr>
          <w:rFonts w:ascii="Times New Roman" w:hAnsi="Times New Roman" w:cs="Times New Roman"/>
        </w:rPr>
        <w:t xml:space="preserve">The results from the present study indicated that the adoption of Integrated Disease </w:t>
      </w:r>
      <w:r w:rsidR="00692E73">
        <w:rPr>
          <w:rFonts w:ascii="Times New Roman" w:hAnsi="Times New Roman" w:cs="Times New Roman"/>
        </w:rPr>
        <w:t>M</w:t>
      </w:r>
      <w:r w:rsidRPr="00D43554">
        <w:rPr>
          <w:rFonts w:ascii="Times New Roman" w:hAnsi="Times New Roman" w:cs="Times New Roman"/>
        </w:rPr>
        <w:t xml:space="preserve">anagement (IDM) practices </w:t>
      </w:r>
      <w:r w:rsidR="00692E73">
        <w:rPr>
          <w:rFonts w:ascii="Times New Roman" w:hAnsi="Times New Roman" w:cs="Times New Roman"/>
        </w:rPr>
        <w:t xml:space="preserve">for sheath blight disease in paddy </w:t>
      </w:r>
      <w:r w:rsidR="00157FA4">
        <w:rPr>
          <w:rFonts w:ascii="Times New Roman" w:hAnsi="Times New Roman" w:cs="Times New Roman"/>
        </w:rPr>
        <w:t>resulted in significantly lower per cent disease incidence when compared to farmers practice. The mean per cent incidence of sheath blight in IDM treated plot, chemical-based management plot and farmers practice was found to be 11.14, 19.9 and 26.2 per cent with 57.4 and 24.1 per cent reduction of disease incidence over farmer practice, respectively</w:t>
      </w:r>
      <w:r w:rsidR="005A3057">
        <w:rPr>
          <w:rFonts w:ascii="Times New Roman" w:hAnsi="Times New Roman" w:cs="Times New Roman"/>
        </w:rPr>
        <w:t xml:space="preserve"> (Table 1)</w:t>
      </w:r>
      <w:r w:rsidR="00157FA4">
        <w:rPr>
          <w:rFonts w:ascii="Times New Roman" w:hAnsi="Times New Roman" w:cs="Times New Roman"/>
        </w:rPr>
        <w:t xml:space="preserve">. </w:t>
      </w:r>
      <w:r w:rsidR="000C45FA">
        <w:rPr>
          <w:rFonts w:ascii="Times New Roman" w:hAnsi="Times New Roman" w:cs="Times New Roman"/>
        </w:rPr>
        <w:t xml:space="preserve"> </w:t>
      </w:r>
      <w:r w:rsidR="00220979">
        <w:rPr>
          <w:rFonts w:ascii="Times New Roman" w:hAnsi="Times New Roman" w:cs="Times New Roman"/>
        </w:rPr>
        <w:t xml:space="preserve">The per cent disease severity in IDM treated plot observed to be 13.8 per cent, when compared to chemical-based management (19.1 per cent) plot and farmers practice (28.4 per cent) with 51.4 and 32.7 per cent reduction over </w:t>
      </w:r>
      <w:r w:rsidR="00220979">
        <w:rPr>
          <w:rFonts w:ascii="Times New Roman" w:hAnsi="Times New Roman" w:cs="Times New Roman"/>
        </w:rPr>
        <w:lastRenderedPageBreak/>
        <w:t>control, respectively. From the present study, it can be concluded that maintenance of optimum plant population with adequate supply of light and air, judicious use of nitrogenous fertilizers has resulted in observance of lowest per cent disease incidence and disease severity of sheath blight in paddy, while, more dense population in the farmers practice might alter the microclima</w:t>
      </w:r>
      <w:r w:rsidR="00E829AB">
        <w:rPr>
          <w:rFonts w:ascii="Times New Roman" w:hAnsi="Times New Roman" w:cs="Times New Roman"/>
        </w:rPr>
        <w:t>t</w:t>
      </w:r>
      <w:r w:rsidR="00220979">
        <w:rPr>
          <w:rFonts w:ascii="Times New Roman" w:hAnsi="Times New Roman" w:cs="Times New Roman"/>
        </w:rPr>
        <w:t>e within resulting in highes</w:t>
      </w:r>
      <w:r w:rsidR="00E829AB">
        <w:rPr>
          <w:rFonts w:ascii="Times New Roman" w:hAnsi="Times New Roman" w:cs="Times New Roman"/>
        </w:rPr>
        <w:t>t</w:t>
      </w:r>
      <w:r w:rsidR="00220979">
        <w:rPr>
          <w:rFonts w:ascii="Times New Roman" w:hAnsi="Times New Roman" w:cs="Times New Roman"/>
        </w:rPr>
        <w:t xml:space="preserve"> per cent disease incidence. </w:t>
      </w:r>
    </w:p>
    <w:p w14:paraId="359ABE6F" w14:textId="7A58C182" w:rsidR="005A3057" w:rsidRPr="005A3057" w:rsidRDefault="005A3057" w:rsidP="00CF1EDC">
      <w:pPr>
        <w:spacing w:line="480" w:lineRule="auto"/>
        <w:jc w:val="both"/>
        <w:rPr>
          <w:rFonts w:ascii="Times New Roman" w:hAnsi="Times New Roman" w:cs="Times New Roman"/>
        </w:rPr>
      </w:pPr>
      <w:r w:rsidRPr="005A3057">
        <w:rPr>
          <w:rFonts w:ascii="Times New Roman" w:hAnsi="Times New Roman" w:cs="Times New Roman"/>
          <w:b/>
          <w:bCs/>
        </w:rPr>
        <w:t xml:space="preserve">Effect of </w:t>
      </w:r>
      <w:r w:rsidR="00075F27">
        <w:rPr>
          <w:rFonts w:ascii="Times New Roman" w:hAnsi="Times New Roman" w:cs="Times New Roman"/>
          <w:b/>
          <w:bCs/>
        </w:rPr>
        <w:t>integrated disease management practices</w:t>
      </w:r>
      <w:r w:rsidRPr="005A3057">
        <w:rPr>
          <w:rFonts w:ascii="Times New Roman" w:hAnsi="Times New Roman" w:cs="Times New Roman"/>
          <w:b/>
          <w:bCs/>
        </w:rPr>
        <w:t xml:space="preserve"> </w:t>
      </w:r>
      <w:r w:rsidR="00075F27">
        <w:rPr>
          <w:rFonts w:ascii="Times New Roman" w:hAnsi="Times New Roman" w:cs="Times New Roman"/>
          <w:b/>
          <w:bCs/>
        </w:rPr>
        <w:t xml:space="preserve">(IDM) </w:t>
      </w:r>
      <w:r w:rsidRPr="005A3057">
        <w:rPr>
          <w:rFonts w:ascii="Times New Roman" w:hAnsi="Times New Roman" w:cs="Times New Roman"/>
          <w:b/>
          <w:bCs/>
        </w:rPr>
        <w:t>on paddy growth parameters:</w:t>
      </w:r>
      <w:r>
        <w:rPr>
          <w:rFonts w:ascii="Times New Roman" w:hAnsi="Times New Roman" w:cs="Times New Roman"/>
          <w:b/>
          <w:bCs/>
        </w:rPr>
        <w:t xml:space="preserve"> </w:t>
      </w:r>
      <w:r w:rsidR="00587E4E">
        <w:rPr>
          <w:rFonts w:ascii="Times New Roman" w:hAnsi="Times New Roman" w:cs="Times New Roman"/>
        </w:rPr>
        <w:t>I</w:t>
      </w:r>
      <w:r w:rsidR="00587E4E" w:rsidRPr="00587E4E">
        <w:rPr>
          <w:rFonts w:ascii="Times New Roman" w:hAnsi="Times New Roman" w:cs="Times New Roman"/>
        </w:rPr>
        <w:t xml:space="preserve">n </w:t>
      </w:r>
      <w:r w:rsidR="00ED156C">
        <w:rPr>
          <w:rFonts w:ascii="Times New Roman" w:hAnsi="Times New Roman" w:cs="Times New Roman"/>
        </w:rPr>
        <w:t>IDM treated plot,</w:t>
      </w:r>
      <w:r w:rsidR="00587E4E">
        <w:rPr>
          <w:rFonts w:ascii="Times New Roman" w:hAnsi="Times New Roman" w:cs="Times New Roman"/>
        </w:rPr>
        <w:t xml:space="preserve"> </w:t>
      </w:r>
      <w:r w:rsidR="00ED156C">
        <w:rPr>
          <w:rFonts w:ascii="Times New Roman" w:hAnsi="Times New Roman" w:cs="Times New Roman"/>
        </w:rPr>
        <w:t xml:space="preserve">farmer adopted </w:t>
      </w:r>
      <w:proofErr w:type="spellStart"/>
      <w:r w:rsidR="00587E4E">
        <w:rPr>
          <w:rFonts w:ascii="Times New Roman" w:hAnsi="Times New Roman" w:cs="Times New Roman"/>
        </w:rPr>
        <w:t>bengal</w:t>
      </w:r>
      <w:proofErr w:type="spellEnd"/>
      <w:r w:rsidR="00587E4E">
        <w:rPr>
          <w:rFonts w:ascii="Times New Roman" w:hAnsi="Times New Roman" w:cs="Times New Roman"/>
        </w:rPr>
        <w:t xml:space="preserve"> method of plantings in paddy, where an average of 18-20 no. </w:t>
      </w:r>
      <w:r w:rsidR="00ED156C">
        <w:rPr>
          <w:rFonts w:ascii="Times New Roman" w:hAnsi="Times New Roman" w:cs="Times New Roman"/>
        </w:rPr>
        <w:t>of tillers</w:t>
      </w:r>
      <w:r w:rsidR="00587E4E">
        <w:rPr>
          <w:rFonts w:ascii="Times New Roman" w:hAnsi="Times New Roman" w:cs="Times New Roman"/>
        </w:rPr>
        <w:t xml:space="preserve"> </w:t>
      </w:r>
      <w:r w:rsidR="00ED156C">
        <w:rPr>
          <w:rFonts w:ascii="Times New Roman" w:hAnsi="Times New Roman" w:cs="Times New Roman"/>
        </w:rPr>
        <w:t>is</w:t>
      </w:r>
      <w:r w:rsidR="00587E4E">
        <w:rPr>
          <w:rFonts w:ascii="Times New Roman" w:hAnsi="Times New Roman" w:cs="Times New Roman"/>
        </w:rPr>
        <w:t xml:space="preserve"> planted per </w:t>
      </w:r>
      <w:proofErr w:type="spellStart"/>
      <w:r w:rsidR="00587E4E">
        <w:rPr>
          <w:rFonts w:ascii="Times New Roman" w:hAnsi="Times New Roman" w:cs="Times New Roman"/>
        </w:rPr>
        <w:t>sq.m</w:t>
      </w:r>
      <w:proofErr w:type="spellEnd"/>
      <w:r w:rsidR="00587E4E">
        <w:rPr>
          <w:rFonts w:ascii="Times New Roman" w:hAnsi="Times New Roman" w:cs="Times New Roman"/>
        </w:rPr>
        <w:t xml:space="preserve"> area</w:t>
      </w:r>
      <w:r w:rsidR="00ED156C">
        <w:rPr>
          <w:rFonts w:ascii="Times New Roman" w:hAnsi="Times New Roman" w:cs="Times New Roman"/>
        </w:rPr>
        <w:t xml:space="preserve">, while in farmers practice, transplanting was taken up involving local labour resulting in planting of more no. of hills per </w:t>
      </w:r>
      <w:proofErr w:type="spellStart"/>
      <w:r w:rsidR="00ED156C">
        <w:rPr>
          <w:rFonts w:ascii="Times New Roman" w:hAnsi="Times New Roman" w:cs="Times New Roman"/>
        </w:rPr>
        <w:t>sq.m</w:t>
      </w:r>
      <w:proofErr w:type="spellEnd"/>
      <w:r w:rsidR="00ED156C">
        <w:rPr>
          <w:rFonts w:ascii="Times New Roman" w:hAnsi="Times New Roman" w:cs="Times New Roman"/>
        </w:rPr>
        <w:t xml:space="preserve"> when compared to IDM treated plot. </w:t>
      </w:r>
      <w:r>
        <w:rPr>
          <w:rFonts w:ascii="Times New Roman" w:hAnsi="Times New Roman" w:cs="Times New Roman"/>
        </w:rPr>
        <w:t xml:space="preserve">The results clearly indicated that indiscriminate application of fertilizers in farmers practice has </w:t>
      </w:r>
      <w:proofErr w:type="spellStart"/>
      <w:r>
        <w:rPr>
          <w:rFonts w:ascii="Times New Roman" w:hAnsi="Times New Roman" w:cs="Times New Roman"/>
        </w:rPr>
        <w:t>lead</w:t>
      </w:r>
      <w:proofErr w:type="spellEnd"/>
      <w:r>
        <w:rPr>
          <w:rFonts w:ascii="Times New Roman" w:hAnsi="Times New Roman" w:cs="Times New Roman"/>
        </w:rPr>
        <w:t xml:space="preserve"> to increased plant height (146.5 cm) when compared to IDM practiced plot (128.4 cm) and chemical based management plot (137.3 cm), which can be attributed to the fact that judicial use of nitrogenous fertilizers and timely application in IDM treated plot has resulted in healthy plant growth with more no. of </w:t>
      </w:r>
      <w:r w:rsidR="00587E4E">
        <w:rPr>
          <w:rFonts w:ascii="Times New Roman" w:hAnsi="Times New Roman" w:cs="Times New Roman"/>
        </w:rPr>
        <w:t xml:space="preserve">effective </w:t>
      </w:r>
      <w:r>
        <w:rPr>
          <w:rFonts w:ascii="Times New Roman" w:hAnsi="Times New Roman" w:cs="Times New Roman"/>
        </w:rPr>
        <w:t xml:space="preserve">tillers per hill </w:t>
      </w:r>
      <w:r w:rsidR="00587E4E">
        <w:rPr>
          <w:rFonts w:ascii="Times New Roman" w:hAnsi="Times New Roman" w:cs="Times New Roman"/>
        </w:rPr>
        <w:t>with</w:t>
      </w:r>
      <w:r>
        <w:rPr>
          <w:rFonts w:ascii="Times New Roman" w:hAnsi="Times New Roman" w:cs="Times New Roman"/>
        </w:rPr>
        <w:t xml:space="preserve"> more no. of panicles per hill</w:t>
      </w:r>
      <w:r w:rsidR="00587E4E">
        <w:rPr>
          <w:rFonts w:ascii="Times New Roman" w:hAnsi="Times New Roman" w:cs="Times New Roman"/>
        </w:rPr>
        <w:t xml:space="preserve"> (Table 2). The results are in accordance with findings of many of the authors where biocontrol agents not only are effective against sheath blight disease, instead they also help in increasing he plant growth (Pal and Mandal, 2025).</w:t>
      </w:r>
    </w:p>
    <w:p w14:paraId="281C1B44" w14:textId="448911F1" w:rsidR="00C1545D" w:rsidRDefault="00C1545D" w:rsidP="00CF1EDC">
      <w:pPr>
        <w:spacing w:line="480" w:lineRule="auto"/>
        <w:jc w:val="both"/>
        <w:rPr>
          <w:rFonts w:ascii="Times New Roman" w:hAnsi="Times New Roman" w:cs="Times New Roman"/>
          <w:b/>
          <w:bCs/>
        </w:rPr>
      </w:pPr>
      <w:r w:rsidRPr="005A3057">
        <w:rPr>
          <w:rFonts w:ascii="Times New Roman" w:hAnsi="Times New Roman" w:cs="Times New Roman"/>
          <w:b/>
          <w:bCs/>
        </w:rPr>
        <w:t xml:space="preserve">Effect of </w:t>
      </w:r>
      <w:r>
        <w:rPr>
          <w:rFonts w:ascii="Times New Roman" w:hAnsi="Times New Roman" w:cs="Times New Roman"/>
          <w:b/>
          <w:bCs/>
        </w:rPr>
        <w:t>integrated disease management practices</w:t>
      </w:r>
      <w:r w:rsidRPr="005A3057">
        <w:rPr>
          <w:rFonts w:ascii="Times New Roman" w:hAnsi="Times New Roman" w:cs="Times New Roman"/>
          <w:b/>
          <w:bCs/>
        </w:rPr>
        <w:t xml:space="preserve"> </w:t>
      </w:r>
      <w:r>
        <w:rPr>
          <w:rFonts w:ascii="Times New Roman" w:hAnsi="Times New Roman" w:cs="Times New Roman"/>
          <w:b/>
          <w:bCs/>
        </w:rPr>
        <w:t xml:space="preserve">(IDM) </w:t>
      </w:r>
      <w:r w:rsidRPr="005A3057">
        <w:rPr>
          <w:rFonts w:ascii="Times New Roman" w:hAnsi="Times New Roman" w:cs="Times New Roman"/>
          <w:b/>
          <w:bCs/>
        </w:rPr>
        <w:t xml:space="preserve">on </w:t>
      </w:r>
      <w:r>
        <w:rPr>
          <w:rFonts w:ascii="Times New Roman" w:hAnsi="Times New Roman" w:cs="Times New Roman"/>
          <w:b/>
          <w:bCs/>
        </w:rPr>
        <w:t>yield and cost economics</w:t>
      </w:r>
    </w:p>
    <w:p w14:paraId="283C9878" w14:textId="42F2B9B2" w:rsidR="0038153B" w:rsidRDefault="00C1545D" w:rsidP="00CF1EDC">
      <w:pPr>
        <w:spacing w:line="480" w:lineRule="auto"/>
        <w:jc w:val="both"/>
        <w:rPr>
          <w:rFonts w:ascii="Times New Roman" w:hAnsi="Times New Roman" w:cs="Times New Roman"/>
        </w:rPr>
      </w:pPr>
      <w:r>
        <w:rPr>
          <w:rFonts w:ascii="Times New Roman" w:hAnsi="Times New Roman" w:cs="Times New Roman"/>
        </w:rPr>
        <w:t xml:space="preserve"> </w:t>
      </w:r>
      <w:r w:rsidR="00D53F03">
        <w:rPr>
          <w:rFonts w:ascii="Times New Roman" w:hAnsi="Times New Roman" w:cs="Times New Roman"/>
        </w:rPr>
        <w:t>The IDM treated plots recorded highest yield of 63.13 q ha</w:t>
      </w:r>
      <w:r w:rsidR="00D53F03" w:rsidRPr="00D53F03">
        <w:rPr>
          <w:rFonts w:ascii="Times New Roman" w:hAnsi="Times New Roman" w:cs="Times New Roman"/>
          <w:vertAlign w:val="superscript"/>
        </w:rPr>
        <w:t>-1</w:t>
      </w:r>
      <w:r w:rsidR="00D53F03">
        <w:rPr>
          <w:rFonts w:ascii="Times New Roman" w:hAnsi="Times New Roman" w:cs="Times New Roman"/>
        </w:rPr>
        <w:t xml:space="preserve"> with 5.8 per cent increase in yield </w:t>
      </w:r>
      <w:r w:rsidR="00836A3B">
        <w:rPr>
          <w:rFonts w:ascii="Times New Roman" w:hAnsi="Times New Roman" w:cs="Times New Roman"/>
        </w:rPr>
        <w:t>when compared to farmers practice.</w:t>
      </w:r>
      <w:r w:rsidR="00D53F03">
        <w:rPr>
          <w:rFonts w:ascii="Times New Roman" w:hAnsi="Times New Roman" w:cs="Times New Roman"/>
        </w:rPr>
        <w:t xml:space="preserve"> </w:t>
      </w:r>
      <w:r w:rsidR="00836A3B">
        <w:rPr>
          <w:rFonts w:ascii="Times New Roman" w:hAnsi="Times New Roman" w:cs="Times New Roman"/>
        </w:rPr>
        <w:t xml:space="preserve">The yields obtained in </w:t>
      </w:r>
      <w:proofErr w:type="gramStart"/>
      <w:r w:rsidR="00D53F03">
        <w:rPr>
          <w:rFonts w:ascii="Times New Roman" w:hAnsi="Times New Roman" w:cs="Times New Roman"/>
        </w:rPr>
        <w:t>chemical based</w:t>
      </w:r>
      <w:proofErr w:type="gramEnd"/>
      <w:r w:rsidR="00D53F03">
        <w:rPr>
          <w:rFonts w:ascii="Times New Roman" w:hAnsi="Times New Roman" w:cs="Times New Roman"/>
        </w:rPr>
        <w:t xml:space="preserve"> management </w:t>
      </w:r>
      <w:r w:rsidR="002C62DF">
        <w:rPr>
          <w:rFonts w:ascii="Times New Roman" w:hAnsi="Times New Roman" w:cs="Times New Roman"/>
        </w:rPr>
        <w:t xml:space="preserve">was found to </w:t>
      </w:r>
      <w:r w:rsidR="00D53F03">
        <w:rPr>
          <w:rFonts w:ascii="Times New Roman" w:hAnsi="Times New Roman" w:cs="Times New Roman"/>
        </w:rPr>
        <w:t>61.56</w:t>
      </w:r>
      <w:r w:rsidR="00D53F03" w:rsidRPr="00D53F03">
        <w:rPr>
          <w:rFonts w:ascii="Times New Roman" w:hAnsi="Times New Roman" w:cs="Times New Roman"/>
        </w:rPr>
        <w:t xml:space="preserve"> </w:t>
      </w:r>
      <w:bookmarkStart w:id="0" w:name="_Hlk213709377"/>
      <w:r w:rsidR="00D53F03">
        <w:rPr>
          <w:rFonts w:ascii="Times New Roman" w:hAnsi="Times New Roman" w:cs="Times New Roman"/>
        </w:rPr>
        <w:t>q ha</w:t>
      </w:r>
      <w:r w:rsidR="00D53F03" w:rsidRPr="00D53F03">
        <w:rPr>
          <w:rFonts w:ascii="Times New Roman" w:hAnsi="Times New Roman" w:cs="Times New Roman"/>
          <w:vertAlign w:val="superscript"/>
        </w:rPr>
        <w:t>-1</w:t>
      </w:r>
      <w:r w:rsidR="002C62DF">
        <w:rPr>
          <w:rFonts w:ascii="Times New Roman" w:hAnsi="Times New Roman" w:cs="Times New Roman"/>
          <w:vertAlign w:val="superscript"/>
        </w:rPr>
        <w:t xml:space="preserve"> </w:t>
      </w:r>
      <w:r w:rsidR="002C62DF">
        <w:rPr>
          <w:rFonts w:ascii="Times New Roman" w:hAnsi="Times New Roman" w:cs="Times New Roman"/>
        </w:rPr>
        <w:t xml:space="preserve">with 3.1 per cent </w:t>
      </w:r>
      <w:bookmarkEnd w:id="0"/>
      <w:r w:rsidR="002C62DF">
        <w:rPr>
          <w:rFonts w:ascii="Times New Roman" w:hAnsi="Times New Roman" w:cs="Times New Roman"/>
        </w:rPr>
        <w:t xml:space="preserve">increase in yield when compared to </w:t>
      </w:r>
      <w:r w:rsidR="00D53F03">
        <w:rPr>
          <w:rFonts w:ascii="Times New Roman" w:hAnsi="Times New Roman" w:cs="Times New Roman"/>
        </w:rPr>
        <w:t>farmers practice (59.68 q ha</w:t>
      </w:r>
      <w:r w:rsidR="00D53F03" w:rsidRPr="00D53F03">
        <w:rPr>
          <w:rFonts w:ascii="Times New Roman" w:hAnsi="Times New Roman" w:cs="Times New Roman"/>
          <w:vertAlign w:val="superscript"/>
        </w:rPr>
        <w:t>-1</w:t>
      </w:r>
      <w:r w:rsidR="00D53F03">
        <w:rPr>
          <w:rFonts w:ascii="Times New Roman" w:hAnsi="Times New Roman" w:cs="Times New Roman"/>
        </w:rPr>
        <w:t>)</w:t>
      </w:r>
      <w:r w:rsidR="00213B61">
        <w:rPr>
          <w:rFonts w:ascii="Times New Roman" w:hAnsi="Times New Roman" w:cs="Times New Roman"/>
        </w:rPr>
        <w:t xml:space="preserve">. </w:t>
      </w:r>
      <w:r w:rsidR="0038153B">
        <w:rPr>
          <w:rFonts w:ascii="Times New Roman" w:hAnsi="Times New Roman" w:cs="Times New Roman"/>
        </w:rPr>
        <w:t>The net returns and B:C ratio was observed to be Rs. 67719 per ha and 1.91: 1 in IDM treated plot, whereas in chemical-based management</w:t>
      </w:r>
      <w:r w:rsidR="005A3057">
        <w:rPr>
          <w:rFonts w:ascii="Times New Roman" w:hAnsi="Times New Roman" w:cs="Times New Roman"/>
        </w:rPr>
        <w:t xml:space="preserve">, </w:t>
      </w:r>
      <w:r w:rsidR="0038153B">
        <w:rPr>
          <w:rFonts w:ascii="Times New Roman" w:hAnsi="Times New Roman" w:cs="Times New Roman"/>
        </w:rPr>
        <w:t>it was found to be Rs. 60966 per ha and 1.79: 1</w:t>
      </w:r>
      <w:r w:rsidR="004C699F">
        <w:rPr>
          <w:rFonts w:ascii="Times New Roman" w:hAnsi="Times New Roman" w:cs="Times New Roman"/>
        </w:rPr>
        <w:t xml:space="preserve"> and in farmers practice it was Rs. 53309 per ha and 1.66:1. It can be concluded </w:t>
      </w:r>
      <w:r w:rsidR="004C699F">
        <w:rPr>
          <w:rFonts w:ascii="Times New Roman" w:hAnsi="Times New Roman" w:cs="Times New Roman"/>
        </w:rPr>
        <w:lastRenderedPageBreak/>
        <w:t xml:space="preserve">that by the adoption of IDM practices in management of sheath blight, extra net returns of </w:t>
      </w:r>
      <w:r w:rsidR="00213B61">
        <w:rPr>
          <w:rFonts w:ascii="Times New Roman" w:hAnsi="Times New Roman" w:cs="Times New Roman"/>
        </w:rPr>
        <w:t xml:space="preserve">                      </w:t>
      </w:r>
      <w:r w:rsidR="004C699F">
        <w:rPr>
          <w:rFonts w:ascii="Times New Roman" w:hAnsi="Times New Roman" w:cs="Times New Roman"/>
        </w:rPr>
        <w:t xml:space="preserve">Rs. 14,410 per ha can be </w:t>
      </w:r>
      <w:r w:rsidR="00D6080E">
        <w:rPr>
          <w:rFonts w:ascii="Times New Roman" w:hAnsi="Times New Roman" w:cs="Times New Roman"/>
        </w:rPr>
        <w:t>gained when compared to farmers practice</w:t>
      </w:r>
      <w:r w:rsidR="00D45790">
        <w:rPr>
          <w:rFonts w:ascii="Times New Roman" w:hAnsi="Times New Roman" w:cs="Times New Roman"/>
        </w:rPr>
        <w:t xml:space="preserve"> (Table </w:t>
      </w:r>
      <w:r w:rsidR="009D051F">
        <w:rPr>
          <w:rFonts w:ascii="Times New Roman" w:hAnsi="Times New Roman" w:cs="Times New Roman"/>
        </w:rPr>
        <w:t>3</w:t>
      </w:r>
      <w:r w:rsidR="00D45790">
        <w:rPr>
          <w:rFonts w:ascii="Times New Roman" w:hAnsi="Times New Roman" w:cs="Times New Roman"/>
        </w:rPr>
        <w:t>)</w:t>
      </w:r>
      <w:r w:rsidR="00D6080E">
        <w:rPr>
          <w:rFonts w:ascii="Times New Roman" w:hAnsi="Times New Roman" w:cs="Times New Roman"/>
        </w:rPr>
        <w:t>.</w:t>
      </w:r>
    </w:p>
    <w:p w14:paraId="0AB46633" w14:textId="3EFB06C6" w:rsidR="00D43554" w:rsidRPr="00D43554" w:rsidRDefault="000C45FA" w:rsidP="00D45790">
      <w:pPr>
        <w:spacing w:line="480" w:lineRule="auto"/>
        <w:ind w:firstLine="720"/>
        <w:jc w:val="both"/>
        <w:rPr>
          <w:rFonts w:ascii="Times New Roman" w:hAnsi="Times New Roman" w:cs="Times New Roman"/>
        </w:rPr>
      </w:pPr>
      <w:r>
        <w:rPr>
          <w:rFonts w:ascii="Times New Roman" w:hAnsi="Times New Roman" w:cs="Times New Roman"/>
        </w:rPr>
        <w:t>The results of the present study are found in accordance with the findings of Kumar et al. (2019) who reported that integration of all sheath blight management practices effectively manages sheath blight incidence in paddy</w:t>
      </w:r>
      <w:r w:rsidR="00186EBB">
        <w:rPr>
          <w:rFonts w:ascii="Times New Roman" w:hAnsi="Times New Roman" w:cs="Times New Roman"/>
        </w:rPr>
        <w:t xml:space="preserve">. Pal </w:t>
      </w:r>
      <w:r w:rsidR="00ED3ECE">
        <w:rPr>
          <w:rFonts w:ascii="Times New Roman" w:hAnsi="Times New Roman" w:cs="Times New Roman"/>
        </w:rPr>
        <w:t>and Mandal</w:t>
      </w:r>
      <w:r w:rsidR="00186EBB">
        <w:rPr>
          <w:rFonts w:ascii="Times New Roman" w:hAnsi="Times New Roman" w:cs="Times New Roman"/>
        </w:rPr>
        <w:t xml:space="preserve"> (2025) reported that balanced use of manures and fertilizers followed by minimum application of protection chemicals is recommended for efficient disease management with maximum yield.  </w:t>
      </w:r>
      <w:r w:rsidR="006A0345">
        <w:rPr>
          <w:rFonts w:ascii="Times New Roman" w:hAnsi="Times New Roman" w:cs="Times New Roman"/>
        </w:rPr>
        <w:t xml:space="preserve">Mohanty et al. (2020) observed highest mycelial growth inhibition in Tebuconazole + </w:t>
      </w:r>
      <w:proofErr w:type="spellStart"/>
      <w:r w:rsidR="006A0345">
        <w:rPr>
          <w:rFonts w:ascii="Times New Roman" w:hAnsi="Times New Roman" w:cs="Times New Roman"/>
        </w:rPr>
        <w:t>Trifloxystrobin</w:t>
      </w:r>
      <w:proofErr w:type="spellEnd"/>
      <w:r w:rsidR="006A0345">
        <w:rPr>
          <w:rFonts w:ascii="Times New Roman" w:hAnsi="Times New Roman" w:cs="Times New Roman"/>
        </w:rPr>
        <w:t xml:space="preserve"> also supports the results of the present study showing effectiveness of Tebuconazole in management of sheath blight in paddy.</w:t>
      </w:r>
      <w:r w:rsidR="00765EA9">
        <w:rPr>
          <w:rFonts w:ascii="Times New Roman" w:hAnsi="Times New Roman" w:cs="Times New Roman"/>
        </w:rPr>
        <w:t xml:space="preserve"> </w:t>
      </w:r>
      <w:r w:rsidR="00CD2700">
        <w:rPr>
          <w:rFonts w:ascii="Times New Roman" w:hAnsi="Times New Roman" w:cs="Times New Roman"/>
        </w:rPr>
        <w:t xml:space="preserve">Pal and Mandal (2024) also reported that incorporation of all IDM practices against sheath blight recorded lowest per cent disease incidence and severity with highest yield. </w:t>
      </w:r>
      <w:r w:rsidR="00765EA9">
        <w:rPr>
          <w:rFonts w:ascii="Times New Roman" w:hAnsi="Times New Roman" w:cs="Times New Roman"/>
        </w:rPr>
        <w:t xml:space="preserve">The results are found in concurrence with findings of Bag et al. (2013) where </w:t>
      </w:r>
      <w:proofErr w:type="spellStart"/>
      <w:r w:rsidR="00765EA9">
        <w:rPr>
          <w:rFonts w:ascii="Times New Roman" w:hAnsi="Times New Roman" w:cs="Times New Roman"/>
        </w:rPr>
        <w:t>strobilurin</w:t>
      </w:r>
      <w:proofErr w:type="spellEnd"/>
      <w:r w:rsidR="00765EA9">
        <w:rPr>
          <w:rFonts w:ascii="Times New Roman" w:hAnsi="Times New Roman" w:cs="Times New Roman"/>
        </w:rPr>
        <w:t xml:space="preserve"> fungicides are found effective in managing sheath blight disease in paddy and also further spread of the pathogen when used alone or as combination with triazole fungicides. </w:t>
      </w:r>
      <w:r w:rsidR="00036CBE">
        <w:rPr>
          <w:rFonts w:ascii="Times New Roman" w:hAnsi="Times New Roman" w:cs="Times New Roman"/>
        </w:rPr>
        <w:t xml:space="preserve">The </w:t>
      </w:r>
      <w:r w:rsidR="005D31D6">
        <w:rPr>
          <w:rFonts w:ascii="Times New Roman" w:hAnsi="Times New Roman" w:cs="Times New Roman"/>
        </w:rPr>
        <w:t xml:space="preserve">minimization of sheath blight incidence and severity might also be one of the reasons for obtaining highest grain yield in IDM treated plots as against </w:t>
      </w:r>
      <w:proofErr w:type="gramStart"/>
      <w:r w:rsidR="005D31D6">
        <w:rPr>
          <w:rFonts w:ascii="Times New Roman" w:hAnsi="Times New Roman" w:cs="Times New Roman"/>
        </w:rPr>
        <w:t>chemical based</w:t>
      </w:r>
      <w:proofErr w:type="gramEnd"/>
      <w:r w:rsidR="005D31D6">
        <w:rPr>
          <w:rFonts w:ascii="Times New Roman" w:hAnsi="Times New Roman" w:cs="Times New Roman"/>
        </w:rPr>
        <w:t xml:space="preserve"> plot and farmers practice (Prasad </w:t>
      </w:r>
      <w:r w:rsidR="005D31D6" w:rsidRPr="005D31D6">
        <w:rPr>
          <w:rFonts w:ascii="Times New Roman" w:hAnsi="Times New Roman" w:cs="Times New Roman"/>
          <w:i/>
          <w:iCs/>
        </w:rPr>
        <w:t>et al</w:t>
      </w:r>
      <w:r w:rsidR="005D31D6">
        <w:rPr>
          <w:rFonts w:ascii="Times New Roman" w:hAnsi="Times New Roman" w:cs="Times New Roman"/>
        </w:rPr>
        <w:t>., 2019).</w:t>
      </w:r>
      <w:r w:rsidR="00F666C0">
        <w:rPr>
          <w:rFonts w:ascii="Times New Roman" w:hAnsi="Times New Roman" w:cs="Times New Roman"/>
        </w:rPr>
        <w:t xml:space="preserve"> The findings from the present study gains support from the </w:t>
      </w:r>
      <w:r w:rsidR="00F63F93">
        <w:rPr>
          <w:rFonts w:ascii="Times New Roman" w:hAnsi="Times New Roman" w:cs="Times New Roman"/>
        </w:rPr>
        <w:t>results of</w:t>
      </w:r>
      <w:r w:rsidR="00F666C0">
        <w:rPr>
          <w:rFonts w:ascii="Times New Roman" w:hAnsi="Times New Roman" w:cs="Times New Roman"/>
        </w:rPr>
        <w:t xml:space="preserve"> Kumar (2021)</w:t>
      </w:r>
      <w:r w:rsidR="00A93158" w:rsidRPr="00A93158">
        <w:rPr>
          <w:rFonts w:ascii="Times New Roman" w:hAnsi="Times New Roman" w:cs="Times New Roman"/>
        </w:rPr>
        <w:t xml:space="preserve"> </w:t>
      </w:r>
      <w:r w:rsidR="00A93158">
        <w:rPr>
          <w:rFonts w:ascii="Times New Roman" w:hAnsi="Times New Roman" w:cs="Times New Roman"/>
        </w:rPr>
        <w:t>who reported that IDM practices have significant effect on disease management and also aid in improving the yield in paddy.</w:t>
      </w:r>
    </w:p>
    <w:p w14:paraId="3C7545F5" w14:textId="02540FD4" w:rsidR="00D43554" w:rsidRDefault="00D43554" w:rsidP="00EB20C8">
      <w:pPr>
        <w:spacing w:after="0" w:line="480" w:lineRule="auto"/>
        <w:ind w:right="-472" w:hanging="426"/>
        <w:rPr>
          <w:rFonts w:ascii="Times New Roman" w:hAnsi="Times New Roman" w:cs="Times New Roman"/>
          <w:b/>
          <w:bCs/>
        </w:rPr>
      </w:pPr>
      <w:r>
        <w:rPr>
          <w:rFonts w:ascii="Times New Roman" w:hAnsi="Times New Roman" w:cs="Times New Roman"/>
          <w:b/>
          <w:bCs/>
        </w:rPr>
        <w:t xml:space="preserve">Table 1: Effect of treatments of </w:t>
      </w:r>
      <w:r w:rsidR="00ED156C">
        <w:rPr>
          <w:rFonts w:ascii="Times New Roman" w:hAnsi="Times New Roman" w:cs="Times New Roman"/>
          <w:b/>
          <w:bCs/>
        </w:rPr>
        <w:t xml:space="preserve">per cent </w:t>
      </w:r>
      <w:r>
        <w:rPr>
          <w:rFonts w:ascii="Times New Roman" w:hAnsi="Times New Roman" w:cs="Times New Roman"/>
          <w:b/>
          <w:bCs/>
        </w:rPr>
        <w:t xml:space="preserve">sheath blight incidence </w:t>
      </w:r>
      <w:r w:rsidR="00ED156C">
        <w:rPr>
          <w:rFonts w:ascii="Times New Roman" w:hAnsi="Times New Roman" w:cs="Times New Roman"/>
          <w:b/>
          <w:bCs/>
        </w:rPr>
        <w:t>and per cent disease severity</w:t>
      </w:r>
    </w:p>
    <w:tbl>
      <w:tblPr>
        <w:tblStyle w:val="TableGrid"/>
        <w:tblW w:w="9781" w:type="dxa"/>
        <w:tblInd w:w="-147" w:type="dxa"/>
        <w:tblLook w:val="0420" w:firstRow="1" w:lastRow="0" w:firstColumn="0" w:lastColumn="0" w:noHBand="0" w:noVBand="1"/>
      </w:tblPr>
      <w:tblGrid>
        <w:gridCol w:w="1499"/>
        <w:gridCol w:w="2329"/>
        <w:gridCol w:w="2126"/>
        <w:gridCol w:w="1843"/>
        <w:gridCol w:w="1984"/>
      </w:tblGrid>
      <w:tr w:rsidR="00890EF7" w:rsidRPr="00ED4599" w14:paraId="7D082DF2" w14:textId="17A16118" w:rsidTr="00EB20C8">
        <w:trPr>
          <w:trHeight w:val="19"/>
        </w:trPr>
        <w:tc>
          <w:tcPr>
            <w:tcW w:w="1499" w:type="dxa"/>
            <w:vAlign w:val="center"/>
            <w:hideMark/>
          </w:tcPr>
          <w:p w14:paraId="4C790D39" w14:textId="3B2B97DF" w:rsidR="00890EF7" w:rsidRPr="00723027" w:rsidRDefault="00890EF7" w:rsidP="00405CF8">
            <w:pPr>
              <w:jc w:val="center"/>
              <w:rPr>
                <w:b/>
                <w:sz w:val="22"/>
                <w:szCs w:val="22"/>
              </w:rPr>
            </w:pPr>
            <w:r>
              <w:rPr>
                <w:b/>
                <w:sz w:val="22"/>
                <w:szCs w:val="22"/>
              </w:rPr>
              <w:t xml:space="preserve"> </w:t>
            </w:r>
            <w:r w:rsidRPr="00723027">
              <w:rPr>
                <w:b/>
                <w:sz w:val="22"/>
                <w:szCs w:val="22"/>
              </w:rPr>
              <w:t>Treatments</w:t>
            </w:r>
          </w:p>
        </w:tc>
        <w:tc>
          <w:tcPr>
            <w:tcW w:w="2329" w:type="dxa"/>
            <w:vAlign w:val="center"/>
            <w:hideMark/>
          </w:tcPr>
          <w:p w14:paraId="5AFD30E0" w14:textId="77777777" w:rsidR="00890EF7" w:rsidRPr="00723027" w:rsidRDefault="00890EF7" w:rsidP="00405CF8">
            <w:pPr>
              <w:jc w:val="center"/>
              <w:rPr>
                <w:b/>
                <w:sz w:val="22"/>
                <w:szCs w:val="22"/>
              </w:rPr>
            </w:pPr>
            <w:r w:rsidRPr="00723027">
              <w:rPr>
                <w:b/>
                <w:sz w:val="22"/>
                <w:szCs w:val="22"/>
              </w:rPr>
              <w:t>Mean Per cent incidence of sheath blight (%)</w:t>
            </w:r>
          </w:p>
        </w:tc>
        <w:tc>
          <w:tcPr>
            <w:tcW w:w="2126" w:type="dxa"/>
            <w:vAlign w:val="center"/>
          </w:tcPr>
          <w:p w14:paraId="3E48F42A" w14:textId="28E12ABD" w:rsidR="00890EF7" w:rsidRPr="00723027" w:rsidRDefault="00890EF7" w:rsidP="00405CF8">
            <w:pPr>
              <w:jc w:val="center"/>
              <w:rPr>
                <w:b/>
                <w:sz w:val="22"/>
                <w:szCs w:val="22"/>
              </w:rPr>
            </w:pPr>
            <w:r w:rsidRPr="00723027">
              <w:rPr>
                <w:b/>
                <w:sz w:val="22"/>
                <w:szCs w:val="22"/>
              </w:rPr>
              <w:t>Per cent reduction over farmers practice</w:t>
            </w:r>
            <w:r>
              <w:rPr>
                <w:b/>
                <w:sz w:val="22"/>
                <w:szCs w:val="22"/>
              </w:rPr>
              <w:t xml:space="preserve"> (%)</w:t>
            </w:r>
          </w:p>
        </w:tc>
        <w:tc>
          <w:tcPr>
            <w:tcW w:w="1843" w:type="dxa"/>
          </w:tcPr>
          <w:p w14:paraId="6ADDA005" w14:textId="610644CB" w:rsidR="00890EF7" w:rsidRPr="00723027" w:rsidRDefault="00890EF7" w:rsidP="00405CF8">
            <w:pPr>
              <w:jc w:val="center"/>
              <w:rPr>
                <w:b/>
                <w:sz w:val="22"/>
                <w:szCs w:val="22"/>
              </w:rPr>
            </w:pPr>
            <w:r>
              <w:rPr>
                <w:b/>
                <w:sz w:val="22"/>
                <w:szCs w:val="22"/>
              </w:rPr>
              <w:t>Mean per cent disease severity (%)</w:t>
            </w:r>
          </w:p>
        </w:tc>
        <w:tc>
          <w:tcPr>
            <w:tcW w:w="1984" w:type="dxa"/>
          </w:tcPr>
          <w:p w14:paraId="25169BEE" w14:textId="6B778477" w:rsidR="00890EF7" w:rsidRPr="00723027" w:rsidRDefault="00890EF7" w:rsidP="00405CF8">
            <w:pPr>
              <w:jc w:val="center"/>
              <w:rPr>
                <w:b/>
                <w:sz w:val="22"/>
                <w:szCs w:val="22"/>
              </w:rPr>
            </w:pPr>
            <w:r w:rsidRPr="00723027">
              <w:rPr>
                <w:b/>
                <w:sz w:val="22"/>
                <w:szCs w:val="22"/>
              </w:rPr>
              <w:t>Per cent reduction over farmers practice</w:t>
            </w:r>
            <w:r>
              <w:rPr>
                <w:b/>
                <w:sz w:val="22"/>
                <w:szCs w:val="22"/>
              </w:rPr>
              <w:t xml:space="preserve"> (%)</w:t>
            </w:r>
          </w:p>
        </w:tc>
      </w:tr>
      <w:tr w:rsidR="00890EF7" w:rsidRPr="00ED4599" w14:paraId="5E6699BB" w14:textId="6F68B480" w:rsidTr="00EB20C8">
        <w:trPr>
          <w:trHeight w:val="19"/>
        </w:trPr>
        <w:tc>
          <w:tcPr>
            <w:tcW w:w="1499" w:type="dxa"/>
            <w:vAlign w:val="center"/>
            <w:hideMark/>
          </w:tcPr>
          <w:p w14:paraId="3DD7A762" w14:textId="77777777" w:rsidR="00890EF7" w:rsidRPr="00ED4599" w:rsidRDefault="00890EF7" w:rsidP="00405CF8">
            <w:pPr>
              <w:jc w:val="center"/>
              <w:rPr>
                <w:bCs/>
                <w:sz w:val="22"/>
                <w:szCs w:val="22"/>
              </w:rPr>
            </w:pPr>
            <w:r w:rsidRPr="00ED4599">
              <w:rPr>
                <w:bCs/>
                <w:sz w:val="22"/>
                <w:szCs w:val="22"/>
              </w:rPr>
              <w:t>T</w:t>
            </w:r>
            <w:r w:rsidRPr="00ED4599">
              <w:rPr>
                <w:bCs/>
                <w:sz w:val="22"/>
                <w:szCs w:val="22"/>
                <w:vertAlign w:val="subscript"/>
              </w:rPr>
              <w:t>1</w:t>
            </w:r>
          </w:p>
        </w:tc>
        <w:tc>
          <w:tcPr>
            <w:tcW w:w="2329" w:type="dxa"/>
            <w:vAlign w:val="center"/>
          </w:tcPr>
          <w:p w14:paraId="153D27DB" w14:textId="5F4C9763" w:rsidR="00890EF7" w:rsidRPr="00ED4599" w:rsidRDefault="00890EF7" w:rsidP="00405CF8">
            <w:pPr>
              <w:pStyle w:val="NoSpacing"/>
              <w:jc w:val="center"/>
              <w:rPr>
                <w:bCs/>
                <w:sz w:val="22"/>
                <w:szCs w:val="22"/>
              </w:rPr>
            </w:pPr>
            <w:r>
              <w:rPr>
                <w:bCs/>
                <w:sz w:val="22"/>
                <w:szCs w:val="22"/>
              </w:rPr>
              <w:t>11</w:t>
            </w:r>
            <w:r w:rsidRPr="00ED4599">
              <w:rPr>
                <w:bCs/>
                <w:sz w:val="22"/>
                <w:szCs w:val="22"/>
              </w:rPr>
              <w:t>.14</w:t>
            </w:r>
          </w:p>
        </w:tc>
        <w:tc>
          <w:tcPr>
            <w:tcW w:w="2126" w:type="dxa"/>
            <w:vAlign w:val="center"/>
          </w:tcPr>
          <w:p w14:paraId="662EBA73" w14:textId="7A44F131" w:rsidR="00890EF7" w:rsidRPr="00ED4599" w:rsidRDefault="00890EF7" w:rsidP="00405CF8">
            <w:pPr>
              <w:pStyle w:val="NoSpacing"/>
              <w:jc w:val="center"/>
              <w:rPr>
                <w:bCs/>
                <w:sz w:val="22"/>
                <w:szCs w:val="22"/>
              </w:rPr>
            </w:pPr>
            <w:r>
              <w:rPr>
                <w:bCs/>
                <w:sz w:val="22"/>
                <w:szCs w:val="22"/>
              </w:rPr>
              <w:t>57.4</w:t>
            </w:r>
          </w:p>
        </w:tc>
        <w:tc>
          <w:tcPr>
            <w:tcW w:w="1843" w:type="dxa"/>
          </w:tcPr>
          <w:p w14:paraId="5D4518E0" w14:textId="04D0C7CC" w:rsidR="00890EF7" w:rsidRDefault="00890EF7" w:rsidP="00405CF8">
            <w:pPr>
              <w:pStyle w:val="NoSpacing"/>
              <w:jc w:val="center"/>
              <w:rPr>
                <w:bCs/>
                <w:sz w:val="22"/>
                <w:szCs w:val="22"/>
              </w:rPr>
            </w:pPr>
            <w:r>
              <w:rPr>
                <w:bCs/>
                <w:sz w:val="22"/>
                <w:szCs w:val="22"/>
              </w:rPr>
              <w:t>13.8</w:t>
            </w:r>
          </w:p>
        </w:tc>
        <w:tc>
          <w:tcPr>
            <w:tcW w:w="1984" w:type="dxa"/>
          </w:tcPr>
          <w:p w14:paraId="1EE197CD" w14:textId="2FEB6A9F" w:rsidR="00890EF7" w:rsidRDefault="00311A1D" w:rsidP="00405CF8">
            <w:pPr>
              <w:pStyle w:val="NoSpacing"/>
              <w:jc w:val="center"/>
              <w:rPr>
                <w:bCs/>
                <w:sz w:val="22"/>
                <w:szCs w:val="22"/>
              </w:rPr>
            </w:pPr>
            <w:r>
              <w:rPr>
                <w:bCs/>
                <w:sz w:val="22"/>
                <w:szCs w:val="22"/>
              </w:rPr>
              <w:t>51.4</w:t>
            </w:r>
          </w:p>
        </w:tc>
      </w:tr>
      <w:tr w:rsidR="00890EF7" w:rsidRPr="00ED4599" w14:paraId="4733A9A7" w14:textId="4F894C58" w:rsidTr="00EB20C8">
        <w:trPr>
          <w:trHeight w:val="19"/>
        </w:trPr>
        <w:tc>
          <w:tcPr>
            <w:tcW w:w="1499" w:type="dxa"/>
            <w:vAlign w:val="center"/>
            <w:hideMark/>
          </w:tcPr>
          <w:p w14:paraId="21248F4D" w14:textId="77777777" w:rsidR="00890EF7" w:rsidRPr="00ED4599" w:rsidRDefault="00890EF7" w:rsidP="00405CF8">
            <w:pPr>
              <w:jc w:val="center"/>
              <w:rPr>
                <w:bCs/>
                <w:sz w:val="22"/>
                <w:szCs w:val="22"/>
              </w:rPr>
            </w:pPr>
            <w:r w:rsidRPr="00ED4599">
              <w:rPr>
                <w:bCs/>
                <w:sz w:val="22"/>
                <w:szCs w:val="22"/>
              </w:rPr>
              <w:t>T</w:t>
            </w:r>
            <w:r w:rsidRPr="00ED4599">
              <w:rPr>
                <w:bCs/>
                <w:sz w:val="22"/>
                <w:szCs w:val="22"/>
                <w:vertAlign w:val="subscript"/>
              </w:rPr>
              <w:t>2</w:t>
            </w:r>
          </w:p>
        </w:tc>
        <w:tc>
          <w:tcPr>
            <w:tcW w:w="2329" w:type="dxa"/>
            <w:vAlign w:val="center"/>
          </w:tcPr>
          <w:p w14:paraId="129A33D3" w14:textId="13F8538B" w:rsidR="00890EF7" w:rsidRPr="00ED4599" w:rsidRDefault="00890EF7" w:rsidP="00405CF8">
            <w:pPr>
              <w:pStyle w:val="NoSpacing"/>
              <w:jc w:val="center"/>
              <w:rPr>
                <w:bCs/>
                <w:sz w:val="22"/>
                <w:szCs w:val="22"/>
              </w:rPr>
            </w:pPr>
            <w:r>
              <w:rPr>
                <w:bCs/>
                <w:sz w:val="22"/>
                <w:szCs w:val="22"/>
              </w:rPr>
              <w:t>1</w:t>
            </w:r>
            <w:r w:rsidRPr="00ED4599">
              <w:rPr>
                <w:bCs/>
                <w:sz w:val="22"/>
                <w:szCs w:val="22"/>
              </w:rPr>
              <w:t>9.9</w:t>
            </w:r>
          </w:p>
        </w:tc>
        <w:tc>
          <w:tcPr>
            <w:tcW w:w="2126" w:type="dxa"/>
            <w:vAlign w:val="center"/>
          </w:tcPr>
          <w:p w14:paraId="40C2D7A1" w14:textId="56A11AF2" w:rsidR="00890EF7" w:rsidRPr="00ED4599" w:rsidRDefault="00890EF7" w:rsidP="00405CF8">
            <w:pPr>
              <w:pStyle w:val="NoSpacing"/>
              <w:jc w:val="center"/>
              <w:rPr>
                <w:bCs/>
                <w:sz w:val="22"/>
                <w:szCs w:val="22"/>
              </w:rPr>
            </w:pPr>
            <w:r>
              <w:rPr>
                <w:bCs/>
                <w:sz w:val="22"/>
                <w:szCs w:val="22"/>
              </w:rPr>
              <w:t>24.1</w:t>
            </w:r>
          </w:p>
        </w:tc>
        <w:tc>
          <w:tcPr>
            <w:tcW w:w="1843" w:type="dxa"/>
          </w:tcPr>
          <w:p w14:paraId="098BAFF3" w14:textId="0ACBA4E4" w:rsidR="00890EF7" w:rsidRDefault="00890EF7" w:rsidP="00405CF8">
            <w:pPr>
              <w:pStyle w:val="NoSpacing"/>
              <w:jc w:val="center"/>
              <w:rPr>
                <w:bCs/>
                <w:sz w:val="22"/>
                <w:szCs w:val="22"/>
              </w:rPr>
            </w:pPr>
            <w:r>
              <w:rPr>
                <w:bCs/>
                <w:sz w:val="22"/>
                <w:szCs w:val="22"/>
              </w:rPr>
              <w:t>19.1</w:t>
            </w:r>
          </w:p>
        </w:tc>
        <w:tc>
          <w:tcPr>
            <w:tcW w:w="1984" w:type="dxa"/>
          </w:tcPr>
          <w:p w14:paraId="6142A0A3" w14:textId="7566209D" w:rsidR="00890EF7" w:rsidRDefault="00311A1D" w:rsidP="00405CF8">
            <w:pPr>
              <w:pStyle w:val="NoSpacing"/>
              <w:jc w:val="center"/>
              <w:rPr>
                <w:bCs/>
                <w:sz w:val="22"/>
                <w:szCs w:val="22"/>
              </w:rPr>
            </w:pPr>
            <w:r>
              <w:rPr>
                <w:bCs/>
                <w:sz w:val="22"/>
                <w:szCs w:val="22"/>
              </w:rPr>
              <w:t>32.7</w:t>
            </w:r>
          </w:p>
        </w:tc>
      </w:tr>
      <w:tr w:rsidR="00890EF7" w:rsidRPr="00ED4599" w14:paraId="4E8B6C83" w14:textId="541970CB" w:rsidTr="00EB20C8">
        <w:trPr>
          <w:trHeight w:val="19"/>
        </w:trPr>
        <w:tc>
          <w:tcPr>
            <w:tcW w:w="1499" w:type="dxa"/>
            <w:vAlign w:val="center"/>
          </w:tcPr>
          <w:p w14:paraId="24003639" w14:textId="77777777" w:rsidR="00890EF7" w:rsidRPr="00ED4599" w:rsidRDefault="00890EF7" w:rsidP="00405CF8">
            <w:pPr>
              <w:jc w:val="center"/>
              <w:rPr>
                <w:bCs/>
                <w:sz w:val="22"/>
                <w:szCs w:val="22"/>
              </w:rPr>
            </w:pPr>
            <w:r w:rsidRPr="00ED4599">
              <w:rPr>
                <w:bCs/>
                <w:sz w:val="22"/>
                <w:szCs w:val="22"/>
              </w:rPr>
              <w:t>T</w:t>
            </w:r>
            <w:r w:rsidRPr="00ED4599">
              <w:rPr>
                <w:bCs/>
                <w:sz w:val="22"/>
                <w:szCs w:val="22"/>
                <w:vertAlign w:val="subscript"/>
              </w:rPr>
              <w:t>3</w:t>
            </w:r>
          </w:p>
        </w:tc>
        <w:tc>
          <w:tcPr>
            <w:tcW w:w="2329" w:type="dxa"/>
            <w:vAlign w:val="center"/>
          </w:tcPr>
          <w:p w14:paraId="372CF848" w14:textId="5F3D488D" w:rsidR="00890EF7" w:rsidRPr="00ED4599" w:rsidRDefault="00890EF7" w:rsidP="00405CF8">
            <w:pPr>
              <w:pStyle w:val="NoSpacing"/>
              <w:jc w:val="center"/>
              <w:rPr>
                <w:bCs/>
                <w:sz w:val="22"/>
                <w:szCs w:val="22"/>
              </w:rPr>
            </w:pPr>
            <w:r>
              <w:rPr>
                <w:bCs/>
                <w:sz w:val="22"/>
                <w:szCs w:val="22"/>
              </w:rPr>
              <w:t>2</w:t>
            </w:r>
            <w:r w:rsidRPr="00ED4599">
              <w:rPr>
                <w:bCs/>
                <w:sz w:val="22"/>
                <w:szCs w:val="22"/>
              </w:rPr>
              <w:t>6.2</w:t>
            </w:r>
          </w:p>
        </w:tc>
        <w:tc>
          <w:tcPr>
            <w:tcW w:w="2126" w:type="dxa"/>
            <w:vAlign w:val="center"/>
          </w:tcPr>
          <w:p w14:paraId="533DB83F" w14:textId="77777777" w:rsidR="00890EF7" w:rsidRPr="00ED4599" w:rsidRDefault="00890EF7" w:rsidP="00405CF8">
            <w:pPr>
              <w:pStyle w:val="NoSpacing"/>
              <w:jc w:val="center"/>
              <w:rPr>
                <w:bCs/>
                <w:sz w:val="22"/>
                <w:szCs w:val="22"/>
              </w:rPr>
            </w:pPr>
            <w:r w:rsidRPr="00ED4599">
              <w:rPr>
                <w:bCs/>
                <w:sz w:val="22"/>
                <w:szCs w:val="22"/>
              </w:rPr>
              <w:t>-</w:t>
            </w:r>
          </w:p>
        </w:tc>
        <w:tc>
          <w:tcPr>
            <w:tcW w:w="1843" w:type="dxa"/>
          </w:tcPr>
          <w:p w14:paraId="79566971" w14:textId="22D5228A" w:rsidR="00890EF7" w:rsidRPr="00ED4599" w:rsidRDefault="00890EF7" w:rsidP="00405CF8">
            <w:pPr>
              <w:pStyle w:val="NoSpacing"/>
              <w:jc w:val="center"/>
              <w:rPr>
                <w:bCs/>
                <w:sz w:val="22"/>
                <w:szCs w:val="22"/>
              </w:rPr>
            </w:pPr>
            <w:r>
              <w:rPr>
                <w:bCs/>
                <w:sz w:val="22"/>
                <w:szCs w:val="22"/>
              </w:rPr>
              <w:t>28.4</w:t>
            </w:r>
          </w:p>
        </w:tc>
        <w:tc>
          <w:tcPr>
            <w:tcW w:w="1984" w:type="dxa"/>
          </w:tcPr>
          <w:p w14:paraId="6F0904F1" w14:textId="69FE127B" w:rsidR="00890EF7" w:rsidRPr="00ED4599" w:rsidRDefault="00311A1D" w:rsidP="00405CF8">
            <w:pPr>
              <w:pStyle w:val="NoSpacing"/>
              <w:jc w:val="center"/>
              <w:rPr>
                <w:bCs/>
                <w:sz w:val="22"/>
                <w:szCs w:val="22"/>
              </w:rPr>
            </w:pPr>
            <w:r>
              <w:rPr>
                <w:bCs/>
                <w:sz w:val="22"/>
                <w:szCs w:val="22"/>
              </w:rPr>
              <w:t>-</w:t>
            </w:r>
          </w:p>
        </w:tc>
      </w:tr>
      <w:tr w:rsidR="00984C3E" w:rsidRPr="00ED4599" w14:paraId="25BAB94B" w14:textId="77777777" w:rsidTr="00EB20C8">
        <w:trPr>
          <w:trHeight w:val="19"/>
        </w:trPr>
        <w:tc>
          <w:tcPr>
            <w:tcW w:w="1499" w:type="dxa"/>
            <w:vAlign w:val="center"/>
          </w:tcPr>
          <w:p w14:paraId="2EE1C6BB" w14:textId="2FDE2360" w:rsidR="00984C3E" w:rsidRPr="00ED4599" w:rsidRDefault="00984C3E" w:rsidP="00405CF8">
            <w:pPr>
              <w:jc w:val="center"/>
              <w:rPr>
                <w:bCs/>
                <w:sz w:val="22"/>
                <w:szCs w:val="22"/>
              </w:rPr>
            </w:pPr>
            <w:r>
              <w:rPr>
                <w:bCs/>
                <w:sz w:val="22"/>
                <w:szCs w:val="22"/>
              </w:rPr>
              <w:t>Sem (±)</w:t>
            </w:r>
          </w:p>
        </w:tc>
        <w:tc>
          <w:tcPr>
            <w:tcW w:w="2329" w:type="dxa"/>
            <w:vAlign w:val="center"/>
          </w:tcPr>
          <w:p w14:paraId="2691B8A5" w14:textId="29F4706B" w:rsidR="00984C3E" w:rsidRDefault="005E5A89" w:rsidP="00405CF8">
            <w:pPr>
              <w:pStyle w:val="NoSpacing"/>
              <w:jc w:val="center"/>
              <w:rPr>
                <w:bCs/>
                <w:sz w:val="22"/>
                <w:szCs w:val="22"/>
              </w:rPr>
            </w:pPr>
            <w:r>
              <w:rPr>
                <w:bCs/>
                <w:sz w:val="22"/>
                <w:szCs w:val="22"/>
              </w:rPr>
              <w:t>0.85</w:t>
            </w:r>
          </w:p>
        </w:tc>
        <w:tc>
          <w:tcPr>
            <w:tcW w:w="2126" w:type="dxa"/>
            <w:vAlign w:val="center"/>
          </w:tcPr>
          <w:p w14:paraId="3F655B12" w14:textId="2189806E" w:rsidR="00984C3E" w:rsidRPr="00ED4599" w:rsidRDefault="005E5A89" w:rsidP="00405CF8">
            <w:pPr>
              <w:pStyle w:val="NoSpacing"/>
              <w:jc w:val="center"/>
              <w:rPr>
                <w:bCs/>
                <w:sz w:val="22"/>
                <w:szCs w:val="22"/>
              </w:rPr>
            </w:pPr>
            <w:r>
              <w:rPr>
                <w:bCs/>
                <w:sz w:val="22"/>
                <w:szCs w:val="22"/>
              </w:rPr>
              <w:t>-</w:t>
            </w:r>
          </w:p>
        </w:tc>
        <w:tc>
          <w:tcPr>
            <w:tcW w:w="1843" w:type="dxa"/>
          </w:tcPr>
          <w:p w14:paraId="2E63A62B" w14:textId="2A3D1655" w:rsidR="00984C3E" w:rsidRDefault="005E5A89" w:rsidP="00405CF8">
            <w:pPr>
              <w:pStyle w:val="NoSpacing"/>
              <w:jc w:val="center"/>
              <w:rPr>
                <w:bCs/>
                <w:sz w:val="22"/>
                <w:szCs w:val="22"/>
              </w:rPr>
            </w:pPr>
            <w:r>
              <w:rPr>
                <w:bCs/>
                <w:sz w:val="22"/>
                <w:szCs w:val="22"/>
              </w:rPr>
              <w:t>0.62</w:t>
            </w:r>
          </w:p>
        </w:tc>
        <w:tc>
          <w:tcPr>
            <w:tcW w:w="1984" w:type="dxa"/>
          </w:tcPr>
          <w:p w14:paraId="3FEA974A" w14:textId="43A5C1BB" w:rsidR="00984C3E" w:rsidRDefault="00ED156C" w:rsidP="00405CF8">
            <w:pPr>
              <w:pStyle w:val="NoSpacing"/>
              <w:jc w:val="center"/>
              <w:rPr>
                <w:bCs/>
                <w:sz w:val="22"/>
                <w:szCs w:val="22"/>
              </w:rPr>
            </w:pPr>
            <w:r>
              <w:rPr>
                <w:bCs/>
                <w:sz w:val="22"/>
                <w:szCs w:val="22"/>
              </w:rPr>
              <w:t>-</w:t>
            </w:r>
          </w:p>
        </w:tc>
      </w:tr>
      <w:tr w:rsidR="00984C3E" w:rsidRPr="00ED4599" w14:paraId="5D783B75" w14:textId="77777777" w:rsidTr="00EB20C8">
        <w:trPr>
          <w:trHeight w:val="19"/>
        </w:trPr>
        <w:tc>
          <w:tcPr>
            <w:tcW w:w="1499" w:type="dxa"/>
            <w:vAlign w:val="center"/>
          </w:tcPr>
          <w:p w14:paraId="21360F9D" w14:textId="777097F9" w:rsidR="00984C3E" w:rsidRPr="00ED4599" w:rsidRDefault="00F72082" w:rsidP="00405CF8">
            <w:pPr>
              <w:jc w:val="center"/>
              <w:rPr>
                <w:bCs/>
                <w:sz w:val="22"/>
                <w:szCs w:val="22"/>
              </w:rPr>
            </w:pPr>
            <w:r>
              <w:rPr>
                <w:bCs/>
                <w:sz w:val="22"/>
                <w:szCs w:val="22"/>
              </w:rPr>
              <w:t>CD (0.05)</w:t>
            </w:r>
          </w:p>
        </w:tc>
        <w:tc>
          <w:tcPr>
            <w:tcW w:w="2329" w:type="dxa"/>
            <w:vAlign w:val="center"/>
          </w:tcPr>
          <w:p w14:paraId="3201CBEF" w14:textId="60D9A393" w:rsidR="00984C3E" w:rsidRDefault="00EA0C9E" w:rsidP="00405CF8">
            <w:pPr>
              <w:pStyle w:val="NoSpacing"/>
              <w:jc w:val="center"/>
              <w:rPr>
                <w:bCs/>
                <w:sz w:val="22"/>
                <w:szCs w:val="22"/>
              </w:rPr>
            </w:pPr>
            <w:r>
              <w:rPr>
                <w:bCs/>
                <w:sz w:val="22"/>
                <w:szCs w:val="22"/>
              </w:rPr>
              <w:t>5</w:t>
            </w:r>
            <w:r w:rsidR="00F72082">
              <w:rPr>
                <w:bCs/>
                <w:sz w:val="22"/>
                <w:szCs w:val="22"/>
              </w:rPr>
              <w:t>.21</w:t>
            </w:r>
          </w:p>
        </w:tc>
        <w:tc>
          <w:tcPr>
            <w:tcW w:w="2126" w:type="dxa"/>
            <w:vAlign w:val="center"/>
          </w:tcPr>
          <w:p w14:paraId="09F957C2" w14:textId="719ECEF5" w:rsidR="00984C3E" w:rsidRPr="00ED4599" w:rsidRDefault="00F72082" w:rsidP="00405CF8">
            <w:pPr>
              <w:pStyle w:val="NoSpacing"/>
              <w:jc w:val="center"/>
              <w:rPr>
                <w:bCs/>
                <w:sz w:val="22"/>
                <w:szCs w:val="22"/>
              </w:rPr>
            </w:pPr>
            <w:r>
              <w:rPr>
                <w:bCs/>
                <w:sz w:val="22"/>
                <w:szCs w:val="22"/>
              </w:rPr>
              <w:t>-</w:t>
            </w:r>
          </w:p>
        </w:tc>
        <w:tc>
          <w:tcPr>
            <w:tcW w:w="1843" w:type="dxa"/>
          </w:tcPr>
          <w:p w14:paraId="3DA86F57" w14:textId="6BC640A5" w:rsidR="00984C3E" w:rsidRDefault="00F72082" w:rsidP="00405CF8">
            <w:pPr>
              <w:pStyle w:val="NoSpacing"/>
              <w:jc w:val="center"/>
              <w:rPr>
                <w:bCs/>
                <w:sz w:val="22"/>
                <w:szCs w:val="22"/>
              </w:rPr>
            </w:pPr>
            <w:r>
              <w:rPr>
                <w:bCs/>
                <w:sz w:val="22"/>
                <w:szCs w:val="22"/>
              </w:rPr>
              <w:t>5.9</w:t>
            </w:r>
            <w:r w:rsidR="007A1215">
              <w:rPr>
                <w:bCs/>
                <w:sz w:val="22"/>
                <w:szCs w:val="22"/>
              </w:rPr>
              <w:t>4</w:t>
            </w:r>
          </w:p>
        </w:tc>
        <w:tc>
          <w:tcPr>
            <w:tcW w:w="1984" w:type="dxa"/>
          </w:tcPr>
          <w:p w14:paraId="01C4297C" w14:textId="2E748F30" w:rsidR="00984C3E" w:rsidRDefault="00406CFF" w:rsidP="00405CF8">
            <w:pPr>
              <w:pStyle w:val="NoSpacing"/>
              <w:jc w:val="center"/>
              <w:rPr>
                <w:bCs/>
                <w:sz w:val="22"/>
                <w:szCs w:val="22"/>
              </w:rPr>
            </w:pPr>
            <w:r>
              <w:rPr>
                <w:bCs/>
                <w:sz w:val="22"/>
                <w:szCs w:val="22"/>
              </w:rPr>
              <w:t>-</w:t>
            </w:r>
          </w:p>
        </w:tc>
      </w:tr>
      <w:tr w:rsidR="00406CFF" w:rsidRPr="00ED4599" w14:paraId="0440EF16" w14:textId="77777777" w:rsidTr="00EB20C8">
        <w:trPr>
          <w:trHeight w:val="19"/>
        </w:trPr>
        <w:tc>
          <w:tcPr>
            <w:tcW w:w="1499" w:type="dxa"/>
            <w:vAlign w:val="center"/>
          </w:tcPr>
          <w:p w14:paraId="0903BADE" w14:textId="4446B3C5" w:rsidR="00406CFF" w:rsidRDefault="00406CFF" w:rsidP="00405CF8">
            <w:pPr>
              <w:jc w:val="center"/>
              <w:rPr>
                <w:bCs/>
                <w:sz w:val="22"/>
                <w:szCs w:val="22"/>
              </w:rPr>
            </w:pPr>
            <w:r>
              <w:rPr>
                <w:bCs/>
                <w:sz w:val="22"/>
                <w:szCs w:val="22"/>
              </w:rPr>
              <w:t>CV (%)</w:t>
            </w:r>
          </w:p>
        </w:tc>
        <w:tc>
          <w:tcPr>
            <w:tcW w:w="2329" w:type="dxa"/>
            <w:vAlign w:val="center"/>
          </w:tcPr>
          <w:p w14:paraId="6F249044" w14:textId="6456B96F" w:rsidR="00406CFF" w:rsidRDefault="00822425" w:rsidP="00405CF8">
            <w:pPr>
              <w:pStyle w:val="NoSpacing"/>
              <w:jc w:val="center"/>
              <w:rPr>
                <w:bCs/>
                <w:sz w:val="22"/>
                <w:szCs w:val="22"/>
              </w:rPr>
            </w:pPr>
            <w:r>
              <w:rPr>
                <w:bCs/>
                <w:sz w:val="22"/>
                <w:szCs w:val="22"/>
              </w:rPr>
              <w:t>12</w:t>
            </w:r>
            <w:r w:rsidR="00406CFF">
              <w:rPr>
                <w:bCs/>
                <w:sz w:val="22"/>
                <w:szCs w:val="22"/>
              </w:rPr>
              <w:t>.53</w:t>
            </w:r>
          </w:p>
        </w:tc>
        <w:tc>
          <w:tcPr>
            <w:tcW w:w="2126" w:type="dxa"/>
            <w:vAlign w:val="center"/>
          </w:tcPr>
          <w:p w14:paraId="68BF74B1" w14:textId="3A1EDA17" w:rsidR="00406CFF" w:rsidRDefault="00406CFF" w:rsidP="00405CF8">
            <w:pPr>
              <w:pStyle w:val="NoSpacing"/>
              <w:jc w:val="center"/>
              <w:rPr>
                <w:bCs/>
                <w:sz w:val="22"/>
                <w:szCs w:val="22"/>
              </w:rPr>
            </w:pPr>
            <w:r>
              <w:rPr>
                <w:bCs/>
                <w:sz w:val="22"/>
                <w:szCs w:val="22"/>
              </w:rPr>
              <w:t>-</w:t>
            </w:r>
          </w:p>
        </w:tc>
        <w:tc>
          <w:tcPr>
            <w:tcW w:w="1843" w:type="dxa"/>
          </w:tcPr>
          <w:p w14:paraId="13EC8B09" w14:textId="7F9AE52F" w:rsidR="00406CFF" w:rsidRDefault="00406CFF" w:rsidP="00405CF8">
            <w:pPr>
              <w:pStyle w:val="NoSpacing"/>
              <w:jc w:val="center"/>
              <w:rPr>
                <w:bCs/>
                <w:sz w:val="22"/>
                <w:szCs w:val="22"/>
              </w:rPr>
            </w:pPr>
            <w:r>
              <w:rPr>
                <w:bCs/>
                <w:sz w:val="22"/>
                <w:szCs w:val="22"/>
              </w:rPr>
              <w:t>11.63</w:t>
            </w:r>
          </w:p>
        </w:tc>
        <w:tc>
          <w:tcPr>
            <w:tcW w:w="1984" w:type="dxa"/>
          </w:tcPr>
          <w:p w14:paraId="749E9ED9" w14:textId="74572FFC" w:rsidR="00406CFF" w:rsidRDefault="00406CFF" w:rsidP="00405CF8">
            <w:pPr>
              <w:pStyle w:val="NoSpacing"/>
              <w:jc w:val="center"/>
              <w:rPr>
                <w:bCs/>
                <w:sz w:val="22"/>
                <w:szCs w:val="22"/>
              </w:rPr>
            </w:pPr>
            <w:r>
              <w:rPr>
                <w:bCs/>
                <w:sz w:val="22"/>
                <w:szCs w:val="22"/>
              </w:rPr>
              <w:t>-</w:t>
            </w:r>
          </w:p>
        </w:tc>
      </w:tr>
    </w:tbl>
    <w:p w14:paraId="58112E73" w14:textId="08CFD829" w:rsidR="00A26C12" w:rsidRDefault="00723027" w:rsidP="00EB20C8">
      <w:pPr>
        <w:spacing w:line="480" w:lineRule="auto"/>
        <w:jc w:val="both"/>
        <w:rPr>
          <w:rFonts w:ascii="Times New Roman" w:hAnsi="Times New Roman" w:cs="Times New Roman"/>
          <w:b/>
          <w:bCs/>
        </w:rPr>
      </w:pPr>
      <w:r>
        <w:rPr>
          <w:rFonts w:ascii="Times New Roman" w:hAnsi="Times New Roman" w:cs="Times New Roman"/>
          <w:b/>
          <w:bCs/>
        </w:rPr>
        <w:lastRenderedPageBreak/>
        <w:t xml:space="preserve"> </w:t>
      </w:r>
      <w:r w:rsidR="00A26C12">
        <w:rPr>
          <w:rFonts w:ascii="Times New Roman" w:hAnsi="Times New Roman" w:cs="Times New Roman"/>
          <w:b/>
          <w:bCs/>
        </w:rPr>
        <w:t xml:space="preserve">Table 2: Effect of treatments </w:t>
      </w:r>
      <w:r w:rsidR="005A3057">
        <w:rPr>
          <w:rFonts w:ascii="Times New Roman" w:hAnsi="Times New Roman" w:cs="Times New Roman"/>
          <w:b/>
          <w:bCs/>
        </w:rPr>
        <w:t xml:space="preserve">on paddy </w:t>
      </w:r>
      <w:r w:rsidR="00A26C12">
        <w:rPr>
          <w:rFonts w:ascii="Times New Roman" w:hAnsi="Times New Roman" w:cs="Times New Roman"/>
          <w:b/>
          <w:bCs/>
        </w:rPr>
        <w:t>growth parameters</w:t>
      </w:r>
    </w:p>
    <w:tbl>
      <w:tblPr>
        <w:tblStyle w:val="TableGrid"/>
        <w:tblW w:w="9163" w:type="dxa"/>
        <w:tblInd w:w="-147" w:type="dxa"/>
        <w:tblLook w:val="0420" w:firstRow="1" w:lastRow="0" w:firstColumn="0" w:lastColumn="0" w:noHBand="0" w:noVBand="1"/>
      </w:tblPr>
      <w:tblGrid>
        <w:gridCol w:w="1409"/>
        <w:gridCol w:w="1429"/>
        <w:gridCol w:w="1353"/>
        <w:gridCol w:w="1426"/>
        <w:gridCol w:w="1392"/>
        <w:gridCol w:w="1077"/>
        <w:gridCol w:w="1077"/>
      </w:tblGrid>
      <w:tr w:rsidR="009D051F" w:rsidRPr="00ED4599" w14:paraId="3D6C9B6F" w14:textId="205937E9" w:rsidTr="009D051F">
        <w:trPr>
          <w:trHeight w:val="19"/>
        </w:trPr>
        <w:tc>
          <w:tcPr>
            <w:tcW w:w="1409" w:type="dxa"/>
            <w:vAlign w:val="center"/>
            <w:hideMark/>
          </w:tcPr>
          <w:p w14:paraId="73BB8467" w14:textId="6CC0378B" w:rsidR="009D051F" w:rsidRPr="00723027" w:rsidRDefault="009D051F" w:rsidP="009D051F">
            <w:pPr>
              <w:jc w:val="center"/>
              <w:rPr>
                <w:b/>
                <w:sz w:val="22"/>
                <w:szCs w:val="22"/>
              </w:rPr>
            </w:pPr>
            <w:r w:rsidRPr="00723027">
              <w:rPr>
                <w:b/>
                <w:sz w:val="22"/>
                <w:szCs w:val="22"/>
              </w:rPr>
              <w:t>Treatments</w:t>
            </w:r>
          </w:p>
        </w:tc>
        <w:tc>
          <w:tcPr>
            <w:tcW w:w="1429" w:type="dxa"/>
            <w:vAlign w:val="center"/>
            <w:hideMark/>
          </w:tcPr>
          <w:p w14:paraId="7BD357A1" w14:textId="6C2FD179" w:rsidR="009D051F" w:rsidRPr="00723027" w:rsidRDefault="009D051F" w:rsidP="009D051F">
            <w:pPr>
              <w:jc w:val="center"/>
              <w:rPr>
                <w:b/>
                <w:sz w:val="22"/>
                <w:szCs w:val="22"/>
              </w:rPr>
            </w:pPr>
            <w:r>
              <w:rPr>
                <w:b/>
                <w:sz w:val="22"/>
                <w:szCs w:val="22"/>
              </w:rPr>
              <w:t>Plant height (cm)</w:t>
            </w:r>
          </w:p>
        </w:tc>
        <w:tc>
          <w:tcPr>
            <w:tcW w:w="1353" w:type="dxa"/>
            <w:vAlign w:val="center"/>
          </w:tcPr>
          <w:p w14:paraId="75D5B133" w14:textId="2FDD53CF" w:rsidR="009D051F" w:rsidRPr="00723027" w:rsidRDefault="009D051F" w:rsidP="009D051F">
            <w:pPr>
              <w:jc w:val="center"/>
              <w:rPr>
                <w:b/>
                <w:sz w:val="22"/>
                <w:szCs w:val="22"/>
              </w:rPr>
            </w:pPr>
            <w:r>
              <w:rPr>
                <w:b/>
                <w:sz w:val="22"/>
                <w:szCs w:val="22"/>
              </w:rPr>
              <w:t>Avg. no. of tillers/ hill</w:t>
            </w:r>
          </w:p>
        </w:tc>
        <w:tc>
          <w:tcPr>
            <w:tcW w:w="1426" w:type="dxa"/>
            <w:vAlign w:val="center"/>
          </w:tcPr>
          <w:p w14:paraId="21FBD928" w14:textId="33B211BE" w:rsidR="009D051F" w:rsidRPr="00723027" w:rsidRDefault="009D051F" w:rsidP="009D051F">
            <w:pPr>
              <w:jc w:val="center"/>
              <w:rPr>
                <w:b/>
                <w:sz w:val="22"/>
                <w:szCs w:val="22"/>
              </w:rPr>
            </w:pPr>
            <w:r>
              <w:rPr>
                <w:b/>
                <w:sz w:val="22"/>
                <w:szCs w:val="22"/>
              </w:rPr>
              <w:t>No. of panicles /hill</w:t>
            </w:r>
          </w:p>
        </w:tc>
        <w:tc>
          <w:tcPr>
            <w:tcW w:w="1392" w:type="dxa"/>
            <w:vAlign w:val="center"/>
          </w:tcPr>
          <w:p w14:paraId="55C68F19" w14:textId="208574B8" w:rsidR="009D051F" w:rsidRPr="00723027" w:rsidRDefault="009D051F" w:rsidP="009D051F">
            <w:pPr>
              <w:jc w:val="center"/>
              <w:rPr>
                <w:b/>
                <w:sz w:val="22"/>
                <w:szCs w:val="22"/>
              </w:rPr>
            </w:pPr>
            <w:r>
              <w:rPr>
                <w:b/>
                <w:sz w:val="22"/>
                <w:szCs w:val="22"/>
              </w:rPr>
              <w:t>Panicle length (cm)</w:t>
            </w:r>
          </w:p>
        </w:tc>
        <w:tc>
          <w:tcPr>
            <w:tcW w:w="1077" w:type="dxa"/>
            <w:vAlign w:val="center"/>
          </w:tcPr>
          <w:p w14:paraId="2BD33301" w14:textId="39B3E2C4" w:rsidR="009D051F" w:rsidRDefault="009D051F" w:rsidP="009D051F">
            <w:pPr>
              <w:jc w:val="center"/>
              <w:rPr>
                <w:b/>
                <w:sz w:val="22"/>
                <w:szCs w:val="22"/>
              </w:rPr>
            </w:pPr>
            <w:r>
              <w:rPr>
                <w:b/>
                <w:sz w:val="22"/>
                <w:szCs w:val="22"/>
              </w:rPr>
              <w:t>No. of grains per panicle</w:t>
            </w:r>
          </w:p>
        </w:tc>
        <w:tc>
          <w:tcPr>
            <w:tcW w:w="1077" w:type="dxa"/>
            <w:vAlign w:val="center"/>
          </w:tcPr>
          <w:p w14:paraId="19C2AEED" w14:textId="63E55568" w:rsidR="009D051F" w:rsidRDefault="009D051F" w:rsidP="009D051F">
            <w:pPr>
              <w:jc w:val="center"/>
              <w:rPr>
                <w:b/>
                <w:sz w:val="22"/>
                <w:szCs w:val="22"/>
              </w:rPr>
            </w:pPr>
            <w:r>
              <w:rPr>
                <w:b/>
                <w:sz w:val="22"/>
                <w:szCs w:val="22"/>
              </w:rPr>
              <w:t>No. of filled grains per panicle</w:t>
            </w:r>
          </w:p>
        </w:tc>
      </w:tr>
      <w:tr w:rsidR="009D051F" w:rsidRPr="00ED4599" w14:paraId="247FD244" w14:textId="5CBD864C" w:rsidTr="009D051F">
        <w:trPr>
          <w:trHeight w:val="19"/>
        </w:trPr>
        <w:tc>
          <w:tcPr>
            <w:tcW w:w="1409" w:type="dxa"/>
            <w:vAlign w:val="center"/>
            <w:hideMark/>
          </w:tcPr>
          <w:p w14:paraId="0A93B3A4" w14:textId="77777777" w:rsidR="009D051F" w:rsidRPr="00ED4599" w:rsidRDefault="009D051F" w:rsidP="003E7520">
            <w:pPr>
              <w:jc w:val="center"/>
              <w:rPr>
                <w:bCs/>
                <w:sz w:val="22"/>
                <w:szCs w:val="22"/>
              </w:rPr>
            </w:pPr>
            <w:r w:rsidRPr="00ED4599">
              <w:rPr>
                <w:bCs/>
                <w:sz w:val="22"/>
                <w:szCs w:val="22"/>
              </w:rPr>
              <w:t>T</w:t>
            </w:r>
            <w:r w:rsidRPr="00ED4599">
              <w:rPr>
                <w:bCs/>
                <w:sz w:val="22"/>
                <w:szCs w:val="22"/>
                <w:vertAlign w:val="subscript"/>
              </w:rPr>
              <w:t>1</w:t>
            </w:r>
          </w:p>
        </w:tc>
        <w:tc>
          <w:tcPr>
            <w:tcW w:w="1429" w:type="dxa"/>
            <w:vAlign w:val="center"/>
          </w:tcPr>
          <w:p w14:paraId="5F5F4489" w14:textId="2ADD4689" w:rsidR="009D051F" w:rsidRPr="00ED4599" w:rsidRDefault="009D051F" w:rsidP="003E7520">
            <w:pPr>
              <w:pStyle w:val="NoSpacing"/>
              <w:jc w:val="center"/>
              <w:rPr>
                <w:bCs/>
                <w:sz w:val="22"/>
                <w:szCs w:val="22"/>
              </w:rPr>
            </w:pPr>
            <w:r>
              <w:rPr>
                <w:bCs/>
                <w:sz w:val="22"/>
                <w:szCs w:val="22"/>
              </w:rPr>
              <w:t>128.4</w:t>
            </w:r>
          </w:p>
        </w:tc>
        <w:tc>
          <w:tcPr>
            <w:tcW w:w="1353" w:type="dxa"/>
            <w:vAlign w:val="center"/>
          </w:tcPr>
          <w:p w14:paraId="64D5312E" w14:textId="389C9F5B" w:rsidR="009D051F" w:rsidRPr="00ED4599" w:rsidRDefault="009D051F" w:rsidP="003E7520">
            <w:pPr>
              <w:pStyle w:val="NoSpacing"/>
              <w:jc w:val="center"/>
              <w:rPr>
                <w:bCs/>
                <w:sz w:val="22"/>
                <w:szCs w:val="22"/>
              </w:rPr>
            </w:pPr>
            <w:r>
              <w:rPr>
                <w:bCs/>
                <w:sz w:val="22"/>
                <w:szCs w:val="22"/>
              </w:rPr>
              <w:t>20</w:t>
            </w:r>
          </w:p>
        </w:tc>
        <w:tc>
          <w:tcPr>
            <w:tcW w:w="1426" w:type="dxa"/>
          </w:tcPr>
          <w:p w14:paraId="61CCA3C0" w14:textId="10ACB935" w:rsidR="009D051F" w:rsidRDefault="009D051F" w:rsidP="003E7520">
            <w:pPr>
              <w:pStyle w:val="NoSpacing"/>
              <w:jc w:val="center"/>
              <w:rPr>
                <w:bCs/>
                <w:sz w:val="22"/>
                <w:szCs w:val="22"/>
              </w:rPr>
            </w:pPr>
            <w:r>
              <w:rPr>
                <w:bCs/>
                <w:sz w:val="22"/>
                <w:szCs w:val="22"/>
              </w:rPr>
              <w:t>16</w:t>
            </w:r>
          </w:p>
        </w:tc>
        <w:tc>
          <w:tcPr>
            <w:tcW w:w="1392" w:type="dxa"/>
          </w:tcPr>
          <w:p w14:paraId="02B2E820" w14:textId="68CD5A7E" w:rsidR="009D051F" w:rsidRDefault="009D051F" w:rsidP="003E7520">
            <w:pPr>
              <w:pStyle w:val="NoSpacing"/>
              <w:jc w:val="center"/>
              <w:rPr>
                <w:bCs/>
                <w:sz w:val="22"/>
                <w:szCs w:val="22"/>
              </w:rPr>
            </w:pPr>
            <w:r>
              <w:rPr>
                <w:bCs/>
                <w:sz w:val="22"/>
                <w:szCs w:val="22"/>
              </w:rPr>
              <w:t>28.4</w:t>
            </w:r>
          </w:p>
        </w:tc>
        <w:tc>
          <w:tcPr>
            <w:tcW w:w="1077" w:type="dxa"/>
          </w:tcPr>
          <w:p w14:paraId="3ECC0D20" w14:textId="2A72AA03" w:rsidR="009D051F" w:rsidRDefault="009D051F" w:rsidP="003E7520">
            <w:pPr>
              <w:pStyle w:val="NoSpacing"/>
              <w:jc w:val="center"/>
              <w:rPr>
                <w:bCs/>
                <w:sz w:val="22"/>
                <w:szCs w:val="22"/>
              </w:rPr>
            </w:pPr>
            <w:r>
              <w:rPr>
                <w:bCs/>
                <w:sz w:val="22"/>
                <w:szCs w:val="22"/>
              </w:rPr>
              <w:t>194</w:t>
            </w:r>
          </w:p>
        </w:tc>
        <w:tc>
          <w:tcPr>
            <w:tcW w:w="1077" w:type="dxa"/>
          </w:tcPr>
          <w:p w14:paraId="6DD60765" w14:textId="5493EDB7" w:rsidR="009D051F" w:rsidRDefault="009D051F" w:rsidP="003E7520">
            <w:pPr>
              <w:pStyle w:val="NoSpacing"/>
              <w:jc w:val="center"/>
              <w:rPr>
                <w:bCs/>
                <w:sz w:val="22"/>
                <w:szCs w:val="22"/>
              </w:rPr>
            </w:pPr>
            <w:r>
              <w:rPr>
                <w:bCs/>
                <w:sz w:val="22"/>
                <w:szCs w:val="22"/>
              </w:rPr>
              <w:t>179</w:t>
            </w:r>
          </w:p>
        </w:tc>
      </w:tr>
      <w:tr w:rsidR="009D051F" w:rsidRPr="00ED4599" w14:paraId="4C8AB714" w14:textId="46E69C36" w:rsidTr="009D051F">
        <w:trPr>
          <w:trHeight w:val="19"/>
        </w:trPr>
        <w:tc>
          <w:tcPr>
            <w:tcW w:w="1409" w:type="dxa"/>
            <w:vAlign w:val="center"/>
            <w:hideMark/>
          </w:tcPr>
          <w:p w14:paraId="56B24ED9" w14:textId="77777777" w:rsidR="009D051F" w:rsidRPr="00ED4599" w:rsidRDefault="009D051F" w:rsidP="003E7520">
            <w:pPr>
              <w:jc w:val="center"/>
              <w:rPr>
                <w:bCs/>
                <w:sz w:val="22"/>
                <w:szCs w:val="22"/>
              </w:rPr>
            </w:pPr>
            <w:r w:rsidRPr="00ED4599">
              <w:rPr>
                <w:bCs/>
                <w:sz w:val="22"/>
                <w:szCs w:val="22"/>
              </w:rPr>
              <w:t>T</w:t>
            </w:r>
            <w:r w:rsidRPr="00ED4599">
              <w:rPr>
                <w:bCs/>
                <w:sz w:val="22"/>
                <w:szCs w:val="22"/>
                <w:vertAlign w:val="subscript"/>
              </w:rPr>
              <w:t>2</w:t>
            </w:r>
          </w:p>
        </w:tc>
        <w:tc>
          <w:tcPr>
            <w:tcW w:w="1429" w:type="dxa"/>
            <w:vAlign w:val="center"/>
          </w:tcPr>
          <w:p w14:paraId="1187CB01" w14:textId="51CE2476" w:rsidR="009D051F" w:rsidRPr="00ED4599" w:rsidRDefault="009D051F" w:rsidP="003E7520">
            <w:pPr>
              <w:pStyle w:val="NoSpacing"/>
              <w:jc w:val="center"/>
              <w:rPr>
                <w:bCs/>
                <w:sz w:val="22"/>
                <w:szCs w:val="22"/>
              </w:rPr>
            </w:pPr>
            <w:r>
              <w:rPr>
                <w:bCs/>
                <w:sz w:val="22"/>
                <w:szCs w:val="22"/>
              </w:rPr>
              <w:t>137.3</w:t>
            </w:r>
          </w:p>
        </w:tc>
        <w:tc>
          <w:tcPr>
            <w:tcW w:w="1353" w:type="dxa"/>
            <w:vAlign w:val="center"/>
          </w:tcPr>
          <w:p w14:paraId="2183959F" w14:textId="0E63A29A" w:rsidR="009D051F" w:rsidRPr="00ED4599" w:rsidRDefault="009D051F" w:rsidP="003E7520">
            <w:pPr>
              <w:pStyle w:val="NoSpacing"/>
              <w:jc w:val="center"/>
              <w:rPr>
                <w:bCs/>
                <w:sz w:val="22"/>
                <w:szCs w:val="22"/>
              </w:rPr>
            </w:pPr>
            <w:r>
              <w:rPr>
                <w:bCs/>
                <w:sz w:val="22"/>
                <w:szCs w:val="22"/>
              </w:rPr>
              <w:t>22</w:t>
            </w:r>
          </w:p>
        </w:tc>
        <w:tc>
          <w:tcPr>
            <w:tcW w:w="1426" w:type="dxa"/>
          </w:tcPr>
          <w:p w14:paraId="500FA756" w14:textId="166465BF" w:rsidR="009D051F" w:rsidRDefault="009D051F" w:rsidP="003E7520">
            <w:pPr>
              <w:pStyle w:val="NoSpacing"/>
              <w:jc w:val="center"/>
              <w:rPr>
                <w:bCs/>
                <w:sz w:val="22"/>
                <w:szCs w:val="22"/>
              </w:rPr>
            </w:pPr>
            <w:r>
              <w:rPr>
                <w:bCs/>
                <w:sz w:val="22"/>
                <w:szCs w:val="22"/>
              </w:rPr>
              <w:t>15</w:t>
            </w:r>
          </w:p>
        </w:tc>
        <w:tc>
          <w:tcPr>
            <w:tcW w:w="1392" w:type="dxa"/>
          </w:tcPr>
          <w:p w14:paraId="03937F63" w14:textId="2460CCAD" w:rsidR="009D051F" w:rsidRDefault="009D051F" w:rsidP="003E7520">
            <w:pPr>
              <w:pStyle w:val="NoSpacing"/>
              <w:jc w:val="center"/>
              <w:rPr>
                <w:bCs/>
                <w:sz w:val="22"/>
                <w:szCs w:val="22"/>
              </w:rPr>
            </w:pPr>
            <w:r>
              <w:rPr>
                <w:bCs/>
                <w:sz w:val="22"/>
                <w:szCs w:val="22"/>
              </w:rPr>
              <w:t>27.8</w:t>
            </w:r>
          </w:p>
        </w:tc>
        <w:tc>
          <w:tcPr>
            <w:tcW w:w="1077" w:type="dxa"/>
          </w:tcPr>
          <w:p w14:paraId="339306E6" w14:textId="4BD6FA4D" w:rsidR="009D051F" w:rsidRDefault="009D051F" w:rsidP="003E7520">
            <w:pPr>
              <w:pStyle w:val="NoSpacing"/>
              <w:jc w:val="center"/>
              <w:rPr>
                <w:bCs/>
                <w:sz w:val="22"/>
                <w:szCs w:val="22"/>
              </w:rPr>
            </w:pPr>
            <w:r>
              <w:rPr>
                <w:bCs/>
                <w:sz w:val="22"/>
                <w:szCs w:val="22"/>
              </w:rPr>
              <w:t>173</w:t>
            </w:r>
          </w:p>
        </w:tc>
        <w:tc>
          <w:tcPr>
            <w:tcW w:w="1077" w:type="dxa"/>
          </w:tcPr>
          <w:p w14:paraId="18039A76" w14:textId="708FE7E6" w:rsidR="009D051F" w:rsidRDefault="009D051F" w:rsidP="003E7520">
            <w:pPr>
              <w:pStyle w:val="NoSpacing"/>
              <w:jc w:val="center"/>
              <w:rPr>
                <w:bCs/>
                <w:sz w:val="22"/>
                <w:szCs w:val="22"/>
              </w:rPr>
            </w:pPr>
            <w:r>
              <w:rPr>
                <w:bCs/>
                <w:sz w:val="22"/>
                <w:szCs w:val="22"/>
              </w:rPr>
              <w:t>154</w:t>
            </w:r>
          </w:p>
        </w:tc>
      </w:tr>
      <w:tr w:rsidR="009D051F" w:rsidRPr="00ED4599" w14:paraId="21CC4E4E" w14:textId="5D496859" w:rsidTr="009D051F">
        <w:trPr>
          <w:trHeight w:val="19"/>
        </w:trPr>
        <w:tc>
          <w:tcPr>
            <w:tcW w:w="1409" w:type="dxa"/>
            <w:vAlign w:val="center"/>
          </w:tcPr>
          <w:p w14:paraId="009E6A5D" w14:textId="77777777" w:rsidR="009D051F" w:rsidRPr="00ED4599" w:rsidRDefault="009D051F" w:rsidP="003E7520">
            <w:pPr>
              <w:jc w:val="center"/>
              <w:rPr>
                <w:bCs/>
                <w:sz w:val="22"/>
                <w:szCs w:val="22"/>
              </w:rPr>
            </w:pPr>
            <w:r w:rsidRPr="00ED4599">
              <w:rPr>
                <w:bCs/>
                <w:sz w:val="22"/>
                <w:szCs w:val="22"/>
              </w:rPr>
              <w:t>T</w:t>
            </w:r>
            <w:r w:rsidRPr="00ED4599">
              <w:rPr>
                <w:bCs/>
                <w:sz w:val="22"/>
                <w:szCs w:val="22"/>
                <w:vertAlign w:val="subscript"/>
              </w:rPr>
              <w:t>3</w:t>
            </w:r>
          </w:p>
        </w:tc>
        <w:tc>
          <w:tcPr>
            <w:tcW w:w="1429" w:type="dxa"/>
            <w:vAlign w:val="center"/>
          </w:tcPr>
          <w:p w14:paraId="58631B12" w14:textId="3728E97D" w:rsidR="009D051F" w:rsidRPr="00ED4599" w:rsidRDefault="009D051F" w:rsidP="003E7520">
            <w:pPr>
              <w:pStyle w:val="NoSpacing"/>
              <w:jc w:val="center"/>
              <w:rPr>
                <w:bCs/>
                <w:sz w:val="22"/>
                <w:szCs w:val="22"/>
              </w:rPr>
            </w:pPr>
            <w:r>
              <w:rPr>
                <w:bCs/>
                <w:sz w:val="22"/>
                <w:szCs w:val="22"/>
              </w:rPr>
              <w:t>146.5</w:t>
            </w:r>
          </w:p>
        </w:tc>
        <w:tc>
          <w:tcPr>
            <w:tcW w:w="1353" w:type="dxa"/>
            <w:vAlign w:val="center"/>
          </w:tcPr>
          <w:p w14:paraId="6D125E99" w14:textId="1513A764" w:rsidR="009D051F" w:rsidRPr="00ED4599" w:rsidRDefault="009D051F" w:rsidP="003E7520">
            <w:pPr>
              <w:pStyle w:val="NoSpacing"/>
              <w:jc w:val="center"/>
              <w:rPr>
                <w:bCs/>
                <w:sz w:val="22"/>
                <w:szCs w:val="22"/>
              </w:rPr>
            </w:pPr>
            <w:r>
              <w:rPr>
                <w:bCs/>
                <w:sz w:val="22"/>
                <w:szCs w:val="22"/>
              </w:rPr>
              <w:t>24</w:t>
            </w:r>
          </w:p>
        </w:tc>
        <w:tc>
          <w:tcPr>
            <w:tcW w:w="1426" w:type="dxa"/>
          </w:tcPr>
          <w:p w14:paraId="74C40FCF" w14:textId="07C8AC15" w:rsidR="009D051F" w:rsidRPr="00ED4599" w:rsidRDefault="009D051F" w:rsidP="003E7520">
            <w:pPr>
              <w:pStyle w:val="NoSpacing"/>
              <w:jc w:val="center"/>
              <w:rPr>
                <w:bCs/>
                <w:sz w:val="22"/>
                <w:szCs w:val="22"/>
              </w:rPr>
            </w:pPr>
            <w:r>
              <w:rPr>
                <w:bCs/>
                <w:sz w:val="22"/>
                <w:szCs w:val="22"/>
              </w:rPr>
              <w:t>13</w:t>
            </w:r>
          </w:p>
        </w:tc>
        <w:tc>
          <w:tcPr>
            <w:tcW w:w="1392" w:type="dxa"/>
          </w:tcPr>
          <w:p w14:paraId="209F7EB3" w14:textId="63F58541" w:rsidR="009D051F" w:rsidRPr="00ED4599" w:rsidRDefault="009D051F" w:rsidP="003E7520">
            <w:pPr>
              <w:pStyle w:val="NoSpacing"/>
              <w:jc w:val="center"/>
              <w:rPr>
                <w:bCs/>
                <w:sz w:val="22"/>
                <w:szCs w:val="22"/>
              </w:rPr>
            </w:pPr>
            <w:r>
              <w:rPr>
                <w:bCs/>
                <w:sz w:val="22"/>
                <w:szCs w:val="22"/>
              </w:rPr>
              <w:t>25.2</w:t>
            </w:r>
          </w:p>
        </w:tc>
        <w:tc>
          <w:tcPr>
            <w:tcW w:w="1077" w:type="dxa"/>
          </w:tcPr>
          <w:p w14:paraId="02C6132C" w14:textId="5B1AAD6D" w:rsidR="009D051F" w:rsidRDefault="009D051F" w:rsidP="003E7520">
            <w:pPr>
              <w:pStyle w:val="NoSpacing"/>
              <w:jc w:val="center"/>
              <w:rPr>
                <w:bCs/>
                <w:sz w:val="22"/>
                <w:szCs w:val="22"/>
              </w:rPr>
            </w:pPr>
            <w:r>
              <w:rPr>
                <w:bCs/>
                <w:sz w:val="22"/>
                <w:szCs w:val="22"/>
              </w:rPr>
              <w:t>152</w:t>
            </w:r>
          </w:p>
        </w:tc>
        <w:tc>
          <w:tcPr>
            <w:tcW w:w="1077" w:type="dxa"/>
          </w:tcPr>
          <w:p w14:paraId="6435031C" w14:textId="679B54B4" w:rsidR="009D051F" w:rsidRDefault="009D051F" w:rsidP="003E7520">
            <w:pPr>
              <w:pStyle w:val="NoSpacing"/>
              <w:jc w:val="center"/>
              <w:rPr>
                <w:bCs/>
                <w:sz w:val="22"/>
                <w:szCs w:val="22"/>
              </w:rPr>
            </w:pPr>
            <w:r>
              <w:rPr>
                <w:bCs/>
                <w:sz w:val="22"/>
                <w:szCs w:val="22"/>
              </w:rPr>
              <w:t>131</w:t>
            </w:r>
          </w:p>
        </w:tc>
      </w:tr>
      <w:tr w:rsidR="009D051F" w:rsidRPr="00ED4599" w14:paraId="1EF7FFCE" w14:textId="60C52EC6" w:rsidTr="009D051F">
        <w:trPr>
          <w:trHeight w:val="19"/>
        </w:trPr>
        <w:tc>
          <w:tcPr>
            <w:tcW w:w="1409" w:type="dxa"/>
            <w:vAlign w:val="center"/>
          </w:tcPr>
          <w:p w14:paraId="3BEF7BDA" w14:textId="7EA687BE" w:rsidR="009D051F" w:rsidRPr="00ED4599" w:rsidRDefault="009D051F" w:rsidP="003E7520">
            <w:pPr>
              <w:jc w:val="center"/>
              <w:rPr>
                <w:bCs/>
                <w:sz w:val="22"/>
                <w:szCs w:val="22"/>
              </w:rPr>
            </w:pPr>
            <w:r>
              <w:rPr>
                <w:bCs/>
                <w:sz w:val="22"/>
                <w:szCs w:val="22"/>
              </w:rPr>
              <w:t>Sem (±)</w:t>
            </w:r>
          </w:p>
        </w:tc>
        <w:tc>
          <w:tcPr>
            <w:tcW w:w="1429" w:type="dxa"/>
            <w:vAlign w:val="center"/>
          </w:tcPr>
          <w:p w14:paraId="6D6F3741" w14:textId="0DC512AA" w:rsidR="009D051F" w:rsidRDefault="009D051F" w:rsidP="003E7520">
            <w:pPr>
              <w:pStyle w:val="NoSpacing"/>
              <w:jc w:val="center"/>
              <w:rPr>
                <w:bCs/>
                <w:sz w:val="22"/>
                <w:szCs w:val="22"/>
              </w:rPr>
            </w:pPr>
            <w:r>
              <w:rPr>
                <w:bCs/>
                <w:sz w:val="22"/>
                <w:szCs w:val="22"/>
              </w:rPr>
              <w:t>1.21</w:t>
            </w:r>
          </w:p>
        </w:tc>
        <w:tc>
          <w:tcPr>
            <w:tcW w:w="1353" w:type="dxa"/>
            <w:vAlign w:val="center"/>
          </w:tcPr>
          <w:p w14:paraId="5EA7A961" w14:textId="6D913D8A" w:rsidR="009D051F" w:rsidRDefault="009D051F" w:rsidP="003E7520">
            <w:pPr>
              <w:pStyle w:val="NoSpacing"/>
              <w:jc w:val="center"/>
              <w:rPr>
                <w:bCs/>
                <w:sz w:val="22"/>
                <w:szCs w:val="22"/>
              </w:rPr>
            </w:pPr>
            <w:r>
              <w:rPr>
                <w:bCs/>
                <w:sz w:val="22"/>
                <w:szCs w:val="22"/>
              </w:rPr>
              <w:t>0.42</w:t>
            </w:r>
          </w:p>
        </w:tc>
        <w:tc>
          <w:tcPr>
            <w:tcW w:w="1426" w:type="dxa"/>
          </w:tcPr>
          <w:p w14:paraId="6119D650" w14:textId="33F6F3F2" w:rsidR="009D051F" w:rsidRDefault="009D051F" w:rsidP="003E7520">
            <w:pPr>
              <w:pStyle w:val="NoSpacing"/>
              <w:jc w:val="center"/>
              <w:rPr>
                <w:bCs/>
                <w:sz w:val="22"/>
                <w:szCs w:val="22"/>
              </w:rPr>
            </w:pPr>
            <w:r>
              <w:rPr>
                <w:bCs/>
                <w:sz w:val="22"/>
                <w:szCs w:val="22"/>
              </w:rPr>
              <w:t>0.37</w:t>
            </w:r>
          </w:p>
        </w:tc>
        <w:tc>
          <w:tcPr>
            <w:tcW w:w="1392" w:type="dxa"/>
          </w:tcPr>
          <w:p w14:paraId="373FA05E" w14:textId="28FFAD81" w:rsidR="009D051F" w:rsidRDefault="009D051F" w:rsidP="003E7520">
            <w:pPr>
              <w:pStyle w:val="NoSpacing"/>
              <w:jc w:val="center"/>
              <w:rPr>
                <w:bCs/>
                <w:sz w:val="22"/>
                <w:szCs w:val="22"/>
              </w:rPr>
            </w:pPr>
            <w:r>
              <w:rPr>
                <w:bCs/>
                <w:sz w:val="22"/>
                <w:szCs w:val="22"/>
              </w:rPr>
              <w:t>0.78</w:t>
            </w:r>
          </w:p>
        </w:tc>
        <w:tc>
          <w:tcPr>
            <w:tcW w:w="1077" w:type="dxa"/>
          </w:tcPr>
          <w:p w14:paraId="654A44FA" w14:textId="0B2FA02A" w:rsidR="009D051F" w:rsidRDefault="009D051F" w:rsidP="003E7520">
            <w:pPr>
              <w:pStyle w:val="NoSpacing"/>
              <w:jc w:val="center"/>
              <w:rPr>
                <w:bCs/>
                <w:sz w:val="22"/>
                <w:szCs w:val="22"/>
              </w:rPr>
            </w:pPr>
            <w:r>
              <w:rPr>
                <w:bCs/>
                <w:sz w:val="22"/>
                <w:szCs w:val="22"/>
              </w:rPr>
              <w:t>0.55</w:t>
            </w:r>
          </w:p>
        </w:tc>
        <w:tc>
          <w:tcPr>
            <w:tcW w:w="1077" w:type="dxa"/>
          </w:tcPr>
          <w:p w14:paraId="07A04776" w14:textId="31260CB8" w:rsidR="009D051F" w:rsidRDefault="009D051F" w:rsidP="003E7520">
            <w:pPr>
              <w:pStyle w:val="NoSpacing"/>
              <w:jc w:val="center"/>
              <w:rPr>
                <w:bCs/>
                <w:sz w:val="22"/>
                <w:szCs w:val="22"/>
              </w:rPr>
            </w:pPr>
            <w:r>
              <w:rPr>
                <w:bCs/>
                <w:sz w:val="22"/>
                <w:szCs w:val="22"/>
              </w:rPr>
              <w:t>0.91</w:t>
            </w:r>
          </w:p>
        </w:tc>
      </w:tr>
    </w:tbl>
    <w:p w14:paraId="3390E0EA" w14:textId="77777777" w:rsidR="00A26C12" w:rsidRDefault="00A26C12" w:rsidP="00CF1EDC">
      <w:pPr>
        <w:spacing w:line="480" w:lineRule="auto"/>
        <w:jc w:val="both"/>
        <w:rPr>
          <w:rFonts w:ascii="Times New Roman" w:hAnsi="Times New Roman" w:cs="Times New Roman"/>
          <w:b/>
          <w:bCs/>
        </w:rPr>
      </w:pPr>
    </w:p>
    <w:p w14:paraId="3D6C7B92" w14:textId="0D1E21C4" w:rsidR="00890EF7" w:rsidRDefault="00890EF7" w:rsidP="00890EF7">
      <w:pPr>
        <w:spacing w:line="480" w:lineRule="auto"/>
        <w:jc w:val="center"/>
        <w:rPr>
          <w:rFonts w:ascii="Times New Roman" w:hAnsi="Times New Roman" w:cs="Times New Roman"/>
          <w:b/>
          <w:bCs/>
        </w:rPr>
      </w:pPr>
      <w:r>
        <w:rPr>
          <w:rFonts w:ascii="Times New Roman" w:hAnsi="Times New Roman" w:cs="Times New Roman"/>
          <w:b/>
          <w:bCs/>
        </w:rPr>
        <w:t xml:space="preserve">Table </w:t>
      </w:r>
      <w:r w:rsidR="00A26C12">
        <w:rPr>
          <w:rFonts w:ascii="Times New Roman" w:hAnsi="Times New Roman" w:cs="Times New Roman"/>
          <w:b/>
          <w:bCs/>
        </w:rPr>
        <w:t>3</w:t>
      </w:r>
      <w:r>
        <w:rPr>
          <w:rFonts w:ascii="Times New Roman" w:hAnsi="Times New Roman" w:cs="Times New Roman"/>
          <w:b/>
          <w:bCs/>
        </w:rPr>
        <w:t>: Effect of treatments of sheath blight incidence and cost economics</w:t>
      </w:r>
    </w:p>
    <w:tbl>
      <w:tblPr>
        <w:tblStyle w:val="TableGrid"/>
        <w:tblW w:w="9116" w:type="dxa"/>
        <w:tblInd w:w="-147" w:type="dxa"/>
        <w:tblLook w:val="0420" w:firstRow="1" w:lastRow="0" w:firstColumn="0" w:lastColumn="0" w:noHBand="0" w:noVBand="1"/>
      </w:tblPr>
      <w:tblGrid>
        <w:gridCol w:w="1304"/>
        <w:gridCol w:w="1295"/>
        <w:gridCol w:w="1333"/>
        <w:gridCol w:w="1291"/>
        <w:gridCol w:w="1312"/>
        <w:gridCol w:w="1291"/>
        <w:gridCol w:w="1290"/>
      </w:tblGrid>
      <w:tr w:rsidR="00984C3E" w:rsidRPr="00ED4599" w14:paraId="6ABC1427" w14:textId="77777777" w:rsidTr="00984C3E">
        <w:trPr>
          <w:trHeight w:val="20"/>
        </w:trPr>
        <w:tc>
          <w:tcPr>
            <w:tcW w:w="1228" w:type="dxa"/>
            <w:vAlign w:val="center"/>
            <w:hideMark/>
          </w:tcPr>
          <w:p w14:paraId="6EBA4BA5" w14:textId="4905FEDF" w:rsidR="00984C3E" w:rsidRPr="00723027" w:rsidRDefault="00984C3E" w:rsidP="003E7520">
            <w:pPr>
              <w:jc w:val="center"/>
              <w:rPr>
                <w:b/>
                <w:sz w:val="22"/>
                <w:szCs w:val="22"/>
              </w:rPr>
            </w:pPr>
            <w:r w:rsidRPr="00723027">
              <w:rPr>
                <w:b/>
                <w:sz w:val="22"/>
                <w:szCs w:val="22"/>
              </w:rPr>
              <w:t>Treatments</w:t>
            </w:r>
          </w:p>
        </w:tc>
        <w:tc>
          <w:tcPr>
            <w:tcW w:w="1311" w:type="dxa"/>
            <w:vAlign w:val="center"/>
            <w:hideMark/>
          </w:tcPr>
          <w:p w14:paraId="405FBFF6" w14:textId="77777777" w:rsidR="00984C3E" w:rsidRPr="00723027" w:rsidRDefault="00984C3E" w:rsidP="003E7520">
            <w:pPr>
              <w:jc w:val="center"/>
              <w:rPr>
                <w:b/>
                <w:sz w:val="22"/>
                <w:szCs w:val="22"/>
              </w:rPr>
            </w:pPr>
            <w:r w:rsidRPr="00723027">
              <w:rPr>
                <w:b/>
                <w:sz w:val="22"/>
                <w:szCs w:val="22"/>
              </w:rPr>
              <w:t xml:space="preserve">Yield </w:t>
            </w:r>
          </w:p>
          <w:p w14:paraId="34541C28" w14:textId="77777777" w:rsidR="00984C3E" w:rsidRPr="00723027" w:rsidRDefault="00984C3E" w:rsidP="003E7520">
            <w:pPr>
              <w:jc w:val="center"/>
              <w:rPr>
                <w:b/>
                <w:sz w:val="22"/>
                <w:szCs w:val="22"/>
              </w:rPr>
            </w:pPr>
            <w:r w:rsidRPr="00723027">
              <w:rPr>
                <w:b/>
                <w:sz w:val="22"/>
                <w:szCs w:val="22"/>
              </w:rPr>
              <w:t>(</w:t>
            </w:r>
            <w:r>
              <w:rPr>
                <w:b/>
                <w:sz w:val="22"/>
                <w:szCs w:val="22"/>
              </w:rPr>
              <w:t>q</w:t>
            </w:r>
            <w:r w:rsidRPr="00723027">
              <w:rPr>
                <w:b/>
                <w:sz w:val="22"/>
                <w:szCs w:val="22"/>
              </w:rPr>
              <w:t xml:space="preserve"> ha</w:t>
            </w:r>
            <w:r w:rsidRPr="00723027">
              <w:rPr>
                <w:b/>
                <w:sz w:val="22"/>
                <w:szCs w:val="22"/>
                <w:vertAlign w:val="superscript"/>
              </w:rPr>
              <w:t>-1</w:t>
            </w:r>
            <w:r w:rsidRPr="00723027">
              <w:rPr>
                <w:b/>
                <w:sz w:val="22"/>
                <w:szCs w:val="22"/>
              </w:rPr>
              <w:t>)</w:t>
            </w:r>
          </w:p>
        </w:tc>
        <w:tc>
          <w:tcPr>
            <w:tcW w:w="1341" w:type="dxa"/>
            <w:vAlign w:val="center"/>
            <w:hideMark/>
          </w:tcPr>
          <w:p w14:paraId="19C8F191" w14:textId="77777777" w:rsidR="00984C3E" w:rsidRPr="00723027" w:rsidRDefault="00984C3E" w:rsidP="003E7520">
            <w:pPr>
              <w:jc w:val="center"/>
              <w:rPr>
                <w:b/>
                <w:sz w:val="22"/>
                <w:szCs w:val="22"/>
              </w:rPr>
            </w:pPr>
            <w:r w:rsidRPr="00723027">
              <w:rPr>
                <w:b/>
                <w:sz w:val="22"/>
                <w:szCs w:val="22"/>
              </w:rPr>
              <w:t>Increase in yield (%)</w:t>
            </w:r>
          </w:p>
        </w:tc>
        <w:tc>
          <w:tcPr>
            <w:tcW w:w="1304" w:type="dxa"/>
            <w:vAlign w:val="center"/>
            <w:hideMark/>
          </w:tcPr>
          <w:p w14:paraId="4CE802A5" w14:textId="77777777" w:rsidR="00984C3E" w:rsidRPr="00723027" w:rsidRDefault="00984C3E" w:rsidP="003E7520">
            <w:pPr>
              <w:jc w:val="center"/>
              <w:rPr>
                <w:b/>
                <w:sz w:val="22"/>
                <w:szCs w:val="22"/>
              </w:rPr>
            </w:pPr>
            <w:r w:rsidRPr="00723027">
              <w:rPr>
                <w:b/>
                <w:sz w:val="22"/>
                <w:szCs w:val="22"/>
              </w:rPr>
              <w:t>Cost</w:t>
            </w:r>
          </w:p>
          <w:p w14:paraId="7BBA4BE7" w14:textId="77777777" w:rsidR="00984C3E" w:rsidRPr="00723027" w:rsidRDefault="00984C3E" w:rsidP="003E7520">
            <w:pPr>
              <w:jc w:val="center"/>
              <w:rPr>
                <w:b/>
                <w:sz w:val="22"/>
                <w:szCs w:val="22"/>
              </w:rPr>
            </w:pPr>
            <w:r w:rsidRPr="00723027">
              <w:rPr>
                <w:b/>
                <w:noProof/>
                <w:sz w:val="22"/>
                <w:szCs w:val="22"/>
                <w:cs/>
                <w:lang w:bidi="te-IN"/>
              </w:rPr>
              <w:t>(</w:t>
            </w:r>
            <w:r w:rsidRPr="00723027">
              <w:rPr>
                <w:b/>
                <w:noProof/>
                <w:sz w:val="22"/>
                <w:szCs w:val="22"/>
                <w:lang w:bidi="te-IN"/>
              </w:rPr>
              <w:t>Rs ha</w:t>
            </w:r>
            <w:r w:rsidRPr="00723027">
              <w:rPr>
                <w:b/>
                <w:noProof/>
                <w:sz w:val="22"/>
                <w:szCs w:val="22"/>
                <w:vertAlign w:val="superscript"/>
                <w:lang w:bidi="te-IN"/>
              </w:rPr>
              <w:t>-1</w:t>
            </w:r>
            <w:r w:rsidRPr="00723027">
              <w:rPr>
                <w:b/>
                <w:noProof/>
                <w:sz w:val="22"/>
                <w:szCs w:val="22"/>
                <w:cs/>
                <w:lang w:bidi="te-IN"/>
              </w:rPr>
              <w:t>)</w:t>
            </w:r>
          </w:p>
        </w:tc>
        <w:tc>
          <w:tcPr>
            <w:tcW w:w="1322" w:type="dxa"/>
            <w:vAlign w:val="center"/>
            <w:hideMark/>
          </w:tcPr>
          <w:p w14:paraId="34FEE690" w14:textId="77777777" w:rsidR="00984C3E" w:rsidRPr="00723027" w:rsidRDefault="00984C3E" w:rsidP="003E7520">
            <w:pPr>
              <w:jc w:val="center"/>
              <w:rPr>
                <w:b/>
                <w:sz w:val="22"/>
                <w:szCs w:val="22"/>
              </w:rPr>
            </w:pPr>
            <w:r w:rsidRPr="00723027">
              <w:rPr>
                <w:b/>
                <w:sz w:val="22"/>
                <w:szCs w:val="22"/>
              </w:rPr>
              <w:t xml:space="preserve">Gross returns </w:t>
            </w:r>
          </w:p>
          <w:p w14:paraId="31DFEFB7" w14:textId="77777777" w:rsidR="00984C3E" w:rsidRPr="00723027" w:rsidRDefault="00984C3E" w:rsidP="003E7520">
            <w:pPr>
              <w:jc w:val="center"/>
              <w:rPr>
                <w:b/>
                <w:sz w:val="22"/>
                <w:szCs w:val="22"/>
              </w:rPr>
            </w:pPr>
            <w:r w:rsidRPr="00723027">
              <w:rPr>
                <w:b/>
                <w:noProof/>
                <w:sz w:val="22"/>
                <w:szCs w:val="22"/>
                <w:cs/>
                <w:lang w:bidi="te-IN"/>
              </w:rPr>
              <w:t>(</w:t>
            </w:r>
            <w:r w:rsidRPr="00723027">
              <w:rPr>
                <w:b/>
                <w:noProof/>
                <w:sz w:val="22"/>
                <w:szCs w:val="22"/>
                <w:lang w:bidi="te-IN"/>
              </w:rPr>
              <w:t>Rs ha</w:t>
            </w:r>
            <w:r w:rsidRPr="00723027">
              <w:rPr>
                <w:b/>
                <w:noProof/>
                <w:sz w:val="22"/>
                <w:szCs w:val="22"/>
                <w:vertAlign w:val="superscript"/>
                <w:lang w:bidi="te-IN"/>
              </w:rPr>
              <w:t>-1</w:t>
            </w:r>
            <w:r w:rsidRPr="00723027">
              <w:rPr>
                <w:b/>
                <w:noProof/>
                <w:sz w:val="22"/>
                <w:szCs w:val="22"/>
                <w:cs/>
                <w:lang w:bidi="te-IN"/>
              </w:rPr>
              <w:t>)</w:t>
            </w:r>
          </w:p>
        </w:tc>
        <w:tc>
          <w:tcPr>
            <w:tcW w:w="1304" w:type="dxa"/>
            <w:vAlign w:val="center"/>
            <w:hideMark/>
          </w:tcPr>
          <w:p w14:paraId="76FC0B4E" w14:textId="77777777" w:rsidR="00984C3E" w:rsidRPr="00723027" w:rsidRDefault="00984C3E" w:rsidP="003E7520">
            <w:pPr>
              <w:jc w:val="center"/>
              <w:rPr>
                <w:b/>
                <w:sz w:val="22"/>
                <w:szCs w:val="22"/>
              </w:rPr>
            </w:pPr>
            <w:r w:rsidRPr="00723027">
              <w:rPr>
                <w:b/>
                <w:sz w:val="22"/>
                <w:szCs w:val="22"/>
              </w:rPr>
              <w:t>Net profit</w:t>
            </w:r>
          </w:p>
          <w:p w14:paraId="3E4AA8A5" w14:textId="77777777" w:rsidR="00984C3E" w:rsidRPr="00723027" w:rsidRDefault="00984C3E" w:rsidP="003E7520">
            <w:pPr>
              <w:jc w:val="center"/>
              <w:rPr>
                <w:b/>
                <w:sz w:val="22"/>
                <w:szCs w:val="22"/>
              </w:rPr>
            </w:pPr>
            <w:r w:rsidRPr="00723027">
              <w:rPr>
                <w:b/>
                <w:noProof/>
                <w:sz w:val="22"/>
                <w:szCs w:val="22"/>
                <w:cs/>
                <w:lang w:bidi="te-IN"/>
              </w:rPr>
              <w:t>(</w:t>
            </w:r>
            <w:r w:rsidRPr="00723027">
              <w:rPr>
                <w:b/>
                <w:noProof/>
                <w:sz w:val="22"/>
                <w:szCs w:val="22"/>
                <w:lang w:bidi="te-IN"/>
              </w:rPr>
              <w:t>Rs ha</w:t>
            </w:r>
            <w:r w:rsidRPr="00723027">
              <w:rPr>
                <w:b/>
                <w:noProof/>
                <w:sz w:val="22"/>
                <w:szCs w:val="22"/>
                <w:vertAlign w:val="superscript"/>
                <w:lang w:bidi="te-IN"/>
              </w:rPr>
              <w:t>-1</w:t>
            </w:r>
            <w:r w:rsidRPr="00723027">
              <w:rPr>
                <w:b/>
                <w:noProof/>
                <w:sz w:val="22"/>
                <w:szCs w:val="22"/>
                <w:cs/>
                <w:lang w:bidi="te-IN"/>
              </w:rPr>
              <w:t>)</w:t>
            </w:r>
          </w:p>
        </w:tc>
        <w:tc>
          <w:tcPr>
            <w:tcW w:w="1306" w:type="dxa"/>
            <w:vAlign w:val="center"/>
            <w:hideMark/>
          </w:tcPr>
          <w:p w14:paraId="51349EC7" w14:textId="77777777" w:rsidR="00984C3E" w:rsidRPr="00723027" w:rsidRDefault="00984C3E" w:rsidP="003E7520">
            <w:pPr>
              <w:jc w:val="center"/>
              <w:rPr>
                <w:b/>
                <w:sz w:val="22"/>
                <w:szCs w:val="22"/>
              </w:rPr>
            </w:pPr>
            <w:r w:rsidRPr="00723027">
              <w:rPr>
                <w:b/>
                <w:sz w:val="22"/>
                <w:szCs w:val="22"/>
              </w:rPr>
              <w:t>B:C</w:t>
            </w:r>
          </w:p>
        </w:tc>
      </w:tr>
      <w:tr w:rsidR="00984C3E" w:rsidRPr="00ED4599" w14:paraId="5D9763F2" w14:textId="77777777" w:rsidTr="00984C3E">
        <w:trPr>
          <w:trHeight w:val="20"/>
        </w:trPr>
        <w:tc>
          <w:tcPr>
            <w:tcW w:w="1228" w:type="dxa"/>
            <w:vAlign w:val="center"/>
            <w:hideMark/>
          </w:tcPr>
          <w:p w14:paraId="4C5E1088" w14:textId="77777777" w:rsidR="00984C3E" w:rsidRPr="00ED4599" w:rsidRDefault="00984C3E" w:rsidP="003E7520">
            <w:pPr>
              <w:jc w:val="center"/>
              <w:rPr>
                <w:bCs/>
                <w:sz w:val="22"/>
                <w:szCs w:val="22"/>
              </w:rPr>
            </w:pPr>
            <w:r w:rsidRPr="00ED4599">
              <w:rPr>
                <w:bCs/>
                <w:sz w:val="22"/>
                <w:szCs w:val="22"/>
              </w:rPr>
              <w:t>T</w:t>
            </w:r>
            <w:r w:rsidRPr="00ED4599">
              <w:rPr>
                <w:bCs/>
                <w:sz w:val="22"/>
                <w:szCs w:val="22"/>
                <w:vertAlign w:val="subscript"/>
              </w:rPr>
              <w:t>1</w:t>
            </w:r>
          </w:p>
        </w:tc>
        <w:tc>
          <w:tcPr>
            <w:tcW w:w="1311" w:type="dxa"/>
            <w:vAlign w:val="center"/>
          </w:tcPr>
          <w:p w14:paraId="2761816C" w14:textId="77777777" w:rsidR="00984C3E" w:rsidRPr="00ED4599" w:rsidRDefault="00984C3E" w:rsidP="003E7520">
            <w:pPr>
              <w:jc w:val="center"/>
              <w:rPr>
                <w:bCs/>
                <w:sz w:val="22"/>
                <w:szCs w:val="22"/>
              </w:rPr>
            </w:pPr>
            <w:r w:rsidRPr="00ED4599">
              <w:rPr>
                <w:bCs/>
                <w:sz w:val="22"/>
                <w:szCs w:val="22"/>
              </w:rPr>
              <w:t>63</w:t>
            </w:r>
            <w:r>
              <w:rPr>
                <w:bCs/>
                <w:sz w:val="22"/>
                <w:szCs w:val="22"/>
              </w:rPr>
              <w:t>.</w:t>
            </w:r>
            <w:r w:rsidRPr="00ED4599">
              <w:rPr>
                <w:bCs/>
                <w:sz w:val="22"/>
                <w:szCs w:val="22"/>
              </w:rPr>
              <w:t>1</w:t>
            </w:r>
            <w:r>
              <w:rPr>
                <w:bCs/>
                <w:sz w:val="22"/>
                <w:szCs w:val="22"/>
              </w:rPr>
              <w:t>3</w:t>
            </w:r>
          </w:p>
        </w:tc>
        <w:tc>
          <w:tcPr>
            <w:tcW w:w="1341" w:type="dxa"/>
            <w:vAlign w:val="center"/>
          </w:tcPr>
          <w:p w14:paraId="62AEC4F4" w14:textId="77777777" w:rsidR="00984C3E" w:rsidRPr="00ED4599" w:rsidRDefault="00984C3E" w:rsidP="003E7520">
            <w:pPr>
              <w:jc w:val="center"/>
              <w:rPr>
                <w:bCs/>
                <w:sz w:val="22"/>
                <w:szCs w:val="22"/>
              </w:rPr>
            </w:pPr>
            <w:r w:rsidRPr="00ED4599">
              <w:rPr>
                <w:bCs/>
                <w:sz w:val="22"/>
                <w:szCs w:val="22"/>
              </w:rPr>
              <w:t>5.8</w:t>
            </w:r>
          </w:p>
        </w:tc>
        <w:tc>
          <w:tcPr>
            <w:tcW w:w="1304" w:type="dxa"/>
            <w:vAlign w:val="center"/>
          </w:tcPr>
          <w:p w14:paraId="65C6B1BC" w14:textId="77777777" w:rsidR="00984C3E" w:rsidRPr="00ED4599" w:rsidRDefault="00984C3E" w:rsidP="003E7520">
            <w:pPr>
              <w:jc w:val="center"/>
              <w:rPr>
                <w:bCs/>
                <w:sz w:val="22"/>
                <w:szCs w:val="22"/>
              </w:rPr>
            </w:pPr>
            <w:r w:rsidRPr="00ED4599">
              <w:rPr>
                <w:bCs/>
                <w:sz w:val="22"/>
                <w:szCs w:val="22"/>
              </w:rPr>
              <w:t>74313</w:t>
            </w:r>
          </w:p>
        </w:tc>
        <w:tc>
          <w:tcPr>
            <w:tcW w:w="1322" w:type="dxa"/>
            <w:vAlign w:val="center"/>
          </w:tcPr>
          <w:p w14:paraId="129D651F" w14:textId="77777777" w:rsidR="00984C3E" w:rsidRPr="00ED4599" w:rsidRDefault="00984C3E" w:rsidP="003E7520">
            <w:pPr>
              <w:jc w:val="center"/>
              <w:rPr>
                <w:bCs/>
                <w:sz w:val="22"/>
                <w:szCs w:val="22"/>
              </w:rPr>
            </w:pPr>
            <w:r w:rsidRPr="00ED4599">
              <w:rPr>
                <w:bCs/>
                <w:sz w:val="22"/>
                <w:szCs w:val="22"/>
              </w:rPr>
              <w:t>142031</w:t>
            </w:r>
          </w:p>
        </w:tc>
        <w:tc>
          <w:tcPr>
            <w:tcW w:w="1304" w:type="dxa"/>
            <w:vAlign w:val="center"/>
          </w:tcPr>
          <w:p w14:paraId="3B3D1859" w14:textId="77777777" w:rsidR="00984C3E" w:rsidRPr="00ED4599" w:rsidRDefault="00984C3E" w:rsidP="003E7520">
            <w:pPr>
              <w:jc w:val="center"/>
              <w:rPr>
                <w:bCs/>
                <w:sz w:val="22"/>
                <w:szCs w:val="22"/>
              </w:rPr>
            </w:pPr>
            <w:r w:rsidRPr="00ED4599">
              <w:rPr>
                <w:bCs/>
                <w:sz w:val="22"/>
                <w:szCs w:val="22"/>
              </w:rPr>
              <w:t>67719</w:t>
            </w:r>
          </w:p>
        </w:tc>
        <w:tc>
          <w:tcPr>
            <w:tcW w:w="1306" w:type="dxa"/>
            <w:vAlign w:val="center"/>
          </w:tcPr>
          <w:p w14:paraId="31DBF01D" w14:textId="77777777" w:rsidR="00984C3E" w:rsidRPr="00ED4599" w:rsidRDefault="00984C3E" w:rsidP="003E7520">
            <w:pPr>
              <w:jc w:val="center"/>
              <w:rPr>
                <w:bCs/>
                <w:sz w:val="22"/>
                <w:szCs w:val="22"/>
              </w:rPr>
            </w:pPr>
            <w:r w:rsidRPr="00ED4599">
              <w:rPr>
                <w:bCs/>
                <w:sz w:val="22"/>
                <w:szCs w:val="22"/>
              </w:rPr>
              <w:t>1.91: 1</w:t>
            </w:r>
          </w:p>
        </w:tc>
      </w:tr>
      <w:tr w:rsidR="00984C3E" w:rsidRPr="00ED4599" w14:paraId="38F5C895" w14:textId="77777777" w:rsidTr="00984C3E">
        <w:trPr>
          <w:trHeight w:val="20"/>
        </w:trPr>
        <w:tc>
          <w:tcPr>
            <w:tcW w:w="1228" w:type="dxa"/>
            <w:vAlign w:val="center"/>
            <w:hideMark/>
          </w:tcPr>
          <w:p w14:paraId="13E22BD6" w14:textId="77777777" w:rsidR="00984C3E" w:rsidRPr="00ED4599" w:rsidRDefault="00984C3E" w:rsidP="003E7520">
            <w:pPr>
              <w:jc w:val="center"/>
              <w:rPr>
                <w:bCs/>
                <w:sz w:val="22"/>
                <w:szCs w:val="22"/>
              </w:rPr>
            </w:pPr>
            <w:r w:rsidRPr="00ED4599">
              <w:rPr>
                <w:bCs/>
                <w:sz w:val="22"/>
                <w:szCs w:val="22"/>
              </w:rPr>
              <w:t>T</w:t>
            </w:r>
            <w:r w:rsidRPr="00ED4599">
              <w:rPr>
                <w:bCs/>
                <w:sz w:val="22"/>
                <w:szCs w:val="22"/>
                <w:vertAlign w:val="subscript"/>
              </w:rPr>
              <w:t>2</w:t>
            </w:r>
          </w:p>
        </w:tc>
        <w:tc>
          <w:tcPr>
            <w:tcW w:w="1311" w:type="dxa"/>
            <w:vAlign w:val="center"/>
          </w:tcPr>
          <w:p w14:paraId="78B1E9D2" w14:textId="77777777" w:rsidR="00984C3E" w:rsidRPr="00ED4599" w:rsidRDefault="00984C3E" w:rsidP="003E7520">
            <w:pPr>
              <w:jc w:val="center"/>
              <w:rPr>
                <w:bCs/>
                <w:sz w:val="22"/>
                <w:szCs w:val="22"/>
              </w:rPr>
            </w:pPr>
            <w:r w:rsidRPr="00ED4599">
              <w:rPr>
                <w:bCs/>
                <w:sz w:val="22"/>
                <w:szCs w:val="22"/>
              </w:rPr>
              <w:t>61</w:t>
            </w:r>
            <w:r>
              <w:rPr>
                <w:bCs/>
                <w:sz w:val="22"/>
                <w:szCs w:val="22"/>
              </w:rPr>
              <w:t>.</w:t>
            </w:r>
            <w:r w:rsidRPr="00ED4599">
              <w:rPr>
                <w:bCs/>
                <w:sz w:val="22"/>
                <w:szCs w:val="22"/>
              </w:rPr>
              <w:t>56</w:t>
            </w:r>
          </w:p>
        </w:tc>
        <w:tc>
          <w:tcPr>
            <w:tcW w:w="1341" w:type="dxa"/>
            <w:vAlign w:val="center"/>
          </w:tcPr>
          <w:p w14:paraId="5C6404EA" w14:textId="77777777" w:rsidR="00984C3E" w:rsidRPr="00ED4599" w:rsidRDefault="00984C3E" w:rsidP="003E7520">
            <w:pPr>
              <w:jc w:val="center"/>
              <w:rPr>
                <w:bCs/>
                <w:sz w:val="22"/>
                <w:szCs w:val="22"/>
              </w:rPr>
            </w:pPr>
            <w:r w:rsidRPr="00ED4599">
              <w:rPr>
                <w:bCs/>
                <w:sz w:val="22"/>
                <w:szCs w:val="22"/>
              </w:rPr>
              <w:t>3.1</w:t>
            </w:r>
          </w:p>
        </w:tc>
        <w:tc>
          <w:tcPr>
            <w:tcW w:w="1304" w:type="dxa"/>
            <w:vAlign w:val="center"/>
          </w:tcPr>
          <w:p w14:paraId="041D66F1" w14:textId="77777777" w:rsidR="00984C3E" w:rsidRPr="00ED4599" w:rsidRDefault="00984C3E" w:rsidP="003E7520">
            <w:pPr>
              <w:jc w:val="center"/>
              <w:rPr>
                <w:bCs/>
                <w:sz w:val="22"/>
                <w:szCs w:val="22"/>
              </w:rPr>
            </w:pPr>
            <w:r w:rsidRPr="00ED4599">
              <w:rPr>
                <w:bCs/>
                <w:sz w:val="22"/>
                <w:szCs w:val="22"/>
              </w:rPr>
              <w:t>77550</w:t>
            </w:r>
          </w:p>
        </w:tc>
        <w:tc>
          <w:tcPr>
            <w:tcW w:w="1322" w:type="dxa"/>
            <w:vAlign w:val="center"/>
          </w:tcPr>
          <w:p w14:paraId="7702EE89" w14:textId="77777777" w:rsidR="00984C3E" w:rsidRPr="00ED4599" w:rsidRDefault="00984C3E" w:rsidP="003E7520">
            <w:pPr>
              <w:jc w:val="center"/>
              <w:rPr>
                <w:bCs/>
                <w:sz w:val="22"/>
                <w:szCs w:val="22"/>
              </w:rPr>
            </w:pPr>
            <w:r w:rsidRPr="00ED4599">
              <w:rPr>
                <w:bCs/>
                <w:sz w:val="22"/>
                <w:szCs w:val="22"/>
              </w:rPr>
              <w:t>138516</w:t>
            </w:r>
          </w:p>
        </w:tc>
        <w:tc>
          <w:tcPr>
            <w:tcW w:w="1304" w:type="dxa"/>
            <w:vAlign w:val="center"/>
          </w:tcPr>
          <w:p w14:paraId="4685E672" w14:textId="77777777" w:rsidR="00984C3E" w:rsidRPr="00ED4599" w:rsidRDefault="00984C3E" w:rsidP="003E7520">
            <w:pPr>
              <w:jc w:val="center"/>
              <w:rPr>
                <w:bCs/>
                <w:sz w:val="22"/>
                <w:szCs w:val="22"/>
              </w:rPr>
            </w:pPr>
            <w:r w:rsidRPr="00ED4599">
              <w:rPr>
                <w:bCs/>
                <w:sz w:val="22"/>
                <w:szCs w:val="22"/>
              </w:rPr>
              <w:t>60966</w:t>
            </w:r>
          </w:p>
        </w:tc>
        <w:tc>
          <w:tcPr>
            <w:tcW w:w="1306" w:type="dxa"/>
            <w:vAlign w:val="center"/>
          </w:tcPr>
          <w:p w14:paraId="19E673D1" w14:textId="77777777" w:rsidR="00984C3E" w:rsidRPr="00ED4599" w:rsidRDefault="00984C3E" w:rsidP="003E7520">
            <w:pPr>
              <w:jc w:val="center"/>
              <w:rPr>
                <w:bCs/>
                <w:sz w:val="22"/>
                <w:szCs w:val="22"/>
              </w:rPr>
            </w:pPr>
            <w:r w:rsidRPr="00ED4599">
              <w:rPr>
                <w:bCs/>
                <w:sz w:val="22"/>
                <w:szCs w:val="22"/>
              </w:rPr>
              <w:t>1.79:</w:t>
            </w:r>
            <w:r>
              <w:rPr>
                <w:bCs/>
                <w:sz w:val="22"/>
                <w:szCs w:val="22"/>
              </w:rPr>
              <w:t xml:space="preserve"> </w:t>
            </w:r>
            <w:r w:rsidRPr="00ED4599">
              <w:rPr>
                <w:bCs/>
                <w:sz w:val="22"/>
                <w:szCs w:val="22"/>
              </w:rPr>
              <w:t>1</w:t>
            </w:r>
          </w:p>
        </w:tc>
      </w:tr>
      <w:tr w:rsidR="00984C3E" w:rsidRPr="00ED4599" w14:paraId="39672AC5" w14:textId="77777777" w:rsidTr="00984C3E">
        <w:trPr>
          <w:trHeight w:val="20"/>
        </w:trPr>
        <w:tc>
          <w:tcPr>
            <w:tcW w:w="1228" w:type="dxa"/>
            <w:vAlign w:val="center"/>
          </w:tcPr>
          <w:p w14:paraId="481CC3AF" w14:textId="77777777" w:rsidR="00984C3E" w:rsidRPr="00ED4599" w:rsidRDefault="00984C3E" w:rsidP="003E7520">
            <w:pPr>
              <w:jc w:val="center"/>
              <w:rPr>
                <w:bCs/>
                <w:sz w:val="22"/>
                <w:szCs w:val="22"/>
              </w:rPr>
            </w:pPr>
            <w:r w:rsidRPr="00ED4599">
              <w:rPr>
                <w:bCs/>
                <w:sz w:val="22"/>
                <w:szCs w:val="22"/>
              </w:rPr>
              <w:t>T</w:t>
            </w:r>
            <w:r w:rsidRPr="00ED4599">
              <w:rPr>
                <w:bCs/>
                <w:sz w:val="22"/>
                <w:szCs w:val="22"/>
                <w:vertAlign w:val="subscript"/>
              </w:rPr>
              <w:t>3</w:t>
            </w:r>
          </w:p>
        </w:tc>
        <w:tc>
          <w:tcPr>
            <w:tcW w:w="1311" w:type="dxa"/>
            <w:vAlign w:val="center"/>
          </w:tcPr>
          <w:p w14:paraId="1C92B7F9" w14:textId="77777777" w:rsidR="00984C3E" w:rsidRPr="00ED4599" w:rsidRDefault="00984C3E" w:rsidP="003E7520">
            <w:pPr>
              <w:jc w:val="center"/>
              <w:rPr>
                <w:bCs/>
                <w:sz w:val="22"/>
                <w:szCs w:val="22"/>
              </w:rPr>
            </w:pPr>
            <w:r w:rsidRPr="00ED4599">
              <w:rPr>
                <w:bCs/>
                <w:sz w:val="22"/>
                <w:szCs w:val="22"/>
              </w:rPr>
              <w:t>59</w:t>
            </w:r>
            <w:r>
              <w:rPr>
                <w:bCs/>
                <w:sz w:val="22"/>
                <w:szCs w:val="22"/>
              </w:rPr>
              <w:t>.</w:t>
            </w:r>
            <w:r w:rsidRPr="00ED4599">
              <w:rPr>
                <w:bCs/>
                <w:sz w:val="22"/>
                <w:szCs w:val="22"/>
              </w:rPr>
              <w:t>68</w:t>
            </w:r>
          </w:p>
        </w:tc>
        <w:tc>
          <w:tcPr>
            <w:tcW w:w="1341" w:type="dxa"/>
            <w:vAlign w:val="center"/>
          </w:tcPr>
          <w:p w14:paraId="43A88022" w14:textId="77777777" w:rsidR="00984C3E" w:rsidRPr="00ED4599" w:rsidRDefault="00984C3E" w:rsidP="003E7520">
            <w:pPr>
              <w:jc w:val="center"/>
              <w:rPr>
                <w:bCs/>
                <w:sz w:val="22"/>
                <w:szCs w:val="22"/>
              </w:rPr>
            </w:pPr>
            <w:r w:rsidRPr="00ED4599">
              <w:rPr>
                <w:bCs/>
                <w:sz w:val="22"/>
                <w:szCs w:val="22"/>
              </w:rPr>
              <w:t>-</w:t>
            </w:r>
          </w:p>
        </w:tc>
        <w:tc>
          <w:tcPr>
            <w:tcW w:w="1304" w:type="dxa"/>
            <w:vAlign w:val="center"/>
          </w:tcPr>
          <w:p w14:paraId="3248666E" w14:textId="77777777" w:rsidR="00984C3E" w:rsidRPr="00ED4599" w:rsidRDefault="00984C3E" w:rsidP="003E7520">
            <w:pPr>
              <w:jc w:val="center"/>
              <w:rPr>
                <w:bCs/>
                <w:sz w:val="22"/>
                <w:szCs w:val="22"/>
              </w:rPr>
            </w:pPr>
            <w:r w:rsidRPr="00ED4599">
              <w:rPr>
                <w:bCs/>
                <w:sz w:val="22"/>
                <w:szCs w:val="22"/>
              </w:rPr>
              <w:t>80788</w:t>
            </w:r>
          </w:p>
        </w:tc>
        <w:tc>
          <w:tcPr>
            <w:tcW w:w="1322" w:type="dxa"/>
            <w:vAlign w:val="center"/>
          </w:tcPr>
          <w:p w14:paraId="1E8E47C7" w14:textId="77777777" w:rsidR="00984C3E" w:rsidRPr="00ED4599" w:rsidRDefault="00984C3E" w:rsidP="003E7520">
            <w:pPr>
              <w:jc w:val="center"/>
              <w:rPr>
                <w:bCs/>
                <w:sz w:val="22"/>
                <w:szCs w:val="22"/>
              </w:rPr>
            </w:pPr>
            <w:r w:rsidRPr="00ED4599">
              <w:rPr>
                <w:bCs/>
                <w:sz w:val="22"/>
                <w:szCs w:val="22"/>
              </w:rPr>
              <w:t>134297</w:t>
            </w:r>
          </w:p>
        </w:tc>
        <w:tc>
          <w:tcPr>
            <w:tcW w:w="1304" w:type="dxa"/>
            <w:vAlign w:val="center"/>
          </w:tcPr>
          <w:p w14:paraId="53647183" w14:textId="77777777" w:rsidR="00984C3E" w:rsidRPr="00ED4599" w:rsidRDefault="00984C3E" w:rsidP="003E7520">
            <w:pPr>
              <w:jc w:val="center"/>
              <w:rPr>
                <w:bCs/>
                <w:sz w:val="22"/>
                <w:szCs w:val="22"/>
              </w:rPr>
            </w:pPr>
            <w:r w:rsidRPr="00ED4599">
              <w:rPr>
                <w:bCs/>
                <w:sz w:val="22"/>
                <w:szCs w:val="22"/>
              </w:rPr>
              <w:t>53509</w:t>
            </w:r>
          </w:p>
        </w:tc>
        <w:tc>
          <w:tcPr>
            <w:tcW w:w="1306" w:type="dxa"/>
            <w:vAlign w:val="center"/>
          </w:tcPr>
          <w:p w14:paraId="4F638EB9" w14:textId="77777777" w:rsidR="00984C3E" w:rsidRPr="00ED4599" w:rsidRDefault="00984C3E" w:rsidP="003E7520">
            <w:pPr>
              <w:jc w:val="center"/>
              <w:rPr>
                <w:bCs/>
                <w:sz w:val="22"/>
                <w:szCs w:val="22"/>
              </w:rPr>
            </w:pPr>
            <w:r w:rsidRPr="00ED4599">
              <w:rPr>
                <w:bCs/>
                <w:sz w:val="22"/>
                <w:szCs w:val="22"/>
              </w:rPr>
              <w:t>1.66:</w:t>
            </w:r>
            <w:r>
              <w:rPr>
                <w:bCs/>
                <w:sz w:val="22"/>
                <w:szCs w:val="22"/>
              </w:rPr>
              <w:t xml:space="preserve"> </w:t>
            </w:r>
            <w:r w:rsidRPr="00ED4599">
              <w:rPr>
                <w:bCs/>
                <w:sz w:val="22"/>
                <w:szCs w:val="22"/>
              </w:rPr>
              <w:t>1</w:t>
            </w:r>
          </w:p>
        </w:tc>
      </w:tr>
    </w:tbl>
    <w:p w14:paraId="42E88EC7" w14:textId="77777777" w:rsidR="00890EF7" w:rsidRDefault="00890EF7" w:rsidP="00890EF7">
      <w:pPr>
        <w:spacing w:line="480" w:lineRule="auto"/>
        <w:jc w:val="center"/>
        <w:rPr>
          <w:rFonts w:ascii="Times New Roman" w:hAnsi="Times New Roman" w:cs="Times New Roman"/>
          <w:b/>
          <w:bCs/>
        </w:rPr>
      </w:pPr>
    </w:p>
    <w:p w14:paraId="03263488" w14:textId="58E96A86" w:rsidR="00B178F8" w:rsidRDefault="00B178F8" w:rsidP="00CF1EDC">
      <w:pPr>
        <w:spacing w:line="480" w:lineRule="auto"/>
        <w:jc w:val="both"/>
        <w:rPr>
          <w:rFonts w:ascii="Times New Roman" w:hAnsi="Times New Roman" w:cs="Times New Roman"/>
          <w:b/>
          <w:bCs/>
        </w:rPr>
      </w:pPr>
      <w:r>
        <w:rPr>
          <w:rFonts w:ascii="Times New Roman" w:hAnsi="Times New Roman" w:cs="Times New Roman"/>
          <w:b/>
          <w:bCs/>
        </w:rPr>
        <w:t>CONCLUSION</w:t>
      </w:r>
    </w:p>
    <w:p w14:paraId="3DD31F0C" w14:textId="21726443" w:rsidR="00A87386" w:rsidRPr="00A87386" w:rsidRDefault="00A87386" w:rsidP="00533D05">
      <w:pPr>
        <w:spacing w:line="480" w:lineRule="auto"/>
        <w:ind w:right="-46"/>
        <w:jc w:val="both"/>
        <w:rPr>
          <w:rFonts w:ascii="Times New Roman" w:hAnsi="Times New Roman" w:cs="Times New Roman"/>
        </w:rPr>
      </w:pPr>
      <w:r w:rsidRPr="00A87386">
        <w:rPr>
          <w:rFonts w:ascii="Times New Roman" w:hAnsi="Times New Roman" w:cs="Times New Roman"/>
        </w:rPr>
        <w:t xml:space="preserve">The results </w:t>
      </w:r>
      <w:proofErr w:type="spellStart"/>
      <w:r w:rsidRPr="00A87386">
        <w:rPr>
          <w:rFonts w:ascii="Times New Roman" w:hAnsi="Times New Roman" w:cs="Times New Roman"/>
        </w:rPr>
        <w:t>form</w:t>
      </w:r>
      <w:proofErr w:type="spellEnd"/>
      <w:r w:rsidRPr="00A87386">
        <w:rPr>
          <w:rFonts w:ascii="Times New Roman" w:hAnsi="Times New Roman" w:cs="Times New Roman"/>
        </w:rPr>
        <w:t xml:space="preserve"> the current study </w:t>
      </w:r>
      <w:r w:rsidR="00533D05">
        <w:rPr>
          <w:rFonts w:ascii="Times New Roman" w:hAnsi="Times New Roman" w:cs="Times New Roman"/>
        </w:rPr>
        <w:t xml:space="preserve">clearly indicated that adoption of integrated </w:t>
      </w:r>
      <w:r w:rsidR="00D45790">
        <w:rPr>
          <w:rFonts w:ascii="Times New Roman" w:hAnsi="Times New Roman" w:cs="Times New Roman"/>
        </w:rPr>
        <w:t xml:space="preserve">disease </w:t>
      </w:r>
      <w:r w:rsidR="00533D05">
        <w:rPr>
          <w:rFonts w:ascii="Times New Roman" w:hAnsi="Times New Roman" w:cs="Times New Roman"/>
        </w:rPr>
        <w:t xml:space="preserve">management practices viz., </w:t>
      </w:r>
      <w:r w:rsidR="00533D05" w:rsidRPr="00CF1EDC">
        <w:rPr>
          <w:rFonts w:ascii="Times New Roman" w:hAnsi="Times New Roman" w:cs="Times New Roman"/>
          <w:bCs/>
          <w:lang w:bidi="ar-SA"/>
        </w:rPr>
        <w:t xml:space="preserve">Seed treatment with </w:t>
      </w:r>
      <w:r w:rsidR="00533D05" w:rsidRPr="00CF1EDC">
        <w:rPr>
          <w:rFonts w:ascii="Times New Roman" w:hAnsi="Times New Roman" w:cs="Times New Roman"/>
          <w:bCs/>
          <w:i/>
          <w:iCs/>
          <w:lang w:bidi="ar-SA"/>
        </w:rPr>
        <w:t>Pseudomonas fluorescens</w:t>
      </w:r>
      <w:r w:rsidR="00533D05" w:rsidRPr="00CF1EDC">
        <w:rPr>
          <w:rFonts w:ascii="Times New Roman" w:hAnsi="Times New Roman" w:cs="Times New Roman"/>
          <w:bCs/>
          <w:lang w:bidi="ar-SA"/>
        </w:rPr>
        <w:t xml:space="preserve"> @ 10 g/ kg seed, Intermittent drying of the field, Provision of proper drainage facility to the field, use of recommended dose of nitrogenous fertilizers, removal of weeds in the field and on the bunds, Need based </w:t>
      </w:r>
      <w:r w:rsidR="00533D05" w:rsidRPr="00CF1EDC">
        <w:rPr>
          <w:rFonts w:ascii="Times New Roman" w:hAnsi="Times New Roman" w:cs="Times New Roman"/>
          <w:bCs/>
          <w:lang w:val="en-GB" w:bidi="ar-SA"/>
        </w:rPr>
        <w:t>sprays of Azoxystrobin +Tebuconazole @ 1.5 ml/l at 5-7 days interval</w:t>
      </w:r>
      <w:r w:rsidR="00D45790">
        <w:rPr>
          <w:rFonts w:ascii="Times New Roman" w:hAnsi="Times New Roman" w:cs="Times New Roman"/>
          <w:bCs/>
          <w:lang w:val="en-GB" w:bidi="ar-SA"/>
        </w:rPr>
        <w:t xml:space="preserve"> </w:t>
      </w:r>
      <w:r w:rsidR="00533D05">
        <w:rPr>
          <w:rFonts w:ascii="Times New Roman" w:hAnsi="Times New Roman" w:cs="Times New Roman"/>
        </w:rPr>
        <w:t>ha</w:t>
      </w:r>
      <w:r w:rsidR="00D45790">
        <w:rPr>
          <w:rFonts w:ascii="Times New Roman" w:hAnsi="Times New Roman" w:cs="Times New Roman"/>
        </w:rPr>
        <w:t>d</w:t>
      </w:r>
      <w:r w:rsidR="00533D05">
        <w:rPr>
          <w:rFonts w:ascii="Times New Roman" w:hAnsi="Times New Roman" w:cs="Times New Roman"/>
        </w:rPr>
        <w:t xml:space="preserve"> significantly reduced sheath blight incidence </w:t>
      </w:r>
      <w:r w:rsidR="00D45790">
        <w:rPr>
          <w:rFonts w:ascii="Times New Roman" w:hAnsi="Times New Roman" w:cs="Times New Roman"/>
        </w:rPr>
        <w:t xml:space="preserve">by 57.4 per cent </w:t>
      </w:r>
      <w:r w:rsidR="00F63F93">
        <w:rPr>
          <w:rFonts w:ascii="Times New Roman" w:hAnsi="Times New Roman" w:cs="Times New Roman"/>
        </w:rPr>
        <w:t xml:space="preserve">and 51.4 per cent disease severity </w:t>
      </w:r>
      <w:r w:rsidR="00533D05">
        <w:rPr>
          <w:rFonts w:ascii="Times New Roman" w:hAnsi="Times New Roman" w:cs="Times New Roman"/>
        </w:rPr>
        <w:t xml:space="preserve">in an eco-friendly manner with </w:t>
      </w:r>
      <w:r w:rsidR="00D45790">
        <w:rPr>
          <w:rFonts w:ascii="Times New Roman" w:hAnsi="Times New Roman" w:cs="Times New Roman"/>
        </w:rPr>
        <w:t>5.8 per cent increased</w:t>
      </w:r>
      <w:r w:rsidR="00533D05">
        <w:rPr>
          <w:rFonts w:ascii="Times New Roman" w:hAnsi="Times New Roman" w:cs="Times New Roman"/>
        </w:rPr>
        <w:t xml:space="preserve"> yields when compared to farmers practice.</w:t>
      </w:r>
      <w:r w:rsidR="00EB20C8">
        <w:rPr>
          <w:rFonts w:ascii="Times New Roman" w:hAnsi="Times New Roman" w:cs="Times New Roman"/>
        </w:rPr>
        <w:t xml:space="preserve"> </w:t>
      </w:r>
    </w:p>
    <w:p w14:paraId="50C0051B" w14:textId="77777777" w:rsidR="00C06746" w:rsidRDefault="00C06746" w:rsidP="00CF1EDC">
      <w:pPr>
        <w:spacing w:line="480" w:lineRule="auto"/>
        <w:jc w:val="both"/>
        <w:rPr>
          <w:rFonts w:ascii="Times New Roman" w:hAnsi="Times New Roman" w:cs="Times New Roman"/>
          <w:b/>
          <w:bCs/>
        </w:rPr>
      </w:pPr>
      <w:r>
        <w:rPr>
          <w:rFonts w:ascii="Times New Roman" w:hAnsi="Times New Roman" w:cs="Times New Roman"/>
          <w:b/>
          <w:bCs/>
        </w:rPr>
        <w:t>DISCLAIMER</w:t>
      </w:r>
    </w:p>
    <w:p w14:paraId="4F0B378A" w14:textId="71839DCA" w:rsidR="000308BA" w:rsidRPr="00B608EC" w:rsidRDefault="000308BA" w:rsidP="000308BA">
      <w:pPr>
        <w:spacing w:line="480" w:lineRule="auto"/>
        <w:jc w:val="both"/>
        <w:rPr>
          <w:rFonts w:ascii="Times New Roman" w:eastAsia="Calibri" w:hAnsi="Times New Roman" w:cs="Times New Roman"/>
        </w:rPr>
      </w:pPr>
      <w:r w:rsidRPr="00B608EC">
        <w:rPr>
          <w:rFonts w:ascii="Times New Roman" w:eastAsia="Calibri" w:hAnsi="Times New Roman" w:cs="Times New Roman"/>
        </w:rPr>
        <w:t>Author(s) hereby declares that NO generative AI technologies such as Large Language Models (</w:t>
      </w:r>
      <w:proofErr w:type="spellStart"/>
      <w:r w:rsidRPr="00B608EC">
        <w:rPr>
          <w:rFonts w:ascii="Times New Roman" w:eastAsia="Calibri" w:hAnsi="Times New Roman" w:cs="Times New Roman"/>
        </w:rPr>
        <w:t>ChatGPT</w:t>
      </w:r>
      <w:proofErr w:type="spellEnd"/>
      <w:r w:rsidRPr="00B608EC">
        <w:rPr>
          <w:rFonts w:ascii="Times New Roman" w:eastAsia="Calibri" w:hAnsi="Times New Roman" w:cs="Times New Roman"/>
        </w:rPr>
        <w:t xml:space="preserve">, COPILOT, etc.) and text-to-image generators have been used during the writing or editing of this manuscript. </w:t>
      </w:r>
    </w:p>
    <w:p w14:paraId="191C6690" w14:textId="79DC8DF5" w:rsidR="005F15D1" w:rsidRPr="00CF1EDC" w:rsidRDefault="000773D2">
      <w:pPr>
        <w:rPr>
          <w:rFonts w:ascii="Times New Roman" w:hAnsi="Times New Roman" w:cs="Times New Roman"/>
          <w:b/>
          <w:bCs/>
        </w:rPr>
      </w:pPr>
      <w:bookmarkStart w:id="1" w:name="_GoBack"/>
      <w:bookmarkEnd w:id="1"/>
      <w:r w:rsidRPr="00CF1EDC">
        <w:rPr>
          <w:rFonts w:ascii="Times New Roman" w:hAnsi="Times New Roman" w:cs="Times New Roman"/>
          <w:b/>
          <w:bCs/>
        </w:rPr>
        <w:lastRenderedPageBreak/>
        <w:t xml:space="preserve">REFERENCES </w:t>
      </w:r>
    </w:p>
    <w:p w14:paraId="5DE38CFF" w14:textId="77777777" w:rsidR="00D43554" w:rsidRDefault="00D43554" w:rsidP="00EB20C8">
      <w:pPr>
        <w:ind w:left="720" w:hanging="720"/>
        <w:jc w:val="both"/>
        <w:rPr>
          <w:rFonts w:ascii="Times New Roman" w:hAnsi="Times New Roman" w:cs="Times New Roman"/>
        </w:rPr>
      </w:pPr>
      <w:r w:rsidRPr="00CF1EDC">
        <w:rPr>
          <w:rFonts w:ascii="Times New Roman" w:hAnsi="Times New Roman" w:cs="Times New Roman"/>
        </w:rPr>
        <w:t>Andhra Pradesh Agricultural Statistics at a glance, 2022-23</w:t>
      </w:r>
    </w:p>
    <w:p w14:paraId="59D77260" w14:textId="7CF364D0" w:rsidR="00AF2B4C" w:rsidRDefault="00AF2B4C" w:rsidP="00EB20C8">
      <w:pPr>
        <w:ind w:left="720" w:hanging="720"/>
        <w:jc w:val="both"/>
        <w:rPr>
          <w:rFonts w:ascii="Times New Roman" w:hAnsi="Times New Roman" w:cs="Times New Roman"/>
        </w:rPr>
      </w:pPr>
      <w:proofErr w:type="spellStart"/>
      <w:r>
        <w:rPr>
          <w:rFonts w:ascii="Times New Roman" w:hAnsi="Times New Roman" w:cs="Times New Roman"/>
        </w:rPr>
        <w:t>Bhunkal</w:t>
      </w:r>
      <w:proofErr w:type="spellEnd"/>
      <w:r>
        <w:rPr>
          <w:rFonts w:ascii="Times New Roman" w:hAnsi="Times New Roman" w:cs="Times New Roman"/>
        </w:rPr>
        <w:t>, N., Singh, R., &amp; Mehta, N. 2015. Assessment of losses and identification of slow blighting genotypes against sheath blight in rice. Journal of Mycology and Plant pathology. 45: 285-292</w:t>
      </w:r>
    </w:p>
    <w:p w14:paraId="0849053F" w14:textId="57383D10" w:rsidR="00555B0F" w:rsidRPr="00555B0F" w:rsidRDefault="00555B0F" w:rsidP="00EB20C8">
      <w:pPr>
        <w:ind w:left="720" w:hanging="720"/>
        <w:jc w:val="both"/>
        <w:rPr>
          <w:rFonts w:ascii="Times New Roman" w:hAnsi="Times New Roman" w:cs="Times New Roman"/>
        </w:rPr>
      </w:pPr>
      <w:r>
        <w:rPr>
          <w:rFonts w:ascii="Times New Roman" w:hAnsi="Times New Roman" w:cs="Times New Roman"/>
        </w:rPr>
        <w:t xml:space="preserve">Bag, M. K., Yadav, M., &amp; Mukherjee, A. K. 2016. </w:t>
      </w:r>
      <w:proofErr w:type="spellStart"/>
      <w:r>
        <w:rPr>
          <w:rFonts w:ascii="Times New Roman" w:hAnsi="Times New Roman" w:cs="Times New Roman"/>
        </w:rPr>
        <w:t>Bioefficacy</w:t>
      </w:r>
      <w:proofErr w:type="spellEnd"/>
      <w:r>
        <w:rPr>
          <w:rFonts w:ascii="Times New Roman" w:hAnsi="Times New Roman" w:cs="Times New Roman"/>
        </w:rPr>
        <w:t xml:space="preserve"> of </w:t>
      </w:r>
      <w:proofErr w:type="spellStart"/>
      <w:r>
        <w:rPr>
          <w:rFonts w:ascii="Times New Roman" w:hAnsi="Times New Roman" w:cs="Times New Roman"/>
        </w:rPr>
        <w:t>strobilurin</w:t>
      </w:r>
      <w:proofErr w:type="spellEnd"/>
      <w:r>
        <w:rPr>
          <w:rFonts w:ascii="Times New Roman" w:hAnsi="Times New Roman" w:cs="Times New Roman"/>
        </w:rPr>
        <w:t xml:space="preserve"> based fungicides against rice sheath blight disease. </w:t>
      </w:r>
      <w:r>
        <w:rPr>
          <w:rFonts w:ascii="Times New Roman" w:hAnsi="Times New Roman" w:cs="Times New Roman"/>
          <w:i/>
          <w:iCs/>
        </w:rPr>
        <w:t xml:space="preserve">Transcriptomics. </w:t>
      </w:r>
      <w:r>
        <w:rPr>
          <w:rFonts w:ascii="Times New Roman" w:hAnsi="Times New Roman" w:cs="Times New Roman"/>
        </w:rPr>
        <w:t>4</w:t>
      </w:r>
      <w:r w:rsidR="000B3E56">
        <w:rPr>
          <w:rFonts w:ascii="Times New Roman" w:hAnsi="Times New Roman" w:cs="Times New Roman"/>
        </w:rPr>
        <w:t xml:space="preserve"> (1)</w:t>
      </w:r>
      <w:r>
        <w:rPr>
          <w:rFonts w:ascii="Times New Roman" w:hAnsi="Times New Roman" w:cs="Times New Roman"/>
        </w:rPr>
        <w:t>: 12</w:t>
      </w:r>
      <w:r w:rsidR="00A1231A">
        <w:rPr>
          <w:rFonts w:ascii="Times New Roman" w:hAnsi="Times New Roman" w:cs="Times New Roman"/>
        </w:rPr>
        <w:t>8</w:t>
      </w:r>
    </w:p>
    <w:p w14:paraId="575EDA2A" w14:textId="4B4745AE" w:rsidR="00256FA1" w:rsidRDefault="00256FA1" w:rsidP="00EB20C8">
      <w:pPr>
        <w:ind w:left="720" w:hanging="720"/>
        <w:jc w:val="both"/>
        <w:rPr>
          <w:rFonts w:ascii="Times New Roman" w:hAnsi="Times New Roman" w:cs="Times New Roman"/>
        </w:rPr>
      </w:pPr>
      <w:r>
        <w:rPr>
          <w:rFonts w:ascii="Times New Roman" w:hAnsi="Times New Roman" w:cs="Times New Roman"/>
        </w:rPr>
        <w:t xml:space="preserve">Chahal, D.S., &amp; </w:t>
      </w:r>
      <w:proofErr w:type="spellStart"/>
      <w:r>
        <w:rPr>
          <w:rFonts w:ascii="Times New Roman" w:hAnsi="Times New Roman" w:cs="Times New Roman"/>
        </w:rPr>
        <w:t>Paracer</w:t>
      </w:r>
      <w:proofErr w:type="spellEnd"/>
      <w:r>
        <w:rPr>
          <w:rFonts w:ascii="Times New Roman" w:hAnsi="Times New Roman" w:cs="Times New Roman"/>
        </w:rPr>
        <w:t xml:space="preserve">, C. S. 1963. Sheath blight of rice caused by </w:t>
      </w:r>
      <w:proofErr w:type="spellStart"/>
      <w:r w:rsidRPr="00256FA1">
        <w:rPr>
          <w:rFonts w:ascii="Times New Roman" w:hAnsi="Times New Roman" w:cs="Times New Roman"/>
          <w:i/>
          <w:iCs/>
        </w:rPr>
        <w:t>Rhizoctonia</w:t>
      </w:r>
      <w:proofErr w:type="spellEnd"/>
      <w:r w:rsidRPr="00256FA1">
        <w:rPr>
          <w:rFonts w:ascii="Times New Roman" w:hAnsi="Times New Roman" w:cs="Times New Roman"/>
          <w:i/>
          <w:iCs/>
        </w:rPr>
        <w:t xml:space="preserve"> </w:t>
      </w:r>
      <w:proofErr w:type="spellStart"/>
      <w:r w:rsidRPr="00256FA1">
        <w:rPr>
          <w:rFonts w:ascii="Times New Roman" w:hAnsi="Times New Roman" w:cs="Times New Roman"/>
          <w:i/>
          <w:iCs/>
        </w:rPr>
        <w:t>solani</w:t>
      </w:r>
      <w:proofErr w:type="spellEnd"/>
      <w:r>
        <w:rPr>
          <w:rFonts w:ascii="Times New Roman" w:hAnsi="Times New Roman" w:cs="Times New Roman"/>
        </w:rPr>
        <w:t xml:space="preserve"> Kuhn – A new record in India. </w:t>
      </w:r>
      <w:r w:rsidRPr="00256FA1">
        <w:rPr>
          <w:rFonts w:ascii="Times New Roman" w:hAnsi="Times New Roman" w:cs="Times New Roman"/>
          <w:i/>
          <w:iCs/>
        </w:rPr>
        <w:t>Current Sciences</w:t>
      </w:r>
      <w:r>
        <w:rPr>
          <w:rFonts w:ascii="Times New Roman" w:hAnsi="Times New Roman" w:cs="Times New Roman"/>
        </w:rPr>
        <w:t>. 32: 328-329</w:t>
      </w:r>
    </w:p>
    <w:p w14:paraId="3A071DFD" w14:textId="1A695E99" w:rsidR="003F5F8C" w:rsidRDefault="003F5F8C" w:rsidP="00EB20C8">
      <w:pPr>
        <w:ind w:left="720" w:hanging="720"/>
        <w:jc w:val="both"/>
        <w:rPr>
          <w:rFonts w:ascii="Times New Roman" w:hAnsi="Times New Roman" w:cs="Times New Roman"/>
        </w:rPr>
      </w:pPr>
      <w:r>
        <w:rPr>
          <w:rFonts w:ascii="Times New Roman" w:hAnsi="Times New Roman" w:cs="Times New Roman"/>
        </w:rPr>
        <w:t xml:space="preserve">Feng, S., Shu, C. Wang., Jian, S., &amp; Zhou, E. 2017. Survival of </w:t>
      </w:r>
      <w:proofErr w:type="spellStart"/>
      <w:r w:rsidRPr="00186EBB">
        <w:rPr>
          <w:rFonts w:ascii="Times New Roman" w:hAnsi="Times New Roman" w:cs="Times New Roman"/>
          <w:i/>
          <w:iCs/>
        </w:rPr>
        <w:t>Rhizoctonia</w:t>
      </w:r>
      <w:proofErr w:type="spellEnd"/>
      <w:r w:rsidRPr="00186EBB">
        <w:rPr>
          <w:rFonts w:ascii="Times New Roman" w:hAnsi="Times New Roman" w:cs="Times New Roman"/>
          <w:i/>
          <w:iCs/>
        </w:rPr>
        <w:t xml:space="preserve"> </w:t>
      </w:r>
      <w:proofErr w:type="spellStart"/>
      <w:r w:rsidRPr="00186EBB">
        <w:rPr>
          <w:rFonts w:ascii="Times New Roman" w:hAnsi="Times New Roman" w:cs="Times New Roman"/>
          <w:i/>
          <w:iCs/>
        </w:rPr>
        <w:t>solani</w:t>
      </w:r>
      <w:proofErr w:type="spellEnd"/>
      <w:r>
        <w:rPr>
          <w:rFonts w:ascii="Times New Roman" w:hAnsi="Times New Roman" w:cs="Times New Roman"/>
        </w:rPr>
        <w:t xml:space="preserve"> AG – 1 IA, the causal agent of RSB, under different environmental conditions</w:t>
      </w:r>
      <w:r w:rsidRPr="00186EBB">
        <w:rPr>
          <w:rFonts w:ascii="Times New Roman" w:hAnsi="Times New Roman" w:cs="Times New Roman"/>
          <w:i/>
          <w:iCs/>
        </w:rPr>
        <w:t>. Journal of Phytopathology</w:t>
      </w:r>
      <w:r>
        <w:rPr>
          <w:rFonts w:ascii="Times New Roman" w:hAnsi="Times New Roman" w:cs="Times New Roman"/>
        </w:rPr>
        <w:t>. 165</w:t>
      </w:r>
      <w:r w:rsidR="00F70906">
        <w:rPr>
          <w:rFonts w:ascii="Times New Roman" w:hAnsi="Times New Roman" w:cs="Times New Roman"/>
        </w:rPr>
        <w:t xml:space="preserve"> </w:t>
      </w:r>
      <w:r>
        <w:rPr>
          <w:rFonts w:ascii="Times New Roman" w:hAnsi="Times New Roman" w:cs="Times New Roman"/>
        </w:rPr>
        <w:t>(1): 44-52.</w:t>
      </w:r>
    </w:p>
    <w:p w14:paraId="091BB2BE" w14:textId="697EE764" w:rsidR="00765EA9" w:rsidRDefault="00765EA9" w:rsidP="00EB20C8">
      <w:pPr>
        <w:ind w:left="720" w:hanging="720"/>
        <w:jc w:val="both"/>
        <w:rPr>
          <w:rFonts w:ascii="Times New Roman" w:hAnsi="Times New Roman" w:cs="Times New Roman"/>
        </w:rPr>
      </w:pPr>
      <w:r>
        <w:rPr>
          <w:rFonts w:ascii="Times New Roman" w:hAnsi="Times New Roman" w:cs="Times New Roman"/>
        </w:rPr>
        <w:t xml:space="preserve">Kohli, C. K. 1966. Pathogenicity and host range studies on paddy sheath blight pathogen </w:t>
      </w:r>
      <w:proofErr w:type="spellStart"/>
      <w:r w:rsidRPr="006A0345">
        <w:rPr>
          <w:rFonts w:ascii="Times New Roman" w:hAnsi="Times New Roman" w:cs="Times New Roman"/>
          <w:i/>
          <w:iCs/>
        </w:rPr>
        <w:t>Rhizoctonia</w:t>
      </w:r>
      <w:proofErr w:type="spellEnd"/>
      <w:r w:rsidRPr="006A0345">
        <w:rPr>
          <w:rFonts w:ascii="Times New Roman" w:hAnsi="Times New Roman" w:cs="Times New Roman"/>
          <w:i/>
          <w:iCs/>
        </w:rPr>
        <w:t xml:space="preserve"> </w:t>
      </w:r>
      <w:proofErr w:type="spellStart"/>
      <w:r w:rsidRPr="006A0345">
        <w:rPr>
          <w:rFonts w:ascii="Times New Roman" w:hAnsi="Times New Roman" w:cs="Times New Roman"/>
          <w:i/>
          <w:iCs/>
        </w:rPr>
        <w:t>solani</w:t>
      </w:r>
      <w:proofErr w:type="spellEnd"/>
      <w:r>
        <w:rPr>
          <w:rFonts w:ascii="Times New Roman" w:hAnsi="Times New Roman" w:cs="Times New Roman"/>
        </w:rPr>
        <w:t xml:space="preserve"> Kuhn. </w:t>
      </w:r>
      <w:r w:rsidRPr="00765EA9">
        <w:rPr>
          <w:rFonts w:ascii="Times New Roman" w:hAnsi="Times New Roman" w:cs="Times New Roman"/>
          <w:i/>
          <w:iCs/>
        </w:rPr>
        <w:t>Journal and Research.</w:t>
      </w:r>
      <w:r>
        <w:rPr>
          <w:rFonts w:ascii="Times New Roman" w:hAnsi="Times New Roman" w:cs="Times New Roman"/>
        </w:rPr>
        <w:t xml:space="preserve"> </w:t>
      </w:r>
      <w:r w:rsidRPr="00765EA9">
        <w:rPr>
          <w:rFonts w:ascii="Times New Roman" w:hAnsi="Times New Roman" w:cs="Times New Roman"/>
          <w:i/>
          <w:iCs/>
        </w:rPr>
        <w:t>Punjab Agricultural University</w:t>
      </w:r>
      <w:r>
        <w:rPr>
          <w:rFonts w:ascii="Times New Roman" w:hAnsi="Times New Roman" w:cs="Times New Roman"/>
        </w:rPr>
        <w:t>. 3: 7-40.</w:t>
      </w:r>
    </w:p>
    <w:p w14:paraId="1A62593E" w14:textId="211CBAE7" w:rsidR="00CC4DCD" w:rsidRDefault="00CC4DCD" w:rsidP="00EB20C8">
      <w:pPr>
        <w:ind w:left="720" w:hanging="720"/>
        <w:jc w:val="both"/>
        <w:rPr>
          <w:rFonts w:ascii="Times New Roman" w:hAnsi="Times New Roman" w:cs="Times New Roman"/>
        </w:rPr>
      </w:pPr>
      <w:r>
        <w:rPr>
          <w:rFonts w:ascii="Times New Roman" w:hAnsi="Times New Roman" w:cs="Times New Roman"/>
        </w:rPr>
        <w:t xml:space="preserve">Kumar, B. 2021. Validation of integrated management modules against </w:t>
      </w:r>
      <w:proofErr w:type="spellStart"/>
      <w:r>
        <w:rPr>
          <w:rFonts w:ascii="Times New Roman" w:hAnsi="Times New Roman" w:cs="Times New Roman"/>
        </w:rPr>
        <w:t>sheah</w:t>
      </w:r>
      <w:proofErr w:type="spellEnd"/>
      <w:r>
        <w:rPr>
          <w:rFonts w:ascii="Times New Roman" w:hAnsi="Times New Roman" w:cs="Times New Roman"/>
        </w:rPr>
        <w:t xml:space="preserve"> </w:t>
      </w:r>
      <w:proofErr w:type="spellStart"/>
      <w:r>
        <w:rPr>
          <w:rFonts w:ascii="Times New Roman" w:hAnsi="Times New Roman" w:cs="Times New Roman"/>
        </w:rPr>
        <w:t>bligh</w:t>
      </w:r>
      <w:proofErr w:type="spellEnd"/>
      <w:r>
        <w:rPr>
          <w:rFonts w:ascii="Times New Roman" w:hAnsi="Times New Roman" w:cs="Times New Roman"/>
        </w:rPr>
        <w:t xml:space="preserve"> disease of rice. Indian Phytopathology. 74: 235-239.</w:t>
      </w:r>
    </w:p>
    <w:p w14:paraId="033F0045" w14:textId="6B82F79E" w:rsidR="000C45FA" w:rsidRDefault="000C45FA" w:rsidP="00EB20C8">
      <w:pPr>
        <w:ind w:left="720" w:hanging="720"/>
        <w:jc w:val="both"/>
        <w:rPr>
          <w:rFonts w:ascii="Times New Roman" w:hAnsi="Times New Roman" w:cs="Times New Roman"/>
        </w:rPr>
      </w:pPr>
      <w:r>
        <w:rPr>
          <w:rFonts w:ascii="Times New Roman" w:hAnsi="Times New Roman" w:cs="Times New Roman"/>
        </w:rPr>
        <w:t xml:space="preserve">Kumar, P., Kumar, A., &amp; Singh, R. 2019. Integrated management of </w:t>
      </w:r>
      <w:proofErr w:type="spellStart"/>
      <w:r w:rsidRPr="000C45FA">
        <w:rPr>
          <w:rFonts w:ascii="Times New Roman" w:hAnsi="Times New Roman" w:cs="Times New Roman"/>
          <w:i/>
          <w:iCs/>
        </w:rPr>
        <w:t>Rhizoctonia</w:t>
      </w:r>
      <w:proofErr w:type="spellEnd"/>
      <w:r w:rsidRPr="000C45FA">
        <w:rPr>
          <w:rFonts w:ascii="Times New Roman" w:hAnsi="Times New Roman" w:cs="Times New Roman"/>
          <w:i/>
          <w:iCs/>
        </w:rPr>
        <w:t xml:space="preserve"> </w:t>
      </w:r>
      <w:proofErr w:type="spellStart"/>
      <w:r w:rsidRPr="000C45FA">
        <w:rPr>
          <w:rFonts w:ascii="Times New Roman" w:hAnsi="Times New Roman" w:cs="Times New Roman"/>
          <w:i/>
          <w:iCs/>
        </w:rPr>
        <w:t>solani</w:t>
      </w:r>
      <w:proofErr w:type="spellEnd"/>
      <w:r>
        <w:rPr>
          <w:rFonts w:ascii="Times New Roman" w:hAnsi="Times New Roman" w:cs="Times New Roman"/>
        </w:rPr>
        <w:t xml:space="preserve"> causing sheath blight of rice (</w:t>
      </w:r>
      <w:r w:rsidRPr="000C45FA">
        <w:rPr>
          <w:rFonts w:ascii="Times New Roman" w:hAnsi="Times New Roman" w:cs="Times New Roman"/>
          <w:i/>
          <w:iCs/>
        </w:rPr>
        <w:t>Oryza sativa</w:t>
      </w:r>
      <w:r>
        <w:rPr>
          <w:rFonts w:ascii="Times New Roman" w:hAnsi="Times New Roman" w:cs="Times New Roman"/>
        </w:rPr>
        <w:t xml:space="preserve">). </w:t>
      </w:r>
      <w:r w:rsidRPr="000C45FA">
        <w:rPr>
          <w:rFonts w:ascii="Times New Roman" w:hAnsi="Times New Roman" w:cs="Times New Roman"/>
          <w:i/>
          <w:iCs/>
        </w:rPr>
        <w:t>Indian Journal of Agricultural Sciences</w:t>
      </w:r>
      <w:r>
        <w:rPr>
          <w:rFonts w:ascii="Times New Roman" w:hAnsi="Times New Roman" w:cs="Times New Roman"/>
        </w:rPr>
        <w:t>. 89: 2079-2084.</w:t>
      </w:r>
    </w:p>
    <w:p w14:paraId="6B25A180" w14:textId="08567E92" w:rsidR="006A0345" w:rsidRDefault="006A0345" w:rsidP="00EB20C8">
      <w:pPr>
        <w:ind w:left="720" w:hanging="720"/>
        <w:jc w:val="both"/>
        <w:rPr>
          <w:rFonts w:ascii="Times New Roman" w:hAnsi="Times New Roman" w:cs="Times New Roman"/>
        </w:rPr>
      </w:pPr>
      <w:r>
        <w:rPr>
          <w:rFonts w:ascii="Times New Roman" w:hAnsi="Times New Roman" w:cs="Times New Roman"/>
        </w:rPr>
        <w:t xml:space="preserve">Mohanty, S., Mahapatra, S., </w:t>
      </w:r>
      <w:proofErr w:type="spellStart"/>
      <w:r>
        <w:rPr>
          <w:rFonts w:ascii="Times New Roman" w:hAnsi="Times New Roman" w:cs="Times New Roman"/>
        </w:rPr>
        <w:t>Khandual</w:t>
      </w:r>
      <w:proofErr w:type="spellEnd"/>
      <w:r>
        <w:rPr>
          <w:rFonts w:ascii="Times New Roman" w:hAnsi="Times New Roman" w:cs="Times New Roman"/>
        </w:rPr>
        <w:t xml:space="preserve">, A., </w:t>
      </w:r>
      <w:proofErr w:type="spellStart"/>
      <w:r>
        <w:rPr>
          <w:rFonts w:ascii="Times New Roman" w:hAnsi="Times New Roman" w:cs="Times New Roman"/>
        </w:rPr>
        <w:t>Koshale</w:t>
      </w:r>
      <w:proofErr w:type="spellEnd"/>
      <w:r>
        <w:rPr>
          <w:rFonts w:ascii="Times New Roman" w:hAnsi="Times New Roman" w:cs="Times New Roman"/>
        </w:rPr>
        <w:t xml:space="preserve">, K., &amp; Mukherjee, A. 2020. Impact of fungicides on </w:t>
      </w:r>
      <w:proofErr w:type="spellStart"/>
      <w:r w:rsidRPr="006A0345">
        <w:rPr>
          <w:rFonts w:ascii="Times New Roman" w:hAnsi="Times New Roman" w:cs="Times New Roman"/>
          <w:i/>
          <w:iCs/>
        </w:rPr>
        <w:t>Rhizoctonia</w:t>
      </w:r>
      <w:proofErr w:type="spellEnd"/>
      <w:r w:rsidRPr="006A0345">
        <w:rPr>
          <w:rFonts w:ascii="Times New Roman" w:hAnsi="Times New Roman" w:cs="Times New Roman"/>
          <w:i/>
          <w:iCs/>
        </w:rPr>
        <w:t xml:space="preserve"> </w:t>
      </w:r>
      <w:proofErr w:type="spellStart"/>
      <w:r w:rsidRPr="006A0345">
        <w:rPr>
          <w:rFonts w:ascii="Times New Roman" w:hAnsi="Times New Roman" w:cs="Times New Roman"/>
          <w:i/>
          <w:iCs/>
        </w:rPr>
        <w:t>solani</w:t>
      </w:r>
      <w:proofErr w:type="spellEnd"/>
      <w:r>
        <w:rPr>
          <w:rFonts w:ascii="Times New Roman" w:hAnsi="Times New Roman" w:cs="Times New Roman"/>
        </w:rPr>
        <w:t xml:space="preserve"> Kuhn causing sheath blight disease of rice. International journal of Chemical Studies. 8 (3): 2759-2762.</w:t>
      </w:r>
    </w:p>
    <w:p w14:paraId="37DD285A" w14:textId="6500B04E" w:rsidR="00023493" w:rsidRDefault="00023493" w:rsidP="00EB20C8">
      <w:pPr>
        <w:ind w:left="720" w:hanging="720"/>
        <w:jc w:val="both"/>
        <w:rPr>
          <w:rFonts w:ascii="Times New Roman" w:hAnsi="Times New Roman" w:cs="Times New Roman"/>
        </w:rPr>
      </w:pPr>
      <w:proofErr w:type="spellStart"/>
      <w:r>
        <w:rPr>
          <w:rFonts w:ascii="Times New Roman" w:hAnsi="Times New Roman" w:cs="Times New Roman"/>
        </w:rPr>
        <w:t>Mohd</w:t>
      </w:r>
      <w:proofErr w:type="spellEnd"/>
      <w:r>
        <w:rPr>
          <w:rFonts w:ascii="Times New Roman" w:hAnsi="Times New Roman" w:cs="Times New Roman"/>
        </w:rPr>
        <w:t xml:space="preserve"> Ali., Ramji Singh., </w:t>
      </w:r>
      <w:proofErr w:type="spellStart"/>
      <w:r>
        <w:rPr>
          <w:rFonts w:ascii="Times New Roman" w:hAnsi="Times New Roman" w:cs="Times New Roman"/>
        </w:rPr>
        <w:t>Mehi</w:t>
      </w:r>
      <w:proofErr w:type="spellEnd"/>
      <w:r>
        <w:rPr>
          <w:rFonts w:ascii="Times New Roman" w:hAnsi="Times New Roman" w:cs="Times New Roman"/>
        </w:rPr>
        <w:t xml:space="preserve"> Lal., </w:t>
      </w:r>
      <w:proofErr w:type="spellStart"/>
      <w:r>
        <w:rPr>
          <w:rFonts w:ascii="Times New Roman" w:hAnsi="Times New Roman" w:cs="Times New Roman"/>
        </w:rPr>
        <w:t>Sorabh</w:t>
      </w:r>
      <w:proofErr w:type="spellEnd"/>
      <w:r>
        <w:rPr>
          <w:rFonts w:ascii="Times New Roman" w:hAnsi="Times New Roman" w:cs="Times New Roman"/>
        </w:rPr>
        <w:t xml:space="preserve"> Chaudhary., Santosh Kumar., &amp; </w:t>
      </w:r>
      <w:proofErr w:type="spellStart"/>
      <w:r>
        <w:rPr>
          <w:rFonts w:ascii="Times New Roman" w:hAnsi="Times New Roman" w:cs="Times New Roman"/>
        </w:rPr>
        <w:t>Shameen</w:t>
      </w:r>
      <w:proofErr w:type="spellEnd"/>
      <w:r>
        <w:rPr>
          <w:rFonts w:ascii="Times New Roman" w:hAnsi="Times New Roman" w:cs="Times New Roman"/>
        </w:rPr>
        <w:t xml:space="preserve"> Ahmad. 2019. Determination of the role of weeds hosts in spreading of sheath blight from weeds to rice crop in western plain zone of Uttar Pradesh, India. </w:t>
      </w:r>
      <w:r w:rsidRPr="00023493">
        <w:rPr>
          <w:rFonts w:ascii="Times New Roman" w:hAnsi="Times New Roman" w:cs="Times New Roman"/>
          <w:i/>
          <w:iCs/>
        </w:rPr>
        <w:t>International Journal of Current Microbiology and Applied Sciences.</w:t>
      </w:r>
      <w:r>
        <w:rPr>
          <w:rFonts w:ascii="Times New Roman" w:hAnsi="Times New Roman" w:cs="Times New Roman"/>
        </w:rPr>
        <w:t xml:space="preserve"> 8 (9): 972-982.</w:t>
      </w:r>
    </w:p>
    <w:p w14:paraId="5FA3A358" w14:textId="02E57599" w:rsidR="00186EBB" w:rsidRDefault="00186EBB" w:rsidP="00EB20C8">
      <w:pPr>
        <w:ind w:left="720" w:hanging="720"/>
        <w:jc w:val="both"/>
        <w:rPr>
          <w:rFonts w:ascii="Times New Roman" w:hAnsi="Times New Roman" w:cs="Times New Roman"/>
        </w:rPr>
      </w:pPr>
      <w:r>
        <w:rPr>
          <w:rFonts w:ascii="Times New Roman" w:hAnsi="Times New Roman" w:cs="Times New Roman"/>
        </w:rPr>
        <w:t>Pal, R., &amp; Mandal, D. 202</w:t>
      </w:r>
      <w:r w:rsidR="00ED3ECE">
        <w:rPr>
          <w:rFonts w:ascii="Times New Roman" w:hAnsi="Times New Roman" w:cs="Times New Roman"/>
        </w:rPr>
        <w:t>5</w:t>
      </w:r>
      <w:r>
        <w:rPr>
          <w:rFonts w:ascii="Times New Roman" w:hAnsi="Times New Roman" w:cs="Times New Roman"/>
        </w:rPr>
        <w:t xml:space="preserve">. </w:t>
      </w:r>
      <w:r w:rsidR="00ED3ECE">
        <w:rPr>
          <w:rFonts w:ascii="Times New Roman" w:hAnsi="Times New Roman" w:cs="Times New Roman"/>
        </w:rPr>
        <w:t>I</w:t>
      </w:r>
      <w:r>
        <w:rPr>
          <w:rFonts w:ascii="Times New Roman" w:hAnsi="Times New Roman" w:cs="Times New Roman"/>
        </w:rPr>
        <w:t xml:space="preserve">ntegrated management </w:t>
      </w:r>
      <w:r w:rsidR="00ED3ECE">
        <w:rPr>
          <w:rFonts w:ascii="Times New Roman" w:hAnsi="Times New Roman" w:cs="Times New Roman"/>
        </w:rPr>
        <w:t>of</w:t>
      </w:r>
      <w:r>
        <w:rPr>
          <w:rFonts w:ascii="Times New Roman" w:hAnsi="Times New Roman" w:cs="Times New Roman"/>
        </w:rPr>
        <w:t xml:space="preserve"> sheath blight </w:t>
      </w:r>
      <w:r w:rsidR="00ED3ECE">
        <w:rPr>
          <w:rFonts w:ascii="Times New Roman" w:hAnsi="Times New Roman" w:cs="Times New Roman"/>
        </w:rPr>
        <w:t xml:space="preserve">disease </w:t>
      </w:r>
      <w:r>
        <w:rPr>
          <w:rFonts w:ascii="Times New Roman" w:hAnsi="Times New Roman" w:cs="Times New Roman"/>
        </w:rPr>
        <w:t xml:space="preserve">of rice. </w:t>
      </w:r>
      <w:r w:rsidR="00ED3ECE">
        <w:rPr>
          <w:rFonts w:ascii="Times New Roman" w:hAnsi="Times New Roman" w:cs="Times New Roman"/>
          <w:i/>
          <w:iCs/>
        </w:rPr>
        <w:t>Plant Archives</w:t>
      </w:r>
      <w:r>
        <w:rPr>
          <w:rFonts w:ascii="Times New Roman" w:hAnsi="Times New Roman" w:cs="Times New Roman"/>
        </w:rPr>
        <w:t xml:space="preserve">. </w:t>
      </w:r>
      <w:r w:rsidR="00591758">
        <w:rPr>
          <w:rFonts w:ascii="Times New Roman" w:hAnsi="Times New Roman" w:cs="Times New Roman"/>
        </w:rPr>
        <w:t>25</w:t>
      </w:r>
      <w:r>
        <w:rPr>
          <w:rFonts w:ascii="Times New Roman" w:hAnsi="Times New Roman" w:cs="Times New Roman"/>
        </w:rPr>
        <w:t xml:space="preserve"> (</w:t>
      </w:r>
      <w:r w:rsidR="00591758">
        <w:rPr>
          <w:rFonts w:ascii="Times New Roman" w:hAnsi="Times New Roman" w:cs="Times New Roman"/>
        </w:rPr>
        <w:t>1</w:t>
      </w:r>
      <w:r>
        <w:rPr>
          <w:rFonts w:ascii="Times New Roman" w:hAnsi="Times New Roman" w:cs="Times New Roman"/>
        </w:rPr>
        <w:t xml:space="preserve">): </w:t>
      </w:r>
      <w:r w:rsidR="00591758">
        <w:rPr>
          <w:rFonts w:ascii="Times New Roman" w:hAnsi="Times New Roman" w:cs="Times New Roman"/>
        </w:rPr>
        <w:t>827-830</w:t>
      </w:r>
      <w:r>
        <w:rPr>
          <w:rFonts w:ascii="Times New Roman" w:hAnsi="Times New Roman" w:cs="Times New Roman"/>
        </w:rPr>
        <w:t>.</w:t>
      </w:r>
    </w:p>
    <w:p w14:paraId="40F51902" w14:textId="71CD0571" w:rsidR="00213B61" w:rsidRDefault="00213B61" w:rsidP="00EB20C8">
      <w:pPr>
        <w:ind w:left="720" w:hanging="720"/>
        <w:jc w:val="both"/>
        <w:rPr>
          <w:rFonts w:ascii="Times New Roman" w:hAnsi="Times New Roman" w:cs="Times New Roman"/>
        </w:rPr>
      </w:pPr>
      <w:r>
        <w:rPr>
          <w:rFonts w:ascii="Times New Roman" w:hAnsi="Times New Roman" w:cs="Times New Roman"/>
        </w:rPr>
        <w:t>Pal, R., &amp; Mandal, D. 2024. Comparison and validation of the mos</w:t>
      </w:r>
      <w:r w:rsidR="00AF02A2">
        <w:rPr>
          <w:rFonts w:ascii="Times New Roman" w:hAnsi="Times New Roman" w:cs="Times New Roman"/>
        </w:rPr>
        <w:t>t</w:t>
      </w:r>
      <w:r>
        <w:rPr>
          <w:rFonts w:ascii="Times New Roman" w:hAnsi="Times New Roman" w:cs="Times New Roman"/>
        </w:rPr>
        <w:t xml:space="preserve"> appropriate </w:t>
      </w:r>
      <w:r w:rsidR="00AF02A2">
        <w:rPr>
          <w:rFonts w:ascii="Times New Roman" w:hAnsi="Times New Roman" w:cs="Times New Roman"/>
        </w:rPr>
        <w:t xml:space="preserve">integrated disease management module for sheath blight and bacterial blight disease of rice. </w:t>
      </w:r>
      <w:r w:rsidR="00AF02A2">
        <w:rPr>
          <w:rFonts w:ascii="Times New Roman" w:hAnsi="Times New Roman" w:cs="Times New Roman"/>
          <w:i/>
          <w:iCs/>
        </w:rPr>
        <w:t xml:space="preserve">Journal of </w:t>
      </w:r>
      <w:proofErr w:type="spellStart"/>
      <w:r w:rsidR="00AF02A2">
        <w:rPr>
          <w:rFonts w:ascii="Times New Roman" w:hAnsi="Times New Roman" w:cs="Times New Roman"/>
          <w:i/>
          <w:iCs/>
        </w:rPr>
        <w:t>Mycopathological</w:t>
      </w:r>
      <w:proofErr w:type="spellEnd"/>
      <w:r w:rsidR="00AF02A2">
        <w:rPr>
          <w:rFonts w:ascii="Times New Roman" w:hAnsi="Times New Roman" w:cs="Times New Roman"/>
          <w:i/>
          <w:iCs/>
        </w:rPr>
        <w:t xml:space="preserve"> Research. </w:t>
      </w:r>
      <w:r w:rsidR="00AF02A2">
        <w:rPr>
          <w:rFonts w:ascii="Times New Roman" w:hAnsi="Times New Roman" w:cs="Times New Roman"/>
        </w:rPr>
        <w:t>62 (2): 369-374.</w:t>
      </w:r>
    </w:p>
    <w:p w14:paraId="70E7CEF1" w14:textId="1721AE8D" w:rsidR="005D31D6" w:rsidRPr="00AF02A2" w:rsidRDefault="005D31D6" w:rsidP="00EB20C8">
      <w:pPr>
        <w:ind w:left="720" w:hanging="720"/>
        <w:jc w:val="both"/>
        <w:rPr>
          <w:rFonts w:ascii="Times New Roman" w:hAnsi="Times New Roman" w:cs="Times New Roman"/>
        </w:rPr>
      </w:pPr>
      <w:r>
        <w:rPr>
          <w:rFonts w:ascii="Times New Roman" w:hAnsi="Times New Roman" w:cs="Times New Roman"/>
        </w:rPr>
        <w:t xml:space="preserve">Prasad, V., Dixit, S., </w:t>
      </w:r>
      <w:proofErr w:type="spellStart"/>
      <w:r>
        <w:rPr>
          <w:rFonts w:ascii="Times New Roman" w:hAnsi="Times New Roman" w:cs="Times New Roman"/>
        </w:rPr>
        <w:t>Giri</w:t>
      </w:r>
      <w:proofErr w:type="spellEnd"/>
      <w:r>
        <w:rPr>
          <w:rFonts w:ascii="Times New Roman" w:hAnsi="Times New Roman" w:cs="Times New Roman"/>
        </w:rPr>
        <w:t xml:space="preserve">, S.P., Singh, D.P., &amp; Khan, A.W. 2019. Effect of integrated disease management practices on sheath blight of rice. </w:t>
      </w:r>
      <w:r w:rsidRPr="005D31D6">
        <w:rPr>
          <w:rFonts w:ascii="Times New Roman" w:hAnsi="Times New Roman" w:cs="Times New Roman"/>
          <w:i/>
          <w:iCs/>
        </w:rPr>
        <w:t>Journal of Pharmacognosy and Phytochemistry</w:t>
      </w:r>
      <w:r>
        <w:rPr>
          <w:rFonts w:ascii="Times New Roman" w:hAnsi="Times New Roman" w:cs="Times New Roman"/>
        </w:rPr>
        <w:t>. 8 (3): 3860-3862.</w:t>
      </w:r>
    </w:p>
    <w:p w14:paraId="3020B8C1" w14:textId="6AB6C2BC" w:rsidR="00881BE6" w:rsidRDefault="00881BE6" w:rsidP="00EB20C8">
      <w:pPr>
        <w:ind w:left="720" w:hanging="720"/>
        <w:jc w:val="both"/>
        <w:rPr>
          <w:rFonts w:ascii="Times New Roman" w:hAnsi="Times New Roman" w:cs="Times New Roman"/>
        </w:rPr>
      </w:pPr>
      <w:r>
        <w:rPr>
          <w:rFonts w:ascii="Times New Roman" w:hAnsi="Times New Roman" w:cs="Times New Roman"/>
        </w:rPr>
        <w:lastRenderedPageBreak/>
        <w:t xml:space="preserve">Senapati, M., Tiwari, A., Sharma, N., Chandra, P., </w:t>
      </w:r>
      <w:proofErr w:type="spellStart"/>
      <w:r>
        <w:rPr>
          <w:rFonts w:ascii="Times New Roman" w:hAnsi="Times New Roman" w:cs="Times New Roman"/>
        </w:rPr>
        <w:t>Bashyal</w:t>
      </w:r>
      <w:proofErr w:type="spellEnd"/>
      <w:r>
        <w:rPr>
          <w:rFonts w:ascii="Times New Roman" w:hAnsi="Times New Roman" w:cs="Times New Roman"/>
        </w:rPr>
        <w:t xml:space="preserve">, B.M., </w:t>
      </w:r>
      <w:proofErr w:type="spellStart"/>
      <w:r>
        <w:rPr>
          <w:rFonts w:ascii="Times New Roman" w:hAnsi="Times New Roman" w:cs="Times New Roman"/>
        </w:rPr>
        <w:t>E</w:t>
      </w:r>
      <w:r w:rsidR="0094497F">
        <w:rPr>
          <w:rFonts w:ascii="Times New Roman" w:hAnsi="Times New Roman" w:cs="Times New Roman"/>
        </w:rPr>
        <w:t>ll</w:t>
      </w:r>
      <w:r>
        <w:rPr>
          <w:rFonts w:ascii="Times New Roman" w:hAnsi="Times New Roman" w:cs="Times New Roman"/>
        </w:rPr>
        <w:t>ur</w:t>
      </w:r>
      <w:proofErr w:type="spellEnd"/>
      <w:r>
        <w:rPr>
          <w:rFonts w:ascii="Times New Roman" w:hAnsi="Times New Roman" w:cs="Times New Roman"/>
        </w:rPr>
        <w:t>, R.K.</w:t>
      </w:r>
      <w:r w:rsidR="00822425">
        <w:rPr>
          <w:rFonts w:ascii="Times New Roman" w:hAnsi="Times New Roman" w:cs="Times New Roman"/>
        </w:rPr>
        <w:t xml:space="preserve">, </w:t>
      </w:r>
      <w:r>
        <w:rPr>
          <w:rFonts w:ascii="Times New Roman" w:hAnsi="Times New Roman" w:cs="Times New Roman"/>
        </w:rPr>
        <w:t xml:space="preserve">et al. 2022. </w:t>
      </w:r>
      <w:proofErr w:type="spellStart"/>
      <w:r>
        <w:rPr>
          <w:rFonts w:ascii="Times New Roman" w:hAnsi="Times New Roman" w:cs="Times New Roman"/>
        </w:rPr>
        <w:t>Rhizoctonia</w:t>
      </w:r>
      <w:proofErr w:type="spellEnd"/>
      <w:r>
        <w:rPr>
          <w:rFonts w:ascii="Times New Roman" w:hAnsi="Times New Roman" w:cs="Times New Roman"/>
        </w:rPr>
        <w:t xml:space="preserve"> </w:t>
      </w:r>
      <w:proofErr w:type="spellStart"/>
      <w:r>
        <w:rPr>
          <w:rFonts w:ascii="Times New Roman" w:hAnsi="Times New Roman" w:cs="Times New Roman"/>
        </w:rPr>
        <w:t>solani</w:t>
      </w:r>
      <w:proofErr w:type="spellEnd"/>
      <w:r>
        <w:rPr>
          <w:rFonts w:ascii="Times New Roman" w:hAnsi="Times New Roman" w:cs="Times New Roman"/>
        </w:rPr>
        <w:t xml:space="preserve"> Kuhn </w:t>
      </w:r>
      <w:proofErr w:type="spellStart"/>
      <w:r>
        <w:rPr>
          <w:rFonts w:ascii="Times New Roman" w:hAnsi="Times New Roman" w:cs="Times New Roman"/>
        </w:rPr>
        <w:t>Pathophysiologyu</w:t>
      </w:r>
      <w:proofErr w:type="spellEnd"/>
      <w:r>
        <w:rPr>
          <w:rFonts w:ascii="Times New Roman" w:hAnsi="Times New Roman" w:cs="Times New Roman"/>
        </w:rPr>
        <w:t xml:space="preserve">: Status and prospects of sheath blight disease management in rice. </w:t>
      </w:r>
      <w:proofErr w:type="spellStart"/>
      <w:r>
        <w:rPr>
          <w:rFonts w:ascii="Times New Roman" w:hAnsi="Times New Roman" w:cs="Times New Roman"/>
        </w:rPr>
        <w:t>Froniers</w:t>
      </w:r>
      <w:proofErr w:type="spellEnd"/>
      <w:r>
        <w:rPr>
          <w:rFonts w:ascii="Times New Roman" w:hAnsi="Times New Roman" w:cs="Times New Roman"/>
        </w:rPr>
        <w:t xml:space="preserve"> in Plant Science. </w:t>
      </w:r>
      <w:r w:rsidR="001138D9">
        <w:rPr>
          <w:rFonts w:ascii="Times New Roman" w:hAnsi="Times New Roman" w:cs="Times New Roman"/>
        </w:rPr>
        <w:t>13</w:t>
      </w:r>
      <w:r w:rsidR="009934F2">
        <w:rPr>
          <w:rFonts w:ascii="Times New Roman" w:hAnsi="Times New Roman" w:cs="Times New Roman"/>
        </w:rPr>
        <w:t xml:space="preserve"> (3): </w:t>
      </w:r>
      <w:r w:rsidR="001138D9">
        <w:rPr>
          <w:rFonts w:ascii="Times New Roman" w:hAnsi="Times New Roman" w:cs="Times New Roman"/>
        </w:rPr>
        <w:t xml:space="preserve"> 881116</w:t>
      </w:r>
    </w:p>
    <w:p w14:paraId="2C002D66" w14:textId="0C4E3A56" w:rsidR="005F15D1" w:rsidRPr="00CF1EDC" w:rsidRDefault="005F15D1" w:rsidP="00EB20C8">
      <w:pPr>
        <w:ind w:left="720" w:hanging="720"/>
        <w:jc w:val="both"/>
        <w:rPr>
          <w:rFonts w:ascii="Times New Roman" w:hAnsi="Times New Roman" w:cs="Times New Roman"/>
        </w:rPr>
      </w:pPr>
      <w:r w:rsidRPr="00CF1EDC">
        <w:rPr>
          <w:rFonts w:ascii="Times New Roman" w:hAnsi="Times New Roman" w:cs="Times New Roman"/>
        </w:rPr>
        <w:t>Singh, R., Sunder, S., &amp; Kumar, P. 2016. Sheath blight of rice: Current status and perspectives. Indian Phytopathology. 36: 340-351</w:t>
      </w:r>
    </w:p>
    <w:sectPr w:rsidR="005F15D1" w:rsidRPr="00CF1ED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34056" w14:textId="77777777" w:rsidR="005439DD" w:rsidRDefault="005439DD" w:rsidP="002A4C42">
      <w:pPr>
        <w:spacing w:after="0" w:line="240" w:lineRule="auto"/>
      </w:pPr>
      <w:r>
        <w:separator/>
      </w:r>
    </w:p>
  </w:endnote>
  <w:endnote w:type="continuationSeparator" w:id="0">
    <w:p w14:paraId="7D5C7699" w14:textId="77777777" w:rsidR="005439DD" w:rsidRDefault="005439DD" w:rsidP="002A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66D7" w14:textId="77777777" w:rsidR="002A4C42" w:rsidRDefault="002A4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4E3E" w14:textId="77777777" w:rsidR="002A4C42" w:rsidRDefault="002A4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B4DB4" w14:textId="77777777" w:rsidR="002A4C42" w:rsidRDefault="002A4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D826E" w14:textId="77777777" w:rsidR="005439DD" w:rsidRDefault="005439DD" w:rsidP="002A4C42">
      <w:pPr>
        <w:spacing w:after="0" w:line="240" w:lineRule="auto"/>
      </w:pPr>
      <w:r>
        <w:separator/>
      </w:r>
    </w:p>
  </w:footnote>
  <w:footnote w:type="continuationSeparator" w:id="0">
    <w:p w14:paraId="5530B300" w14:textId="77777777" w:rsidR="005439DD" w:rsidRDefault="005439DD" w:rsidP="002A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C7D1" w14:textId="3E3517A8" w:rsidR="002A4C42" w:rsidRDefault="002A4C42">
    <w:pPr>
      <w:pStyle w:val="Header"/>
    </w:pPr>
    <w:r>
      <w:rPr>
        <w:noProof/>
      </w:rPr>
      <w:pict w14:anchorId="63C95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39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07D2" w14:textId="57B2D3DB" w:rsidR="002A4C42" w:rsidRDefault="002A4C42">
    <w:pPr>
      <w:pStyle w:val="Header"/>
    </w:pPr>
    <w:r>
      <w:rPr>
        <w:noProof/>
      </w:rPr>
      <w:pict w14:anchorId="44F72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39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FB8D" w14:textId="539DE241" w:rsidR="002A4C42" w:rsidRDefault="002A4C42">
    <w:pPr>
      <w:pStyle w:val="Header"/>
    </w:pPr>
    <w:r>
      <w:rPr>
        <w:noProof/>
      </w:rPr>
      <w:pict w14:anchorId="10316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39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91"/>
    <w:rsid w:val="000204D1"/>
    <w:rsid w:val="00023493"/>
    <w:rsid w:val="00025A4F"/>
    <w:rsid w:val="000308BA"/>
    <w:rsid w:val="00036CBE"/>
    <w:rsid w:val="00041F2A"/>
    <w:rsid w:val="00075F27"/>
    <w:rsid w:val="000773D2"/>
    <w:rsid w:val="000B3E56"/>
    <w:rsid w:val="000C45FA"/>
    <w:rsid w:val="000E58F8"/>
    <w:rsid w:val="001138D9"/>
    <w:rsid w:val="00157FA4"/>
    <w:rsid w:val="00186EBB"/>
    <w:rsid w:val="001A74E2"/>
    <w:rsid w:val="00213B61"/>
    <w:rsid w:val="00220979"/>
    <w:rsid w:val="00256FA1"/>
    <w:rsid w:val="002A4C42"/>
    <w:rsid w:val="002C62DF"/>
    <w:rsid w:val="00311A1D"/>
    <w:rsid w:val="00314A15"/>
    <w:rsid w:val="003678BD"/>
    <w:rsid w:val="0038153B"/>
    <w:rsid w:val="003E4731"/>
    <w:rsid w:val="003F5F8C"/>
    <w:rsid w:val="00406CFF"/>
    <w:rsid w:val="00416DB7"/>
    <w:rsid w:val="00487802"/>
    <w:rsid w:val="004C699F"/>
    <w:rsid w:val="00533D05"/>
    <w:rsid w:val="005439DD"/>
    <w:rsid w:val="00555B0F"/>
    <w:rsid w:val="00587E4E"/>
    <w:rsid w:val="00591758"/>
    <w:rsid w:val="005A3057"/>
    <w:rsid w:val="005D31D6"/>
    <w:rsid w:val="005E5A89"/>
    <w:rsid w:val="005F15D1"/>
    <w:rsid w:val="00692E73"/>
    <w:rsid w:val="006A0345"/>
    <w:rsid w:val="006B71A8"/>
    <w:rsid w:val="00720756"/>
    <w:rsid w:val="00723027"/>
    <w:rsid w:val="00765EA9"/>
    <w:rsid w:val="00795A0D"/>
    <w:rsid w:val="007A1215"/>
    <w:rsid w:val="007C2991"/>
    <w:rsid w:val="00822425"/>
    <w:rsid w:val="00836A3B"/>
    <w:rsid w:val="008750B2"/>
    <w:rsid w:val="00881BE6"/>
    <w:rsid w:val="00890EF7"/>
    <w:rsid w:val="00943363"/>
    <w:rsid w:val="0094497F"/>
    <w:rsid w:val="00984C3E"/>
    <w:rsid w:val="0098720B"/>
    <w:rsid w:val="009934F2"/>
    <w:rsid w:val="009B5233"/>
    <w:rsid w:val="009D051F"/>
    <w:rsid w:val="00A1231A"/>
    <w:rsid w:val="00A26C12"/>
    <w:rsid w:val="00A418D4"/>
    <w:rsid w:val="00A74CB8"/>
    <w:rsid w:val="00A87386"/>
    <w:rsid w:val="00A93158"/>
    <w:rsid w:val="00AF02A2"/>
    <w:rsid w:val="00AF2B4C"/>
    <w:rsid w:val="00B178F8"/>
    <w:rsid w:val="00C06746"/>
    <w:rsid w:val="00C1545D"/>
    <w:rsid w:val="00C509A9"/>
    <w:rsid w:val="00CC0E24"/>
    <w:rsid w:val="00CC4DCD"/>
    <w:rsid w:val="00CD0F3E"/>
    <w:rsid w:val="00CD2700"/>
    <w:rsid w:val="00CD6F8C"/>
    <w:rsid w:val="00CF1EDC"/>
    <w:rsid w:val="00D153D4"/>
    <w:rsid w:val="00D43554"/>
    <w:rsid w:val="00D45790"/>
    <w:rsid w:val="00D53F03"/>
    <w:rsid w:val="00D6080E"/>
    <w:rsid w:val="00E829AB"/>
    <w:rsid w:val="00E82E04"/>
    <w:rsid w:val="00EA0C9E"/>
    <w:rsid w:val="00EB20C8"/>
    <w:rsid w:val="00EB7718"/>
    <w:rsid w:val="00ED156C"/>
    <w:rsid w:val="00ED3ECE"/>
    <w:rsid w:val="00F51F06"/>
    <w:rsid w:val="00F63F93"/>
    <w:rsid w:val="00F666C0"/>
    <w:rsid w:val="00F70906"/>
    <w:rsid w:val="00F71E4D"/>
    <w:rsid w:val="00F72082"/>
    <w:rsid w:val="00F9245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29531B"/>
  <w15:chartTrackingRefBased/>
  <w15:docId w15:val="{05C58633-8D04-4D78-BBCE-954F7CD1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A4F"/>
  </w:style>
  <w:style w:type="paragraph" w:styleId="Heading1">
    <w:name w:val="heading 1"/>
    <w:basedOn w:val="Normal"/>
    <w:next w:val="Normal"/>
    <w:link w:val="Heading1Char"/>
    <w:uiPriority w:val="9"/>
    <w:qFormat/>
    <w:rsid w:val="007C2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2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2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2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2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2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2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2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2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91"/>
    <w:rPr>
      <w:rFonts w:eastAsiaTheme="majorEastAsia" w:cstheme="majorBidi"/>
      <w:color w:val="272727" w:themeColor="text1" w:themeTint="D8"/>
    </w:rPr>
  </w:style>
  <w:style w:type="paragraph" w:styleId="Title">
    <w:name w:val="Title"/>
    <w:basedOn w:val="Normal"/>
    <w:next w:val="Normal"/>
    <w:link w:val="TitleChar"/>
    <w:uiPriority w:val="10"/>
    <w:qFormat/>
    <w:rsid w:val="007C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91"/>
    <w:pPr>
      <w:spacing w:before="160"/>
      <w:jc w:val="center"/>
    </w:pPr>
    <w:rPr>
      <w:i/>
      <w:iCs/>
      <w:color w:val="404040" w:themeColor="text1" w:themeTint="BF"/>
    </w:rPr>
  </w:style>
  <w:style w:type="character" w:customStyle="1" w:styleId="QuoteChar">
    <w:name w:val="Quote Char"/>
    <w:basedOn w:val="DefaultParagraphFont"/>
    <w:link w:val="Quote"/>
    <w:uiPriority w:val="29"/>
    <w:rsid w:val="007C2991"/>
    <w:rPr>
      <w:i/>
      <w:iCs/>
      <w:color w:val="404040" w:themeColor="text1" w:themeTint="BF"/>
    </w:rPr>
  </w:style>
  <w:style w:type="paragraph" w:styleId="ListParagraph">
    <w:name w:val="List Paragraph"/>
    <w:basedOn w:val="Normal"/>
    <w:uiPriority w:val="34"/>
    <w:qFormat/>
    <w:rsid w:val="007C2991"/>
    <w:pPr>
      <w:ind w:left="720"/>
      <w:contextualSpacing/>
    </w:pPr>
  </w:style>
  <w:style w:type="character" w:styleId="IntenseEmphasis">
    <w:name w:val="Intense Emphasis"/>
    <w:basedOn w:val="DefaultParagraphFont"/>
    <w:uiPriority w:val="21"/>
    <w:qFormat/>
    <w:rsid w:val="007C2991"/>
    <w:rPr>
      <w:i/>
      <w:iCs/>
      <w:color w:val="2F5496" w:themeColor="accent1" w:themeShade="BF"/>
    </w:rPr>
  </w:style>
  <w:style w:type="paragraph" w:styleId="IntenseQuote">
    <w:name w:val="Intense Quote"/>
    <w:basedOn w:val="Normal"/>
    <w:next w:val="Normal"/>
    <w:link w:val="IntenseQuoteChar"/>
    <w:uiPriority w:val="30"/>
    <w:qFormat/>
    <w:rsid w:val="007C2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2991"/>
    <w:rPr>
      <w:i/>
      <w:iCs/>
      <w:color w:val="2F5496" w:themeColor="accent1" w:themeShade="BF"/>
    </w:rPr>
  </w:style>
  <w:style w:type="character" w:styleId="IntenseReference">
    <w:name w:val="Intense Reference"/>
    <w:basedOn w:val="DefaultParagraphFont"/>
    <w:uiPriority w:val="32"/>
    <w:qFormat/>
    <w:rsid w:val="007C2991"/>
    <w:rPr>
      <w:b/>
      <w:bCs/>
      <w:smallCaps/>
      <w:color w:val="2F5496" w:themeColor="accent1" w:themeShade="BF"/>
      <w:spacing w:val="5"/>
    </w:rPr>
  </w:style>
  <w:style w:type="character" w:styleId="Hyperlink">
    <w:name w:val="Hyperlink"/>
    <w:basedOn w:val="DefaultParagraphFont"/>
    <w:uiPriority w:val="99"/>
    <w:unhideWhenUsed/>
    <w:rsid w:val="00025A4F"/>
    <w:rPr>
      <w:color w:val="0563C1" w:themeColor="hyperlink"/>
      <w:u w:val="single"/>
    </w:rPr>
  </w:style>
  <w:style w:type="character" w:styleId="UnresolvedMention">
    <w:name w:val="Unresolved Mention"/>
    <w:basedOn w:val="DefaultParagraphFont"/>
    <w:uiPriority w:val="99"/>
    <w:semiHidden/>
    <w:unhideWhenUsed/>
    <w:rsid w:val="00025A4F"/>
    <w:rPr>
      <w:color w:val="605E5C"/>
      <w:shd w:val="clear" w:color="auto" w:fill="E1DFDD"/>
    </w:rPr>
  </w:style>
  <w:style w:type="paragraph" w:customStyle="1" w:styleId="Normal1">
    <w:name w:val="Normal1"/>
    <w:rsid w:val="00EB7718"/>
    <w:pPr>
      <w:spacing w:after="200" w:line="276" w:lineRule="auto"/>
    </w:pPr>
    <w:rPr>
      <w:rFonts w:ascii="Calibri" w:eastAsia="Calibri" w:hAnsi="Calibri" w:cs="Calibri"/>
      <w:kern w:val="0"/>
      <w:sz w:val="22"/>
      <w:szCs w:val="22"/>
      <w:lang w:val="en-US"/>
      <w14:ligatures w14:val="none"/>
    </w:rPr>
  </w:style>
  <w:style w:type="paragraph" w:styleId="NoSpacing">
    <w:name w:val="No Spacing"/>
    <w:link w:val="NoSpacingChar"/>
    <w:uiPriority w:val="1"/>
    <w:qFormat/>
    <w:rsid w:val="00723027"/>
    <w:pPr>
      <w:spacing w:after="0" w:line="240" w:lineRule="auto"/>
    </w:pPr>
    <w:rPr>
      <w:rFonts w:ascii="Times New Roman" w:eastAsia="Times New Roman" w:hAnsi="Times New Roman" w:cs="Times New Roman"/>
      <w:kern w:val="0"/>
      <w:lang w:val="en-US" w:bidi="ar-SA"/>
      <w14:ligatures w14:val="none"/>
    </w:rPr>
  </w:style>
  <w:style w:type="character" w:customStyle="1" w:styleId="NoSpacingChar">
    <w:name w:val="No Spacing Char"/>
    <w:link w:val="NoSpacing"/>
    <w:uiPriority w:val="1"/>
    <w:qFormat/>
    <w:rsid w:val="00723027"/>
    <w:rPr>
      <w:rFonts w:ascii="Times New Roman" w:eastAsia="Times New Roman" w:hAnsi="Times New Roman" w:cs="Times New Roman"/>
      <w:kern w:val="0"/>
      <w:lang w:val="en-US" w:bidi="ar-SA"/>
      <w14:ligatures w14:val="none"/>
    </w:rPr>
  </w:style>
  <w:style w:type="table" w:styleId="TableGrid">
    <w:name w:val="Table Grid"/>
    <w:basedOn w:val="TableNormal"/>
    <w:uiPriority w:val="39"/>
    <w:rsid w:val="00723027"/>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42"/>
  </w:style>
  <w:style w:type="paragraph" w:styleId="Footer">
    <w:name w:val="footer"/>
    <w:basedOn w:val="Normal"/>
    <w:link w:val="FooterChar"/>
    <w:uiPriority w:val="99"/>
    <w:unhideWhenUsed/>
    <w:rsid w:val="002A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8</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Ghantasala</dc:creator>
  <cp:keywords/>
  <dc:description/>
  <cp:lastModifiedBy>SDI 1084</cp:lastModifiedBy>
  <cp:revision>66</cp:revision>
  <dcterms:created xsi:type="dcterms:W3CDTF">2025-10-25T21:51:00Z</dcterms:created>
  <dcterms:modified xsi:type="dcterms:W3CDTF">2025-11-12T06:33:00Z</dcterms:modified>
</cp:coreProperties>
</file>