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5D274" w14:textId="77777777" w:rsidR="006374B1" w:rsidRPr="006374B1" w:rsidRDefault="006374B1" w:rsidP="006374B1">
      <w:pPr>
        <w:spacing w:line="278" w:lineRule="auto"/>
        <w:jc w:val="right"/>
        <w:rPr>
          <w:rFonts w:ascii="Arial" w:hAnsi="Arial" w:cs="Arial"/>
          <w:b/>
          <w:bCs/>
          <w:i/>
          <w:iCs/>
          <w:sz w:val="36"/>
          <w:szCs w:val="36"/>
          <w:u w:val="single"/>
        </w:rPr>
      </w:pPr>
      <w:r w:rsidRPr="006374B1">
        <w:rPr>
          <w:rFonts w:ascii="Arial" w:hAnsi="Arial" w:cs="Arial"/>
          <w:b/>
          <w:bCs/>
          <w:i/>
          <w:iCs/>
          <w:sz w:val="36"/>
          <w:szCs w:val="36"/>
          <w:u w:val="single"/>
        </w:rPr>
        <w:t>Review Article</w:t>
      </w:r>
    </w:p>
    <w:p w14:paraId="5024B2DA" w14:textId="77777777" w:rsidR="006374B1" w:rsidRDefault="006374B1" w:rsidP="00552F35">
      <w:pPr>
        <w:spacing w:line="278" w:lineRule="auto"/>
        <w:jc w:val="right"/>
        <w:rPr>
          <w:rFonts w:ascii="Arial" w:hAnsi="Arial" w:cs="Arial"/>
          <w:b/>
          <w:bCs/>
          <w:sz w:val="36"/>
          <w:szCs w:val="36"/>
        </w:rPr>
      </w:pPr>
    </w:p>
    <w:p w14:paraId="5D95F2E1" w14:textId="77749FD5" w:rsidR="00D66EBE" w:rsidRDefault="009071DC" w:rsidP="00552F35">
      <w:pPr>
        <w:spacing w:line="278" w:lineRule="auto"/>
        <w:jc w:val="right"/>
        <w:rPr>
          <w:rFonts w:ascii="Arial" w:hAnsi="Arial" w:cs="Arial"/>
          <w:b/>
          <w:bCs/>
          <w:sz w:val="36"/>
          <w:szCs w:val="36"/>
          <w:lang w:val="en-IN"/>
        </w:rPr>
      </w:pPr>
      <w:r w:rsidRPr="00A011DF">
        <w:rPr>
          <w:rFonts w:ascii="Arial" w:hAnsi="Arial" w:cs="Arial"/>
          <w:b/>
          <w:bCs/>
          <w:sz w:val="36"/>
          <w:szCs w:val="36"/>
        </w:rPr>
        <w:t xml:space="preserve">A Review </w:t>
      </w:r>
      <w:proofErr w:type="gramStart"/>
      <w:r w:rsidRPr="00A011DF">
        <w:rPr>
          <w:rFonts w:ascii="Arial" w:hAnsi="Arial" w:cs="Arial"/>
          <w:b/>
          <w:bCs/>
          <w:sz w:val="36"/>
          <w:szCs w:val="36"/>
        </w:rPr>
        <w:t>On</w:t>
      </w:r>
      <w:proofErr w:type="gramEnd"/>
      <w:r w:rsidRPr="00A011DF">
        <w:rPr>
          <w:rFonts w:ascii="Arial" w:hAnsi="Arial" w:cs="Arial"/>
          <w:b/>
          <w:bCs/>
          <w:sz w:val="36"/>
          <w:szCs w:val="36"/>
        </w:rPr>
        <w:t xml:space="preserve"> </w:t>
      </w:r>
      <w:r w:rsidR="00D66EBE" w:rsidRPr="00A011DF">
        <w:rPr>
          <w:rFonts w:ascii="Arial" w:hAnsi="Arial" w:cs="Arial"/>
          <w:b/>
          <w:bCs/>
          <w:sz w:val="36"/>
          <w:szCs w:val="36"/>
          <w:lang w:val="en-IN"/>
        </w:rPr>
        <w:t xml:space="preserve">Edible Flowers </w:t>
      </w:r>
      <w:r w:rsidRPr="00A011DF">
        <w:rPr>
          <w:rFonts w:ascii="Arial" w:hAnsi="Arial" w:cs="Arial"/>
          <w:b/>
          <w:bCs/>
          <w:sz w:val="36"/>
          <w:szCs w:val="36"/>
          <w:lang w:val="en-IN"/>
        </w:rPr>
        <w:t xml:space="preserve">As </w:t>
      </w:r>
      <w:r w:rsidR="00D66EBE" w:rsidRPr="00A011DF">
        <w:rPr>
          <w:rFonts w:ascii="Arial" w:hAnsi="Arial" w:cs="Arial"/>
          <w:b/>
          <w:bCs/>
          <w:sz w:val="36"/>
          <w:szCs w:val="36"/>
          <w:lang w:val="en-IN"/>
        </w:rPr>
        <w:t>Functional Ingredients</w:t>
      </w:r>
      <w:r w:rsidRPr="00A011DF">
        <w:rPr>
          <w:rFonts w:ascii="Arial" w:hAnsi="Arial" w:cs="Arial"/>
          <w:b/>
          <w:bCs/>
          <w:sz w:val="36"/>
          <w:szCs w:val="36"/>
          <w:lang w:val="en-IN"/>
        </w:rPr>
        <w:t xml:space="preserve">: </w:t>
      </w:r>
      <w:r w:rsidR="00D66EBE" w:rsidRPr="00A011DF">
        <w:rPr>
          <w:rFonts w:ascii="Arial" w:hAnsi="Arial" w:cs="Arial"/>
          <w:b/>
          <w:bCs/>
          <w:sz w:val="36"/>
          <w:szCs w:val="36"/>
          <w:lang w:val="en-IN"/>
        </w:rPr>
        <w:t>Nutritional Composition</w:t>
      </w:r>
      <w:r w:rsidRPr="00A011DF">
        <w:rPr>
          <w:rFonts w:ascii="Arial" w:hAnsi="Arial" w:cs="Arial"/>
          <w:b/>
          <w:bCs/>
          <w:sz w:val="36"/>
          <w:szCs w:val="36"/>
          <w:lang w:val="en-IN"/>
        </w:rPr>
        <w:t xml:space="preserve">, </w:t>
      </w:r>
      <w:r w:rsidR="00D66EBE" w:rsidRPr="00A011DF">
        <w:rPr>
          <w:rFonts w:ascii="Arial" w:hAnsi="Arial" w:cs="Arial"/>
          <w:b/>
          <w:bCs/>
          <w:sz w:val="36"/>
          <w:szCs w:val="36"/>
          <w:lang w:val="en-IN"/>
        </w:rPr>
        <w:t>Bioactive Potential</w:t>
      </w:r>
      <w:r w:rsidRPr="00A011DF">
        <w:rPr>
          <w:rFonts w:ascii="Arial" w:hAnsi="Arial" w:cs="Arial"/>
          <w:b/>
          <w:bCs/>
          <w:sz w:val="36"/>
          <w:szCs w:val="36"/>
          <w:lang w:val="en-IN"/>
        </w:rPr>
        <w:t xml:space="preserve">, </w:t>
      </w:r>
      <w:r w:rsidR="00D66EBE" w:rsidRPr="00A011DF">
        <w:rPr>
          <w:rFonts w:ascii="Arial" w:hAnsi="Arial" w:cs="Arial"/>
          <w:b/>
          <w:bCs/>
          <w:sz w:val="36"/>
          <w:szCs w:val="36"/>
          <w:lang w:val="en-IN"/>
        </w:rPr>
        <w:t>Applications</w:t>
      </w:r>
      <w:r w:rsidRPr="00A011DF">
        <w:rPr>
          <w:rFonts w:ascii="Arial" w:hAnsi="Arial" w:cs="Arial"/>
          <w:b/>
          <w:bCs/>
          <w:sz w:val="36"/>
          <w:szCs w:val="36"/>
          <w:lang w:val="en-IN"/>
        </w:rPr>
        <w:t xml:space="preserve">, And </w:t>
      </w:r>
      <w:r w:rsidR="00D66EBE" w:rsidRPr="00A011DF">
        <w:rPr>
          <w:rFonts w:ascii="Arial" w:hAnsi="Arial" w:cs="Arial"/>
          <w:b/>
          <w:bCs/>
          <w:sz w:val="36"/>
          <w:szCs w:val="36"/>
          <w:lang w:val="en-IN"/>
        </w:rPr>
        <w:t>Safety Considerations</w:t>
      </w:r>
    </w:p>
    <w:p w14:paraId="728F0C29" w14:textId="77777777" w:rsidR="003A4EC1" w:rsidRDefault="003A4EC1" w:rsidP="00E53D87">
      <w:pPr>
        <w:spacing w:line="278" w:lineRule="auto"/>
        <w:jc w:val="both"/>
        <w:rPr>
          <w:rFonts w:ascii="Arial" w:hAnsi="Arial" w:cs="Arial"/>
          <w:b/>
          <w:bCs/>
          <w:lang w:val="en-IN"/>
        </w:rPr>
      </w:pPr>
    </w:p>
    <w:p w14:paraId="43B56568" w14:textId="6EF61BA2" w:rsidR="00E53D87" w:rsidRPr="00A011DF" w:rsidRDefault="00A011DF" w:rsidP="00E53D87">
      <w:pPr>
        <w:spacing w:line="278" w:lineRule="auto"/>
        <w:jc w:val="both"/>
        <w:rPr>
          <w:rFonts w:ascii="Arial" w:hAnsi="Arial" w:cs="Arial"/>
          <w:b/>
          <w:bCs/>
          <w:lang w:val="en-IN"/>
        </w:rPr>
      </w:pPr>
      <w:r w:rsidRPr="00A011DF">
        <w:rPr>
          <w:rFonts w:ascii="Arial" w:hAnsi="Arial" w:cs="Arial"/>
          <w:b/>
          <w:bCs/>
          <w:lang w:val="en-IN"/>
        </w:rPr>
        <w:t>ABSTRACT</w:t>
      </w:r>
    </w:p>
    <w:p w14:paraId="21001529" w14:textId="4136A0A0" w:rsidR="00E53D87" w:rsidRPr="00A011DF" w:rsidRDefault="00360E7E" w:rsidP="00DA35E6">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jc w:val="both"/>
        <w:rPr>
          <w:rFonts w:ascii="Arial" w:hAnsi="Arial" w:cs="Arial"/>
          <w:sz w:val="20"/>
          <w:szCs w:val="20"/>
        </w:rPr>
      </w:pPr>
      <w:r w:rsidRPr="00A011DF">
        <w:rPr>
          <w:rFonts w:ascii="Arial" w:hAnsi="Arial" w:cs="Arial"/>
          <w:sz w:val="20"/>
          <w:szCs w:val="20"/>
        </w:rPr>
        <w:t xml:space="preserve">Edible flowers are being used in food and medicine from a long time in history. They are </w:t>
      </w:r>
      <w:r w:rsidR="002248D3" w:rsidRPr="00A011DF">
        <w:rPr>
          <w:rFonts w:ascii="Arial" w:hAnsi="Arial" w:cs="Arial"/>
          <w:sz w:val="20"/>
          <w:szCs w:val="20"/>
        </w:rPr>
        <w:t>gaining</w:t>
      </w:r>
      <w:r w:rsidRPr="00A011DF">
        <w:rPr>
          <w:rFonts w:ascii="Arial" w:hAnsi="Arial" w:cs="Arial"/>
          <w:sz w:val="20"/>
          <w:szCs w:val="20"/>
        </w:rPr>
        <w:t xml:space="preserve">  consumer interest again as people are </w:t>
      </w:r>
      <w:r w:rsidR="002248D3" w:rsidRPr="00A011DF">
        <w:rPr>
          <w:rFonts w:ascii="Arial" w:hAnsi="Arial" w:cs="Arial"/>
          <w:sz w:val="20"/>
          <w:szCs w:val="20"/>
        </w:rPr>
        <w:t>preferring</w:t>
      </w:r>
      <w:r w:rsidRPr="00A011DF">
        <w:rPr>
          <w:rFonts w:ascii="Arial" w:hAnsi="Arial" w:cs="Arial"/>
          <w:sz w:val="20"/>
          <w:szCs w:val="20"/>
        </w:rPr>
        <w:t xml:space="preserve">  natural, healthy, and unique food ingredients. In his review current knowledge regarding edible flowers is </w:t>
      </w:r>
      <w:r w:rsidR="002248D3" w:rsidRPr="00A011DF">
        <w:rPr>
          <w:rFonts w:ascii="Arial" w:hAnsi="Arial" w:cs="Arial"/>
          <w:sz w:val="20"/>
          <w:szCs w:val="20"/>
        </w:rPr>
        <w:t>covered</w:t>
      </w:r>
      <w:r w:rsidRPr="00A011DF">
        <w:rPr>
          <w:rFonts w:ascii="Arial" w:hAnsi="Arial" w:cs="Arial"/>
          <w:sz w:val="20"/>
          <w:szCs w:val="20"/>
        </w:rPr>
        <w:t>, which includes nutritional composition, health benefits, applications, and some essential safety considerations</w:t>
      </w:r>
      <w:r w:rsidR="002B1472" w:rsidRPr="00A011DF">
        <w:rPr>
          <w:rFonts w:ascii="Arial" w:hAnsi="Arial" w:cs="Arial"/>
          <w:sz w:val="20"/>
          <w:szCs w:val="20"/>
        </w:rPr>
        <w:t xml:space="preserve">. </w:t>
      </w:r>
      <w:r w:rsidR="00E53D87" w:rsidRPr="00A011DF">
        <w:rPr>
          <w:rFonts w:ascii="Arial" w:hAnsi="Arial" w:cs="Arial"/>
          <w:sz w:val="20"/>
          <w:szCs w:val="20"/>
          <w:lang w:val="en-IN"/>
        </w:rPr>
        <w:t>Edible flowers are sources of macronutrients, minerals, and vitamins; however, their primary value comes from overall high contents of bioactive compounds or phytochemicals such as phenolics, flavonoids, and anthocyanins. These various compounds provide numerous health benefits including strong antioxidant, antimicrobial, antiviral, antidiabetic, anticancer, and neuroprotective properties. Edible flowers can be used as natural colouring, functional ingredients and preservatives in the form of yogurt, baked goods, and certain dairy products within the clean-label trend. Edible flowers with their naturally high bioactive contents may also be used in the generation of healthy products. However, safety must come first. There are some significant challenges related to the consideration of safety such as toxic edible flowers mistakenly used due to misidentification, chemical contamination from pesticides and microbiological hazards.</w:t>
      </w:r>
    </w:p>
    <w:p w14:paraId="1B387939" w14:textId="77777777" w:rsidR="00E53D87" w:rsidRPr="00F24FE4" w:rsidRDefault="00E53D87" w:rsidP="00E53D87">
      <w:pPr>
        <w:spacing w:line="278" w:lineRule="auto"/>
        <w:jc w:val="both"/>
        <w:rPr>
          <w:rFonts w:ascii="Arial" w:hAnsi="Arial" w:cs="Arial"/>
          <w:i/>
          <w:iCs/>
          <w:sz w:val="20"/>
          <w:szCs w:val="20"/>
          <w:lang w:val="en-IN"/>
        </w:rPr>
      </w:pPr>
      <w:r w:rsidRPr="00F24FE4">
        <w:rPr>
          <w:rFonts w:ascii="Arial" w:hAnsi="Arial" w:cs="Arial"/>
          <w:i/>
          <w:iCs/>
          <w:sz w:val="20"/>
          <w:szCs w:val="20"/>
          <w:lang w:val="en-IN"/>
        </w:rPr>
        <w:t>Keywords- edible flowers, bioactive compounds, antioxidants, functional ingredients, toxic.</w:t>
      </w:r>
    </w:p>
    <w:p w14:paraId="0C0555B3" w14:textId="77777777" w:rsidR="00E53D87" w:rsidRPr="00A011DF" w:rsidRDefault="00E53D87" w:rsidP="00D66EBE">
      <w:pPr>
        <w:spacing w:line="278" w:lineRule="auto"/>
        <w:jc w:val="both"/>
        <w:rPr>
          <w:rFonts w:ascii="Arial" w:hAnsi="Arial" w:cs="Arial"/>
          <w:b/>
          <w:bCs/>
          <w:sz w:val="24"/>
          <w:szCs w:val="24"/>
          <w:lang w:val="en-IN"/>
        </w:rPr>
      </w:pPr>
    </w:p>
    <w:p w14:paraId="5C938C49" w14:textId="77777777" w:rsidR="00D66EBE" w:rsidRPr="00A011DF" w:rsidRDefault="00D66EBE" w:rsidP="00D66EBE">
      <w:pPr>
        <w:spacing w:line="278" w:lineRule="auto"/>
        <w:jc w:val="both"/>
        <w:rPr>
          <w:rFonts w:ascii="Arial" w:hAnsi="Arial" w:cs="Arial"/>
          <w:b/>
          <w:bCs/>
        </w:rPr>
      </w:pPr>
    </w:p>
    <w:p w14:paraId="2379B19A" w14:textId="447285D7" w:rsidR="00D66EBE" w:rsidRPr="00A011DF" w:rsidRDefault="00A011DF" w:rsidP="00D66EBE">
      <w:pPr>
        <w:spacing w:line="278" w:lineRule="auto"/>
        <w:jc w:val="both"/>
        <w:rPr>
          <w:rFonts w:ascii="Arial" w:hAnsi="Arial" w:cs="Arial"/>
          <w:b/>
          <w:bCs/>
        </w:rPr>
      </w:pPr>
      <w:r w:rsidRPr="00A011DF">
        <w:rPr>
          <w:rFonts w:ascii="Arial" w:hAnsi="Arial" w:cs="Arial"/>
          <w:b/>
          <w:bCs/>
        </w:rPr>
        <w:t>1.INTRODUCTION</w:t>
      </w:r>
    </w:p>
    <w:p w14:paraId="0E9F15B3" w14:textId="7C8D0DE5"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For generations, edible flowers have been used in medicine and cooking because of their distinctive taste, vibrant colors, and health-promoting qualities. (</w:t>
      </w:r>
      <w:proofErr w:type="spellStart"/>
      <w:r w:rsidRPr="00A011DF">
        <w:rPr>
          <w:rFonts w:ascii="Arial" w:hAnsi="Arial" w:cs="Arial"/>
          <w:sz w:val="20"/>
          <w:szCs w:val="20"/>
        </w:rPr>
        <w:t>mulik</w:t>
      </w:r>
      <w:proofErr w:type="spellEnd"/>
      <w:r w:rsidRPr="00A011DF">
        <w:rPr>
          <w:rFonts w:ascii="Arial" w:hAnsi="Arial" w:cs="Arial"/>
          <w:sz w:val="20"/>
          <w:szCs w:val="20"/>
        </w:rPr>
        <w:t xml:space="preserve"> e</w:t>
      </w:r>
      <w:r w:rsidR="002248D3">
        <w:rPr>
          <w:rFonts w:ascii="Arial" w:hAnsi="Arial" w:cs="Arial"/>
          <w:sz w:val="20"/>
          <w:szCs w:val="20"/>
        </w:rPr>
        <w:t>t</w:t>
      </w:r>
      <w:r w:rsidRPr="00A011DF">
        <w:rPr>
          <w:rFonts w:ascii="Arial" w:hAnsi="Arial" w:cs="Arial"/>
          <w:sz w:val="20"/>
          <w:szCs w:val="20"/>
        </w:rPr>
        <w:t xml:space="preserve"> a</w:t>
      </w:r>
      <w:r w:rsidR="002248D3">
        <w:rPr>
          <w:rFonts w:ascii="Arial" w:hAnsi="Arial" w:cs="Arial"/>
          <w:sz w:val="20"/>
          <w:szCs w:val="20"/>
        </w:rPr>
        <w:t>l</w:t>
      </w:r>
      <w:r w:rsidRPr="00A011DF">
        <w:rPr>
          <w:rFonts w:ascii="Arial" w:hAnsi="Arial" w:cs="Arial"/>
          <w:sz w:val="20"/>
          <w:szCs w:val="20"/>
        </w:rPr>
        <w:t xml:space="preserve">.,2020; </w:t>
      </w:r>
      <w:proofErr w:type="spellStart"/>
      <w:r w:rsidRPr="00A011DF">
        <w:rPr>
          <w:rFonts w:ascii="Arial" w:hAnsi="Arial" w:cs="Arial"/>
          <w:sz w:val="20"/>
          <w:szCs w:val="20"/>
        </w:rPr>
        <w:t>chamrro</w:t>
      </w:r>
      <w:proofErr w:type="spellEnd"/>
      <w:r w:rsidRPr="00A011DF">
        <w:rPr>
          <w:rFonts w:ascii="Arial" w:hAnsi="Arial" w:cs="Arial"/>
          <w:sz w:val="20"/>
          <w:szCs w:val="20"/>
        </w:rPr>
        <w:t xml:space="preserve"> et al.,2022). They are used as both culinary and herbal medicinal ingredient, demonstrating their dual function in therapy and nutrition (</w:t>
      </w:r>
      <w:proofErr w:type="spellStart"/>
      <w:r w:rsidRPr="00A011DF">
        <w:rPr>
          <w:rFonts w:ascii="Arial" w:hAnsi="Arial" w:cs="Arial"/>
          <w:sz w:val="20"/>
          <w:szCs w:val="20"/>
        </w:rPr>
        <w:t>Krasaekoopt</w:t>
      </w:r>
      <w:proofErr w:type="spellEnd"/>
      <w:r w:rsidRPr="00A011DF">
        <w:rPr>
          <w:rFonts w:ascii="Arial" w:hAnsi="Arial" w:cs="Arial"/>
          <w:sz w:val="20"/>
          <w:szCs w:val="20"/>
        </w:rPr>
        <w:t xml:space="preserve"> et al., 2005; </w:t>
      </w:r>
      <w:proofErr w:type="spellStart"/>
      <w:r w:rsidRPr="00A011DF">
        <w:rPr>
          <w:rFonts w:ascii="Arial" w:hAnsi="Arial" w:cs="Arial"/>
          <w:sz w:val="20"/>
          <w:szCs w:val="20"/>
        </w:rPr>
        <w:t>Wongwatt</w:t>
      </w:r>
      <w:proofErr w:type="spellEnd"/>
      <w:r w:rsidRPr="00A011DF">
        <w:rPr>
          <w:rFonts w:ascii="Arial" w:hAnsi="Arial" w:cs="Arial"/>
          <w:sz w:val="20"/>
          <w:szCs w:val="20"/>
        </w:rPr>
        <w:t xml:space="preserve"> </w:t>
      </w:r>
      <w:r w:rsidR="004E7764">
        <w:rPr>
          <w:rFonts w:ascii="Arial" w:hAnsi="Arial" w:cs="Arial"/>
          <w:sz w:val="20"/>
          <w:szCs w:val="20"/>
        </w:rPr>
        <w:t>&amp;</w:t>
      </w:r>
      <w:r w:rsidRPr="00A011DF">
        <w:rPr>
          <w:rFonts w:ascii="Arial" w:hAnsi="Arial" w:cs="Arial"/>
          <w:sz w:val="20"/>
          <w:szCs w:val="20"/>
        </w:rPr>
        <w:t xml:space="preserve"> </w:t>
      </w:r>
      <w:proofErr w:type="spellStart"/>
      <w:r w:rsidRPr="00A011DF">
        <w:rPr>
          <w:rFonts w:ascii="Arial" w:hAnsi="Arial" w:cs="Arial"/>
          <w:sz w:val="20"/>
          <w:szCs w:val="20"/>
        </w:rPr>
        <w:t>Sathien</w:t>
      </w:r>
      <w:proofErr w:type="spellEnd"/>
      <w:r w:rsidRPr="00A011DF">
        <w:rPr>
          <w:rFonts w:ascii="Arial" w:hAnsi="Arial" w:cs="Arial"/>
          <w:sz w:val="20"/>
          <w:szCs w:val="20"/>
        </w:rPr>
        <w:t xml:space="preserve"> et al., 2010). In ancient Rome, Greece, China, and the America, flowers were valued as part of traditional diet, ceremonies, and alternative medicine. This practice of using flowers as food has a long history in human history (Kirker &amp; Newman, 2016; Takahashi et al., 2020). </w:t>
      </w:r>
      <w:r w:rsidR="00F62616" w:rsidRPr="00A011DF">
        <w:rPr>
          <w:rFonts w:ascii="Arial" w:hAnsi="Arial" w:cs="Arial"/>
          <w:sz w:val="20"/>
          <w:szCs w:val="20"/>
        </w:rPr>
        <w:t>Flowers have never served only as ornaments. In the 17th century, people obtained sugar from scented violets (</w:t>
      </w:r>
      <w:r w:rsidR="00F62616" w:rsidRPr="00A011DF">
        <w:rPr>
          <w:rFonts w:ascii="Arial" w:hAnsi="Arial" w:cs="Arial"/>
          <w:i/>
          <w:iCs/>
          <w:sz w:val="20"/>
          <w:szCs w:val="20"/>
        </w:rPr>
        <w:t>Viola odorata</w:t>
      </w:r>
      <w:r w:rsidR="00F62616" w:rsidRPr="00A011DF">
        <w:rPr>
          <w:rFonts w:ascii="Arial" w:hAnsi="Arial" w:cs="Arial"/>
          <w:sz w:val="20"/>
          <w:szCs w:val="20"/>
        </w:rPr>
        <w:t>); the Romans heightened taste and sweetness of food with roses (</w:t>
      </w:r>
      <w:r w:rsidR="00F62616" w:rsidRPr="00A011DF">
        <w:rPr>
          <w:rFonts w:ascii="Arial" w:hAnsi="Arial" w:cs="Arial"/>
          <w:i/>
          <w:iCs/>
          <w:sz w:val="20"/>
          <w:szCs w:val="20"/>
        </w:rPr>
        <w:t>Rosa spp</w:t>
      </w:r>
      <w:r w:rsidR="00F62616" w:rsidRPr="00A011DF">
        <w:rPr>
          <w:rFonts w:ascii="Arial" w:hAnsi="Arial" w:cs="Arial"/>
          <w:sz w:val="20"/>
          <w:szCs w:val="20"/>
        </w:rPr>
        <w:t>.) (</w:t>
      </w:r>
      <w:proofErr w:type="spellStart"/>
      <w:r w:rsidR="00F62616" w:rsidRPr="00A011DF">
        <w:rPr>
          <w:rFonts w:ascii="Arial" w:hAnsi="Arial" w:cs="Arial"/>
          <w:sz w:val="20"/>
          <w:szCs w:val="20"/>
        </w:rPr>
        <w:t>Mlcek</w:t>
      </w:r>
      <w:proofErr w:type="spellEnd"/>
      <w:r w:rsidR="00F62616" w:rsidRPr="00A011DF">
        <w:rPr>
          <w:rFonts w:ascii="Arial" w:hAnsi="Arial" w:cs="Arial"/>
          <w:sz w:val="20"/>
          <w:szCs w:val="20"/>
        </w:rPr>
        <w:t xml:space="preserve"> &amp; </w:t>
      </w:r>
      <w:proofErr w:type="spellStart"/>
      <w:r w:rsidR="00F62616" w:rsidRPr="00A011DF">
        <w:rPr>
          <w:rFonts w:ascii="Arial" w:hAnsi="Arial" w:cs="Arial"/>
          <w:sz w:val="20"/>
          <w:szCs w:val="20"/>
        </w:rPr>
        <w:t>Rop</w:t>
      </w:r>
      <w:proofErr w:type="spellEnd"/>
      <w:r w:rsidR="00F62616" w:rsidRPr="00A011DF">
        <w:rPr>
          <w:rFonts w:ascii="Arial" w:hAnsi="Arial" w:cs="Arial"/>
          <w:sz w:val="20"/>
          <w:szCs w:val="20"/>
        </w:rPr>
        <w:t xml:space="preserve">, 2011). Edible flowers regain large </w:t>
      </w:r>
      <w:proofErr w:type="spellStart"/>
      <w:r w:rsidR="00F62616" w:rsidRPr="00A011DF">
        <w:rPr>
          <w:rFonts w:ascii="Arial" w:hAnsi="Arial" w:cs="Arial"/>
          <w:sz w:val="20"/>
          <w:szCs w:val="20"/>
        </w:rPr>
        <w:t>favour</w:t>
      </w:r>
      <w:proofErr w:type="spellEnd"/>
      <w:r w:rsidR="00F62616" w:rsidRPr="00A011DF">
        <w:rPr>
          <w:rFonts w:ascii="Arial" w:hAnsi="Arial" w:cs="Arial"/>
          <w:sz w:val="20"/>
          <w:szCs w:val="20"/>
        </w:rPr>
        <w:t xml:space="preserve">, pushed by a renewed demand for foods judged to be natural, wholesome plus novel. Apart from the sensory attributes they add - odd </w:t>
      </w:r>
      <w:proofErr w:type="spellStart"/>
      <w:r w:rsidR="00F62616" w:rsidRPr="00A011DF">
        <w:rPr>
          <w:rFonts w:ascii="Arial" w:hAnsi="Arial" w:cs="Arial"/>
          <w:sz w:val="20"/>
          <w:szCs w:val="20"/>
        </w:rPr>
        <w:t>colours</w:t>
      </w:r>
      <w:proofErr w:type="spellEnd"/>
      <w:r w:rsidR="00F62616" w:rsidRPr="00A011DF">
        <w:rPr>
          <w:rFonts w:ascii="Arial" w:hAnsi="Arial" w:cs="Arial"/>
          <w:sz w:val="20"/>
          <w:szCs w:val="20"/>
        </w:rPr>
        <w:t xml:space="preserve">, scents and tastes that refine upscale dishes - those blooms win new attention from both shoppers and food scientists because </w:t>
      </w:r>
      <w:r w:rsidR="00787850">
        <w:rPr>
          <w:rFonts w:ascii="Arial" w:hAnsi="Arial" w:cs="Arial"/>
          <w:sz w:val="20"/>
          <w:szCs w:val="20"/>
        </w:rPr>
        <w:t>of their</w:t>
      </w:r>
      <w:r w:rsidR="00F62616" w:rsidRPr="00A011DF">
        <w:rPr>
          <w:rFonts w:ascii="Arial" w:hAnsi="Arial" w:cs="Arial"/>
          <w:sz w:val="20"/>
          <w:szCs w:val="20"/>
        </w:rPr>
        <w:t xml:space="preserve"> marked nutritional value and a wide set of bio active compounds. For that </w:t>
      </w:r>
      <w:r w:rsidR="002248D3" w:rsidRPr="00A011DF">
        <w:rPr>
          <w:rFonts w:ascii="Arial" w:hAnsi="Arial" w:cs="Arial"/>
          <w:sz w:val="20"/>
          <w:szCs w:val="20"/>
        </w:rPr>
        <w:t>reason,</w:t>
      </w:r>
      <w:r w:rsidR="00F62616" w:rsidRPr="00A011DF">
        <w:rPr>
          <w:rFonts w:ascii="Arial" w:hAnsi="Arial" w:cs="Arial"/>
          <w:sz w:val="20"/>
          <w:szCs w:val="20"/>
        </w:rPr>
        <w:t xml:space="preserve"> they emerge as practical functional components on the world food market (</w:t>
      </w:r>
      <w:proofErr w:type="spellStart"/>
      <w:r w:rsidR="00F62616" w:rsidRPr="00A011DF">
        <w:rPr>
          <w:rFonts w:ascii="Arial" w:hAnsi="Arial" w:cs="Arial"/>
          <w:sz w:val="20"/>
          <w:szCs w:val="20"/>
        </w:rPr>
        <w:t>Nowicka</w:t>
      </w:r>
      <w:proofErr w:type="spellEnd"/>
      <w:r w:rsidR="00F62616" w:rsidRPr="00A011DF">
        <w:rPr>
          <w:rFonts w:ascii="Arial" w:hAnsi="Arial" w:cs="Arial"/>
          <w:sz w:val="20"/>
          <w:szCs w:val="20"/>
        </w:rPr>
        <w:t xml:space="preserve"> &amp; </w:t>
      </w:r>
      <w:proofErr w:type="spellStart"/>
      <w:r w:rsidR="00F62616" w:rsidRPr="00A011DF">
        <w:rPr>
          <w:rFonts w:ascii="Arial" w:hAnsi="Arial" w:cs="Arial"/>
          <w:sz w:val="20"/>
          <w:szCs w:val="20"/>
        </w:rPr>
        <w:t>Wojdyło</w:t>
      </w:r>
      <w:proofErr w:type="spellEnd"/>
      <w:r w:rsidR="00F62616" w:rsidRPr="00A011DF">
        <w:rPr>
          <w:rFonts w:ascii="Arial" w:hAnsi="Arial" w:cs="Arial"/>
          <w:sz w:val="20"/>
          <w:szCs w:val="20"/>
        </w:rPr>
        <w:t>, 2019; Takahashi et al., 2020).</w:t>
      </w:r>
    </w:p>
    <w:p w14:paraId="081022B6" w14:textId="77777777"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With more than 180 species from 100 genera and 97 families documented globally, edible flowers are obtained from a diverse range of plant species. (Lu et al.,2016)</w:t>
      </w:r>
    </w:p>
    <w:p w14:paraId="6E1059CF" w14:textId="33CEDE6D"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Flavonoids, anthocyanins, carotenoids, alkaloids, and phenolic chemicals are all plentiful in edible flowers (Carboni et al., 2025; Navarro-González et al., 2015). Strong antioxidant (Li et al., 2014), anti-inflammatory, antimicrobial (</w:t>
      </w:r>
      <w:proofErr w:type="spellStart"/>
      <w:r w:rsidRPr="00A011DF">
        <w:rPr>
          <w:rFonts w:ascii="Arial" w:hAnsi="Arial" w:cs="Arial"/>
          <w:sz w:val="20"/>
          <w:szCs w:val="20"/>
        </w:rPr>
        <w:t>Krasaekoopt</w:t>
      </w:r>
      <w:proofErr w:type="spellEnd"/>
      <w:r w:rsidRPr="00A011DF">
        <w:rPr>
          <w:rFonts w:ascii="Arial" w:hAnsi="Arial" w:cs="Arial"/>
          <w:sz w:val="20"/>
          <w:szCs w:val="20"/>
        </w:rPr>
        <w:t xml:space="preserve"> &amp; </w:t>
      </w:r>
      <w:proofErr w:type="spellStart"/>
      <w:r w:rsidRPr="00A011DF">
        <w:rPr>
          <w:rFonts w:ascii="Arial" w:hAnsi="Arial" w:cs="Arial"/>
          <w:sz w:val="20"/>
          <w:szCs w:val="20"/>
        </w:rPr>
        <w:t>Kongkarnchanatip</w:t>
      </w:r>
      <w:proofErr w:type="spellEnd"/>
      <w:r w:rsidRPr="00A011DF">
        <w:rPr>
          <w:rFonts w:ascii="Arial" w:hAnsi="Arial" w:cs="Arial"/>
          <w:sz w:val="20"/>
          <w:szCs w:val="20"/>
        </w:rPr>
        <w:t xml:space="preserve">, 2005), antidiabetic (Loizzo et al., 2016), anticancer (Nguyen </w:t>
      </w:r>
      <w:r w:rsidRPr="00A011DF">
        <w:rPr>
          <w:rFonts w:ascii="Arial" w:hAnsi="Arial" w:cs="Arial"/>
          <w:sz w:val="20"/>
          <w:szCs w:val="20"/>
        </w:rPr>
        <w:lastRenderedPageBreak/>
        <w:t>et al., 2019), and neuroprotective effects</w:t>
      </w:r>
      <w:r w:rsidR="0000413B">
        <w:rPr>
          <w:rFonts w:ascii="Arial" w:hAnsi="Arial" w:cs="Arial"/>
          <w:sz w:val="20"/>
          <w:szCs w:val="20"/>
        </w:rPr>
        <w:t xml:space="preserve"> </w:t>
      </w:r>
      <w:r w:rsidRPr="00A011DF">
        <w:rPr>
          <w:rFonts w:ascii="Arial" w:hAnsi="Arial" w:cs="Arial"/>
          <w:sz w:val="20"/>
          <w:szCs w:val="20"/>
        </w:rPr>
        <w:t>are just a few of the many biological activities that th</w:t>
      </w:r>
      <w:r w:rsidR="00267571">
        <w:rPr>
          <w:rFonts w:ascii="Arial" w:hAnsi="Arial" w:cs="Arial"/>
          <w:sz w:val="20"/>
          <w:szCs w:val="20"/>
        </w:rPr>
        <w:t xml:space="preserve">ese flowers </w:t>
      </w:r>
      <w:proofErr w:type="spellStart"/>
      <w:r w:rsidR="00267571">
        <w:rPr>
          <w:rFonts w:ascii="Arial" w:hAnsi="Arial" w:cs="Arial"/>
          <w:sz w:val="20"/>
          <w:szCs w:val="20"/>
        </w:rPr>
        <w:t>posses</w:t>
      </w:r>
      <w:proofErr w:type="spellEnd"/>
      <w:r w:rsidRPr="00A011DF">
        <w:rPr>
          <w:rFonts w:ascii="Arial" w:hAnsi="Arial" w:cs="Arial"/>
          <w:sz w:val="20"/>
          <w:szCs w:val="20"/>
        </w:rPr>
        <w:t>.</w:t>
      </w:r>
      <w:r w:rsidR="0000413B" w:rsidRPr="0000413B">
        <w:rPr>
          <w:rFonts w:ascii="Arial" w:hAnsi="Arial" w:cs="Arial"/>
          <w:sz w:val="20"/>
          <w:szCs w:val="20"/>
        </w:rPr>
        <w:t xml:space="preserve"> </w:t>
      </w:r>
      <w:r w:rsidR="0000413B" w:rsidRPr="00A011DF">
        <w:rPr>
          <w:rFonts w:ascii="Arial" w:hAnsi="Arial" w:cs="Arial"/>
          <w:sz w:val="20"/>
          <w:szCs w:val="20"/>
        </w:rPr>
        <w:t>(Moliner et al., 2019; Rezende et al., 2019)</w:t>
      </w:r>
    </w:p>
    <w:p w14:paraId="7A5B1A13" w14:textId="4901C728" w:rsidR="00443DF3" w:rsidRPr="00A011DF" w:rsidRDefault="00443DF3" w:rsidP="00443DF3">
      <w:pPr>
        <w:spacing w:line="278" w:lineRule="auto"/>
        <w:ind w:firstLine="360"/>
        <w:jc w:val="both"/>
        <w:rPr>
          <w:rFonts w:ascii="Arial" w:hAnsi="Arial" w:cs="Arial"/>
          <w:sz w:val="20"/>
          <w:szCs w:val="20"/>
        </w:rPr>
      </w:pPr>
      <w:r w:rsidRPr="00A011DF">
        <w:rPr>
          <w:rFonts w:ascii="Arial" w:hAnsi="Arial" w:cs="Arial"/>
          <w:sz w:val="20"/>
          <w:szCs w:val="20"/>
        </w:rPr>
        <w:t xml:space="preserve">Edible flowers </w:t>
      </w:r>
      <w:r w:rsidR="002248D3" w:rsidRPr="00A011DF">
        <w:rPr>
          <w:rFonts w:ascii="Arial" w:hAnsi="Arial" w:cs="Arial"/>
          <w:sz w:val="20"/>
          <w:szCs w:val="20"/>
        </w:rPr>
        <w:t>possess</w:t>
      </w:r>
      <w:r w:rsidRPr="00A011DF">
        <w:rPr>
          <w:rFonts w:ascii="Arial" w:hAnsi="Arial" w:cs="Arial"/>
          <w:sz w:val="20"/>
          <w:szCs w:val="20"/>
        </w:rPr>
        <w:t xml:space="preserve"> a strong bioactive profile which makes them a potential ingredient to be used in nutraceuticals and functional food. Flowers and their extracts are being used in variety of food products to increase their health benefits. Examples include the addition of ‘</w:t>
      </w:r>
      <w:r w:rsidRPr="00A011DF">
        <w:rPr>
          <w:rFonts w:ascii="Arial" w:hAnsi="Arial" w:cs="Arial"/>
          <w:i/>
          <w:iCs/>
          <w:sz w:val="20"/>
          <w:szCs w:val="20"/>
        </w:rPr>
        <w:t>Moringa oleifera’</w:t>
      </w:r>
      <w:r w:rsidRPr="00A011DF">
        <w:rPr>
          <w:rFonts w:ascii="Arial" w:hAnsi="Arial" w:cs="Arial"/>
          <w:sz w:val="20"/>
          <w:szCs w:val="20"/>
        </w:rPr>
        <w:t xml:space="preserve"> flower powder in bread and meat products (</w:t>
      </w:r>
      <w:proofErr w:type="spellStart"/>
      <w:r w:rsidRPr="00A011DF">
        <w:rPr>
          <w:rFonts w:ascii="Arial" w:hAnsi="Arial" w:cs="Arial"/>
          <w:sz w:val="20"/>
          <w:szCs w:val="20"/>
        </w:rPr>
        <w:t>Dhakad</w:t>
      </w:r>
      <w:proofErr w:type="spellEnd"/>
      <w:r w:rsidRPr="00A011DF">
        <w:rPr>
          <w:rFonts w:ascii="Arial" w:hAnsi="Arial" w:cs="Arial"/>
          <w:sz w:val="20"/>
          <w:szCs w:val="20"/>
        </w:rPr>
        <w:t xml:space="preserve"> et al., 2019; Madane et al., 2019), ‘</w:t>
      </w:r>
      <w:r w:rsidRPr="00A011DF">
        <w:rPr>
          <w:rFonts w:ascii="Arial" w:hAnsi="Arial" w:cs="Arial"/>
          <w:i/>
          <w:iCs/>
          <w:sz w:val="20"/>
          <w:szCs w:val="20"/>
        </w:rPr>
        <w:t>Hibiscus sabdariffa</w:t>
      </w:r>
      <w:r w:rsidRPr="00A011DF">
        <w:rPr>
          <w:rFonts w:ascii="Arial" w:hAnsi="Arial" w:cs="Arial"/>
          <w:sz w:val="20"/>
          <w:szCs w:val="20"/>
        </w:rPr>
        <w:t>’ powder in cookies (</w:t>
      </w:r>
      <w:proofErr w:type="spellStart"/>
      <w:r w:rsidRPr="00A011DF">
        <w:rPr>
          <w:rFonts w:ascii="Arial" w:hAnsi="Arial" w:cs="Arial"/>
          <w:sz w:val="20"/>
          <w:szCs w:val="20"/>
        </w:rPr>
        <w:t>Antarkar</w:t>
      </w:r>
      <w:proofErr w:type="spellEnd"/>
      <w:r w:rsidRPr="00A011DF">
        <w:rPr>
          <w:rFonts w:ascii="Arial" w:hAnsi="Arial" w:cs="Arial"/>
          <w:sz w:val="20"/>
          <w:szCs w:val="20"/>
        </w:rPr>
        <w:t xml:space="preserve"> et al., 2019), and ‘</w:t>
      </w:r>
      <w:proofErr w:type="spellStart"/>
      <w:r w:rsidRPr="00A011DF">
        <w:rPr>
          <w:rFonts w:ascii="Arial" w:hAnsi="Arial" w:cs="Arial"/>
          <w:i/>
          <w:iCs/>
          <w:sz w:val="20"/>
          <w:szCs w:val="20"/>
        </w:rPr>
        <w:t>Clitoria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ternatea</w:t>
      </w:r>
      <w:proofErr w:type="spellEnd"/>
      <w:r w:rsidRPr="00A011DF">
        <w:rPr>
          <w:rFonts w:ascii="Arial" w:hAnsi="Arial" w:cs="Arial"/>
          <w:sz w:val="20"/>
          <w:szCs w:val="20"/>
        </w:rPr>
        <w:t>’ and ‘</w:t>
      </w:r>
      <w:proofErr w:type="spellStart"/>
      <w:r w:rsidRPr="00A011DF">
        <w:rPr>
          <w:rFonts w:ascii="Arial" w:hAnsi="Arial" w:cs="Arial"/>
          <w:i/>
          <w:iCs/>
          <w:sz w:val="20"/>
          <w:szCs w:val="20"/>
        </w:rPr>
        <w:t>Tagetes</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erecta</w:t>
      </w:r>
      <w:proofErr w:type="spellEnd"/>
      <w:r w:rsidRPr="00A011DF">
        <w:rPr>
          <w:rFonts w:ascii="Arial" w:hAnsi="Arial" w:cs="Arial"/>
          <w:sz w:val="20"/>
          <w:szCs w:val="20"/>
        </w:rPr>
        <w:t xml:space="preserve">’  extracts as natural </w:t>
      </w:r>
      <w:proofErr w:type="spellStart"/>
      <w:r w:rsidRPr="00A011DF">
        <w:rPr>
          <w:rFonts w:ascii="Arial" w:hAnsi="Arial" w:cs="Arial"/>
          <w:sz w:val="20"/>
          <w:szCs w:val="20"/>
        </w:rPr>
        <w:t>colourant</w:t>
      </w:r>
      <w:proofErr w:type="spellEnd"/>
      <w:r w:rsidRPr="00A011DF">
        <w:rPr>
          <w:rFonts w:ascii="Arial" w:hAnsi="Arial" w:cs="Arial"/>
          <w:sz w:val="20"/>
          <w:szCs w:val="20"/>
        </w:rPr>
        <w:t xml:space="preserve"> in dairy products and beverages (Saeed et al., 2025). Additionally, to prevent oxidation of food, antioxidant extracts from flowers have potential to be used as natural preservative in accordance with the clean-label movement (He et al., 2015).</w:t>
      </w:r>
    </w:p>
    <w:p w14:paraId="6599BC37" w14:textId="77777777" w:rsidR="00D66EBE" w:rsidRPr="00A011DF" w:rsidRDefault="00D66EBE" w:rsidP="00D66EBE">
      <w:pPr>
        <w:spacing w:line="278" w:lineRule="auto"/>
        <w:jc w:val="both"/>
        <w:rPr>
          <w:rFonts w:ascii="Arial" w:hAnsi="Arial" w:cs="Arial"/>
          <w:sz w:val="20"/>
          <w:szCs w:val="20"/>
        </w:rPr>
      </w:pPr>
    </w:p>
    <w:p w14:paraId="55D67E45" w14:textId="6D48A34F" w:rsidR="00D66EBE" w:rsidRPr="00A011DF" w:rsidRDefault="00D66EBE" w:rsidP="00D66EBE">
      <w:pPr>
        <w:numPr>
          <w:ilvl w:val="1"/>
          <w:numId w:val="2"/>
        </w:numPr>
        <w:spacing w:line="278" w:lineRule="auto"/>
        <w:jc w:val="both"/>
        <w:rPr>
          <w:rFonts w:ascii="Arial" w:hAnsi="Arial" w:cs="Arial"/>
        </w:rPr>
      </w:pPr>
      <w:r w:rsidRPr="00A011DF">
        <w:rPr>
          <w:rFonts w:ascii="Arial" w:hAnsi="Arial" w:cs="Arial"/>
          <w:b/>
          <w:bCs/>
        </w:rPr>
        <w:t xml:space="preserve">Some </w:t>
      </w:r>
      <w:r w:rsidR="00A011DF" w:rsidRPr="00A011DF">
        <w:rPr>
          <w:rFonts w:ascii="Arial" w:hAnsi="Arial" w:cs="Arial"/>
          <w:b/>
          <w:bCs/>
        </w:rPr>
        <w:t>Widely Used Edible Flowers</w:t>
      </w:r>
      <w:r w:rsidR="00A011DF" w:rsidRPr="00A011DF">
        <w:rPr>
          <w:rFonts w:ascii="Arial" w:hAnsi="Arial" w:cs="Arial"/>
        </w:rPr>
        <w:t>.</w:t>
      </w:r>
    </w:p>
    <w:p w14:paraId="20B6F350" w14:textId="2978A022" w:rsidR="00D66EBE" w:rsidRPr="00A011DF" w:rsidRDefault="00D66EBE" w:rsidP="00D66EBE">
      <w:pPr>
        <w:spacing w:line="278" w:lineRule="auto"/>
        <w:ind w:firstLine="360"/>
        <w:jc w:val="both"/>
        <w:rPr>
          <w:rFonts w:ascii="Arial" w:hAnsi="Arial" w:cs="Arial"/>
          <w:sz w:val="20"/>
          <w:szCs w:val="20"/>
        </w:rPr>
      </w:pPr>
      <w:r w:rsidRPr="00A011DF">
        <w:rPr>
          <w:rFonts w:ascii="Arial" w:hAnsi="Arial" w:cs="Arial"/>
          <w:sz w:val="20"/>
          <w:szCs w:val="20"/>
        </w:rPr>
        <w:t xml:space="preserve">A wide variety of species are considered edible flowers due to their both practical and sensory qualities. </w:t>
      </w:r>
      <w:r w:rsidRPr="00A011DF">
        <w:rPr>
          <w:rFonts w:ascii="Arial" w:hAnsi="Arial" w:cs="Arial"/>
          <w:i/>
          <w:iCs/>
          <w:sz w:val="20"/>
          <w:szCs w:val="20"/>
        </w:rPr>
        <w:t>Rosa spp</w:t>
      </w:r>
      <w:r w:rsidRPr="00A011DF">
        <w:rPr>
          <w:rFonts w:ascii="Arial" w:hAnsi="Arial" w:cs="Arial"/>
          <w:sz w:val="20"/>
          <w:szCs w:val="20"/>
        </w:rPr>
        <w:t xml:space="preserve">., </w:t>
      </w:r>
      <w:r w:rsidRPr="00A011DF">
        <w:rPr>
          <w:rFonts w:ascii="Arial" w:hAnsi="Arial" w:cs="Arial"/>
          <w:i/>
          <w:iCs/>
          <w:sz w:val="20"/>
          <w:szCs w:val="20"/>
        </w:rPr>
        <w:t>Hibiscus sabdariffa</w:t>
      </w:r>
      <w:r w:rsidRPr="00A011DF">
        <w:rPr>
          <w:rFonts w:ascii="Arial" w:hAnsi="Arial" w:cs="Arial"/>
          <w:sz w:val="20"/>
          <w:szCs w:val="20"/>
        </w:rPr>
        <w:t xml:space="preserve"> and other flowers are among the most frequently used and researched. (</w:t>
      </w:r>
      <w:r w:rsidRPr="00A011DF">
        <w:rPr>
          <w:rFonts w:ascii="Arial" w:hAnsi="Arial" w:cs="Arial"/>
          <w:i/>
          <w:iCs/>
          <w:sz w:val="20"/>
          <w:szCs w:val="20"/>
        </w:rPr>
        <w:t>Lavandula spp</w:t>
      </w:r>
      <w:r w:rsidRPr="00A011DF">
        <w:rPr>
          <w:rFonts w:ascii="Arial" w:hAnsi="Arial" w:cs="Arial"/>
          <w:sz w:val="20"/>
          <w:szCs w:val="20"/>
        </w:rPr>
        <w:t>.) lavender, (Calendula officinalis) pot marigold (</w:t>
      </w:r>
      <w:r w:rsidRPr="00A011DF">
        <w:rPr>
          <w:rFonts w:ascii="Arial" w:hAnsi="Arial" w:cs="Arial"/>
          <w:i/>
          <w:iCs/>
          <w:sz w:val="20"/>
          <w:szCs w:val="20"/>
        </w:rPr>
        <w:t>Chrysanthemum morifolium</w:t>
      </w:r>
      <w:r w:rsidRPr="00A011DF">
        <w:rPr>
          <w:rFonts w:ascii="Arial" w:hAnsi="Arial" w:cs="Arial"/>
          <w:sz w:val="20"/>
          <w:szCs w:val="20"/>
        </w:rPr>
        <w:t>) nasturtium, (</w:t>
      </w:r>
      <w:r w:rsidRPr="00A011DF">
        <w:rPr>
          <w:rFonts w:ascii="Arial" w:hAnsi="Arial" w:cs="Arial"/>
          <w:i/>
          <w:iCs/>
          <w:sz w:val="20"/>
          <w:szCs w:val="20"/>
        </w:rPr>
        <w:t xml:space="preserve">Tropaeolum </w:t>
      </w:r>
      <w:proofErr w:type="spellStart"/>
      <w:r w:rsidRPr="00A011DF">
        <w:rPr>
          <w:rFonts w:ascii="Arial" w:hAnsi="Arial" w:cs="Arial"/>
          <w:i/>
          <w:iCs/>
          <w:sz w:val="20"/>
          <w:szCs w:val="20"/>
        </w:rPr>
        <w:t>majus</w:t>
      </w:r>
      <w:proofErr w:type="spellEnd"/>
      <w:r w:rsidRPr="00A011DF">
        <w:rPr>
          <w:rFonts w:ascii="Arial" w:hAnsi="Arial" w:cs="Arial"/>
          <w:sz w:val="20"/>
          <w:szCs w:val="20"/>
        </w:rPr>
        <w:t>) nasturtium, (</w:t>
      </w:r>
      <w:proofErr w:type="spellStart"/>
      <w:r w:rsidRPr="00A011DF">
        <w:rPr>
          <w:rFonts w:ascii="Arial" w:hAnsi="Arial" w:cs="Arial"/>
          <w:i/>
          <w:iCs/>
          <w:sz w:val="20"/>
          <w:szCs w:val="20"/>
        </w:rPr>
        <w:t>Matricaria</w:t>
      </w:r>
      <w:proofErr w:type="spellEnd"/>
      <w:r w:rsidRPr="00A011DF">
        <w:rPr>
          <w:rFonts w:ascii="Arial" w:hAnsi="Arial" w:cs="Arial"/>
          <w:i/>
          <w:iCs/>
          <w:sz w:val="20"/>
          <w:szCs w:val="20"/>
        </w:rPr>
        <w:t xml:space="preserve"> chamomilla</w:t>
      </w:r>
      <w:r w:rsidRPr="00A011DF">
        <w:rPr>
          <w:rFonts w:ascii="Arial" w:hAnsi="Arial" w:cs="Arial"/>
          <w:sz w:val="20"/>
          <w:szCs w:val="20"/>
        </w:rPr>
        <w:t>)</w:t>
      </w:r>
      <w:r w:rsidR="009E5C3A" w:rsidRPr="00A011DF">
        <w:rPr>
          <w:rFonts w:ascii="Arial" w:hAnsi="Arial" w:cs="Arial"/>
          <w:sz w:val="20"/>
          <w:szCs w:val="20"/>
        </w:rPr>
        <w:t xml:space="preserve"> </w:t>
      </w:r>
      <w:proofErr w:type="spellStart"/>
      <w:r w:rsidRPr="00A011DF">
        <w:rPr>
          <w:rFonts w:ascii="Arial" w:hAnsi="Arial" w:cs="Arial"/>
          <w:sz w:val="20"/>
          <w:szCs w:val="20"/>
        </w:rPr>
        <w:t>chamomil</w:t>
      </w:r>
      <w:proofErr w:type="spellEnd"/>
      <w:r w:rsidRPr="00A011DF">
        <w:rPr>
          <w:rFonts w:ascii="Arial" w:hAnsi="Arial" w:cs="Arial"/>
          <w:sz w:val="20"/>
          <w:szCs w:val="20"/>
        </w:rPr>
        <w:t xml:space="preserve"> ,(</w:t>
      </w:r>
      <w:proofErr w:type="spellStart"/>
      <w:r w:rsidRPr="00A011DF">
        <w:rPr>
          <w:rFonts w:ascii="Arial" w:hAnsi="Arial" w:cs="Arial"/>
          <w:i/>
          <w:iCs/>
          <w:sz w:val="20"/>
          <w:szCs w:val="20"/>
        </w:rPr>
        <w:t>Nelumbo</w:t>
      </w:r>
      <w:proofErr w:type="spellEnd"/>
      <w:r w:rsidRPr="00A011DF">
        <w:rPr>
          <w:rFonts w:ascii="Arial" w:hAnsi="Arial" w:cs="Arial"/>
          <w:i/>
          <w:iCs/>
          <w:sz w:val="20"/>
          <w:szCs w:val="20"/>
        </w:rPr>
        <w:t xml:space="preserve"> nucifera</w:t>
      </w:r>
      <w:r w:rsidRPr="00A011DF">
        <w:rPr>
          <w:rFonts w:ascii="Arial" w:hAnsi="Arial" w:cs="Arial"/>
          <w:sz w:val="20"/>
          <w:szCs w:val="20"/>
        </w:rPr>
        <w:t>) lotus, (</w:t>
      </w:r>
      <w:proofErr w:type="spellStart"/>
      <w:r w:rsidRPr="00A011DF">
        <w:rPr>
          <w:rFonts w:ascii="Arial" w:hAnsi="Arial" w:cs="Arial"/>
          <w:i/>
          <w:iCs/>
          <w:sz w:val="20"/>
          <w:szCs w:val="20"/>
        </w:rPr>
        <w:t>Tagetes</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erecta</w:t>
      </w:r>
      <w:proofErr w:type="spellEnd"/>
      <w:r w:rsidRPr="00A011DF">
        <w:rPr>
          <w:rFonts w:ascii="Arial" w:hAnsi="Arial" w:cs="Arial"/>
          <w:sz w:val="20"/>
          <w:szCs w:val="20"/>
        </w:rPr>
        <w:t>) marigold, and (</w:t>
      </w:r>
      <w:r w:rsidRPr="00A011DF">
        <w:rPr>
          <w:rFonts w:ascii="Arial" w:hAnsi="Arial" w:cs="Arial"/>
          <w:i/>
          <w:iCs/>
          <w:sz w:val="20"/>
          <w:szCs w:val="20"/>
        </w:rPr>
        <w:t>Rosa spp.</w:t>
      </w:r>
      <w:r w:rsidRPr="00A011DF">
        <w:rPr>
          <w:rFonts w:ascii="Arial" w:hAnsi="Arial" w:cs="Arial"/>
          <w:sz w:val="20"/>
          <w:szCs w:val="20"/>
        </w:rPr>
        <w:t>) Rose flowers. These species which are frequently eaten raw in salads brewed as teas or added to soups and jams are essential to many worldwide cuisines and traditional medical systems.</w:t>
      </w:r>
      <w:r w:rsidR="00F85DD6" w:rsidRPr="00A011DF">
        <w:rPr>
          <w:rFonts w:ascii="Arial" w:hAnsi="Arial" w:cs="Arial"/>
          <w:sz w:val="20"/>
          <w:szCs w:val="20"/>
        </w:rPr>
        <w:t xml:space="preserve"> (Carboni et al. 2025; Lu et al.,2016; Takahashi et al. 2020; Hegde et al.,2023).</w:t>
      </w:r>
    </w:p>
    <w:p w14:paraId="28A385A8" w14:textId="26E18A91" w:rsidR="00214CD5" w:rsidRPr="00A011DF" w:rsidRDefault="00214CD5" w:rsidP="00FD15CE">
      <w:pPr>
        <w:spacing w:line="278" w:lineRule="auto"/>
        <w:ind w:firstLine="360"/>
        <w:jc w:val="both"/>
        <w:rPr>
          <w:rFonts w:ascii="Arial" w:hAnsi="Arial" w:cs="Arial"/>
          <w:sz w:val="20"/>
          <w:szCs w:val="20"/>
        </w:rPr>
      </w:pPr>
      <w:r w:rsidRPr="00A011DF">
        <w:rPr>
          <w:rFonts w:ascii="Arial" w:hAnsi="Arial" w:cs="Arial"/>
          <w:sz w:val="20"/>
          <w:szCs w:val="20"/>
        </w:rPr>
        <w:t xml:space="preserve">Some flowers other than ornamental </w:t>
      </w:r>
      <w:r w:rsidR="002248D3" w:rsidRPr="00A011DF">
        <w:rPr>
          <w:rFonts w:ascii="Arial" w:hAnsi="Arial" w:cs="Arial"/>
          <w:sz w:val="20"/>
          <w:szCs w:val="20"/>
        </w:rPr>
        <w:t>characteristics</w:t>
      </w:r>
      <w:r w:rsidRPr="00A011DF">
        <w:rPr>
          <w:rFonts w:ascii="Arial" w:hAnsi="Arial" w:cs="Arial"/>
          <w:sz w:val="20"/>
          <w:szCs w:val="20"/>
        </w:rPr>
        <w:t xml:space="preserve"> are also packed with nutrients too.</w:t>
      </w:r>
      <w:r w:rsidR="00FD15CE" w:rsidRPr="00A011DF">
        <w:rPr>
          <w:rFonts w:ascii="Arial" w:hAnsi="Arial" w:cs="Arial"/>
          <w:sz w:val="20"/>
          <w:szCs w:val="20"/>
        </w:rPr>
        <w:t xml:space="preserve"> Chive flowers and banana are loaded with protein, which isn’t something expected from flowers (Bhaskar et al., 2012; </w:t>
      </w:r>
      <w:proofErr w:type="spellStart"/>
      <w:r w:rsidR="00FD15CE" w:rsidRPr="00A011DF">
        <w:rPr>
          <w:rFonts w:ascii="Arial" w:hAnsi="Arial" w:cs="Arial"/>
          <w:sz w:val="20"/>
          <w:szCs w:val="20"/>
        </w:rPr>
        <w:t>Grzeszczuk</w:t>
      </w:r>
      <w:proofErr w:type="spellEnd"/>
      <w:r w:rsidR="00FD15CE" w:rsidRPr="00A011DF">
        <w:rPr>
          <w:rFonts w:ascii="Arial" w:hAnsi="Arial" w:cs="Arial"/>
          <w:sz w:val="20"/>
          <w:szCs w:val="20"/>
        </w:rPr>
        <w:t xml:space="preserve"> et al., 2011; Liang et al., 2013)</w:t>
      </w:r>
      <w:r w:rsidR="00B920F4" w:rsidRPr="00A011DF">
        <w:rPr>
          <w:rFonts w:ascii="Arial" w:hAnsi="Arial" w:cs="Arial"/>
          <w:sz w:val="20"/>
          <w:szCs w:val="20"/>
        </w:rPr>
        <w:t>.</w:t>
      </w:r>
      <w:r w:rsidR="00FD15CE" w:rsidRPr="00A011DF">
        <w:rPr>
          <w:rFonts w:ascii="Arial" w:hAnsi="Arial" w:cs="Arial"/>
          <w:sz w:val="20"/>
          <w:szCs w:val="20"/>
        </w:rPr>
        <w:t xml:space="preserve"> </w:t>
      </w:r>
      <w:r w:rsidR="00F85DD6">
        <w:rPr>
          <w:rFonts w:ascii="Arial" w:hAnsi="Arial" w:cs="Arial"/>
          <w:sz w:val="20"/>
          <w:szCs w:val="20"/>
        </w:rPr>
        <w:t>(</w:t>
      </w:r>
      <w:r w:rsidR="00FD15CE" w:rsidRPr="00F85DD6">
        <w:rPr>
          <w:rFonts w:ascii="Arial" w:hAnsi="Arial" w:cs="Arial"/>
          <w:i/>
          <w:iCs/>
          <w:sz w:val="20"/>
          <w:szCs w:val="20"/>
        </w:rPr>
        <w:t>Bauhinia variegata</w:t>
      </w:r>
      <w:r w:rsidR="00F85DD6">
        <w:rPr>
          <w:rFonts w:ascii="Arial" w:hAnsi="Arial" w:cs="Arial"/>
          <w:sz w:val="20"/>
          <w:szCs w:val="20"/>
        </w:rPr>
        <w:t>) orchid</w:t>
      </w:r>
      <w:r w:rsidR="00FD15CE" w:rsidRPr="00A011DF">
        <w:rPr>
          <w:rFonts w:ascii="Arial" w:hAnsi="Arial" w:cs="Arial"/>
          <w:sz w:val="20"/>
          <w:szCs w:val="20"/>
        </w:rPr>
        <w:t>, known for its high protein and vitamin.</w:t>
      </w:r>
      <w:r w:rsidR="004F7BA9" w:rsidRPr="00A011DF">
        <w:rPr>
          <w:rFonts w:ascii="Arial" w:hAnsi="Arial" w:cs="Arial"/>
          <w:sz w:val="20"/>
          <w:szCs w:val="20"/>
        </w:rPr>
        <w:t xml:space="preserve"> The byproducts from floral oil extraction plants contains plenty of nutritional factors which can be re used. These byproducts </w:t>
      </w:r>
      <w:r w:rsidR="002248D3" w:rsidRPr="00A011DF">
        <w:rPr>
          <w:rFonts w:ascii="Arial" w:hAnsi="Arial" w:cs="Arial"/>
          <w:sz w:val="20"/>
          <w:szCs w:val="20"/>
        </w:rPr>
        <w:t>contain</w:t>
      </w:r>
      <w:r w:rsidR="004F7BA9" w:rsidRPr="00A011DF">
        <w:rPr>
          <w:rFonts w:ascii="Arial" w:hAnsi="Arial" w:cs="Arial"/>
          <w:sz w:val="20"/>
          <w:szCs w:val="20"/>
        </w:rPr>
        <w:t xml:space="preserve"> </w:t>
      </w:r>
      <w:r w:rsidR="00B920F4" w:rsidRPr="00A011DF">
        <w:rPr>
          <w:rFonts w:ascii="Arial" w:hAnsi="Arial" w:cs="Arial"/>
          <w:sz w:val="20"/>
          <w:szCs w:val="20"/>
        </w:rPr>
        <w:t>fiber, essential amino acids, plus vitamins E and C</w:t>
      </w:r>
      <w:r w:rsidR="00FD15CE" w:rsidRPr="00A011DF">
        <w:rPr>
          <w:rFonts w:ascii="Arial" w:hAnsi="Arial" w:cs="Arial"/>
          <w:sz w:val="20"/>
          <w:szCs w:val="20"/>
        </w:rPr>
        <w:t xml:space="preserve"> </w:t>
      </w:r>
      <w:r w:rsidR="00F85DD6" w:rsidRPr="00A011DF">
        <w:rPr>
          <w:rFonts w:ascii="Arial" w:hAnsi="Arial" w:cs="Arial"/>
          <w:sz w:val="20"/>
          <w:szCs w:val="20"/>
        </w:rPr>
        <w:t>(Hegde et al., 2023).</w:t>
      </w:r>
    </w:p>
    <w:p w14:paraId="2BA9D648" w14:textId="13A3FF89"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Edible flowers are frequently used in the culinary industry as organic coloring agents. (</w:t>
      </w:r>
      <w:proofErr w:type="spellStart"/>
      <w:r w:rsidRPr="00A011DF">
        <w:rPr>
          <w:rFonts w:ascii="Arial" w:hAnsi="Arial" w:cs="Arial"/>
          <w:i/>
          <w:iCs/>
          <w:sz w:val="20"/>
          <w:szCs w:val="20"/>
        </w:rPr>
        <w:t>Clitoria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ternatea</w:t>
      </w:r>
      <w:proofErr w:type="spellEnd"/>
      <w:r w:rsidRPr="00A011DF">
        <w:rPr>
          <w:rFonts w:ascii="Arial" w:hAnsi="Arial" w:cs="Arial"/>
          <w:sz w:val="20"/>
          <w:szCs w:val="20"/>
        </w:rPr>
        <w:t xml:space="preserve">) Butterfly Pea is highly valued for its pH-sensitive blue anthocyanins, which are used in Southeast Asian delicacies like "Nasi </w:t>
      </w:r>
      <w:proofErr w:type="spellStart"/>
      <w:r w:rsidRPr="00A011DF">
        <w:rPr>
          <w:rFonts w:ascii="Arial" w:hAnsi="Arial" w:cs="Arial"/>
          <w:sz w:val="20"/>
          <w:szCs w:val="20"/>
        </w:rPr>
        <w:t>Kerabu</w:t>
      </w:r>
      <w:proofErr w:type="spellEnd"/>
      <w:r w:rsidRPr="00A011DF">
        <w:rPr>
          <w:rFonts w:ascii="Arial" w:hAnsi="Arial" w:cs="Arial"/>
          <w:sz w:val="20"/>
          <w:szCs w:val="20"/>
        </w:rPr>
        <w:t xml:space="preserve">,", </w:t>
      </w:r>
      <w:proofErr w:type="spellStart"/>
      <w:r w:rsidRPr="00A011DF">
        <w:rPr>
          <w:rFonts w:ascii="Arial" w:hAnsi="Arial" w:cs="Arial"/>
          <w:i/>
          <w:iCs/>
          <w:sz w:val="20"/>
          <w:szCs w:val="20"/>
        </w:rPr>
        <w:t>Tagetes</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erecta</w:t>
      </w:r>
      <w:proofErr w:type="spellEnd"/>
      <w:r w:rsidRPr="00A011DF">
        <w:rPr>
          <w:rFonts w:ascii="Arial" w:hAnsi="Arial" w:cs="Arial"/>
          <w:sz w:val="20"/>
          <w:szCs w:val="20"/>
        </w:rPr>
        <w:t xml:space="preserve"> is cultivated for its </w:t>
      </w:r>
      <w:proofErr w:type="spellStart"/>
      <w:r w:rsidRPr="00A011DF">
        <w:rPr>
          <w:rFonts w:ascii="Arial" w:hAnsi="Arial" w:cs="Arial"/>
          <w:sz w:val="20"/>
          <w:szCs w:val="20"/>
        </w:rPr>
        <w:t>lutin</w:t>
      </w:r>
      <w:proofErr w:type="spellEnd"/>
      <w:r w:rsidRPr="00A011DF">
        <w:rPr>
          <w:rFonts w:ascii="Arial" w:hAnsi="Arial" w:cs="Arial"/>
          <w:sz w:val="20"/>
          <w:szCs w:val="20"/>
        </w:rPr>
        <w:t xml:space="preserve"> pigment, which is used to enhance the color of dairy products and poultry feed (</w:t>
      </w:r>
      <w:proofErr w:type="spellStart"/>
      <w:r w:rsidRPr="00A011DF">
        <w:rPr>
          <w:rFonts w:ascii="Arial" w:hAnsi="Arial" w:cs="Arial"/>
          <w:sz w:val="20"/>
          <w:szCs w:val="20"/>
        </w:rPr>
        <w:t>Harmayani</w:t>
      </w:r>
      <w:proofErr w:type="spellEnd"/>
      <w:r w:rsidRPr="00A011DF">
        <w:rPr>
          <w:rFonts w:ascii="Arial" w:hAnsi="Arial" w:cs="Arial"/>
          <w:sz w:val="20"/>
          <w:szCs w:val="20"/>
        </w:rPr>
        <w:t xml:space="preserve"> et al., 2019; Hegde et al., 2023). The brilliant crimson anthocyanins of Hibiscus sabdariffa give drinks and preserves a striking </w:t>
      </w:r>
      <w:proofErr w:type="spellStart"/>
      <w:r w:rsidRPr="00A011DF">
        <w:rPr>
          <w:rFonts w:ascii="Arial" w:hAnsi="Arial" w:cs="Arial"/>
          <w:sz w:val="20"/>
          <w:szCs w:val="20"/>
        </w:rPr>
        <w:t>coloure</w:t>
      </w:r>
      <w:proofErr w:type="spellEnd"/>
      <w:r w:rsidRPr="00A011DF">
        <w:rPr>
          <w:rFonts w:ascii="Arial" w:hAnsi="Arial" w:cs="Arial"/>
          <w:sz w:val="20"/>
          <w:szCs w:val="20"/>
        </w:rPr>
        <w:t>(</w:t>
      </w:r>
      <w:proofErr w:type="spellStart"/>
      <w:r w:rsidRPr="00A011DF">
        <w:rPr>
          <w:rFonts w:ascii="Arial" w:hAnsi="Arial" w:cs="Arial"/>
          <w:sz w:val="20"/>
          <w:szCs w:val="20"/>
        </w:rPr>
        <w:t>Formagio</w:t>
      </w:r>
      <w:proofErr w:type="spellEnd"/>
      <w:r w:rsidRPr="00A011DF">
        <w:rPr>
          <w:rFonts w:ascii="Arial" w:hAnsi="Arial" w:cs="Arial"/>
          <w:sz w:val="20"/>
          <w:szCs w:val="20"/>
        </w:rPr>
        <w:t xml:space="preserve"> et al., 2015), while the petals of </w:t>
      </w:r>
      <w:r w:rsidRPr="00A011DF">
        <w:rPr>
          <w:rFonts w:ascii="Arial" w:hAnsi="Arial" w:cs="Arial"/>
          <w:i/>
          <w:iCs/>
          <w:sz w:val="20"/>
          <w:szCs w:val="20"/>
        </w:rPr>
        <w:t>Calendula officinalis</w:t>
      </w:r>
      <w:r w:rsidRPr="00A011DF">
        <w:rPr>
          <w:rFonts w:ascii="Arial" w:hAnsi="Arial" w:cs="Arial"/>
          <w:sz w:val="20"/>
          <w:szCs w:val="20"/>
        </w:rPr>
        <w:t xml:space="preserve"> are commonly used as a saffron substitute to </w:t>
      </w:r>
      <w:proofErr w:type="spellStart"/>
      <w:r w:rsidRPr="00A011DF">
        <w:rPr>
          <w:rFonts w:ascii="Arial" w:hAnsi="Arial" w:cs="Arial"/>
          <w:sz w:val="20"/>
          <w:szCs w:val="20"/>
        </w:rPr>
        <w:t>colo</w:t>
      </w:r>
      <w:r w:rsidR="00F85DD6">
        <w:rPr>
          <w:rFonts w:ascii="Arial" w:hAnsi="Arial" w:cs="Arial"/>
          <w:sz w:val="20"/>
          <w:szCs w:val="20"/>
        </w:rPr>
        <w:t>u</w:t>
      </w:r>
      <w:r w:rsidRPr="00A011DF">
        <w:rPr>
          <w:rFonts w:ascii="Arial" w:hAnsi="Arial" w:cs="Arial"/>
          <w:sz w:val="20"/>
          <w:szCs w:val="20"/>
        </w:rPr>
        <w:t>r</w:t>
      </w:r>
      <w:proofErr w:type="spellEnd"/>
      <w:r w:rsidRPr="00A011DF">
        <w:rPr>
          <w:rFonts w:ascii="Arial" w:hAnsi="Arial" w:cs="Arial"/>
          <w:sz w:val="20"/>
          <w:szCs w:val="20"/>
        </w:rPr>
        <w:t xml:space="preserve"> cheeses (Panda et al., 2019).</w:t>
      </w:r>
    </w:p>
    <w:p w14:paraId="2D8E4466" w14:textId="51FDE7EE"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 xml:space="preserve">A lot of edible flowers have also been used for a long time in traditional medicine. While </w:t>
      </w:r>
      <w:r w:rsidR="00F85DD6">
        <w:rPr>
          <w:rFonts w:ascii="Arial" w:hAnsi="Arial" w:cs="Arial"/>
          <w:sz w:val="20"/>
          <w:szCs w:val="20"/>
        </w:rPr>
        <w:t>(</w:t>
      </w:r>
      <w:proofErr w:type="spellStart"/>
      <w:r w:rsidRPr="00F85DD6">
        <w:rPr>
          <w:rFonts w:ascii="Arial" w:hAnsi="Arial" w:cs="Arial"/>
          <w:i/>
          <w:iCs/>
          <w:sz w:val="20"/>
          <w:szCs w:val="20"/>
        </w:rPr>
        <w:t>Matricaria</w:t>
      </w:r>
      <w:proofErr w:type="spellEnd"/>
      <w:r w:rsidRPr="00F85DD6">
        <w:rPr>
          <w:rFonts w:ascii="Arial" w:hAnsi="Arial" w:cs="Arial"/>
          <w:i/>
          <w:iCs/>
          <w:sz w:val="20"/>
          <w:szCs w:val="20"/>
        </w:rPr>
        <w:t xml:space="preserve"> chamomilla</w:t>
      </w:r>
      <w:r w:rsidR="00F85DD6">
        <w:rPr>
          <w:rFonts w:ascii="Arial" w:hAnsi="Arial" w:cs="Arial"/>
          <w:sz w:val="20"/>
          <w:szCs w:val="20"/>
        </w:rPr>
        <w:t>) chamomile</w:t>
      </w:r>
      <w:r w:rsidRPr="00A011DF">
        <w:rPr>
          <w:rFonts w:ascii="Arial" w:hAnsi="Arial" w:cs="Arial"/>
          <w:sz w:val="20"/>
          <w:szCs w:val="20"/>
        </w:rPr>
        <w:t xml:space="preserve"> is commonly used as a tea for its soothing and gastrointestinal properties, </w:t>
      </w:r>
      <w:r w:rsidRPr="00A011DF">
        <w:rPr>
          <w:rFonts w:ascii="Arial" w:hAnsi="Arial" w:cs="Arial"/>
          <w:i/>
          <w:iCs/>
          <w:sz w:val="20"/>
          <w:szCs w:val="20"/>
        </w:rPr>
        <w:t>Hibiscus sabdariffa</w:t>
      </w:r>
      <w:r w:rsidRPr="00A011DF">
        <w:rPr>
          <w:rFonts w:ascii="Arial" w:hAnsi="Arial" w:cs="Arial"/>
          <w:sz w:val="20"/>
          <w:szCs w:val="20"/>
        </w:rPr>
        <w:t xml:space="preserve"> is drunk for its alleged digestive, diuretic, and antihypertensive effects (</w:t>
      </w:r>
      <w:proofErr w:type="spellStart"/>
      <w:r w:rsidRPr="00A011DF">
        <w:rPr>
          <w:rFonts w:ascii="Arial" w:hAnsi="Arial" w:cs="Arial"/>
          <w:sz w:val="20"/>
          <w:szCs w:val="20"/>
        </w:rPr>
        <w:t>Formagio</w:t>
      </w:r>
      <w:proofErr w:type="spellEnd"/>
      <w:r w:rsidRPr="00A011DF">
        <w:rPr>
          <w:rFonts w:ascii="Arial" w:hAnsi="Arial" w:cs="Arial"/>
          <w:sz w:val="20"/>
          <w:szCs w:val="20"/>
        </w:rPr>
        <w:t xml:space="preserve"> et al., 2015; </w:t>
      </w:r>
      <w:proofErr w:type="spellStart"/>
      <w:r w:rsidRPr="00A011DF">
        <w:rPr>
          <w:rFonts w:ascii="Arial" w:hAnsi="Arial" w:cs="Arial"/>
          <w:sz w:val="20"/>
          <w:szCs w:val="20"/>
        </w:rPr>
        <w:t>Khayyal</w:t>
      </w:r>
      <w:proofErr w:type="spellEnd"/>
      <w:r w:rsidRPr="00A011DF">
        <w:rPr>
          <w:rFonts w:ascii="Arial" w:hAnsi="Arial" w:cs="Arial"/>
          <w:sz w:val="20"/>
          <w:szCs w:val="20"/>
        </w:rPr>
        <w:t xml:space="preserve"> et al., 2019). Other species, such as (</w:t>
      </w:r>
      <w:r w:rsidRPr="00A011DF">
        <w:rPr>
          <w:rFonts w:ascii="Arial" w:hAnsi="Arial" w:cs="Arial"/>
          <w:i/>
          <w:iCs/>
          <w:sz w:val="20"/>
          <w:szCs w:val="20"/>
        </w:rPr>
        <w:t>Cynara cardunculus</w:t>
      </w:r>
      <w:r w:rsidRPr="00A011DF">
        <w:rPr>
          <w:rFonts w:ascii="Arial" w:hAnsi="Arial" w:cs="Arial"/>
          <w:sz w:val="20"/>
          <w:szCs w:val="20"/>
        </w:rPr>
        <w:t>) Cardoon, are used for purposes other than cooking, such making cheese the old-fashioned way by acting as a vegetable rennet coagulant (Gomes et al., 2019).</w:t>
      </w:r>
    </w:p>
    <w:p w14:paraId="499B7A3E" w14:textId="77777777" w:rsidR="003A4EC1" w:rsidRDefault="003A4EC1" w:rsidP="00D66EBE">
      <w:pPr>
        <w:spacing w:line="278" w:lineRule="auto"/>
        <w:jc w:val="both"/>
        <w:rPr>
          <w:rFonts w:ascii="Arial" w:hAnsi="Arial" w:cs="Arial"/>
          <w:b/>
          <w:bCs/>
        </w:rPr>
      </w:pPr>
    </w:p>
    <w:p w14:paraId="586B7F62" w14:textId="77777777" w:rsidR="003A4EC1" w:rsidRDefault="003A4EC1" w:rsidP="00D66EBE">
      <w:pPr>
        <w:spacing w:line="278" w:lineRule="auto"/>
        <w:jc w:val="both"/>
        <w:rPr>
          <w:rFonts w:ascii="Arial" w:hAnsi="Arial" w:cs="Arial"/>
          <w:b/>
          <w:bCs/>
        </w:rPr>
      </w:pPr>
    </w:p>
    <w:p w14:paraId="16A3A572" w14:textId="77777777" w:rsidR="003A4EC1" w:rsidRDefault="003A4EC1" w:rsidP="00D66EBE">
      <w:pPr>
        <w:spacing w:line="278" w:lineRule="auto"/>
        <w:jc w:val="both"/>
        <w:rPr>
          <w:rFonts w:ascii="Arial" w:hAnsi="Arial" w:cs="Arial"/>
          <w:b/>
          <w:bCs/>
        </w:rPr>
      </w:pPr>
    </w:p>
    <w:p w14:paraId="16BE464F" w14:textId="77777777" w:rsidR="003A4EC1" w:rsidRDefault="003A4EC1" w:rsidP="00D66EBE">
      <w:pPr>
        <w:spacing w:line="278" w:lineRule="auto"/>
        <w:jc w:val="both"/>
        <w:rPr>
          <w:rFonts w:ascii="Arial" w:hAnsi="Arial" w:cs="Arial"/>
          <w:b/>
          <w:bCs/>
        </w:rPr>
      </w:pPr>
    </w:p>
    <w:p w14:paraId="272DA0C7" w14:textId="77777777" w:rsidR="003A4EC1" w:rsidRDefault="003A4EC1" w:rsidP="00D66EBE">
      <w:pPr>
        <w:spacing w:line="278" w:lineRule="auto"/>
        <w:jc w:val="both"/>
        <w:rPr>
          <w:rFonts w:ascii="Arial" w:hAnsi="Arial" w:cs="Arial"/>
          <w:b/>
          <w:bCs/>
        </w:rPr>
      </w:pPr>
    </w:p>
    <w:p w14:paraId="20E4C7D6" w14:textId="77777777" w:rsidR="003A4EC1" w:rsidRDefault="003A4EC1" w:rsidP="00D66EBE">
      <w:pPr>
        <w:spacing w:line="278" w:lineRule="auto"/>
        <w:jc w:val="both"/>
        <w:rPr>
          <w:rFonts w:ascii="Arial" w:hAnsi="Arial" w:cs="Arial"/>
          <w:b/>
          <w:bCs/>
        </w:rPr>
      </w:pPr>
    </w:p>
    <w:p w14:paraId="55F6656D" w14:textId="77777777" w:rsidR="003A4EC1" w:rsidRDefault="003A4EC1" w:rsidP="00D66EBE">
      <w:pPr>
        <w:spacing w:line="278" w:lineRule="auto"/>
        <w:jc w:val="both"/>
        <w:rPr>
          <w:rFonts w:ascii="Arial" w:hAnsi="Arial" w:cs="Arial"/>
          <w:b/>
          <w:bCs/>
        </w:rPr>
      </w:pPr>
    </w:p>
    <w:p w14:paraId="5E355D41" w14:textId="03D3231B" w:rsidR="00D66EBE" w:rsidRPr="00A011DF" w:rsidRDefault="00A011DF" w:rsidP="00D66EBE">
      <w:pPr>
        <w:spacing w:line="278" w:lineRule="auto"/>
        <w:jc w:val="both"/>
        <w:rPr>
          <w:rFonts w:ascii="Arial" w:hAnsi="Arial" w:cs="Arial"/>
          <w:b/>
          <w:bCs/>
        </w:rPr>
      </w:pPr>
      <w:r w:rsidRPr="00A011DF">
        <w:rPr>
          <w:rFonts w:ascii="Arial" w:hAnsi="Arial" w:cs="Arial"/>
          <w:b/>
          <w:bCs/>
        </w:rPr>
        <w:lastRenderedPageBreak/>
        <w:t>2. NUTRITIONAL COMPOSITION.</w:t>
      </w:r>
    </w:p>
    <w:p w14:paraId="76EE8195" w14:textId="36EE2DF6" w:rsidR="00B46BEB" w:rsidRDefault="00D66EBE" w:rsidP="00D66EBE">
      <w:pPr>
        <w:spacing w:line="278" w:lineRule="auto"/>
        <w:jc w:val="both"/>
        <w:rPr>
          <w:rFonts w:ascii="Arial" w:hAnsi="Arial" w:cs="Arial"/>
          <w:sz w:val="20"/>
          <w:szCs w:val="20"/>
        </w:rPr>
      </w:pPr>
      <w:r w:rsidRPr="00A011DF">
        <w:rPr>
          <w:rFonts w:ascii="Arial" w:hAnsi="Arial" w:cs="Arial"/>
          <w:sz w:val="20"/>
          <w:szCs w:val="20"/>
        </w:rPr>
        <w:t>Water makes up the maturity of edible flowers, with trace amounts of minerals, proteins, lipids, and carbs. (Navarro- González et al., 2014).</w:t>
      </w:r>
    </w:p>
    <w:p w14:paraId="66552C46" w14:textId="6C9054EA" w:rsidR="00B46BEB" w:rsidRPr="00A011DF" w:rsidRDefault="00B46BEB" w:rsidP="00B46BEB">
      <w:pPr>
        <w:spacing w:line="278" w:lineRule="auto"/>
        <w:jc w:val="center"/>
        <w:rPr>
          <w:rFonts w:ascii="Arial" w:hAnsi="Arial" w:cs="Arial"/>
          <w:sz w:val="20"/>
          <w:szCs w:val="20"/>
        </w:rPr>
      </w:pPr>
      <w:r w:rsidRPr="00A011DF">
        <w:rPr>
          <w:rFonts w:ascii="Arial" w:hAnsi="Arial" w:cs="Arial"/>
          <w:b/>
          <w:bCs/>
          <w:sz w:val="20"/>
          <w:szCs w:val="20"/>
        </w:rPr>
        <w:t>Table no.1 general nutritional composition for edible flowers.</w:t>
      </w:r>
    </w:p>
    <w:tbl>
      <w:tblPr>
        <w:tblW w:w="10201" w:type="dxa"/>
        <w:shd w:val="clear" w:color="auto" w:fill="FFFFFF"/>
        <w:tblLook w:val="04A0" w:firstRow="1" w:lastRow="0" w:firstColumn="1" w:lastColumn="0" w:noHBand="0" w:noVBand="1"/>
      </w:tblPr>
      <w:tblGrid>
        <w:gridCol w:w="1525"/>
        <w:gridCol w:w="2342"/>
        <w:gridCol w:w="4542"/>
        <w:gridCol w:w="1792"/>
      </w:tblGrid>
      <w:tr w:rsidR="00D66EBE" w:rsidRPr="00A011DF" w14:paraId="512874F7" w14:textId="77777777" w:rsidTr="00642875">
        <w:trPr>
          <w:tblHeader/>
        </w:trPr>
        <w:tc>
          <w:tcPr>
            <w:tcW w:w="1525" w:type="dxa"/>
            <w:tcBorders>
              <w:top w:val="single" w:sz="4" w:space="0" w:color="auto"/>
              <w:bottom w:val="single" w:sz="4" w:space="0" w:color="auto"/>
            </w:tcBorders>
            <w:shd w:val="clear" w:color="auto" w:fill="FFFFFF"/>
            <w:tcMar>
              <w:top w:w="150" w:type="dxa"/>
              <w:left w:w="0" w:type="dxa"/>
              <w:bottom w:w="150" w:type="dxa"/>
              <w:right w:w="150" w:type="dxa"/>
            </w:tcMar>
            <w:vAlign w:val="center"/>
            <w:hideMark/>
          </w:tcPr>
          <w:p w14:paraId="1B1AA4F8"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Component Category</w:t>
            </w:r>
          </w:p>
        </w:tc>
        <w:tc>
          <w:tcPr>
            <w:tcW w:w="2342" w:type="dxa"/>
            <w:tcBorders>
              <w:top w:val="single" w:sz="4" w:space="0" w:color="auto"/>
              <w:bottom w:val="single" w:sz="4" w:space="0" w:color="auto"/>
            </w:tcBorders>
            <w:shd w:val="clear" w:color="auto" w:fill="FFFFFF"/>
            <w:tcMar>
              <w:top w:w="150" w:type="dxa"/>
              <w:left w:w="150" w:type="dxa"/>
              <w:bottom w:w="150" w:type="dxa"/>
              <w:right w:w="150" w:type="dxa"/>
            </w:tcMar>
            <w:vAlign w:val="center"/>
            <w:hideMark/>
          </w:tcPr>
          <w:p w14:paraId="68378FB0"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General Composition</w:t>
            </w:r>
          </w:p>
        </w:tc>
        <w:tc>
          <w:tcPr>
            <w:tcW w:w="4542" w:type="dxa"/>
            <w:tcBorders>
              <w:top w:val="single" w:sz="4" w:space="0" w:color="auto"/>
              <w:bottom w:val="single" w:sz="4" w:space="0" w:color="auto"/>
            </w:tcBorders>
            <w:shd w:val="clear" w:color="auto" w:fill="FFFFFF"/>
            <w:tcMar>
              <w:top w:w="150" w:type="dxa"/>
              <w:left w:w="150" w:type="dxa"/>
              <w:bottom w:w="150" w:type="dxa"/>
              <w:right w:w="150" w:type="dxa"/>
            </w:tcMar>
            <w:vAlign w:val="center"/>
            <w:hideMark/>
          </w:tcPr>
          <w:p w14:paraId="36904BB9"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Key Examples &amp; Variability</w:t>
            </w:r>
          </w:p>
        </w:tc>
        <w:tc>
          <w:tcPr>
            <w:tcW w:w="1792" w:type="dxa"/>
            <w:tcBorders>
              <w:top w:val="single" w:sz="4" w:space="0" w:color="auto"/>
              <w:bottom w:val="single" w:sz="4" w:space="0" w:color="auto"/>
            </w:tcBorders>
            <w:shd w:val="clear" w:color="auto" w:fill="FFFFFF"/>
            <w:tcMar>
              <w:top w:w="150" w:type="dxa"/>
              <w:left w:w="150" w:type="dxa"/>
              <w:bottom w:w="150" w:type="dxa"/>
              <w:right w:w="150" w:type="dxa"/>
            </w:tcMar>
            <w:vAlign w:val="center"/>
            <w:hideMark/>
          </w:tcPr>
          <w:p w14:paraId="58B5CA8D" w14:textId="77777777" w:rsidR="00D66EBE" w:rsidRPr="00A011DF" w:rsidRDefault="00D66EBE" w:rsidP="00BB395C">
            <w:pPr>
              <w:spacing w:line="278" w:lineRule="auto"/>
              <w:rPr>
                <w:rFonts w:ascii="Arial" w:hAnsi="Arial" w:cs="Arial"/>
                <w:b/>
                <w:bCs/>
                <w:sz w:val="20"/>
                <w:szCs w:val="20"/>
                <w:lang w:val="en-IN"/>
              </w:rPr>
            </w:pPr>
            <w:r w:rsidRPr="00A011DF">
              <w:rPr>
                <w:rFonts w:ascii="Arial" w:hAnsi="Arial" w:cs="Arial"/>
                <w:b/>
                <w:bCs/>
                <w:sz w:val="20"/>
                <w:szCs w:val="20"/>
                <w:lang w:val="en-IN"/>
              </w:rPr>
              <w:t>References</w:t>
            </w:r>
          </w:p>
        </w:tc>
      </w:tr>
      <w:tr w:rsidR="00D66EBE" w:rsidRPr="00A011DF" w14:paraId="2C5F3BF9" w14:textId="77777777" w:rsidTr="00642875">
        <w:tc>
          <w:tcPr>
            <w:tcW w:w="1525" w:type="dxa"/>
            <w:tcBorders>
              <w:top w:val="single" w:sz="4" w:space="0" w:color="auto"/>
            </w:tcBorders>
            <w:shd w:val="clear" w:color="auto" w:fill="FFFFFF"/>
            <w:tcMar>
              <w:top w:w="150" w:type="dxa"/>
              <w:left w:w="0" w:type="dxa"/>
              <w:bottom w:w="150" w:type="dxa"/>
              <w:right w:w="150" w:type="dxa"/>
            </w:tcMar>
            <w:vAlign w:val="center"/>
            <w:hideMark/>
          </w:tcPr>
          <w:p w14:paraId="181BF73B"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Water</w:t>
            </w:r>
          </w:p>
        </w:tc>
        <w:tc>
          <w:tcPr>
            <w:tcW w:w="2342" w:type="dxa"/>
            <w:tcBorders>
              <w:top w:val="single" w:sz="4" w:space="0" w:color="auto"/>
            </w:tcBorders>
            <w:shd w:val="clear" w:color="auto" w:fill="FFFFFF"/>
            <w:tcMar>
              <w:top w:w="150" w:type="dxa"/>
              <w:left w:w="150" w:type="dxa"/>
              <w:bottom w:w="150" w:type="dxa"/>
              <w:right w:w="150" w:type="dxa"/>
            </w:tcMar>
            <w:vAlign w:val="center"/>
            <w:hideMark/>
          </w:tcPr>
          <w:p w14:paraId="03E86190"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High moisture content, typically &gt;80%.</w:t>
            </w:r>
          </w:p>
        </w:tc>
        <w:tc>
          <w:tcPr>
            <w:tcW w:w="4542" w:type="dxa"/>
            <w:tcBorders>
              <w:top w:val="single" w:sz="4" w:space="0" w:color="auto"/>
            </w:tcBorders>
            <w:shd w:val="clear" w:color="auto" w:fill="FFFFFF"/>
            <w:tcMar>
              <w:top w:w="150" w:type="dxa"/>
              <w:left w:w="150" w:type="dxa"/>
              <w:bottom w:w="150" w:type="dxa"/>
              <w:right w:w="150" w:type="dxa"/>
            </w:tcMar>
            <w:vAlign w:val="center"/>
            <w:hideMark/>
          </w:tcPr>
          <w:p w14:paraId="04F37D99" w14:textId="77777777" w:rsidR="00D66EBE" w:rsidRPr="00A011DF" w:rsidRDefault="00D66EBE" w:rsidP="00BB395C">
            <w:pPr>
              <w:spacing w:line="278" w:lineRule="auto"/>
              <w:rPr>
                <w:rFonts w:ascii="Arial" w:hAnsi="Arial" w:cs="Arial"/>
                <w:sz w:val="20"/>
                <w:szCs w:val="20"/>
                <w:lang w:val="en-IN"/>
              </w:rPr>
            </w:pPr>
          </w:p>
        </w:tc>
        <w:tc>
          <w:tcPr>
            <w:tcW w:w="1792" w:type="dxa"/>
            <w:tcBorders>
              <w:top w:val="single" w:sz="4" w:space="0" w:color="auto"/>
            </w:tcBorders>
            <w:shd w:val="clear" w:color="auto" w:fill="FFFFFF"/>
            <w:tcMar>
              <w:top w:w="150" w:type="dxa"/>
              <w:left w:w="150" w:type="dxa"/>
              <w:bottom w:w="150" w:type="dxa"/>
              <w:right w:w="150" w:type="dxa"/>
            </w:tcMar>
            <w:vAlign w:val="center"/>
            <w:hideMark/>
          </w:tcPr>
          <w:p w14:paraId="0C261779"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Navarro-González et al., 2014.</w:t>
            </w:r>
          </w:p>
        </w:tc>
      </w:tr>
      <w:tr w:rsidR="00D66EBE" w:rsidRPr="00A011DF" w14:paraId="01038F5D" w14:textId="77777777" w:rsidTr="00642875">
        <w:tc>
          <w:tcPr>
            <w:tcW w:w="1525" w:type="dxa"/>
            <w:shd w:val="clear" w:color="auto" w:fill="FFFFFF"/>
            <w:tcMar>
              <w:top w:w="150" w:type="dxa"/>
              <w:left w:w="0" w:type="dxa"/>
              <w:bottom w:w="150" w:type="dxa"/>
              <w:right w:w="150" w:type="dxa"/>
            </w:tcMar>
            <w:vAlign w:val="center"/>
            <w:hideMark/>
          </w:tcPr>
          <w:p w14:paraId="5C8C9014"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Macronutrients</w:t>
            </w:r>
          </w:p>
        </w:tc>
        <w:tc>
          <w:tcPr>
            <w:tcW w:w="2342" w:type="dxa"/>
            <w:shd w:val="clear" w:color="auto" w:fill="FFFFFF"/>
            <w:tcMar>
              <w:top w:w="150" w:type="dxa"/>
              <w:left w:w="150" w:type="dxa"/>
              <w:bottom w:w="150" w:type="dxa"/>
              <w:right w:w="150" w:type="dxa"/>
            </w:tcMar>
            <w:vAlign w:val="center"/>
            <w:hideMark/>
          </w:tcPr>
          <w:p w14:paraId="17803A31"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Contain small amounts of proteins, fats, and carbohydrates.</w:t>
            </w:r>
          </w:p>
        </w:tc>
        <w:tc>
          <w:tcPr>
            <w:tcW w:w="4542" w:type="dxa"/>
            <w:shd w:val="clear" w:color="auto" w:fill="FFFFFF"/>
            <w:tcMar>
              <w:top w:w="150" w:type="dxa"/>
              <w:left w:w="150" w:type="dxa"/>
              <w:bottom w:w="150" w:type="dxa"/>
              <w:right w:w="150" w:type="dxa"/>
            </w:tcMar>
            <w:vAlign w:val="center"/>
            <w:hideMark/>
          </w:tcPr>
          <w:p w14:paraId="2D4524FF"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Proteins: Generally moderate (2-7.6). Exceptions include Banana flower (12.5%) and Chive flowers (15.4%).</w:t>
            </w:r>
            <w:r w:rsidRPr="00A011DF">
              <w:rPr>
                <w:rFonts w:ascii="Arial" w:hAnsi="Arial" w:cs="Arial"/>
                <w:sz w:val="20"/>
                <w:szCs w:val="20"/>
                <w:lang w:val="en-IN"/>
              </w:rPr>
              <w:br/>
              <w:t>Carbohydrates: Content can be high (e.g., Centaurea: 88.4% ).</w:t>
            </w:r>
            <w:r w:rsidRPr="00A011DF">
              <w:rPr>
                <w:rFonts w:ascii="Arial" w:hAnsi="Arial" w:cs="Arial"/>
                <w:sz w:val="20"/>
                <w:szCs w:val="20"/>
                <w:lang w:val="en-IN"/>
              </w:rPr>
              <w:br/>
              <w:t>Lipids: Generally low. Some, like Chive and Pot Marigold, are sources of beneficial unsaturated fatty acids (linoleic, oleic acid).</w:t>
            </w:r>
          </w:p>
        </w:tc>
        <w:tc>
          <w:tcPr>
            <w:tcW w:w="1792" w:type="dxa"/>
            <w:shd w:val="clear" w:color="auto" w:fill="FFFFFF"/>
            <w:tcMar>
              <w:top w:w="150" w:type="dxa"/>
              <w:left w:w="150" w:type="dxa"/>
              <w:bottom w:w="150" w:type="dxa"/>
              <w:right w:w="150" w:type="dxa"/>
            </w:tcMar>
            <w:vAlign w:val="center"/>
            <w:hideMark/>
          </w:tcPr>
          <w:p w14:paraId="50A91125"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 xml:space="preserve">Bhaskar et al., 2012; </w:t>
            </w:r>
            <w:proofErr w:type="spellStart"/>
            <w:r w:rsidRPr="00A011DF">
              <w:rPr>
                <w:rFonts w:ascii="Arial" w:hAnsi="Arial" w:cs="Arial"/>
                <w:sz w:val="20"/>
                <w:szCs w:val="20"/>
                <w:lang w:val="en-IN"/>
              </w:rPr>
              <w:t>Grzeszczuk</w:t>
            </w:r>
            <w:proofErr w:type="spellEnd"/>
            <w:r w:rsidRPr="00A011DF">
              <w:rPr>
                <w:rFonts w:ascii="Arial" w:hAnsi="Arial" w:cs="Arial"/>
                <w:sz w:val="20"/>
                <w:szCs w:val="20"/>
                <w:lang w:val="en-IN"/>
              </w:rPr>
              <w:t xml:space="preserve"> et al., 2011; Pires et al., 2019</w:t>
            </w:r>
          </w:p>
        </w:tc>
      </w:tr>
      <w:tr w:rsidR="00D66EBE" w:rsidRPr="00A011DF" w14:paraId="36397234" w14:textId="77777777" w:rsidTr="00642875">
        <w:tc>
          <w:tcPr>
            <w:tcW w:w="1525" w:type="dxa"/>
            <w:shd w:val="clear" w:color="auto" w:fill="FFFFFF"/>
            <w:tcMar>
              <w:top w:w="150" w:type="dxa"/>
              <w:left w:w="0" w:type="dxa"/>
              <w:bottom w:w="150" w:type="dxa"/>
              <w:right w:w="150" w:type="dxa"/>
            </w:tcMar>
            <w:vAlign w:val="center"/>
            <w:hideMark/>
          </w:tcPr>
          <w:p w14:paraId="009F8AE0"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Dietary Fiber</w:t>
            </w:r>
          </w:p>
        </w:tc>
        <w:tc>
          <w:tcPr>
            <w:tcW w:w="2342" w:type="dxa"/>
            <w:shd w:val="clear" w:color="auto" w:fill="FFFFFF"/>
            <w:tcMar>
              <w:top w:w="150" w:type="dxa"/>
              <w:left w:w="150" w:type="dxa"/>
              <w:bottom w:w="150" w:type="dxa"/>
              <w:right w:w="150" w:type="dxa"/>
            </w:tcMar>
            <w:vAlign w:val="center"/>
            <w:hideMark/>
          </w:tcPr>
          <w:p w14:paraId="039F6DAD"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Content is highly variable.</w:t>
            </w:r>
          </w:p>
        </w:tc>
        <w:tc>
          <w:tcPr>
            <w:tcW w:w="4542" w:type="dxa"/>
            <w:shd w:val="clear" w:color="auto" w:fill="FFFFFF"/>
            <w:tcMar>
              <w:top w:w="150" w:type="dxa"/>
              <w:left w:w="150" w:type="dxa"/>
              <w:bottom w:w="150" w:type="dxa"/>
              <w:right w:w="150" w:type="dxa"/>
            </w:tcMar>
            <w:vAlign w:val="center"/>
            <w:hideMark/>
          </w:tcPr>
          <w:p w14:paraId="163F2A9A"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Ranges from moderate (e.g., Chive flowers: 6.1%) to very high (e.g., Banana flower: 65.6% .).</w:t>
            </w:r>
          </w:p>
        </w:tc>
        <w:tc>
          <w:tcPr>
            <w:tcW w:w="1792" w:type="dxa"/>
            <w:shd w:val="clear" w:color="auto" w:fill="FFFFFF"/>
            <w:tcMar>
              <w:top w:w="150" w:type="dxa"/>
              <w:left w:w="150" w:type="dxa"/>
              <w:bottom w:w="150" w:type="dxa"/>
              <w:right w:w="150" w:type="dxa"/>
            </w:tcMar>
            <w:vAlign w:val="center"/>
            <w:hideMark/>
          </w:tcPr>
          <w:p w14:paraId="1052093F"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 xml:space="preserve">Bhaskar et al., 2012; </w:t>
            </w:r>
            <w:proofErr w:type="spellStart"/>
            <w:r w:rsidRPr="00A011DF">
              <w:rPr>
                <w:rFonts w:ascii="Arial" w:hAnsi="Arial" w:cs="Arial"/>
                <w:sz w:val="20"/>
                <w:szCs w:val="20"/>
                <w:lang w:val="en-IN"/>
              </w:rPr>
              <w:t>Grzeszczuk</w:t>
            </w:r>
            <w:proofErr w:type="spellEnd"/>
            <w:r w:rsidRPr="00A011DF">
              <w:rPr>
                <w:rFonts w:ascii="Arial" w:hAnsi="Arial" w:cs="Arial"/>
                <w:sz w:val="20"/>
                <w:szCs w:val="20"/>
                <w:lang w:val="en-IN"/>
              </w:rPr>
              <w:t xml:space="preserve"> et al., 2011; USDA, 2018c</w:t>
            </w:r>
          </w:p>
        </w:tc>
      </w:tr>
      <w:tr w:rsidR="00D66EBE" w:rsidRPr="00A011DF" w14:paraId="533BA323" w14:textId="77777777" w:rsidTr="00642875">
        <w:tc>
          <w:tcPr>
            <w:tcW w:w="1525" w:type="dxa"/>
            <w:tcBorders>
              <w:bottom w:val="single" w:sz="4" w:space="0" w:color="auto"/>
            </w:tcBorders>
            <w:shd w:val="clear" w:color="auto" w:fill="FFFFFF"/>
            <w:tcMar>
              <w:top w:w="150" w:type="dxa"/>
              <w:left w:w="0" w:type="dxa"/>
              <w:bottom w:w="150" w:type="dxa"/>
              <w:right w:w="150" w:type="dxa"/>
            </w:tcMar>
            <w:vAlign w:val="center"/>
            <w:hideMark/>
          </w:tcPr>
          <w:p w14:paraId="54DF1732"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Minerals &amp; Vitamins</w:t>
            </w:r>
          </w:p>
        </w:tc>
        <w:tc>
          <w:tcPr>
            <w:tcW w:w="2342" w:type="dxa"/>
            <w:tcBorders>
              <w:bottom w:val="single" w:sz="4" w:space="0" w:color="auto"/>
            </w:tcBorders>
            <w:shd w:val="clear" w:color="auto" w:fill="FFFFFF"/>
            <w:tcMar>
              <w:top w:w="150" w:type="dxa"/>
              <w:left w:w="150" w:type="dxa"/>
              <w:bottom w:w="150" w:type="dxa"/>
              <w:right w:w="150" w:type="dxa"/>
            </w:tcMar>
            <w:vAlign w:val="center"/>
            <w:hideMark/>
          </w:tcPr>
          <w:p w14:paraId="0D89BEFF"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Good sources of various minerals and vitamins.</w:t>
            </w:r>
          </w:p>
        </w:tc>
        <w:tc>
          <w:tcPr>
            <w:tcW w:w="4542" w:type="dxa"/>
            <w:tcBorders>
              <w:bottom w:val="single" w:sz="4" w:space="0" w:color="auto"/>
            </w:tcBorders>
            <w:shd w:val="clear" w:color="auto" w:fill="FFFFFF"/>
            <w:tcMar>
              <w:top w:w="150" w:type="dxa"/>
              <w:left w:w="150" w:type="dxa"/>
              <w:bottom w:w="150" w:type="dxa"/>
              <w:right w:w="150" w:type="dxa"/>
            </w:tcMar>
            <w:vAlign w:val="center"/>
            <w:hideMark/>
          </w:tcPr>
          <w:p w14:paraId="7870EA57"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Sunflower florets are notably high in minerals (Potassium-K, Calcium-Ca, Phosphorus-P, Iron-Fe) and vitamins (E and C).</w:t>
            </w:r>
          </w:p>
        </w:tc>
        <w:tc>
          <w:tcPr>
            <w:tcW w:w="1792" w:type="dxa"/>
            <w:tcBorders>
              <w:bottom w:val="single" w:sz="4" w:space="0" w:color="auto"/>
            </w:tcBorders>
            <w:shd w:val="clear" w:color="auto" w:fill="FFFFFF"/>
            <w:tcMar>
              <w:top w:w="150" w:type="dxa"/>
              <w:left w:w="150" w:type="dxa"/>
              <w:bottom w:w="150" w:type="dxa"/>
              <w:right w:w="150" w:type="dxa"/>
            </w:tcMar>
            <w:vAlign w:val="center"/>
            <w:hideMark/>
          </w:tcPr>
          <w:p w14:paraId="1EDB042B" w14:textId="77777777" w:rsidR="00D66EBE" w:rsidRPr="00A011DF" w:rsidRDefault="00D66EBE" w:rsidP="00BB395C">
            <w:pPr>
              <w:spacing w:line="278" w:lineRule="auto"/>
              <w:rPr>
                <w:rFonts w:ascii="Arial" w:hAnsi="Arial" w:cs="Arial"/>
                <w:sz w:val="20"/>
                <w:szCs w:val="20"/>
                <w:lang w:val="en-IN"/>
              </w:rPr>
            </w:pPr>
            <w:r w:rsidRPr="00A011DF">
              <w:rPr>
                <w:rFonts w:ascii="Arial" w:hAnsi="Arial" w:cs="Arial"/>
                <w:sz w:val="20"/>
                <w:szCs w:val="20"/>
                <w:lang w:val="en-IN"/>
              </w:rPr>
              <w:t>Liang et al., 2013</w:t>
            </w:r>
          </w:p>
        </w:tc>
      </w:tr>
    </w:tbl>
    <w:p w14:paraId="7D7C129C" w14:textId="78168CE4" w:rsidR="00D66EBE" w:rsidRPr="00A011DF" w:rsidRDefault="00D66EBE" w:rsidP="00D66EBE">
      <w:pPr>
        <w:spacing w:line="278" w:lineRule="auto"/>
        <w:jc w:val="both"/>
        <w:rPr>
          <w:rFonts w:ascii="Arial" w:hAnsi="Arial" w:cs="Arial"/>
          <w:i/>
          <w:iCs/>
          <w:sz w:val="20"/>
          <w:szCs w:val="20"/>
        </w:rPr>
      </w:pPr>
      <w:r w:rsidRPr="00A011DF">
        <w:rPr>
          <w:rFonts w:ascii="Arial" w:hAnsi="Arial" w:cs="Arial"/>
          <w:b/>
          <w:bCs/>
          <w:sz w:val="20"/>
          <w:szCs w:val="20"/>
        </w:rPr>
        <w:t xml:space="preserve"> (</w:t>
      </w:r>
      <w:r w:rsidRPr="00A011DF">
        <w:rPr>
          <w:rFonts w:ascii="Arial" w:hAnsi="Arial" w:cs="Arial"/>
          <w:sz w:val="20"/>
          <w:szCs w:val="20"/>
        </w:rPr>
        <w:t>Note -</w:t>
      </w:r>
      <w:r w:rsidRPr="00A011DF">
        <w:rPr>
          <w:rFonts w:ascii="Arial" w:hAnsi="Arial" w:cs="Arial"/>
          <w:i/>
          <w:iCs/>
          <w:sz w:val="20"/>
          <w:szCs w:val="20"/>
        </w:rPr>
        <w:t xml:space="preserve"> The values are measured on dry weight basis.)</w:t>
      </w:r>
    </w:p>
    <w:p w14:paraId="1BE2E063" w14:textId="7110468A" w:rsidR="00D66EBE" w:rsidRPr="00A011DF" w:rsidRDefault="00A011DF" w:rsidP="00D66EBE">
      <w:pPr>
        <w:spacing w:line="278" w:lineRule="auto"/>
        <w:jc w:val="both"/>
        <w:rPr>
          <w:rFonts w:ascii="Arial" w:hAnsi="Arial" w:cs="Arial"/>
          <w:b/>
          <w:bCs/>
        </w:rPr>
      </w:pPr>
      <w:r w:rsidRPr="00A011DF">
        <w:rPr>
          <w:rFonts w:ascii="Arial" w:hAnsi="Arial" w:cs="Arial"/>
          <w:b/>
          <w:bCs/>
        </w:rPr>
        <w:t>3. BIOACTIVE POTENTIAL.</w:t>
      </w:r>
    </w:p>
    <w:p w14:paraId="69C6F73A" w14:textId="77777777"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 xml:space="preserve">Edible flowers are a rich source of different bioactive composites, which are responsible for a wide range of health- promoting parcels, including antioxidant, antimicrobial, antiviral, antidiabetic, anticancer, and neuroprotective activities (Takahashi et al., 2020; </w:t>
      </w:r>
      <w:proofErr w:type="spellStart"/>
      <w:r w:rsidRPr="00A011DF">
        <w:rPr>
          <w:rFonts w:ascii="Arial" w:hAnsi="Arial" w:cs="Arial"/>
          <w:sz w:val="20"/>
          <w:szCs w:val="20"/>
        </w:rPr>
        <w:t>lu</w:t>
      </w:r>
      <w:proofErr w:type="spellEnd"/>
      <w:r w:rsidRPr="00A011DF">
        <w:rPr>
          <w:rFonts w:ascii="Arial" w:hAnsi="Arial" w:cs="Arial"/>
          <w:sz w:val="20"/>
          <w:szCs w:val="20"/>
        </w:rPr>
        <w:t xml:space="preserve"> et al., 2016).</w:t>
      </w:r>
    </w:p>
    <w:p w14:paraId="11074DEE" w14:textId="1393CB31" w:rsidR="00D66EBE" w:rsidRPr="00A011DF" w:rsidRDefault="00A011DF" w:rsidP="00D66EBE">
      <w:pPr>
        <w:spacing w:line="278" w:lineRule="auto"/>
        <w:jc w:val="both"/>
        <w:rPr>
          <w:rFonts w:ascii="Arial" w:hAnsi="Arial" w:cs="Arial"/>
          <w:b/>
          <w:bCs/>
        </w:rPr>
      </w:pPr>
      <w:r w:rsidRPr="00A011DF">
        <w:rPr>
          <w:rFonts w:ascii="Arial" w:hAnsi="Arial" w:cs="Arial"/>
          <w:b/>
          <w:bCs/>
        </w:rPr>
        <w:t xml:space="preserve">3.1 </w:t>
      </w:r>
      <w:r w:rsidR="00D66EBE" w:rsidRPr="00A011DF">
        <w:rPr>
          <w:rFonts w:ascii="Arial" w:hAnsi="Arial" w:cs="Arial"/>
          <w:b/>
          <w:bCs/>
        </w:rPr>
        <w:t xml:space="preserve">Antioxidant </w:t>
      </w:r>
      <w:r w:rsidRPr="00A011DF">
        <w:rPr>
          <w:rFonts w:ascii="Arial" w:hAnsi="Arial" w:cs="Arial"/>
          <w:b/>
          <w:bCs/>
        </w:rPr>
        <w:t>Capacity.</w:t>
      </w:r>
    </w:p>
    <w:p w14:paraId="60455F7A" w14:textId="31B2AB53"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 xml:space="preserve">The antioxidant capacity is the most extensively studied bioactive property of edible flowers, primarily attributed to their high </w:t>
      </w:r>
      <w:r w:rsidR="00232399" w:rsidRPr="00A011DF">
        <w:rPr>
          <w:rFonts w:ascii="Arial" w:hAnsi="Arial" w:cs="Arial"/>
          <w:sz w:val="20"/>
          <w:szCs w:val="20"/>
        </w:rPr>
        <w:t>amount</w:t>
      </w:r>
      <w:r w:rsidRPr="00A011DF">
        <w:rPr>
          <w:rFonts w:ascii="Arial" w:hAnsi="Arial" w:cs="Arial"/>
          <w:sz w:val="20"/>
          <w:szCs w:val="20"/>
        </w:rPr>
        <w:t xml:space="preserve"> of phenolic compounds, flavonoids, and anthocyanins (Takahashi et al., 2020).</w:t>
      </w:r>
    </w:p>
    <w:p w14:paraId="22303F50" w14:textId="58893B02" w:rsidR="0058502C" w:rsidRPr="00A011DF" w:rsidRDefault="00D66EBE" w:rsidP="0058502C">
      <w:pPr>
        <w:spacing w:line="278" w:lineRule="auto"/>
        <w:ind w:firstLine="720"/>
        <w:jc w:val="both"/>
        <w:rPr>
          <w:rFonts w:ascii="Arial" w:hAnsi="Arial" w:cs="Arial"/>
          <w:sz w:val="20"/>
          <w:szCs w:val="20"/>
        </w:rPr>
      </w:pPr>
      <w:r w:rsidRPr="00A011DF">
        <w:rPr>
          <w:rFonts w:ascii="Arial" w:hAnsi="Arial" w:cs="Arial"/>
          <w:sz w:val="20"/>
          <w:szCs w:val="20"/>
        </w:rPr>
        <w:t>The antioxidant capacity is the most considerably studied bioactive property of edible  flowers, primarily attributed to their high content of phenolic composites, flavonoids, and anthocyanins (Takahashi et al., 2020). Research constantly demonstrates potent exertion across a wide range of species. For case, extracts from Sweet Osmanthus</w:t>
      </w:r>
      <w:r w:rsidR="008C0605">
        <w:rPr>
          <w:rFonts w:ascii="Arial" w:hAnsi="Arial" w:cs="Arial"/>
          <w:sz w:val="20"/>
          <w:szCs w:val="20"/>
        </w:rPr>
        <w:t xml:space="preserve"> (</w:t>
      </w:r>
      <w:r w:rsidR="008C0605" w:rsidRPr="008C0605">
        <w:rPr>
          <w:rFonts w:ascii="Arial" w:hAnsi="Arial" w:cs="Arial"/>
          <w:i/>
          <w:iCs/>
          <w:sz w:val="20"/>
          <w:szCs w:val="20"/>
        </w:rPr>
        <w:t>Osmanthus fragrans</w:t>
      </w:r>
      <w:r w:rsidR="008C0605">
        <w:rPr>
          <w:rFonts w:ascii="Arial" w:hAnsi="Arial" w:cs="Arial"/>
          <w:sz w:val="20"/>
          <w:szCs w:val="20"/>
        </w:rPr>
        <w:t>)</w:t>
      </w:r>
      <w:r w:rsidRPr="00A011DF">
        <w:rPr>
          <w:rFonts w:ascii="Arial" w:hAnsi="Arial" w:cs="Arial"/>
          <w:sz w:val="20"/>
          <w:szCs w:val="20"/>
        </w:rPr>
        <w:t xml:space="preserve"> and Rose (</w:t>
      </w:r>
      <w:r w:rsidRPr="00A011DF">
        <w:rPr>
          <w:rFonts w:ascii="Arial" w:hAnsi="Arial" w:cs="Arial"/>
          <w:i/>
          <w:iCs/>
          <w:sz w:val="20"/>
          <w:szCs w:val="20"/>
        </w:rPr>
        <w:t>Rosa hybrida</w:t>
      </w:r>
      <w:r w:rsidRPr="00A011DF">
        <w:rPr>
          <w:rFonts w:ascii="Arial" w:hAnsi="Arial" w:cs="Arial"/>
          <w:sz w:val="20"/>
          <w:szCs w:val="20"/>
        </w:rPr>
        <w:t xml:space="preserve">) have displayed exceptionally high values in standard assays, reaching 2078.34 µmol Trolox/ g(ABTS) and 629.64 µmol Fe (II)/ g(FRAP), independently </w:t>
      </w:r>
      <w:r w:rsidRPr="00A011DF">
        <w:rPr>
          <w:rFonts w:ascii="Arial" w:hAnsi="Arial" w:cs="Arial"/>
          <w:sz w:val="20"/>
          <w:szCs w:val="20"/>
        </w:rPr>
        <w:lastRenderedPageBreak/>
        <w:t>(Chen et al., 2015; Li et al., 2014). also, Chinese Peony (</w:t>
      </w:r>
      <w:r w:rsidRPr="00A011DF">
        <w:rPr>
          <w:rFonts w:ascii="Arial" w:hAnsi="Arial" w:cs="Arial"/>
          <w:i/>
          <w:iCs/>
          <w:sz w:val="20"/>
          <w:szCs w:val="20"/>
        </w:rPr>
        <w:t xml:space="preserve">Paeonia </w:t>
      </w:r>
      <w:proofErr w:type="spellStart"/>
      <w:r w:rsidRPr="00A011DF">
        <w:rPr>
          <w:rFonts w:ascii="Arial" w:hAnsi="Arial" w:cs="Arial"/>
          <w:i/>
          <w:iCs/>
          <w:sz w:val="20"/>
          <w:szCs w:val="20"/>
        </w:rPr>
        <w:t>lactiflora</w:t>
      </w:r>
      <w:proofErr w:type="spellEnd"/>
      <w:r w:rsidRPr="00A011DF">
        <w:rPr>
          <w:rFonts w:ascii="Arial" w:hAnsi="Arial" w:cs="Arial"/>
          <w:sz w:val="20"/>
          <w:szCs w:val="20"/>
        </w:rPr>
        <w:t xml:space="preserve">) and </w:t>
      </w:r>
      <w:proofErr w:type="spellStart"/>
      <w:r w:rsidRPr="00A011DF">
        <w:rPr>
          <w:rFonts w:ascii="Arial" w:hAnsi="Arial" w:cs="Arial"/>
          <w:sz w:val="20"/>
          <w:szCs w:val="20"/>
        </w:rPr>
        <w:t>Sambuco</w:t>
      </w:r>
      <w:proofErr w:type="spellEnd"/>
      <w:r w:rsidRPr="00A011DF">
        <w:rPr>
          <w:rFonts w:ascii="Arial" w:hAnsi="Arial" w:cs="Arial"/>
          <w:sz w:val="20"/>
          <w:szCs w:val="20"/>
        </w:rPr>
        <w:t xml:space="preserve"> </w:t>
      </w:r>
      <w:proofErr w:type="spellStart"/>
      <w:r w:rsidRPr="00A011DF">
        <w:rPr>
          <w:rFonts w:ascii="Arial" w:hAnsi="Arial" w:cs="Arial"/>
          <w:sz w:val="20"/>
          <w:szCs w:val="20"/>
        </w:rPr>
        <w:t>nero</w:t>
      </w:r>
      <w:proofErr w:type="spellEnd"/>
      <w:r w:rsidRPr="00A011DF">
        <w:rPr>
          <w:rFonts w:ascii="Arial" w:hAnsi="Arial" w:cs="Arial"/>
          <w:sz w:val="20"/>
          <w:szCs w:val="20"/>
        </w:rPr>
        <w:t xml:space="preserve"> (</w:t>
      </w:r>
      <w:r w:rsidRPr="00A011DF">
        <w:rPr>
          <w:rFonts w:ascii="Arial" w:hAnsi="Arial" w:cs="Arial"/>
          <w:i/>
          <w:iCs/>
          <w:sz w:val="20"/>
          <w:szCs w:val="20"/>
        </w:rPr>
        <w:t>Sambucus nigra</w:t>
      </w:r>
      <w:r w:rsidRPr="00A011DF">
        <w:rPr>
          <w:rFonts w:ascii="Arial" w:hAnsi="Arial" w:cs="Arial"/>
          <w:sz w:val="20"/>
          <w:szCs w:val="20"/>
        </w:rPr>
        <w:t xml:space="preserve">) show high total phenol content, at 222.01 and 228.5 mg GAE/ g (Loizzo et al., 2015; </w:t>
      </w:r>
      <w:proofErr w:type="spellStart"/>
      <w:r w:rsidRPr="00A011DF">
        <w:rPr>
          <w:rFonts w:ascii="Arial" w:hAnsi="Arial" w:cs="Arial"/>
          <w:sz w:val="20"/>
          <w:szCs w:val="20"/>
        </w:rPr>
        <w:t>Skrajda</w:t>
      </w:r>
      <w:proofErr w:type="spellEnd"/>
      <w:r w:rsidRPr="00A011DF">
        <w:rPr>
          <w:rFonts w:ascii="Arial" w:hAnsi="Arial" w:cs="Arial"/>
          <w:sz w:val="20"/>
          <w:szCs w:val="20"/>
        </w:rPr>
        <w:t xml:space="preserve">, 2017). </w:t>
      </w:r>
      <w:r w:rsidR="0058502C" w:rsidRPr="00A011DF">
        <w:rPr>
          <w:rFonts w:ascii="Arial" w:hAnsi="Arial" w:cs="Arial"/>
          <w:sz w:val="20"/>
          <w:szCs w:val="20"/>
        </w:rPr>
        <w:t xml:space="preserve">Certain structural characteristics, especially the presence of ortho-dihydroxy groups in composites like quercetin, myricetin, and rutin, are commonly associated with the strength of this antioxidant activity (Takahashi et al., 2020). </w:t>
      </w:r>
    </w:p>
    <w:p w14:paraId="5EC5D52E" w14:textId="0AC6C6E8" w:rsidR="005C04CB" w:rsidRPr="00A011DF" w:rsidRDefault="005C04CB" w:rsidP="005C04CB">
      <w:pPr>
        <w:spacing w:line="278" w:lineRule="auto"/>
        <w:ind w:firstLine="720"/>
        <w:jc w:val="both"/>
        <w:rPr>
          <w:rFonts w:ascii="Arial" w:hAnsi="Arial" w:cs="Arial"/>
          <w:sz w:val="20"/>
          <w:szCs w:val="20"/>
        </w:rPr>
      </w:pPr>
      <w:r w:rsidRPr="00A011DF">
        <w:rPr>
          <w:rFonts w:ascii="Arial" w:hAnsi="Arial" w:cs="Arial"/>
          <w:sz w:val="20"/>
          <w:szCs w:val="20"/>
        </w:rPr>
        <w:t xml:space="preserve">While studying the antioxidant activity of flowers one thing to pay attention is the antioxidant effect we measure is not simply the addition of </w:t>
      </w:r>
      <w:r w:rsidR="002248D3" w:rsidRPr="00A011DF">
        <w:rPr>
          <w:rFonts w:ascii="Arial" w:hAnsi="Arial" w:cs="Arial"/>
          <w:sz w:val="20"/>
          <w:szCs w:val="20"/>
        </w:rPr>
        <w:t>its</w:t>
      </w:r>
      <w:r w:rsidRPr="00A011DF">
        <w:rPr>
          <w:rFonts w:ascii="Arial" w:hAnsi="Arial" w:cs="Arial"/>
          <w:sz w:val="20"/>
          <w:szCs w:val="20"/>
        </w:rPr>
        <w:t xml:space="preserve"> composites.  The effectiveness of phytochemicals is increased by some notable synergistic relationships with some community factors reported to be in  range of 56 to 1416.  This makes it easier to understand why theoretical calculations frequently account for less than one of the </w:t>
      </w:r>
      <w:r w:rsidR="002248D3" w:rsidRPr="00A011DF">
        <w:rPr>
          <w:rFonts w:ascii="Arial" w:hAnsi="Arial" w:cs="Arial"/>
          <w:sz w:val="20"/>
          <w:szCs w:val="20"/>
        </w:rPr>
        <w:t>energies</w:t>
      </w:r>
      <w:r w:rsidRPr="00A011DF">
        <w:rPr>
          <w:rFonts w:ascii="Arial" w:hAnsi="Arial" w:cs="Arial"/>
          <w:sz w:val="20"/>
          <w:szCs w:val="20"/>
        </w:rPr>
        <w:t xml:space="preserve"> that we actually see. This strong and synergistic effect makes edible flowers as important natural option for combating oxidative stress (Breda et al., 2025).</w:t>
      </w:r>
    </w:p>
    <w:p w14:paraId="60F7D6A3" w14:textId="74F15B00" w:rsidR="00CE564E" w:rsidRPr="00A011DF" w:rsidRDefault="00A011DF" w:rsidP="00CE564E">
      <w:pPr>
        <w:spacing w:line="278" w:lineRule="auto"/>
        <w:jc w:val="both"/>
        <w:rPr>
          <w:rFonts w:ascii="Arial" w:hAnsi="Arial" w:cs="Arial"/>
          <w:b/>
          <w:bCs/>
        </w:rPr>
      </w:pPr>
      <w:r w:rsidRPr="00A011DF">
        <w:rPr>
          <w:rFonts w:ascii="Arial" w:hAnsi="Arial" w:cs="Arial"/>
          <w:b/>
          <w:bCs/>
        </w:rPr>
        <w:t xml:space="preserve">3.2 </w:t>
      </w:r>
      <w:r w:rsidR="00CE564E" w:rsidRPr="00A011DF">
        <w:rPr>
          <w:rFonts w:ascii="Arial" w:hAnsi="Arial" w:cs="Arial"/>
          <w:b/>
          <w:bCs/>
        </w:rPr>
        <w:t xml:space="preserve">Antimicrobial </w:t>
      </w:r>
      <w:r w:rsidRPr="00A011DF">
        <w:rPr>
          <w:rFonts w:ascii="Arial" w:hAnsi="Arial" w:cs="Arial"/>
          <w:b/>
          <w:bCs/>
        </w:rPr>
        <w:t>Activity.</w:t>
      </w:r>
    </w:p>
    <w:p w14:paraId="1EF215C4" w14:textId="515EDDA4" w:rsidR="00CE564E" w:rsidRPr="00A011DF" w:rsidRDefault="00E34199" w:rsidP="00E34199">
      <w:pPr>
        <w:spacing w:line="278" w:lineRule="auto"/>
        <w:ind w:firstLine="720"/>
        <w:jc w:val="both"/>
        <w:rPr>
          <w:rFonts w:ascii="Arial" w:hAnsi="Arial" w:cs="Arial"/>
          <w:sz w:val="20"/>
          <w:szCs w:val="20"/>
        </w:rPr>
      </w:pPr>
      <w:r w:rsidRPr="00A011DF">
        <w:rPr>
          <w:rFonts w:ascii="Arial" w:hAnsi="Arial" w:cs="Arial"/>
          <w:sz w:val="20"/>
          <w:szCs w:val="20"/>
        </w:rPr>
        <w:t xml:space="preserve">Broad- range of antimicrobial activity against a variety of significant foodborne and natural pathogens is shown by edible flowers, which makes them a potential natural alternative for food preservation and medicinal operations. effective inhibitory action against bacteria like </w:t>
      </w:r>
      <w:r w:rsidR="002248D3" w:rsidRPr="00A011DF">
        <w:rPr>
          <w:rFonts w:ascii="Arial" w:hAnsi="Arial" w:cs="Arial"/>
          <w:i/>
          <w:iCs/>
          <w:sz w:val="20"/>
          <w:szCs w:val="20"/>
        </w:rPr>
        <w:t>staphylococcus</w:t>
      </w:r>
      <w:r w:rsidRPr="00A011DF">
        <w:rPr>
          <w:rFonts w:ascii="Arial" w:hAnsi="Arial" w:cs="Arial"/>
          <w:i/>
          <w:iCs/>
          <w:sz w:val="20"/>
          <w:szCs w:val="20"/>
        </w:rPr>
        <w:t xml:space="preserve"> aureus Escherichia coli </w:t>
      </w:r>
      <w:r w:rsidRPr="00A011DF">
        <w:rPr>
          <w:rFonts w:ascii="Arial" w:hAnsi="Arial" w:cs="Arial"/>
          <w:sz w:val="20"/>
          <w:szCs w:val="20"/>
        </w:rPr>
        <w:t xml:space="preserve">and </w:t>
      </w:r>
      <w:r w:rsidRPr="00A011DF">
        <w:rPr>
          <w:rFonts w:ascii="Arial" w:hAnsi="Arial" w:cs="Arial"/>
          <w:i/>
          <w:iCs/>
          <w:sz w:val="20"/>
          <w:szCs w:val="20"/>
        </w:rPr>
        <w:t xml:space="preserve">Bacillus cereus </w:t>
      </w:r>
      <w:r w:rsidRPr="00A011DF">
        <w:rPr>
          <w:rFonts w:ascii="Arial" w:hAnsi="Arial" w:cs="Arial"/>
          <w:sz w:val="20"/>
          <w:szCs w:val="20"/>
        </w:rPr>
        <w:t xml:space="preserve">is demonstrated by extract from traditional Thai flowers </w:t>
      </w:r>
      <w:proofErr w:type="spellStart"/>
      <w:r w:rsidRPr="00A011DF">
        <w:rPr>
          <w:rFonts w:ascii="Arial" w:hAnsi="Arial" w:cs="Arial"/>
          <w:i/>
          <w:iCs/>
          <w:sz w:val="20"/>
          <w:szCs w:val="20"/>
        </w:rPr>
        <w:t>senna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siamea</w:t>
      </w:r>
      <w:proofErr w:type="spellEnd"/>
      <w:r w:rsidRPr="00A011DF">
        <w:rPr>
          <w:rFonts w:ascii="Arial" w:hAnsi="Arial" w:cs="Arial"/>
          <w:i/>
          <w:iCs/>
          <w:sz w:val="20"/>
          <w:szCs w:val="20"/>
        </w:rPr>
        <w:t xml:space="preserve">, </w:t>
      </w:r>
      <w:proofErr w:type="spellStart"/>
      <w:r w:rsidRPr="00A011DF">
        <w:rPr>
          <w:rFonts w:ascii="Arial" w:hAnsi="Arial" w:cs="Arial"/>
          <w:i/>
          <w:iCs/>
          <w:sz w:val="20"/>
          <w:szCs w:val="20"/>
        </w:rPr>
        <w:t>sebania</w:t>
      </w:r>
      <w:proofErr w:type="spellEnd"/>
      <w:r w:rsidRPr="00A011DF">
        <w:rPr>
          <w:rFonts w:ascii="Arial" w:hAnsi="Arial" w:cs="Arial"/>
          <w:i/>
          <w:iCs/>
          <w:sz w:val="20"/>
          <w:szCs w:val="20"/>
        </w:rPr>
        <w:t xml:space="preserve"> grandiflora, </w:t>
      </w:r>
      <w:r w:rsidRPr="00A011DF">
        <w:rPr>
          <w:rFonts w:ascii="Arial" w:hAnsi="Arial" w:cs="Arial"/>
          <w:sz w:val="20"/>
          <w:szCs w:val="20"/>
        </w:rPr>
        <w:t>and</w:t>
      </w:r>
      <w:r w:rsidRPr="00A011DF">
        <w:rPr>
          <w:rFonts w:ascii="Arial" w:hAnsi="Arial" w:cs="Arial"/>
          <w:i/>
          <w:iCs/>
          <w:sz w:val="20"/>
          <w:szCs w:val="20"/>
        </w:rPr>
        <w:t xml:space="preserve"> </w:t>
      </w:r>
      <w:proofErr w:type="spellStart"/>
      <w:r w:rsidRPr="00A011DF">
        <w:rPr>
          <w:rFonts w:ascii="Arial" w:hAnsi="Arial" w:cs="Arial"/>
          <w:i/>
          <w:iCs/>
          <w:sz w:val="20"/>
          <w:szCs w:val="20"/>
        </w:rPr>
        <w:t>telosma</w:t>
      </w:r>
      <w:proofErr w:type="spellEnd"/>
      <w:r w:rsidRPr="00A011DF">
        <w:rPr>
          <w:rFonts w:ascii="Arial" w:hAnsi="Arial" w:cs="Arial"/>
          <w:i/>
          <w:iCs/>
          <w:sz w:val="20"/>
          <w:szCs w:val="20"/>
        </w:rPr>
        <w:t xml:space="preserve"> minor.</w:t>
      </w:r>
      <w:sdt>
        <w:sdtPr>
          <w:rPr>
            <w:rFonts w:ascii="Arial" w:hAnsi="Arial" w:cs="Arial"/>
            <w:i/>
            <w:iCs/>
            <w:color w:val="000000"/>
            <w:sz w:val="20"/>
            <w:szCs w:val="20"/>
          </w:rPr>
          <w:tag w:val="MENDELEY_CITATION_v3_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"/>
          <w:id w:val="604689175"/>
          <w:placeholder>
            <w:docPart w:val="595F96B6D16E4FACAF93A8BB0E3EE90E"/>
          </w:placeholder>
        </w:sdtPr>
        <w:sdtEndPr/>
        <w:sdtContent>
          <w:r w:rsidRPr="00A011DF">
            <w:rPr>
              <w:rFonts w:ascii="Arial" w:eastAsia="Times New Roman" w:hAnsi="Arial" w:cs="Arial"/>
              <w:color w:val="000000"/>
              <w:sz w:val="20"/>
              <w:szCs w:val="20"/>
            </w:rPr>
            <w:t>(</w:t>
          </w:r>
          <w:proofErr w:type="spellStart"/>
          <w:r w:rsidRPr="00A011DF">
            <w:rPr>
              <w:rFonts w:ascii="Arial" w:eastAsia="Times New Roman" w:hAnsi="Arial" w:cs="Arial"/>
              <w:color w:val="000000"/>
              <w:sz w:val="20"/>
              <w:szCs w:val="20"/>
            </w:rPr>
            <w:t>Krasaekoopt</w:t>
          </w:r>
          <w:proofErr w:type="spellEnd"/>
          <w:r w:rsidRPr="00A011DF">
            <w:rPr>
              <w:rFonts w:ascii="Arial" w:eastAsia="Times New Roman" w:hAnsi="Arial" w:cs="Arial"/>
              <w:color w:val="000000"/>
              <w:sz w:val="20"/>
              <w:szCs w:val="20"/>
            </w:rPr>
            <w:t xml:space="preserve"> &amp; </w:t>
          </w:r>
          <w:proofErr w:type="spellStart"/>
          <w:r w:rsidRPr="00A011DF">
            <w:rPr>
              <w:rFonts w:ascii="Arial" w:eastAsia="Times New Roman" w:hAnsi="Arial" w:cs="Arial"/>
              <w:color w:val="000000"/>
              <w:sz w:val="20"/>
              <w:szCs w:val="20"/>
            </w:rPr>
            <w:t>Kongkarnchanatip</w:t>
          </w:r>
          <w:proofErr w:type="spellEnd"/>
          <w:r w:rsidRPr="00A011DF">
            <w:rPr>
              <w:rFonts w:ascii="Arial" w:eastAsia="Times New Roman" w:hAnsi="Arial" w:cs="Arial"/>
              <w:color w:val="000000"/>
              <w:sz w:val="20"/>
              <w:szCs w:val="20"/>
            </w:rPr>
            <w:t>, 2005)</w:t>
          </w:r>
        </w:sdtContent>
      </w:sdt>
      <w:r w:rsidRPr="00A011DF">
        <w:rPr>
          <w:rFonts w:ascii="Arial" w:hAnsi="Arial" w:cs="Arial"/>
          <w:color w:val="000000"/>
          <w:sz w:val="20"/>
          <w:szCs w:val="20"/>
        </w:rPr>
        <w:t>.</w:t>
      </w:r>
      <w:r w:rsidRPr="00A011DF">
        <w:rPr>
          <w:rFonts w:ascii="Arial" w:hAnsi="Arial" w:cs="Arial"/>
          <w:sz w:val="20"/>
          <w:szCs w:val="20"/>
        </w:rPr>
        <w:t xml:space="preserve"> </w:t>
      </w:r>
      <w:r w:rsidR="00CE564E" w:rsidRPr="00A011DF">
        <w:rPr>
          <w:rFonts w:ascii="Arial" w:hAnsi="Arial" w:cs="Arial"/>
          <w:color w:val="000000"/>
          <w:sz w:val="20"/>
          <w:szCs w:val="20"/>
        </w:rPr>
        <w:t xml:space="preserve">Some </w:t>
      </w:r>
      <w:r w:rsidR="002248D3" w:rsidRPr="00A011DF">
        <w:rPr>
          <w:rFonts w:ascii="Arial" w:hAnsi="Arial" w:cs="Arial"/>
          <w:color w:val="000000"/>
          <w:sz w:val="20"/>
          <w:szCs w:val="20"/>
        </w:rPr>
        <w:t>common</w:t>
      </w:r>
      <w:r w:rsidR="00CE564E" w:rsidRPr="00A011DF">
        <w:rPr>
          <w:rFonts w:ascii="Arial" w:hAnsi="Arial" w:cs="Arial"/>
          <w:color w:val="000000"/>
          <w:sz w:val="20"/>
          <w:szCs w:val="20"/>
        </w:rPr>
        <w:t xml:space="preserve"> flowers also </w:t>
      </w:r>
      <w:r w:rsidR="002248D3" w:rsidRPr="00A011DF">
        <w:rPr>
          <w:rFonts w:ascii="Arial" w:hAnsi="Arial" w:cs="Arial"/>
          <w:color w:val="000000"/>
          <w:sz w:val="20"/>
          <w:szCs w:val="20"/>
        </w:rPr>
        <w:t>show</w:t>
      </w:r>
      <w:r w:rsidR="00CE564E" w:rsidRPr="00A011DF">
        <w:rPr>
          <w:rFonts w:ascii="Arial" w:hAnsi="Arial" w:cs="Arial"/>
          <w:color w:val="000000"/>
          <w:sz w:val="20"/>
          <w:szCs w:val="20"/>
        </w:rPr>
        <w:t xml:space="preserve"> this antibacterials for example, Rose(</w:t>
      </w:r>
      <w:r w:rsidR="00CE564E" w:rsidRPr="00A011DF">
        <w:rPr>
          <w:rFonts w:ascii="Arial" w:hAnsi="Arial" w:cs="Arial"/>
          <w:i/>
          <w:iCs/>
          <w:color w:val="000000"/>
          <w:sz w:val="20"/>
          <w:szCs w:val="20"/>
        </w:rPr>
        <w:t>Rosa spp.</w:t>
      </w:r>
      <w:r w:rsidR="00CE564E" w:rsidRPr="00A011DF">
        <w:rPr>
          <w:rFonts w:ascii="Arial" w:hAnsi="Arial" w:cs="Arial"/>
          <w:color w:val="000000"/>
          <w:sz w:val="20"/>
          <w:szCs w:val="20"/>
        </w:rPr>
        <w:t>)</w:t>
      </w:r>
      <w:r w:rsidR="00CE564E" w:rsidRPr="00A011DF">
        <w:rPr>
          <w:rFonts w:ascii="Arial" w:hAnsi="Arial" w:cs="Arial"/>
          <w:i/>
          <w:iCs/>
          <w:color w:val="000000"/>
          <w:sz w:val="20"/>
          <w:szCs w:val="20"/>
        </w:rPr>
        <w:t xml:space="preserve"> </w:t>
      </w:r>
      <w:r w:rsidR="00CE564E" w:rsidRPr="00A011DF">
        <w:rPr>
          <w:rFonts w:ascii="Arial" w:hAnsi="Arial" w:cs="Arial"/>
          <w:color w:val="000000"/>
          <w:sz w:val="20"/>
          <w:szCs w:val="20"/>
        </w:rPr>
        <w:t xml:space="preserve">extracts are effective against pathogens including </w:t>
      </w:r>
      <w:proofErr w:type="spellStart"/>
      <w:r w:rsidR="00CE564E" w:rsidRPr="00A011DF">
        <w:rPr>
          <w:rFonts w:ascii="Arial" w:hAnsi="Arial" w:cs="Arial"/>
          <w:i/>
          <w:iCs/>
          <w:color w:val="000000"/>
          <w:sz w:val="20"/>
          <w:szCs w:val="20"/>
        </w:rPr>
        <w:t>klebsiella</w:t>
      </w:r>
      <w:proofErr w:type="spellEnd"/>
      <w:r w:rsidR="00CE564E" w:rsidRPr="00A011DF">
        <w:rPr>
          <w:rFonts w:ascii="Arial" w:hAnsi="Arial" w:cs="Arial"/>
          <w:i/>
          <w:iCs/>
          <w:color w:val="000000"/>
          <w:sz w:val="20"/>
          <w:szCs w:val="20"/>
        </w:rPr>
        <w:t xml:space="preserve"> </w:t>
      </w:r>
      <w:proofErr w:type="spellStart"/>
      <w:r w:rsidR="00CE564E" w:rsidRPr="00A011DF">
        <w:rPr>
          <w:rFonts w:ascii="Arial" w:hAnsi="Arial" w:cs="Arial"/>
          <w:i/>
          <w:iCs/>
          <w:color w:val="000000"/>
          <w:sz w:val="20"/>
          <w:szCs w:val="20"/>
        </w:rPr>
        <w:t>pnuemoniae</w:t>
      </w:r>
      <w:proofErr w:type="spellEnd"/>
      <w:r w:rsidR="00CE564E" w:rsidRPr="00A011DF">
        <w:rPr>
          <w:rFonts w:ascii="Arial" w:hAnsi="Arial" w:cs="Arial"/>
          <w:i/>
          <w:iCs/>
          <w:color w:val="000000"/>
          <w:sz w:val="20"/>
          <w:szCs w:val="20"/>
        </w:rPr>
        <w:t xml:space="preserve"> </w:t>
      </w:r>
      <w:r w:rsidR="00CE564E" w:rsidRPr="00A011DF">
        <w:rPr>
          <w:rFonts w:ascii="Arial" w:hAnsi="Arial" w:cs="Arial"/>
          <w:color w:val="000000"/>
          <w:sz w:val="20"/>
          <w:szCs w:val="20"/>
        </w:rPr>
        <w:t>and</w:t>
      </w:r>
      <w:r w:rsidR="00CE564E" w:rsidRPr="00A011DF">
        <w:rPr>
          <w:rFonts w:ascii="Arial" w:hAnsi="Arial" w:cs="Arial"/>
          <w:i/>
          <w:iCs/>
          <w:color w:val="000000"/>
          <w:sz w:val="20"/>
          <w:szCs w:val="20"/>
        </w:rPr>
        <w:t xml:space="preserve"> pseudomonas </w:t>
      </w:r>
      <w:proofErr w:type="spellStart"/>
      <w:r w:rsidR="00CE564E" w:rsidRPr="00A011DF">
        <w:rPr>
          <w:rFonts w:ascii="Arial" w:hAnsi="Arial" w:cs="Arial"/>
          <w:i/>
          <w:iCs/>
          <w:color w:val="000000"/>
          <w:sz w:val="20"/>
          <w:szCs w:val="20"/>
        </w:rPr>
        <w:t>aerinosa</w:t>
      </w:r>
      <w:proofErr w:type="spellEnd"/>
      <w:r w:rsidR="00CE564E" w:rsidRPr="00A011DF">
        <w:rPr>
          <w:rFonts w:ascii="Arial" w:hAnsi="Arial" w:cs="Arial"/>
          <w:i/>
          <w:iCs/>
          <w:color w:val="000000"/>
          <w:sz w:val="20"/>
          <w:szCs w:val="20"/>
        </w:rPr>
        <w:t xml:space="preserve">, </w:t>
      </w:r>
      <w:r w:rsidR="00CE564E" w:rsidRPr="00A011DF">
        <w:rPr>
          <w:rFonts w:ascii="Arial" w:hAnsi="Arial" w:cs="Arial"/>
          <w:color w:val="000000"/>
          <w:sz w:val="20"/>
          <w:szCs w:val="20"/>
        </w:rPr>
        <w:t>while e Cornflower (</w:t>
      </w:r>
      <w:proofErr w:type="spellStart"/>
      <w:r w:rsidR="00CE564E" w:rsidRPr="00A011DF">
        <w:rPr>
          <w:rFonts w:ascii="Arial" w:hAnsi="Arial" w:cs="Arial"/>
          <w:color w:val="000000"/>
          <w:sz w:val="20"/>
          <w:szCs w:val="20"/>
        </w:rPr>
        <w:t>centaurea</w:t>
      </w:r>
      <w:proofErr w:type="spellEnd"/>
      <w:r w:rsidR="00CE564E" w:rsidRPr="00A011DF">
        <w:rPr>
          <w:rFonts w:ascii="Arial" w:hAnsi="Arial" w:cs="Arial"/>
          <w:color w:val="000000"/>
          <w:sz w:val="20"/>
          <w:szCs w:val="20"/>
        </w:rPr>
        <w:t xml:space="preserve"> </w:t>
      </w:r>
      <w:proofErr w:type="spellStart"/>
      <w:r w:rsidR="00CE564E" w:rsidRPr="00A011DF">
        <w:rPr>
          <w:rFonts w:ascii="Arial" w:hAnsi="Arial" w:cs="Arial"/>
          <w:color w:val="000000"/>
          <w:sz w:val="20"/>
          <w:szCs w:val="20"/>
        </w:rPr>
        <w:t>cyanus</w:t>
      </w:r>
      <w:proofErr w:type="spellEnd"/>
      <w:r w:rsidR="00CE564E" w:rsidRPr="00A011DF">
        <w:rPr>
          <w:rFonts w:ascii="Arial" w:hAnsi="Arial" w:cs="Arial"/>
          <w:color w:val="000000"/>
          <w:sz w:val="20"/>
          <w:szCs w:val="20"/>
        </w:rPr>
        <w:t>) and Daisy (Bellis perennis)</w:t>
      </w:r>
      <w:r w:rsidR="00CE564E" w:rsidRPr="00A011DF">
        <w:rPr>
          <w:rFonts w:ascii="Arial" w:hAnsi="Arial" w:cs="Arial"/>
          <w:sz w:val="20"/>
          <w:szCs w:val="20"/>
        </w:rPr>
        <w:t xml:space="preserve">  have </w:t>
      </w:r>
      <w:r w:rsidR="00CE564E" w:rsidRPr="00A011DF">
        <w:rPr>
          <w:rFonts w:ascii="Arial" w:hAnsi="Arial" w:cs="Arial"/>
          <w:color w:val="000000"/>
          <w:sz w:val="20"/>
          <w:szCs w:val="20"/>
        </w:rPr>
        <w:t xml:space="preserve">specific activity against dangers like Listeria monocytogenes and other Gram-positive bacteria </w:t>
      </w:r>
      <w:sdt>
        <w:sdtPr>
          <w:rPr>
            <w:rFonts w:ascii="Arial" w:hAnsi="Arial" w:cs="Arial"/>
            <w:color w:val="000000"/>
            <w:sz w:val="20"/>
            <w:szCs w:val="20"/>
          </w:rPr>
          <w:tag w:val="MENDELEY_CITATION_v3_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"/>
          <w:id w:val="842979438"/>
          <w:placeholder>
            <w:docPart w:val="52CDE82041F1421F9488D243737C1CD7"/>
          </w:placeholder>
        </w:sdtPr>
        <w:sdtEndPr/>
        <w:sdtContent>
          <w:r w:rsidR="00CE564E" w:rsidRPr="00A011DF">
            <w:rPr>
              <w:rFonts w:ascii="Arial" w:hAnsi="Arial" w:cs="Arial"/>
              <w:color w:val="000000"/>
              <w:sz w:val="20"/>
              <w:szCs w:val="20"/>
            </w:rPr>
            <w:t>(Takahashi et al., 2020)</w:t>
          </w:r>
        </w:sdtContent>
      </w:sdt>
      <w:r w:rsidR="00CE564E" w:rsidRPr="00A011DF">
        <w:rPr>
          <w:rFonts w:ascii="Arial" w:hAnsi="Arial" w:cs="Arial"/>
          <w:color w:val="000000"/>
          <w:sz w:val="20"/>
          <w:szCs w:val="20"/>
        </w:rPr>
        <w:t>.</w:t>
      </w:r>
      <w:r w:rsidR="00CE564E" w:rsidRPr="00A011DF">
        <w:rPr>
          <w:rFonts w:ascii="Arial" w:hAnsi="Arial" w:cs="Arial"/>
          <w:sz w:val="20"/>
          <w:szCs w:val="20"/>
        </w:rPr>
        <w:t xml:space="preserve"> </w:t>
      </w:r>
      <w:r w:rsidR="00CE564E" w:rsidRPr="00A011DF">
        <w:rPr>
          <w:rFonts w:ascii="Arial" w:hAnsi="Arial" w:cs="Arial"/>
          <w:color w:val="000000"/>
          <w:sz w:val="20"/>
          <w:szCs w:val="20"/>
        </w:rPr>
        <w:t xml:space="preserve">n- Hexane extracts from Lotus </w:t>
      </w:r>
      <w:proofErr w:type="spellStart"/>
      <w:r w:rsidR="00CE564E" w:rsidRPr="00A011DF">
        <w:rPr>
          <w:rFonts w:ascii="Arial" w:hAnsi="Arial" w:cs="Arial"/>
          <w:color w:val="000000"/>
          <w:sz w:val="20"/>
          <w:szCs w:val="20"/>
        </w:rPr>
        <w:t>arabicus</w:t>
      </w:r>
      <w:proofErr w:type="spellEnd"/>
      <w:r w:rsidR="00CE564E" w:rsidRPr="00A011DF">
        <w:rPr>
          <w:rFonts w:ascii="Arial" w:hAnsi="Arial" w:cs="Arial"/>
          <w:color w:val="000000"/>
          <w:sz w:val="20"/>
          <w:szCs w:val="20"/>
        </w:rPr>
        <w:t xml:space="preserve"> and L. </w:t>
      </w:r>
      <w:proofErr w:type="spellStart"/>
      <w:r w:rsidR="00CE564E" w:rsidRPr="00A011DF">
        <w:rPr>
          <w:rFonts w:ascii="Arial" w:hAnsi="Arial" w:cs="Arial"/>
          <w:color w:val="000000"/>
          <w:sz w:val="20"/>
          <w:szCs w:val="20"/>
        </w:rPr>
        <w:t>glaber</w:t>
      </w:r>
      <w:proofErr w:type="spellEnd"/>
      <w:r w:rsidR="00CE564E" w:rsidRPr="00A011DF">
        <w:rPr>
          <w:rFonts w:ascii="Arial" w:hAnsi="Arial" w:cs="Arial"/>
          <w:color w:val="000000"/>
          <w:sz w:val="20"/>
          <w:szCs w:val="20"/>
        </w:rPr>
        <w:t xml:space="preserve"> have been shown to significantly inhibit the growth of the incentive Candida </w:t>
      </w:r>
      <w:proofErr w:type="spellStart"/>
      <w:r w:rsidR="00CE564E" w:rsidRPr="00A011DF">
        <w:rPr>
          <w:rFonts w:ascii="Arial" w:hAnsi="Arial" w:cs="Arial"/>
          <w:color w:val="000000"/>
          <w:sz w:val="20"/>
          <w:szCs w:val="20"/>
        </w:rPr>
        <w:t>parapsilosis</w:t>
      </w:r>
      <w:proofErr w:type="spellEnd"/>
      <w:r w:rsidR="00CE564E" w:rsidRPr="00A011DF">
        <w:rPr>
          <w:rFonts w:ascii="Arial" w:hAnsi="Arial" w:cs="Arial"/>
          <w:color w:val="000000"/>
          <w:sz w:val="20"/>
          <w:szCs w:val="20"/>
        </w:rPr>
        <w:t xml:space="preserve"> and the mycotoxin- producing fungus Aspergillus flavus</w:t>
      </w:r>
      <w:sdt>
        <w:sdtPr>
          <w:rPr>
            <w:rFonts w:ascii="Arial" w:hAnsi="Arial" w:cs="Arial"/>
            <w:color w:val="000000"/>
            <w:sz w:val="20"/>
            <w:szCs w:val="20"/>
          </w:rPr>
          <w:tag w:val="MENDELEY_CITATION_v3_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"/>
          <w:id w:val="-668245074"/>
          <w:placeholder>
            <w:docPart w:val="52CDE82041F1421F9488D243737C1CD7"/>
          </w:placeholder>
        </w:sdtPr>
        <w:sdtEndPr/>
        <w:sdtContent>
          <w:r w:rsidR="00CE564E" w:rsidRPr="00A011DF">
            <w:rPr>
              <w:rFonts w:ascii="Arial" w:hAnsi="Arial" w:cs="Arial"/>
              <w:color w:val="000000"/>
              <w:sz w:val="20"/>
              <w:szCs w:val="20"/>
            </w:rPr>
            <w:t>(Youssef et al., 2021)</w:t>
          </w:r>
        </w:sdtContent>
      </w:sdt>
      <w:r w:rsidR="00CE564E" w:rsidRPr="00A011DF">
        <w:rPr>
          <w:rFonts w:ascii="Arial" w:hAnsi="Arial" w:cs="Arial"/>
          <w:color w:val="000000"/>
          <w:sz w:val="20"/>
          <w:szCs w:val="20"/>
        </w:rPr>
        <w:t xml:space="preserve"> </w:t>
      </w:r>
    </w:p>
    <w:p w14:paraId="2E0F7C87" w14:textId="4C7AE140" w:rsidR="00D66EBE" w:rsidRPr="00A011DF" w:rsidRDefault="00A011DF" w:rsidP="00D66EBE">
      <w:pPr>
        <w:spacing w:line="278" w:lineRule="auto"/>
        <w:jc w:val="both"/>
        <w:rPr>
          <w:rFonts w:ascii="Arial" w:hAnsi="Arial" w:cs="Arial"/>
          <w:b/>
          <w:bCs/>
        </w:rPr>
      </w:pPr>
      <w:r w:rsidRPr="00A011DF">
        <w:rPr>
          <w:rFonts w:ascii="Arial" w:hAnsi="Arial" w:cs="Arial"/>
          <w:b/>
          <w:bCs/>
        </w:rPr>
        <w:t>3.3. Antiviral Properties.</w:t>
      </w:r>
    </w:p>
    <w:p w14:paraId="76827601" w14:textId="6BEB3DB7" w:rsidR="00242AE6" w:rsidRPr="00A011DF" w:rsidRDefault="00242AE6" w:rsidP="00242AE6">
      <w:pPr>
        <w:spacing w:line="278" w:lineRule="auto"/>
        <w:ind w:firstLine="720"/>
        <w:jc w:val="both"/>
        <w:rPr>
          <w:rFonts w:ascii="Arial" w:hAnsi="Arial" w:cs="Arial"/>
          <w:b/>
          <w:bCs/>
          <w:sz w:val="20"/>
          <w:szCs w:val="20"/>
        </w:rPr>
      </w:pPr>
      <w:r w:rsidRPr="00A011DF">
        <w:rPr>
          <w:rFonts w:ascii="Arial" w:hAnsi="Arial" w:cs="Arial"/>
          <w:sz w:val="20"/>
          <w:szCs w:val="20"/>
        </w:rPr>
        <w:t xml:space="preserve">Along with their antifungal and antibacterial capabilities, some edible flowers also </w:t>
      </w:r>
      <w:r w:rsidR="002248D3" w:rsidRPr="00A011DF">
        <w:rPr>
          <w:rFonts w:ascii="Arial" w:hAnsi="Arial" w:cs="Arial"/>
          <w:sz w:val="20"/>
          <w:szCs w:val="20"/>
        </w:rPr>
        <w:t>possess</w:t>
      </w:r>
      <w:r w:rsidRPr="00A011DF">
        <w:rPr>
          <w:rFonts w:ascii="Arial" w:hAnsi="Arial" w:cs="Arial"/>
          <w:sz w:val="20"/>
          <w:szCs w:val="20"/>
        </w:rPr>
        <w:t xml:space="preserve"> direct antiviral activity, indicating a broader medicinal capability</w:t>
      </w:r>
      <w:sdt>
        <w:sdtPr>
          <w:rPr>
            <w:rFonts w:ascii="Arial" w:hAnsi="Arial" w:cs="Arial"/>
            <w:color w:val="000000"/>
            <w:sz w:val="20"/>
            <w:szCs w:val="20"/>
          </w:rPr>
          <w:tag w:val="MENDELEY_CITATION_v3_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"/>
          <w:id w:val="-1585219481"/>
          <w:placeholder>
            <w:docPart w:val="D1490D054E464A65A2934A39CA674853"/>
          </w:placeholder>
        </w:sdtPr>
        <w:sdtEndPr/>
        <w:sdtContent>
          <w:r w:rsidRPr="00A011DF">
            <w:rPr>
              <w:rFonts w:ascii="Arial" w:hAnsi="Arial" w:cs="Arial"/>
              <w:color w:val="000000"/>
              <w:sz w:val="20"/>
              <w:szCs w:val="20"/>
            </w:rPr>
            <w:t>(Takahashi et al., 2020)</w:t>
          </w:r>
        </w:sdtContent>
      </w:sdt>
      <w:r w:rsidRPr="00A011DF">
        <w:rPr>
          <w:rFonts w:ascii="Arial" w:hAnsi="Arial" w:cs="Arial"/>
          <w:sz w:val="20"/>
          <w:szCs w:val="20"/>
        </w:rPr>
        <w:t xml:space="preserve">. The most prominent findings involve species from the Lotus genus, which protects specific goods against pathogenic viruses. According to various researches extracts from Lotus </w:t>
      </w:r>
      <w:proofErr w:type="spellStart"/>
      <w:r w:rsidRPr="00A011DF">
        <w:rPr>
          <w:rFonts w:ascii="Arial" w:hAnsi="Arial" w:cs="Arial"/>
          <w:sz w:val="20"/>
          <w:szCs w:val="20"/>
        </w:rPr>
        <w:t>arabicus</w:t>
      </w:r>
      <w:proofErr w:type="spellEnd"/>
      <w:r w:rsidRPr="00A011DF">
        <w:rPr>
          <w:rFonts w:ascii="Arial" w:hAnsi="Arial" w:cs="Arial"/>
          <w:sz w:val="20"/>
          <w:szCs w:val="20"/>
        </w:rPr>
        <w:t xml:space="preserve"> has shown active against both the Coxsackie B4 virus and the Hepatitis A contagion. On contrary , extracts from Lotus </w:t>
      </w:r>
      <w:proofErr w:type="spellStart"/>
      <w:r w:rsidRPr="00A011DF">
        <w:rPr>
          <w:rFonts w:ascii="Arial" w:hAnsi="Arial" w:cs="Arial"/>
          <w:sz w:val="20"/>
          <w:szCs w:val="20"/>
        </w:rPr>
        <w:t>glaber</w:t>
      </w:r>
      <w:proofErr w:type="spellEnd"/>
      <w:r w:rsidRPr="00A011DF">
        <w:rPr>
          <w:rFonts w:ascii="Arial" w:hAnsi="Arial" w:cs="Arial"/>
          <w:sz w:val="20"/>
          <w:szCs w:val="20"/>
        </w:rPr>
        <w:t xml:space="preserve"> demonstrated activity specifically against the Coxsackie B4 contagion. This substantiation positions these edible flowers as precious sources of bioactive composites for unborn exploration into natural antiviral agents </w:t>
      </w:r>
      <w:sdt>
        <w:sdtPr>
          <w:rPr>
            <w:rFonts w:ascii="Arial" w:hAnsi="Arial" w:cs="Arial"/>
            <w:color w:val="000000"/>
            <w:sz w:val="20"/>
            <w:szCs w:val="20"/>
          </w:rPr>
          <w:tag w:val="MENDELEY_CITATION_v3_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"/>
          <w:id w:val="-783412495"/>
          <w:placeholder>
            <w:docPart w:val="D1490D054E464A65A2934A39CA674853"/>
          </w:placeholder>
        </w:sdtPr>
        <w:sdtEndPr/>
        <w:sdtContent>
          <w:r w:rsidRPr="00A011DF">
            <w:rPr>
              <w:rFonts w:ascii="Arial" w:hAnsi="Arial" w:cs="Arial"/>
              <w:color w:val="000000"/>
              <w:sz w:val="20"/>
              <w:szCs w:val="20"/>
            </w:rPr>
            <w:t>(Youssef et al., 2021)</w:t>
          </w:r>
        </w:sdtContent>
      </w:sdt>
      <w:r w:rsidRPr="00A011DF">
        <w:rPr>
          <w:rFonts w:ascii="Arial" w:hAnsi="Arial" w:cs="Arial"/>
          <w:b/>
          <w:bCs/>
          <w:sz w:val="20"/>
          <w:szCs w:val="20"/>
        </w:rPr>
        <w:t xml:space="preserve"> </w:t>
      </w:r>
    </w:p>
    <w:p w14:paraId="7A6F6053" w14:textId="5CD20249" w:rsidR="00D66EBE" w:rsidRPr="00A011DF" w:rsidRDefault="00A011DF" w:rsidP="00D66EBE">
      <w:pPr>
        <w:spacing w:line="278" w:lineRule="auto"/>
        <w:jc w:val="both"/>
        <w:rPr>
          <w:rFonts w:ascii="Arial" w:hAnsi="Arial" w:cs="Arial"/>
        </w:rPr>
      </w:pPr>
      <w:r w:rsidRPr="00A011DF">
        <w:rPr>
          <w:rFonts w:ascii="Arial" w:hAnsi="Arial" w:cs="Arial"/>
          <w:b/>
          <w:bCs/>
        </w:rPr>
        <w:t xml:space="preserve">3.4. </w:t>
      </w:r>
      <w:r w:rsidR="00D66EBE" w:rsidRPr="00A011DF">
        <w:rPr>
          <w:rFonts w:ascii="Arial" w:hAnsi="Arial" w:cs="Arial"/>
          <w:b/>
          <w:bCs/>
        </w:rPr>
        <w:t xml:space="preserve">Other </w:t>
      </w:r>
      <w:r w:rsidRPr="00A011DF">
        <w:rPr>
          <w:rFonts w:ascii="Arial" w:hAnsi="Arial" w:cs="Arial"/>
          <w:b/>
          <w:bCs/>
        </w:rPr>
        <w:t>Biological Activity</w:t>
      </w:r>
      <w:r w:rsidRPr="00A011DF">
        <w:rPr>
          <w:rFonts w:ascii="Arial" w:hAnsi="Arial" w:cs="Arial"/>
        </w:rPr>
        <w:t>.</w:t>
      </w:r>
    </w:p>
    <w:p w14:paraId="1DCF4651" w14:textId="23A9AA19"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Beyond their well-proved antioxidant and antimicrobial properties, edible flowers show a different range of other significant natural activities that contribute to their eventuality as functional food constituents and nutraceuticals. specially, several species demonstrate promising antidiabetic goods through the inhibition of crucial carbohydrate-digesting enzymes. For illustration, extracts of Malva sylvestris have shown potent inhibition of α- amylase and α- glucosidase, outperforming the pharmaceutical medicine acarbose (Loizzo et al., 2016)., while (</w:t>
      </w:r>
      <w:r w:rsidRPr="00A011DF">
        <w:rPr>
          <w:rFonts w:ascii="Arial" w:hAnsi="Arial" w:cs="Arial"/>
          <w:i/>
          <w:iCs/>
          <w:sz w:val="20"/>
          <w:szCs w:val="20"/>
        </w:rPr>
        <w:t xml:space="preserve">Cucurbita </w:t>
      </w:r>
      <w:proofErr w:type="spellStart"/>
      <w:r w:rsidRPr="00A011DF">
        <w:rPr>
          <w:rFonts w:ascii="Arial" w:hAnsi="Arial" w:cs="Arial"/>
          <w:i/>
          <w:iCs/>
          <w:sz w:val="20"/>
          <w:szCs w:val="20"/>
        </w:rPr>
        <w:t>pppepo</w:t>
      </w:r>
      <w:proofErr w:type="spellEnd"/>
      <w:r w:rsidRPr="00A011DF">
        <w:rPr>
          <w:rFonts w:ascii="Arial" w:hAnsi="Arial" w:cs="Arial"/>
          <w:sz w:val="20"/>
          <w:szCs w:val="20"/>
        </w:rPr>
        <w:t xml:space="preserve">) quash flower extracts and </w:t>
      </w:r>
      <w:r w:rsidR="008C0605">
        <w:rPr>
          <w:rFonts w:ascii="Arial" w:hAnsi="Arial" w:cs="Arial"/>
          <w:sz w:val="20"/>
          <w:szCs w:val="20"/>
        </w:rPr>
        <w:t>(</w:t>
      </w:r>
      <w:r w:rsidRPr="008C0605">
        <w:rPr>
          <w:rFonts w:ascii="Arial" w:hAnsi="Arial" w:cs="Arial"/>
          <w:i/>
          <w:iCs/>
          <w:sz w:val="20"/>
          <w:szCs w:val="20"/>
        </w:rPr>
        <w:t>Sambucus nigra</w:t>
      </w:r>
      <w:r w:rsidRPr="00A011DF">
        <w:rPr>
          <w:rFonts w:ascii="Arial" w:hAnsi="Arial" w:cs="Arial"/>
          <w:sz w:val="20"/>
          <w:szCs w:val="20"/>
        </w:rPr>
        <w:t>) elderberry flowers have also demonstrated significant α- glucosidase inhibition and enhanced glucose metabolism in vivo (</w:t>
      </w:r>
      <w:proofErr w:type="spellStart"/>
      <w:r w:rsidRPr="00A011DF">
        <w:rPr>
          <w:rFonts w:ascii="Arial" w:hAnsi="Arial" w:cs="Arial"/>
          <w:sz w:val="20"/>
          <w:szCs w:val="20"/>
        </w:rPr>
        <w:t>Morittu</w:t>
      </w:r>
      <w:proofErr w:type="spellEnd"/>
      <w:r w:rsidRPr="00A011DF">
        <w:rPr>
          <w:rFonts w:ascii="Arial" w:hAnsi="Arial" w:cs="Arial"/>
          <w:sz w:val="20"/>
          <w:szCs w:val="20"/>
        </w:rPr>
        <w:t xml:space="preserve"> et al., 2019). likewise, elect flowers retain anticancer eventuality; </w:t>
      </w:r>
      <w:r w:rsidRPr="00A011DF">
        <w:rPr>
          <w:rFonts w:ascii="Arial" w:hAnsi="Arial" w:cs="Arial"/>
          <w:i/>
          <w:iCs/>
          <w:sz w:val="20"/>
          <w:szCs w:val="20"/>
        </w:rPr>
        <w:t>Hibiscus sabdariffa</w:t>
      </w:r>
      <w:r w:rsidRPr="00A011DF">
        <w:rPr>
          <w:rFonts w:ascii="Arial" w:hAnsi="Arial" w:cs="Arial"/>
          <w:sz w:val="20"/>
          <w:szCs w:val="20"/>
        </w:rPr>
        <w:t xml:space="preserve"> extracts acts as </w:t>
      </w:r>
      <w:proofErr w:type="spellStart"/>
      <w:r w:rsidRPr="00A011DF">
        <w:rPr>
          <w:rFonts w:ascii="Arial" w:hAnsi="Arial" w:cs="Arial"/>
          <w:sz w:val="20"/>
          <w:szCs w:val="20"/>
        </w:rPr>
        <w:t>aco</w:t>
      </w:r>
      <w:proofErr w:type="spellEnd"/>
      <w:r w:rsidRPr="00A011DF">
        <w:rPr>
          <w:rFonts w:ascii="Arial" w:hAnsi="Arial" w:cs="Arial"/>
          <w:sz w:val="20"/>
          <w:szCs w:val="20"/>
        </w:rPr>
        <w:t xml:space="preserve">-adjuvant in bone cancer remedy by widely targeting cancer cells and mollifying chemotherapy side goods (Nguyen et al., 2019), and extracts from </w:t>
      </w:r>
      <w:r w:rsidRPr="00A011DF">
        <w:rPr>
          <w:rFonts w:ascii="Arial" w:hAnsi="Arial" w:cs="Arial"/>
          <w:i/>
          <w:iCs/>
          <w:sz w:val="20"/>
          <w:szCs w:val="20"/>
        </w:rPr>
        <w:t xml:space="preserve">Dahlia pinnate </w:t>
      </w:r>
      <w:proofErr w:type="spellStart"/>
      <w:r w:rsidRPr="00A011DF">
        <w:rPr>
          <w:rFonts w:ascii="Arial" w:hAnsi="Arial" w:cs="Arial"/>
          <w:i/>
          <w:iCs/>
          <w:sz w:val="20"/>
          <w:szCs w:val="20"/>
        </w:rPr>
        <w:t>cav</w:t>
      </w:r>
      <w:proofErr w:type="spellEnd"/>
      <w:r w:rsidRPr="00A011DF">
        <w:rPr>
          <w:rFonts w:ascii="Arial" w:hAnsi="Arial" w:cs="Arial"/>
          <w:sz w:val="20"/>
          <w:szCs w:val="20"/>
        </w:rPr>
        <w:t xml:space="preserve"> and </w:t>
      </w:r>
      <w:r w:rsidRPr="00A011DF">
        <w:rPr>
          <w:rFonts w:ascii="Arial" w:hAnsi="Arial" w:cs="Arial"/>
          <w:i/>
          <w:iCs/>
          <w:sz w:val="20"/>
          <w:szCs w:val="20"/>
        </w:rPr>
        <w:t>Rosa spp.</w:t>
      </w:r>
      <w:r w:rsidRPr="00A011DF">
        <w:rPr>
          <w:rFonts w:ascii="Arial" w:hAnsi="Arial" w:cs="Arial"/>
          <w:sz w:val="20"/>
          <w:szCs w:val="20"/>
        </w:rPr>
        <w:t xml:space="preserve"> have been shown to inhibit the growth of cervical and hepatocellular melanoma </w:t>
      </w:r>
      <w:proofErr w:type="spellStart"/>
      <w:r w:rsidRPr="00A011DF">
        <w:rPr>
          <w:rFonts w:ascii="Arial" w:hAnsi="Arial" w:cs="Arial"/>
          <w:sz w:val="20"/>
          <w:szCs w:val="20"/>
        </w:rPr>
        <w:t>ccells</w:t>
      </w:r>
      <w:proofErr w:type="spellEnd"/>
      <w:r w:rsidRPr="00A011DF">
        <w:rPr>
          <w:rFonts w:ascii="Arial" w:hAnsi="Arial" w:cs="Arial"/>
          <w:sz w:val="20"/>
          <w:szCs w:val="20"/>
        </w:rPr>
        <w:t xml:space="preserve"> (</w:t>
      </w:r>
      <w:proofErr w:type="spellStart"/>
      <w:r w:rsidRPr="00A011DF">
        <w:rPr>
          <w:rFonts w:ascii="Arial" w:hAnsi="Arial" w:cs="Arial"/>
          <w:sz w:val="20"/>
          <w:szCs w:val="20"/>
        </w:rPr>
        <w:t>ires</w:t>
      </w:r>
      <w:proofErr w:type="spellEnd"/>
      <w:r w:rsidRPr="00A011DF">
        <w:rPr>
          <w:rFonts w:ascii="Arial" w:hAnsi="Arial" w:cs="Arial"/>
          <w:sz w:val="20"/>
          <w:szCs w:val="20"/>
        </w:rPr>
        <w:t xml:space="preserve"> et al., 2018). also, neuroprotective properties are apparent through acetylcholinesterase inhibition, a crucial remedial target for Alzheimer’s complaint, observed in extracts from (</w:t>
      </w:r>
      <w:r w:rsidRPr="00A011DF">
        <w:rPr>
          <w:rFonts w:ascii="Arial" w:hAnsi="Arial" w:cs="Arial"/>
          <w:i/>
          <w:iCs/>
          <w:sz w:val="20"/>
          <w:szCs w:val="20"/>
        </w:rPr>
        <w:t xml:space="preserve">Dianthus </w:t>
      </w:r>
      <w:proofErr w:type="spellStart"/>
      <w:r w:rsidRPr="00A011DF">
        <w:rPr>
          <w:rFonts w:ascii="Arial" w:hAnsi="Arial" w:cs="Arial"/>
          <w:i/>
          <w:iCs/>
          <w:sz w:val="20"/>
          <w:szCs w:val="20"/>
        </w:rPr>
        <w:t>caryophyllus</w:t>
      </w:r>
      <w:proofErr w:type="spellEnd"/>
      <w:r w:rsidRPr="00A011DF">
        <w:rPr>
          <w:rFonts w:ascii="Arial" w:hAnsi="Arial" w:cs="Arial"/>
          <w:sz w:val="20"/>
          <w:szCs w:val="20"/>
        </w:rPr>
        <w:t>) carnation, (</w:t>
      </w:r>
      <w:r w:rsidRPr="00A011DF">
        <w:rPr>
          <w:rFonts w:ascii="Arial" w:hAnsi="Arial" w:cs="Arial"/>
          <w:i/>
          <w:iCs/>
          <w:sz w:val="20"/>
          <w:szCs w:val="20"/>
        </w:rPr>
        <w:t xml:space="preserve">Viola x </w:t>
      </w:r>
      <w:proofErr w:type="spellStart"/>
      <w:r w:rsidRPr="00A011DF">
        <w:rPr>
          <w:rFonts w:ascii="Arial" w:hAnsi="Arial" w:cs="Arial"/>
          <w:i/>
          <w:iCs/>
          <w:sz w:val="20"/>
          <w:szCs w:val="20"/>
        </w:rPr>
        <w:t>wittrockiana</w:t>
      </w:r>
      <w:proofErr w:type="spellEnd"/>
      <w:r w:rsidRPr="00A011DF">
        <w:rPr>
          <w:rFonts w:ascii="Arial" w:hAnsi="Arial" w:cs="Arial"/>
          <w:sz w:val="20"/>
          <w:szCs w:val="20"/>
        </w:rPr>
        <w:t>) pansy</w:t>
      </w:r>
      <w:r w:rsidRPr="00A011DF">
        <w:rPr>
          <w:rFonts w:ascii="Arial" w:hAnsi="Arial" w:cs="Arial"/>
          <w:i/>
          <w:iCs/>
          <w:sz w:val="20"/>
          <w:szCs w:val="20"/>
        </w:rPr>
        <w:t>.</w:t>
      </w:r>
      <w:r w:rsidRPr="00A011DF">
        <w:rPr>
          <w:rFonts w:ascii="Arial" w:hAnsi="Arial" w:cs="Arial"/>
          <w:sz w:val="20"/>
          <w:szCs w:val="20"/>
        </w:rPr>
        <w:t xml:space="preserve"> (Handy et al., 2018; Moliner et al., 2019; Rezende et al., 2019). Other reported conditioning </w:t>
      </w:r>
      <w:proofErr w:type="spellStart"/>
      <w:r w:rsidRPr="00A011DF">
        <w:rPr>
          <w:rFonts w:ascii="Arial" w:hAnsi="Arial" w:cs="Arial"/>
          <w:sz w:val="20"/>
          <w:szCs w:val="20"/>
        </w:rPr>
        <w:t>includeanti</w:t>
      </w:r>
      <w:proofErr w:type="spellEnd"/>
      <w:r w:rsidRPr="00A011DF">
        <w:rPr>
          <w:rFonts w:ascii="Arial" w:hAnsi="Arial" w:cs="Arial"/>
          <w:sz w:val="20"/>
          <w:szCs w:val="20"/>
        </w:rPr>
        <w:t xml:space="preserve">-inflammatory, gastroprotective, hepatoprotective, and </w:t>
      </w:r>
      <w:proofErr w:type="spellStart"/>
      <w:r w:rsidRPr="00A011DF">
        <w:rPr>
          <w:rFonts w:ascii="Arial" w:hAnsi="Arial" w:cs="Arial"/>
          <w:sz w:val="20"/>
          <w:szCs w:val="20"/>
        </w:rPr>
        <w:t>indeedanti</w:t>
      </w:r>
      <w:proofErr w:type="spellEnd"/>
      <w:r w:rsidRPr="00A011DF">
        <w:rPr>
          <w:rFonts w:ascii="Arial" w:hAnsi="Arial" w:cs="Arial"/>
          <w:sz w:val="20"/>
          <w:szCs w:val="20"/>
        </w:rPr>
        <w:t>-leishmanial goods (</w:t>
      </w:r>
      <w:proofErr w:type="spellStart"/>
      <w:r w:rsidRPr="00A011DF">
        <w:rPr>
          <w:rFonts w:ascii="Arial" w:hAnsi="Arial" w:cs="Arial"/>
          <w:sz w:val="20"/>
          <w:szCs w:val="20"/>
        </w:rPr>
        <w:t>Bragueto</w:t>
      </w:r>
      <w:proofErr w:type="spellEnd"/>
      <w:r w:rsidRPr="00A011DF">
        <w:rPr>
          <w:rFonts w:ascii="Arial" w:hAnsi="Arial" w:cs="Arial"/>
          <w:sz w:val="20"/>
          <w:szCs w:val="20"/>
        </w:rPr>
        <w:t xml:space="preserve"> Escher et al., 2019;),</w:t>
      </w:r>
      <w:r w:rsidR="00853F63">
        <w:rPr>
          <w:rFonts w:ascii="Arial" w:hAnsi="Arial" w:cs="Arial"/>
          <w:sz w:val="20"/>
          <w:szCs w:val="20"/>
        </w:rPr>
        <w:t xml:space="preserve"> </w:t>
      </w:r>
      <w:r w:rsidRPr="00A011DF">
        <w:rPr>
          <w:rFonts w:ascii="Arial" w:hAnsi="Arial" w:cs="Arial"/>
          <w:sz w:val="20"/>
          <w:szCs w:val="20"/>
        </w:rPr>
        <w:t xml:space="preserve">as </w:t>
      </w:r>
      <w:r w:rsidR="00853F63" w:rsidRPr="00A011DF">
        <w:rPr>
          <w:rFonts w:ascii="Arial" w:hAnsi="Arial" w:cs="Arial"/>
          <w:sz w:val="20"/>
          <w:szCs w:val="20"/>
        </w:rPr>
        <w:t>proved for</w:t>
      </w:r>
      <w:r w:rsidRPr="00A011DF">
        <w:rPr>
          <w:rFonts w:ascii="Arial" w:hAnsi="Arial" w:cs="Arial"/>
          <w:sz w:val="20"/>
          <w:szCs w:val="20"/>
        </w:rPr>
        <w:t xml:space="preserve"> species like </w:t>
      </w:r>
      <w:r w:rsidRPr="00A011DF">
        <w:rPr>
          <w:rFonts w:ascii="Arial" w:hAnsi="Arial" w:cs="Arial"/>
          <w:i/>
          <w:iCs/>
          <w:sz w:val="20"/>
          <w:szCs w:val="20"/>
        </w:rPr>
        <w:t>Calendula officinalis</w:t>
      </w:r>
      <w:r w:rsidRPr="00A011DF">
        <w:rPr>
          <w:rFonts w:ascii="Arial" w:hAnsi="Arial" w:cs="Arial"/>
          <w:sz w:val="20"/>
          <w:szCs w:val="20"/>
        </w:rPr>
        <w:t xml:space="preserve"> (</w:t>
      </w:r>
      <w:proofErr w:type="spellStart"/>
      <w:r w:rsidRPr="00A011DF">
        <w:rPr>
          <w:rFonts w:ascii="Arial" w:hAnsi="Arial" w:cs="Arial"/>
          <w:sz w:val="20"/>
          <w:szCs w:val="20"/>
        </w:rPr>
        <w:t>Nikmehr</w:t>
      </w:r>
      <w:proofErr w:type="spellEnd"/>
      <w:r w:rsidRPr="00A011DF">
        <w:rPr>
          <w:rFonts w:ascii="Arial" w:hAnsi="Arial" w:cs="Arial"/>
          <w:sz w:val="20"/>
          <w:szCs w:val="20"/>
        </w:rPr>
        <w:t xml:space="preserve"> et al., 2014), emphasizing the vast and largely untapped pharmacological eventuality of edible flowers. (Takahashi et al., 2020).</w:t>
      </w:r>
    </w:p>
    <w:p w14:paraId="33C95623" w14:textId="76898A9D" w:rsidR="00D66EBE" w:rsidRPr="00A011DF" w:rsidRDefault="00A011DF" w:rsidP="00D66EBE">
      <w:pPr>
        <w:spacing w:line="278" w:lineRule="auto"/>
        <w:jc w:val="both"/>
        <w:rPr>
          <w:rFonts w:ascii="Arial" w:hAnsi="Arial" w:cs="Arial"/>
          <w:b/>
          <w:bCs/>
        </w:rPr>
      </w:pPr>
      <w:r w:rsidRPr="00A011DF">
        <w:rPr>
          <w:rFonts w:ascii="Arial" w:hAnsi="Arial" w:cs="Arial"/>
          <w:b/>
          <w:bCs/>
        </w:rPr>
        <w:lastRenderedPageBreak/>
        <w:t>4. APPLICATIONS.</w:t>
      </w:r>
    </w:p>
    <w:p w14:paraId="64E4940F" w14:textId="6BB00571" w:rsidR="00415A6A" w:rsidRPr="00A011DF" w:rsidRDefault="00415A6A" w:rsidP="00004DE8">
      <w:pPr>
        <w:ind w:firstLine="720"/>
        <w:jc w:val="both"/>
        <w:rPr>
          <w:rFonts w:ascii="Arial" w:hAnsi="Arial" w:cs="Arial"/>
          <w:sz w:val="20"/>
          <w:szCs w:val="20"/>
        </w:rPr>
      </w:pPr>
      <w:r w:rsidRPr="00A011DF">
        <w:rPr>
          <w:rFonts w:ascii="Arial" w:hAnsi="Arial" w:cs="Arial"/>
          <w:sz w:val="20"/>
          <w:szCs w:val="20"/>
        </w:rPr>
        <w:t xml:space="preserve">The operation of edible flowers </w:t>
      </w:r>
      <w:r w:rsidR="00A31798" w:rsidRPr="00A011DF">
        <w:rPr>
          <w:rFonts w:ascii="Arial" w:hAnsi="Arial" w:cs="Arial"/>
          <w:sz w:val="20"/>
          <w:szCs w:val="20"/>
        </w:rPr>
        <w:t>varies</w:t>
      </w:r>
      <w:r w:rsidRPr="00A011DF">
        <w:rPr>
          <w:rFonts w:ascii="Arial" w:hAnsi="Arial" w:cs="Arial"/>
          <w:sz w:val="20"/>
          <w:szCs w:val="20"/>
        </w:rPr>
        <w:t xml:space="preserve"> from direct culinary use to their incorporation as functional constituents in</w:t>
      </w:r>
      <w:r w:rsidR="00A31798" w:rsidRPr="00A011DF">
        <w:rPr>
          <w:rFonts w:ascii="Arial" w:hAnsi="Arial" w:cs="Arial"/>
          <w:sz w:val="20"/>
          <w:szCs w:val="20"/>
        </w:rPr>
        <w:t xml:space="preserve"> </w:t>
      </w:r>
      <w:r w:rsidRPr="00A011DF">
        <w:rPr>
          <w:rFonts w:ascii="Arial" w:hAnsi="Arial" w:cs="Arial"/>
          <w:sz w:val="20"/>
          <w:szCs w:val="20"/>
        </w:rPr>
        <w:t xml:space="preserve">modern food products, driven by their sensitive appeal and bioactive properties. </w:t>
      </w:r>
      <w:r w:rsidR="004E34A4" w:rsidRPr="00A011DF">
        <w:rPr>
          <w:rFonts w:ascii="Arial" w:hAnsi="Arial" w:cs="Arial"/>
          <w:sz w:val="20"/>
          <w:szCs w:val="20"/>
        </w:rPr>
        <w:t xml:space="preserve">Flowers were used to be consumed directly in fresh forms from a long time, as in salads, or are used in desserts, and brewed into teas, wines, and infusions, where they </w:t>
      </w:r>
      <w:r w:rsidR="00853F63" w:rsidRPr="00A011DF">
        <w:rPr>
          <w:rFonts w:ascii="Arial" w:hAnsi="Arial" w:cs="Arial"/>
          <w:sz w:val="20"/>
          <w:szCs w:val="20"/>
        </w:rPr>
        <w:t>provide</w:t>
      </w:r>
      <w:r w:rsidR="004E34A4" w:rsidRPr="00A011DF">
        <w:rPr>
          <w:rFonts w:ascii="Arial" w:hAnsi="Arial" w:cs="Arial"/>
          <w:sz w:val="20"/>
          <w:szCs w:val="20"/>
        </w:rPr>
        <w:t xml:space="preserve"> vibrant </w:t>
      </w:r>
      <w:proofErr w:type="spellStart"/>
      <w:r w:rsidR="004E34A4" w:rsidRPr="00A011DF">
        <w:rPr>
          <w:rFonts w:ascii="Arial" w:hAnsi="Arial" w:cs="Arial"/>
          <w:sz w:val="20"/>
          <w:szCs w:val="20"/>
        </w:rPr>
        <w:t>colour</w:t>
      </w:r>
      <w:proofErr w:type="spellEnd"/>
      <w:r w:rsidR="004E34A4" w:rsidRPr="00A011DF">
        <w:rPr>
          <w:rFonts w:ascii="Arial" w:hAnsi="Arial" w:cs="Arial"/>
          <w:sz w:val="20"/>
          <w:szCs w:val="20"/>
        </w:rPr>
        <w:t xml:space="preserve">, unique aroma, and subtle </w:t>
      </w:r>
      <w:proofErr w:type="spellStart"/>
      <w:r w:rsidR="004E34A4" w:rsidRPr="00A011DF">
        <w:rPr>
          <w:rFonts w:ascii="Arial" w:hAnsi="Arial" w:cs="Arial"/>
          <w:sz w:val="20"/>
          <w:szCs w:val="20"/>
        </w:rPr>
        <w:t>flavour</w:t>
      </w:r>
      <w:proofErr w:type="spellEnd"/>
      <w:r w:rsidR="004E34A4" w:rsidRPr="00A011DF">
        <w:rPr>
          <w:rFonts w:ascii="Arial" w:hAnsi="Arial" w:cs="Arial"/>
          <w:sz w:val="20"/>
          <w:szCs w:val="20"/>
        </w:rPr>
        <w:t xml:space="preserve">  (</w:t>
      </w:r>
      <w:proofErr w:type="spellStart"/>
      <w:r w:rsidR="004E34A4" w:rsidRPr="00A011DF">
        <w:rPr>
          <w:rFonts w:ascii="Arial" w:hAnsi="Arial" w:cs="Arial"/>
          <w:sz w:val="20"/>
          <w:szCs w:val="20"/>
        </w:rPr>
        <w:t>Skrajda</w:t>
      </w:r>
      <w:proofErr w:type="spellEnd"/>
      <w:r w:rsidR="004E34A4" w:rsidRPr="00A011DF">
        <w:rPr>
          <w:rFonts w:ascii="Arial" w:hAnsi="Arial" w:cs="Arial"/>
          <w:sz w:val="20"/>
          <w:szCs w:val="20"/>
        </w:rPr>
        <w:t xml:space="preserve">, 2017; Takahashi et al., 2020). Blue pea flower is good example of their traditional used as they were used as natural </w:t>
      </w:r>
      <w:proofErr w:type="spellStart"/>
      <w:r w:rsidR="004E34A4" w:rsidRPr="00A011DF">
        <w:rPr>
          <w:rFonts w:ascii="Arial" w:hAnsi="Arial" w:cs="Arial"/>
          <w:sz w:val="20"/>
          <w:szCs w:val="20"/>
        </w:rPr>
        <w:t>colourant</w:t>
      </w:r>
      <w:proofErr w:type="spellEnd"/>
      <w:r w:rsidR="004E34A4" w:rsidRPr="00A011DF">
        <w:rPr>
          <w:rFonts w:ascii="Arial" w:hAnsi="Arial" w:cs="Arial"/>
          <w:sz w:val="20"/>
          <w:szCs w:val="20"/>
        </w:rPr>
        <w:t xml:space="preserve"> (</w:t>
      </w:r>
      <w:proofErr w:type="spellStart"/>
      <w:r w:rsidR="004E34A4" w:rsidRPr="00A011DF">
        <w:rPr>
          <w:rFonts w:ascii="Arial" w:hAnsi="Arial" w:cs="Arial"/>
          <w:i/>
          <w:iCs/>
          <w:sz w:val="20"/>
          <w:szCs w:val="20"/>
        </w:rPr>
        <w:t>Clitoria</w:t>
      </w:r>
      <w:proofErr w:type="spellEnd"/>
      <w:r w:rsidR="004E34A4" w:rsidRPr="00A011DF">
        <w:rPr>
          <w:rFonts w:ascii="Arial" w:hAnsi="Arial" w:cs="Arial"/>
          <w:i/>
          <w:iCs/>
          <w:sz w:val="20"/>
          <w:szCs w:val="20"/>
        </w:rPr>
        <w:t xml:space="preserve"> </w:t>
      </w:r>
      <w:proofErr w:type="spellStart"/>
      <w:r w:rsidR="004E34A4" w:rsidRPr="00A011DF">
        <w:rPr>
          <w:rFonts w:ascii="Arial" w:hAnsi="Arial" w:cs="Arial"/>
          <w:i/>
          <w:iCs/>
          <w:sz w:val="20"/>
          <w:szCs w:val="20"/>
        </w:rPr>
        <w:t>ternatea</w:t>
      </w:r>
      <w:proofErr w:type="spellEnd"/>
      <w:r w:rsidR="004E34A4" w:rsidRPr="00A011DF">
        <w:rPr>
          <w:rFonts w:ascii="Arial" w:hAnsi="Arial" w:cs="Arial"/>
          <w:sz w:val="20"/>
          <w:szCs w:val="20"/>
        </w:rPr>
        <w:t xml:space="preserve">), which gives a pictorial blue tinge which is pH-sensitive, making it popular in drinks and traditional dishes in Southeast Asia </w:t>
      </w:r>
      <w:sdt>
        <w:sdtPr>
          <w:rPr>
            <w:rFonts w:ascii="Arial" w:hAnsi="Arial" w:cs="Arial"/>
            <w:color w:val="000000"/>
            <w:sz w:val="20"/>
            <w:szCs w:val="20"/>
          </w:rPr>
          <w:tag w:val="MENDELEY_CITATION_v3_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"/>
          <w:id w:val="134158493"/>
          <w:placeholder>
            <w:docPart w:val="A835EA1AADAB4440A6797FB96B2C45FB"/>
          </w:placeholder>
        </w:sdtPr>
        <w:sdtEndPr/>
        <w:sdtContent>
          <w:r w:rsidR="004E34A4" w:rsidRPr="00A011DF">
            <w:rPr>
              <w:rFonts w:ascii="Arial" w:hAnsi="Arial" w:cs="Arial"/>
              <w:color w:val="000000"/>
              <w:sz w:val="20"/>
              <w:szCs w:val="20"/>
            </w:rPr>
            <w:t>(</w:t>
          </w:r>
          <w:proofErr w:type="spellStart"/>
          <w:r w:rsidR="004E34A4" w:rsidRPr="00A011DF">
            <w:rPr>
              <w:rFonts w:ascii="Arial" w:hAnsi="Arial" w:cs="Arial"/>
              <w:color w:val="000000"/>
              <w:sz w:val="20"/>
              <w:szCs w:val="20"/>
            </w:rPr>
            <w:t>Harmayani</w:t>
          </w:r>
          <w:proofErr w:type="spellEnd"/>
          <w:r w:rsidR="004E34A4" w:rsidRPr="00A011DF">
            <w:rPr>
              <w:rFonts w:ascii="Arial" w:hAnsi="Arial" w:cs="Arial"/>
              <w:color w:val="000000"/>
              <w:sz w:val="20"/>
              <w:szCs w:val="20"/>
            </w:rPr>
            <w:t xml:space="preserve"> et al., 2019)</w:t>
          </w:r>
        </w:sdtContent>
      </w:sdt>
      <w:r w:rsidR="004E34A4" w:rsidRPr="00A011DF">
        <w:rPr>
          <w:rFonts w:ascii="Arial" w:hAnsi="Arial" w:cs="Arial"/>
          <w:sz w:val="20"/>
          <w:szCs w:val="20"/>
        </w:rPr>
        <w:t>.</w:t>
      </w:r>
    </w:p>
    <w:p w14:paraId="1556541A" w14:textId="614F1C9D" w:rsidR="00D66EBE" w:rsidRPr="00A011DF" w:rsidRDefault="00537764" w:rsidP="00D66EBE">
      <w:pPr>
        <w:spacing w:line="278" w:lineRule="auto"/>
        <w:ind w:firstLine="720"/>
        <w:jc w:val="both"/>
        <w:rPr>
          <w:rFonts w:ascii="Arial" w:hAnsi="Arial" w:cs="Arial"/>
          <w:sz w:val="20"/>
          <w:szCs w:val="20"/>
        </w:rPr>
      </w:pPr>
      <w:r w:rsidRPr="00A011DF">
        <w:rPr>
          <w:rFonts w:ascii="Arial" w:hAnsi="Arial" w:cs="Arial"/>
          <w:sz w:val="20"/>
          <w:szCs w:val="20"/>
        </w:rPr>
        <w:t>In order to enhance nutritive and antioxidant value</w:t>
      </w:r>
      <w:r w:rsidR="00D66EBE" w:rsidRPr="00A011DF">
        <w:rPr>
          <w:rFonts w:ascii="Arial" w:hAnsi="Arial" w:cs="Arial"/>
          <w:sz w:val="20"/>
          <w:szCs w:val="20"/>
        </w:rPr>
        <w:t xml:space="preserve"> </w:t>
      </w:r>
      <w:r w:rsidRPr="00A011DF">
        <w:rPr>
          <w:rFonts w:ascii="Arial" w:hAnsi="Arial" w:cs="Arial"/>
          <w:sz w:val="20"/>
          <w:szCs w:val="20"/>
        </w:rPr>
        <w:t>t</w:t>
      </w:r>
      <w:r w:rsidR="00D66EBE" w:rsidRPr="00A011DF">
        <w:rPr>
          <w:rFonts w:ascii="Arial" w:hAnsi="Arial" w:cs="Arial"/>
          <w:sz w:val="20"/>
          <w:szCs w:val="20"/>
        </w:rPr>
        <w:t xml:space="preserve">here's a growing trend to incorporate edible flowers into functional food products (Breda et al., 2025). They're being successfully added to yogurts to ameliorate their phytochemical content and sensitive profile (Takahashi et al., 2020). likewise, extracts from species like hibiscus and rosehip have been integrated into baked goods similar as eyefuls and chuck, perfecting their antioxidant capacity and offering a new health- acquainted product order (Takahashi et al., 2020).  marigold is employed as a source of lutein for naturally </w:t>
      </w:r>
      <w:proofErr w:type="spellStart"/>
      <w:r w:rsidR="00D66EBE" w:rsidRPr="00A011DF">
        <w:rPr>
          <w:rFonts w:ascii="Arial" w:hAnsi="Arial" w:cs="Arial"/>
          <w:sz w:val="20"/>
          <w:szCs w:val="20"/>
        </w:rPr>
        <w:t>colouring</w:t>
      </w:r>
      <w:proofErr w:type="spellEnd"/>
      <w:r w:rsidR="00D66EBE" w:rsidRPr="00A011DF">
        <w:rPr>
          <w:rFonts w:ascii="Arial" w:hAnsi="Arial" w:cs="Arial"/>
          <w:sz w:val="20"/>
          <w:szCs w:val="20"/>
        </w:rPr>
        <w:t xml:space="preserve"> dairy products (Hegde et al., 2023).</w:t>
      </w:r>
    </w:p>
    <w:p w14:paraId="2BE51AC0" w14:textId="5197616B"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Possibly one of the most innovative usages is the use of antioxidant-rich flower extracts as natural preservatives. Their bioactive compounds can inhibit</w:t>
      </w:r>
      <w:r w:rsidR="00F8313A" w:rsidRPr="00A011DF">
        <w:rPr>
          <w:rFonts w:ascii="Arial" w:hAnsi="Arial" w:cs="Arial"/>
          <w:sz w:val="20"/>
          <w:szCs w:val="20"/>
        </w:rPr>
        <w:t xml:space="preserve"> microbial growth</w:t>
      </w:r>
      <w:r w:rsidRPr="00A011DF">
        <w:rPr>
          <w:rFonts w:ascii="Arial" w:hAnsi="Arial" w:cs="Arial"/>
          <w:sz w:val="20"/>
          <w:szCs w:val="20"/>
        </w:rPr>
        <w:t xml:space="preserve"> and</w:t>
      </w:r>
      <w:r w:rsidR="00F8313A" w:rsidRPr="00A011DF">
        <w:rPr>
          <w:rFonts w:ascii="Arial" w:hAnsi="Arial" w:cs="Arial"/>
          <w:sz w:val="20"/>
          <w:szCs w:val="20"/>
        </w:rPr>
        <w:t xml:space="preserve"> lipid oxidation</w:t>
      </w:r>
      <w:r w:rsidRPr="00A011DF">
        <w:rPr>
          <w:rFonts w:ascii="Arial" w:hAnsi="Arial" w:cs="Arial"/>
          <w:sz w:val="20"/>
          <w:szCs w:val="20"/>
        </w:rPr>
        <w:t xml:space="preserve">, extending the shelf- life of food products while replacing synthetic additives (he et al., 2015; </w:t>
      </w:r>
      <w:proofErr w:type="spellStart"/>
      <w:r w:rsidRPr="00A011DF">
        <w:rPr>
          <w:rFonts w:ascii="Arial" w:hAnsi="Arial" w:cs="Arial"/>
          <w:sz w:val="20"/>
          <w:szCs w:val="20"/>
        </w:rPr>
        <w:t>breda</w:t>
      </w:r>
      <w:proofErr w:type="spellEnd"/>
      <w:r w:rsidRPr="00A011DF">
        <w:rPr>
          <w:rFonts w:ascii="Arial" w:hAnsi="Arial" w:cs="Arial"/>
          <w:sz w:val="20"/>
          <w:szCs w:val="20"/>
        </w:rPr>
        <w:t xml:space="preserve"> et al., 2025). Eventually, due to their concentrated bioactive compounds, edible flowers hold significant eventuality in the nutraceutical sector for the development of salutary supplements and health products aimed at preventing oxidative stress, inflammation, and habitual conditions (</w:t>
      </w:r>
      <w:proofErr w:type="spellStart"/>
      <w:r w:rsidRPr="00A011DF">
        <w:rPr>
          <w:rFonts w:ascii="Arial" w:hAnsi="Arial" w:cs="Arial"/>
          <w:sz w:val="20"/>
          <w:szCs w:val="20"/>
        </w:rPr>
        <w:t>kumari</w:t>
      </w:r>
      <w:proofErr w:type="spellEnd"/>
      <w:r w:rsidRPr="00A011DF">
        <w:rPr>
          <w:rFonts w:ascii="Arial" w:hAnsi="Arial" w:cs="Arial"/>
          <w:sz w:val="20"/>
          <w:szCs w:val="20"/>
        </w:rPr>
        <w:t xml:space="preserve"> &amp; </w:t>
      </w:r>
      <w:proofErr w:type="spellStart"/>
      <w:r w:rsidRPr="00A011DF">
        <w:rPr>
          <w:rFonts w:ascii="Arial" w:hAnsi="Arial" w:cs="Arial"/>
          <w:sz w:val="20"/>
          <w:szCs w:val="20"/>
        </w:rPr>
        <w:t>bhargava</w:t>
      </w:r>
      <w:proofErr w:type="spellEnd"/>
      <w:r w:rsidRPr="00A011DF">
        <w:rPr>
          <w:rFonts w:ascii="Arial" w:hAnsi="Arial" w:cs="Arial"/>
          <w:sz w:val="20"/>
          <w:szCs w:val="20"/>
        </w:rPr>
        <w:t xml:space="preserve">, 2021; </w:t>
      </w:r>
      <w:proofErr w:type="spellStart"/>
      <w:r w:rsidRPr="00A011DF">
        <w:rPr>
          <w:rFonts w:ascii="Arial" w:hAnsi="Arial" w:cs="Arial"/>
          <w:sz w:val="20"/>
          <w:szCs w:val="20"/>
        </w:rPr>
        <w:t>prabawati</w:t>
      </w:r>
      <w:proofErr w:type="spellEnd"/>
      <w:r w:rsidRPr="00A011DF">
        <w:rPr>
          <w:rFonts w:ascii="Arial" w:hAnsi="Arial" w:cs="Arial"/>
          <w:sz w:val="20"/>
          <w:szCs w:val="20"/>
        </w:rPr>
        <w:t xml:space="preserve"> et al., 2021).</w:t>
      </w:r>
    </w:p>
    <w:p w14:paraId="0F3FFF29" w14:textId="1D8CC675" w:rsidR="00D66EBE" w:rsidRPr="00A011DF" w:rsidRDefault="00A011DF" w:rsidP="00D66EBE">
      <w:pPr>
        <w:spacing w:line="278" w:lineRule="auto"/>
        <w:jc w:val="both"/>
        <w:rPr>
          <w:rFonts w:ascii="Arial" w:hAnsi="Arial" w:cs="Arial"/>
          <w:b/>
          <w:bCs/>
        </w:rPr>
      </w:pPr>
      <w:r w:rsidRPr="00A011DF">
        <w:rPr>
          <w:rFonts w:ascii="Arial" w:hAnsi="Arial" w:cs="Arial"/>
          <w:b/>
          <w:bCs/>
        </w:rPr>
        <w:t xml:space="preserve">5. </w:t>
      </w:r>
      <w:r w:rsidR="00D66EBE" w:rsidRPr="00A011DF">
        <w:rPr>
          <w:rFonts w:ascii="Arial" w:hAnsi="Arial" w:cs="Arial"/>
          <w:b/>
          <w:bCs/>
        </w:rPr>
        <w:t xml:space="preserve">Safety Considerations </w:t>
      </w:r>
      <w:r w:rsidR="00853F63" w:rsidRPr="00A011DF">
        <w:rPr>
          <w:rFonts w:ascii="Arial" w:hAnsi="Arial" w:cs="Arial"/>
          <w:b/>
          <w:bCs/>
        </w:rPr>
        <w:t>for</w:t>
      </w:r>
      <w:r w:rsidRPr="00A011DF">
        <w:rPr>
          <w:rFonts w:ascii="Arial" w:hAnsi="Arial" w:cs="Arial"/>
          <w:b/>
          <w:bCs/>
        </w:rPr>
        <w:t xml:space="preserve"> </w:t>
      </w:r>
      <w:r w:rsidR="00D66EBE" w:rsidRPr="00A011DF">
        <w:rPr>
          <w:rFonts w:ascii="Arial" w:hAnsi="Arial" w:cs="Arial"/>
          <w:b/>
          <w:bCs/>
        </w:rPr>
        <w:t>Edible Flowers</w:t>
      </w:r>
      <w:r w:rsidRPr="00A011DF">
        <w:rPr>
          <w:rFonts w:ascii="Arial" w:hAnsi="Arial" w:cs="Arial"/>
          <w:b/>
          <w:bCs/>
        </w:rPr>
        <w:t>.</w:t>
      </w:r>
    </w:p>
    <w:p w14:paraId="252C7F58" w14:textId="4D40B862" w:rsidR="00D66EBE" w:rsidRPr="00A011DF" w:rsidRDefault="00A011DF" w:rsidP="00D66EBE">
      <w:pPr>
        <w:spacing w:line="278" w:lineRule="auto"/>
        <w:jc w:val="both"/>
        <w:rPr>
          <w:rFonts w:ascii="Arial" w:hAnsi="Arial" w:cs="Arial"/>
          <w:b/>
          <w:bCs/>
        </w:rPr>
      </w:pPr>
      <w:r w:rsidRPr="00A011DF">
        <w:rPr>
          <w:rFonts w:ascii="Arial" w:hAnsi="Arial" w:cs="Arial"/>
          <w:b/>
          <w:bCs/>
        </w:rPr>
        <w:t xml:space="preserve">5.1 </w:t>
      </w:r>
      <w:r w:rsidR="00D66EBE" w:rsidRPr="00A011DF">
        <w:rPr>
          <w:rFonts w:ascii="Arial" w:hAnsi="Arial" w:cs="Arial"/>
          <w:b/>
          <w:bCs/>
        </w:rPr>
        <w:t xml:space="preserve">Toxicity </w:t>
      </w:r>
      <w:r w:rsidR="00853F63" w:rsidRPr="00A011DF">
        <w:rPr>
          <w:rFonts w:ascii="Arial" w:hAnsi="Arial" w:cs="Arial"/>
          <w:b/>
          <w:bCs/>
        </w:rPr>
        <w:t>and</w:t>
      </w:r>
      <w:r w:rsidRPr="00A011DF">
        <w:rPr>
          <w:rFonts w:ascii="Arial" w:hAnsi="Arial" w:cs="Arial"/>
          <w:b/>
          <w:bCs/>
        </w:rPr>
        <w:t xml:space="preserve"> </w:t>
      </w:r>
      <w:r w:rsidR="00D66EBE" w:rsidRPr="00A011DF">
        <w:rPr>
          <w:rFonts w:ascii="Arial" w:hAnsi="Arial" w:cs="Arial"/>
          <w:b/>
          <w:bCs/>
        </w:rPr>
        <w:t>Misidentification</w:t>
      </w:r>
      <w:r w:rsidRPr="00A011DF">
        <w:rPr>
          <w:rFonts w:ascii="Arial" w:hAnsi="Arial" w:cs="Arial"/>
          <w:b/>
          <w:bCs/>
        </w:rPr>
        <w:t>.</w:t>
      </w:r>
    </w:p>
    <w:p w14:paraId="371E1655" w14:textId="38E39D96" w:rsidR="00D66EBE" w:rsidRPr="00A011DF" w:rsidRDefault="00D66EBE" w:rsidP="00D66EBE">
      <w:pPr>
        <w:spacing w:line="278" w:lineRule="auto"/>
        <w:ind w:firstLine="720"/>
        <w:jc w:val="both"/>
        <w:rPr>
          <w:rFonts w:ascii="Arial" w:hAnsi="Arial" w:cs="Arial"/>
          <w:sz w:val="20"/>
          <w:szCs w:val="20"/>
        </w:rPr>
      </w:pPr>
      <w:r w:rsidRPr="00A011DF">
        <w:rPr>
          <w:rFonts w:ascii="Arial" w:hAnsi="Arial" w:cs="Arial"/>
          <w:sz w:val="20"/>
          <w:szCs w:val="20"/>
        </w:rPr>
        <w:t>Not every flower is safe to eat; numerous ones have natural anti-nutritional elements or harmful substances like alkaloids, cyanogenic glycosides, and trypsin inhibitors (</w:t>
      </w:r>
      <w:proofErr w:type="spellStart"/>
      <w:r w:rsidRPr="00A011DF">
        <w:rPr>
          <w:rFonts w:ascii="Arial" w:hAnsi="Arial" w:cs="Arial"/>
          <w:sz w:val="20"/>
          <w:szCs w:val="20"/>
        </w:rPr>
        <w:t>Skrajda</w:t>
      </w:r>
      <w:proofErr w:type="spellEnd"/>
      <w:r w:rsidRPr="00A011DF">
        <w:rPr>
          <w:rFonts w:ascii="Arial" w:hAnsi="Arial" w:cs="Arial"/>
          <w:sz w:val="20"/>
          <w:szCs w:val="20"/>
        </w:rPr>
        <w:t xml:space="preserve">, 2017). Adding to this risk is a notable regulatory void, since there </w:t>
      </w:r>
      <w:r w:rsidR="009633C9" w:rsidRPr="00A011DF">
        <w:rPr>
          <w:rFonts w:ascii="Arial" w:hAnsi="Arial" w:cs="Arial"/>
          <w:sz w:val="20"/>
          <w:szCs w:val="20"/>
        </w:rPr>
        <w:t>is</w:t>
      </w:r>
      <w:r w:rsidRPr="00A011DF">
        <w:rPr>
          <w:rFonts w:ascii="Arial" w:hAnsi="Arial" w:cs="Arial"/>
          <w:sz w:val="20"/>
          <w:szCs w:val="20"/>
        </w:rPr>
        <w:t xml:space="preserve"> no formal international inventory from prominent food safety bodies such as the FAO, WHO, FDA, or EFSA that clearly classifies which flowers are deemed safe for human consumption (Takahashi et al., 2020). Moreover, even in an edible species, not every part may be safe, since pollen can induce allergic responses, while other parts such as stems or sepals might harbor bitter or toxic compounds (Takahashi et al., 2020)</w:t>
      </w:r>
    </w:p>
    <w:p w14:paraId="42C8DAB3" w14:textId="40AA2E68" w:rsidR="003F47D4" w:rsidRPr="00A011DF" w:rsidRDefault="00A011DF" w:rsidP="003F47D4">
      <w:pPr>
        <w:spacing w:line="278" w:lineRule="auto"/>
        <w:jc w:val="both"/>
        <w:rPr>
          <w:rFonts w:ascii="Arial" w:hAnsi="Arial" w:cs="Arial"/>
          <w:b/>
          <w:bCs/>
        </w:rPr>
      </w:pPr>
      <w:r w:rsidRPr="00A011DF">
        <w:rPr>
          <w:rFonts w:ascii="Arial" w:hAnsi="Arial" w:cs="Arial"/>
          <w:b/>
          <w:bCs/>
        </w:rPr>
        <w:t xml:space="preserve">5.2 </w:t>
      </w:r>
      <w:r w:rsidR="003F47D4" w:rsidRPr="00A011DF">
        <w:rPr>
          <w:rFonts w:ascii="Arial" w:hAnsi="Arial" w:cs="Arial"/>
          <w:b/>
          <w:bCs/>
        </w:rPr>
        <w:t xml:space="preserve">Chemical Contamination </w:t>
      </w:r>
      <w:r w:rsidR="00853F63" w:rsidRPr="00A011DF">
        <w:rPr>
          <w:rFonts w:ascii="Arial" w:hAnsi="Arial" w:cs="Arial"/>
          <w:b/>
          <w:bCs/>
        </w:rPr>
        <w:t>from</w:t>
      </w:r>
      <w:r w:rsidRPr="00A011DF">
        <w:rPr>
          <w:rFonts w:ascii="Arial" w:hAnsi="Arial" w:cs="Arial"/>
          <w:b/>
          <w:bCs/>
        </w:rPr>
        <w:t xml:space="preserve"> </w:t>
      </w:r>
      <w:r w:rsidR="003F47D4" w:rsidRPr="00A011DF">
        <w:rPr>
          <w:rFonts w:ascii="Arial" w:hAnsi="Arial" w:cs="Arial"/>
          <w:b/>
          <w:bCs/>
        </w:rPr>
        <w:t>Cultivation</w:t>
      </w:r>
      <w:r w:rsidRPr="00A011DF">
        <w:rPr>
          <w:rFonts w:ascii="Arial" w:hAnsi="Arial" w:cs="Arial"/>
          <w:b/>
          <w:bCs/>
        </w:rPr>
        <w:t>.</w:t>
      </w:r>
    </w:p>
    <w:p w14:paraId="2E7AE1CA" w14:textId="19B9CC5B" w:rsidR="003F47D4" w:rsidRPr="00A011DF" w:rsidRDefault="003F47D4" w:rsidP="003F47D4">
      <w:pPr>
        <w:spacing w:line="278" w:lineRule="auto"/>
        <w:ind w:firstLine="720"/>
        <w:jc w:val="both"/>
        <w:rPr>
          <w:rFonts w:ascii="Arial" w:hAnsi="Arial" w:cs="Arial"/>
          <w:sz w:val="20"/>
          <w:szCs w:val="20"/>
        </w:rPr>
      </w:pPr>
      <w:r w:rsidRPr="00A011DF">
        <w:rPr>
          <w:rFonts w:ascii="Arial" w:hAnsi="Arial" w:cs="Arial"/>
          <w:sz w:val="20"/>
          <w:szCs w:val="20"/>
        </w:rPr>
        <w:t>It is important  to know the origin of edible flowers for safety purpose, as if  those sourced from non-food origins can carry a significant risk of chemical contamination. Flowers from florists or decorative nurseries contains residuals of pesticides, herbicides, and fertilizers that are not permitted for food crops and can be dangerous for the consumer (</w:t>
      </w:r>
      <w:proofErr w:type="spellStart"/>
      <w:r w:rsidRPr="00A011DF">
        <w:rPr>
          <w:rFonts w:ascii="Arial" w:hAnsi="Arial" w:cs="Arial"/>
          <w:sz w:val="20"/>
          <w:szCs w:val="20"/>
        </w:rPr>
        <w:t>Mlcek</w:t>
      </w:r>
      <w:proofErr w:type="spellEnd"/>
      <w:r w:rsidRPr="00A011DF">
        <w:rPr>
          <w:rFonts w:ascii="Arial" w:hAnsi="Arial" w:cs="Arial"/>
          <w:sz w:val="20"/>
          <w:szCs w:val="20"/>
        </w:rPr>
        <w:t xml:space="preserve"> &amp; </w:t>
      </w:r>
      <w:proofErr w:type="spellStart"/>
      <w:r w:rsidRPr="00A011DF">
        <w:rPr>
          <w:rFonts w:ascii="Arial" w:hAnsi="Arial" w:cs="Arial"/>
          <w:sz w:val="20"/>
          <w:szCs w:val="20"/>
        </w:rPr>
        <w:t>Rop</w:t>
      </w:r>
      <w:proofErr w:type="spellEnd"/>
      <w:r w:rsidRPr="00A011DF">
        <w:rPr>
          <w:rFonts w:ascii="Arial" w:hAnsi="Arial" w:cs="Arial"/>
          <w:sz w:val="20"/>
          <w:szCs w:val="20"/>
        </w:rPr>
        <w:t xml:space="preserve">, 2011). </w:t>
      </w:r>
      <w:r w:rsidR="00853F63" w:rsidRPr="00A011DF">
        <w:rPr>
          <w:rFonts w:ascii="Arial" w:hAnsi="Arial" w:cs="Arial"/>
          <w:sz w:val="20"/>
          <w:szCs w:val="20"/>
        </w:rPr>
        <w:t>Therefore,</w:t>
      </w:r>
      <w:r w:rsidRPr="00A011DF">
        <w:rPr>
          <w:rFonts w:ascii="Arial" w:hAnsi="Arial" w:cs="Arial"/>
          <w:sz w:val="20"/>
          <w:szCs w:val="20"/>
        </w:rPr>
        <w:t xml:space="preserve"> it is important to ensure that the flowers meant for consumption purpose are collected from safe, tested varieties, and cultivated specifically. This problem has resulted in an increasing trend in organic farming, which is highlighted as a crucial approach to guarantee that the end product is free of dangerous chemical remnants (Takahashi et al., 2020)</w:t>
      </w:r>
    </w:p>
    <w:p w14:paraId="3B34D747" w14:textId="6DF3E467" w:rsidR="003F47D4" w:rsidRPr="00A011DF" w:rsidRDefault="00A011DF" w:rsidP="003F47D4">
      <w:pPr>
        <w:spacing w:line="278" w:lineRule="auto"/>
        <w:jc w:val="both"/>
        <w:rPr>
          <w:rFonts w:ascii="Arial" w:hAnsi="Arial" w:cs="Arial"/>
          <w:b/>
          <w:bCs/>
        </w:rPr>
      </w:pPr>
      <w:r w:rsidRPr="00A011DF">
        <w:rPr>
          <w:rFonts w:ascii="Arial" w:hAnsi="Arial" w:cs="Arial"/>
          <w:b/>
          <w:bCs/>
        </w:rPr>
        <w:t>5.3 Microbiological Contamination.</w:t>
      </w:r>
    </w:p>
    <w:p w14:paraId="753390E9" w14:textId="77777777" w:rsidR="003F47D4" w:rsidRPr="00A011DF" w:rsidRDefault="003F47D4" w:rsidP="003F47D4">
      <w:pPr>
        <w:spacing w:line="278" w:lineRule="auto"/>
        <w:ind w:firstLine="720"/>
        <w:jc w:val="both"/>
        <w:rPr>
          <w:rFonts w:ascii="Arial" w:hAnsi="Arial" w:cs="Arial"/>
          <w:sz w:val="20"/>
          <w:szCs w:val="20"/>
        </w:rPr>
      </w:pPr>
      <w:r w:rsidRPr="00A011DF">
        <w:rPr>
          <w:rFonts w:ascii="Arial" w:hAnsi="Arial" w:cs="Arial"/>
          <w:sz w:val="20"/>
          <w:szCs w:val="20"/>
        </w:rPr>
        <w:t>Their</w:t>
      </w:r>
      <w:r w:rsidRPr="00A011DF">
        <w:rPr>
          <w:rFonts w:ascii="Arial" w:hAnsi="Arial" w:cs="Arial"/>
          <w:sz w:val="20"/>
          <w:szCs w:val="20"/>
        </w:rPr>
        <w:t> </w:t>
      </w:r>
      <w:r w:rsidRPr="00A011DF">
        <w:rPr>
          <w:rFonts w:ascii="Arial" w:hAnsi="Arial" w:cs="Arial"/>
          <w:sz w:val="20"/>
          <w:szCs w:val="20"/>
        </w:rPr>
        <w:t>low processing steps and high surface area are two reasons why edible flowers have poor resistance to microbial contamination, representing an additional important safety problem. These involve the possibility of contamination with pathogenic bacteria including salmonella, Staphylococcus aureus and Bacillus spp., as</w:t>
      </w:r>
      <w:r w:rsidRPr="00A011DF">
        <w:rPr>
          <w:rFonts w:ascii="Arial" w:hAnsi="Arial" w:cs="Arial"/>
          <w:sz w:val="20"/>
          <w:szCs w:val="20"/>
        </w:rPr>
        <w:t> </w:t>
      </w:r>
      <w:r w:rsidRPr="00A011DF">
        <w:rPr>
          <w:rFonts w:ascii="Arial" w:hAnsi="Arial" w:cs="Arial"/>
          <w:sz w:val="20"/>
          <w:szCs w:val="20"/>
        </w:rPr>
        <w:t>well as with some mycotoxin producing molds such as Aspergillus and Penicillium (Carboni et al., 2025). Under these circumstances, rigorous controls are necessary at</w:t>
      </w:r>
      <w:r w:rsidRPr="00A011DF">
        <w:rPr>
          <w:rFonts w:ascii="Arial" w:hAnsi="Arial" w:cs="Arial"/>
          <w:sz w:val="20"/>
          <w:szCs w:val="20"/>
        </w:rPr>
        <w:t> </w:t>
      </w:r>
      <w:r w:rsidRPr="00A011DF">
        <w:rPr>
          <w:rFonts w:ascii="Arial" w:hAnsi="Arial" w:cs="Arial"/>
          <w:sz w:val="20"/>
          <w:szCs w:val="20"/>
        </w:rPr>
        <w:t>all stages of the supply chain. Proper farming practices, hygienic post-harvest handling practice, effective sanitizing and appropriate storage atmosphere are important</w:t>
      </w:r>
      <w:r w:rsidRPr="00A011DF">
        <w:rPr>
          <w:rFonts w:ascii="Arial" w:hAnsi="Arial" w:cs="Arial"/>
          <w:sz w:val="20"/>
          <w:szCs w:val="20"/>
        </w:rPr>
        <w:t> </w:t>
      </w:r>
      <w:r w:rsidRPr="00A011DF">
        <w:rPr>
          <w:rFonts w:ascii="Arial" w:hAnsi="Arial" w:cs="Arial"/>
          <w:sz w:val="20"/>
          <w:szCs w:val="20"/>
        </w:rPr>
        <w:t>for the preservation assuring microbiological safety for consumers (Lu et al., 2016)</w:t>
      </w:r>
    </w:p>
    <w:p w14:paraId="564B3DD8" w14:textId="5CD42481" w:rsidR="003F47D4" w:rsidRPr="00A011DF" w:rsidRDefault="00A011DF" w:rsidP="003F47D4">
      <w:pPr>
        <w:spacing w:line="278" w:lineRule="auto"/>
        <w:jc w:val="both"/>
        <w:rPr>
          <w:rFonts w:ascii="Arial" w:hAnsi="Arial" w:cs="Arial"/>
          <w:b/>
          <w:bCs/>
        </w:rPr>
      </w:pPr>
      <w:r w:rsidRPr="00A011DF">
        <w:rPr>
          <w:rFonts w:ascii="Arial" w:hAnsi="Arial" w:cs="Arial"/>
          <w:b/>
          <w:bCs/>
        </w:rPr>
        <w:lastRenderedPageBreak/>
        <w:t>5.4 Cytotoxicity AND Toxicological Effects.</w:t>
      </w:r>
    </w:p>
    <w:p w14:paraId="1F906368" w14:textId="3A29E799" w:rsidR="003F47D4" w:rsidRDefault="003F47D4" w:rsidP="003F47D4">
      <w:pPr>
        <w:jc w:val="both"/>
        <w:rPr>
          <w:rFonts w:ascii="Arial" w:hAnsi="Arial" w:cs="Arial"/>
          <w:sz w:val="20"/>
          <w:szCs w:val="20"/>
        </w:rPr>
      </w:pPr>
      <w:r w:rsidRPr="00A011DF">
        <w:rPr>
          <w:rFonts w:ascii="Arial" w:hAnsi="Arial" w:cs="Arial"/>
          <w:sz w:val="20"/>
          <w:szCs w:val="20"/>
        </w:rPr>
        <w:t>Although some edible flowers may have biologically active properties, they are</w:t>
      </w:r>
      <w:r w:rsidRPr="00A011DF">
        <w:rPr>
          <w:rFonts w:ascii="Arial" w:hAnsi="Arial" w:cs="Arial"/>
          <w:sz w:val="20"/>
          <w:szCs w:val="20"/>
        </w:rPr>
        <w:t> </w:t>
      </w:r>
      <w:r w:rsidRPr="00A011DF">
        <w:rPr>
          <w:rFonts w:ascii="Arial" w:hAnsi="Arial" w:cs="Arial"/>
          <w:sz w:val="20"/>
          <w:szCs w:val="20"/>
        </w:rPr>
        <w:t>not cytotoxic or toxic; therefore, the need of toxicological assays. Cytotoxicity Cytotoxic effects derived from Lotus species have been determined, showing CC50 values at 4.68 mg/mL (</w:t>
      </w:r>
      <w:r w:rsidRPr="00A011DF">
        <w:rPr>
          <w:rFonts w:ascii="Arial" w:hAnsi="Arial" w:cs="Arial"/>
          <w:i/>
          <w:iCs/>
          <w:sz w:val="20"/>
          <w:szCs w:val="20"/>
        </w:rPr>
        <w:t xml:space="preserve">Lotus </w:t>
      </w:r>
      <w:proofErr w:type="spellStart"/>
      <w:r w:rsidRPr="00A011DF">
        <w:rPr>
          <w:rFonts w:ascii="Arial" w:hAnsi="Arial" w:cs="Arial"/>
          <w:i/>
          <w:iCs/>
          <w:sz w:val="20"/>
          <w:szCs w:val="20"/>
        </w:rPr>
        <w:t>arabicus</w:t>
      </w:r>
      <w:proofErr w:type="spellEnd"/>
      <w:r w:rsidRPr="00A011DF">
        <w:rPr>
          <w:rFonts w:ascii="Arial" w:hAnsi="Arial" w:cs="Arial"/>
          <w:sz w:val="20"/>
          <w:szCs w:val="20"/>
        </w:rPr>
        <w:t>), and 2.11 mg/mL (</w:t>
      </w:r>
      <w:r w:rsidRPr="00A011DF">
        <w:rPr>
          <w:rFonts w:ascii="Arial" w:hAnsi="Arial" w:cs="Arial"/>
          <w:i/>
          <w:iCs/>
          <w:sz w:val="20"/>
          <w:szCs w:val="20"/>
        </w:rPr>
        <w:t xml:space="preserve">Lotus </w:t>
      </w:r>
      <w:proofErr w:type="spellStart"/>
      <w:r w:rsidRPr="00A011DF">
        <w:rPr>
          <w:rFonts w:ascii="Arial" w:hAnsi="Arial" w:cs="Arial"/>
          <w:i/>
          <w:iCs/>
          <w:sz w:val="20"/>
          <w:szCs w:val="20"/>
        </w:rPr>
        <w:t>glaber</w:t>
      </w:r>
      <w:proofErr w:type="spellEnd"/>
      <w:r w:rsidRPr="00A011DF">
        <w:rPr>
          <w:rFonts w:ascii="Arial" w:hAnsi="Arial" w:cs="Arial"/>
          <w:sz w:val="20"/>
          <w:szCs w:val="20"/>
        </w:rPr>
        <w:t>) and the highest no-toxic concentration found was 625 µg/ml in a study using chronic</w:t>
      </w:r>
      <w:r w:rsidRPr="00A011DF">
        <w:rPr>
          <w:rFonts w:ascii="Arial" w:hAnsi="Arial" w:cs="Arial"/>
          <w:sz w:val="20"/>
          <w:szCs w:val="20"/>
        </w:rPr>
        <w:t> </w:t>
      </w:r>
      <w:r w:rsidRPr="00A011DF">
        <w:rPr>
          <w:rFonts w:ascii="Arial" w:hAnsi="Arial" w:cs="Arial"/>
          <w:sz w:val="20"/>
          <w:szCs w:val="20"/>
        </w:rPr>
        <w:t>ethanol-induced gastric ulcer rats (Youssef et al., 2021).</w:t>
      </w:r>
      <w:r w:rsidRPr="00A011DF">
        <w:rPr>
          <w:rFonts w:ascii="Arial" w:eastAsia="Times New Roman" w:hAnsi="Arial" w:cs="Arial"/>
          <w:sz w:val="20"/>
          <w:szCs w:val="20"/>
        </w:rPr>
        <w:t xml:space="preserve"> </w:t>
      </w:r>
      <w:r w:rsidR="00853F63" w:rsidRPr="00A011DF">
        <w:rPr>
          <w:rFonts w:ascii="Arial" w:hAnsi="Arial" w:cs="Arial"/>
          <w:sz w:val="20"/>
          <w:szCs w:val="20"/>
        </w:rPr>
        <w:t>also,</w:t>
      </w:r>
      <w:r w:rsidRPr="00A011DF">
        <w:rPr>
          <w:rFonts w:ascii="Arial" w:hAnsi="Arial" w:cs="Arial"/>
          <w:sz w:val="20"/>
          <w:szCs w:val="20"/>
        </w:rPr>
        <w:t xml:space="preserve"> in </w:t>
      </w:r>
      <w:r w:rsidRPr="00A011DF">
        <w:rPr>
          <w:rFonts w:ascii="Arial" w:hAnsi="Arial" w:cs="Arial"/>
          <w:i/>
          <w:iCs/>
          <w:sz w:val="20"/>
          <w:szCs w:val="20"/>
        </w:rPr>
        <w:t>H. sabdariffa</w:t>
      </w:r>
      <w:r w:rsidRPr="00A011DF">
        <w:rPr>
          <w:rFonts w:ascii="Arial" w:hAnsi="Arial" w:cs="Arial"/>
          <w:sz w:val="20"/>
          <w:szCs w:val="20"/>
        </w:rPr>
        <w:t>; whereas long-term treatment</w:t>
      </w:r>
      <w:r w:rsidRPr="00A011DF">
        <w:rPr>
          <w:rFonts w:ascii="Arial" w:hAnsi="Arial" w:cs="Arial"/>
          <w:sz w:val="20"/>
          <w:szCs w:val="20"/>
        </w:rPr>
        <w:t> </w:t>
      </w:r>
      <w:r w:rsidRPr="00A011DF">
        <w:rPr>
          <w:rFonts w:ascii="Arial" w:hAnsi="Arial" w:cs="Arial"/>
          <w:sz w:val="20"/>
          <w:szCs w:val="20"/>
        </w:rPr>
        <w:t>of rats with extracts resulted in changes to liver enzymes, creatinine and spleen weight, suggesting possibility of high dose, long duration consumption toxicity at the organ level. It is worth noting that hibiscus might interact with</w:t>
      </w:r>
      <w:r w:rsidRPr="00A011DF">
        <w:rPr>
          <w:rFonts w:ascii="Arial" w:hAnsi="Arial" w:cs="Arial"/>
          <w:sz w:val="20"/>
          <w:szCs w:val="20"/>
        </w:rPr>
        <w:t> </w:t>
      </w:r>
      <w:r w:rsidRPr="00A011DF">
        <w:rPr>
          <w:rFonts w:ascii="Arial" w:hAnsi="Arial" w:cs="Arial"/>
          <w:sz w:val="20"/>
          <w:szCs w:val="20"/>
        </w:rPr>
        <w:t>some medications. (</w:t>
      </w:r>
      <w:proofErr w:type="spellStart"/>
      <w:r w:rsidRPr="00A011DF">
        <w:rPr>
          <w:rFonts w:ascii="Arial" w:hAnsi="Arial" w:cs="Arial"/>
          <w:sz w:val="20"/>
          <w:szCs w:val="20"/>
        </w:rPr>
        <w:t>Fakeye</w:t>
      </w:r>
      <w:proofErr w:type="spellEnd"/>
      <w:r w:rsidRPr="00A011DF">
        <w:rPr>
          <w:rFonts w:ascii="Arial" w:hAnsi="Arial" w:cs="Arial"/>
          <w:sz w:val="20"/>
          <w:szCs w:val="20"/>
        </w:rPr>
        <w:t xml:space="preserve"> et al., 2008).</w:t>
      </w:r>
    </w:p>
    <w:p w14:paraId="0B3F3FCB" w14:textId="77777777" w:rsidR="003A4EC1" w:rsidRDefault="003A4EC1" w:rsidP="00C541D2">
      <w:pPr>
        <w:spacing w:line="276" w:lineRule="auto"/>
        <w:jc w:val="both"/>
        <w:rPr>
          <w:rFonts w:ascii="Arial" w:hAnsi="Arial" w:cs="Arial"/>
          <w:b/>
          <w:bCs/>
          <w:color w:val="222222"/>
          <w:shd w:val="clear" w:color="auto" w:fill="FFFFFF"/>
        </w:rPr>
      </w:pPr>
    </w:p>
    <w:p w14:paraId="771E6D73" w14:textId="689DDD4A" w:rsidR="00C541D2" w:rsidRPr="00C541D2" w:rsidRDefault="00C541D2" w:rsidP="00C541D2">
      <w:pPr>
        <w:spacing w:line="276" w:lineRule="auto"/>
        <w:jc w:val="both"/>
        <w:rPr>
          <w:rFonts w:ascii="Arial" w:hAnsi="Arial" w:cs="Arial"/>
          <w:b/>
          <w:bCs/>
          <w:color w:val="222222"/>
          <w:shd w:val="clear" w:color="auto" w:fill="FFFFFF"/>
        </w:rPr>
      </w:pPr>
      <w:bookmarkStart w:id="0" w:name="_GoBack"/>
      <w:bookmarkEnd w:id="0"/>
      <w:r w:rsidRPr="00C541D2">
        <w:rPr>
          <w:rFonts w:ascii="Arial" w:hAnsi="Arial" w:cs="Arial"/>
          <w:b/>
          <w:bCs/>
          <w:color w:val="222222"/>
          <w:shd w:val="clear" w:color="auto" w:fill="FFFFFF"/>
        </w:rPr>
        <w:t xml:space="preserve">References </w:t>
      </w:r>
    </w:p>
    <w:p w14:paraId="207AB884"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B. </w:t>
      </w:r>
      <w:proofErr w:type="spellStart"/>
      <w:r w:rsidRPr="00C541D2">
        <w:rPr>
          <w:rFonts w:ascii="Arial" w:hAnsi="Arial" w:cs="Arial"/>
          <w:color w:val="222222"/>
          <w:sz w:val="20"/>
          <w:szCs w:val="20"/>
          <w:shd w:val="clear" w:color="auto" w:fill="FFFFFF"/>
        </w:rPr>
        <w:t>Prabawati</w:t>
      </w:r>
      <w:proofErr w:type="spellEnd"/>
      <w:r w:rsidRPr="00C541D2">
        <w:rPr>
          <w:rFonts w:ascii="Arial" w:hAnsi="Arial" w:cs="Arial"/>
          <w:color w:val="222222"/>
          <w:sz w:val="20"/>
          <w:szCs w:val="20"/>
          <w:shd w:val="clear" w:color="auto" w:fill="FFFFFF"/>
        </w:rPr>
        <w:t xml:space="preserve">, N., </w:t>
      </w:r>
      <w:proofErr w:type="spellStart"/>
      <w:r w:rsidRPr="00C541D2">
        <w:rPr>
          <w:rFonts w:ascii="Arial" w:hAnsi="Arial" w:cs="Arial"/>
          <w:color w:val="222222"/>
          <w:sz w:val="20"/>
          <w:szCs w:val="20"/>
          <w:shd w:val="clear" w:color="auto" w:fill="FFFFFF"/>
        </w:rPr>
        <w:t>Oktavirina</w:t>
      </w:r>
      <w:proofErr w:type="spellEnd"/>
      <w:r w:rsidRPr="00C541D2">
        <w:rPr>
          <w:rFonts w:ascii="Arial" w:hAnsi="Arial" w:cs="Arial"/>
          <w:color w:val="222222"/>
          <w:sz w:val="20"/>
          <w:szCs w:val="20"/>
          <w:shd w:val="clear" w:color="auto" w:fill="FFFFFF"/>
        </w:rPr>
        <w:t xml:space="preserve">, V., Palma, M., &amp; </w:t>
      </w:r>
      <w:proofErr w:type="spellStart"/>
      <w:r w:rsidRPr="00C541D2">
        <w:rPr>
          <w:rFonts w:ascii="Arial" w:hAnsi="Arial" w:cs="Arial"/>
          <w:color w:val="222222"/>
          <w:sz w:val="20"/>
          <w:szCs w:val="20"/>
          <w:shd w:val="clear" w:color="auto" w:fill="FFFFFF"/>
        </w:rPr>
        <w:t>Setyaningsih</w:t>
      </w:r>
      <w:proofErr w:type="spellEnd"/>
      <w:r w:rsidRPr="00C541D2">
        <w:rPr>
          <w:rFonts w:ascii="Arial" w:hAnsi="Arial" w:cs="Arial"/>
          <w:color w:val="222222"/>
          <w:sz w:val="20"/>
          <w:szCs w:val="20"/>
          <w:shd w:val="clear" w:color="auto" w:fill="FFFFFF"/>
        </w:rPr>
        <w:t>, W. (2021). Edible Flowers: Antioxidant Compounds and Their Functional Properties. </w:t>
      </w:r>
      <w:proofErr w:type="spellStart"/>
      <w:r w:rsidRPr="00C541D2">
        <w:rPr>
          <w:rStyle w:val="Emphasis"/>
          <w:rFonts w:ascii="Arial" w:hAnsi="Arial" w:cs="Arial"/>
          <w:color w:val="222222"/>
          <w:sz w:val="20"/>
          <w:szCs w:val="20"/>
          <w:shd w:val="clear" w:color="auto" w:fill="FFFFFF"/>
        </w:rPr>
        <w:t>Horticulturae</w:t>
      </w:r>
      <w:proofErr w:type="spellEnd"/>
      <w:r w:rsidRPr="00C541D2">
        <w:rPr>
          <w:rFonts w:ascii="Arial" w:hAnsi="Arial" w:cs="Arial"/>
          <w:color w:val="222222"/>
          <w:sz w:val="20"/>
          <w:szCs w:val="20"/>
          <w:shd w:val="clear" w:color="auto" w:fill="FFFFFF"/>
        </w:rPr>
        <w:t>, </w:t>
      </w:r>
      <w:r w:rsidRPr="00C541D2">
        <w:rPr>
          <w:rStyle w:val="Emphasis"/>
          <w:rFonts w:ascii="Arial" w:hAnsi="Arial" w:cs="Arial"/>
          <w:color w:val="222222"/>
          <w:sz w:val="20"/>
          <w:szCs w:val="20"/>
          <w:shd w:val="clear" w:color="auto" w:fill="FFFFFF"/>
        </w:rPr>
        <w:t>7</w:t>
      </w:r>
      <w:r w:rsidRPr="00C541D2">
        <w:rPr>
          <w:rFonts w:ascii="Arial" w:hAnsi="Arial" w:cs="Arial"/>
          <w:color w:val="222222"/>
          <w:sz w:val="20"/>
          <w:szCs w:val="20"/>
          <w:shd w:val="clear" w:color="auto" w:fill="FFFFFF"/>
        </w:rPr>
        <w:t xml:space="preserve">(4), 66. </w:t>
      </w:r>
      <w:hyperlink r:id="rId8" w:history="1">
        <w:r w:rsidRPr="00C541D2">
          <w:rPr>
            <w:rStyle w:val="Hyperlink"/>
            <w:rFonts w:ascii="Arial" w:hAnsi="Arial" w:cs="Arial"/>
            <w:sz w:val="20"/>
            <w:szCs w:val="20"/>
            <w:shd w:val="clear" w:color="auto" w:fill="FFFFFF"/>
          </w:rPr>
          <w:t>https://doi.org/10.3390/horticulturae7040066</w:t>
        </w:r>
      </w:hyperlink>
    </w:p>
    <w:p w14:paraId="1F057513"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Bhaskar, J. J., </w:t>
      </w:r>
      <w:proofErr w:type="spellStart"/>
      <w:r w:rsidRPr="00C541D2">
        <w:rPr>
          <w:rFonts w:ascii="Arial" w:hAnsi="Arial" w:cs="Arial"/>
          <w:color w:val="222222"/>
          <w:sz w:val="20"/>
          <w:szCs w:val="20"/>
          <w:shd w:val="clear" w:color="auto" w:fill="FFFFFF"/>
        </w:rPr>
        <w:t>Mahadevamma</w:t>
      </w:r>
      <w:proofErr w:type="spellEnd"/>
      <w:r w:rsidRPr="00C541D2">
        <w:rPr>
          <w:rFonts w:ascii="Arial" w:hAnsi="Arial" w:cs="Arial"/>
          <w:color w:val="222222"/>
          <w:sz w:val="20"/>
          <w:szCs w:val="20"/>
          <w:shd w:val="clear" w:color="auto" w:fill="FFFFFF"/>
        </w:rPr>
        <w:t xml:space="preserve">, S., </w:t>
      </w:r>
      <w:proofErr w:type="spellStart"/>
      <w:r w:rsidRPr="00C541D2">
        <w:rPr>
          <w:rFonts w:ascii="Arial" w:hAnsi="Arial" w:cs="Arial"/>
          <w:color w:val="222222"/>
          <w:sz w:val="20"/>
          <w:szCs w:val="20"/>
          <w:shd w:val="clear" w:color="auto" w:fill="FFFFFF"/>
        </w:rPr>
        <w:t>Chilkunda</w:t>
      </w:r>
      <w:proofErr w:type="spellEnd"/>
      <w:r w:rsidRPr="00C541D2">
        <w:rPr>
          <w:rFonts w:ascii="Arial" w:hAnsi="Arial" w:cs="Arial"/>
          <w:color w:val="222222"/>
          <w:sz w:val="20"/>
          <w:szCs w:val="20"/>
          <w:shd w:val="clear" w:color="auto" w:fill="FFFFFF"/>
        </w:rPr>
        <w:t xml:space="preserve">, N. D., &amp; </w:t>
      </w:r>
      <w:proofErr w:type="spellStart"/>
      <w:r w:rsidRPr="00C541D2">
        <w:rPr>
          <w:rFonts w:ascii="Arial" w:hAnsi="Arial" w:cs="Arial"/>
          <w:color w:val="222222"/>
          <w:sz w:val="20"/>
          <w:szCs w:val="20"/>
          <w:shd w:val="clear" w:color="auto" w:fill="FFFFFF"/>
        </w:rPr>
        <w:t>Salimath</w:t>
      </w:r>
      <w:proofErr w:type="spellEnd"/>
      <w:r w:rsidRPr="00C541D2">
        <w:rPr>
          <w:rFonts w:ascii="Arial" w:hAnsi="Arial" w:cs="Arial"/>
          <w:color w:val="222222"/>
          <w:sz w:val="20"/>
          <w:szCs w:val="20"/>
          <w:shd w:val="clear" w:color="auto" w:fill="FFFFFF"/>
        </w:rPr>
        <w:t xml:space="preserve">, P. V. (2012). Banana (Musa sp. var. </w:t>
      </w:r>
      <w:proofErr w:type="spellStart"/>
      <w:r w:rsidRPr="00C541D2">
        <w:rPr>
          <w:rFonts w:ascii="Arial" w:hAnsi="Arial" w:cs="Arial"/>
          <w:color w:val="222222"/>
          <w:sz w:val="20"/>
          <w:szCs w:val="20"/>
          <w:shd w:val="clear" w:color="auto" w:fill="FFFFFF"/>
        </w:rPr>
        <w:t>elakki</w:t>
      </w:r>
      <w:proofErr w:type="spellEnd"/>
      <w:r w:rsidRPr="00C541D2">
        <w:rPr>
          <w:rFonts w:ascii="Arial" w:hAnsi="Arial" w:cs="Arial"/>
          <w:color w:val="222222"/>
          <w:sz w:val="20"/>
          <w:szCs w:val="20"/>
          <w:shd w:val="clear" w:color="auto" w:fill="FFFFFF"/>
        </w:rPr>
        <w:t xml:space="preserve"> bale) flower and </w:t>
      </w:r>
      <w:proofErr w:type="spellStart"/>
      <w:r w:rsidRPr="00C541D2">
        <w:rPr>
          <w:rFonts w:ascii="Arial" w:hAnsi="Arial" w:cs="Arial"/>
          <w:color w:val="222222"/>
          <w:sz w:val="20"/>
          <w:szCs w:val="20"/>
          <w:shd w:val="clear" w:color="auto" w:fill="FFFFFF"/>
        </w:rPr>
        <w:t>pseudostem</w:t>
      </w:r>
      <w:proofErr w:type="spellEnd"/>
      <w:r w:rsidRPr="00C541D2">
        <w:rPr>
          <w:rFonts w:ascii="Arial" w:hAnsi="Arial" w:cs="Arial"/>
          <w:color w:val="222222"/>
          <w:sz w:val="20"/>
          <w:szCs w:val="20"/>
          <w:shd w:val="clear" w:color="auto" w:fill="FFFFFF"/>
        </w:rPr>
        <w:t xml:space="preserve">: dietary fiber and associated antioxidant capacity. Journal of Agricultural and Food Chemistry, 60(1), 427–432. </w:t>
      </w:r>
      <w:hyperlink r:id="rId9" w:history="1">
        <w:r w:rsidRPr="00C541D2">
          <w:rPr>
            <w:rStyle w:val="Hyperlink"/>
            <w:rFonts w:ascii="Arial" w:hAnsi="Arial" w:cs="Arial"/>
            <w:sz w:val="20"/>
            <w:szCs w:val="20"/>
            <w:shd w:val="clear" w:color="auto" w:fill="FFFFFF"/>
          </w:rPr>
          <w:t>https://doi.org/10.1021/jf204539v</w:t>
        </w:r>
      </w:hyperlink>
      <w:r w:rsidRPr="00C541D2">
        <w:rPr>
          <w:rFonts w:ascii="Arial" w:hAnsi="Arial" w:cs="Arial"/>
          <w:color w:val="222222"/>
          <w:sz w:val="20"/>
          <w:szCs w:val="20"/>
          <w:shd w:val="clear" w:color="auto" w:fill="FFFFFF"/>
        </w:rPr>
        <w:t xml:space="preserve"> </w:t>
      </w:r>
    </w:p>
    <w:p w14:paraId="2F691A9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Bragueto</w:t>
      </w:r>
      <w:proofErr w:type="spellEnd"/>
      <w:r w:rsidRPr="00C541D2">
        <w:rPr>
          <w:rFonts w:ascii="Arial" w:hAnsi="Arial" w:cs="Arial"/>
          <w:color w:val="222222"/>
          <w:sz w:val="20"/>
          <w:szCs w:val="20"/>
          <w:shd w:val="clear" w:color="auto" w:fill="FFFFFF"/>
        </w:rPr>
        <w:t xml:space="preserve"> Escher, G., Borges, C., Do Carmo, L., Sousa Santos, J., </w:t>
      </w:r>
      <w:proofErr w:type="spellStart"/>
      <w:r w:rsidRPr="00C541D2">
        <w:rPr>
          <w:rFonts w:ascii="Arial" w:hAnsi="Arial" w:cs="Arial"/>
          <w:color w:val="222222"/>
          <w:sz w:val="20"/>
          <w:szCs w:val="20"/>
          <w:shd w:val="clear" w:color="auto" w:fill="FFFFFF"/>
        </w:rPr>
        <w:t>Mendanha</w:t>
      </w:r>
      <w:proofErr w:type="spellEnd"/>
      <w:r w:rsidRPr="00C541D2">
        <w:rPr>
          <w:rFonts w:ascii="Arial" w:hAnsi="Arial" w:cs="Arial"/>
          <w:color w:val="222222"/>
          <w:sz w:val="20"/>
          <w:szCs w:val="20"/>
          <w:shd w:val="clear" w:color="auto" w:fill="FFFFFF"/>
        </w:rPr>
        <w:t xml:space="preserve"> Cruz, T., Boscacci Marques, M., ... Wen, M. (2019). From the Field to the Pot: Phytochemical and Functional Analyses of Calendula officinalis L. Flower for Incorporation in an Organic Yogurt. Antioxidants, 8(11), 559. </w:t>
      </w:r>
      <w:hyperlink r:id="rId10" w:history="1">
        <w:r w:rsidRPr="00C541D2">
          <w:rPr>
            <w:rStyle w:val="Hyperlink"/>
            <w:rFonts w:ascii="Arial" w:hAnsi="Arial" w:cs="Arial"/>
            <w:sz w:val="20"/>
            <w:szCs w:val="20"/>
            <w:shd w:val="clear" w:color="auto" w:fill="FFFFFF"/>
          </w:rPr>
          <w:t>https://doi.org/10.3390/antiox8110559</w:t>
        </w:r>
      </w:hyperlink>
      <w:r w:rsidRPr="00C541D2">
        <w:rPr>
          <w:rFonts w:ascii="Arial" w:hAnsi="Arial" w:cs="Arial"/>
          <w:sz w:val="20"/>
          <w:szCs w:val="20"/>
        </w:rPr>
        <w:t xml:space="preserve"> </w:t>
      </w:r>
    </w:p>
    <w:p w14:paraId="6E2CFD25"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Breda, C., Nascimento, A., Meghwar, P., Lisboa, H., Aires, A., Rosa, E., ... &amp; Barros, A. N. (2025). Phenolic composition and antioxidant activity of edible flowers: Insights from synergistic effects and multivariate analysis. Antioxidants, 14(3), 282. </w:t>
      </w:r>
      <w:hyperlink r:id="rId11" w:history="1">
        <w:r w:rsidRPr="00C541D2">
          <w:rPr>
            <w:rStyle w:val="Hyperlink"/>
            <w:rFonts w:ascii="Arial" w:hAnsi="Arial" w:cs="Arial"/>
            <w:sz w:val="20"/>
            <w:szCs w:val="20"/>
            <w:shd w:val="clear" w:color="auto" w:fill="FFFFFF"/>
          </w:rPr>
          <w:t>https://doi.org/10.3390/antiox14030282</w:t>
        </w:r>
      </w:hyperlink>
      <w:r w:rsidRPr="00C541D2">
        <w:rPr>
          <w:rFonts w:ascii="Arial" w:hAnsi="Arial" w:cs="Arial"/>
          <w:color w:val="222222"/>
          <w:sz w:val="20"/>
          <w:szCs w:val="20"/>
          <w:shd w:val="clear" w:color="auto" w:fill="FFFFFF"/>
        </w:rPr>
        <w:t xml:space="preserve"> </w:t>
      </w:r>
    </w:p>
    <w:p w14:paraId="4EF877CA"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Carboni, A.D., Di Renzo, T., Nazzaro, S., Marena, P., Puppo, M.C., &amp; Reale, A. (2025). A comprehensive review of edible flowers with a focus on microbiological, nutritional, and potential health aspects. Foods, 14, 1719. </w:t>
      </w:r>
      <w:hyperlink r:id="rId12" w:history="1">
        <w:r w:rsidRPr="00C541D2">
          <w:rPr>
            <w:rStyle w:val="Hyperlink"/>
            <w:rFonts w:ascii="Arial" w:hAnsi="Arial" w:cs="Arial"/>
            <w:sz w:val="20"/>
            <w:szCs w:val="20"/>
            <w:shd w:val="clear" w:color="auto" w:fill="FFFFFF"/>
          </w:rPr>
          <w:t>https://doi.org/10.3390/foods14101719</w:t>
        </w:r>
      </w:hyperlink>
      <w:r w:rsidRPr="00C541D2">
        <w:rPr>
          <w:rFonts w:ascii="Arial" w:hAnsi="Arial" w:cs="Arial"/>
          <w:color w:val="222222"/>
          <w:sz w:val="20"/>
          <w:szCs w:val="20"/>
          <w:shd w:val="clear" w:color="auto" w:fill="FFFFFF"/>
        </w:rPr>
        <w:t xml:space="preserve"> </w:t>
      </w:r>
    </w:p>
    <w:p w14:paraId="2D186A42"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Chamorro, F., Carpena, M., Fraga-Corral, M., Echave, J., </w:t>
      </w:r>
      <w:proofErr w:type="spellStart"/>
      <w:r w:rsidRPr="00C541D2">
        <w:rPr>
          <w:rFonts w:ascii="Arial" w:hAnsi="Arial" w:cs="Arial"/>
          <w:color w:val="222222"/>
          <w:sz w:val="20"/>
          <w:szCs w:val="20"/>
          <w:shd w:val="clear" w:color="auto" w:fill="FFFFFF"/>
        </w:rPr>
        <w:t>Rajoka</w:t>
      </w:r>
      <w:proofErr w:type="spellEnd"/>
      <w:r w:rsidRPr="00C541D2">
        <w:rPr>
          <w:rFonts w:ascii="Arial" w:hAnsi="Arial" w:cs="Arial"/>
          <w:color w:val="222222"/>
          <w:sz w:val="20"/>
          <w:szCs w:val="20"/>
          <w:shd w:val="clear" w:color="auto" w:fill="FFFFFF"/>
        </w:rPr>
        <w:t>, M. S. R., Barba, F. J., .. &amp; Simal-Gandara, J. (2022). Valorization of kiwi agricultural waste and industry by-products by recovering bioactive compounds and applications as food additives: A circular economy model. </w:t>
      </w:r>
      <w:r w:rsidRPr="00C541D2">
        <w:rPr>
          <w:rFonts w:ascii="Arial" w:hAnsi="Arial" w:cs="Arial"/>
          <w:i/>
          <w:iCs/>
          <w:color w:val="222222"/>
          <w:sz w:val="20"/>
          <w:szCs w:val="20"/>
          <w:shd w:val="clear" w:color="auto" w:fill="FFFFFF"/>
        </w:rPr>
        <w:t>Food Chemistry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370</w:t>
      </w:r>
      <w:r w:rsidRPr="00C541D2">
        <w:rPr>
          <w:rFonts w:ascii="Arial" w:hAnsi="Arial" w:cs="Arial"/>
          <w:color w:val="222222"/>
          <w:sz w:val="20"/>
          <w:szCs w:val="20"/>
          <w:shd w:val="clear" w:color="auto" w:fill="FFFFFF"/>
        </w:rPr>
        <w:t>, 131315.</w:t>
      </w:r>
      <w:r w:rsidRPr="00C541D2">
        <w:rPr>
          <w:rFonts w:ascii="Arial" w:hAnsi="Arial" w:cs="Arial"/>
          <w:color w:val="222222"/>
          <w:sz w:val="20"/>
          <w:szCs w:val="20"/>
          <w:shd w:val="clear" w:color="auto" w:fill="FFFFFF"/>
        </w:rPr>
        <w:tab/>
        <w:t xml:space="preserve"> </w:t>
      </w:r>
      <w:hyperlink r:id="rId13" w:history="1">
        <w:r w:rsidRPr="00C541D2">
          <w:rPr>
            <w:rStyle w:val="Hyperlink"/>
            <w:rFonts w:ascii="Arial" w:hAnsi="Arial" w:cs="Arial"/>
            <w:sz w:val="20"/>
            <w:szCs w:val="20"/>
            <w:shd w:val="clear" w:color="auto" w:fill="FFFFFF"/>
          </w:rPr>
          <w:t>https://doi.org/10.1016/j.foodchem.2021.131315</w:t>
        </w:r>
      </w:hyperlink>
      <w:r w:rsidRPr="00C541D2">
        <w:rPr>
          <w:rFonts w:ascii="Arial" w:hAnsi="Arial" w:cs="Arial"/>
          <w:color w:val="222222"/>
          <w:sz w:val="20"/>
          <w:szCs w:val="20"/>
          <w:shd w:val="clear" w:color="auto" w:fill="FFFFFF"/>
        </w:rPr>
        <w:t xml:space="preserve"> </w:t>
      </w:r>
    </w:p>
    <w:p w14:paraId="1CB132B5" w14:textId="77777777" w:rsidR="00F5545C" w:rsidRPr="00C541D2" w:rsidRDefault="00F5545C" w:rsidP="00C541D2">
      <w:pPr>
        <w:pStyle w:val="ListParagraph"/>
        <w:numPr>
          <w:ilvl w:val="0"/>
          <w:numId w:val="3"/>
        </w:numPr>
        <w:spacing w:line="276" w:lineRule="auto"/>
        <w:jc w:val="both"/>
        <w:rPr>
          <w:rFonts w:ascii="Arial" w:hAnsi="Arial" w:cs="Arial"/>
          <w:sz w:val="20"/>
          <w:szCs w:val="20"/>
        </w:rPr>
      </w:pPr>
      <w:r w:rsidRPr="00C541D2">
        <w:rPr>
          <w:rFonts w:ascii="Arial" w:hAnsi="Arial" w:cs="Arial"/>
          <w:sz w:val="20"/>
          <w:szCs w:val="20"/>
        </w:rPr>
        <w:t xml:space="preserve">Chen GuanLin, C. G., Chen </w:t>
      </w:r>
      <w:proofErr w:type="spellStart"/>
      <w:r w:rsidRPr="00C541D2">
        <w:rPr>
          <w:rFonts w:ascii="Arial" w:hAnsi="Arial" w:cs="Arial"/>
          <w:sz w:val="20"/>
          <w:szCs w:val="20"/>
        </w:rPr>
        <w:t>SongGen</w:t>
      </w:r>
      <w:proofErr w:type="spellEnd"/>
      <w:r w:rsidRPr="00C541D2">
        <w:rPr>
          <w:rFonts w:ascii="Arial" w:hAnsi="Arial" w:cs="Arial"/>
          <w:sz w:val="20"/>
          <w:szCs w:val="20"/>
        </w:rPr>
        <w:t xml:space="preserve">, C. S., </w:t>
      </w:r>
      <w:proofErr w:type="spellStart"/>
      <w:r w:rsidRPr="00C541D2">
        <w:rPr>
          <w:rFonts w:ascii="Arial" w:hAnsi="Arial" w:cs="Arial"/>
          <w:sz w:val="20"/>
          <w:szCs w:val="20"/>
        </w:rPr>
        <w:t>Xie</w:t>
      </w:r>
      <w:proofErr w:type="spellEnd"/>
      <w:r w:rsidRPr="00C541D2">
        <w:rPr>
          <w:rFonts w:ascii="Arial" w:hAnsi="Arial" w:cs="Arial"/>
          <w:sz w:val="20"/>
          <w:szCs w:val="20"/>
        </w:rPr>
        <w:t xml:space="preserve"> </w:t>
      </w:r>
      <w:proofErr w:type="spellStart"/>
      <w:r w:rsidRPr="00C541D2">
        <w:rPr>
          <w:rFonts w:ascii="Arial" w:hAnsi="Arial" w:cs="Arial"/>
          <w:sz w:val="20"/>
          <w:szCs w:val="20"/>
        </w:rPr>
        <w:t>YingQing</w:t>
      </w:r>
      <w:proofErr w:type="spellEnd"/>
      <w:r w:rsidRPr="00C541D2">
        <w:rPr>
          <w:rFonts w:ascii="Arial" w:hAnsi="Arial" w:cs="Arial"/>
          <w:sz w:val="20"/>
          <w:szCs w:val="20"/>
        </w:rPr>
        <w:t xml:space="preserve">, X. Y., Chen Fu, C. F., Zhao </w:t>
      </w:r>
      <w:proofErr w:type="spellStart"/>
      <w:r w:rsidRPr="00C541D2">
        <w:rPr>
          <w:rFonts w:ascii="Arial" w:hAnsi="Arial" w:cs="Arial"/>
          <w:sz w:val="20"/>
          <w:szCs w:val="20"/>
        </w:rPr>
        <w:t>YingYing</w:t>
      </w:r>
      <w:proofErr w:type="spellEnd"/>
      <w:r w:rsidRPr="00C541D2">
        <w:rPr>
          <w:rFonts w:ascii="Arial" w:hAnsi="Arial" w:cs="Arial"/>
          <w:sz w:val="20"/>
          <w:szCs w:val="20"/>
        </w:rPr>
        <w:t xml:space="preserve">, Z. Y., Luo ChunXia, L. C., &amp; Gao </w:t>
      </w:r>
      <w:proofErr w:type="spellStart"/>
      <w:r w:rsidRPr="00C541D2">
        <w:rPr>
          <w:rFonts w:ascii="Arial" w:hAnsi="Arial" w:cs="Arial"/>
          <w:sz w:val="20"/>
          <w:szCs w:val="20"/>
        </w:rPr>
        <w:t>YongQing</w:t>
      </w:r>
      <w:proofErr w:type="spellEnd"/>
      <w:r w:rsidRPr="00C541D2">
        <w:rPr>
          <w:rFonts w:ascii="Arial" w:hAnsi="Arial" w:cs="Arial"/>
          <w:sz w:val="20"/>
          <w:szCs w:val="20"/>
        </w:rPr>
        <w:t xml:space="preserve">, G. Y. (2015). Total phenolic, flavonoid and antioxidant activity of 23 edible flowers subjected to in vitro digestion. </w:t>
      </w:r>
      <w:hyperlink r:id="rId14" w:history="1">
        <w:r w:rsidRPr="00C541D2">
          <w:rPr>
            <w:rStyle w:val="Hyperlink"/>
            <w:rFonts w:ascii="Arial" w:hAnsi="Arial" w:cs="Arial"/>
            <w:sz w:val="20"/>
            <w:szCs w:val="20"/>
          </w:rPr>
          <w:t>https://doi.org/10.1016/j.jff.2015.05.028</w:t>
        </w:r>
      </w:hyperlink>
      <w:r w:rsidRPr="00C541D2">
        <w:rPr>
          <w:rFonts w:ascii="Arial" w:hAnsi="Arial" w:cs="Arial"/>
          <w:sz w:val="20"/>
          <w:szCs w:val="20"/>
        </w:rPr>
        <w:t xml:space="preserve"> </w:t>
      </w:r>
    </w:p>
    <w:p w14:paraId="54F2FD3B" w14:textId="77777777" w:rsidR="00F5545C" w:rsidRPr="00C541D2" w:rsidRDefault="00F5545C" w:rsidP="00C541D2">
      <w:pPr>
        <w:pStyle w:val="ListParagraph"/>
        <w:numPr>
          <w:ilvl w:val="0"/>
          <w:numId w:val="3"/>
        </w:numPr>
        <w:spacing w:line="276" w:lineRule="auto"/>
        <w:jc w:val="both"/>
        <w:rPr>
          <w:rFonts w:ascii="Arial" w:hAnsi="Arial" w:cs="Arial"/>
          <w:sz w:val="20"/>
          <w:szCs w:val="20"/>
        </w:rPr>
      </w:pPr>
      <w:r w:rsidRPr="00C541D2">
        <w:rPr>
          <w:rFonts w:ascii="Arial" w:hAnsi="Arial" w:cs="Arial"/>
          <w:sz w:val="20"/>
          <w:szCs w:val="20"/>
        </w:rPr>
        <w:t>Chen K, Zhang M, Bhandari B, Mujumdar AS. Edible flower essential oils: A review of chemical compositions, bioactivities, safety and applications in food preservation. Food Research International. 2021;139:109809.</w:t>
      </w:r>
      <w:hyperlink r:id="rId15" w:history="1">
        <w:r w:rsidRPr="00C541D2">
          <w:rPr>
            <w:rStyle w:val="Hyperlink"/>
            <w:rFonts w:ascii="Arial" w:hAnsi="Arial" w:cs="Arial"/>
            <w:sz w:val="20"/>
            <w:szCs w:val="20"/>
          </w:rPr>
          <w:t>https://doi.org/10.1016/j.foodres.2020.109809</w:t>
        </w:r>
      </w:hyperlink>
      <w:r w:rsidRPr="00C541D2">
        <w:rPr>
          <w:rFonts w:ascii="Arial" w:hAnsi="Arial" w:cs="Arial"/>
          <w:sz w:val="20"/>
          <w:szCs w:val="20"/>
        </w:rPr>
        <w:t xml:space="preserve"> </w:t>
      </w:r>
    </w:p>
    <w:p w14:paraId="08E9921C"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Chensom</w:t>
      </w:r>
      <w:proofErr w:type="spellEnd"/>
      <w:r w:rsidRPr="00C541D2">
        <w:rPr>
          <w:rFonts w:ascii="Arial" w:hAnsi="Arial" w:cs="Arial"/>
          <w:color w:val="222222"/>
          <w:sz w:val="20"/>
          <w:szCs w:val="20"/>
          <w:shd w:val="clear" w:color="auto" w:fill="FFFFFF"/>
        </w:rPr>
        <w:t xml:space="preserve">, S., Okumura, H., &amp; Mishima, T. (2019). Primary screening of antioxidant activity, total polyphenol content, carotenoid content, and nutritional composition of 13 edible flowers from Japan. Preventive Nutrition and Food Science, 24(2), 171. </w:t>
      </w:r>
      <w:hyperlink r:id="rId16" w:history="1">
        <w:r w:rsidRPr="00C541D2">
          <w:rPr>
            <w:rStyle w:val="Hyperlink"/>
            <w:rFonts w:ascii="Arial" w:hAnsi="Arial" w:cs="Arial"/>
            <w:sz w:val="20"/>
            <w:szCs w:val="20"/>
            <w:shd w:val="clear" w:color="auto" w:fill="FFFFFF"/>
          </w:rPr>
          <w:t>https://doi.org/10.3746/pnf.2019.24.2.171</w:t>
        </w:r>
      </w:hyperlink>
      <w:r w:rsidRPr="00C541D2">
        <w:rPr>
          <w:rFonts w:ascii="Arial" w:hAnsi="Arial" w:cs="Arial"/>
          <w:color w:val="222222"/>
          <w:sz w:val="20"/>
          <w:szCs w:val="20"/>
          <w:shd w:val="clear" w:color="auto" w:fill="FFFFFF"/>
        </w:rPr>
        <w:t xml:space="preserve"> </w:t>
      </w:r>
    </w:p>
    <w:p w14:paraId="0396EF34"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Chitrakar</w:t>
      </w:r>
      <w:proofErr w:type="spellEnd"/>
      <w:r w:rsidRPr="00C541D2">
        <w:rPr>
          <w:rFonts w:ascii="Arial" w:hAnsi="Arial" w:cs="Arial"/>
          <w:color w:val="222222"/>
          <w:sz w:val="20"/>
          <w:szCs w:val="20"/>
          <w:shd w:val="clear" w:color="auto" w:fill="FFFFFF"/>
        </w:rPr>
        <w:t xml:space="preserve">, B., Zhang, M., &amp; Bhandari, B. (2019). Edible flowers with the common name “marigold”: Their therapeutic values and processing. Trends in Food Science &amp; Technology, 89,76–87. </w:t>
      </w:r>
      <w:hyperlink r:id="rId17" w:history="1">
        <w:r w:rsidRPr="00C541D2">
          <w:rPr>
            <w:rStyle w:val="Hyperlink"/>
            <w:rFonts w:ascii="Arial" w:hAnsi="Arial" w:cs="Arial"/>
            <w:sz w:val="20"/>
            <w:szCs w:val="20"/>
            <w:shd w:val="clear" w:color="auto" w:fill="FFFFFF"/>
          </w:rPr>
          <w:t>https://doi.org/10.1016/j.tifs.2019.05.008</w:t>
        </w:r>
      </w:hyperlink>
      <w:r w:rsidRPr="00C541D2">
        <w:rPr>
          <w:rFonts w:ascii="Arial" w:hAnsi="Arial" w:cs="Arial"/>
          <w:color w:val="222222"/>
          <w:sz w:val="20"/>
          <w:szCs w:val="20"/>
          <w:shd w:val="clear" w:color="auto" w:fill="FFFFFF"/>
        </w:rPr>
        <w:t xml:space="preserve"> </w:t>
      </w:r>
    </w:p>
    <w:p w14:paraId="506345C0"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Fakeye</w:t>
      </w:r>
      <w:proofErr w:type="spellEnd"/>
      <w:r w:rsidRPr="00C541D2">
        <w:rPr>
          <w:rFonts w:ascii="Arial" w:hAnsi="Arial" w:cs="Arial"/>
          <w:color w:val="222222"/>
          <w:sz w:val="20"/>
          <w:szCs w:val="20"/>
          <w:shd w:val="clear" w:color="auto" w:fill="FFFFFF"/>
        </w:rPr>
        <w:t xml:space="preserve">, T. O., Pal, A., </w:t>
      </w:r>
      <w:proofErr w:type="spellStart"/>
      <w:r w:rsidRPr="00C541D2">
        <w:rPr>
          <w:rFonts w:ascii="Arial" w:hAnsi="Arial" w:cs="Arial"/>
          <w:color w:val="222222"/>
          <w:sz w:val="20"/>
          <w:szCs w:val="20"/>
          <w:shd w:val="clear" w:color="auto" w:fill="FFFFFF"/>
        </w:rPr>
        <w:t>Bawankule</w:t>
      </w:r>
      <w:proofErr w:type="spellEnd"/>
      <w:r w:rsidRPr="00C541D2">
        <w:rPr>
          <w:rFonts w:ascii="Arial" w:hAnsi="Arial" w:cs="Arial"/>
          <w:color w:val="222222"/>
          <w:sz w:val="20"/>
          <w:szCs w:val="20"/>
          <w:shd w:val="clear" w:color="auto" w:fill="FFFFFF"/>
        </w:rPr>
        <w:t>, D. U., Yadav, N. P., &amp; Khanuja, S. P. S. (2009). Toxic effects of oral administration of extracts of dried calyx of Hibiscus sabdariffa Linn.(</w:t>
      </w:r>
      <w:proofErr w:type="spellStart"/>
      <w:r w:rsidRPr="00C541D2">
        <w:rPr>
          <w:rFonts w:ascii="Arial" w:hAnsi="Arial" w:cs="Arial"/>
          <w:color w:val="222222"/>
          <w:sz w:val="20"/>
          <w:szCs w:val="20"/>
          <w:shd w:val="clear" w:color="auto" w:fill="FFFFFF"/>
        </w:rPr>
        <w:t>Malvaceae</w:t>
      </w:r>
      <w:proofErr w:type="spellEnd"/>
      <w:r w:rsidRPr="00C541D2">
        <w:rPr>
          <w:rFonts w:ascii="Arial" w:hAnsi="Arial" w:cs="Arial"/>
          <w:color w:val="222222"/>
          <w:sz w:val="20"/>
          <w:szCs w:val="20"/>
          <w:shd w:val="clear" w:color="auto" w:fill="FFFFFF"/>
        </w:rPr>
        <w:t>). </w:t>
      </w:r>
      <w:proofErr w:type="spellStart"/>
      <w:r w:rsidRPr="00C541D2">
        <w:rPr>
          <w:rFonts w:ascii="Arial" w:hAnsi="Arial" w:cs="Arial"/>
          <w:i/>
          <w:iCs/>
          <w:color w:val="222222"/>
          <w:sz w:val="20"/>
          <w:szCs w:val="20"/>
          <w:shd w:val="clear" w:color="auto" w:fill="FFFFFF"/>
        </w:rPr>
        <w:t>Phytotherapy</w:t>
      </w:r>
      <w:proofErr w:type="spellEnd"/>
      <w:r w:rsidRPr="00C541D2">
        <w:rPr>
          <w:rFonts w:ascii="Arial" w:hAnsi="Arial" w:cs="Arial"/>
          <w:i/>
          <w:iCs/>
          <w:color w:val="222222"/>
          <w:sz w:val="20"/>
          <w:szCs w:val="20"/>
          <w:shd w:val="clear" w:color="auto" w:fill="FFFFFF"/>
        </w:rPr>
        <w:t xml:space="preserve"> Research: An International Journal Devoted to Pharmacological and Toxicological Evaluation of Natural Product Derivatives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23</w:t>
      </w:r>
      <w:r w:rsidRPr="00C541D2">
        <w:rPr>
          <w:rFonts w:ascii="Arial" w:hAnsi="Arial" w:cs="Arial"/>
          <w:color w:val="222222"/>
          <w:sz w:val="20"/>
          <w:szCs w:val="20"/>
          <w:shd w:val="clear" w:color="auto" w:fill="FFFFFF"/>
        </w:rPr>
        <w:t xml:space="preserve">(3), 412-416. </w:t>
      </w:r>
      <w:hyperlink r:id="rId18" w:history="1">
        <w:r w:rsidRPr="00C541D2">
          <w:rPr>
            <w:rStyle w:val="Hyperlink"/>
            <w:rFonts w:ascii="Arial" w:hAnsi="Arial" w:cs="Arial"/>
            <w:sz w:val="20"/>
            <w:szCs w:val="20"/>
            <w:shd w:val="clear" w:color="auto" w:fill="FFFFFF"/>
          </w:rPr>
          <w:t>https://doi.org/10.1002/ptr.2644</w:t>
        </w:r>
      </w:hyperlink>
      <w:r w:rsidRPr="00C541D2">
        <w:rPr>
          <w:rFonts w:ascii="Arial" w:hAnsi="Arial" w:cs="Arial"/>
          <w:color w:val="222222"/>
          <w:sz w:val="20"/>
          <w:szCs w:val="20"/>
          <w:shd w:val="clear" w:color="auto" w:fill="FFFFFF"/>
        </w:rPr>
        <w:t xml:space="preserve"> </w:t>
      </w:r>
    </w:p>
    <w:p w14:paraId="0B77C8DF"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Formagio</w:t>
      </w:r>
      <w:proofErr w:type="spellEnd"/>
      <w:r w:rsidRPr="00C541D2">
        <w:rPr>
          <w:rFonts w:ascii="Arial" w:hAnsi="Arial" w:cs="Arial"/>
          <w:color w:val="222222"/>
          <w:sz w:val="20"/>
          <w:szCs w:val="20"/>
          <w:shd w:val="clear" w:color="auto" w:fill="FFFFFF"/>
        </w:rPr>
        <w:t xml:space="preserve">, A.S.N., Ramos, D.D., Vieira, M.C., Ramalho, S.R., Silva, M.M., Zárate, N.A.H., Foglio, M.A., &amp; Carvalho, J.E. (2015). Phenolic compounds of Hibiscus sabdariffa and influence of organic residues on </w:t>
      </w:r>
      <w:r w:rsidRPr="00C541D2">
        <w:rPr>
          <w:rFonts w:ascii="Arial" w:hAnsi="Arial" w:cs="Arial"/>
          <w:color w:val="222222"/>
          <w:sz w:val="20"/>
          <w:szCs w:val="20"/>
          <w:shd w:val="clear" w:color="auto" w:fill="FFFFFF"/>
        </w:rPr>
        <w:lastRenderedPageBreak/>
        <w:t xml:space="preserve">its antioxidant and antitumoral properties. Brazilian Journal of Biology, 75(1), 69–76. </w:t>
      </w:r>
      <w:hyperlink r:id="rId19" w:history="1">
        <w:r w:rsidRPr="00C541D2">
          <w:rPr>
            <w:rStyle w:val="Hyperlink"/>
            <w:rFonts w:ascii="Arial" w:hAnsi="Arial" w:cs="Arial"/>
            <w:sz w:val="20"/>
            <w:szCs w:val="20"/>
            <w:shd w:val="clear" w:color="auto" w:fill="FFFFFF"/>
          </w:rPr>
          <w:t>https://doi.org/10.1590/1519-6984.07413</w:t>
        </w:r>
      </w:hyperlink>
      <w:r w:rsidRPr="00C541D2">
        <w:rPr>
          <w:rFonts w:ascii="Arial" w:hAnsi="Arial" w:cs="Arial"/>
          <w:color w:val="222222"/>
          <w:sz w:val="20"/>
          <w:szCs w:val="20"/>
          <w:shd w:val="clear" w:color="auto" w:fill="FFFFFF"/>
        </w:rPr>
        <w:t xml:space="preserve"> </w:t>
      </w:r>
    </w:p>
    <w:p w14:paraId="0D61B8A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Gomes, S., Belo, A. T., Alvarenga, N., Dias, J., Lage, P., Pinheiro, C., ... &amp; Martins, A. P. (2019). Characterization of Cynara cardunculus L. flower from Alentejo as a coagulant agent for cheesemaking. International Dairy Journal, 91, 178–184. </w:t>
      </w:r>
      <w:hyperlink r:id="rId20" w:history="1">
        <w:r w:rsidRPr="00C541D2">
          <w:rPr>
            <w:rStyle w:val="Hyperlink"/>
            <w:rFonts w:ascii="Arial" w:hAnsi="Arial" w:cs="Arial"/>
            <w:sz w:val="20"/>
            <w:szCs w:val="20"/>
            <w:shd w:val="clear" w:color="auto" w:fill="FFFFFF"/>
          </w:rPr>
          <w:t>https://doi.org/10.1016/j.idairyj.2018.09.010</w:t>
        </w:r>
      </w:hyperlink>
      <w:r w:rsidRPr="00C541D2">
        <w:rPr>
          <w:rFonts w:ascii="Arial" w:hAnsi="Arial" w:cs="Arial"/>
          <w:color w:val="222222"/>
          <w:sz w:val="20"/>
          <w:szCs w:val="20"/>
          <w:shd w:val="clear" w:color="auto" w:fill="FFFFFF"/>
        </w:rPr>
        <w:t xml:space="preserve"> </w:t>
      </w:r>
    </w:p>
    <w:p w14:paraId="78F4B30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Grzeszczuk</w:t>
      </w:r>
      <w:proofErr w:type="spellEnd"/>
      <w:r w:rsidRPr="00C541D2">
        <w:rPr>
          <w:rFonts w:ascii="Arial" w:hAnsi="Arial" w:cs="Arial"/>
          <w:color w:val="222222"/>
          <w:sz w:val="20"/>
          <w:szCs w:val="20"/>
          <w:shd w:val="clear" w:color="auto" w:fill="FFFFFF"/>
        </w:rPr>
        <w:t xml:space="preserve">, M., Wesolowska, A., Jadczak, D., &amp; Jakubowska, B. (2011). Nutritional value of chive edible flowers. Acta </w:t>
      </w:r>
      <w:proofErr w:type="spellStart"/>
      <w:r w:rsidRPr="00C541D2">
        <w:rPr>
          <w:rFonts w:ascii="Arial" w:hAnsi="Arial" w:cs="Arial"/>
          <w:color w:val="222222"/>
          <w:sz w:val="20"/>
          <w:szCs w:val="20"/>
          <w:shd w:val="clear" w:color="auto" w:fill="FFFFFF"/>
        </w:rPr>
        <w:t>Scientiarum</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Polonorum</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Hortorum</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Cultus</w:t>
      </w:r>
      <w:proofErr w:type="spellEnd"/>
      <w:r w:rsidRPr="00C541D2">
        <w:rPr>
          <w:rFonts w:ascii="Arial" w:hAnsi="Arial" w:cs="Arial"/>
          <w:color w:val="222222"/>
          <w:sz w:val="20"/>
          <w:szCs w:val="20"/>
          <w:shd w:val="clear" w:color="auto" w:fill="FFFFFF"/>
        </w:rPr>
        <w:t>, 10(2), 85–94.</w:t>
      </w:r>
    </w:p>
    <w:p w14:paraId="5E84283E"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Hamdy, S. A., El </w:t>
      </w:r>
      <w:proofErr w:type="spellStart"/>
      <w:r w:rsidRPr="00C541D2">
        <w:rPr>
          <w:rFonts w:ascii="Arial" w:hAnsi="Arial" w:cs="Arial"/>
          <w:color w:val="222222"/>
          <w:sz w:val="20"/>
          <w:szCs w:val="20"/>
          <w:shd w:val="clear" w:color="auto" w:fill="FFFFFF"/>
        </w:rPr>
        <w:t>Hefnawy</w:t>
      </w:r>
      <w:proofErr w:type="spellEnd"/>
      <w:r w:rsidRPr="00C541D2">
        <w:rPr>
          <w:rFonts w:ascii="Arial" w:hAnsi="Arial" w:cs="Arial"/>
          <w:color w:val="222222"/>
          <w:sz w:val="20"/>
          <w:szCs w:val="20"/>
          <w:shd w:val="clear" w:color="auto" w:fill="FFFFFF"/>
        </w:rPr>
        <w:t xml:space="preserve">, H. M., Azzam, S. M., &amp; </w:t>
      </w:r>
      <w:proofErr w:type="spellStart"/>
      <w:r w:rsidRPr="00C541D2">
        <w:rPr>
          <w:rFonts w:ascii="Arial" w:hAnsi="Arial" w:cs="Arial"/>
          <w:color w:val="222222"/>
          <w:sz w:val="20"/>
          <w:szCs w:val="20"/>
          <w:shd w:val="clear" w:color="auto" w:fill="FFFFFF"/>
        </w:rPr>
        <w:t>Aboutabl</w:t>
      </w:r>
      <w:proofErr w:type="spellEnd"/>
      <w:r w:rsidRPr="00C541D2">
        <w:rPr>
          <w:rFonts w:ascii="Arial" w:hAnsi="Arial" w:cs="Arial"/>
          <w:color w:val="222222"/>
          <w:sz w:val="20"/>
          <w:szCs w:val="20"/>
          <w:shd w:val="clear" w:color="auto" w:fill="FFFFFF"/>
        </w:rPr>
        <w:t xml:space="preserve">, E. A. (2018). Chemical profiling, volatile oil analysis and anticholinesterase activity of </w:t>
      </w:r>
      <w:proofErr w:type="spellStart"/>
      <w:r w:rsidRPr="00C541D2">
        <w:rPr>
          <w:rFonts w:ascii="Arial" w:hAnsi="Arial" w:cs="Arial"/>
          <w:color w:val="222222"/>
          <w:sz w:val="20"/>
          <w:szCs w:val="20"/>
          <w:shd w:val="clear" w:color="auto" w:fill="FFFFFF"/>
        </w:rPr>
        <w:t>Hydrocotyle</w:t>
      </w:r>
      <w:proofErr w:type="spellEnd"/>
      <w:r w:rsidRPr="00C541D2">
        <w:rPr>
          <w:rFonts w:ascii="Arial" w:hAnsi="Arial" w:cs="Arial"/>
          <w:color w:val="222222"/>
          <w:sz w:val="20"/>
          <w:szCs w:val="20"/>
          <w:shd w:val="clear" w:color="auto" w:fill="FFFFFF"/>
        </w:rPr>
        <w:t xml:space="preserve"> </w:t>
      </w:r>
      <w:proofErr w:type="spellStart"/>
      <w:r w:rsidRPr="00C541D2">
        <w:rPr>
          <w:rFonts w:ascii="Arial" w:hAnsi="Arial" w:cs="Arial"/>
          <w:color w:val="222222"/>
          <w:sz w:val="20"/>
          <w:szCs w:val="20"/>
          <w:shd w:val="clear" w:color="auto" w:fill="FFFFFF"/>
        </w:rPr>
        <w:t>umbellata</w:t>
      </w:r>
      <w:proofErr w:type="spellEnd"/>
      <w:r w:rsidRPr="00C541D2">
        <w:rPr>
          <w:rFonts w:ascii="Arial" w:hAnsi="Arial" w:cs="Arial"/>
          <w:color w:val="222222"/>
          <w:sz w:val="20"/>
          <w:szCs w:val="20"/>
          <w:shd w:val="clear" w:color="auto" w:fill="FFFFFF"/>
        </w:rPr>
        <w:t xml:space="preserve"> L. aerial parts cultivated in Egypt. </w:t>
      </w:r>
      <w:r w:rsidRPr="00C541D2">
        <w:rPr>
          <w:rFonts w:ascii="Arial" w:hAnsi="Arial" w:cs="Arial"/>
          <w:i/>
          <w:iCs/>
          <w:color w:val="222222"/>
          <w:sz w:val="20"/>
          <w:szCs w:val="20"/>
          <w:shd w:val="clear" w:color="auto" w:fill="FFFFFF"/>
        </w:rPr>
        <w:t>South African Journal of Botany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115</w:t>
      </w:r>
      <w:r w:rsidRPr="00C541D2">
        <w:rPr>
          <w:rFonts w:ascii="Arial" w:hAnsi="Arial" w:cs="Arial"/>
          <w:color w:val="222222"/>
          <w:sz w:val="20"/>
          <w:szCs w:val="20"/>
          <w:shd w:val="clear" w:color="auto" w:fill="FFFFFF"/>
        </w:rPr>
        <w:t xml:space="preserve">, 108-112. </w:t>
      </w:r>
      <w:hyperlink r:id="rId21" w:history="1">
        <w:r w:rsidRPr="00C541D2">
          <w:rPr>
            <w:rStyle w:val="Hyperlink"/>
            <w:rFonts w:ascii="Arial" w:hAnsi="Arial" w:cs="Arial"/>
            <w:sz w:val="20"/>
            <w:szCs w:val="20"/>
            <w:shd w:val="clear" w:color="auto" w:fill="FFFFFF"/>
          </w:rPr>
          <w:t>https://doi.org/10.1016/j.sajb.2018.01.019</w:t>
        </w:r>
      </w:hyperlink>
      <w:r w:rsidRPr="00C541D2">
        <w:rPr>
          <w:rFonts w:ascii="Arial" w:hAnsi="Arial" w:cs="Arial"/>
          <w:color w:val="222222"/>
          <w:sz w:val="20"/>
          <w:szCs w:val="20"/>
          <w:shd w:val="clear" w:color="auto" w:fill="FFFFFF"/>
        </w:rPr>
        <w:t xml:space="preserve"> </w:t>
      </w:r>
    </w:p>
    <w:p w14:paraId="0F08CE88"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Harmayani, E., Anal, A. K., </w:t>
      </w:r>
      <w:proofErr w:type="spellStart"/>
      <w:r w:rsidRPr="00C541D2">
        <w:rPr>
          <w:rFonts w:ascii="Arial" w:hAnsi="Arial" w:cs="Arial"/>
          <w:color w:val="222222"/>
          <w:sz w:val="20"/>
          <w:szCs w:val="20"/>
          <w:shd w:val="clear" w:color="auto" w:fill="FFFFFF"/>
        </w:rPr>
        <w:t>Wichienchot</w:t>
      </w:r>
      <w:proofErr w:type="spellEnd"/>
      <w:r w:rsidRPr="00C541D2">
        <w:rPr>
          <w:rFonts w:ascii="Arial" w:hAnsi="Arial" w:cs="Arial"/>
          <w:color w:val="222222"/>
          <w:sz w:val="20"/>
          <w:szCs w:val="20"/>
          <w:shd w:val="clear" w:color="auto" w:fill="FFFFFF"/>
        </w:rPr>
        <w:t xml:space="preserve">, S., Bhat, R., </w:t>
      </w:r>
      <w:proofErr w:type="spellStart"/>
      <w:r w:rsidRPr="00C541D2">
        <w:rPr>
          <w:rFonts w:ascii="Arial" w:hAnsi="Arial" w:cs="Arial"/>
          <w:color w:val="222222"/>
          <w:sz w:val="20"/>
          <w:szCs w:val="20"/>
          <w:shd w:val="clear" w:color="auto" w:fill="FFFFFF"/>
        </w:rPr>
        <w:t>Gardjito</w:t>
      </w:r>
      <w:proofErr w:type="spellEnd"/>
      <w:r w:rsidRPr="00C541D2">
        <w:rPr>
          <w:rFonts w:ascii="Arial" w:hAnsi="Arial" w:cs="Arial"/>
          <w:color w:val="222222"/>
          <w:sz w:val="20"/>
          <w:szCs w:val="20"/>
          <w:shd w:val="clear" w:color="auto" w:fill="FFFFFF"/>
        </w:rPr>
        <w:t xml:space="preserve">, M., Santoso, U., ... &amp; </w:t>
      </w:r>
      <w:proofErr w:type="spellStart"/>
      <w:r w:rsidRPr="00C541D2">
        <w:rPr>
          <w:rFonts w:ascii="Arial" w:hAnsi="Arial" w:cs="Arial"/>
          <w:color w:val="222222"/>
          <w:sz w:val="20"/>
          <w:szCs w:val="20"/>
          <w:shd w:val="clear" w:color="auto" w:fill="FFFFFF"/>
        </w:rPr>
        <w:t>Payyappallimana</w:t>
      </w:r>
      <w:proofErr w:type="spellEnd"/>
      <w:r w:rsidRPr="00C541D2">
        <w:rPr>
          <w:rFonts w:ascii="Arial" w:hAnsi="Arial" w:cs="Arial"/>
          <w:color w:val="222222"/>
          <w:sz w:val="20"/>
          <w:szCs w:val="20"/>
          <w:shd w:val="clear" w:color="auto" w:fill="FFFFFF"/>
        </w:rPr>
        <w:t xml:space="preserve">, U. (2019). Healthy food traditions of Asia: Exploratory case studies from Indonesia, Thailand, Malaysia, and Nepal. Journal of Ethnic Foods, 6(1). </w:t>
      </w:r>
      <w:hyperlink r:id="rId22" w:history="1">
        <w:r w:rsidRPr="00C541D2">
          <w:rPr>
            <w:rStyle w:val="Hyperlink"/>
            <w:rFonts w:ascii="Arial" w:hAnsi="Arial" w:cs="Arial"/>
            <w:sz w:val="20"/>
            <w:szCs w:val="20"/>
            <w:shd w:val="clear" w:color="auto" w:fill="FFFFFF"/>
          </w:rPr>
          <w:t>https://doi.org/10.1186/s42779-019-0002-x</w:t>
        </w:r>
      </w:hyperlink>
      <w:r w:rsidRPr="00C541D2">
        <w:rPr>
          <w:rFonts w:ascii="Arial" w:hAnsi="Arial" w:cs="Arial"/>
          <w:color w:val="222222"/>
          <w:sz w:val="20"/>
          <w:szCs w:val="20"/>
          <w:shd w:val="clear" w:color="auto" w:fill="FFFFFF"/>
        </w:rPr>
        <w:t xml:space="preserve"> </w:t>
      </w:r>
    </w:p>
    <w:p w14:paraId="5FE8027C"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He, J., Yin, T., Chen, Y., Cai, L., Tai, Z., Li, Z., ... Ding, Z. (2015). Phenolic compounds and antioxidant activities of edible flowers of Pyrus </w:t>
      </w:r>
      <w:proofErr w:type="spellStart"/>
      <w:r w:rsidRPr="00C541D2">
        <w:rPr>
          <w:rFonts w:ascii="Arial" w:hAnsi="Arial" w:cs="Arial"/>
          <w:color w:val="222222"/>
          <w:sz w:val="20"/>
          <w:szCs w:val="20"/>
          <w:shd w:val="clear" w:color="auto" w:fill="FFFFFF"/>
        </w:rPr>
        <w:t>pashia</w:t>
      </w:r>
      <w:proofErr w:type="spellEnd"/>
      <w:r w:rsidRPr="00C541D2">
        <w:rPr>
          <w:rFonts w:ascii="Arial" w:hAnsi="Arial" w:cs="Arial"/>
          <w:color w:val="222222"/>
          <w:sz w:val="20"/>
          <w:szCs w:val="20"/>
          <w:shd w:val="clear" w:color="auto" w:fill="FFFFFF"/>
        </w:rPr>
        <w:t xml:space="preserve">. Journal of Functional Foods, 17, 371–379.  </w:t>
      </w:r>
      <w:hyperlink r:id="rId23" w:history="1">
        <w:r w:rsidRPr="00C541D2">
          <w:rPr>
            <w:rStyle w:val="Hyperlink"/>
            <w:rFonts w:ascii="Arial" w:hAnsi="Arial" w:cs="Arial"/>
            <w:sz w:val="20"/>
            <w:szCs w:val="20"/>
            <w:shd w:val="clear" w:color="auto" w:fill="FFFFFF"/>
          </w:rPr>
          <w:t>https://doi.org/10.1016/j.jff.2015.05.045</w:t>
        </w:r>
      </w:hyperlink>
      <w:r w:rsidRPr="00C541D2">
        <w:rPr>
          <w:rFonts w:ascii="Arial" w:hAnsi="Arial" w:cs="Arial"/>
          <w:color w:val="222222"/>
          <w:sz w:val="20"/>
          <w:szCs w:val="20"/>
          <w:shd w:val="clear" w:color="auto" w:fill="FFFFFF"/>
        </w:rPr>
        <w:t xml:space="preserve">. </w:t>
      </w:r>
    </w:p>
    <w:p w14:paraId="62B42909"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Hegde, A.S., Gupta, S., Kumari, P., Joshi, R., &amp; Srivatsan, V. (2023). Wild edible flowers of Western Himalayas: Nutritional characterization, phytochemical profiling, antioxidant properties, and in vitro </w:t>
      </w:r>
      <w:proofErr w:type="spellStart"/>
      <w:r w:rsidRPr="00C541D2">
        <w:rPr>
          <w:rFonts w:ascii="Arial" w:hAnsi="Arial" w:cs="Arial"/>
          <w:color w:val="222222"/>
          <w:sz w:val="20"/>
          <w:szCs w:val="20"/>
          <w:shd w:val="clear" w:color="auto" w:fill="FFFFFF"/>
        </w:rPr>
        <w:t>bioaccessibility</w:t>
      </w:r>
      <w:proofErr w:type="spellEnd"/>
      <w:r w:rsidRPr="00C541D2">
        <w:rPr>
          <w:rFonts w:ascii="Arial" w:hAnsi="Arial" w:cs="Arial"/>
          <w:color w:val="222222"/>
          <w:sz w:val="20"/>
          <w:szCs w:val="20"/>
          <w:shd w:val="clear" w:color="auto" w:fill="FFFFFF"/>
        </w:rPr>
        <w:t xml:space="preserve">. ACS Omega, 8, 40212–40228. </w:t>
      </w:r>
      <w:hyperlink r:id="rId24" w:history="1">
        <w:r w:rsidRPr="00C541D2">
          <w:rPr>
            <w:rStyle w:val="Hyperlink"/>
            <w:rFonts w:ascii="Arial" w:hAnsi="Arial" w:cs="Arial"/>
            <w:sz w:val="20"/>
            <w:szCs w:val="20"/>
            <w:shd w:val="clear" w:color="auto" w:fill="FFFFFF"/>
          </w:rPr>
          <w:t>https://doi.org/10.1021/acsomega.3c03861?urlappend=%3Fref%3DPDF&amp;jav=VoR&amp;rel=cite-as</w:t>
        </w:r>
      </w:hyperlink>
      <w:r w:rsidRPr="00C541D2">
        <w:rPr>
          <w:rFonts w:ascii="Arial" w:hAnsi="Arial" w:cs="Arial"/>
          <w:color w:val="222222"/>
          <w:sz w:val="20"/>
          <w:szCs w:val="20"/>
          <w:shd w:val="clear" w:color="auto" w:fill="FFFFFF"/>
        </w:rPr>
        <w:t xml:space="preserve"> </w:t>
      </w:r>
    </w:p>
    <w:p w14:paraId="34971DE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Karakas, F. P., Turker, A. U., Karakas, A., </w:t>
      </w:r>
      <w:proofErr w:type="spellStart"/>
      <w:r w:rsidRPr="00C541D2">
        <w:rPr>
          <w:rFonts w:ascii="Arial" w:hAnsi="Arial" w:cs="Arial"/>
          <w:color w:val="222222"/>
          <w:sz w:val="20"/>
          <w:szCs w:val="20"/>
          <w:shd w:val="clear" w:color="auto" w:fill="FFFFFF"/>
        </w:rPr>
        <w:t>Mshvildadze</w:t>
      </w:r>
      <w:proofErr w:type="spellEnd"/>
      <w:r w:rsidRPr="00C541D2">
        <w:rPr>
          <w:rFonts w:ascii="Arial" w:hAnsi="Arial" w:cs="Arial"/>
          <w:color w:val="222222"/>
          <w:sz w:val="20"/>
          <w:szCs w:val="20"/>
          <w:shd w:val="clear" w:color="auto" w:fill="FFFFFF"/>
        </w:rPr>
        <w:t xml:space="preserve">, V., Pichette, A., &amp; Legault, J. (2017). In vitro cytotoxic, antibacterial, anti-inflammatory and antioxidant activities and phenolic content in wild-grown flowers of common daisy—A medicinal plant. Journal of Herbal Medicine, 8, 31–39. </w:t>
      </w:r>
      <w:hyperlink r:id="rId25" w:history="1">
        <w:r w:rsidRPr="00C541D2">
          <w:rPr>
            <w:rStyle w:val="Hyperlink"/>
            <w:rFonts w:ascii="Arial" w:hAnsi="Arial" w:cs="Arial"/>
            <w:sz w:val="20"/>
            <w:szCs w:val="20"/>
            <w:shd w:val="clear" w:color="auto" w:fill="FFFFFF"/>
          </w:rPr>
          <w:t>http://dx.doi.org/doi:10.1016/j.hermed.2016.11.003</w:t>
        </w:r>
      </w:hyperlink>
      <w:r w:rsidRPr="00C541D2">
        <w:rPr>
          <w:rFonts w:ascii="Arial" w:hAnsi="Arial" w:cs="Arial"/>
          <w:color w:val="222222"/>
          <w:sz w:val="20"/>
          <w:szCs w:val="20"/>
          <w:shd w:val="clear" w:color="auto" w:fill="FFFFFF"/>
        </w:rPr>
        <w:t xml:space="preserve"> </w:t>
      </w:r>
    </w:p>
    <w:p w14:paraId="246211E3"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Khayyal</w:t>
      </w:r>
      <w:proofErr w:type="spellEnd"/>
      <w:r w:rsidRPr="00C541D2">
        <w:rPr>
          <w:rFonts w:ascii="Arial" w:hAnsi="Arial" w:cs="Arial"/>
          <w:color w:val="222222"/>
          <w:sz w:val="20"/>
          <w:szCs w:val="20"/>
          <w:shd w:val="clear" w:color="auto" w:fill="FFFFFF"/>
        </w:rPr>
        <w:t>, M. T., Kreuter, M. H., Kemmler, M., Altmann, P., Abdel-Naby, D. H., &amp; El-</w:t>
      </w:r>
      <w:proofErr w:type="spellStart"/>
      <w:r w:rsidRPr="00C541D2">
        <w:rPr>
          <w:rFonts w:ascii="Arial" w:hAnsi="Arial" w:cs="Arial"/>
          <w:color w:val="222222"/>
          <w:sz w:val="20"/>
          <w:szCs w:val="20"/>
          <w:shd w:val="clear" w:color="auto" w:fill="FFFFFF"/>
        </w:rPr>
        <w:t>Ghazaly</w:t>
      </w:r>
      <w:proofErr w:type="spellEnd"/>
      <w:r w:rsidRPr="00C541D2">
        <w:rPr>
          <w:rFonts w:ascii="Arial" w:hAnsi="Arial" w:cs="Arial"/>
          <w:color w:val="222222"/>
          <w:sz w:val="20"/>
          <w:szCs w:val="20"/>
          <w:shd w:val="clear" w:color="auto" w:fill="FFFFFF"/>
        </w:rPr>
        <w:t xml:space="preserve">, M. A. (2019). Effect of a chamomile extract in protecting against radiation-induced intestinal mucositis. Phytotherapy Research, 33(3), 728–736. </w:t>
      </w:r>
      <w:hyperlink r:id="rId26" w:history="1">
        <w:r w:rsidRPr="00C541D2">
          <w:rPr>
            <w:rStyle w:val="Hyperlink"/>
            <w:rFonts w:ascii="Arial" w:hAnsi="Arial" w:cs="Arial"/>
            <w:sz w:val="20"/>
            <w:szCs w:val="20"/>
            <w:shd w:val="clear" w:color="auto" w:fill="FFFFFF"/>
          </w:rPr>
          <w:t>https://doi.org/10.1002/ptr.6263</w:t>
        </w:r>
      </w:hyperlink>
      <w:r w:rsidRPr="00C541D2">
        <w:rPr>
          <w:rFonts w:ascii="Arial" w:hAnsi="Arial" w:cs="Arial"/>
          <w:color w:val="222222"/>
          <w:sz w:val="20"/>
          <w:szCs w:val="20"/>
          <w:shd w:val="clear" w:color="auto" w:fill="FFFFFF"/>
        </w:rPr>
        <w:t xml:space="preserve"> </w:t>
      </w:r>
    </w:p>
    <w:p w14:paraId="61550070" w14:textId="77777777" w:rsidR="00F5545C" w:rsidRPr="00C541D2" w:rsidRDefault="00F5545C" w:rsidP="00C541D2">
      <w:pPr>
        <w:pStyle w:val="ListParagraph"/>
        <w:numPr>
          <w:ilvl w:val="0"/>
          <w:numId w:val="3"/>
        </w:numPr>
        <w:spacing w:line="276" w:lineRule="auto"/>
        <w:rPr>
          <w:rFonts w:ascii="Arial" w:hAnsi="Arial" w:cs="Arial"/>
          <w:color w:val="000000" w:themeColor="text1"/>
          <w:sz w:val="20"/>
          <w:szCs w:val="20"/>
          <w:shd w:val="clear" w:color="auto" w:fill="FFFFFF"/>
        </w:rPr>
      </w:pPr>
      <w:proofErr w:type="spellStart"/>
      <w:r w:rsidRPr="00C541D2">
        <w:rPr>
          <w:rFonts w:ascii="Arial" w:hAnsi="Arial" w:cs="Arial"/>
          <w:color w:val="000000" w:themeColor="text1"/>
          <w:sz w:val="20"/>
          <w:szCs w:val="20"/>
          <w:shd w:val="clear" w:color="auto" w:fill="FFFFFF"/>
        </w:rPr>
        <w:t>Krasaekoopt</w:t>
      </w:r>
      <w:proofErr w:type="spellEnd"/>
      <w:r w:rsidRPr="00C541D2">
        <w:rPr>
          <w:rFonts w:ascii="Arial" w:hAnsi="Arial" w:cs="Arial"/>
          <w:color w:val="000000" w:themeColor="text1"/>
          <w:sz w:val="20"/>
          <w:szCs w:val="20"/>
          <w:shd w:val="clear" w:color="auto" w:fill="FFFFFF"/>
        </w:rPr>
        <w:t xml:space="preserve">, W., &amp; </w:t>
      </w:r>
      <w:proofErr w:type="spellStart"/>
      <w:r w:rsidRPr="00C541D2">
        <w:rPr>
          <w:rFonts w:ascii="Arial" w:hAnsi="Arial" w:cs="Arial"/>
          <w:color w:val="000000" w:themeColor="text1"/>
          <w:sz w:val="20"/>
          <w:szCs w:val="20"/>
          <w:shd w:val="clear" w:color="auto" w:fill="FFFFFF"/>
        </w:rPr>
        <w:t>Kongkarnchanatip</w:t>
      </w:r>
      <w:proofErr w:type="spellEnd"/>
      <w:r w:rsidRPr="00C541D2">
        <w:rPr>
          <w:rFonts w:ascii="Arial" w:hAnsi="Arial" w:cs="Arial"/>
          <w:color w:val="000000" w:themeColor="text1"/>
          <w:sz w:val="20"/>
          <w:szCs w:val="20"/>
          <w:shd w:val="clear" w:color="auto" w:fill="FFFFFF"/>
        </w:rPr>
        <w:t>, A. (2005). Antimicrobial properties of Thai traditional flower vegetable extracts. Assumption University Journal of Technology, 9(2), 71-74.</w:t>
      </w:r>
    </w:p>
    <w:p w14:paraId="14FEB3C3" w14:textId="77777777" w:rsidR="00F5545C" w:rsidRPr="00C541D2" w:rsidRDefault="00F5545C" w:rsidP="00C541D2">
      <w:pPr>
        <w:pStyle w:val="ListParagraph"/>
        <w:numPr>
          <w:ilvl w:val="0"/>
          <w:numId w:val="3"/>
        </w:numPr>
        <w:spacing w:line="276" w:lineRule="auto"/>
        <w:rPr>
          <w:rFonts w:ascii="Arial" w:hAnsi="Arial" w:cs="Arial"/>
          <w:color w:val="000000" w:themeColor="text1"/>
          <w:sz w:val="20"/>
          <w:szCs w:val="20"/>
          <w:shd w:val="clear" w:color="auto" w:fill="FFFFFF"/>
        </w:rPr>
      </w:pPr>
      <w:r w:rsidRPr="00C541D2">
        <w:rPr>
          <w:rFonts w:ascii="Arial" w:hAnsi="Arial" w:cs="Arial"/>
          <w:color w:val="000000" w:themeColor="text1"/>
          <w:sz w:val="20"/>
          <w:szCs w:val="20"/>
          <w:shd w:val="clear" w:color="auto" w:fill="FFFFFF"/>
        </w:rPr>
        <w:t xml:space="preserve">Kumari, P.; Bhargava, B. Phytochemicals from edible flowers: Opening a new arena for healthy lifestyle. J. </w:t>
      </w:r>
      <w:proofErr w:type="spellStart"/>
      <w:r w:rsidRPr="00C541D2">
        <w:rPr>
          <w:rFonts w:ascii="Arial" w:hAnsi="Arial" w:cs="Arial"/>
          <w:color w:val="000000" w:themeColor="text1"/>
          <w:sz w:val="20"/>
          <w:szCs w:val="20"/>
          <w:shd w:val="clear" w:color="auto" w:fill="FFFFFF"/>
        </w:rPr>
        <w:t>Funct</w:t>
      </w:r>
      <w:proofErr w:type="spellEnd"/>
      <w:r w:rsidRPr="00C541D2">
        <w:rPr>
          <w:rFonts w:ascii="Arial" w:hAnsi="Arial" w:cs="Arial"/>
          <w:color w:val="000000" w:themeColor="text1"/>
          <w:sz w:val="20"/>
          <w:szCs w:val="20"/>
          <w:shd w:val="clear" w:color="auto" w:fill="FFFFFF"/>
        </w:rPr>
        <w:t>. Foods 2021, 78, 104375.</w:t>
      </w:r>
      <w:r w:rsidRPr="00C541D2">
        <w:rPr>
          <w:rFonts w:ascii="Arial" w:hAnsi="Arial" w:cs="Arial"/>
          <w:sz w:val="20"/>
          <w:szCs w:val="20"/>
        </w:rPr>
        <w:t xml:space="preserve"> </w:t>
      </w:r>
      <w:hyperlink r:id="rId27" w:history="1">
        <w:r w:rsidRPr="00C541D2">
          <w:rPr>
            <w:rStyle w:val="Hyperlink"/>
            <w:rFonts w:ascii="Arial" w:hAnsi="Arial" w:cs="Arial"/>
            <w:sz w:val="20"/>
            <w:szCs w:val="20"/>
          </w:rPr>
          <w:t>https://doi.org/10.1016/j.jff.2021.104375</w:t>
        </w:r>
      </w:hyperlink>
      <w:r w:rsidRPr="00C541D2">
        <w:rPr>
          <w:rFonts w:ascii="Arial" w:hAnsi="Arial" w:cs="Arial"/>
          <w:sz w:val="20"/>
          <w:szCs w:val="20"/>
        </w:rPr>
        <w:t xml:space="preserve"> </w:t>
      </w:r>
    </w:p>
    <w:p w14:paraId="0A4308F9"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Li, A. N., Li, S., Li, H. B., Xu, D. P., Xu, X. R., &amp; Chen, F. (2014). Total phenolic contents and antioxidant capacities of 51 edible and wild flowers. </w:t>
      </w:r>
      <w:r w:rsidRPr="00C541D2">
        <w:rPr>
          <w:rFonts w:ascii="Arial" w:hAnsi="Arial" w:cs="Arial"/>
          <w:i/>
          <w:iCs/>
          <w:color w:val="222222"/>
          <w:sz w:val="20"/>
          <w:szCs w:val="20"/>
          <w:shd w:val="clear" w:color="auto" w:fill="FFFFFF"/>
        </w:rPr>
        <w:t>Journal of functional foods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6</w:t>
      </w:r>
      <w:r w:rsidRPr="00C541D2">
        <w:rPr>
          <w:rFonts w:ascii="Arial" w:hAnsi="Arial" w:cs="Arial"/>
          <w:color w:val="222222"/>
          <w:sz w:val="20"/>
          <w:szCs w:val="20"/>
          <w:shd w:val="clear" w:color="auto" w:fill="FFFFFF"/>
        </w:rPr>
        <w:t xml:space="preserve">, 319-330. </w:t>
      </w:r>
      <w:hyperlink r:id="rId28" w:history="1">
        <w:r w:rsidRPr="00C541D2">
          <w:rPr>
            <w:rStyle w:val="Hyperlink"/>
            <w:rFonts w:ascii="Arial" w:hAnsi="Arial" w:cs="Arial"/>
            <w:sz w:val="20"/>
            <w:szCs w:val="20"/>
            <w:shd w:val="clear" w:color="auto" w:fill="FFFFFF"/>
          </w:rPr>
          <w:t>https://doi.org/10.1016/j.jff.2013.10.022</w:t>
        </w:r>
      </w:hyperlink>
      <w:r w:rsidRPr="00C541D2">
        <w:rPr>
          <w:rFonts w:ascii="Arial" w:hAnsi="Arial" w:cs="Arial"/>
          <w:color w:val="222222"/>
          <w:sz w:val="20"/>
          <w:szCs w:val="20"/>
          <w:shd w:val="clear" w:color="auto" w:fill="FFFFFF"/>
        </w:rPr>
        <w:t xml:space="preserve"> </w:t>
      </w:r>
    </w:p>
    <w:p w14:paraId="48BBF6B9"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Li, L., Gu, L., Chen, Z., Wang, R., Ye, J., &amp; Jiang, H. (2010). Toxicity study of ethanolic extract of Chrysanthemum morifolium in rats. Journal of Food Science, 75(6), T105–T109. </w:t>
      </w:r>
      <w:hyperlink r:id="rId29" w:history="1">
        <w:r w:rsidRPr="00C541D2">
          <w:rPr>
            <w:rStyle w:val="Hyperlink"/>
            <w:rFonts w:ascii="Arial" w:hAnsi="Arial" w:cs="Arial"/>
            <w:sz w:val="20"/>
            <w:szCs w:val="20"/>
            <w:shd w:val="clear" w:color="auto" w:fill="FFFFFF"/>
          </w:rPr>
          <w:t>https://doi.org/10.1111/j.1750-3841.2010.01702.x</w:t>
        </w:r>
      </w:hyperlink>
      <w:r w:rsidRPr="00C541D2">
        <w:rPr>
          <w:rFonts w:ascii="Arial" w:hAnsi="Arial" w:cs="Arial"/>
          <w:color w:val="222222"/>
          <w:sz w:val="20"/>
          <w:szCs w:val="20"/>
          <w:shd w:val="clear" w:color="auto" w:fill="FFFFFF"/>
        </w:rPr>
        <w:t xml:space="preserve"> </w:t>
      </w:r>
    </w:p>
    <w:p w14:paraId="6DF4EEDF"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Liang, Q., Cui, J., Li, H., Liu, J., &amp; Zhao, G. (2013). Florets of Sunflower (Helianthus annuus L.): Potential new sources of dietary fiber and phenolic acids. Journal of Agricultural and Food Chemistry, 61(14), 3435–3442. </w:t>
      </w:r>
      <w:hyperlink r:id="rId30" w:history="1">
        <w:r w:rsidRPr="00C541D2">
          <w:rPr>
            <w:rStyle w:val="Hyperlink"/>
            <w:rFonts w:ascii="Arial" w:hAnsi="Arial" w:cs="Arial"/>
            <w:sz w:val="20"/>
            <w:szCs w:val="20"/>
            <w:shd w:val="clear" w:color="auto" w:fill="FFFFFF"/>
          </w:rPr>
          <w:t>https://pubs.acs.org/doi/abs/10.1021/jf400569a</w:t>
        </w:r>
      </w:hyperlink>
      <w:r w:rsidRPr="00C541D2">
        <w:rPr>
          <w:rFonts w:ascii="Arial" w:hAnsi="Arial" w:cs="Arial"/>
          <w:color w:val="222222"/>
          <w:sz w:val="20"/>
          <w:szCs w:val="20"/>
          <w:shd w:val="clear" w:color="auto" w:fill="FFFFFF"/>
        </w:rPr>
        <w:t xml:space="preserve"> </w:t>
      </w:r>
    </w:p>
    <w:p w14:paraId="687CCEC8"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Loizzo, M. R., Pugliese, A., </w:t>
      </w:r>
      <w:proofErr w:type="spellStart"/>
      <w:r w:rsidRPr="00C541D2">
        <w:rPr>
          <w:rFonts w:ascii="Arial" w:hAnsi="Arial" w:cs="Arial"/>
          <w:color w:val="222222"/>
          <w:sz w:val="20"/>
          <w:szCs w:val="20"/>
          <w:shd w:val="clear" w:color="auto" w:fill="FFFFFF"/>
        </w:rPr>
        <w:t>Bonesi</w:t>
      </w:r>
      <w:proofErr w:type="spellEnd"/>
      <w:r w:rsidRPr="00C541D2">
        <w:rPr>
          <w:rFonts w:ascii="Arial" w:hAnsi="Arial" w:cs="Arial"/>
          <w:color w:val="222222"/>
          <w:sz w:val="20"/>
          <w:szCs w:val="20"/>
          <w:shd w:val="clear" w:color="auto" w:fill="FFFFFF"/>
        </w:rPr>
        <w:t xml:space="preserve">, M., Tenuta, M. C., Menichini, F., Xiao, J., &amp; </w:t>
      </w:r>
      <w:proofErr w:type="spellStart"/>
      <w:r w:rsidRPr="00C541D2">
        <w:rPr>
          <w:rFonts w:ascii="Arial" w:hAnsi="Arial" w:cs="Arial"/>
          <w:color w:val="222222"/>
          <w:sz w:val="20"/>
          <w:szCs w:val="20"/>
          <w:shd w:val="clear" w:color="auto" w:fill="FFFFFF"/>
        </w:rPr>
        <w:t>Tundis</w:t>
      </w:r>
      <w:proofErr w:type="spellEnd"/>
      <w:r w:rsidRPr="00C541D2">
        <w:rPr>
          <w:rFonts w:ascii="Arial" w:hAnsi="Arial" w:cs="Arial"/>
          <w:color w:val="222222"/>
          <w:sz w:val="20"/>
          <w:szCs w:val="20"/>
          <w:shd w:val="clear" w:color="auto" w:fill="FFFFFF"/>
        </w:rPr>
        <w:t xml:space="preserve">, R. (2016). Edible flowers: A rich source of phytochemicals with antioxidant and hypoglycemic properties. Journal of Agricultural and Food Chemistry, 64(12), 2467–2474. </w:t>
      </w:r>
      <w:hyperlink r:id="rId31" w:history="1">
        <w:r w:rsidRPr="00C541D2">
          <w:rPr>
            <w:rStyle w:val="Hyperlink"/>
            <w:rFonts w:ascii="Arial" w:hAnsi="Arial" w:cs="Arial"/>
            <w:sz w:val="20"/>
            <w:szCs w:val="20"/>
            <w:shd w:val="clear" w:color="auto" w:fill="FFFFFF"/>
          </w:rPr>
          <w:t>https://pubs.acs.org/doi/abs/10.1021/acs.jafc.5b03092</w:t>
        </w:r>
      </w:hyperlink>
      <w:r w:rsidRPr="00C541D2">
        <w:rPr>
          <w:rFonts w:ascii="Arial" w:hAnsi="Arial" w:cs="Arial"/>
          <w:color w:val="222222"/>
          <w:sz w:val="20"/>
          <w:szCs w:val="20"/>
          <w:shd w:val="clear" w:color="auto" w:fill="FFFFFF"/>
        </w:rPr>
        <w:t xml:space="preserve"> </w:t>
      </w:r>
    </w:p>
    <w:p w14:paraId="1715AC8B"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Lu, B., Li, M., &amp; Yin, R. (2016). Phytochemical content, health benefits, and toxicology of common edible flowers: a review (2000–2015). </w:t>
      </w:r>
      <w:r w:rsidRPr="00C541D2">
        <w:rPr>
          <w:rFonts w:ascii="Arial" w:hAnsi="Arial" w:cs="Arial"/>
          <w:i/>
          <w:iCs/>
          <w:color w:val="222222"/>
          <w:sz w:val="20"/>
          <w:szCs w:val="20"/>
          <w:shd w:val="clear" w:color="auto" w:fill="FFFFFF"/>
        </w:rPr>
        <w:t>Critical Reviews in Food Science and Nutrition</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56</w:t>
      </w:r>
      <w:r w:rsidRPr="00C541D2">
        <w:rPr>
          <w:rFonts w:ascii="Arial" w:hAnsi="Arial" w:cs="Arial"/>
          <w:color w:val="222222"/>
          <w:sz w:val="20"/>
          <w:szCs w:val="20"/>
          <w:shd w:val="clear" w:color="auto" w:fill="FFFFFF"/>
        </w:rPr>
        <w:t xml:space="preserve">(sup1), S130-S148. </w:t>
      </w:r>
      <w:hyperlink r:id="rId32" w:history="1">
        <w:r w:rsidRPr="00C541D2">
          <w:rPr>
            <w:rStyle w:val="Hyperlink"/>
            <w:rFonts w:ascii="Arial" w:hAnsi="Arial" w:cs="Arial"/>
            <w:sz w:val="20"/>
            <w:szCs w:val="20"/>
            <w:shd w:val="clear" w:color="auto" w:fill="FFFFFF"/>
          </w:rPr>
          <w:t>https://doi.org/10.1080/10408398.2015.1078276</w:t>
        </w:r>
      </w:hyperlink>
      <w:r w:rsidRPr="00C541D2">
        <w:rPr>
          <w:rFonts w:ascii="Arial" w:hAnsi="Arial" w:cs="Arial"/>
          <w:color w:val="222222"/>
          <w:sz w:val="20"/>
          <w:szCs w:val="20"/>
          <w:shd w:val="clear" w:color="auto" w:fill="FFFFFF"/>
        </w:rPr>
        <w:t xml:space="preserve"> </w:t>
      </w:r>
    </w:p>
    <w:p w14:paraId="35891AD3"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Mlcek, J., &amp; Rop, O. (2011). Fresh edible flowers of ornamental plants–A new source of nutraceutical foods. </w:t>
      </w:r>
      <w:r w:rsidRPr="00C541D2">
        <w:rPr>
          <w:rFonts w:ascii="Arial" w:hAnsi="Arial" w:cs="Arial"/>
          <w:i/>
          <w:iCs/>
          <w:color w:val="222222"/>
          <w:sz w:val="20"/>
          <w:szCs w:val="20"/>
          <w:shd w:val="clear" w:color="auto" w:fill="FFFFFF"/>
        </w:rPr>
        <w:t>Trends in Food Science &amp; Technology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22</w:t>
      </w:r>
      <w:r w:rsidRPr="00C541D2">
        <w:rPr>
          <w:rFonts w:ascii="Arial" w:hAnsi="Arial" w:cs="Arial"/>
          <w:color w:val="222222"/>
          <w:sz w:val="20"/>
          <w:szCs w:val="20"/>
          <w:shd w:val="clear" w:color="auto" w:fill="FFFFFF"/>
        </w:rPr>
        <w:t xml:space="preserve">(10), 561-569. </w:t>
      </w:r>
      <w:hyperlink r:id="rId33" w:history="1">
        <w:r w:rsidRPr="00C541D2">
          <w:rPr>
            <w:rStyle w:val="Hyperlink"/>
            <w:rFonts w:ascii="Arial" w:hAnsi="Arial" w:cs="Arial"/>
            <w:sz w:val="20"/>
            <w:szCs w:val="20"/>
            <w:shd w:val="clear" w:color="auto" w:fill="FFFFFF"/>
          </w:rPr>
          <w:t>https://doi.org/10.1016/j.tifs.2011.04.006</w:t>
        </w:r>
      </w:hyperlink>
      <w:r w:rsidRPr="00C541D2">
        <w:rPr>
          <w:rFonts w:ascii="Arial" w:hAnsi="Arial" w:cs="Arial"/>
          <w:color w:val="222222"/>
          <w:sz w:val="20"/>
          <w:szCs w:val="20"/>
          <w:shd w:val="clear" w:color="auto" w:fill="FFFFFF"/>
        </w:rPr>
        <w:t xml:space="preserve"> </w:t>
      </w:r>
    </w:p>
    <w:p w14:paraId="67D6F1AF"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Moliner, C., Barros, L., Dias, M. I., </w:t>
      </w:r>
      <w:proofErr w:type="spellStart"/>
      <w:r w:rsidRPr="00C541D2">
        <w:rPr>
          <w:rFonts w:ascii="Arial" w:hAnsi="Arial" w:cs="Arial"/>
          <w:color w:val="222222"/>
          <w:sz w:val="20"/>
          <w:szCs w:val="20"/>
          <w:shd w:val="clear" w:color="auto" w:fill="FFFFFF"/>
        </w:rPr>
        <w:t>Reigada</w:t>
      </w:r>
      <w:proofErr w:type="spellEnd"/>
      <w:r w:rsidRPr="00C541D2">
        <w:rPr>
          <w:rFonts w:ascii="Arial" w:hAnsi="Arial" w:cs="Arial"/>
          <w:color w:val="222222"/>
          <w:sz w:val="20"/>
          <w:szCs w:val="20"/>
          <w:shd w:val="clear" w:color="auto" w:fill="FFFFFF"/>
        </w:rPr>
        <w:t xml:space="preserve">, I., Ferreira, I. C., López, V., ... &amp; Rincón, C. G. (2019). Viola cornuta and Viola x </w:t>
      </w:r>
      <w:proofErr w:type="spellStart"/>
      <w:r w:rsidRPr="00C541D2">
        <w:rPr>
          <w:rFonts w:ascii="Arial" w:hAnsi="Arial" w:cs="Arial"/>
          <w:color w:val="222222"/>
          <w:sz w:val="20"/>
          <w:szCs w:val="20"/>
          <w:shd w:val="clear" w:color="auto" w:fill="FFFFFF"/>
        </w:rPr>
        <w:t>wittrockiana</w:t>
      </w:r>
      <w:proofErr w:type="spellEnd"/>
      <w:r w:rsidRPr="00C541D2">
        <w:rPr>
          <w:rFonts w:ascii="Arial" w:hAnsi="Arial" w:cs="Arial"/>
          <w:color w:val="222222"/>
          <w:sz w:val="20"/>
          <w:szCs w:val="20"/>
          <w:shd w:val="clear" w:color="auto" w:fill="FFFFFF"/>
        </w:rPr>
        <w:t xml:space="preserve">: Phenolic compounds, antioxidant and neuroprotective activities on </w:t>
      </w:r>
      <w:r w:rsidRPr="00C541D2">
        <w:rPr>
          <w:rFonts w:ascii="Arial" w:hAnsi="Arial" w:cs="Arial"/>
          <w:color w:val="222222"/>
          <w:sz w:val="20"/>
          <w:szCs w:val="20"/>
          <w:shd w:val="clear" w:color="auto" w:fill="FFFFFF"/>
        </w:rPr>
        <w:lastRenderedPageBreak/>
        <w:t>Caenorhabditis elegans. </w:t>
      </w:r>
      <w:r w:rsidRPr="00C541D2">
        <w:rPr>
          <w:rFonts w:ascii="Arial" w:hAnsi="Arial" w:cs="Arial"/>
          <w:i/>
          <w:iCs/>
          <w:color w:val="222222"/>
          <w:sz w:val="20"/>
          <w:szCs w:val="20"/>
          <w:shd w:val="clear" w:color="auto" w:fill="FFFFFF"/>
        </w:rPr>
        <w:t>journal of food and drug analysis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27</w:t>
      </w:r>
      <w:r w:rsidRPr="00C541D2">
        <w:rPr>
          <w:rFonts w:ascii="Arial" w:hAnsi="Arial" w:cs="Arial"/>
          <w:color w:val="222222"/>
          <w:sz w:val="20"/>
          <w:szCs w:val="20"/>
          <w:shd w:val="clear" w:color="auto" w:fill="FFFFFF"/>
        </w:rPr>
        <w:t xml:space="preserve">(4), 849-859. </w:t>
      </w:r>
      <w:hyperlink r:id="rId34" w:history="1">
        <w:r w:rsidRPr="00C541D2">
          <w:rPr>
            <w:rStyle w:val="Hyperlink"/>
            <w:rFonts w:ascii="Arial" w:hAnsi="Arial" w:cs="Arial"/>
            <w:sz w:val="20"/>
            <w:szCs w:val="20"/>
            <w:shd w:val="clear" w:color="auto" w:fill="FFFFFF"/>
          </w:rPr>
          <w:t>https://doi.org/10.1016/j.jfda.2019.05.005</w:t>
        </w:r>
      </w:hyperlink>
      <w:r w:rsidRPr="00C541D2">
        <w:rPr>
          <w:rFonts w:ascii="Arial" w:hAnsi="Arial" w:cs="Arial"/>
          <w:color w:val="222222"/>
          <w:sz w:val="20"/>
          <w:szCs w:val="20"/>
          <w:shd w:val="clear" w:color="auto" w:fill="FFFFFF"/>
        </w:rPr>
        <w:t xml:space="preserve"> </w:t>
      </w:r>
    </w:p>
    <w:p w14:paraId="3C02A908" w14:textId="77672444" w:rsidR="00F5545C" w:rsidRPr="00C541D2" w:rsidRDefault="00853F63"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853F63">
        <w:rPr>
          <w:rFonts w:ascii="Arial" w:hAnsi="Arial" w:cs="Arial"/>
          <w:color w:val="222222"/>
          <w:sz w:val="20"/>
          <w:szCs w:val="20"/>
          <w:shd w:val="clear" w:color="auto" w:fill="FFFFFF"/>
        </w:rPr>
        <w:t>Morittu</w:t>
      </w:r>
      <w:proofErr w:type="spellEnd"/>
      <w:r w:rsidRPr="00853F63">
        <w:rPr>
          <w:rFonts w:ascii="Arial" w:hAnsi="Arial" w:cs="Arial"/>
          <w:color w:val="222222"/>
          <w:sz w:val="20"/>
          <w:szCs w:val="20"/>
          <w:shd w:val="clear" w:color="auto" w:fill="FFFFFF"/>
        </w:rPr>
        <w:t xml:space="preserve">, V. M., Musco, N., Mastellone, V., Bonesi, M., Britti, D., </w:t>
      </w:r>
      <w:proofErr w:type="spellStart"/>
      <w:r w:rsidRPr="00853F63">
        <w:rPr>
          <w:rFonts w:ascii="Arial" w:hAnsi="Arial" w:cs="Arial"/>
          <w:color w:val="222222"/>
          <w:sz w:val="20"/>
          <w:szCs w:val="20"/>
          <w:shd w:val="clear" w:color="auto" w:fill="FFFFFF"/>
        </w:rPr>
        <w:t>Infascelli</w:t>
      </w:r>
      <w:proofErr w:type="spellEnd"/>
      <w:r w:rsidRPr="00853F63">
        <w:rPr>
          <w:rFonts w:ascii="Arial" w:hAnsi="Arial" w:cs="Arial"/>
          <w:color w:val="222222"/>
          <w:sz w:val="20"/>
          <w:szCs w:val="20"/>
          <w:shd w:val="clear" w:color="auto" w:fill="FFFFFF"/>
        </w:rPr>
        <w:t>, F., ... &amp; Lombardi, P. (2021). I n vitro and in vivo studies of Cucurbita pepo L. flowers: chemical profile and bioactivity. </w:t>
      </w:r>
      <w:r w:rsidRPr="00853F63">
        <w:rPr>
          <w:rFonts w:ascii="Arial" w:hAnsi="Arial" w:cs="Arial"/>
          <w:i/>
          <w:iCs/>
          <w:color w:val="222222"/>
          <w:sz w:val="20"/>
          <w:szCs w:val="20"/>
          <w:shd w:val="clear" w:color="auto" w:fill="FFFFFF"/>
        </w:rPr>
        <w:t>Natural Product Research</w:t>
      </w:r>
      <w:r w:rsidRPr="00853F63">
        <w:rPr>
          <w:rFonts w:ascii="Arial" w:hAnsi="Arial" w:cs="Arial"/>
          <w:color w:val="222222"/>
          <w:sz w:val="20"/>
          <w:szCs w:val="20"/>
          <w:shd w:val="clear" w:color="auto" w:fill="FFFFFF"/>
        </w:rPr>
        <w:t>, </w:t>
      </w:r>
      <w:r w:rsidRPr="00853F63">
        <w:rPr>
          <w:rFonts w:ascii="Arial" w:hAnsi="Arial" w:cs="Arial"/>
          <w:i/>
          <w:iCs/>
          <w:color w:val="222222"/>
          <w:sz w:val="20"/>
          <w:szCs w:val="20"/>
          <w:shd w:val="clear" w:color="auto" w:fill="FFFFFF"/>
        </w:rPr>
        <w:t>35</w:t>
      </w:r>
      <w:r w:rsidRPr="00853F63">
        <w:rPr>
          <w:rFonts w:ascii="Arial" w:hAnsi="Arial" w:cs="Arial"/>
          <w:color w:val="222222"/>
          <w:sz w:val="20"/>
          <w:szCs w:val="20"/>
          <w:shd w:val="clear" w:color="auto" w:fill="FFFFFF"/>
        </w:rPr>
        <w:t>(17), 2905-2909.</w:t>
      </w:r>
      <w:r w:rsidR="00F5545C" w:rsidRPr="00C541D2">
        <w:rPr>
          <w:rFonts w:ascii="Arial" w:hAnsi="Arial" w:cs="Arial"/>
          <w:color w:val="222222"/>
          <w:sz w:val="20"/>
          <w:szCs w:val="20"/>
          <w:shd w:val="clear" w:color="auto" w:fill="FFFFFF"/>
        </w:rPr>
        <w:t xml:space="preserve">. </w:t>
      </w:r>
      <w:hyperlink r:id="rId35" w:history="1">
        <w:r w:rsidR="00F5545C" w:rsidRPr="00C541D2">
          <w:rPr>
            <w:rStyle w:val="Hyperlink"/>
            <w:rFonts w:ascii="Arial" w:hAnsi="Arial" w:cs="Arial"/>
            <w:sz w:val="20"/>
            <w:szCs w:val="20"/>
            <w:shd w:val="clear" w:color="auto" w:fill="FFFFFF"/>
          </w:rPr>
          <w:t>https://doi.org/10.1080/14786419.2019.1672067</w:t>
        </w:r>
      </w:hyperlink>
    </w:p>
    <w:p w14:paraId="4D1B654F"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Mulík</w:t>
      </w:r>
      <w:proofErr w:type="spellEnd"/>
      <w:r w:rsidRPr="00C541D2">
        <w:rPr>
          <w:rFonts w:ascii="Arial" w:hAnsi="Arial" w:cs="Arial"/>
          <w:color w:val="222222"/>
          <w:sz w:val="20"/>
          <w:szCs w:val="20"/>
          <w:shd w:val="clear" w:color="auto" w:fill="FFFFFF"/>
        </w:rPr>
        <w:t>, S., &amp; Ozuna, C. (2020). Mexican edible flowers: Cultural background, traditional culinary uses, and potential health benefits. </w:t>
      </w:r>
      <w:r w:rsidRPr="00C541D2">
        <w:rPr>
          <w:rFonts w:ascii="Arial" w:hAnsi="Arial" w:cs="Arial"/>
          <w:i/>
          <w:iCs/>
          <w:color w:val="222222"/>
          <w:sz w:val="20"/>
          <w:szCs w:val="20"/>
          <w:shd w:val="clear" w:color="auto" w:fill="FFFFFF"/>
        </w:rPr>
        <w:t>International Journal of Gastronomy and Food Science</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21</w:t>
      </w:r>
      <w:r w:rsidRPr="00C541D2">
        <w:rPr>
          <w:rFonts w:ascii="Arial" w:hAnsi="Arial" w:cs="Arial"/>
          <w:color w:val="222222"/>
          <w:sz w:val="20"/>
          <w:szCs w:val="20"/>
          <w:shd w:val="clear" w:color="auto" w:fill="FFFFFF"/>
        </w:rPr>
        <w:t xml:space="preserve">, 100235. </w:t>
      </w:r>
      <w:hyperlink r:id="rId36" w:history="1">
        <w:r w:rsidRPr="00C541D2">
          <w:rPr>
            <w:rStyle w:val="Hyperlink"/>
            <w:rFonts w:ascii="Arial" w:hAnsi="Arial" w:cs="Arial"/>
            <w:sz w:val="20"/>
            <w:szCs w:val="20"/>
            <w:shd w:val="clear" w:color="auto" w:fill="FFFFFF"/>
          </w:rPr>
          <w:t>https://doi.org/10.1016/j.ijgfs.2020.100235</w:t>
        </w:r>
      </w:hyperlink>
      <w:r w:rsidRPr="00C541D2">
        <w:rPr>
          <w:rFonts w:ascii="Arial" w:hAnsi="Arial" w:cs="Arial"/>
          <w:color w:val="222222"/>
          <w:sz w:val="20"/>
          <w:szCs w:val="20"/>
          <w:shd w:val="clear" w:color="auto" w:fill="FFFFFF"/>
        </w:rPr>
        <w:t xml:space="preserve"> </w:t>
      </w:r>
    </w:p>
    <w:p w14:paraId="2F0A5387"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Navarro-González, I., González-Barrio, R., García-Valverde, V., Bautista-</w:t>
      </w:r>
      <w:proofErr w:type="spellStart"/>
      <w:r w:rsidRPr="00C541D2">
        <w:rPr>
          <w:rFonts w:ascii="Arial" w:hAnsi="Arial" w:cs="Arial"/>
          <w:color w:val="222222"/>
          <w:sz w:val="20"/>
          <w:szCs w:val="20"/>
          <w:shd w:val="clear" w:color="auto" w:fill="FFFFFF"/>
        </w:rPr>
        <w:t>Ortín</w:t>
      </w:r>
      <w:proofErr w:type="spellEnd"/>
      <w:r w:rsidRPr="00C541D2">
        <w:rPr>
          <w:rFonts w:ascii="Arial" w:hAnsi="Arial" w:cs="Arial"/>
          <w:color w:val="222222"/>
          <w:sz w:val="20"/>
          <w:szCs w:val="20"/>
          <w:shd w:val="clear" w:color="auto" w:fill="FFFFFF"/>
        </w:rPr>
        <w:t xml:space="preserve">, A. B., &amp; </w:t>
      </w:r>
      <w:proofErr w:type="spellStart"/>
      <w:r w:rsidRPr="00C541D2">
        <w:rPr>
          <w:rFonts w:ascii="Arial" w:hAnsi="Arial" w:cs="Arial"/>
          <w:color w:val="222222"/>
          <w:sz w:val="20"/>
          <w:szCs w:val="20"/>
          <w:shd w:val="clear" w:color="auto" w:fill="FFFFFF"/>
        </w:rPr>
        <w:t>Periago</w:t>
      </w:r>
      <w:proofErr w:type="spellEnd"/>
      <w:r w:rsidRPr="00C541D2">
        <w:rPr>
          <w:rFonts w:ascii="Arial" w:hAnsi="Arial" w:cs="Arial"/>
          <w:color w:val="222222"/>
          <w:sz w:val="20"/>
          <w:szCs w:val="20"/>
          <w:shd w:val="clear" w:color="auto" w:fill="FFFFFF"/>
        </w:rPr>
        <w:t xml:space="preserve">, M. J. (2014). Nutritional composition and antioxidant capacity in edible flowers: </w:t>
      </w:r>
      <w:proofErr w:type="spellStart"/>
      <w:r w:rsidRPr="00C541D2">
        <w:rPr>
          <w:rFonts w:ascii="Arial" w:hAnsi="Arial" w:cs="Arial"/>
          <w:color w:val="222222"/>
          <w:sz w:val="20"/>
          <w:szCs w:val="20"/>
          <w:shd w:val="clear" w:color="auto" w:fill="FFFFFF"/>
        </w:rPr>
        <w:t>Characterisation</w:t>
      </w:r>
      <w:proofErr w:type="spellEnd"/>
      <w:r w:rsidRPr="00C541D2">
        <w:rPr>
          <w:rFonts w:ascii="Arial" w:hAnsi="Arial" w:cs="Arial"/>
          <w:color w:val="222222"/>
          <w:sz w:val="20"/>
          <w:szCs w:val="20"/>
          <w:shd w:val="clear" w:color="auto" w:fill="FFFFFF"/>
        </w:rPr>
        <w:t xml:space="preserve"> of phenolic compounds by HPLC-DAD-ESI/</w:t>
      </w:r>
      <w:proofErr w:type="spellStart"/>
      <w:r w:rsidRPr="00C541D2">
        <w:rPr>
          <w:rFonts w:ascii="Arial" w:hAnsi="Arial" w:cs="Arial"/>
          <w:color w:val="222222"/>
          <w:sz w:val="20"/>
          <w:szCs w:val="20"/>
          <w:shd w:val="clear" w:color="auto" w:fill="FFFFFF"/>
        </w:rPr>
        <w:t>MSn</w:t>
      </w:r>
      <w:proofErr w:type="spellEnd"/>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International Journal of Molecular Sciences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16</w:t>
      </w:r>
      <w:r w:rsidRPr="00C541D2">
        <w:rPr>
          <w:rFonts w:ascii="Arial" w:hAnsi="Arial" w:cs="Arial"/>
          <w:color w:val="222222"/>
          <w:sz w:val="20"/>
          <w:szCs w:val="20"/>
          <w:shd w:val="clear" w:color="auto" w:fill="FFFFFF"/>
        </w:rPr>
        <w:t>(1), 805-822.</w:t>
      </w:r>
    </w:p>
    <w:p w14:paraId="3A3334FD"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Nikmehr</w:t>
      </w:r>
      <w:proofErr w:type="spellEnd"/>
      <w:r w:rsidRPr="00C541D2">
        <w:rPr>
          <w:rFonts w:ascii="Arial" w:hAnsi="Arial" w:cs="Arial"/>
          <w:color w:val="222222"/>
          <w:sz w:val="20"/>
          <w:szCs w:val="20"/>
          <w:shd w:val="clear" w:color="auto" w:fill="FFFFFF"/>
        </w:rPr>
        <w:t xml:space="preserve">, B., Ghaznavi, H., Rahbar, A., Sadr, S., &amp; </w:t>
      </w:r>
      <w:proofErr w:type="spellStart"/>
      <w:r w:rsidRPr="00C541D2">
        <w:rPr>
          <w:rFonts w:ascii="Arial" w:hAnsi="Arial" w:cs="Arial"/>
          <w:color w:val="222222"/>
          <w:sz w:val="20"/>
          <w:szCs w:val="20"/>
          <w:shd w:val="clear" w:color="auto" w:fill="FFFFFF"/>
        </w:rPr>
        <w:t>Mehrzadi</w:t>
      </w:r>
      <w:proofErr w:type="spellEnd"/>
      <w:r w:rsidRPr="00C541D2">
        <w:rPr>
          <w:rFonts w:ascii="Arial" w:hAnsi="Arial" w:cs="Arial"/>
          <w:color w:val="222222"/>
          <w:sz w:val="20"/>
          <w:szCs w:val="20"/>
          <w:shd w:val="clear" w:color="auto" w:fill="FFFFFF"/>
        </w:rPr>
        <w:t>, S. (2014). In vitro anti-leishmanial activity of methanolic extracts of Calendula officinalis flowers, Datura stramonium seeds, and Salvia officinalis leaves. </w:t>
      </w:r>
      <w:r w:rsidRPr="00C541D2">
        <w:rPr>
          <w:rFonts w:ascii="Arial" w:hAnsi="Arial" w:cs="Arial"/>
          <w:i/>
          <w:iCs/>
          <w:color w:val="222222"/>
          <w:sz w:val="20"/>
          <w:szCs w:val="20"/>
          <w:shd w:val="clear" w:color="auto" w:fill="FFFFFF"/>
        </w:rPr>
        <w:t>Chinese Journal of Natural Medicines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12</w:t>
      </w:r>
      <w:r w:rsidRPr="00C541D2">
        <w:rPr>
          <w:rFonts w:ascii="Arial" w:hAnsi="Arial" w:cs="Arial"/>
          <w:color w:val="222222"/>
          <w:sz w:val="20"/>
          <w:szCs w:val="20"/>
          <w:shd w:val="clear" w:color="auto" w:fill="FFFFFF"/>
        </w:rPr>
        <w:t>(6), 423-427.</w:t>
      </w:r>
    </w:p>
    <w:p w14:paraId="5984AAAC"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proofErr w:type="spellStart"/>
      <w:r w:rsidRPr="00C541D2">
        <w:rPr>
          <w:rFonts w:ascii="Arial" w:hAnsi="Arial" w:cs="Arial"/>
          <w:color w:val="222222"/>
          <w:sz w:val="20"/>
          <w:szCs w:val="20"/>
          <w:shd w:val="clear" w:color="auto" w:fill="FFFFFF"/>
        </w:rPr>
        <w:t>Ojulari</w:t>
      </w:r>
      <w:proofErr w:type="spellEnd"/>
      <w:r w:rsidRPr="00C541D2">
        <w:rPr>
          <w:rFonts w:ascii="Arial" w:hAnsi="Arial" w:cs="Arial"/>
          <w:color w:val="222222"/>
          <w:sz w:val="20"/>
          <w:szCs w:val="20"/>
          <w:shd w:val="clear" w:color="auto" w:fill="FFFFFF"/>
        </w:rPr>
        <w:t xml:space="preserve">, O. V., Lee, S. G., &amp; Nam, J. O. (2019). Beneficial effects of natural bioactive compounds from Hibiscus sabdariffa L. on obesity. Molecules, 24(1), 210. </w:t>
      </w:r>
      <w:hyperlink r:id="rId37" w:history="1">
        <w:r w:rsidRPr="00C541D2">
          <w:rPr>
            <w:rStyle w:val="Hyperlink"/>
            <w:rFonts w:ascii="Arial" w:hAnsi="Arial" w:cs="Arial"/>
            <w:sz w:val="20"/>
            <w:szCs w:val="20"/>
            <w:shd w:val="clear" w:color="auto" w:fill="FFFFFF"/>
          </w:rPr>
          <w:t>https://doi.org/10.3390/molecules24010210</w:t>
        </w:r>
      </w:hyperlink>
      <w:r w:rsidRPr="00C541D2">
        <w:rPr>
          <w:rFonts w:ascii="Arial" w:hAnsi="Arial" w:cs="Arial"/>
          <w:color w:val="222222"/>
          <w:sz w:val="20"/>
          <w:szCs w:val="20"/>
          <w:shd w:val="clear" w:color="auto" w:fill="FFFFFF"/>
        </w:rPr>
        <w:t xml:space="preserve"> </w:t>
      </w:r>
    </w:p>
    <w:p w14:paraId="51945D6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Panda, S. K., </w:t>
      </w:r>
      <w:proofErr w:type="spellStart"/>
      <w:r w:rsidRPr="00C541D2">
        <w:rPr>
          <w:rFonts w:ascii="Arial" w:hAnsi="Arial" w:cs="Arial"/>
          <w:color w:val="222222"/>
          <w:sz w:val="20"/>
          <w:szCs w:val="20"/>
          <w:shd w:val="clear" w:color="auto" w:fill="FFFFFF"/>
        </w:rPr>
        <w:t>Mahantad</w:t>
      </w:r>
      <w:proofErr w:type="spellEnd"/>
      <w:r w:rsidRPr="00C541D2">
        <w:rPr>
          <w:rFonts w:ascii="Arial" w:hAnsi="Arial" w:cs="Arial"/>
          <w:color w:val="222222"/>
          <w:sz w:val="20"/>
          <w:szCs w:val="20"/>
          <w:shd w:val="clear" w:color="auto" w:fill="FFFFFF"/>
        </w:rPr>
        <w:t xml:space="preserve">, Y. K., </w:t>
      </w:r>
      <w:proofErr w:type="spellStart"/>
      <w:r w:rsidRPr="00C541D2">
        <w:rPr>
          <w:rFonts w:ascii="Arial" w:hAnsi="Arial" w:cs="Arial"/>
          <w:color w:val="222222"/>
          <w:sz w:val="20"/>
          <w:szCs w:val="20"/>
          <w:shd w:val="clear" w:color="auto" w:fill="FFFFFF"/>
        </w:rPr>
        <w:t>Mohantad</w:t>
      </w:r>
      <w:proofErr w:type="spellEnd"/>
      <w:r w:rsidRPr="00C541D2">
        <w:rPr>
          <w:rFonts w:ascii="Arial" w:hAnsi="Arial" w:cs="Arial"/>
          <w:color w:val="222222"/>
          <w:sz w:val="20"/>
          <w:szCs w:val="20"/>
          <w:shd w:val="clear" w:color="auto" w:fill="FFFFFF"/>
        </w:rPr>
        <w:t xml:space="preserve">, Y. K., </w:t>
      </w:r>
      <w:proofErr w:type="spellStart"/>
      <w:r w:rsidRPr="00C541D2">
        <w:rPr>
          <w:rFonts w:ascii="Arial" w:hAnsi="Arial" w:cs="Arial"/>
          <w:color w:val="222222"/>
          <w:sz w:val="20"/>
          <w:szCs w:val="20"/>
          <w:shd w:val="clear" w:color="auto" w:fill="FFFFFF"/>
        </w:rPr>
        <w:t>Pandhi</w:t>
      </w:r>
      <w:proofErr w:type="spellEnd"/>
      <w:r w:rsidRPr="00C541D2">
        <w:rPr>
          <w:rFonts w:ascii="Arial" w:hAnsi="Arial" w:cs="Arial"/>
          <w:color w:val="222222"/>
          <w:sz w:val="20"/>
          <w:szCs w:val="20"/>
          <w:shd w:val="clear" w:color="auto" w:fill="FFFFFF"/>
        </w:rPr>
        <w:t xml:space="preserve">, L., &amp; Luyten, W. (2019). Antimicrobial activity of select edible plants from Odisha, India against food-borne pathogens. Food Science and Technology, 113, 108246. </w:t>
      </w:r>
      <w:hyperlink r:id="rId38" w:history="1">
        <w:r w:rsidRPr="00C541D2">
          <w:rPr>
            <w:rStyle w:val="Hyperlink"/>
            <w:rFonts w:ascii="Arial" w:hAnsi="Arial" w:cs="Arial"/>
            <w:sz w:val="20"/>
            <w:szCs w:val="20"/>
            <w:shd w:val="clear" w:color="auto" w:fill="FFFFFF"/>
          </w:rPr>
          <w:t>https://doi.org/10.1016/j.lwt.2019.06.013</w:t>
        </w:r>
      </w:hyperlink>
      <w:r w:rsidRPr="00C541D2">
        <w:rPr>
          <w:rFonts w:ascii="Arial" w:hAnsi="Arial" w:cs="Arial"/>
          <w:color w:val="222222"/>
          <w:sz w:val="20"/>
          <w:szCs w:val="20"/>
          <w:shd w:val="clear" w:color="auto" w:fill="FFFFFF"/>
        </w:rPr>
        <w:t xml:space="preserve"> </w:t>
      </w:r>
    </w:p>
    <w:p w14:paraId="43CF245C" w14:textId="77777777" w:rsidR="00F5545C" w:rsidRPr="00C541D2" w:rsidRDefault="00F5545C" w:rsidP="00C541D2">
      <w:pPr>
        <w:pStyle w:val="ListParagraph"/>
        <w:numPr>
          <w:ilvl w:val="0"/>
          <w:numId w:val="3"/>
        </w:numPr>
        <w:spacing w:line="276" w:lineRule="auto"/>
        <w:jc w:val="both"/>
        <w:rPr>
          <w:rFonts w:ascii="Arial" w:hAnsi="Arial" w:cs="Arial"/>
          <w:color w:val="5D6A81"/>
          <w:sz w:val="20"/>
          <w:szCs w:val="20"/>
          <w:shd w:val="clear" w:color="auto" w:fill="FFFFFF"/>
        </w:rPr>
      </w:pPr>
      <w:r w:rsidRPr="00C541D2">
        <w:rPr>
          <w:rFonts w:ascii="Arial" w:hAnsi="Arial" w:cs="Arial"/>
          <w:color w:val="222222"/>
          <w:sz w:val="20"/>
          <w:szCs w:val="20"/>
          <w:shd w:val="clear" w:color="auto" w:fill="FFFFFF"/>
        </w:rPr>
        <w:t xml:space="preserve">Purohit, S. R., Rana, S. S., </w:t>
      </w:r>
      <w:proofErr w:type="spellStart"/>
      <w:r w:rsidRPr="00C541D2">
        <w:rPr>
          <w:rFonts w:ascii="Arial" w:hAnsi="Arial" w:cs="Arial"/>
          <w:color w:val="222222"/>
          <w:sz w:val="20"/>
          <w:szCs w:val="20"/>
          <w:shd w:val="clear" w:color="auto" w:fill="FFFFFF"/>
        </w:rPr>
        <w:t>Idrishi</w:t>
      </w:r>
      <w:proofErr w:type="spellEnd"/>
      <w:r w:rsidRPr="00C541D2">
        <w:rPr>
          <w:rFonts w:ascii="Arial" w:hAnsi="Arial" w:cs="Arial"/>
          <w:color w:val="222222"/>
          <w:sz w:val="20"/>
          <w:szCs w:val="20"/>
          <w:shd w:val="clear" w:color="auto" w:fill="FFFFFF"/>
        </w:rPr>
        <w:t>, R., Sharma, V., &amp; Ghosh, P. (2021). A review on nutritional, bioactive, toxicological properties and preservation of edible flowers. </w:t>
      </w:r>
      <w:r w:rsidRPr="00C541D2">
        <w:rPr>
          <w:rFonts w:ascii="Arial" w:hAnsi="Arial" w:cs="Arial"/>
          <w:i/>
          <w:iCs/>
          <w:color w:val="222222"/>
          <w:sz w:val="20"/>
          <w:szCs w:val="20"/>
          <w:shd w:val="clear" w:color="auto" w:fill="FFFFFF"/>
        </w:rPr>
        <w:t>Future Foods</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4</w:t>
      </w:r>
      <w:r w:rsidRPr="00C541D2">
        <w:rPr>
          <w:rFonts w:ascii="Arial" w:hAnsi="Arial" w:cs="Arial"/>
          <w:color w:val="222222"/>
          <w:sz w:val="20"/>
          <w:szCs w:val="20"/>
          <w:shd w:val="clear" w:color="auto" w:fill="FFFFFF"/>
        </w:rPr>
        <w:t xml:space="preserve">, 100078. </w:t>
      </w:r>
      <w:hyperlink r:id="rId39" w:history="1">
        <w:r w:rsidRPr="00C541D2">
          <w:rPr>
            <w:rStyle w:val="Hyperlink"/>
            <w:rFonts w:ascii="Arial" w:hAnsi="Arial" w:cs="Arial"/>
            <w:sz w:val="20"/>
            <w:szCs w:val="20"/>
            <w:shd w:val="clear" w:color="auto" w:fill="FFFFFF"/>
          </w:rPr>
          <w:t>https://doi.org/10.1016/j.fufo.2021.100078</w:t>
        </w:r>
      </w:hyperlink>
      <w:r w:rsidRPr="00C541D2">
        <w:rPr>
          <w:rFonts w:ascii="Arial" w:hAnsi="Arial" w:cs="Arial"/>
          <w:color w:val="222222"/>
          <w:sz w:val="20"/>
          <w:szCs w:val="20"/>
          <w:shd w:val="clear" w:color="auto" w:fill="FFFFFF"/>
        </w:rPr>
        <w:t xml:space="preserve"> </w:t>
      </w:r>
    </w:p>
    <w:p w14:paraId="7CB2BA4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Rezende, F., Sande, D., Coelho, A. C., Oliveira, G., Boaventura, M. A., &amp; Takahashi, J. A. (2019). Edible flowers as innovative ingredients for future food development: Anti-</w:t>
      </w:r>
      <w:proofErr w:type="spellStart"/>
      <w:r w:rsidRPr="00C541D2">
        <w:rPr>
          <w:rFonts w:ascii="Arial" w:hAnsi="Arial" w:cs="Arial"/>
          <w:color w:val="222222"/>
          <w:sz w:val="20"/>
          <w:szCs w:val="20"/>
          <w:shd w:val="clear" w:color="auto" w:fill="FFFFFF"/>
        </w:rPr>
        <w:t>alzheimer</w:t>
      </w:r>
      <w:proofErr w:type="spellEnd"/>
      <w:r w:rsidRPr="00C541D2">
        <w:rPr>
          <w:rFonts w:ascii="Arial" w:hAnsi="Arial" w:cs="Arial"/>
          <w:color w:val="222222"/>
          <w:sz w:val="20"/>
          <w:szCs w:val="20"/>
          <w:shd w:val="clear" w:color="auto" w:fill="FFFFFF"/>
        </w:rPr>
        <w:t>, antimicrobial, and antioxidant potential. Chemical Engineering Transactions, 75, 337–342.</w:t>
      </w:r>
      <w:r w:rsidRPr="00C541D2">
        <w:rPr>
          <w:rFonts w:ascii="Arial" w:hAnsi="Arial" w:cs="Arial"/>
          <w:sz w:val="20"/>
          <w:szCs w:val="20"/>
        </w:rPr>
        <w:t xml:space="preserve"> </w:t>
      </w:r>
      <w:hyperlink r:id="rId40" w:history="1">
        <w:r w:rsidRPr="00C541D2">
          <w:rPr>
            <w:rStyle w:val="Hyperlink"/>
            <w:rFonts w:ascii="Arial" w:hAnsi="Arial" w:cs="Arial"/>
            <w:sz w:val="20"/>
            <w:szCs w:val="20"/>
            <w:shd w:val="clear" w:color="auto" w:fill="FFFFFF"/>
          </w:rPr>
          <w:t>https://hdl.handle.net/1843/59574</w:t>
        </w:r>
      </w:hyperlink>
      <w:r w:rsidRPr="00C541D2">
        <w:rPr>
          <w:rFonts w:ascii="Arial" w:hAnsi="Arial" w:cs="Arial"/>
          <w:color w:val="222222"/>
          <w:sz w:val="20"/>
          <w:szCs w:val="20"/>
          <w:shd w:val="clear" w:color="auto" w:fill="FFFFFF"/>
        </w:rPr>
        <w:t xml:space="preserve"> </w:t>
      </w:r>
    </w:p>
    <w:p w14:paraId="6FA051D6"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Skrajda, M. N. (2017). Phenolic compounds and antioxidant activity of edible flowers. </w:t>
      </w:r>
      <w:r w:rsidRPr="00C541D2">
        <w:rPr>
          <w:rFonts w:ascii="Arial" w:hAnsi="Arial" w:cs="Arial"/>
          <w:i/>
          <w:iCs/>
          <w:color w:val="222222"/>
          <w:sz w:val="20"/>
          <w:szCs w:val="20"/>
          <w:shd w:val="clear" w:color="auto" w:fill="FFFFFF"/>
        </w:rPr>
        <w:t>Journal of Education, Health and Sport</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7</w:t>
      </w:r>
      <w:r w:rsidRPr="00C541D2">
        <w:rPr>
          <w:rFonts w:ascii="Arial" w:hAnsi="Arial" w:cs="Arial"/>
          <w:color w:val="222222"/>
          <w:sz w:val="20"/>
          <w:szCs w:val="20"/>
          <w:shd w:val="clear" w:color="auto" w:fill="FFFFFF"/>
        </w:rPr>
        <w:t xml:space="preserve">(8), 946-956. </w:t>
      </w:r>
      <w:hyperlink r:id="rId41" w:history="1">
        <w:r w:rsidRPr="00C541D2">
          <w:rPr>
            <w:rStyle w:val="Hyperlink"/>
            <w:rFonts w:ascii="Arial" w:hAnsi="Arial" w:cs="Arial"/>
            <w:sz w:val="20"/>
            <w:szCs w:val="20"/>
            <w:shd w:val="clear" w:color="auto" w:fill="FFFFFF"/>
          </w:rPr>
          <w:t>http://dx.doi.org/10.5281/zenodo.995637</w:t>
        </w:r>
      </w:hyperlink>
      <w:r w:rsidRPr="00C541D2">
        <w:rPr>
          <w:rFonts w:ascii="Arial" w:hAnsi="Arial" w:cs="Arial"/>
          <w:color w:val="222222"/>
          <w:sz w:val="20"/>
          <w:szCs w:val="20"/>
          <w:shd w:val="clear" w:color="auto" w:fill="FFFFFF"/>
        </w:rPr>
        <w:t xml:space="preserve"> </w:t>
      </w:r>
    </w:p>
    <w:p w14:paraId="74707341"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 xml:space="preserve">Takahashi, J. A., Rezende, F. A. G. G., Moura, M. A. F., </w:t>
      </w:r>
      <w:proofErr w:type="spellStart"/>
      <w:r w:rsidRPr="00C541D2">
        <w:rPr>
          <w:rFonts w:ascii="Arial" w:hAnsi="Arial" w:cs="Arial"/>
          <w:color w:val="222222"/>
          <w:sz w:val="20"/>
          <w:szCs w:val="20"/>
          <w:shd w:val="clear" w:color="auto" w:fill="FFFFFF"/>
        </w:rPr>
        <w:t>Dominguete</w:t>
      </w:r>
      <w:proofErr w:type="spellEnd"/>
      <w:r w:rsidRPr="00C541D2">
        <w:rPr>
          <w:rFonts w:ascii="Arial" w:hAnsi="Arial" w:cs="Arial"/>
          <w:color w:val="222222"/>
          <w:sz w:val="20"/>
          <w:szCs w:val="20"/>
          <w:shd w:val="clear" w:color="auto" w:fill="FFFFFF"/>
        </w:rPr>
        <w:t xml:space="preserve">, L. C. B., &amp; Sande, D. (2020). Edible flowers: Bioactive profile and its potential to be used in food development. Food Research International, 129, 108868. </w:t>
      </w:r>
      <w:hyperlink r:id="rId42" w:history="1">
        <w:r w:rsidRPr="00C541D2">
          <w:rPr>
            <w:rStyle w:val="Hyperlink"/>
            <w:rFonts w:ascii="Arial" w:hAnsi="Arial" w:cs="Arial"/>
            <w:sz w:val="20"/>
            <w:szCs w:val="20"/>
            <w:shd w:val="clear" w:color="auto" w:fill="FFFFFF"/>
          </w:rPr>
          <w:t>https://doi.org/10.1016/j.foodres.2019.108868</w:t>
        </w:r>
      </w:hyperlink>
      <w:r w:rsidRPr="00C541D2">
        <w:rPr>
          <w:rFonts w:ascii="Arial" w:hAnsi="Arial" w:cs="Arial"/>
          <w:color w:val="222222"/>
          <w:sz w:val="20"/>
          <w:szCs w:val="20"/>
          <w:shd w:val="clear" w:color="auto" w:fill="FFFFFF"/>
        </w:rPr>
        <w:t xml:space="preserve"> </w:t>
      </w:r>
    </w:p>
    <w:p w14:paraId="19026FD7" w14:textId="77777777" w:rsidR="00F5545C" w:rsidRPr="00F5545C"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F5545C">
        <w:rPr>
          <w:rFonts w:ascii="Arial" w:hAnsi="Arial" w:cs="Arial"/>
          <w:color w:val="222222"/>
          <w:sz w:val="20"/>
          <w:szCs w:val="20"/>
          <w:shd w:val="clear" w:color="auto" w:fill="FFFFFF"/>
        </w:rPr>
        <w:t>United States Department of Agriculture, Agricultural Research Service. (2019). “ USDA National Nutrient Database for Standard Reference, Legacy Release”. Nutrient Data Laboratory Home Page. </w:t>
      </w:r>
      <w:hyperlink r:id="rId43" w:tgtFrame="_blank" w:history="1">
        <w:r w:rsidRPr="00F5545C">
          <w:rPr>
            <w:rStyle w:val="Hyperlink"/>
            <w:rFonts w:ascii="Arial" w:hAnsi="Arial" w:cs="Arial"/>
            <w:sz w:val="20"/>
            <w:szCs w:val="20"/>
            <w:shd w:val="clear" w:color="auto" w:fill="FFFFFF"/>
          </w:rPr>
          <w:t>https://data.nal.usda.gov/dataset/usda-national-nutrient-database-standard-reference-legacy-release</w:t>
        </w:r>
      </w:hyperlink>
    </w:p>
    <w:p w14:paraId="0D893BE3" w14:textId="6FD7A974" w:rsidR="00F5545C" w:rsidRPr="00C541D2" w:rsidRDefault="004A4DF8" w:rsidP="00C541D2">
      <w:pPr>
        <w:pStyle w:val="ListParagraph"/>
        <w:numPr>
          <w:ilvl w:val="0"/>
          <w:numId w:val="3"/>
        </w:numPr>
        <w:spacing w:line="276" w:lineRule="auto"/>
        <w:jc w:val="both"/>
        <w:rPr>
          <w:rFonts w:ascii="Arial" w:hAnsi="Arial" w:cs="Arial"/>
          <w:color w:val="000000" w:themeColor="text1"/>
          <w:sz w:val="20"/>
          <w:szCs w:val="20"/>
          <w:shd w:val="clear" w:color="auto" w:fill="FFFFFF"/>
        </w:rPr>
      </w:pPr>
      <w:proofErr w:type="spellStart"/>
      <w:r w:rsidRPr="004A4DF8">
        <w:rPr>
          <w:rFonts w:ascii="Arial" w:hAnsi="Arial" w:cs="Arial"/>
          <w:color w:val="000000" w:themeColor="text1"/>
          <w:sz w:val="20"/>
          <w:szCs w:val="20"/>
          <w:shd w:val="clear" w:color="auto" w:fill="FFFFFF"/>
        </w:rPr>
        <w:t>Wongwattanasathien</w:t>
      </w:r>
      <w:proofErr w:type="spellEnd"/>
      <w:r w:rsidRPr="004A4DF8">
        <w:rPr>
          <w:rFonts w:ascii="Arial" w:hAnsi="Arial" w:cs="Arial"/>
          <w:color w:val="000000" w:themeColor="text1"/>
          <w:sz w:val="20"/>
          <w:szCs w:val="20"/>
          <w:shd w:val="clear" w:color="auto" w:fill="FFFFFF"/>
        </w:rPr>
        <w:t xml:space="preserve">, O., </w:t>
      </w:r>
      <w:proofErr w:type="spellStart"/>
      <w:r w:rsidRPr="004A4DF8">
        <w:rPr>
          <w:rFonts w:ascii="Arial" w:hAnsi="Arial" w:cs="Arial"/>
          <w:color w:val="000000" w:themeColor="text1"/>
          <w:sz w:val="20"/>
          <w:szCs w:val="20"/>
          <w:shd w:val="clear" w:color="auto" w:fill="FFFFFF"/>
        </w:rPr>
        <w:t>Kangsadalampai</w:t>
      </w:r>
      <w:proofErr w:type="spellEnd"/>
      <w:r w:rsidRPr="004A4DF8">
        <w:rPr>
          <w:rFonts w:ascii="Arial" w:hAnsi="Arial" w:cs="Arial"/>
          <w:color w:val="000000" w:themeColor="text1"/>
          <w:sz w:val="20"/>
          <w:szCs w:val="20"/>
          <w:shd w:val="clear" w:color="auto" w:fill="FFFFFF"/>
        </w:rPr>
        <w:t xml:space="preserve">, K., &amp; </w:t>
      </w:r>
      <w:proofErr w:type="spellStart"/>
      <w:r w:rsidRPr="004A4DF8">
        <w:rPr>
          <w:rFonts w:ascii="Arial" w:hAnsi="Arial" w:cs="Arial"/>
          <w:color w:val="000000" w:themeColor="text1"/>
          <w:sz w:val="20"/>
          <w:szCs w:val="20"/>
          <w:shd w:val="clear" w:color="auto" w:fill="FFFFFF"/>
        </w:rPr>
        <w:t>Tongyonk</w:t>
      </w:r>
      <w:proofErr w:type="spellEnd"/>
      <w:r w:rsidRPr="004A4DF8">
        <w:rPr>
          <w:rFonts w:ascii="Arial" w:hAnsi="Arial" w:cs="Arial"/>
          <w:color w:val="000000" w:themeColor="text1"/>
          <w:sz w:val="20"/>
          <w:szCs w:val="20"/>
          <w:shd w:val="clear" w:color="auto" w:fill="FFFFFF"/>
        </w:rPr>
        <w:t>, L. (2010). Antimutagenicity of some flowers grown in Thailand. </w:t>
      </w:r>
      <w:r w:rsidRPr="004A4DF8">
        <w:rPr>
          <w:rFonts w:ascii="Arial" w:hAnsi="Arial" w:cs="Arial"/>
          <w:i/>
          <w:iCs/>
          <w:color w:val="000000" w:themeColor="text1"/>
          <w:sz w:val="20"/>
          <w:szCs w:val="20"/>
          <w:shd w:val="clear" w:color="auto" w:fill="FFFFFF"/>
        </w:rPr>
        <w:t>Food and Chemical Toxicology</w:t>
      </w:r>
      <w:r w:rsidRPr="004A4DF8">
        <w:rPr>
          <w:rFonts w:ascii="Arial" w:hAnsi="Arial" w:cs="Arial"/>
          <w:color w:val="000000" w:themeColor="text1"/>
          <w:sz w:val="20"/>
          <w:szCs w:val="20"/>
          <w:shd w:val="clear" w:color="auto" w:fill="FFFFFF"/>
        </w:rPr>
        <w:t>, </w:t>
      </w:r>
      <w:r w:rsidRPr="004A4DF8">
        <w:rPr>
          <w:rFonts w:ascii="Arial" w:hAnsi="Arial" w:cs="Arial"/>
          <w:i/>
          <w:iCs/>
          <w:color w:val="000000" w:themeColor="text1"/>
          <w:sz w:val="20"/>
          <w:szCs w:val="20"/>
          <w:shd w:val="clear" w:color="auto" w:fill="FFFFFF"/>
        </w:rPr>
        <w:t>48</w:t>
      </w:r>
      <w:r w:rsidRPr="004A4DF8">
        <w:rPr>
          <w:rFonts w:ascii="Arial" w:hAnsi="Arial" w:cs="Arial"/>
          <w:color w:val="000000" w:themeColor="text1"/>
          <w:sz w:val="20"/>
          <w:szCs w:val="20"/>
          <w:shd w:val="clear" w:color="auto" w:fill="FFFFFF"/>
        </w:rPr>
        <w:t>(4), 1045-1051</w:t>
      </w:r>
      <w:r w:rsidR="00F5545C" w:rsidRPr="00C541D2">
        <w:rPr>
          <w:rFonts w:ascii="Arial" w:hAnsi="Arial" w:cs="Arial"/>
          <w:color w:val="000000" w:themeColor="text1"/>
          <w:sz w:val="20"/>
          <w:szCs w:val="20"/>
          <w:shd w:val="clear" w:color="auto" w:fill="FFFFFF"/>
        </w:rPr>
        <w:t xml:space="preserve">. </w:t>
      </w:r>
      <w:hyperlink r:id="rId44" w:history="1">
        <w:r w:rsidR="00F5545C" w:rsidRPr="00C541D2">
          <w:rPr>
            <w:rStyle w:val="Hyperlink"/>
            <w:rFonts w:ascii="Arial" w:hAnsi="Arial" w:cs="Arial"/>
            <w:sz w:val="20"/>
            <w:szCs w:val="20"/>
            <w:shd w:val="clear" w:color="auto" w:fill="FFFFFF"/>
          </w:rPr>
          <w:t>https://doi.org/10.1016/j.fct.2010.01.018</w:t>
        </w:r>
      </w:hyperlink>
      <w:r w:rsidR="00F5545C" w:rsidRPr="00C541D2">
        <w:rPr>
          <w:rFonts w:ascii="Arial" w:hAnsi="Arial" w:cs="Arial"/>
          <w:color w:val="000000" w:themeColor="text1"/>
          <w:sz w:val="20"/>
          <w:szCs w:val="20"/>
          <w:shd w:val="clear" w:color="auto" w:fill="FFFFFF"/>
        </w:rPr>
        <w:t xml:space="preserve"> </w:t>
      </w:r>
    </w:p>
    <w:p w14:paraId="64CB3074"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Youssef, A. M. M., EL-</w:t>
      </w:r>
      <w:proofErr w:type="spellStart"/>
      <w:r w:rsidRPr="00C541D2">
        <w:rPr>
          <w:rFonts w:ascii="Arial" w:hAnsi="Arial" w:cs="Arial"/>
          <w:color w:val="222222"/>
          <w:sz w:val="20"/>
          <w:szCs w:val="20"/>
          <w:shd w:val="clear" w:color="auto" w:fill="FFFFFF"/>
        </w:rPr>
        <w:t>Swaify</w:t>
      </w:r>
      <w:proofErr w:type="spellEnd"/>
      <w:r w:rsidRPr="00C541D2">
        <w:rPr>
          <w:rFonts w:ascii="Arial" w:hAnsi="Arial" w:cs="Arial"/>
          <w:color w:val="222222"/>
          <w:sz w:val="20"/>
          <w:szCs w:val="20"/>
          <w:shd w:val="clear" w:color="auto" w:fill="FFFFFF"/>
        </w:rPr>
        <w:t>, Z. A. S., Maaty, D. A., &amp; Youssef, M. M. (2021). Phytochemistry and antiviral properties of two Lotus species</w:t>
      </w:r>
      <w:r w:rsidRPr="00C541D2">
        <w:rPr>
          <w:rFonts w:ascii="Arial" w:hAnsi="Arial" w:cs="Arial"/>
          <w:color w:val="222222"/>
          <w:sz w:val="20"/>
          <w:szCs w:val="20"/>
          <w:shd w:val="clear" w:color="auto" w:fill="FFFFFF"/>
          <w:cs/>
        </w:rPr>
        <w:t>‎</w:t>
      </w:r>
      <w:r w:rsidRPr="00C541D2">
        <w:rPr>
          <w:rFonts w:ascii="Arial" w:hAnsi="Arial" w:cs="Arial"/>
          <w:color w:val="222222"/>
          <w:sz w:val="20"/>
          <w:szCs w:val="20"/>
          <w:shd w:val="clear" w:color="auto" w:fill="FFFFFF"/>
        </w:rPr>
        <w:t xml:space="preserve"> growing in Egypt. </w:t>
      </w:r>
      <w:r w:rsidRPr="00C541D2">
        <w:rPr>
          <w:rFonts w:ascii="Arial" w:hAnsi="Arial" w:cs="Arial"/>
          <w:i/>
          <w:iCs/>
          <w:color w:val="222222"/>
          <w:sz w:val="20"/>
          <w:szCs w:val="20"/>
          <w:shd w:val="clear" w:color="auto" w:fill="FFFFFF"/>
        </w:rPr>
        <w:t>Vitae</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28</w:t>
      </w:r>
      <w:r w:rsidRPr="00C541D2">
        <w:rPr>
          <w:rFonts w:ascii="Arial" w:hAnsi="Arial" w:cs="Arial"/>
          <w:color w:val="222222"/>
          <w:sz w:val="20"/>
          <w:szCs w:val="20"/>
          <w:shd w:val="clear" w:color="auto" w:fill="FFFFFF"/>
        </w:rPr>
        <w:t xml:space="preserve">(3). </w:t>
      </w:r>
      <w:hyperlink r:id="rId45" w:history="1">
        <w:r w:rsidRPr="00C541D2">
          <w:rPr>
            <w:rStyle w:val="Hyperlink"/>
            <w:rFonts w:ascii="Arial" w:hAnsi="Arial" w:cs="Arial"/>
            <w:sz w:val="20"/>
            <w:szCs w:val="20"/>
            <w:shd w:val="clear" w:color="auto" w:fill="FFFFFF"/>
          </w:rPr>
          <w:t>https://doi.org/10.17533/udea.vitae.v28n3a348069</w:t>
        </w:r>
      </w:hyperlink>
      <w:r w:rsidRPr="00C541D2">
        <w:rPr>
          <w:rFonts w:ascii="Arial" w:hAnsi="Arial" w:cs="Arial"/>
          <w:color w:val="222222"/>
          <w:sz w:val="20"/>
          <w:szCs w:val="20"/>
          <w:shd w:val="clear" w:color="auto" w:fill="FFFFFF"/>
        </w:rPr>
        <w:t xml:space="preserve"> </w:t>
      </w:r>
    </w:p>
    <w:p w14:paraId="620ECCCC" w14:textId="77777777" w:rsidR="00F5545C" w:rsidRPr="00C541D2" w:rsidRDefault="00F5545C" w:rsidP="00C541D2">
      <w:pPr>
        <w:pStyle w:val="ListParagraph"/>
        <w:numPr>
          <w:ilvl w:val="0"/>
          <w:numId w:val="3"/>
        </w:numPr>
        <w:spacing w:line="276" w:lineRule="auto"/>
        <w:jc w:val="both"/>
        <w:rPr>
          <w:rFonts w:ascii="Arial" w:hAnsi="Arial" w:cs="Arial"/>
          <w:color w:val="222222"/>
          <w:sz w:val="20"/>
          <w:szCs w:val="20"/>
          <w:shd w:val="clear" w:color="auto" w:fill="FFFFFF"/>
        </w:rPr>
      </w:pPr>
      <w:r w:rsidRPr="00C541D2">
        <w:rPr>
          <w:rFonts w:ascii="Arial" w:hAnsi="Arial" w:cs="Arial"/>
          <w:color w:val="222222"/>
          <w:sz w:val="20"/>
          <w:szCs w:val="20"/>
          <w:shd w:val="clear" w:color="auto" w:fill="FFFFFF"/>
        </w:rPr>
        <w:t>Zheng, J., Lu, B., &amp; Xu, B. (2021). An update on the health benefits promoted by edible flowers and involved mechanisms. </w:t>
      </w:r>
      <w:r w:rsidRPr="00C541D2">
        <w:rPr>
          <w:rFonts w:ascii="Arial" w:hAnsi="Arial" w:cs="Arial"/>
          <w:i/>
          <w:iCs/>
          <w:color w:val="222222"/>
          <w:sz w:val="20"/>
          <w:szCs w:val="20"/>
          <w:shd w:val="clear" w:color="auto" w:fill="FFFFFF"/>
        </w:rPr>
        <w:t>Food Chemistry</w:t>
      </w:r>
      <w:r w:rsidRPr="00C541D2">
        <w:rPr>
          <w:rFonts w:ascii="Arial" w:hAnsi="Arial" w:cs="Arial"/>
          <w:color w:val="222222"/>
          <w:sz w:val="20"/>
          <w:szCs w:val="20"/>
          <w:shd w:val="clear" w:color="auto" w:fill="FFFFFF"/>
        </w:rPr>
        <w:t>, </w:t>
      </w:r>
      <w:r w:rsidRPr="00C541D2">
        <w:rPr>
          <w:rFonts w:ascii="Arial" w:hAnsi="Arial" w:cs="Arial"/>
          <w:i/>
          <w:iCs/>
          <w:color w:val="222222"/>
          <w:sz w:val="20"/>
          <w:szCs w:val="20"/>
          <w:shd w:val="clear" w:color="auto" w:fill="FFFFFF"/>
        </w:rPr>
        <w:t>340</w:t>
      </w:r>
      <w:r w:rsidRPr="00C541D2">
        <w:rPr>
          <w:rFonts w:ascii="Arial" w:hAnsi="Arial" w:cs="Arial"/>
          <w:color w:val="222222"/>
          <w:sz w:val="20"/>
          <w:szCs w:val="20"/>
          <w:shd w:val="clear" w:color="auto" w:fill="FFFFFF"/>
        </w:rPr>
        <w:t xml:space="preserve">, 127940.  </w:t>
      </w:r>
      <w:hyperlink r:id="rId46" w:history="1">
        <w:r w:rsidRPr="00C541D2">
          <w:rPr>
            <w:rStyle w:val="Hyperlink"/>
            <w:rFonts w:ascii="Arial" w:hAnsi="Arial" w:cs="Arial"/>
            <w:sz w:val="20"/>
            <w:szCs w:val="20"/>
            <w:shd w:val="clear" w:color="auto" w:fill="FFFFFF"/>
          </w:rPr>
          <w:t>https://doi.org/10.1016/j.foodchem.2020.127940</w:t>
        </w:r>
      </w:hyperlink>
      <w:r w:rsidRPr="00C541D2">
        <w:rPr>
          <w:rFonts w:ascii="Arial" w:hAnsi="Arial" w:cs="Arial"/>
          <w:color w:val="222222"/>
          <w:sz w:val="20"/>
          <w:szCs w:val="20"/>
          <w:shd w:val="clear" w:color="auto" w:fill="FFFFFF"/>
        </w:rPr>
        <w:t xml:space="preserve"> </w:t>
      </w:r>
    </w:p>
    <w:p w14:paraId="088C70CA" w14:textId="77777777" w:rsidR="00C541D2" w:rsidRPr="00F5545C" w:rsidRDefault="00C541D2" w:rsidP="00C541D2">
      <w:pPr>
        <w:pStyle w:val="ListParagraph"/>
        <w:spacing w:line="276" w:lineRule="auto"/>
        <w:ind w:left="540"/>
        <w:jc w:val="both"/>
        <w:rPr>
          <w:rFonts w:ascii="Times New Roman" w:hAnsi="Times New Roman" w:cs="Times New Roman"/>
          <w:color w:val="222222"/>
          <w:sz w:val="24"/>
          <w:szCs w:val="24"/>
          <w:shd w:val="clear" w:color="auto" w:fill="FFFFFF"/>
        </w:rPr>
      </w:pPr>
    </w:p>
    <w:p w14:paraId="0ECF9DD9" w14:textId="77777777" w:rsidR="00C541D2" w:rsidRPr="00C65DA3" w:rsidRDefault="00C541D2" w:rsidP="00C541D2">
      <w:pPr>
        <w:pStyle w:val="ListParagraph"/>
        <w:spacing w:line="276" w:lineRule="auto"/>
        <w:jc w:val="both"/>
        <w:rPr>
          <w:rFonts w:ascii="Times New Roman" w:hAnsi="Times New Roman" w:cs="Times New Roman"/>
          <w:color w:val="222222"/>
          <w:sz w:val="24"/>
          <w:szCs w:val="24"/>
          <w:shd w:val="clear" w:color="auto" w:fill="FFFFFF"/>
        </w:rPr>
      </w:pPr>
    </w:p>
    <w:p w14:paraId="3915099C" w14:textId="77777777" w:rsidR="00C541D2" w:rsidRPr="00A011DF" w:rsidRDefault="00C541D2" w:rsidP="003F47D4">
      <w:pPr>
        <w:jc w:val="both"/>
        <w:rPr>
          <w:rFonts w:ascii="Arial" w:hAnsi="Arial" w:cs="Arial"/>
          <w:sz w:val="20"/>
          <w:szCs w:val="20"/>
        </w:rPr>
      </w:pPr>
    </w:p>
    <w:p w14:paraId="292EADC9" w14:textId="3D4608B5" w:rsidR="00F35754" w:rsidRPr="00A011DF" w:rsidRDefault="00F35754" w:rsidP="005D3C98">
      <w:pPr>
        <w:ind w:firstLine="720"/>
        <w:jc w:val="both"/>
        <w:rPr>
          <w:rFonts w:ascii="Arial" w:hAnsi="Arial" w:cs="Arial"/>
          <w:sz w:val="20"/>
          <w:szCs w:val="20"/>
        </w:rPr>
      </w:pPr>
    </w:p>
    <w:sectPr w:rsidR="00F35754" w:rsidRPr="00A011DF" w:rsidSect="00F716AD">
      <w:headerReference w:type="even" r:id="rId47"/>
      <w:headerReference w:type="default" r:id="rId48"/>
      <w:footerReference w:type="even" r:id="rId49"/>
      <w:footerReference w:type="default" r:id="rId50"/>
      <w:headerReference w:type="first" r:id="rId51"/>
      <w:footerReference w:type="first" r:id="rId52"/>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65906" w14:textId="77777777" w:rsidR="00567976" w:rsidRDefault="00567976" w:rsidP="003A4EC1">
      <w:pPr>
        <w:spacing w:after="0" w:line="240" w:lineRule="auto"/>
      </w:pPr>
      <w:r>
        <w:separator/>
      </w:r>
    </w:p>
  </w:endnote>
  <w:endnote w:type="continuationSeparator" w:id="0">
    <w:p w14:paraId="2DA4A36E" w14:textId="77777777" w:rsidR="00567976" w:rsidRDefault="00567976" w:rsidP="003A4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C0BB" w14:textId="77777777" w:rsidR="003A4EC1" w:rsidRDefault="003A4E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466F0" w14:textId="77777777" w:rsidR="003A4EC1" w:rsidRDefault="003A4E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9790B" w14:textId="77777777" w:rsidR="003A4EC1" w:rsidRDefault="003A4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2A583" w14:textId="77777777" w:rsidR="00567976" w:rsidRDefault="00567976" w:rsidP="003A4EC1">
      <w:pPr>
        <w:spacing w:after="0" w:line="240" w:lineRule="auto"/>
      </w:pPr>
      <w:r>
        <w:separator/>
      </w:r>
    </w:p>
  </w:footnote>
  <w:footnote w:type="continuationSeparator" w:id="0">
    <w:p w14:paraId="3CCDC90C" w14:textId="77777777" w:rsidR="00567976" w:rsidRDefault="00567976" w:rsidP="003A4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E4C29" w14:textId="34D39A9B" w:rsidR="003A4EC1" w:rsidRDefault="003A4EC1">
    <w:pPr>
      <w:pStyle w:val="Header"/>
    </w:pPr>
    <w:r>
      <w:rPr>
        <w:noProof/>
      </w:rPr>
      <w:pict w14:anchorId="53D1D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10329" o:spid="_x0000_s2050" type="#_x0000_t136" style="position:absolute;margin-left:0;margin-top:0;width:577.95pt;height:10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5F978" w14:textId="2FB0B506" w:rsidR="003A4EC1" w:rsidRDefault="003A4EC1">
    <w:pPr>
      <w:pStyle w:val="Header"/>
    </w:pPr>
    <w:r>
      <w:rPr>
        <w:noProof/>
      </w:rPr>
      <w:pict w14:anchorId="315F4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10330" o:spid="_x0000_s2051" type="#_x0000_t136" style="position:absolute;margin-left:0;margin-top:0;width:577.95pt;height:10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4B087" w14:textId="08ED6CCC" w:rsidR="003A4EC1" w:rsidRDefault="003A4EC1">
    <w:pPr>
      <w:pStyle w:val="Header"/>
    </w:pPr>
    <w:r>
      <w:rPr>
        <w:noProof/>
      </w:rPr>
      <w:pict w14:anchorId="61BF7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610328" o:spid="_x0000_s2049" type="#_x0000_t136" style="position:absolute;margin-left:0;margin-top:0;width:577.95pt;height:10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8A0"/>
    <w:multiLevelType w:val="hybridMultilevel"/>
    <w:tmpl w:val="0316D902"/>
    <w:lvl w:ilvl="0" w:tplc="C406981A">
      <w:start w:val="1"/>
      <w:numFmt w:val="decimal"/>
      <w:lvlText w:val="%1."/>
      <w:lvlJc w:val="left"/>
      <w:pPr>
        <w:ind w:left="540" w:hanging="360"/>
      </w:pPr>
      <w:rPr>
        <w:rFonts w:hint="default"/>
        <w:color w:val="000000" w:themeColor="text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493F97"/>
    <w:multiLevelType w:val="multilevel"/>
    <w:tmpl w:val="A15CBB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54"/>
    <w:rsid w:val="0000413B"/>
    <w:rsid w:val="00004DE8"/>
    <w:rsid w:val="000301A7"/>
    <w:rsid w:val="0009565A"/>
    <w:rsid w:val="000E209D"/>
    <w:rsid w:val="000F4A66"/>
    <w:rsid w:val="000F6D62"/>
    <w:rsid w:val="001017A1"/>
    <w:rsid w:val="001914F0"/>
    <w:rsid w:val="00196008"/>
    <w:rsid w:val="001A09C8"/>
    <w:rsid w:val="001C43F1"/>
    <w:rsid w:val="001D5CE0"/>
    <w:rsid w:val="00214CD5"/>
    <w:rsid w:val="002163AD"/>
    <w:rsid w:val="002248D3"/>
    <w:rsid w:val="00232399"/>
    <w:rsid w:val="00242AE6"/>
    <w:rsid w:val="00267571"/>
    <w:rsid w:val="002823EA"/>
    <w:rsid w:val="00291739"/>
    <w:rsid w:val="002A37EA"/>
    <w:rsid w:val="002B1472"/>
    <w:rsid w:val="00306FB6"/>
    <w:rsid w:val="00360E7E"/>
    <w:rsid w:val="00374F42"/>
    <w:rsid w:val="003A4EC1"/>
    <w:rsid w:val="003F2F31"/>
    <w:rsid w:val="003F47D4"/>
    <w:rsid w:val="00400B60"/>
    <w:rsid w:val="00415A6A"/>
    <w:rsid w:val="00416FD4"/>
    <w:rsid w:val="00443DF3"/>
    <w:rsid w:val="004560CE"/>
    <w:rsid w:val="004A4DF8"/>
    <w:rsid w:val="004C2BB9"/>
    <w:rsid w:val="004E34A4"/>
    <w:rsid w:val="004E75B5"/>
    <w:rsid w:val="004E7764"/>
    <w:rsid w:val="004F7BA9"/>
    <w:rsid w:val="00501059"/>
    <w:rsid w:val="00514D07"/>
    <w:rsid w:val="00537764"/>
    <w:rsid w:val="00542187"/>
    <w:rsid w:val="00552F35"/>
    <w:rsid w:val="005530D1"/>
    <w:rsid w:val="00564BA8"/>
    <w:rsid w:val="00567976"/>
    <w:rsid w:val="0058502C"/>
    <w:rsid w:val="00585E78"/>
    <w:rsid w:val="00587F34"/>
    <w:rsid w:val="005B3743"/>
    <w:rsid w:val="005C04CB"/>
    <w:rsid w:val="005D3C98"/>
    <w:rsid w:val="005F0ADC"/>
    <w:rsid w:val="00607ED2"/>
    <w:rsid w:val="00610696"/>
    <w:rsid w:val="0061718B"/>
    <w:rsid w:val="00625DC3"/>
    <w:rsid w:val="006326AB"/>
    <w:rsid w:val="006374B1"/>
    <w:rsid w:val="00642875"/>
    <w:rsid w:val="006659EF"/>
    <w:rsid w:val="0069616A"/>
    <w:rsid w:val="006A1311"/>
    <w:rsid w:val="006C634A"/>
    <w:rsid w:val="00722239"/>
    <w:rsid w:val="00787850"/>
    <w:rsid w:val="007B5BDF"/>
    <w:rsid w:val="007C1542"/>
    <w:rsid w:val="007E2A29"/>
    <w:rsid w:val="007E5DD3"/>
    <w:rsid w:val="00815DD5"/>
    <w:rsid w:val="00853F63"/>
    <w:rsid w:val="00871ACE"/>
    <w:rsid w:val="00894BAB"/>
    <w:rsid w:val="008C0605"/>
    <w:rsid w:val="008C2C65"/>
    <w:rsid w:val="009071DC"/>
    <w:rsid w:val="009633C9"/>
    <w:rsid w:val="009B44A5"/>
    <w:rsid w:val="009C01D5"/>
    <w:rsid w:val="009E3960"/>
    <w:rsid w:val="009E5C3A"/>
    <w:rsid w:val="009E5C89"/>
    <w:rsid w:val="00A011DF"/>
    <w:rsid w:val="00A31798"/>
    <w:rsid w:val="00A560B4"/>
    <w:rsid w:val="00A635FC"/>
    <w:rsid w:val="00A90E12"/>
    <w:rsid w:val="00AE6B77"/>
    <w:rsid w:val="00B051FF"/>
    <w:rsid w:val="00B170A8"/>
    <w:rsid w:val="00B21BBB"/>
    <w:rsid w:val="00B46BEB"/>
    <w:rsid w:val="00B920F4"/>
    <w:rsid w:val="00BC3115"/>
    <w:rsid w:val="00C31F5F"/>
    <w:rsid w:val="00C36787"/>
    <w:rsid w:val="00C541D2"/>
    <w:rsid w:val="00C92771"/>
    <w:rsid w:val="00CA7FC4"/>
    <w:rsid w:val="00CB4A46"/>
    <w:rsid w:val="00CC1400"/>
    <w:rsid w:val="00CD27B0"/>
    <w:rsid w:val="00CE564E"/>
    <w:rsid w:val="00CF1FBB"/>
    <w:rsid w:val="00CF7C98"/>
    <w:rsid w:val="00D33EA2"/>
    <w:rsid w:val="00D42CF4"/>
    <w:rsid w:val="00D66EBE"/>
    <w:rsid w:val="00D71D14"/>
    <w:rsid w:val="00DA35E6"/>
    <w:rsid w:val="00DB79FE"/>
    <w:rsid w:val="00DC2E1E"/>
    <w:rsid w:val="00E15CA6"/>
    <w:rsid w:val="00E34199"/>
    <w:rsid w:val="00E53D87"/>
    <w:rsid w:val="00E60384"/>
    <w:rsid w:val="00E86D70"/>
    <w:rsid w:val="00EC2737"/>
    <w:rsid w:val="00ED19C3"/>
    <w:rsid w:val="00EE6E24"/>
    <w:rsid w:val="00EF1229"/>
    <w:rsid w:val="00EF2352"/>
    <w:rsid w:val="00F2085B"/>
    <w:rsid w:val="00F22CCC"/>
    <w:rsid w:val="00F24FE4"/>
    <w:rsid w:val="00F35754"/>
    <w:rsid w:val="00F5545C"/>
    <w:rsid w:val="00F556E3"/>
    <w:rsid w:val="00F62616"/>
    <w:rsid w:val="00F716AD"/>
    <w:rsid w:val="00F803FB"/>
    <w:rsid w:val="00F8313A"/>
    <w:rsid w:val="00F8526D"/>
    <w:rsid w:val="00F85DD6"/>
    <w:rsid w:val="00F87E0F"/>
    <w:rsid w:val="00F977B9"/>
    <w:rsid w:val="00FD15C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52CAA"/>
  <w15:chartTrackingRefBased/>
  <w15:docId w15:val="{B66D8FC6-D2F0-4A4E-A34F-99C5D816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15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74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54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22239"/>
    <w:pPr>
      <w:ind w:left="720"/>
      <w:contextualSpacing/>
    </w:pPr>
  </w:style>
  <w:style w:type="character" w:styleId="Emphasis">
    <w:name w:val="Emphasis"/>
    <w:basedOn w:val="DefaultParagraphFont"/>
    <w:uiPriority w:val="20"/>
    <w:qFormat/>
    <w:rsid w:val="00C541D2"/>
    <w:rPr>
      <w:i/>
      <w:iCs/>
    </w:rPr>
  </w:style>
  <w:style w:type="character" w:styleId="Hyperlink">
    <w:name w:val="Hyperlink"/>
    <w:basedOn w:val="DefaultParagraphFont"/>
    <w:uiPriority w:val="99"/>
    <w:unhideWhenUsed/>
    <w:rsid w:val="00C541D2"/>
    <w:rPr>
      <w:color w:val="0563C1" w:themeColor="hyperlink"/>
      <w:u w:val="single"/>
    </w:rPr>
  </w:style>
  <w:style w:type="character" w:styleId="FollowedHyperlink">
    <w:name w:val="FollowedHyperlink"/>
    <w:basedOn w:val="DefaultParagraphFont"/>
    <w:uiPriority w:val="99"/>
    <w:semiHidden/>
    <w:unhideWhenUsed/>
    <w:rsid w:val="00853F63"/>
    <w:rPr>
      <w:color w:val="954F72" w:themeColor="followedHyperlink"/>
      <w:u w:val="single"/>
    </w:rPr>
  </w:style>
  <w:style w:type="character" w:customStyle="1" w:styleId="Heading3Char">
    <w:name w:val="Heading 3 Char"/>
    <w:basedOn w:val="DefaultParagraphFont"/>
    <w:link w:val="Heading3"/>
    <w:uiPriority w:val="9"/>
    <w:semiHidden/>
    <w:rsid w:val="006374B1"/>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6374B1"/>
    <w:rPr>
      <w:color w:val="605E5C"/>
      <w:shd w:val="clear" w:color="auto" w:fill="E1DFDD"/>
    </w:rPr>
  </w:style>
  <w:style w:type="paragraph" w:styleId="Header">
    <w:name w:val="header"/>
    <w:basedOn w:val="Normal"/>
    <w:link w:val="HeaderChar"/>
    <w:uiPriority w:val="99"/>
    <w:unhideWhenUsed/>
    <w:rsid w:val="003A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EC1"/>
  </w:style>
  <w:style w:type="paragraph" w:styleId="Footer">
    <w:name w:val="footer"/>
    <w:basedOn w:val="Normal"/>
    <w:link w:val="FooterChar"/>
    <w:uiPriority w:val="99"/>
    <w:unhideWhenUsed/>
    <w:rsid w:val="003A4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74970">
      <w:bodyDiv w:val="1"/>
      <w:marLeft w:val="0"/>
      <w:marRight w:val="0"/>
      <w:marTop w:val="0"/>
      <w:marBottom w:val="0"/>
      <w:divBdr>
        <w:top w:val="none" w:sz="0" w:space="0" w:color="auto"/>
        <w:left w:val="none" w:sz="0" w:space="0" w:color="auto"/>
        <w:bottom w:val="none" w:sz="0" w:space="0" w:color="auto"/>
        <w:right w:val="none" w:sz="0" w:space="0" w:color="auto"/>
      </w:divBdr>
    </w:div>
    <w:div w:id="25101218">
      <w:bodyDiv w:val="1"/>
      <w:marLeft w:val="0"/>
      <w:marRight w:val="0"/>
      <w:marTop w:val="0"/>
      <w:marBottom w:val="0"/>
      <w:divBdr>
        <w:top w:val="none" w:sz="0" w:space="0" w:color="auto"/>
        <w:left w:val="none" w:sz="0" w:space="0" w:color="auto"/>
        <w:bottom w:val="none" w:sz="0" w:space="0" w:color="auto"/>
        <w:right w:val="none" w:sz="0" w:space="0" w:color="auto"/>
      </w:divBdr>
    </w:div>
    <w:div w:id="152068069">
      <w:bodyDiv w:val="1"/>
      <w:marLeft w:val="0"/>
      <w:marRight w:val="0"/>
      <w:marTop w:val="0"/>
      <w:marBottom w:val="0"/>
      <w:divBdr>
        <w:top w:val="none" w:sz="0" w:space="0" w:color="auto"/>
        <w:left w:val="none" w:sz="0" w:space="0" w:color="auto"/>
        <w:bottom w:val="none" w:sz="0" w:space="0" w:color="auto"/>
        <w:right w:val="none" w:sz="0" w:space="0" w:color="auto"/>
      </w:divBdr>
    </w:div>
    <w:div w:id="314646598">
      <w:bodyDiv w:val="1"/>
      <w:marLeft w:val="0"/>
      <w:marRight w:val="0"/>
      <w:marTop w:val="0"/>
      <w:marBottom w:val="0"/>
      <w:divBdr>
        <w:top w:val="none" w:sz="0" w:space="0" w:color="auto"/>
        <w:left w:val="none" w:sz="0" w:space="0" w:color="auto"/>
        <w:bottom w:val="none" w:sz="0" w:space="0" w:color="auto"/>
        <w:right w:val="none" w:sz="0" w:space="0" w:color="auto"/>
      </w:divBdr>
    </w:div>
    <w:div w:id="348484674">
      <w:bodyDiv w:val="1"/>
      <w:marLeft w:val="0"/>
      <w:marRight w:val="0"/>
      <w:marTop w:val="0"/>
      <w:marBottom w:val="0"/>
      <w:divBdr>
        <w:top w:val="none" w:sz="0" w:space="0" w:color="auto"/>
        <w:left w:val="none" w:sz="0" w:space="0" w:color="auto"/>
        <w:bottom w:val="none" w:sz="0" w:space="0" w:color="auto"/>
        <w:right w:val="none" w:sz="0" w:space="0" w:color="auto"/>
      </w:divBdr>
    </w:div>
    <w:div w:id="617612701">
      <w:bodyDiv w:val="1"/>
      <w:marLeft w:val="0"/>
      <w:marRight w:val="0"/>
      <w:marTop w:val="0"/>
      <w:marBottom w:val="0"/>
      <w:divBdr>
        <w:top w:val="none" w:sz="0" w:space="0" w:color="auto"/>
        <w:left w:val="none" w:sz="0" w:space="0" w:color="auto"/>
        <w:bottom w:val="none" w:sz="0" w:space="0" w:color="auto"/>
        <w:right w:val="none" w:sz="0" w:space="0" w:color="auto"/>
      </w:divBdr>
    </w:div>
    <w:div w:id="1128861405">
      <w:bodyDiv w:val="1"/>
      <w:marLeft w:val="0"/>
      <w:marRight w:val="0"/>
      <w:marTop w:val="0"/>
      <w:marBottom w:val="0"/>
      <w:divBdr>
        <w:top w:val="none" w:sz="0" w:space="0" w:color="auto"/>
        <w:left w:val="none" w:sz="0" w:space="0" w:color="auto"/>
        <w:bottom w:val="none" w:sz="0" w:space="0" w:color="auto"/>
        <w:right w:val="none" w:sz="0" w:space="0" w:color="auto"/>
      </w:divBdr>
    </w:div>
    <w:div w:id="1343357624">
      <w:bodyDiv w:val="1"/>
      <w:marLeft w:val="0"/>
      <w:marRight w:val="0"/>
      <w:marTop w:val="0"/>
      <w:marBottom w:val="0"/>
      <w:divBdr>
        <w:top w:val="none" w:sz="0" w:space="0" w:color="auto"/>
        <w:left w:val="none" w:sz="0" w:space="0" w:color="auto"/>
        <w:bottom w:val="none" w:sz="0" w:space="0" w:color="auto"/>
        <w:right w:val="none" w:sz="0" w:space="0" w:color="auto"/>
      </w:divBdr>
    </w:div>
    <w:div w:id="1443648057">
      <w:bodyDiv w:val="1"/>
      <w:marLeft w:val="0"/>
      <w:marRight w:val="0"/>
      <w:marTop w:val="0"/>
      <w:marBottom w:val="0"/>
      <w:divBdr>
        <w:top w:val="none" w:sz="0" w:space="0" w:color="auto"/>
        <w:left w:val="none" w:sz="0" w:space="0" w:color="auto"/>
        <w:bottom w:val="none" w:sz="0" w:space="0" w:color="auto"/>
        <w:right w:val="none" w:sz="0" w:space="0" w:color="auto"/>
      </w:divBdr>
    </w:div>
    <w:div w:id="169884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odchem.2021.131315" TargetMode="External"/><Relationship Id="rId18" Type="http://schemas.openxmlformats.org/officeDocument/2006/relationships/hyperlink" Target="https://doi.org/10.1002/ptr.2644" TargetMode="External"/><Relationship Id="rId26" Type="http://schemas.openxmlformats.org/officeDocument/2006/relationships/hyperlink" Target="https://doi.org/10.1002/ptr.6263" TargetMode="External"/><Relationship Id="rId39" Type="http://schemas.openxmlformats.org/officeDocument/2006/relationships/hyperlink" Target="https://doi.org/10.1016/j.fufo.2021.100078" TargetMode="External"/><Relationship Id="rId21" Type="http://schemas.openxmlformats.org/officeDocument/2006/relationships/hyperlink" Target="https://doi.org/10.1016/j.sajb.2018.01.019" TargetMode="External"/><Relationship Id="rId34" Type="http://schemas.openxmlformats.org/officeDocument/2006/relationships/hyperlink" Target="https://doi.org/10.1016/j.jfda.2019.05.005" TargetMode="External"/><Relationship Id="rId42" Type="http://schemas.openxmlformats.org/officeDocument/2006/relationships/hyperlink" Target="https://doi.org/10.1016/j.foodres.2019.108868" TargetMode="External"/><Relationship Id="rId47" Type="http://schemas.openxmlformats.org/officeDocument/2006/relationships/header" Target="header1.xml"/><Relationship Id="rId50" Type="http://schemas.openxmlformats.org/officeDocument/2006/relationships/footer" Target="footer2.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746/pnf.2019.24.2.171" TargetMode="External"/><Relationship Id="rId29" Type="http://schemas.openxmlformats.org/officeDocument/2006/relationships/hyperlink" Target="https://doi.org/10.1111/j.1750-3841.2010.01702.x" TargetMode="External"/><Relationship Id="rId11" Type="http://schemas.openxmlformats.org/officeDocument/2006/relationships/hyperlink" Target="https://doi.org/10.3390/antiox14030282" TargetMode="External"/><Relationship Id="rId24" Type="http://schemas.openxmlformats.org/officeDocument/2006/relationships/hyperlink" Target="https://doi.org/10.1021/acsomega.3c03861?urlappend=%3Fref%3DPDF&amp;jav=VoR&amp;rel=cite-as" TargetMode="External"/><Relationship Id="rId32" Type="http://schemas.openxmlformats.org/officeDocument/2006/relationships/hyperlink" Target="https://doi.org/10.1080/10408398.2015.1078276" TargetMode="External"/><Relationship Id="rId37" Type="http://schemas.openxmlformats.org/officeDocument/2006/relationships/hyperlink" Target="https://doi.org/10.3390/molecules24010210" TargetMode="External"/><Relationship Id="rId40" Type="http://schemas.openxmlformats.org/officeDocument/2006/relationships/hyperlink" Target="https://hdl.handle.net/1843/59574" TargetMode="External"/><Relationship Id="rId45" Type="http://schemas.openxmlformats.org/officeDocument/2006/relationships/hyperlink" Target="https://doi.org/10.17533/udea.vitae.v28n3a348069"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90/antiox8110559" TargetMode="External"/><Relationship Id="rId19" Type="http://schemas.openxmlformats.org/officeDocument/2006/relationships/hyperlink" Target="https://doi.org/10.1590/1519-6984.07413" TargetMode="External"/><Relationship Id="rId31" Type="http://schemas.openxmlformats.org/officeDocument/2006/relationships/hyperlink" Target="https://pubs.acs.org/doi/abs/10.1021/acs.jafc.5b03092" TargetMode="External"/><Relationship Id="rId44" Type="http://schemas.openxmlformats.org/officeDocument/2006/relationships/hyperlink" Target="https://doi.org/10.1016/j.fct.2010.01.018"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1021/jf204539v" TargetMode="External"/><Relationship Id="rId14" Type="http://schemas.openxmlformats.org/officeDocument/2006/relationships/hyperlink" Target="https://doi.org/10.1016/j.jff.2015.05.028" TargetMode="External"/><Relationship Id="rId22" Type="http://schemas.openxmlformats.org/officeDocument/2006/relationships/hyperlink" Target="https://doi.org/10.1186/s42779-019-0002-x" TargetMode="External"/><Relationship Id="rId27" Type="http://schemas.openxmlformats.org/officeDocument/2006/relationships/hyperlink" Target="https://doi.org/10.1016/j.jff.2021.104375" TargetMode="External"/><Relationship Id="rId30" Type="http://schemas.openxmlformats.org/officeDocument/2006/relationships/hyperlink" Target="https://pubs.acs.org/doi/abs/10.1021/jf400569a" TargetMode="External"/><Relationship Id="rId35" Type="http://schemas.openxmlformats.org/officeDocument/2006/relationships/hyperlink" Target="https://doi.org/10.1080/14786419.2019.1672067" TargetMode="External"/><Relationship Id="rId43" Type="http://schemas.openxmlformats.org/officeDocument/2006/relationships/hyperlink" Target="https://data.nal.usda.gov/dataset/usda-national-nutrient-database-standard-reference-legacy-release" TargetMode="External"/><Relationship Id="rId48" Type="http://schemas.openxmlformats.org/officeDocument/2006/relationships/header" Target="header2.xml"/><Relationship Id="rId8" Type="http://schemas.openxmlformats.org/officeDocument/2006/relationships/hyperlink" Target="https://doi.org/10.3390/horticulturae7040066"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doi.org/10.3390/foods14101719" TargetMode="External"/><Relationship Id="rId17" Type="http://schemas.openxmlformats.org/officeDocument/2006/relationships/hyperlink" Target="https://doi.org/10.1016/j.tifs.2019.05.008" TargetMode="External"/><Relationship Id="rId25" Type="http://schemas.openxmlformats.org/officeDocument/2006/relationships/hyperlink" Target="http://dx.doi.org/doi:10.1016/j.hermed.2016.11.003" TargetMode="External"/><Relationship Id="rId33" Type="http://schemas.openxmlformats.org/officeDocument/2006/relationships/hyperlink" Target="https://doi.org/10.1016/j.tifs.2011.04.006" TargetMode="External"/><Relationship Id="rId38" Type="http://schemas.openxmlformats.org/officeDocument/2006/relationships/hyperlink" Target="https://doi.org/10.1016/j.lwt.2019.06.013" TargetMode="External"/><Relationship Id="rId46" Type="http://schemas.openxmlformats.org/officeDocument/2006/relationships/hyperlink" Target="https://doi.org/10.1016/j.foodchem.2020.127940" TargetMode="External"/><Relationship Id="rId20" Type="http://schemas.openxmlformats.org/officeDocument/2006/relationships/hyperlink" Target="https://doi.org/10.1016/j.idairyj.2018.09.010" TargetMode="External"/><Relationship Id="rId41" Type="http://schemas.openxmlformats.org/officeDocument/2006/relationships/hyperlink" Target="http://dx.doi.org/10.5281/zenodo.995637" TargetMode="External"/><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foodres.2020.109809" TargetMode="External"/><Relationship Id="rId23" Type="http://schemas.openxmlformats.org/officeDocument/2006/relationships/hyperlink" Target="https://doi.org/10.1016/j.jff.2015.05.045" TargetMode="External"/><Relationship Id="rId28" Type="http://schemas.openxmlformats.org/officeDocument/2006/relationships/hyperlink" Target="https://doi.org/10.1016/j.jff.2013.10.022" TargetMode="External"/><Relationship Id="rId36" Type="http://schemas.openxmlformats.org/officeDocument/2006/relationships/hyperlink" Target="https://doi.org/10.1016/j.ijgfs.2020.100235" TargetMode="External"/><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CDE82041F1421F9488D243737C1CD7"/>
        <w:category>
          <w:name w:val="General"/>
          <w:gallery w:val="placeholder"/>
        </w:category>
        <w:types>
          <w:type w:val="bbPlcHdr"/>
        </w:types>
        <w:behaviors>
          <w:behavior w:val="content"/>
        </w:behaviors>
        <w:guid w:val="{7C50300E-31AC-4BDF-87BC-C533F9DC9553}"/>
      </w:docPartPr>
      <w:docPartBody>
        <w:p w:rsidR="002D003C" w:rsidRDefault="005D657E" w:rsidP="005D657E">
          <w:pPr>
            <w:pStyle w:val="52CDE82041F1421F9488D243737C1CD7"/>
          </w:pPr>
          <w:r w:rsidRPr="00C25741">
            <w:rPr>
              <w:rStyle w:val="PlaceholderText"/>
            </w:rPr>
            <w:t>Click or tap here to enter text.</w:t>
          </w:r>
        </w:p>
      </w:docPartBody>
    </w:docPart>
    <w:docPart>
      <w:docPartPr>
        <w:name w:val="D1490D054E464A65A2934A39CA674853"/>
        <w:category>
          <w:name w:val="General"/>
          <w:gallery w:val="placeholder"/>
        </w:category>
        <w:types>
          <w:type w:val="bbPlcHdr"/>
        </w:types>
        <w:behaviors>
          <w:behavior w:val="content"/>
        </w:behaviors>
        <w:guid w:val="{F02A22E0-B5E6-40DB-94E3-454DD48EF62A}"/>
      </w:docPartPr>
      <w:docPartBody>
        <w:p w:rsidR="002D003C" w:rsidRDefault="005D657E" w:rsidP="005D657E">
          <w:pPr>
            <w:pStyle w:val="D1490D054E464A65A2934A39CA674853"/>
          </w:pPr>
          <w:r w:rsidRPr="00C25741">
            <w:rPr>
              <w:rStyle w:val="PlaceholderText"/>
            </w:rPr>
            <w:t>Click or tap here to enter text.</w:t>
          </w:r>
        </w:p>
      </w:docPartBody>
    </w:docPart>
    <w:docPart>
      <w:docPartPr>
        <w:name w:val="595F96B6D16E4FACAF93A8BB0E3EE90E"/>
        <w:category>
          <w:name w:val="General"/>
          <w:gallery w:val="placeholder"/>
        </w:category>
        <w:types>
          <w:type w:val="bbPlcHdr"/>
        </w:types>
        <w:behaviors>
          <w:behavior w:val="content"/>
        </w:behaviors>
        <w:guid w:val="{6B6EF73B-1E6D-42C2-9943-A9A63492C432}"/>
      </w:docPartPr>
      <w:docPartBody>
        <w:p w:rsidR="000E1176" w:rsidRDefault="00D16B31" w:rsidP="00D16B31">
          <w:pPr>
            <w:pStyle w:val="595F96B6D16E4FACAF93A8BB0E3EE90E"/>
          </w:pPr>
          <w:r w:rsidRPr="00C25741">
            <w:rPr>
              <w:rStyle w:val="PlaceholderText"/>
            </w:rPr>
            <w:t>Click or tap here to enter text.</w:t>
          </w:r>
        </w:p>
      </w:docPartBody>
    </w:docPart>
    <w:docPart>
      <w:docPartPr>
        <w:name w:val="A835EA1AADAB4440A6797FB96B2C45FB"/>
        <w:category>
          <w:name w:val="General"/>
          <w:gallery w:val="placeholder"/>
        </w:category>
        <w:types>
          <w:type w:val="bbPlcHdr"/>
        </w:types>
        <w:behaviors>
          <w:behavior w:val="content"/>
        </w:behaviors>
        <w:guid w:val="{B184D025-9397-4695-B6FA-82F204109CC0}"/>
      </w:docPartPr>
      <w:docPartBody>
        <w:p w:rsidR="000E1176" w:rsidRDefault="00D16B31" w:rsidP="00D16B31">
          <w:pPr>
            <w:pStyle w:val="A835EA1AADAB4440A6797FB96B2C45FB"/>
          </w:pPr>
          <w:r w:rsidRPr="00C257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7E"/>
    <w:rsid w:val="000768FA"/>
    <w:rsid w:val="000B14C7"/>
    <w:rsid w:val="000E1176"/>
    <w:rsid w:val="001D5CE0"/>
    <w:rsid w:val="001E4F64"/>
    <w:rsid w:val="002121CD"/>
    <w:rsid w:val="00241B34"/>
    <w:rsid w:val="002D003C"/>
    <w:rsid w:val="00501059"/>
    <w:rsid w:val="005D657E"/>
    <w:rsid w:val="006659EF"/>
    <w:rsid w:val="007D1A46"/>
    <w:rsid w:val="007E5DD3"/>
    <w:rsid w:val="008C2C65"/>
    <w:rsid w:val="008D56CA"/>
    <w:rsid w:val="00C065AC"/>
    <w:rsid w:val="00CC1400"/>
    <w:rsid w:val="00CF7C98"/>
    <w:rsid w:val="00D16B31"/>
    <w:rsid w:val="00DB00BE"/>
    <w:rsid w:val="00E86D70"/>
    <w:rsid w:val="00ED359D"/>
    <w:rsid w:val="00F22C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6B31"/>
    <w:rPr>
      <w:color w:val="666666"/>
    </w:rPr>
  </w:style>
  <w:style w:type="paragraph" w:customStyle="1" w:styleId="52CDE82041F1421F9488D243737C1CD7">
    <w:name w:val="52CDE82041F1421F9488D243737C1CD7"/>
    <w:rsid w:val="005D657E"/>
  </w:style>
  <w:style w:type="paragraph" w:customStyle="1" w:styleId="D1490D054E464A65A2934A39CA674853">
    <w:name w:val="D1490D054E464A65A2934A39CA674853"/>
    <w:rsid w:val="005D657E"/>
  </w:style>
  <w:style w:type="paragraph" w:customStyle="1" w:styleId="595F96B6D16E4FACAF93A8BB0E3EE90E">
    <w:name w:val="595F96B6D16E4FACAF93A8BB0E3EE90E"/>
    <w:rsid w:val="00D16B31"/>
  </w:style>
  <w:style w:type="paragraph" w:customStyle="1" w:styleId="A835EA1AADAB4440A6797FB96B2C45FB">
    <w:name w:val="A835EA1AADAB4440A6797FB96B2C45FB"/>
    <w:rsid w:val="00D16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3905-65C6-4417-9608-591D26ED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4938</Words>
  <Characters>28149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dc:creator>
  <cp:keywords/>
  <dc:description/>
  <cp:lastModifiedBy>SDI 1084</cp:lastModifiedBy>
  <cp:revision>4</cp:revision>
  <dcterms:created xsi:type="dcterms:W3CDTF">2025-11-13T11:47:00Z</dcterms:created>
  <dcterms:modified xsi:type="dcterms:W3CDTF">2025-11-14T11:43:00Z</dcterms:modified>
</cp:coreProperties>
</file>