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37767" w14:textId="7307C3D8" w:rsidR="001565D6" w:rsidRDefault="001565D6">
      <w:pPr>
        <w:rPr>
          <w:b/>
          <w:bCs/>
          <w:caps/>
        </w:rPr>
      </w:pPr>
      <w:r w:rsidRPr="001565D6">
        <w:rPr>
          <w:b/>
          <w:bCs/>
          <w:i/>
          <w:iCs/>
          <w:caps/>
          <w:u w:val="single"/>
        </w:rPr>
        <w:t>Original Research Article</w:t>
      </w:r>
    </w:p>
    <w:p w14:paraId="20EF14FB" w14:textId="21E71C40" w:rsidR="00B03C77" w:rsidRDefault="007E1F15">
      <w:pPr>
        <w:rPr>
          <w:b/>
          <w:bCs/>
          <w:caps/>
        </w:rPr>
      </w:pPr>
      <w:r>
        <w:rPr>
          <w:b/>
          <w:bCs/>
          <w:caps/>
        </w:rPr>
        <w:t xml:space="preserve">Phytochemical Analysis and </w:t>
      </w:r>
      <w:r>
        <w:rPr>
          <w:b/>
          <w:bCs/>
          <w:i/>
          <w:iCs/>
          <w:caps/>
        </w:rPr>
        <w:t>In Vitro</w:t>
      </w:r>
      <w:r>
        <w:rPr>
          <w:b/>
          <w:bCs/>
          <w:caps/>
        </w:rPr>
        <w:t xml:space="preserve"> anti-inflammatory potential of the Ethanolic Extract of </w:t>
      </w:r>
      <w:r>
        <w:rPr>
          <w:b/>
          <w:bCs/>
          <w:i/>
          <w:iCs/>
          <w:caps/>
        </w:rPr>
        <w:t xml:space="preserve">Trigonella foenum-graecum </w:t>
      </w:r>
      <w:r>
        <w:rPr>
          <w:b/>
          <w:bCs/>
          <w:caps/>
        </w:rPr>
        <w:t>(Fenugreek) Seeds</w:t>
      </w:r>
    </w:p>
    <w:p w14:paraId="29295A37" w14:textId="77777777" w:rsidR="00B03C77" w:rsidRPr="002A10E0" w:rsidRDefault="00B03C77">
      <w:pPr>
        <w:rPr>
          <w:caps/>
        </w:rPr>
      </w:pPr>
    </w:p>
    <w:p w14:paraId="033A4146" w14:textId="77777777" w:rsidR="00B03C77" w:rsidRPr="002A10E0" w:rsidRDefault="00B03C77">
      <w:pPr>
        <w:rPr>
          <w:caps/>
        </w:rPr>
      </w:pPr>
    </w:p>
    <w:p w14:paraId="678E1E27" w14:textId="77777777" w:rsidR="00B03C77" w:rsidRDefault="007E1F15">
      <w:r>
        <w:rPr>
          <w:b/>
          <w:bCs/>
          <w:caps/>
        </w:rPr>
        <w:t>Abstract</w:t>
      </w:r>
      <w:r>
        <w:t xml:space="preserve"> </w:t>
      </w:r>
    </w:p>
    <w:p w14:paraId="5227B035" w14:textId="77777777" w:rsidR="00B03C77" w:rsidRDefault="007E1F15">
      <w:pPr>
        <w:spacing w:line="240" w:lineRule="auto"/>
        <w:jc w:val="both"/>
      </w:pPr>
      <w:r>
        <w:t xml:space="preserve">Inflammation is a complex physiological response that, when prolonged, contributes to the onset of various chronic </w:t>
      </w:r>
      <w:proofErr w:type="spellStart"/>
      <w:proofErr w:type="gramStart"/>
      <w:r>
        <w:t>disorders.</w:t>
      </w:r>
      <w:r>
        <w:rPr>
          <w:i/>
          <w:iCs/>
        </w:rPr>
        <w:t>Trigonella</w:t>
      </w:r>
      <w:proofErr w:type="spellEnd"/>
      <w:proofErr w:type="gramEnd"/>
      <w:r>
        <w:rPr>
          <w:i/>
          <w:iCs/>
        </w:rPr>
        <w:t xml:space="preserve"> </w:t>
      </w:r>
      <w:proofErr w:type="spellStart"/>
      <w:r>
        <w:rPr>
          <w:i/>
          <w:iCs/>
        </w:rPr>
        <w:t>foenum</w:t>
      </w:r>
      <w:proofErr w:type="spellEnd"/>
      <w:r>
        <w:rPr>
          <w:i/>
          <w:iCs/>
        </w:rPr>
        <w:t>-graecum</w:t>
      </w:r>
      <w:r>
        <w:t xml:space="preserve"> (fenugreek) seeds are traditionally used in managing inflammatory conditions, but scientific validation of their efficacy remains limited. This study investigated the phytochemical composition and evaluated the in vitro anti-inflammatory activities of the</w:t>
      </w:r>
      <w:r>
        <w:t xml:space="preserve"> ethanolic extract of fenugreek seeds. Qualitative analysis was performed to identify major phytochemicals, while the anti-inflammatory potential of the extract was determined using two models: membrane stabilization and protein denaturation inhibition ass</w:t>
      </w:r>
      <w:r>
        <w:t xml:space="preserve">ays, with aspirin serving as the reference standard. All experiments were conducted in triplicate, and data were analyzed using one-way ANOVA followed by Duncan’s multiple range test at a significance level of p &lt; 0.05. The phytochemical analysis revealed </w:t>
      </w:r>
      <w:r>
        <w:t xml:space="preserve">the presence of flavonoids, phenols, saponins, alkaloids, tannins, terpenoids, steroids and cardiac glycosides in varying </w:t>
      </w:r>
      <w:proofErr w:type="spellStart"/>
      <w:proofErr w:type="gramStart"/>
      <w:r>
        <w:t>intensities.The</w:t>
      </w:r>
      <w:proofErr w:type="spellEnd"/>
      <w:proofErr w:type="gramEnd"/>
      <w:r>
        <w:t xml:space="preserve"> extract exhibited a concentration-dependent inhibition of hemolysis and protein denaturation. At 800 µg/mL, it showed </w:t>
      </w:r>
      <w:r>
        <w:t>10.51 ± 0.31% membrane stabilization compared to 27.79 ± 0.22% for aspirin, while at 400 mg/mL, it produced 69.90 ± 0.34% inhibition of protein denaturation relative to 84.46 ± 0.51% for aspirin. These effects suggest that the extract’s anti-inflammatory a</w:t>
      </w:r>
      <w:r>
        <w:t xml:space="preserve">ctivity may be attributed to the presence of flavonoids, saponins, and phenolic compounds, which enhance membrane integrity and prevent the release of inflammatory mediators. In conclusion the ethanolic extract of T. </w:t>
      </w:r>
      <w:proofErr w:type="spellStart"/>
      <w:r>
        <w:t>foenum</w:t>
      </w:r>
      <w:proofErr w:type="spellEnd"/>
      <w:r>
        <w:t>-graecum seeds possesses signific</w:t>
      </w:r>
      <w:r>
        <w:t xml:space="preserve">ant in vitro anti-inflammatory activity through membrane stabilization and protein denaturation inhibition. These findings provide pharmacological support for the traditional use of fenugreek seeds in the management of inflammatory disorders and highlight </w:t>
      </w:r>
      <w:r>
        <w:t>their potential as a natural source of anti-inflammatory agents.</w:t>
      </w:r>
    </w:p>
    <w:p w14:paraId="579FCCA0" w14:textId="77777777" w:rsidR="00B03C77" w:rsidRDefault="007E1F15">
      <w:pPr>
        <w:spacing w:line="240" w:lineRule="auto"/>
      </w:pPr>
      <w:r>
        <w:rPr>
          <w:b/>
          <w:bCs/>
          <w:caps/>
        </w:rPr>
        <w:t>Keywords</w:t>
      </w:r>
      <w:r>
        <w:rPr>
          <w:b/>
          <w:bCs/>
        </w:rPr>
        <w:t>:</w:t>
      </w:r>
      <w:r>
        <w:t xml:space="preserve"> </w:t>
      </w:r>
      <w:proofErr w:type="spellStart"/>
      <w:r>
        <w:rPr>
          <w:i/>
          <w:iCs/>
        </w:rPr>
        <w:t>Trigonella</w:t>
      </w:r>
      <w:proofErr w:type="spellEnd"/>
      <w:r>
        <w:rPr>
          <w:i/>
          <w:iCs/>
        </w:rPr>
        <w:t xml:space="preserve"> </w:t>
      </w:r>
      <w:proofErr w:type="spellStart"/>
      <w:r>
        <w:rPr>
          <w:i/>
          <w:iCs/>
        </w:rPr>
        <w:t>foenum</w:t>
      </w:r>
      <w:proofErr w:type="spellEnd"/>
      <w:r>
        <w:rPr>
          <w:i/>
          <w:iCs/>
        </w:rPr>
        <w:t>-graecum, fenugreek, anti-inflammatory, membrane stabilization, protein denaturation.</w:t>
      </w:r>
    </w:p>
    <w:p w14:paraId="2879FB21" w14:textId="77777777" w:rsidR="00B03C77" w:rsidRDefault="00B03C77">
      <w:pPr>
        <w:rPr>
          <w:b/>
          <w:bCs/>
          <w:caps/>
        </w:rPr>
      </w:pPr>
    </w:p>
    <w:p w14:paraId="179DFB7A" w14:textId="77777777" w:rsidR="00B03C77" w:rsidRDefault="007E1F15">
      <w:pPr>
        <w:rPr>
          <w:b/>
          <w:bCs/>
          <w:caps/>
        </w:rPr>
      </w:pPr>
      <w:r>
        <w:rPr>
          <w:b/>
          <w:bCs/>
          <w:caps/>
        </w:rPr>
        <w:t>1. Introduction</w:t>
      </w:r>
    </w:p>
    <w:p w14:paraId="22C52B9F" w14:textId="77777777" w:rsidR="00B03C77" w:rsidRDefault="007E1F15">
      <w:r>
        <w:t>Inflammation act as a protective mechanism targeted on elimin</w:t>
      </w:r>
      <w:r>
        <w:t>ating harmful stimuli and initiating the healing process. It is the basic biological effect of the body to injury, infection, or chemical irritation. (</w:t>
      </w:r>
      <w:proofErr w:type="spellStart"/>
      <w:r>
        <w:t>Medzhitov</w:t>
      </w:r>
      <w:proofErr w:type="spellEnd"/>
      <w:r>
        <w:t xml:space="preserve">, 2008). There two different types of inflammation, the Acute </w:t>
      </w:r>
      <w:proofErr w:type="gramStart"/>
      <w:r>
        <w:t>inflammation  which</w:t>
      </w:r>
      <w:proofErr w:type="gramEnd"/>
      <w:r>
        <w:t xml:space="preserve"> can be benefic</w:t>
      </w:r>
      <w:r>
        <w:t>ial,  and chronic or uncontrolled inflammation which can cause the onset and progression of several pathological conditions like rheumatoid arthritis, diabetes, cardiovascular diseases, cancer, and neurodegenerative diseases (Gupta et al., 2018; Chen et al</w:t>
      </w:r>
      <w:r>
        <w:t xml:space="preserve">., 2017). The management of Inflammation can be through the use of synthetic drugs such as non-steroidal anti-inflammatory drugs (NSAIDs) and corticosteroids. However, long term use of these agents is often </w:t>
      </w:r>
      <w:proofErr w:type="gramStart"/>
      <w:r>
        <w:t>causes</w:t>
      </w:r>
      <w:proofErr w:type="gramEnd"/>
      <w:r>
        <w:t xml:space="preserve"> adverse effects like gastric ulcers, </w:t>
      </w:r>
      <w:r>
        <w:lastRenderedPageBreak/>
        <w:t>renal</w:t>
      </w:r>
      <w:r>
        <w:t xml:space="preserve"> impairment, and hepatic toxicity (Vane &amp; Botting, 2003). This has increased the interest for safer, plant-derived anti-inflammatory compounds with comparable efficacy and fewer side effects.</w:t>
      </w:r>
    </w:p>
    <w:p w14:paraId="0127445D" w14:textId="77777777" w:rsidR="00B03C77" w:rsidRDefault="007E1F15">
      <w:r>
        <w:t>Medicinal plants are natural sources of bioactive phytochemicals</w:t>
      </w:r>
      <w:r>
        <w:t xml:space="preserve"> that contains multiple therapeutic properties, which include antioxidant, anti-inflammatory, and immunomodulatory activities (Lobo et al., 2010). Anti-inflammatory effects of plant extracts are often attributed to their ability to stabilize biological mem</w:t>
      </w:r>
      <w:r>
        <w:t>branes, inhibit protein denaturation, and suppress the synthesis or release of pro-inflammatory mediators such as prostaglandins, cytokines, and reactive oxygen species (Srinivasan et al., 2016). In vitro anti-inflammatory assays—such as inhibition of prot</w:t>
      </w:r>
      <w:r>
        <w:t>ein denaturation and membrane stabilization—are simple, reproducible, and are commonly used methods for preliminary screening of anti-inflammatory agents (Shinde et al., 1999).</w:t>
      </w:r>
    </w:p>
    <w:p w14:paraId="5A764FD7" w14:textId="77777777" w:rsidR="00B03C77" w:rsidRDefault="007E1F15">
      <w:r>
        <w:t xml:space="preserve">Fenugreek seed also known as </w:t>
      </w:r>
      <w:proofErr w:type="spellStart"/>
      <w:r>
        <w:t>Trigonella</w:t>
      </w:r>
      <w:proofErr w:type="spellEnd"/>
      <w:r>
        <w:t xml:space="preserve"> </w:t>
      </w:r>
      <w:proofErr w:type="spellStart"/>
      <w:r>
        <w:t>foenum</w:t>
      </w:r>
      <w:proofErr w:type="spellEnd"/>
      <w:r>
        <w:t xml:space="preserve">-graecum </w:t>
      </w:r>
      <w:proofErr w:type="gramStart"/>
      <w:r>
        <w:t>L.,,</w:t>
      </w:r>
      <w:proofErr w:type="gramEnd"/>
      <w:r>
        <w:t xml:space="preserve"> is an annual herb b</w:t>
      </w:r>
      <w:r>
        <w:t>elonging to the family Fabaceae and is extensively cultivated in Asia, the Mediterranean, and Africa. Fenugreek seeds is traditionally used in herbal medicine to manage ailments like diabetes, inflammation, and gastrointestinal disorders (Srinivasan, 2006)</w:t>
      </w:r>
      <w:r>
        <w:t>. Phytochemical studies have also revealed that fenugreek seeds contain rich secondary metabolites, which include alkaloids (trigonelline, choline), flavonoids, saponins (diosgenin), phenolic acids, and tannins, and all contribute to its pharmacological po</w:t>
      </w:r>
      <w:r>
        <w:t>tential (Acharya et al., 2006; Dixit et al., 2005). These constituents have showed diverse biological activities, including antioxidant, hypoglycemic, hypolipidemic, and anti-inflammatory properties (Raju &amp; Bird, 2006; Kumar et al., 2010).</w:t>
      </w:r>
    </w:p>
    <w:p w14:paraId="07E1E3D2" w14:textId="77777777" w:rsidR="00B03C77" w:rsidRDefault="007E1F15">
      <w:r>
        <w:t>Previous study r</w:t>
      </w:r>
      <w:r>
        <w:t xml:space="preserve">evealed that the anti-inflammatory effects of fenugreek seeds may be mediated through its antioxidant mechanisms, membrane-stabilizing capacity, and inhibition of protein denaturation, which collectively reduce tissue injury during inflammation (Sowmya &amp; </w:t>
      </w:r>
      <w:proofErr w:type="spellStart"/>
      <w:r>
        <w:t>R</w:t>
      </w:r>
      <w:r>
        <w:t>ajyalakshmi</w:t>
      </w:r>
      <w:proofErr w:type="spellEnd"/>
      <w:r>
        <w:t xml:space="preserve">, 1999; </w:t>
      </w:r>
      <w:proofErr w:type="spellStart"/>
      <w:r>
        <w:t>Shakibaei</w:t>
      </w:r>
      <w:proofErr w:type="spellEnd"/>
      <w:r>
        <w:t xml:space="preserve"> et al., 2012). Despite these findings, the in vitro anti-inflammatory potential of fenugreek seed ethanol extract remains underexplored and justify further scientific validation.</w:t>
      </w:r>
    </w:p>
    <w:p w14:paraId="7FED9FC4" w14:textId="77777777" w:rsidR="00B03C77" w:rsidRDefault="007E1F15">
      <w:r>
        <w:t>Thus, the present study was aimed to evaluate th</w:t>
      </w:r>
      <w:r>
        <w:t xml:space="preserve">e in vitro anti-inflammatory activity of </w:t>
      </w:r>
      <w:proofErr w:type="spellStart"/>
      <w:r>
        <w:t>Trigonella</w:t>
      </w:r>
      <w:proofErr w:type="spellEnd"/>
      <w:r>
        <w:t xml:space="preserve"> </w:t>
      </w:r>
      <w:proofErr w:type="spellStart"/>
      <w:r>
        <w:t>foenum</w:t>
      </w:r>
      <w:proofErr w:type="spellEnd"/>
      <w:r>
        <w:t>-graecum seed ethanolic extract using established models such as protein denaturation inhibition and human red blood cell (HRBC) membrane stabilization assays. The outcome of this research will prov</w:t>
      </w:r>
      <w:r>
        <w:t>ide scientific evidence supporting the traditional use of fenugreek in managing inflammatory conditions and contribute to the development of natural anti-inflammatory agents from plant sources.</w:t>
      </w:r>
    </w:p>
    <w:p w14:paraId="5A17100C" w14:textId="77777777" w:rsidR="00B03C77" w:rsidRDefault="00B03C77">
      <w:pPr>
        <w:rPr>
          <w:b/>
          <w:bCs/>
          <w:caps/>
        </w:rPr>
      </w:pPr>
    </w:p>
    <w:p w14:paraId="41CF814A" w14:textId="77777777" w:rsidR="00B03C77" w:rsidRDefault="007E1F15">
      <w:pPr>
        <w:rPr>
          <w:b/>
          <w:bCs/>
          <w:caps/>
        </w:rPr>
      </w:pPr>
      <w:r>
        <w:rPr>
          <w:b/>
          <w:bCs/>
          <w:caps/>
        </w:rPr>
        <w:t>2. Materials and Methods</w:t>
      </w:r>
    </w:p>
    <w:p w14:paraId="509FC10F" w14:textId="77777777" w:rsidR="00B03C77" w:rsidRDefault="007E1F15">
      <w:pPr>
        <w:rPr>
          <w:b/>
          <w:bCs/>
          <w:caps/>
        </w:rPr>
      </w:pPr>
      <w:r>
        <w:rPr>
          <w:b/>
          <w:bCs/>
          <w:caps/>
        </w:rPr>
        <w:t>2.1 Instruments:</w:t>
      </w:r>
    </w:p>
    <w:p w14:paraId="1BBE39BD" w14:textId="77777777" w:rsidR="00B03C77" w:rsidRDefault="007E1F15">
      <w:pPr>
        <w:spacing w:line="360" w:lineRule="auto"/>
        <w:jc w:val="both"/>
      </w:pPr>
      <w:r>
        <w:rPr>
          <w:rFonts w:ascii="Times New Roman" w:hAnsi="Times New Roman"/>
          <w:b/>
          <w:bCs/>
          <w:sz w:val="24"/>
          <w:szCs w:val="24"/>
        </w:rPr>
        <w:t xml:space="preserve">Table 1: </w:t>
      </w:r>
      <w:r>
        <w:rPr>
          <w:rFonts w:ascii="Times New Roman" w:hAnsi="Times New Roman"/>
          <w:sz w:val="24"/>
          <w:szCs w:val="24"/>
        </w:rPr>
        <w:t>List of In</w:t>
      </w:r>
      <w:r>
        <w:rPr>
          <w:rFonts w:ascii="Times New Roman" w:hAnsi="Times New Roman"/>
          <w:sz w:val="24"/>
          <w:szCs w:val="24"/>
        </w:rPr>
        <w:t xml:space="preserve">struments Used in the Phytochemical analysis and in vitro Anti-inflammatory assays of </w:t>
      </w:r>
      <w:proofErr w:type="spellStart"/>
      <w:r>
        <w:rPr>
          <w:rFonts w:ascii="Times New Roman" w:hAnsi="Times New Roman"/>
          <w:i/>
          <w:iCs/>
          <w:sz w:val="24"/>
          <w:szCs w:val="24"/>
        </w:rPr>
        <w:t>Trigonella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foenum</w:t>
      </w:r>
      <w:proofErr w:type="spellEnd"/>
      <w:r>
        <w:rPr>
          <w:rFonts w:ascii="Times New Roman" w:hAnsi="Times New Roman"/>
          <w:i/>
          <w:iCs/>
          <w:sz w:val="24"/>
          <w:szCs w:val="24"/>
        </w:rPr>
        <w:t>-graecum</w:t>
      </w:r>
      <w:r>
        <w:rPr>
          <w:rFonts w:ascii="Times New Roman" w:hAnsi="Times New Roman"/>
          <w:sz w:val="24"/>
          <w:szCs w:val="24"/>
        </w:rPr>
        <w:t xml:space="preserve"> Seed Extract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0"/>
        <w:gridCol w:w="2860"/>
        <w:gridCol w:w="2179"/>
        <w:gridCol w:w="3061"/>
      </w:tblGrid>
      <w:tr w:rsidR="002A10E0" w14:paraId="5D44FF19" w14:textId="77777777" w:rsidTr="001565D6">
        <w:tc>
          <w:tcPr>
            <w:tcW w:w="630" w:type="dxa"/>
            <w:tcBorders>
              <w:top w:val="single" w:sz="4" w:space="0" w:color="auto"/>
              <w:left w:val="single" w:sz="4" w:space="0" w:color="auto"/>
              <w:bottom w:val="single" w:sz="4" w:space="0" w:color="auto"/>
              <w:right w:val="single" w:sz="4" w:space="0" w:color="auto"/>
            </w:tcBorders>
          </w:tcPr>
          <w:p w14:paraId="6BB9C09A" w14:textId="77777777" w:rsidR="00B03C77" w:rsidRPr="001565D6" w:rsidRDefault="00B03C77" w:rsidP="001565D6">
            <w:pPr>
              <w:spacing w:line="360" w:lineRule="auto"/>
              <w:jc w:val="both"/>
              <w:rPr>
                <w:rFonts w:ascii="Times New Roman" w:hAnsi="Times New Roman"/>
                <w:sz w:val="24"/>
                <w:szCs w:val="24"/>
              </w:rPr>
            </w:pPr>
          </w:p>
        </w:tc>
        <w:tc>
          <w:tcPr>
            <w:tcW w:w="2860" w:type="dxa"/>
            <w:tcBorders>
              <w:top w:val="single" w:sz="4" w:space="0" w:color="auto"/>
              <w:left w:val="single" w:sz="4" w:space="0" w:color="auto"/>
              <w:bottom w:val="single" w:sz="4" w:space="0" w:color="auto"/>
              <w:right w:val="single" w:sz="4" w:space="0" w:color="auto"/>
            </w:tcBorders>
          </w:tcPr>
          <w:p w14:paraId="501ED5F2" w14:textId="77777777" w:rsidR="00B03C77" w:rsidRDefault="007E1F15" w:rsidP="001565D6">
            <w:pPr>
              <w:spacing w:line="360" w:lineRule="auto"/>
              <w:jc w:val="both"/>
            </w:pPr>
            <w:r w:rsidRPr="001565D6">
              <w:rPr>
                <w:rFonts w:ascii="Times New Roman" w:hAnsi="Times New Roman"/>
                <w:b/>
                <w:bCs/>
                <w:sz w:val="24"/>
                <w:szCs w:val="24"/>
              </w:rPr>
              <w:t>Instrument/Equipment</w:t>
            </w:r>
          </w:p>
        </w:tc>
        <w:tc>
          <w:tcPr>
            <w:tcW w:w="2179" w:type="dxa"/>
            <w:tcBorders>
              <w:top w:val="single" w:sz="4" w:space="0" w:color="auto"/>
              <w:left w:val="single" w:sz="4" w:space="0" w:color="auto"/>
              <w:bottom w:val="single" w:sz="4" w:space="0" w:color="auto"/>
              <w:right w:val="single" w:sz="4" w:space="0" w:color="auto"/>
            </w:tcBorders>
          </w:tcPr>
          <w:p w14:paraId="4A028473" w14:textId="77777777" w:rsidR="00B03C77" w:rsidRDefault="007E1F15" w:rsidP="001565D6">
            <w:pPr>
              <w:spacing w:line="360" w:lineRule="auto"/>
              <w:jc w:val="both"/>
            </w:pPr>
            <w:r w:rsidRPr="001565D6">
              <w:rPr>
                <w:rFonts w:ascii="Times New Roman" w:hAnsi="Times New Roman"/>
                <w:b/>
                <w:bCs/>
                <w:sz w:val="24"/>
                <w:szCs w:val="24"/>
              </w:rPr>
              <w:t xml:space="preserve">Model/Type </w:t>
            </w:r>
          </w:p>
        </w:tc>
        <w:tc>
          <w:tcPr>
            <w:tcW w:w="3061" w:type="dxa"/>
            <w:tcBorders>
              <w:top w:val="single" w:sz="4" w:space="0" w:color="auto"/>
              <w:left w:val="single" w:sz="4" w:space="0" w:color="auto"/>
              <w:bottom w:val="single" w:sz="4" w:space="0" w:color="auto"/>
              <w:right w:val="single" w:sz="4" w:space="0" w:color="auto"/>
            </w:tcBorders>
          </w:tcPr>
          <w:p w14:paraId="5D9FF9F4" w14:textId="77777777" w:rsidR="00B03C77" w:rsidRDefault="007E1F15" w:rsidP="001565D6">
            <w:pPr>
              <w:spacing w:line="360" w:lineRule="auto"/>
              <w:jc w:val="both"/>
            </w:pPr>
            <w:r w:rsidRPr="001565D6">
              <w:rPr>
                <w:b/>
                <w:bCs/>
              </w:rPr>
              <w:t>Manufacturer</w:t>
            </w:r>
            <w:r>
              <w:t xml:space="preserve"> </w:t>
            </w:r>
          </w:p>
        </w:tc>
      </w:tr>
      <w:tr w:rsidR="002A10E0" w14:paraId="43697865" w14:textId="77777777" w:rsidTr="001565D6">
        <w:tc>
          <w:tcPr>
            <w:tcW w:w="630" w:type="dxa"/>
            <w:tcBorders>
              <w:top w:val="single" w:sz="4" w:space="0" w:color="auto"/>
              <w:left w:val="single" w:sz="4" w:space="0" w:color="auto"/>
              <w:bottom w:val="single" w:sz="4" w:space="0" w:color="auto"/>
              <w:right w:val="single" w:sz="4" w:space="0" w:color="auto"/>
            </w:tcBorders>
          </w:tcPr>
          <w:p w14:paraId="3AFB4CC8" w14:textId="77777777" w:rsidR="00B03C77" w:rsidRPr="001565D6" w:rsidRDefault="00B03C77" w:rsidP="001565D6">
            <w:pPr>
              <w:spacing w:line="360" w:lineRule="auto"/>
              <w:jc w:val="both"/>
              <w:rPr>
                <w:rFonts w:ascii="Times New Roman" w:hAnsi="Times New Roman"/>
                <w:sz w:val="24"/>
                <w:szCs w:val="24"/>
              </w:rPr>
            </w:pPr>
          </w:p>
        </w:tc>
        <w:tc>
          <w:tcPr>
            <w:tcW w:w="2860" w:type="dxa"/>
            <w:tcBorders>
              <w:top w:val="single" w:sz="4" w:space="0" w:color="auto"/>
              <w:left w:val="single" w:sz="4" w:space="0" w:color="auto"/>
              <w:bottom w:val="single" w:sz="4" w:space="0" w:color="auto"/>
              <w:right w:val="single" w:sz="4" w:space="0" w:color="auto"/>
            </w:tcBorders>
          </w:tcPr>
          <w:p w14:paraId="55BD614F" w14:textId="77777777" w:rsidR="00B03C77" w:rsidRDefault="007E1F15" w:rsidP="001565D6">
            <w:pPr>
              <w:spacing w:line="360" w:lineRule="auto"/>
              <w:jc w:val="both"/>
            </w:pPr>
            <w:r w:rsidRPr="001565D6">
              <w:rPr>
                <w:rFonts w:ascii="Times New Roman" w:hAnsi="Times New Roman"/>
                <w:sz w:val="24"/>
                <w:szCs w:val="24"/>
              </w:rPr>
              <w:t>Rotary Evaporator</w:t>
            </w:r>
          </w:p>
        </w:tc>
        <w:tc>
          <w:tcPr>
            <w:tcW w:w="2179" w:type="dxa"/>
            <w:tcBorders>
              <w:top w:val="single" w:sz="4" w:space="0" w:color="auto"/>
              <w:left w:val="single" w:sz="4" w:space="0" w:color="auto"/>
              <w:bottom w:val="single" w:sz="4" w:space="0" w:color="auto"/>
              <w:right w:val="single" w:sz="4" w:space="0" w:color="auto"/>
            </w:tcBorders>
          </w:tcPr>
          <w:p w14:paraId="5D4AE692" w14:textId="77777777" w:rsidR="00B03C77" w:rsidRDefault="00B03C77" w:rsidP="001565D6">
            <w:pPr>
              <w:spacing w:line="360" w:lineRule="auto"/>
              <w:jc w:val="both"/>
            </w:pPr>
          </w:p>
        </w:tc>
        <w:tc>
          <w:tcPr>
            <w:tcW w:w="3061" w:type="dxa"/>
            <w:tcBorders>
              <w:top w:val="single" w:sz="4" w:space="0" w:color="auto"/>
              <w:left w:val="single" w:sz="4" w:space="0" w:color="auto"/>
              <w:bottom w:val="single" w:sz="4" w:space="0" w:color="auto"/>
              <w:right w:val="single" w:sz="4" w:space="0" w:color="auto"/>
            </w:tcBorders>
          </w:tcPr>
          <w:p w14:paraId="1D7C44D6" w14:textId="77777777" w:rsidR="00B03C77" w:rsidRDefault="007E1F15" w:rsidP="001565D6">
            <w:pPr>
              <w:spacing w:line="360" w:lineRule="auto"/>
              <w:jc w:val="both"/>
            </w:pPr>
            <w:proofErr w:type="spellStart"/>
            <w:r>
              <w:t>Gallenkamp</w:t>
            </w:r>
            <w:proofErr w:type="spellEnd"/>
            <w:r>
              <w:t xml:space="preserve"> Germany </w:t>
            </w:r>
          </w:p>
        </w:tc>
      </w:tr>
      <w:tr w:rsidR="002A10E0" w14:paraId="3AB44DD3" w14:textId="77777777" w:rsidTr="001565D6">
        <w:tc>
          <w:tcPr>
            <w:tcW w:w="630" w:type="dxa"/>
            <w:tcBorders>
              <w:top w:val="single" w:sz="4" w:space="0" w:color="auto"/>
              <w:left w:val="single" w:sz="4" w:space="0" w:color="auto"/>
              <w:bottom w:val="single" w:sz="4" w:space="0" w:color="auto"/>
              <w:right w:val="single" w:sz="4" w:space="0" w:color="auto"/>
            </w:tcBorders>
          </w:tcPr>
          <w:p w14:paraId="403C8C70" w14:textId="77777777" w:rsidR="00B03C77" w:rsidRDefault="00B03C77" w:rsidP="001565D6">
            <w:pPr>
              <w:spacing w:line="360" w:lineRule="auto"/>
              <w:jc w:val="both"/>
            </w:pPr>
          </w:p>
        </w:tc>
        <w:tc>
          <w:tcPr>
            <w:tcW w:w="2860" w:type="dxa"/>
            <w:tcBorders>
              <w:top w:val="single" w:sz="4" w:space="0" w:color="auto"/>
              <w:left w:val="single" w:sz="4" w:space="0" w:color="auto"/>
              <w:bottom w:val="single" w:sz="4" w:space="0" w:color="auto"/>
              <w:right w:val="single" w:sz="4" w:space="0" w:color="auto"/>
            </w:tcBorders>
          </w:tcPr>
          <w:p w14:paraId="6DE4850B" w14:textId="77777777" w:rsidR="00B03C77" w:rsidRDefault="007E1F15" w:rsidP="001565D6">
            <w:pPr>
              <w:spacing w:line="360" w:lineRule="auto"/>
              <w:jc w:val="both"/>
            </w:pPr>
            <w:r w:rsidRPr="001565D6">
              <w:rPr>
                <w:rFonts w:ascii="Times New Roman" w:hAnsi="Times New Roman"/>
                <w:sz w:val="24"/>
                <w:szCs w:val="24"/>
              </w:rPr>
              <w:t>Electric Grinder</w:t>
            </w:r>
          </w:p>
        </w:tc>
        <w:tc>
          <w:tcPr>
            <w:tcW w:w="2179" w:type="dxa"/>
            <w:tcBorders>
              <w:top w:val="single" w:sz="4" w:space="0" w:color="auto"/>
              <w:left w:val="single" w:sz="4" w:space="0" w:color="auto"/>
              <w:bottom w:val="single" w:sz="4" w:space="0" w:color="auto"/>
              <w:right w:val="single" w:sz="4" w:space="0" w:color="auto"/>
            </w:tcBorders>
          </w:tcPr>
          <w:p w14:paraId="72D0E776" w14:textId="77777777" w:rsidR="00B03C77" w:rsidRDefault="007E1F15" w:rsidP="001565D6">
            <w:pPr>
              <w:spacing w:line="360" w:lineRule="auto"/>
              <w:jc w:val="both"/>
            </w:pPr>
            <w:r>
              <w:t>QBL-20B</w:t>
            </w:r>
          </w:p>
        </w:tc>
        <w:tc>
          <w:tcPr>
            <w:tcW w:w="3061" w:type="dxa"/>
            <w:tcBorders>
              <w:top w:val="single" w:sz="4" w:space="0" w:color="auto"/>
              <w:left w:val="single" w:sz="4" w:space="0" w:color="auto"/>
              <w:bottom w:val="single" w:sz="4" w:space="0" w:color="auto"/>
              <w:right w:val="single" w:sz="4" w:space="0" w:color="auto"/>
            </w:tcBorders>
          </w:tcPr>
          <w:p w14:paraId="534C8C6F" w14:textId="77777777" w:rsidR="00B03C77" w:rsidRDefault="007E1F15" w:rsidP="001565D6">
            <w:pPr>
              <w:spacing w:line="240" w:lineRule="auto"/>
              <w:jc w:val="both"/>
            </w:pPr>
            <w:r w:rsidRPr="001565D6">
              <w:rPr>
                <w:rFonts w:ascii="Times New Roman" w:hAnsi="Times New Roman"/>
                <w:sz w:val="24"/>
                <w:szCs w:val="24"/>
              </w:rPr>
              <w:t>China</w:t>
            </w:r>
          </w:p>
        </w:tc>
      </w:tr>
      <w:tr w:rsidR="002A10E0" w14:paraId="367C5ACD" w14:textId="77777777" w:rsidTr="001565D6">
        <w:tc>
          <w:tcPr>
            <w:tcW w:w="630" w:type="dxa"/>
            <w:tcBorders>
              <w:top w:val="single" w:sz="4" w:space="0" w:color="auto"/>
              <w:left w:val="single" w:sz="4" w:space="0" w:color="auto"/>
              <w:bottom w:val="single" w:sz="4" w:space="0" w:color="auto"/>
              <w:right w:val="single" w:sz="4" w:space="0" w:color="auto"/>
            </w:tcBorders>
          </w:tcPr>
          <w:p w14:paraId="321A66C7" w14:textId="77777777" w:rsidR="00B03C77" w:rsidRDefault="00B03C77" w:rsidP="001565D6">
            <w:pPr>
              <w:spacing w:line="360" w:lineRule="auto"/>
              <w:jc w:val="both"/>
            </w:pPr>
          </w:p>
        </w:tc>
        <w:tc>
          <w:tcPr>
            <w:tcW w:w="2860" w:type="dxa"/>
            <w:tcBorders>
              <w:top w:val="single" w:sz="4" w:space="0" w:color="auto"/>
              <w:left w:val="single" w:sz="4" w:space="0" w:color="auto"/>
              <w:bottom w:val="single" w:sz="4" w:space="0" w:color="auto"/>
              <w:right w:val="single" w:sz="4" w:space="0" w:color="auto"/>
            </w:tcBorders>
          </w:tcPr>
          <w:p w14:paraId="39E5B2F1" w14:textId="77777777" w:rsidR="00B03C77" w:rsidRDefault="007E1F15" w:rsidP="001565D6">
            <w:pPr>
              <w:spacing w:line="240" w:lineRule="auto"/>
              <w:jc w:val="both"/>
            </w:pPr>
            <w:r w:rsidRPr="001565D6">
              <w:rPr>
                <w:rFonts w:ascii="Times New Roman" w:hAnsi="Times New Roman"/>
                <w:sz w:val="24"/>
                <w:szCs w:val="24"/>
              </w:rPr>
              <w:t>Spectrophotometer</w:t>
            </w:r>
          </w:p>
        </w:tc>
        <w:tc>
          <w:tcPr>
            <w:tcW w:w="2179" w:type="dxa"/>
            <w:tcBorders>
              <w:top w:val="single" w:sz="4" w:space="0" w:color="auto"/>
              <w:left w:val="single" w:sz="4" w:space="0" w:color="auto"/>
              <w:bottom w:val="single" w:sz="4" w:space="0" w:color="auto"/>
              <w:right w:val="single" w:sz="4" w:space="0" w:color="auto"/>
            </w:tcBorders>
          </w:tcPr>
          <w:p w14:paraId="3C0E8870" w14:textId="77777777" w:rsidR="00B03C77" w:rsidRDefault="007E1F15" w:rsidP="001565D6">
            <w:pPr>
              <w:spacing w:line="360" w:lineRule="auto"/>
              <w:jc w:val="both"/>
            </w:pPr>
            <w:r w:rsidRPr="001565D6">
              <w:rPr>
                <w:rFonts w:ascii="Times New Roman" w:hAnsi="Times New Roman"/>
                <w:sz w:val="24"/>
                <w:szCs w:val="24"/>
              </w:rPr>
              <w:t>SPM 721-2000</w:t>
            </w:r>
          </w:p>
        </w:tc>
        <w:tc>
          <w:tcPr>
            <w:tcW w:w="3061" w:type="dxa"/>
            <w:tcBorders>
              <w:top w:val="single" w:sz="4" w:space="0" w:color="auto"/>
              <w:left w:val="single" w:sz="4" w:space="0" w:color="auto"/>
              <w:bottom w:val="single" w:sz="4" w:space="0" w:color="auto"/>
              <w:right w:val="single" w:sz="4" w:space="0" w:color="auto"/>
            </w:tcBorders>
          </w:tcPr>
          <w:p w14:paraId="14951612" w14:textId="77777777" w:rsidR="00B03C77" w:rsidRDefault="007E1F15" w:rsidP="001565D6">
            <w:pPr>
              <w:spacing w:line="360" w:lineRule="auto"/>
              <w:jc w:val="both"/>
            </w:pPr>
            <w:r>
              <w:t xml:space="preserve">Bio-trust diagnostics, USA </w:t>
            </w:r>
          </w:p>
        </w:tc>
      </w:tr>
      <w:tr w:rsidR="002A10E0" w14:paraId="5D8D5737" w14:textId="77777777" w:rsidTr="001565D6">
        <w:tc>
          <w:tcPr>
            <w:tcW w:w="630" w:type="dxa"/>
            <w:tcBorders>
              <w:top w:val="single" w:sz="4" w:space="0" w:color="auto"/>
              <w:left w:val="single" w:sz="4" w:space="0" w:color="auto"/>
              <w:bottom w:val="single" w:sz="4" w:space="0" w:color="auto"/>
              <w:right w:val="single" w:sz="4" w:space="0" w:color="auto"/>
            </w:tcBorders>
          </w:tcPr>
          <w:p w14:paraId="5BB42F08" w14:textId="77777777" w:rsidR="00B03C77" w:rsidRDefault="00B03C77" w:rsidP="001565D6">
            <w:pPr>
              <w:spacing w:line="360" w:lineRule="auto"/>
              <w:jc w:val="both"/>
            </w:pPr>
          </w:p>
        </w:tc>
        <w:tc>
          <w:tcPr>
            <w:tcW w:w="2860" w:type="dxa"/>
            <w:tcBorders>
              <w:top w:val="single" w:sz="4" w:space="0" w:color="auto"/>
              <w:left w:val="single" w:sz="4" w:space="0" w:color="auto"/>
              <w:bottom w:val="single" w:sz="4" w:space="0" w:color="auto"/>
              <w:right w:val="single" w:sz="4" w:space="0" w:color="auto"/>
            </w:tcBorders>
          </w:tcPr>
          <w:p w14:paraId="2A7D2777" w14:textId="77777777" w:rsidR="00B03C77" w:rsidRDefault="007E1F15" w:rsidP="001565D6">
            <w:pPr>
              <w:spacing w:line="240" w:lineRule="auto"/>
              <w:jc w:val="both"/>
            </w:pPr>
            <w:r w:rsidRPr="001565D6">
              <w:rPr>
                <w:rFonts w:hAnsi="Times New Roman"/>
                <w:sz w:val="24"/>
                <w:szCs w:val="24"/>
              </w:rPr>
              <w:t xml:space="preserve">Weighing </w:t>
            </w:r>
            <w:r w:rsidRPr="001565D6">
              <w:rPr>
                <w:rFonts w:ascii="Times New Roman" w:hAnsi="Times New Roman"/>
                <w:sz w:val="24"/>
                <w:szCs w:val="24"/>
              </w:rPr>
              <w:t>Balance</w:t>
            </w:r>
          </w:p>
        </w:tc>
        <w:tc>
          <w:tcPr>
            <w:tcW w:w="2179" w:type="dxa"/>
            <w:tcBorders>
              <w:top w:val="single" w:sz="4" w:space="0" w:color="auto"/>
              <w:left w:val="single" w:sz="4" w:space="0" w:color="auto"/>
              <w:bottom w:val="single" w:sz="4" w:space="0" w:color="auto"/>
              <w:right w:val="single" w:sz="4" w:space="0" w:color="auto"/>
            </w:tcBorders>
          </w:tcPr>
          <w:p w14:paraId="1E5FC6BE" w14:textId="77777777" w:rsidR="00B03C77" w:rsidRDefault="00B03C77" w:rsidP="001565D6">
            <w:pPr>
              <w:spacing w:line="360" w:lineRule="auto"/>
              <w:jc w:val="both"/>
            </w:pPr>
          </w:p>
        </w:tc>
        <w:tc>
          <w:tcPr>
            <w:tcW w:w="3061" w:type="dxa"/>
            <w:tcBorders>
              <w:top w:val="single" w:sz="4" w:space="0" w:color="auto"/>
              <w:left w:val="single" w:sz="4" w:space="0" w:color="auto"/>
              <w:bottom w:val="single" w:sz="4" w:space="0" w:color="auto"/>
              <w:right w:val="single" w:sz="4" w:space="0" w:color="auto"/>
            </w:tcBorders>
          </w:tcPr>
          <w:p w14:paraId="5B581793" w14:textId="77777777" w:rsidR="00B03C77" w:rsidRDefault="007E1F15" w:rsidP="001565D6">
            <w:pPr>
              <w:spacing w:line="360" w:lineRule="auto"/>
              <w:jc w:val="both"/>
            </w:pPr>
            <w:proofErr w:type="spellStart"/>
            <w:r>
              <w:t>Gallenkamp</w:t>
            </w:r>
            <w:proofErr w:type="spellEnd"/>
            <w:r>
              <w:t xml:space="preserve">, England </w:t>
            </w:r>
          </w:p>
        </w:tc>
      </w:tr>
      <w:tr w:rsidR="002A10E0" w14:paraId="314C58B9" w14:textId="77777777" w:rsidTr="001565D6">
        <w:tc>
          <w:tcPr>
            <w:tcW w:w="630" w:type="dxa"/>
            <w:tcBorders>
              <w:top w:val="single" w:sz="4" w:space="0" w:color="auto"/>
              <w:left w:val="single" w:sz="4" w:space="0" w:color="auto"/>
              <w:bottom w:val="single" w:sz="4" w:space="0" w:color="auto"/>
              <w:right w:val="single" w:sz="4" w:space="0" w:color="auto"/>
            </w:tcBorders>
          </w:tcPr>
          <w:p w14:paraId="1257B9A4" w14:textId="77777777" w:rsidR="00B03C77" w:rsidRDefault="00B03C77" w:rsidP="001565D6">
            <w:pPr>
              <w:spacing w:line="360" w:lineRule="auto"/>
              <w:jc w:val="both"/>
            </w:pPr>
          </w:p>
        </w:tc>
        <w:tc>
          <w:tcPr>
            <w:tcW w:w="2860" w:type="dxa"/>
            <w:tcBorders>
              <w:top w:val="single" w:sz="4" w:space="0" w:color="auto"/>
              <w:left w:val="single" w:sz="4" w:space="0" w:color="auto"/>
              <w:bottom w:val="single" w:sz="4" w:space="0" w:color="auto"/>
              <w:right w:val="single" w:sz="4" w:space="0" w:color="auto"/>
            </w:tcBorders>
          </w:tcPr>
          <w:p w14:paraId="4A798831" w14:textId="77777777" w:rsidR="00B03C77" w:rsidRDefault="007E1F15" w:rsidP="001565D6">
            <w:pPr>
              <w:spacing w:line="240" w:lineRule="auto"/>
              <w:jc w:val="both"/>
            </w:pPr>
            <w:r w:rsidRPr="001565D6">
              <w:rPr>
                <w:rFonts w:hAnsi="Times New Roman"/>
                <w:sz w:val="24"/>
                <w:szCs w:val="24"/>
              </w:rPr>
              <w:t>P</w:t>
            </w:r>
            <w:r w:rsidRPr="001565D6">
              <w:rPr>
                <w:rFonts w:ascii="Times New Roman" w:hAnsi="Times New Roman"/>
                <w:sz w:val="24"/>
                <w:szCs w:val="24"/>
              </w:rPr>
              <w:t>H Meter</w:t>
            </w:r>
          </w:p>
        </w:tc>
        <w:tc>
          <w:tcPr>
            <w:tcW w:w="2179" w:type="dxa"/>
            <w:tcBorders>
              <w:top w:val="single" w:sz="4" w:space="0" w:color="auto"/>
              <w:left w:val="single" w:sz="4" w:space="0" w:color="auto"/>
              <w:bottom w:val="single" w:sz="4" w:space="0" w:color="auto"/>
              <w:right w:val="single" w:sz="4" w:space="0" w:color="auto"/>
            </w:tcBorders>
          </w:tcPr>
          <w:p w14:paraId="336AA1CF" w14:textId="77777777" w:rsidR="00B03C77" w:rsidRDefault="007E1F15" w:rsidP="001565D6">
            <w:pPr>
              <w:spacing w:line="360" w:lineRule="auto"/>
              <w:jc w:val="both"/>
            </w:pPr>
            <w:r w:rsidRPr="001565D6">
              <w:rPr>
                <w:rFonts w:ascii="Times New Roman" w:hAnsi="Times New Roman"/>
                <w:sz w:val="24"/>
                <w:szCs w:val="24"/>
              </w:rPr>
              <w:t>HI2211</w:t>
            </w:r>
          </w:p>
        </w:tc>
        <w:tc>
          <w:tcPr>
            <w:tcW w:w="3061" w:type="dxa"/>
            <w:tcBorders>
              <w:top w:val="single" w:sz="4" w:space="0" w:color="auto"/>
              <w:left w:val="single" w:sz="4" w:space="0" w:color="auto"/>
              <w:bottom w:val="single" w:sz="4" w:space="0" w:color="auto"/>
              <w:right w:val="single" w:sz="4" w:space="0" w:color="auto"/>
            </w:tcBorders>
          </w:tcPr>
          <w:p w14:paraId="1CCE4C28" w14:textId="77777777" w:rsidR="00B03C77" w:rsidRDefault="007E1F15" w:rsidP="001565D6">
            <w:pPr>
              <w:spacing w:line="240" w:lineRule="auto"/>
              <w:jc w:val="both"/>
            </w:pPr>
            <w:r w:rsidRPr="001565D6">
              <w:rPr>
                <w:rFonts w:ascii="Times New Roman" w:hAnsi="Times New Roman"/>
                <w:sz w:val="24"/>
                <w:szCs w:val="24"/>
              </w:rPr>
              <w:t>Woonsocket, RI, USA</w:t>
            </w:r>
          </w:p>
        </w:tc>
      </w:tr>
      <w:tr w:rsidR="002A10E0" w14:paraId="02C5047B" w14:textId="77777777" w:rsidTr="001565D6">
        <w:tc>
          <w:tcPr>
            <w:tcW w:w="630" w:type="dxa"/>
            <w:tcBorders>
              <w:top w:val="single" w:sz="4" w:space="0" w:color="auto"/>
              <w:left w:val="single" w:sz="4" w:space="0" w:color="auto"/>
              <w:bottom w:val="single" w:sz="4" w:space="0" w:color="auto"/>
              <w:right w:val="single" w:sz="4" w:space="0" w:color="auto"/>
            </w:tcBorders>
          </w:tcPr>
          <w:p w14:paraId="58F481E7" w14:textId="77777777" w:rsidR="00B03C77" w:rsidRDefault="00B03C77" w:rsidP="001565D6">
            <w:pPr>
              <w:spacing w:line="360" w:lineRule="auto"/>
              <w:jc w:val="both"/>
            </w:pPr>
          </w:p>
        </w:tc>
        <w:tc>
          <w:tcPr>
            <w:tcW w:w="2860" w:type="dxa"/>
            <w:tcBorders>
              <w:top w:val="single" w:sz="4" w:space="0" w:color="auto"/>
              <w:left w:val="single" w:sz="4" w:space="0" w:color="auto"/>
              <w:bottom w:val="single" w:sz="4" w:space="0" w:color="auto"/>
              <w:right w:val="single" w:sz="4" w:space="0" w:color="auto"/>
            </w:tcBorders>
          </w:tcPr>
          <w:p w14:paraId="37286CCF" w14:textId="77777777" w:rsidR="00B03C77" w:rsidRDefault="007E1F15" w:rsidP="001565D6">
            <w:pPr>
              <w:spacing w:line="240" w:lineRule="auto"/>
              <w:jc w:val="both"/>
            </w:pPr>
            <w:r w:rsidRPr="001565D6">
              <w:rPr>
                <w:rFonts w:ascii="Times New Roman" w:hAnsi="Times New Roman"/>
                <w:sz w:val="24"/>
                <w:szCs w:val="24"/>
              </w:rPr>
              <w:t xml:space="preserve">Centrifuge </w:t>
            </w:r>
          </w:p>
        </w:tc>
        <w:tc>
          <w:tcPr>
            <w:tcW w:w="2179" w:type="dxa"/>
            <w:tcBorders>
              <w:top w:val="single" w:sz="4" w:space="0" w:color="auto"/>
              <w:left w:val="single" w:sz="4" w:space="0" w:color="auto"/>
              <w:bottom w:val="single" w:sz="4" w:space="0" w:color="auto"/>
              <w:right w:val="single" w:sz="4" w:space="0" w:color="auto"/>
            </w:tcBorders>
          </w:tcPr>
          <w:p w14:paraId="24E31EA3" w14:textId="77777777" w:rsidR="00B03C77" w:rsidRDefault="007E1F15" w:rsidP="001565D6">
            <w:pPr>
              <w:spacing w:line="360" w:lineRule="auto"/>
              <w:jc w:val="both"/>
            </w:pPr>
            <w:r>
              <w:t>80-2</w:t>
            </w:r>
          </w:p>
        </w:tc>
        <w:tc>
          <w:tcPr>
            <w:tcW w:w="3061" w:type="dxa"/>
            <w:tcBorders>
              <w:top w:val="single" w:sz="4" w:space="0" w:color="auto"/>
              <w:left w:val="single" w:sz="4" w:space="0" w:color="auto"/>
              <w:bottom w:val="single" w:sz="4" w:space="0" w:color="auto"/>
              <w:right w:val="single" w:sz="4" w:space="0" w:color="auto"/>
            </w:tcBorders>
          </w:tcPr>
          <w:p w14:paraId="381B1A19" w14:textId="77777777" w:rsidR="00B03C77" w:rsidRDefault="007E1F15" w:rsidP="001565D6">
            <w:pPr>
              <w:spacing w:line="360" w:lineRule="auto"/>
              <w:jc w:val="both"/>
            </w:pPr>
            <w:r w:rsidRPr="001565D6">
              <w:rPr>
                <w:rFonts w:ascii="Times New Roman" w:hAnsi="Times New Roman"/>
                <w:sz w:val="24"/>
                <w:szCs w:val="24"/>
              </w:rPr>
              <w:t>Jiangsu, China</w:t>
            </w:r>
          </w:p>
        </w:tc>
      </w:tr>
      <w:tr w:rsidR="002A10E0" w14:paraId="664AE3F7" w14:textId="77777777" w:rsidTr="001565D6">
        <w:tc>
          <w:tcPr>
            <w:tcW w:w="630" w:type="dxa"/>
            <w:tcBorders>
              <w:top w:val="single" w:sz="4" w:space="0" w:color="auto"/>
              <w:left w:val="single" w:sz="4" w:space="0" w:color="auto"/>
              <w:bottom w:val="single" w:sz="4" w:space="0" w:color="auto"/>
              <w:right w:val="single" w:sz="4" w:space="0" w:color="auto"/>
            </w:tcBorders>
          </w:tcPr>
          <w:p w14:paraId="5B499C87" w14:textId="77777777" w:rsidR="00B03C77" w:rsidRDefault="00B03C77" w:rsidP="001565D6">
            <w:pPr>
              <w:spacing w:line="360" w:lineRule="auto"/>
              <w:jc w:val="both"/>
            </w:pPr>
          </w:p>
        </w:tc>
        <w:tc>
          <w:tcPr>
            <w:tcW w:w="2860" w:type="dxa"/>
            <w:tcBorders>
              <w:top w:val="single" w:sz="4" w:space="0" w:color="auto"/>
              <w:left w:val="single" w:sz="4" w:space="0" w:color="auto"/>
              <w:bottom w:val="single" w:sz="4" w:space="0" w:color="auto"/>
              <w:right w:val="single" w:sz="4" w:space="0" w:color="auto"/>
            </w:tcBorders>
          </w:tcPr>
          <w:p w14:paraId="3206C994" w14:textId="77777777" w:rsidR="00B03C77" w:rsidRDefault="007E1F15" w:rsidP="001565D6">
            <w:pPr>
              <w:spacing w:line="240" w:lineRule="auto"/>
              <w:jc w:val="both"/>
            </w:pPr>
            <w:r w:rsidRPr="001565D6">
              <w:rPr>
                <w:rFonts w:ascii="Times New Roman" w:hAnsi="Times New Roman"/>
                <w:sz w:val="24"/>
                <w:szCs w:val="24"/>
              </w:rPr>
              <w:t xml:space="preserve">Water Bath   </w:t>
            </w:r>
          </w:p>
        </w:tc>
        <w:tc>
          <w:tcPr>
            <w:tcW w:w="2179" w:type="dxa"/>
            <w:tcBorders>
              <w:top w:val="single" w:sz="4" w:space="0" w:color="auto"/>
              <w:left w:val="single" w:sz="4" w:space="0" w:color="auto"/>
              <w:bottom w:val="single" w:sz="4" w:space="0" w:color="auto"/>
              <w:right w:val="single" w:sz="4" w:space="0" w:color="auto"/>
            </w:tcBorders>
          </w:tcPr>
          <w:p w14:paraId="496FF7C6" w14:textId="77777777" w:rsidR="00B03C77" w:rsidRDefault="007E1F15" w:rsidP="001565D6">
            <w:pPr>
              <w:spacing w:line="360" w:lineRule="auto"/>
              <w:jc w:val="both"/>
            </w:pPr>
            <w:r>
              <w:t>BKS-350</w:t>
            </w:r>
          </w:p>
        </w:tc>
        <w:tc>
          <w:tcPr>
            <w:tcW w:w="3061" w:type="dxa"/>
            <w:tcBorders>
              <w:top w:val="single" w:sz="4" w:space="0" w:color="auto"/>
              <w:left w:val="single" w:sz="4" w:space="0" w:color="auto"/>
              <w:bottom w:val="single" w:sz="4" w:space="0" w:color="auto"/>
              <w:right w:val="single" w:sz="4" w:space="0" w:color="auto"/>
            </w:tcBorders>
          </w:tcPr>
          <w:p w14:paraId="67814BEE" w14:textId="77777777" w:rsidR="00B03C77" w:rsidRDefault="007E1F15" w:rsidP="001565D6">
            <w:pPr>
              <w:spacing w:line="360" w:lineRule="auto"/>
              <w:jc w:val="both"/>
            </w:pPr>
            <w:proofErr w:type="spellStart"/>
            <w:r>
              <w:t>Gallenkamp</w:t>
            </w:r>
            <w:proofErr w:type="spellEnd"/>
            <w:r>
              <w:t xml:space="preserve">, Germany </w:t>
            </w:r>
          </w:p>
        </w:tc>
      </w:tr>
      <w:tr w:rsidR="002A10E0" w14:paraId="117F4293" w14:textId="77777777" w:rsidTr="001565D6">
        <w:tc>
          <w:tcPr>
            <w:tcW w:w="630" w:type="dxa"/>
            <w:tcBorders>
              <w:top w:val="single" w:sz="4" w:space="0" w:color="auto"/>
              <w:left w:val="single" w:sz="4" w:space="0" w:color="auto"/>
              <w:bottom w:val="single" w:sz="4" w:space="0" w:color="auto"/>
              <w:right w:val="single" w:sz="4" w:space="0" w:color="auto"/>
            </w:tcBorders>
          </w:tcPr>
          <w:p w14:paraId="62187A42" w14:textId="77777777" w:rsidR="00B03C77" w:rsidRDefault="00B03C77" w:rsidP="001565D6">
            <w:pPr>
              <w:spacing w:line="360" w:lineRule="auto"/>
              <w:jc w:val="both"/>
            </w:pPr>
          </w:p>
        </w:tc>
        <w:tc>
          <w:tcPr>
            <w:tcW w:w="2860" w:type="dxa"/>
            <w:tcBorders>
              <w:top w:val="single" w:sz="4" w:space="0" w:color="auto"/>
              <w:left w:val="single" w:sz="4" w:space="0" w:color="auto"/>
              <w:bottom w:val="single" w:sz="4" w:space="0" w:color="auto"/>
              <w:right w:val="single" w:sz="4" w:space="0" w:color="auto"/>
            </w:tcBorders>
          </w:tcPr>
          <w:p w14:paraId="601715A9" w14:textId="77777777" w:rsidR="00B03C77" w:rsidRDefault="007E1F15" w:rsidP="001565D6">
            <w:pPr>
              <w:spacing w:line="240" w:lineRule="auto"/>
              <w:jc w:val="both"/>
            </w:pPr>
            <w:r>
              <w:t xml:space="preserve">Refrigerator </w:t>
            </w:r>
          </w:p>
        </w:tc>
        <w:tc>
          <w:tcPr>
            <w:tcW w:w="2179" w:type="dxa"/>
            <w:tcBorders>
              <w:top w:val="single" w:sz="4" w:space="0" w:color="auto"/>
              <w:left w:val="single" w:sz="4" w:space="0" w:color="auto"/>
              <w:bottom w:val="single" w:sz="4" w:space="0" w:color="auto"/>
              <w:right w:val="single" w:sz="4" w:space="0" w:color="auto"/>
            </w:tcBorders>
          </w:tcPr>
          <w:p w14:paraId="70A6CC82" w14:textId="77777777" w:rsidR="00B03C77" w:rsidRDefault="007E1F15" w:rsidP="001565D6">
            <w:pPr>
              <w:spacing w:line="360" w:lineRule="auto"/>
              <w:jc w:val="both"/>
            </w:pPr>
            <w:r>
              <w:t>77305-2060</w:t>
            </w:r>
          </w:p>
        </w:tc>
        <w:tc>
          <w:tcPr>
            <w:tcW w:w="3061" w:type="dxa"/>
            <w:tcBorders>
              <w:top w:val="single" w:sz="4" w:space="0" w:color="auto"/>
              <w:left w:val="single" w:sz="4" w:space="0" w:color="auto"/>
              <w:bottom w:val="single" w:sz="4" w:space="0" w:color="auto"/>
              <w:right w:val="single" w:sz="4" w:space="0" w:color="auto"/>
            </w:tcBorders>
          </w:tcPr>
          <w:p w14:paraId="4A008871" w14:textId="77777777" w:rsidR="00B03C77" w:rsidRDefault="007E1F15" w:rsidP="001565D6">
            <w:pPr>
              <w:spacing w:line="240" w:lineRule="auto"/>
              <w:jc w:val="both"/>
            </w:pPr>
            <w:r w:rsidRPr="001565D6">
              <w:rPr>
                <w:rFonts w:ascii="Times New Roman" w:hAnsi="Times New Roman"/>
                <w:sz w:val="24"/>
                <w:szCs w:val="24"/>
              </w:rPr>
              <w:t>H</w:t>
            </w:r>
            <w:r w:rsidRPr="001565D6">
              <w:rPr>
                <w:rFonts w:hAnsi="Times New Roman"/>
                <w:sz w:val="24"/>
                <w:szCs w:val="24"/>
              </w:rPr>
              <w:t xml:space="preserve">aier </w:t>
            </w:r>
            <w:proofErr w:type="spellStart"/>
            <w:r w:rsidRPr="001565D6">
              <w:rPr>
                <w:rFonts w:hAnsi="Times New Roman"/>
                <w:sz w:val="24"/>
                <w:szCs w:val="24"/>
              </w:rPr>
              <w:t>Thermocool</w:t>
            </w:r>
            <w:proofErr w:type="spellEnd"/>
            <w:r w:rsidRPr="001565D6">
              <w:rPr>
                <w:rFonts w:hAnsi="Times New Roman"/>
                <w:sz w:val="24"/>
                <w:szCs w:val="24"/>
              </w:rPr>
              <w:t xml:space="preserve">, China </w:t>
            </w:r>
          </w:p>
        </w:tc>
      </w:tr>
      <w:tr w:rsidR="002A10E0" w14:paraId="55415600" w14:textId="77777777" w:rsidTr="001565D6">
        <w:tc>
          <w:tcPr>
            <w:tcW w:w="630" w:type="dxa"/>
            <w:tcBorders>
              <w:top w:val="single" w:sz="4" w:space="0" w:color="auto"/>
              <w:left w:val="single" w:sz="4" w:space="0" w:color="auto"/>
              <w:bottom w:val="single" w:sz="4" w:space="0" w:color="auto"/>
              <w:right w:val="single" w:sz="4" w:space="0" w:color="auto"/>
            </w:tcBorders>
          </w:tcPr>
          <w:p w14:paraId="5A29CDFA" w14:textId="77777777" w:rsidR="00B03C77" w:rsidRDefault="00B03C77" w:rsidP="001565D6">
            <w:pPr>
              <w:spacing w:line="360" w:lineRule="auto"/>
              <w:jc w:val="both"/>
            </w:pPr>
          </w:p>
        </w:tc>
        <w:tc>
          <w:tcPr>
            <w:tcW w:w="2860" w:type="dxa"/>
            <w:tcBorders>
              <w:top w:val="single" w:sz="4" w:space="0" w:color="auto"/>
              <w:left w:val="single" w:sz="4" w:space="0" w:color="auto"/>
              <w:bottom w:val="single" w:sz="4" w:space="0" w:color="auto"/>
              <w:right w:val="single" w:sz="4" w:space="0" w:color="auto"/>
            </w:tcBorders>
          </w:tcPr>
          <w:p w14:paraId="10CFE217" w14:textId="77777777" w:rsidR="00B03C77" w:rsidRDefault="007E1F15" w:rsidP="001565D6">
            <w:pPr>
              <w:spacing w:line="240" w:lineRule="auto"/>
              <w:jc w:val="both"/>
            </w:pPr>
            <w:r>
              <w:t>Filter Paper</w:t>
            </w:r>
          </w:p>
        </w:tc>
        <w:tc>
          <w:tcPr>
            <w:tcW w:w="2179" w:type="dxa"/>
            <w:tcBorders>
              <w:top w:val="single" w:sz="4" w:space="0" w:color="auto"/>
              <w:left w:val="single" w:sz="4" w:space="0" w:color="auto"/>
              <w:bottom w:val="single" w:sz="4" w:space="0" w:color="auto"/>
              <w:right w:val="single" w:sz="4" w:space="0" w:color="auto"/>
            </w:tcBorders>
          </w:tcPr>
          <w:p w14:paraId="12213FE9" w14:textId="77777777" w:rsidR="00B03C77" w:rsidRDefault="007E1F15" w:rsidP="001565D6">
            <w:pPr>
              <w:spacing w:line="360" w:lineRule="auto"/>
              <w:jc w:val="both"/>
            </w:pPr>
            <w:r w:rsidRPr="001565D6">
              <w:rPr>
                <w:rFonts w:ascii="Times New Roman" w:hAnsi="Times New Roman"/>
                <w:sz w:val="24"/>
                <w:szCs w:val="24"/>
              </w:rPr>
              <w:t>Whatman No. 1</w:t>
            </w:r>
          </w:p>
        </w:tc>
        <w:tc>
          <w:tcPr>
            <w:tcW w:w="3061" w:type="dxa"/>
            <w:tcBorders>
              <w:top w:val="single" w:sz="4" w:space="0" w:color="auto"/>
              <w:left w:val="single" w:sz="4" w:space="0" w:color="auto"/>
              <w:bottom w:val="single" w:sz="4" w:space="0" w:color="auto"/>
              <w:right w:val="single" w:sz="4" w:space="0" w:color="auto"/>
            </w:tcBorders>
          </w:tcPr>
          <w:p w14:paraId="209D7FEC" w14:textId="77777777" w:rsidR="00B03C77" w:rsidRDefault="007E1F15" w:rsidP="001565D6">
            <w:pPr>
              <w:spacing w:line="240" w:lineRule="auto"/>
              <w:jc w:val="both"/>
            </w:pPr>
            <w:proofErr w:type="spellStart"/>
            <w:r>
              <w:t>Kimax</w:t>
            </w:r>
            <w:proofErr w:type="spellEnd"/>
            <w:r>
              <w:t xml:space="preserve">, USA </w:t>
            </w:r>
          </w:p>
        </w:tc>
      </w:tr>
      <w:tr w:rsidR="002A10E0" w14:paraId="6BECD1CD" w14:textId="77777777" w:rsidTr="001565D6">
        <w:tc>
          <w:tcPr>
            <w:tcW w:w="630" w:type="dxa"/>
            <w:tcBorders>
              <w:top w:val="single" w:sz="4" w:space="0" w:color="auto"/>
              <w:left w:val="single" w:sz="4" w:space="0" w:color="auto"/>
              <w:bottom w:val="single" w:sz="4" w:space="0" w:color="auto"/>
              <w:right w:val="single" w:sz="4" w:space="0" w:color="auto"/>
            </w:tcBorders>
          </w:tcPr>
          <w:p w14:paraId="468D32F7" w14:textId="77777777" w:rsidR="00B03C77" w:rsidRDefault="00B03C77" w:rsidP="001565D6">
            <w:pPr>
              <w:spacing w:line="360" w:lineRule="auto"/>
              <w:jc w:val="both"/>
            </w:pPr>
          </w:p>
        </w:tc>
        <w:tc>
          <w:tcPr>
            <w:tcW w:w="2860" w:type="dxa"/>
            <w:tcBorders>
              <w:top w:val="single" w:sz="4" w:space="0" w:color="auto"/>
              <w:left w:val="single" w:sz="4" w:space="0" w:color="auto"/>
              <w:bottom w:val="single" w:sz="4" w:space="0" w:color="auto"/>
              <w:right w:val="single" w:sz="4" w:space="0" w:color="auto"/>
            </w:tcBorders>
          </w:tcPr>
          <w:p w14:paraId="31E8F5F6" w14:textId="77777777" w:rsidR="00B03C77" w:rsidRDefault="007E1F15" w:rsidP="001565D6">
            <w:pPr>
              <w:spacing w:line="240" w:lineRule="auto"/>
              <w:jc w:val="both"/>
            </w:pPr>
            <w:proofErr w:type="spellStart"/>
            <w:proofErr w:type="gramStart"/>
            <w:r>
              <w:t>Glasswares</w:t>
            </w:r>
            <w:proofErr w:type="spellEnd"/>
            <w:r>
              <w:t>(</w:t>
            </w:r>
            <w:proofErr w:type="gramEnd"/>
            <w:r>
              <w:t xml:space="preserve">Beakers, Flasks, cylinders </w:t>
            </w:r>
            <w:proofErr w:type="spellStart"/>
            <w:r>
              <w:t>e.t.c</w:t>
            </w:r>
            <w:proofErr w:type="spellEnd"/>
            <w:r>
              <w:t>)</w:t>
            </w:r>
          </w:p>
        </w:tc>
        <w:tc>
          <w:tcPr>
            <w:tcW w:w="2179" w:type="dxa"/>
            <w:tcBorders>
              <w:top w:val="single" w:sz="4" w:space="0" w:color="auto"/>
              <w:left w:val="single" w:sz="4" w:space="0" w:color="auto"/>
              <w:bottom w:val="single" w:sz="4" w:space="0" w:color="auto"/>
              <w:right w:val="single" w:sz="4" w:space="0" w:color="auto"/>
            </w:tcBorders>
          </w:tcPr>
          <w:p w14:paraId="5130BC1A" w14:textId="77777777" w:rsidR="00B03C77" w:rsidRDefault="007E1F15" w:rsidP="001565D6">
            <w:pPr>
              <w:spacing w:line="360" w:lineRule="auto"/>
              <w:jc w:val="both"/>
            </w:pPr>
            <w:r>
              <w:t>Borosilicate Type A</w:t>
            </w:r>
          </w:p>
        </w:tc>
        <w:tc>
          <w:tcPr>
            <w:tcW w:w="3061" w:type="dxa"/>
            <w:tcBorders>
              <w:top w:val="single" w:sz="4" w:space="0" w:color="auto"/>
              <w:left w:val="single" w:sz="4" w:space="0" w:color="auto"/>
              <w:bottom w:val="single" w:sz="4" w:space="0" w:color="auto"/>
              <w:right w:val="single" w:sz="4" w:space="0" w:color="auto"/>
            </w:tcBorders>
          </w:tcPr>
          <w:p w14:paraId="55AD1433" w14:textId="77777777" w:rsidR="00B03C77" w:rsidRDefault="007E1F15" w:rsidP="001565D6">
            <w:pPr>
              <w:spacing w:line="360" w:lineRule="auto"/>
              <w:jc w:val="both"/>
            </w:pPr>
            <w:r w:rsidRPr="001565D6">
              <w:rPr>
                <w:rFonts w:ascii="Times New Roman" w:hAnsi="Times New Roman"/>
                <w:sz w:val="24"/>
                <w:szCs w:val="24"/>
              </w:rPr>
              <w:t>Pyrex, England</w:t>
            </w:r>
          </w:p>
        </w:tc>
      </w:tr>
    </w:tbl>
    <w:p w14:paraId="7739872D" w14:textId="77777777" w:rsidR="00B03C77" w:rsidRDefault="00B03C77">
      <w:pPr>
        <w:spacing w:line="360" w:lineRule="auto"/>
        <w:jc w:val="both"/>
      </w:pPr>
    </w:p>
    <w:p w14:paraId="7503C427" w14:textId="77777777" w:rsidR="00B03C77" w:rsidRDefault="007E1F15">
      <w:pPr>
        <w:rPr>
          <w:b/>
          <w:bCs/>
        </w:rPr>
      </w:pPr>
      <w:r>
        <w:rPr>
          <w:b/>
          <w:bCs/>
        </w:rPr>
        <w:t xml:space="preserve">2.2. Chemicals/Reagents </w:t>
      </w:r>
    </w:p>
    <w:p w14:paraId="2C890148" w14:textId="77777777" w:rsidR="00B03C77" w:rsidRDefault="007E1F15">
      <w:r>
        <w:t xml:space="preserve">All chemicals and reagents used in this study were of analytical grade and obtained </w:t>
      </w:r>
      <w:r>
        <w:t>from standard commercial sources. The reagents are ethanol (70%), bovine serum albumin (BSA), aspirin (acetylsalicylic acid), sodium chloride (NaCl), sodium citrate, citric acid, dextrose, hydrochloric acid (HCl, 1 N), phosphate-buffered saline (PBS, pH 7.</w:t>
      </w:r>
      <w:r>
        <w:t>4), potassium mercuric iodide solution, bismuth potassium iodide solution, magnesium turnings, concentrated hydrochloric acid, sodium hydroxide (1 M), ferric chloride (</w:t>
      </w:r>
      <w:proofErr w:type="spellStart"/>
      <w:r>
        <w:t>FeCl</w:t>
      </w:r>
      <w:proofErr w:type="spellEnd"/>
      <w:r>
        <w:t xml:space="preserve">₃), chloroform, concentrated sulfuric acid (H₂SO₄), acetic anhydride, and distilled </w:t>
      </w:r>
      <w:r>
        <w:t>water.</w:t>
      </w:r>
    </w:p>
    <w:p w14:paraId="1F02FD67" w14:textId="77777777" w:rsidR="00B03C77" w:rsidRDefault="00B03C77">
      <w:pPr>
        <w:rPr>
          <w:b/>
          <w:bCs/>
        </w:rPr>
      </w:pPr>
    </w:p>
    <w:p w14:paraId="50C00E84" w14:textId="77777777" w:rsidR="00B03C77" w:rsidRDefault="007E1F15">
      <w:pPr>
        <w:rPr>
          <w:i/>
          <w:iCs/>
        </w:rPr>
      </w:pPr>
      <w:r>
        <w:rPr>
          <w:b/>
          <w:bCs/>
        </w:rPr>
        <w:t>2.3. Collection and Preparation of Plant Material</w:t>
      </w:r>
    </w:p>
    <w:p w14:paraId="72F9BD56" w14:textId="77777777" w:rsidR="00B03C77" w:rsidRDefault="007E1F15">
      <w:proofErr w:type="spellStart"/>
      <w:r>
        <w:rPr>
          <w:i/>
          <w:iCs/>
        </w:rPr>
        <w:t>Trigonella</w:t>
      </w:r>
      <w:proofErr w:type="spellEnd"/>
      <w:r>
        <w:rPr>
          <w:i/>
          <w:iCs/>
        </w:rPr>
        <w:t xml:space="preserve"> </w:t>
      </w:r>
      <w:proofErr w:type="spellStart"/>
      <w:r>
        <w:rPr>
          <w:i/>
          <w:iCs/>
        </w:rPr>
        <w:t>foenum</w:t>
      </w:r>
      <w:proofErr w:type="spellEnd"/>
      <w:r>
        <w:rPr>
          <w:i/>
          <w:iCs/>
        </w:rPr>
        <w:t>-graecum</w:t>
      </w:r>
      <w:r>
        <w:t xml:space="preserve"> (fenugreek) seeds was purchased from a local market in Umuahia, Abia State, Nigeria. The seeds were authenticated by a taxonomist in the Department of Plant Science and </w:t>
      </w:r>
      <w:r>
        <w:t xml:space="preserve">Biotechnology, Michael Okpara University of Agriculture, </w:t>
      </w:r>
      <w:proofErr w:type="spellStart"/>
      <w:r>
        <w:t>Umudike</w:t>
      </w:r>
      <w:proofErr w:type="spellEnd"/>
      <w:r>
        <w:t xml:space="preserve">, </w:t>
      </w:r>
      <w:proofErr w:type="spellStart"/>
      <w:r>
        <w:t>Abia</w:t>
      </w:r>
      <w:proofErr w:type="spellEnd"/>
      <w:r>
        <w:t xml:space="preserve"> State, where a voucher specimen was deposited. The seeds were thoroughly washed, air-dried at room temperature (25 ± 2 °C), and ground into fine powder using an electric blender. The po</w:t>
      </w:r>
      <w:r>
        <w:t>wdered sample was stored in an airtight container until extraction.</w:t>
      </w:r>
    </w:p>
    <w:p w14:paraId="71E16ED8" w14:textId="77777777" w:rsidR="00B03C77" w:rsidRDefault="007E1F15">
      <w:pPr>
        <w:rPr>
          <w:b/>
          <w:bCs/>
        </w:rPr>
      </w:pPr>
      <w:r>
        <w:rPr>
          <w:b/>
          <w:bCs/>
        </w:rPr>
        <w:lastRenderedPageBreak/>
        <w:t>2.4. Preparation of Ethanolic Extract</w:t>
      </w:r>
    </w:p>
    <w:p w14:paraId="7066562B" w14:textId="77777777" w:rsidR="00B03C77" w:rsidRDefault="007E1F15">
      <w:r>
        <w:t>250 g of the powdered fenugreek seed was macerated in 1L of 70% ethanol for 48 hours with occasional stirring. The mixture was filtered through Whatma</w:t>
      </w:r>
      <w:r>
        <w:t>n No. 1 filter paper, and the filtrate was concentrated to dryness under reduced pressure using a rotary evaporator at 40 °C. The crude extract obtained was weighed, stored in a sterile container, and preserved at 4 °C until required for analysis. The perc</w:t>
      </w:r>
      <w:r>
        <w:t>entage yield of the extract was calculated using the formula:</w:t>
      </w:r>
    </w:p>
    <w:p w14:paraId="210499A6" w14:textId="2240EF85" w:rsidR="00B03C77" w:rsidRDefault="007E1F15">
      <w:r>
        <w:t xml:space="preserve">Percentage yield (%) =    </w:t>
      </w:r>
      <w:r>
        <w:rPr>
          <w:noProof/>
        </w:rPr>
        <w:pict w14:anchorId="39B3C93A">
          <v:line id="_x0000_s1028" style="position:absolute;z-index:2;visibility:visible;mso-wrap-style:square;mso-wrap-distance-left:0;mso-wrap-distance-top:0;mso-wrap-distance-right:0;mso-wrap-distance-bottom:0;mso-position-horizontal:absolute;mso-position-horizontal-relative:page;mso-position-vertical:absolute;mso-position-vertical-relative:page" from="181.2pt,428.5pt" to="286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" filled="t" strokecolor="#666" strokeweight="1pt">
            <o:lock v:ext="edit" shapetype="f"/>
            <w10:wrap anchorx="page" anchory="page"/>
          </v:line>
        </w:pict>
      </w:r>
      <w:r>
        <w:t xml:space="preserve"> Weight of extract                × 100</w:t>
      </w:r>
    </w:p>
    <w:p w14:paraId="488729AE" w14:textId="77777777" w:rsidR="00B03C77" w:rsidRDefault="007E1F15">
      <w:r>
        <w:t xml:space="preserve">                                      Weight of powdered sample</w:t>
      </w:r>
    </w:p>
    <w:p w14:paraId="0456D0C8" w14:textId="77777777" w:rsidR="00B03C77" w:rsidRDefault="00B03C77"/>
    <w:p w14:paraId="11943099" w14:textId="77777777" w:rsidR="00B03C77" w:rsidRDefault="007E1F15">
      <w:r>
        <w:rPr>
          <w:b/>
          <w:bCs/>
        </w:rPr>
        <w:t>2.5. Phytochemical Screening</w:t>
      </w:r>
    </w:p>
    <w:p w14:paraId="7D1909F0" w14:textId="77777777" w:rsidR="00B03C77" w:rsidRDefault="007E1F15">
      <w:r>
        <w:t>Qualitative phytochemical analysi</w:t>
      </w:r>
      <w:r>
        <w:t>s was conducted on the ethanolic extract of fenugreek seeds following standard procedures described by Harborne (1998) and Trease and Evans (2002) to identify the presence of alkaloids, flavonoids, saponins, tannins, phenols, steroids, and terpenoids.</w:t>
      </w:r>
    </w:p>
    <w:p w14:paraId="449F2A68" w14:textId="77777777" w:rsidR="00B03C77" w:rsidRDefault="007E1F15">
      <w:pPr>
        <w:rPr>
          <w:b/>
          <w:bCs/>
        </w:rPr>
      </w:pPr>
      <w:r>
        <w:rPr>
          <w:b/>
          <w:bCs/>
        </w:rPr>
        <w:t>2.6.</w:t>
      </w:r>
      <w:r>
        <w:rPr>
          <w:b/>
          <w:bCs/>
        </w:rPr>
        <w:t xml:space="preserve"> In Vitro Evaluation of Anti-inflammatory Activity </w:t>
      </w:r>
    </w:p>
    <w:p w14:paraId="292AB91D" w14:textId="77777777" w:rsidR="00B03C77" w:rsidRDefault="007E1F15">
      <w:pPr>
        <w:rPr>
          <w:b/>
          <w:bCs/>
        </w:rPr>
      </w:pPr>
      <w:r>
        <w:rPr>
          <w:b/>
          <w:bCs/>
        </w:rPr>
        <w:t>Inhibition of Protein Denaturation</w:t>
      </w:r>
    </w:p>
    <w:p w14:paraId="670C6580" w14:textId="77777777" w:rsidR="00B03C77" w:rsidRDefault="007E1F15">
      <w:r>
        <w:t>The anti-inflammatory activity of the extract was assessed by evaluating its ability to inhibit heat-induced albumin denaturation following the method of Mizushima and K</w:t>
      </w:r>
      <w:r>
        <w:t>obayashi (1968) with slight modifications. Where 2 mL of the extract at concentrations (50, 100, 200, 400, and 800 µg/mL) was mixed with 1 mL of 1% aqueous solution of bovine serum albumin (BSA). The reaction mixture was adjusted to pH 6.3 using 1 N HCl an</w:t>
      </w:r>
      <w:r>
        <w:t>d incubated at 37 °C for 20 minutes. The samples were heated at 70 °C for 5 minutes, and allowed to cool, and the absorbance was measured at 660 nm using a spectrophotometer. Aspirin (100 µg/mL) was used as the standard drug, while the control received dis</w:t>
      </w:r>
      <w:r>
        <w:t>tilled water only.  The percentage inhibition of protein denaturation was calculated as:</w:t>
      </w:r>
    </w:p>
    <w:p w14:paraId="619EC2C7" w14:textId="77777777" w:rsidR="00B03C77" w:rsidRDefault="00B03C77"/>
    <w:p w14:paraId="22A33FFC" w14:textId="4857848C" w:rsidR="00B03C77" w:rsidRDefault="007E1F15">
      <w:r>
        <w:t>Inhibition (%)</w:t>
      </w:r>
      <w:r>
        <w:rPr>
          <w:noProof/>
        </w:rPr>
        <w:pict w14:anchorId="5D867CBB">
          <v:line id="_x0000_s1027" style="position:absolute;flip:y;z-index:3;visibility:visible;mso-wrap-style:square;mso-wrap-distance-left:0;mso-wrap-distance-top:0;mso-wrap-distance-right:0;mso-wrap-distance-bottom:0;mso-position-horizontal:absolute;mso-position-horizontal-relative:page;mso-position-vertical:absolute;mso-position-vertical-relative:page" from="149.5pt,188.8pt" to="213.85pt,1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" filled="t" strokecolor="#666" strokeweight="1pt">
            <o:lock v:ext="edit" shapetype="f"/>
            <w10:wrap anchorx="page" anchory="page"/>
          </v:line>
        </w:pict>
      </w:r>
      <w:r>
        <w:t xml:space="preserve"> = </w:t>
      </w:r>
      <w:proofErr w:type="spellStart"/>
      <w:r>
        <w:t>A</w:t>
      </w:r>
      <w:r>
        <w:rPr>
          <w:vertAlign w:val="subscript"/>
        </w:rPr>
        <w:t>control</w:t>
      </w:r>
      <w:proofErr w:type="spellEnd"/>
      <w:r>
        <w:t xml:space="preserve"> - </w:t>
      </w:r>
      <w:proofErr w:type="spellStart"/>
      <w:r>
        <w:t>A</w:t>
      </w:r>
      <w:r>
        <w:rPr>
          <w:vertAlign w:val="subscript"/>
        </w:rPr>
        <w:t>sample</w:t>
      </w:r>
      <w:proofErr w:type="spellEnd"/>
      <w:r>
        <w:t xml:space="preserve"> × 100</w:t>
      </w:r>
    </w:p>
    <w:p w14:paraId="6BDA6B67" w14:textId="77777777" w:rsidR="00B03C77" w:rsidRDefault="007E1F15">
      <w:r>
        <w:t xml:space="preserve">                                  </w:t>
      </w:r>
      <w:proofErr w:type="spellStart"/>
      <w:r>
        <w:t>A</w:t>
      </w:r>
      <w:r>
        <w:rPr>
          <w:vertAlign w:val="subscript"/>
        </w:rPr>
        <w:t>control</w:t>
      </w:r>
      <w:proofErr w:type="spellEnd"/>
      <w:r>
        <w:t xml:space="preserve"> </w:t>
      </w:r>
    </w:p>
    <w:p w14:paraId="35574BD9" w14:textId="77777777" w:rsidR="00B03C77" w:rsidRDefault="007E1F15">
      <w:r>
        <w:t>where</w:t>
      </w:r>
    </w:p>
    <w:p w14:paraId="7105A05E" w14:textId="77777777" w:rsidR="00B03C77" w:rsidRDefault="007E1F15">
      <w:proofErr w:type="gramStart"/>
      <w:r>
        <w:t>Ac  =</w:t>
      </w:r>
      <w:proofErr w:type="gramEnd"/>
      <w:r>
        <w:t xml:space="preserve"> absorbance of control and  </w:t>
      </w:r>
    </w:p>
    <w:p w14:paraId="7FE61C7F" w14:textId="77777777" w:rsidR="00B03C77" w:rsidRDefault="007E1F15">
      <w:r>
        <w:t>As = absorbance of sample or standard.</w:t>
      </w:r>
    </w:p>
    <w:p w14:paraId="39E03923" w14:textId="77777777" w:rsidR="00B03C77" w:rsidRDefault="00B03C77"/>
    <w:p w14:paraId="69FCB713" w14:textId="77777777" w:rsidR="00B03C77" w:rsidRDefault="007E1F15">
      <w:pPr>
        <w:rPr>
          <w:b/>
          <w:bCs/>
        </w:rPr>
      </w:pPr>
      <w:r>
        <w:rPr>
          <w:b/>
          <w:bCs/>
        </w:rPr>
        <w:t>2.7. Membrane Stabilization Assay (Hypotonic Solution-Induced Hemolysis)</w:t>
      </w:r>
    </w:p>
    <w:p w14:paraId="1F08390F" w14:textId="77777777" w:rsidR="00B03C77" w:rsidRDefault="007E1F15">
      <w:r>
        <w:lastRenderedPageBreak/>
        <w:t xml:space="preserve">The human red blood cell (HRBC) membrane stabilization method was used as described by </w:t>
      </w:r>
      <w:proofErr w:type="spellStart"/>
      <w:r>
        <w:t>Oyedapo</w:t>
      </w:r>
      <w:proofErr w:type="spellEnd"/>
      <w:r>
        <w:t xml:space="preserve"> et al. (2010). 2 mL of whole blood sample was collected from healthy human volunteers w</w:t>
      </w:r>
      <w:r>
        <w:t xml:space="preserve">ho had not taken NSAIDs for two weeks prior to the experiment and mixed with equal volume of </w:t>
      </w:r>
      <w:proofErr w:type="spellStart"/>
      <w:r>
        <w:t>Alsever’s</w:t>
      </w:r>
      <w:proofErr w:type="spellEnd"/>
      <w:r>
        <w:t xml:space="preserve"> solution (2% dextrose, 0.8% sodium citrate, 0.05% citric acid, and 0.42% sodium chloride). The blood was centrifuged at 3000 rpm for 10 minutes, and the </w:t>
      </w:r>
      <w:r>
        <w:t>packed cells were washed three times with normal saline (0.9% NaCl). A 10% (v/v) erythrocyte suspension was prepared in isotonic saline.</w:t>
      </w:r>
    </w:p>
    <w:p w14:paraId="1981B02B" w14:textId="77777777" w:rsidR="00B03C77" w:rsidRDefault="007E1F15">
      <w:r>
        <w:t>Thereafter, 1 mL of the extract at different concentrations (100, 200, 300 and 400 µg/mL), 1 mL of phosphate buffer (pH</w:t>
      </w:r>
      <w:r>
        <w:t xml:space="preserve"> 7.4), 2 mL of hypotonic saline (0.25% NaCl), and 0.5 mL of erythrocyte suspension were together mixed. The control received all the reagents except the extract, while aspirin (100 µg/mL) served as the reference standard. The mixtures were incubated at 37 </w:t>
      </w:r>
      <w:r>
        <w:t>°C for 30 minutes and centrifuged at 3000 rpm for 10 minutes. The absorbance of the supernatant was measured at 560 nm, and the percentage inhibition of hemolysis was calculated as:</w:t>
      </w:r>
    </w:p>
    <w:p w14:paraId="1F50328C" w14:textId="57CCB19A" w:rsidR="00B03C77" w:rsidRDefault="007E1F15">
      <w:r>
        <w:t xml:space="preserve">Inhibition of hemolysis (%) = </w:t>
      </w:r>
      <w:proofErr w:type="spellStart"/>
      <w:r>
        <w:t>A</w:t>
      </w:r>
      <w:r>
        <w:rPr>
          <w:noProof/>
        </w:rPr>
        <w:pict w14:anchorId="6925168C">
          <v:line id="Image1" o:spid="_x0000_s1026" style="position:absolute;z-index:1;visibility:visible;mso-wrap-style:square;mso-wrap-distance-left:0;mso-wrap-distance-top:0;mso-wrap-distance-right:0;mso-wrap-distance-bottom:0;mso-position-horizontal:absolute;mso-position-horizontal-relative:page;mso-position-vertical:absolute;mso-position-vertical-relative:page" from="216.05pt,588.6pt" to="283.8pt,5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" filled="t" strokecolor="#666" strokeweight="1pt">
            <o:lock v:ext="edit" shapetype="f"/>
            <w10:wrap anchorx="page" anchory="page"/>
          </v:line>
        </w:pict>
      </w:r>
      <w:r>
        <w:rPr>
          <w:vertAlign w:val="subscript"/>
        </w:rPr>
        <w:t>control</w:t>
      </w:r>
      <w:proofErr w:type="spellEnd"/>
      <w:r>
        <w:t xml:space="preserve"> - </w:t>
      </w:r>
      <w:proofErr w:type="spellStart"/>
      <w:r>
        <w:t>A</w:t>
      </w:r>
      <w:r>
        <w:rPr>
          <w:vertAlign w:val="subscript"/>
        </w:rPr>
        <w:t>sample</w:t>
      </w:r>
      <w:proofErr w:type="spellEnd"/>
      <w:r>
        <w:t xml:space="preserve"> × 100</w:t>
      </w:r>
    </w:p>
    <w:p w14:paraId="62AFDEED" w14:textId="77777777" w:rsidR="00B03C77" w:rsidRDefault="007E1F15">
      <w:r>
        <w:t xml:space="preserve">                  </w:t>
      </w:r>
      <w:r>
        <w:t xml:space="preserve">                                        </w:t>
      </w:r>
      <w:proofErr w:type="spellStart"/>
      <w:r>
        <w:t>A</w:t>
      </w:r>
      <w:r>
        <w:rPr>
          <w:vertAlign w:val="subscript"/>
        </w:rPr>
        <w:t>control</w:t>
      </w:r>
      <w:proofErr w:type="spellEnd"/>
      <w:r>
        <w:t xml:space="preserve"> </w:t>
      </w:r>
    </w:p>
    <w:p w14:paraId="10082189" w14:textId="77777777" w:rsidR="00B03C77" w:rsidRDefault="007E1F15">
      <w:r>
        <w:t>Where</w:t>
      </w:r>
    </w:p>
    <w:p w14:paraId="22FB4CC7" w14:textId="77777777" w:rsidR="00B03C77" w:rsidRDefault="007E1F15">
      <w:proofErr w:type="gramStart"/>
      <w:r>
        <w:t>Ac  =</w:t>
      </w:r>
      <w:proofErr w:type="gramEnd"/>
      <w:r>
        <w:t xml:space="preserve"> absorbance of control </w:t>
      </w:r>
    </w:p>
    <w:p w14:paraId="1DBD3720" w14:textId="77777777" w:rsidR="00B03C77" w:rsidRDefault="007E1F15">
      <w:r>
        <w:t>As = absorbance of sample or standard.</w:t>
      </w:r>
    </w:p>
    <w:p w14:paraId="7EF88F60" w14:textId="77777777" w:rsidR="00B03C77" w:rsidRDefault="007E1F15">
      <w:pPr>
        <w:rPr>
          <w:b/>
          <w:bCs/>
        </w:rPr>
      </w:pPr>
      <w:r>
        <w:rPr>
          <w:b/>
          <w:bCs/>
        </w:rPr>
        <w:t>2.8. Statistical Analysis</w:t>
      </w:r>
    </w:p>
    <w:p w14:paraId="20A16464" w14:textId="77777777" w:rsidR="00B03C77" w:rsidRDefault="007E1F15">
      <w:r>
        <w:t>All experiments were performed in triplicate. The results were expressed as mean ± standard deviation (SD)</w:t>
      </w:r>
      <w:r>
        <w:t>. Data were analyzed using one-way analysis of variance (ANOVA) followed by Duncan’s multiple range test to determine statistical significance. Differences between means were considered significant at p &lt; 0.05.</w:t>
      </w:r>
    </w:p>
    <w:p w14:paraId="6A951662" w14:textId="77777777" w:rsidR="00B03C77" w:rsidRDefault="00B03C77">
      <w:pPr>
        <w:spacing w:line="360" w:lineRule="auto"/>
        <w:jc w:val="both"/>
      </w:pPr>
    </w:p>
    <w:p w14:paraId="7488A76F" w14:textId="77777777" w:rsidR="00B03C77" w:rsidRDefault="007E1F15">
      <w:pPr>
        <w:spacing w:line="360" w:lineRule="auto"/>
        <w:jc w:val="both"/>
      </w:pPr>
      <w:r>
        <w:t xml:space="preserve"> </w:t>
      </w:r>
      <w:r>
        <w:rPr>
          <w:rFonts w:ascii="Times New Roman" w:hAnsi="Times New Roman"/>
          <w:b/>
          <w:bCs/>
          <w:caps/>
          <w:sz w:val="24"/>
          <w:szCs w:val="24"/>
        </w:rPr>
        <w:t xml:space="preserve">3. Results and Discussion </w:t>
      </w:r>
    </w:p>
    <w:p w14:paraId="398C3480" w14:textId="77777777" w:rsidR="00B03C77" w:rsidRDefault="007E1F15">
      <w:pPr>
        <w:spacing w:line="360" w:lineRule="auto"/>
        <w:jc w:val="both"/>
      </w:pPr>
      <w:r>
        <w:rPr>
          <w:rFonts w:ascii="Times New Roman" w:eastAsia="Calibri" w:hAnsi="Times New Roman"/>
          <w:b/>
          <w:bCs/>
          <w:sz w:val="24"/>
          <w:szCs w:val="24"/>
          <w:lang w:eastAsia="en-US"/>
        </w:rPr>
        <w:t xml:space="preserve">Table 2. Showed </w:t>
      </w:r>
      <w:r>
        <w:rPr>
          <w:rFonts w:ascii="Times New Roman" w:eastAsia="Calibri" w:hAnsi="Times New Roman"/>
          <w:b/>
          <w:bCs/>
          <w:sz w:val="24"/>
          <w:szCs w:val="24"/>
          <w:lang w:eastAsia="en-US"/>
        </w:rPr>
        <w:t>the Qualitative Phytochemical analysis of the ethanolic extract of fenugreek seeds.</w:t>
      </w:r>
    </w:p>
    <w:tbl>
      <w:tblPr>
        <w:tblW w:w="0" w:type="auto"/>
        <w:tblLook w:val="04A0" w:firstRow="1" w:lastRow="0" w:firstColumn="1" w:lastColumn="0" w:noHBand="0" w:noVBand="1"/>
      </w:tblPr>
      <w:tblGrid>
        <w:gridCol w:w="3116"/>
        <w:gridCol w:w="1919"/>
      </w:tblGrid>
      <w:tr w:rsidR="00B03C77" w14:paraId="6D76FD67"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6F0FC" w14:textId="77777777" w:rsidR="00B03C77" w:rsidRDefault="007E1F15">
            <w:pPr>
              <w:spacing w:line="360" w:lineRule="auto"/>
              <w:jc w:val="both"/>
            </w:pPr>
            <w:r>
              <w:rPr>
                <w:rFonts w:ascii="Times New Roman" w:eastAsia="Calibri" w:hAnsi="Times New Roman"/>
                <w:b/>
                <w:bCs/>
                <w:sz w:val="24"/>
                <w:szCs w:val="24"/>
                <w:lang w:eastAsia="en-US"/>
              </w:rPr>
              <w:t>Phytochemical group</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7CF43" w14:textId="77777777" w:rsidR="00B03C77" w:rsidRDefault="007E1F15">
            <w:pPr>
              <w:spacing w:line="360" w:lineRule="auto"/>
              <w:jc w:val="both"/>
              <w:rPr>
                <w:b/>
                <w:bCs/>
              </w:rPr>
            </w:pPr>
            <w:r>
              <w:rPr>
                <w:b/>
                <w:bCs/>
              </w:rPr>
              <w:t>Result</w:t>
            </w:r>
          </w:p>
        </w:tc>
      </w:tr>
      <w:tr w:rsidR="00B03C77" w14:paraId="5800997D"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43DE0" w14:textId="77777777" w:rsidR="00B03C77" w:rsidRDefault="007E1F15">
            <w:pPr>
              <w:spacing w:line="360" w:lineRule="auto"/>
              <w:jc w:val="both"/>
            </w:pPr>
            <w:r>
              <w:rPr>
                <w:rFonts w:ascii="Times New Roman" w:eastAsia="Calibri" w:hAnsi="Times New Roman"/>
                <w:sz w:val="24"/>
                <w:szCs w:val="24"/>
                <w:lang w:eastAsia="en-US"/>
              </w:rPr>
              <w:t xml:space="preserve">Alkaloids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66BC1" w14:textId="77777777" w:rsidR="00B03C77" w:rsidRDefault="007E1F15">
            <w:pPr>
              <w:spacing w:line="360" w:lineRule="auto"/>
              <w:jc w:val="both"/>
            </w:pPr>
            <w:r>
              <w:rPr>
                <w:rFonts w:ascii="Times New Roman" w:eastAsia="Calibri" w:hAnsi="Times New Roman"/>
                <w:sz w:val="24"/>
                <w:szCs w:val="24"/>
                <w:lang w:eastAsia="en-US"/>
              </w:rPr>
              <w:t>+</w:t>
            </w:r>
          </w:p>
        </w:tc>
      </w:tr>
      <w:tr w:rsidR="00B03C77" w14:paraId="7B8F2557"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D2A1A" w14:textId="77777777" w:rsidR="00B03C77" w:rsidRDefault="007E1F15">
            <w:pPr>
              <w:spacing w:line="360" w:lineRule="auto"/>
              <w:jc w:val="both"/>
            </w:pPr>
            <w:r>
              <w:rPr>
                <w:rFonts w:ascii="Times New Roman" w:eastAsia="Calibri" w:hAnsi="Times New Roman"/>
                <w:sz w:val="24"/>
                <w:szCs w:val="24"/>
                <w:lang w:eastAsia="en-US"/>
              </w:rPr>
              <w:t xml:space="preserve">Phenols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EB2E" w14:textId="77777777" w:rsidR="00B03C77" w:rsidRDefault="007E1F15">
            <w:pPr>
              <w:spacing w:line="360" w:lineRule="auto"/>
              <w:jc w:val="both"/>
            </w:pPr>
            <w:r>
              <w:rPr>
                <w:rFonts w:ascii="Times New Roman" w:eastAsia="Calibri" w:hAnsi="Times New Roman"/>
                <w:sz w:val="24"/>
                <w:szCs w:val="24"/>
                <w:lang w:eastAsia="en-US"/>
              </w:rPr>
              <w:t>++</w:t>
            </w:r>
          </w:p>
        </w:tc>
      </w:tr>
      <w:tr w:rsidR="00B03C77" w14:paraId="5D4C4C2E"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86E72" w14:textId="77777777" w:rsidR="00B03C77" w:rsidRDefault="007E1F15">
            <w:pPr>
              <w:spacing w:line="360" w:lineRule="auto"/>
              <w:jc w:val="both"/>
            </w:pPr>
            <w:r>
              <w:rPr>
                <w:rFonts w:ascii="Times New Roman" w:eastAsia="Calibri" w:hAnsi="Times New Roman"/>
                <w:sz w:val="24"/>
                <w:szCs w:val="24"/>
                <w:lang w:eastAsia="en-US"/>
              </w:rPr>
              <w:lastRenderedPageBreak/>
              <w:t xml:space="preserve">Terpenoids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1DE5D" w14:textId="77777777" w:rsidR="00B03C77" w:rsidRDefault="007E1F15">
            <w:pPr>
              <w:spacing w:line="360" w:lineRule="auto"/>
              <w:jc w:val="both"/>
            </w:pPr>
            <w:r>
              <w:rPr>
                <w:rFonts w:ascii="Times New Roman" w:eastAsia="Calibri" w:hAnsi="Times New Roman"/>
                <w:sz w:val="24"/>
                <w:szCs w:val="24"/>
                <w:lang w:eastAsia="en-US"/>
              </w:rPr>
              <w:t>+</w:t>
            </w:r>
          </w:p>
        </w:tc>
      </w:tr>
      <w:tr w:rsidR="00B03C77" w14:paraId="48C039D1"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37BF8" w14:textId="77777777" w:rsidR="00B03C77" w:rsidRDefault="007E1F15">
            <w:pPr>
              <w:spacing w:line="360" w:lineRule="auto"/>
              <w:jc w:val="both"/>
            </w:pPr>
            <w:r>
              <w:rPr>
                <w:rFonts w:ascii="Times New Roman" w:eastAsia="Calibri" w:hAnsi="Times New Roman"/>
                <w:sz w:val="24"/>
                <w:szCs w:val="24"/>
                <w:lang w:eastAsia="en-US"/>
              </w:rPr>
              <w:t xml:space="preserve">Cardiac glycosides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7AB37" w14:textId="77777777" w:rsidR="00B03C77" w:rsidRDefault="007E1F15">
            <w:pPr>
              <w:spacing w:line="360" w:lineRule="auto"/>
              <w:jc w:val="both"/>
            </w:pPr>
            <w:r>
              <w:rPr>
                <w:rFonts w:ascii="Times New Roman" w:eastAsia="Calibri" w:hAnsi="Times New Roman"/>
                <w:sz w:val="24"/>
                <w:szCs w:val="24"/>
                <w:lang w:eastAsia="en-US"/>
              </w:rPr>
              <w:t>+</w:t>
            </w:r>
          </w:p>
        </w:tc>
      </w:tr>
      <w:tr w:rsidR="00B03C77" w14:paraId="77C4E5CF"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E2CB" w14:textId="77777777" w:rsidR="00B03C77" w:rsidRDefault="007E1F15">
            <w:pPr>
              <w:spacing w:line="360" w:lineRule="auto"/>
              <w:jc w:val="both"/>
            </w:pPr>
            <w:r>
              <w:rPr>
                <w:rFonts w:ascii="Times New Roman" w:eastAsia="Calibri" w:hAnsi="Times New Roman"/>
                <w:sz w:val="24"/>
                <w:szCs w:val="24"/>
                <w:lang w:eastAsia="en-US"/>
              </w:rPr>
              <w:t xml:space="preserve">Steroids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72D63" w14:textId="77777777" w:rsidR="00B03C77" w:rsidRDefault="007E1F15">
            <w:pPr>
              <w:spacing w:line="360" w:lineRule="auto"/>
              <w:jc w:val="both"/>
            </w:pPr>
            <w:r>
              <w:rPr>
                <w:rFonts w:ascii="Times New Roman" w:eastAsia="Calibri" w:hAnsi="Times New Roman"/>
                <w:sz w:val="24"/>
                <w:szCs w:val="24"/>
                <w:lang w:eastAsia="en-US"/>
              </w:rPr>
              <w:t xml:space="preserve">± variable </w:t>
            </w:r>
          </w:p>
        </w:tc>
      </w:tr>
      <w:tr w:rsidR="00B03C77" w14:paraId="017DE8CE"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134E7" w14:textId="77777777" w:rsidR="00B03C77" w:rsidRDefault="007E1F15">
            <w:pPr>
              <w:spacing w:line="360" w:lineRule="auto"/>
              <w:jc w:val="both"/>
            </w:pPr>
            <w:r>
              <w:rPr>
                <w:rFonts w:ascii="Times New Roman" w:eastAsia="Calibri" w:hAnsi="Times New Roman"/>
                <w:sz w:val="24"/>
                <w:szCs w:val="24"/>
                <w:lang w:eastAsia="en-US"/>
              </w:rPr>
              <w:t>Saponins</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761C0" w14:textId="77777777" w:rsidR="00B03C77" w:rsidRDefault="007E1F15">
            <w:pPr>
              <w:spacing w:line="360" w:lineRule="auto"/>
              <w:jc w:val="both"/>
            </w:pPr>
            <w:r>
              <w:rPr>
                <w:rFonts w:ascii="Times New Roman" w:eastAsia="Calibri" w:hAnsi="Times New Roman"/>
                <w:sz w:val="24"/>
                <w:szCs w:val="24"/>
                <w:lang w:eastAsia="en-US"/>
              </w:rPr>
              <w:t>++</w:t>
            </w:r>
          </w:p>
        </w:tc>
      </w:tr>
      <w:tr w:rsidR="00B03C77" w14:paraId="30049F11"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8E972" w14:textId="77777777" w:rsidR="00B03C77" w:rsidRDefault="007E1F15">
            <w:pPr>
              <w:spacing w:line="360" w:lineRule="auto"/>
              <w:jc w:val="both"/>
            </w:pPr>
            <w:r>
              <w:rPr>
                <w:rFonts w:ascii="Times New Roman" w:eastAsia="Calibri" w:hAnsi="Times New Roman"/>
                <w:sz w:val="24"/>
                <w:szCs w:val="24"/>
                <w:lang w:eastAsia="en-US"/>
              </w:rPr>
              <w:t>Flavonoids</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0A69D" w14:textId="77777777" w:rsidR="00B03C77" w:rsidRDefault="007E1F15">
            <w:pPr>
              <w:spacing w:line="360" w:lineRule="auto"/>
              <w:jc w:val="both"/>
            </w:pPr>
            <w:r>
              <w:rPr>
                <w:rFonts w:ascii="Times New Roman" w:eastAsia="Calibri" w:hAnsi="Times New Roman"/>
                <w:sz w:val="24"/>
                <w:szCs w:val="24"/>
                <w:lang w:eastAsia="en-US"/>
              </w:rPr>
              <w:t>++</w:t>
            </w:r>
          </w:p>
        </w:tc>
      </w:tr>
      <w:tr w:rsidR="00B03C77" w14:paraId="599D8B31"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1456" w14:textId="77777777" w:rsidR="00B03C77" w:rsidRDefault="007E1F15">
            <w:pPr>
              <w:spacing w:line="360" w:lineRule="auto"/>
              <w:jc w:val="both"/>
            </w:pPr>
            <w:r>
              <w:rPr>
                <w:rFonts w:ascii="Times New Roman" w:eastAsia="Calibri" w:hAnsi="Times New Roman"/>
                <w:sz w:val="24"/>
                <w:szCs w:val="24"/>
                <w:lang w:eastAsia="en-US"/>
              </w:rPr>
              <w:t>Tannins</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3F3D1" w14:textId="77777777" w:rsidR="00B03C77" w:rsidRDefault="007E1F15">
            <w:pPr>
              <w:spacing w:line="360" w:lineRule="auto"/>
              <w:jc w:val="both"/>
            </w:pPr>
            <w:r>
              <w:rPr>
                <w:rFonts w:ascii="Times New Roman" w:eastAsia="Calibri" w:hAnsi="Times New Roman"/>
                <w:sz w:val="24"/>
                <w:szCs w:val="24"/>
                <w:lang w:eastAsia="en-US"/>
              </w:rPr>
              <w:t>+ mild</w:t>
            </w:r>
          </w:p>
        </w:tc>
      </w:tr>
    </w:tbl>
    <w:p w14:paraId="0BF1B0CB" w14:textId="77777777" w:rsidR="00B03C77" w:rsidRDefault="007E1F15">
      <w:r>
        <w:t xml:space="preserve">From the preliminary phytochemical analysis as presented in table 2 above, the level of occurrence was represented with the symbol "+". </w:t>
      </w:r>
    </w:p>
    <w:p w14:paraId="521814FE" w14:textId="77777777" w:rsidR="00B03C77" w:rsidRDefault="007E1F15">
      <w:pPr>
        <w:rPr>
          <w:b/>
          <w:bCs/>
        </w:rPr>
      </w:pPr>
      <w:r>
        <w:rPr>
          <w:b/>
          <w:bCs/>
        </w:rPr>
        <w:t>3.1. Qualitative Phytochemical Analysis</w:t>
      </w:r>
    </w:p>
    <w:p w14:paraId="00EA256D" w14:textId="77777777" w:rsidR="00B03C77" w:rsidRDefault="007E1F15">
      <w:pPr>
        <w:rPr>
          <w:b/>
          <w:bCs/>
        </w:rPr>
      </w:pPr>
      <w:r>
        <w:t xml:space="preserve">The qualitative phytochemical analysis of the ethanolic extract of </w:t>
      </w:r>
      <w:proofErr w:type="spellStart"/>
      <w:r>
        <w:rPr>
          <w:i/>
          <w:iCs/>
        </w:rPr>
        <w:t>Trigonella</w:t>
      </w:r>
      <w:proofErr w:type="spellEnd"/>
      <w:r>
        <w:rPr>
          <w:i/>
          <w:iCs/>
        </w:rPr>
        <w:t xml:space="preserve"> </w:t>
      </w:r>
      <w:proofErr w:type="spellStart"/>
      <w:r>
        <w:rPr>
          <w:i/>
          <w:iCs/>
        </w:rPr>
        <w:t>f</w:t>
      </w:r>
      <w:r>
        <w:rPr>
          <w:i/>
          <w:iCs/>
        </w:rPr>
        <w:t>oenum</w:t>
      </w:r>
      <w:proofErr w:type="spellEnd"/>
      <w:r>
        <w:rPr>
          <w:i/>
          <w:iCs/>
        </w:rPr>
        <w:t xml:space="preserve">-graecum </w:t>
      </w:r>
      <w:r>
        <w:t>(fenugreek) seeds in Table 2, showed a strong presence of phenols, flavonoids, and saponins, while alkaloids, terpenoids, tannins, and cardiac glycosides were moderately present; steroids showed a variable reaction. The level of occurrence wa</w:t>
      </w:r>
      <w:r>
        <w:t>s indicated using the symbol “+.” The high amount of phenols and flavonoids indicates a strong antioxidant potential, as these compounds are known for their free radical–scavenging and anti-inflammatory effects (Kumar et al., 2020; Odeyemi &amp; Afolayan, 2021</w:t>
      </w:r>
      <w:r>
        <w:t>). Saponins contributes to membrane stabilization, and also inhibits inflammatory processes by preventing lysosomal membrane lysis—mechanisms that are consistent with the membrane-stabilizing and anti-inflammatory properties seen in subsequent assays (Basu</w:t>
      </w:r>
      <w:r>
        <w:t xml:space="preserve"> et al., 2022). Alkaloids and terpenoids, are found in moderate amount, they play a vital role in antimicrobial, analgesic, and anti-stress properties (Choudhary </w:t>
      </w:r>
      <w:r>
        <w:rPr>
          <w:i/>
          <w:iCs/>
        </w:rPr>
        <w:t>et al.</w:t>
      </w:r>
      <w:r>
        <w:t>, 2019). The presence of cardiac glycosides revealed that the extract may influence card</w:t>
      </w:r>
      <w:r>
        <w:t xml:space="preserve">iac contractility, while the mild presence of tannins points to potential astringent and antimicrobial roles (Singh &amp; Kumar, 2021). The variable reaction for s </w:t>
      </w:r>
      <w:proofErr w:type="spellStart"/>
      <w:r>
        <w:t>poteroids</w:t>
      </w:r>
      <w:proofErr w:type="spellEnd"/>
      <w:r>
        <w:t xml:space="preserve"> may indicate that ethanol selectively extracted only small amounts, depending </w:t>
      </w:r>
      <w:proofErr w:type="spellStart"/>
      <w:r>
        <w:t>onlarity</w:t>
      </w:r>
      <w:proofErr w:type="spellEnd"/>
      <w:r>
        <w:t xml:space="preserve"> and solubility conditions. </w:t>
      </w:r>
    </w:p>
    <w:p w14:paraId="31AA6F36" w14:textId="77777777" w:rsidR="00B03C77" w:rsidRDefault="007E1F15">
      <w:pPr>
        <w:rPr>
          <w:b/>
          <w:bCs/>
        </w:rPr>
      </w:pPr>
      <w:r>
        <w:t xml:space="preserve">In this study, the results </w:t>
      </w:r>
      <w:proofErr w:type="gramStart"/>
      <w:r>
        <w:t>agrees</w:t>
      </w:r>
      <w:proofErr w:type="gramEnd"/>
      <w:r>
        <w:t xml:space="preserve"> with the previous study reports on fenugreek seeds extract, which revealed that ethanol effectively extracts a wide variety of antioxidant and anti-inflammatory phytoconstituents (Mishra et al.</w:t>
      </w:r>
      <w:r>
        <w:t>, 2020; Patel et al., 2023). The presence of these metabolites provides a biochemical basis for the traditional application of fenugreek seeds for managing oxidative stress–related and inflammatory disorders.</w:t>
      </w:r>
    </w:p>
    <w:p w14:paraId="72792F53" w14:textId="77777777" w:rsidR="00B03C77" w:rsidRDefault="007E1F15">
      <w:pPr>
        <w:rPr>
          <w:b/>
          <w:bCs/>
        </w:rPr>
      </w:pPr>
      <w:r>
        <w:rPr>
          <w:b/>
          <w:bCs/>
        </w:rPr>
        <w:t>3.2. In vitro Anti-inflammatory Activity of the</w:t>
      </w:r>
      <w:r>
        <w:rPr>
          <w:b/>
          <w:bCs/>
        </w:rPr>
        <w:t xml:space="preserve"> Ethanolic Extract of </w:t>
      </w:r>
      <w:proofErr w:type="spellStart"/>
      <w:r>
        <w:rPr>
          <w:b/>
          <w:bCs/>
        </w:rPr>
        <w:t>Trigonella</w:t>
      </w:r>
      <w:proofErr w:type="spellEnd"/>
      <w:r>
        <w:rPr>
          <w:b/>
          <w:bCs/>
        </w:rPr>
        <w:t xml:space="preserve"> </w:t>
      </w:r>
      <w:proofErr w:type="spellStart"/>
      <w:r>
        <w:rPr>
          <w:b/>
          <w:bCs/>
        </w:rPr>
        <w:t>foenum</w:t>
      </w:r>
      <w:proofErr w:type="spellEnd"/>
      <w:r>
        <w:rPr>
          <w:b/>
          <w:bCs/>
        </w:rPr>
        <w:t>-graecum (fenugreek) Seeds.</w:t>
      </w:r>
    </w:p>
    <w:p w14:paraId="2E197E26" w14:textId="77777777" w:rsidR="00B03C77" w:rsidRDefault="007E1F15">
      <w:r>
        <w:rPr>
          <w:b/>
          <w:bCs/>
        </w:rPr>
        <w:t>Table 3: Membrane Stabilization Assay (Hypotonic Solution-Induced Hemolysis)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4"/>
        <w:gridCol w:w="2241"/>
        <w:gridCol w:w="2224"/>
      </w:tblGrid>
      <w:tr w:rsidR="00B03C77" w14:paraId="1CDDD8F3" w14:textId="77777777" w:rsidTr="001565D6">
        <w:trPr>
          <w:trHeight w:val="625"/>
        </w:trPr>
        <w:tc>
          <w:tcPr>
            <w:tcW w:w="1624" w:type="dxa"/>
            <w:tcBorders>
              <w:top w:val="single" w:sz="4" w:space="0" w:color="auto"/>
              <w:left w:val="single" w:sz="4" w:space="0" w:color="auto"/>
              <w:bottom w:val="single" w:sz="4" w:space="0" w:color="auto"/>
              <w:right w:val="single" w:sz="4" w:space="0" w:color="auto"/>
            </w:tcBorders>
          </w:tcPr>
          <w:p w14:paraId="230944C2" w14:textId="77777777" w:rsidR="00B03C77" w:rsidRPr="001565D6" w:rsidRDefault="007E1F15">
            <w:pPr>
              <w:rPr>
                <w:b/>
                <w:bCs/>
              </w:rPr>
            </w:pPr>
            <w:r w:rsidRPr="001565D6">
              <w:rPr>
                <w:b/>
                <w:bCs/>
              </w:rPr>
              <w:lastRenderedPageBreak/>
              <w:t>Concentration (µg/mL)</w:t>
            </w:r>
          </w:p>
        </w:tc>
        <w:tc>
          <w:tcPr>
            <w:tcW w:w="2241" w:type="dxa"/>
            <w:tcBorders>
              <w:top w:val="single" w:sz="4" w:space="0" w:color="auto"/>
              <w:left w:val="single" w:sz="4" w:space="0" w:color="auto"/>
              <w:bottom w:val="single" w:sz="4" w:space="0" w:color="auto"/>
              <w:right w:val="single" w:sz="4" w:space="0" w:color="auto"/>
            </w:tcBorders>
          </w:tcPr>
          <w:p w14:paraId="359F8EDC" w14:textId="77777777" w:rsidR="00B03C77" w:rsidRPr="001565D6" w:rsidRDefault="007E1F15">
            <w:pPr>
              <w:rPr>
                <w:b/>
                <w:bCs/>
              </w:rPr>
            </w:pPr>
            <w:r w:rsidRPr="001565D6">
              <w:rPr>
                <w:b/>
                <w:bCs/>
              </w:rPr>
              <w:t>Extract (Mean ± SD)</w:t>
            </w:r>
          </w:p>
        </w:tc>
        <w:tc>
          <w:tcPr>
            <w:tcW w:w="2224" w:type="dxa"/>
            <w:tcBorders>
              <w:top w:val="single" w:sz="4" w:space="0" w:color="auto"/>
              <w:left w:val="single" w:sz="4" w:space="0" w:color="auto"/>
              <w:bottom w:val="single" w:sz="4" w:space="0" w:color="auto"/>
              <w:right w:val="single" w:sz="4" w:space="0" w:color="auto"/>
            </w:tcBorders>
          </w:tcPr>
          <w:p w14:paraId="4538533B" w14:textId="77777777" w:rsidR="00B03C77" w:rsidRPr="001565D6" w:rsidRDefault="007E1F15">
            <w:pPr>
              <w:rPr>
                <w:b/>
                <w:bCs/>
              </w:rPr>
            </w:pPr>
            <w:r w:rsidRPr="001565D6">
              <w:rPr>
                <w:b/>
                <w:bCs/>
              </w:rPr>
              <w:t>Aspirin (Mean ± SD)</w:t>
            </w:r>
          </w:p>
        </w:tc>
      </w:tr>
      <w:tr w:rsidR="00B03C77" w14:paraId="6ADD9C2A" w14:textId="77777777" w:rsidTr="001565D6">
        <w:tc>
          <w:tcPr>
            <w:tcW w:w="1624" w:type="dxa"/>
            <w:tcBorders>
              <w:top w:val="single" w:sz="4" w:space="0" w:color="auto"/>
              <w:left w:val="single" w:sz="4" w:space="0" w:color="auto"/>
              <w:bottom w:val="single" w:sz="4" w:space="0" w:color="auto"/>
              <w:right w:val="single" w:sz="4" w:space="0" w:color="auto"/>
            </w:tcBorders>
          </w:tcPr>
          <w:p w14:paraId="05D8A5F1" w14:textId="77777777" w:rsidR="00B03C77" w:rsidRDefault="007E1F15">
            <w:r>
              <w:t>50</w:t>
            </w:r>
          </w:p>
        </w:tc>
        <w:tc>
          <w:tcPr>
            <w:tcW w:w="2241" w:type="dxa"/>
            <w:tcBorders>
              <w:top w:val="single" w:sz="4" w:space="0" w:color="auto"/>
              <w:left w:val="single" w:sz="4" w:space="0" w:color="auto"/>
              <w:bottom w:val="single" w:sz="4" w:space="0" w:color="auto"/>
              <w:right w:val="single" w:sz="4" w:space="0" w:color="auto"/>
            </w:tcBorders>
          </w:tcPr>
          <w:p w14:paraId="6362C2D9" w14:textId="77777777" w:rsidR="00B03C77" w:rsidRPr="001565D6" w:rsidRDefault="007E1F15">
            <w:pPr>
              <w:rPr>
                <w:vertAlign w:val="superscript"/>
              </w:rPr>
            </w:pPr>
            <w:r>
              <w:t>1.62 ± 0.04</w:t>
            </w:r>
            <w:r w:rsidRPr="001565D6">
              <w:rPr>
                <w:vertAlign w:val="superscript"/>
              </w:rPr>
              <w:t>a</w:t>
            </w:r>
          </w:p>
        </w:tc>
        <w:tc>
          <w:tcPr>
            <w:tcW w:w="2224" w:type="dxa"/>
            <w:tcBorders>
              <w:top w:val="single" w:sz="4" w:space="0" w:color="auto"/>
              <w:left w:val="single" w:sz="4" w:space="0" w:color="auto"/>
              <w:bottom w:val="single" w:sz="4" w:space="0" w:color="auto"/>
              <w:right w:val="single" w:sz="4" w:space="0" w:color="auto"/>
            </w:tcBorders>
          </w:tcPr>
          <w:p w14:paraId="5ED9F6CA" w14:textId="77777777" w:rsidR="00B03C77" w:rsidRPr="001565D6" w:rsidRDefault="007E1F15">
            <w:pPr>
              <w:rPr>
                <w:vertAlign w:val="superscript"/>
              </w:rPr>
            </w:pPr>
            <w:r>
              <w:t>5.55 ± 0.06</w:t>
            </w:r>
            <w:r w:rsidRPr="001565D6">
              <w:rPr>
                <w:vertAlign w:val="superscript"/>
              </w:rPr>
              <w:t>b</w:t>
            </w:r>
          </w:p>
        </w:tc>
      </w:tr>
      <w:tr w:rsidR="00B03C77" w14:paraId="37EB5685" w14:textId="77777777" w:rsidTr="001565D6">
        <w:tc>
          <w:tcPr>
            <w:tcW w:w="1624" w:type="dxa"/>
            <w:tcBorders>
              <w:top w:val="single" w:sz="4" w:space="0" w:color="auto"/>
              <w:left w:val="single" w:sz="4" w:space="0" w:color="auto"/>
              <w:bottom w:val="single" w:sz="4" w:space="0" w:color="auto"/>
              <w:right w:val="single" w:sz="4" w:space="0" w:color="auto"/>
            </w:tcBorders>
          </w:tcPr>
          <w:p w14:paraId="52BCEFF7" w14:textId="77777777" w:rsidR="00B03C77" w:rsidRDefault="007E1F15">
            <w:r>
              <w:t>100</w:t>
            </w:r>
          </w:p>
        </w:tc>
        <w:tc>
          <w:tcPr>
            <w:tcW w:w="2241" w:type="dxa"/>
            <w:tcBorders>
              <w:top w:val="single" w:sz="4" w:space="0" w:color="auto"/>
              <w:left w:val="single" w:sz="4" w:space="0" w:color="auto"/>
              <w:bottom w:val="single" w:sz="4" w:space="0" w:color="auto"/>
              <w:right w:val="single" w:sz="4" w:space="0" w:color="auto"/>
            </w:tcBorders>
          </w:tcPr>
          <w:p w14:paraId="354EC88C" w14:textId="77777777" w:rsidR="00B03C77" w:rsidRDefault="007E1F15">
            <w:r>
              <w:t>3.72 ± 0.16</w:t>
            </w:r>
            <w:r w:rsidRPr="001565D6">
              <w:rPr>
                <w:vertAlign w:val="superscript"/>
              </w:rPr>
              <w:t>a</w:t>
            </w:r>
          </w:p>
        </w:tc>
        <w:tc>
          <w:tcPr>
            <w:tcW w:w="2224" w:type="dxa"/>
            <w:tcBorders>
              <w:top w:val="single" w:sz="4" w:space="0" w:color="auto"/>
              <w:left w:val="single" w:sz="4" w:space="0" w:color="auto"/>
              <w:bottom w:val="single" w:sz="4" w:space="0" w:color="auto"/>
              <w:right w:val="single" w:sz="4" w:space="0" w:color="auto"/>
            </w:tcBorders>
          </w:tcPr>
          <w:p w14:paraId="2A707954" w14:textId="77777777" w:rsidR="00B03C77" w:rsidRDefault="007E1F15">
            <w:r>
              <w:t>7.89 ± 0.09</w:t>
            </w:r>
            <w:r w:rsidRPr="001565D6">
              <w:rPr>
                <w:vertAlign w:val="superscript"/>
              </w:rPr>
              <w:t>b</w:t>
            </w:r>
          </w:p>
        </w:tc>
      </w:tr>
      <w:tr w:rsidR="00B03C77" w14:paraId="3DC317EE" w14:textId="77777777" w:rsidTr="001565D6">
        <w:tc>
          <w:tcPr>
            <w:tcW w:w="1624" w:type="dxa"/>
            <w:tcBorders>
              <w:top w:val="single" w:sz="4" w:space="0" w:color="auto"/>
              <w:left w:val="single" w:sz="4" w:space="0" w:color="auto"/>
              <w:bottom w:val="single" w:sz="4" w:space="0" w:color="auto"/>
              <w:right w:val="single" w:sz="4" w:space="0" w:color="auto"/>
            </w:tcBorders>
          </w:tcPr>
          <w:p w14:paraId="5A62FF56" w14:textId="77777777" w:rsidR="00B03C77" w:rsidRDefault="007E1F15">
            <w:r>
              <w:t>200</w:t>
            </w:r>
          </w:p>
        </w:tc>
        <w:tc>
          <w:tcPr>
            <w:tcW w:w="2241" w:type="dxa"/>
            <w:tcBorders>
              <w:top w:val="single" w:sz="4" w:space="0" w:color="auto"/>
              <w:left w:val="single" w:sz="4" w:space="0" w:color="auto"/>
              <w:bottom w:val="single" w:sz="4" w:space="0" w:color="auto"/>
              <w:right w:val="single" w:sz="4" w:space="0" w:color="auto"/>
            </w:tcBorders>
          </w:tcPr>
          <w:p w14:paraId="22EA69F9" w14:textId="77777777" w:rsidR="00B03C77" w:rsidRDefault="007E1F15">
            <w:r>
              <w:t>5.02 ± 0.07</w:t>
            </w:r>
            <w:r w:rsidRPr="001565D6">
              <w:rPr>
                <w:vertAlign w:val="superscript"/>
              </w:rPr>
              <w:t>a</w:t>
            </w:r>
          </w:p>
        </w:tc>
        <w:tc>
          <w:tcPr>
            <w:tcW w:w="2224" w:type="dxa"/>
            <w:tcBorders>
              <w:top w:val="single" w:sz="4" w:space="0" w:color="auto"/>
              <w:left w:val="single" w:sz="4" w:space="0" w:color="auto"/>
              <w:bottom w:val="single" w:sz="4" w:space="0" w:color="auto"/>
              <w:right w:val="single" w:sz="4" w:space="0" w:color="auto"/>
            </w:tcBorders>
          </w:tcPr>
          <w:p w14:paraId="15F0463C" w14:textId="77777777" w:rsidR="00B03C77" w:rsidRDefault="007E1F15">
            <w:r>
              <w:t>14.47 ± 0.07</w:t>
            </w:r>
            <w:r w:rsidRPr="001565D6">
              <w:rPr>
                <w:vertAlign w:val="superscript"/>
              </w:rPr>
              <w:t>b</w:t>
            </w:r>
          </w:p>
        </w:tc>
      </w:tr>
      <w:tr w:rsidR="00B03C77" w14:paraId="20639A27" w14:textId="77777777" w:rsidTr="001565D6">
        <w:tc>
          <w:tcPr>
            <w:tcW w:w="1624" w:type="dxa"/>
            <w:tcBorders>
              <w:top w:val="single" w:sz="4" w:space="0" w:color="auto"/>
              <w:left w:val="single" w:sz="4" w:space="0" w:color="auto"/>
              <w:bottom w:val="single" w:sz="4" w:space="0" w:color="auto"/>
              <w:right w:val="single" w:sz="4" w:space="0" w:color="auto"/>
            </w:tcBorders>
          </w:tcPr>
          <w:p w14:paraId="0079DEC8" w14:textId="77777777" w:rsidR="00B03C77" w:rsidRDefault="007E1F15">
            <w:r>
              <w:t>400</w:t>
            </w:r>
          </w:p>
        </w:tc>
        <w:tc>
          <w:tcPr>
            <w:tcW w:w="2241" w:type="dxa"/>
            <w:tcBorders>
              <w:top w:val="single" w:sz="4" w:space="0" w:color="auto"/>
              <w:left w:val="single" w:sz="4" w:space="0" w:color="auto"/>
              <w:bottom w:val="single" w:sz="4" w:space="0" w:color="auto"/>
              <w:right w:val="single" w:sz="4" w:space="0" w:color="auto"/>
            </w:tcBorders>
          </w:tcPr>
          <w:p w14:paraId="5E643F8C" w14:textId="77777777" w:rsidR="00B03C77" w:rsidRDefault="007E1F15">
            <w:r>
              <w:t>7.95 ± 0.17</w:t>
            </w:r>
            <w:r w:rsidRPr="001565D6">
              <w:rPr>
                <w:vertAlign w:val="superscript"/>
              </w:rPr>
              <w:t>a</w:t>
            </w:r>
          </w:p>
        </w:tc>
        <w:tc>
          <w:tcPr>
            <w:tcW w:w="2224" w:type="dxa"/>
            <w:tcBorders>
              <w:top w:val="single" w:sz="4" w:space="0" w:color="auto"/>
              <w:left w:val="single" w:sz="4" w:space="0" w:color="auto"/>
              <w:bottom w:val="single" w:sz="4" w:space="0" w:color="auto"/>
              <w:right w:val="single" w:sz="4" w:space="0" w:color="auto"/>
            </w:tcBorders>
          </w:tcPr>
          <w:p w14:paraId="46E6D419" w14:textId="77777777" w:rsidR="00B03C77" w:rsidRDefault="007E1F15">
            <w:r>
              <w:t>20.99 ± 0.10</w:t>
            </w:r>
            <w:r w:rsidRPr="001565D6">
              <w:rPr>
                <w:vertAlign w:val="superscript"/>
              </w:rPr>
              <w:t>b</w:t>
            </w:r>
          </w:p>
        </w:tc>
      </w:tr>
      <w:tr w:rsidR="00B03C77" w14:paraId="640B3EB7" w14:textId="77777777" w:rsidTr="001565D6">
        <w:tc>
          <w:tcPr>
            <w:tcW w:w="1624" w:type="dxa"/>
            <w:tcBorders>
              <w:top w:val="single" w:sz="4" w:space="0" w:color="auto"/>
              <w:left w:val="single" w:sz="4" w:space="0" w:color="auto"/>
              <w:bottom w:val="single" w:sz="4" w:space="0" w:color="auto"/>
              <w:right w:val="single" w:sz="4" w:space="0" w:color="auto"/>
            </w:tcBorders>
          </w:tcPr>
          <w:p w14:paraId="281D8031" w14:textId="77777777" w:rsidR="00B03C77" w:rsidRDefault="007E1F15">
            <w:r>
              <w:t>800</w:t>
            </w:r>
          </w:p>
        </w:tc>
        <w:tc>
          <w:tcPr>
            <w:tcW w:w="2241" w:type="dxa"/>
            <w:tcBorders>
              <w:top w:val="single" w:sz="4" w:space="0" w:color="auto"/>
              <w:left w:val="single" w:sz="4" w:space="0" w:color="auto"/>
              <w:bottom w:val="single" w:sz="4" w:space="0" w:color="auto"/>
              <w:right w:val="single" w:sz="4" w:space="0" w:color="auto"/>
            </w:tcBorders>
          </w:tcPr>
          <w:p w14:paraId="0ECBB038" w14:textId="77777777" w:rsidR="00B03C77" w:rsidRDefault="007E1F15">
            <w:r>
              <w:t>10.51 ± 0.31</w:t>
            </w:r>
            <w:r w:rsidRPr="001565D6">
              <w:rPr>
                <w:vertAlign w:val="superscript"/>
              </w:rPr>
              <w:t>a</w:t>
            </w:r>
          </w:p>
        </w:tc>
        <w:tc>
          <w:tcPr>
            <w:tcW w:w="2224" w:type="dxa"/>
            <w:tcBorders>
              <w:top w:val="single" w:sz="4" w:space="0" w:color="auto"/>
              <w:left w:val="single" w:sz="4" w:space="0" w:color="auto"/>
              <w:bottom w:val="single" w:sz="4" w:space="0" w:color="auto"/>
              <w:right w:val="single" w:sz="4" w:space="0" w:color="auto"/>
            </w:tcBorders>
          </w:tcPr>
          <w:p w14:paraId="373414B5" w14:textId="77777777" w:rsidR="00B03C77" w:rsidRDefault="007E1F15">
            <w:r>
              <w:t>27.79 ± 0.22</w:t>
            </w:r>
            <w:r w:rsidRPr="001565D6">
              <w:rPr>
                <w:vertAlign w:val="superscript"/>
              </w:rPr>
              <w:t>b</w:t>
            </w:r>
          </w:p>
        </w:tc>
      </w:tr>
    </w:tbl>
    <w:p w14:paraId="1E71DFF4" w14:textId="77777777" w:rsidR="00B03C77" w:rsidRDefault="007E1F15">
      <w:r>
        <w:t xml:space="preserve">Values are expressed as Mean ± SD (n = 3). Different superscript letters (a–b) within the same row indicate significant differences (p &lt; 0.05) </w:t>
      </w:r>
      <w:r>
        <w:t>according to one-way ANOVA followed by post hoc (Duncan’s) test.</w:t>
      </w:r>
    </w:p>
    <w:p w14:paraId="11A95595" w14:textId="77777777" w:rsidR="00B03C77" w:rsidRDefault="007E1F15">
      <w:pPr>
        <w:rPr>
          <w:b/>
          <w:bCs/>
        </w:rPr>
      </w:pPr>
      <w:r>
        <w:rPr>
          <w:b/>
          <w:bCs/>
        </w:rPr>
        <w:t>3.2.1. Membrane Stabilization Assay (Hypotonic Solution-Induced Hemolysis)</w:t>
      </w:r>
    </w:p>
    <w:p w14:paraId="2844E29D" w14:textId="77777777" w:rsidR="00B03C77" w:rsidRDefault="007E1F15">
      <w:r>
        <w:t xml:space="preserve">The membrane stabilization assay serves as an indicator of anti-inflammatory potential. It evaluates the ability of </w:t>
      </w:r>
      <w:r>
        <w:t xml:space="preserve">bioactive compounds to prevent red blood cell (RBC) lysis in a hypotonic medium. Table 3 showed the ethanolic extract of </w:t>
      </w:r>
      <w:proofErr w:type="spellStart"/>
      <w:r>
        <w:t>Trigonella</w:t>
      </w:r>
      <w:proofErr w:type="spellEnd"/>
      <w:r>
        <w:t xml:space="preserve"> </w:t>
      </w:r>
      <w:proofErr w:type="spellStart"/>
      <w:r>
        <w:t>foenum</w:t>
      </w:r>
      <w:proofErr w:type="spellEnd"/>
      <w:r>
        <w:t>-graecum which exhibited concentration-dependent protection of erythrocyte membranes, with percentage inhibition rangi</w:t>
      </w:r>
      <w:r>
        <w:t>ng from 1.62 ± 0.04% at 50 µg/mL to 10.51 ± 0.31% at 800 µg/</w:t>
      </w:r>
      <w:proofErr w:type="spellStart"/>
      <w:r>
        <w:t>mL.</w:t>
      </w:r>
      <w:proofErr w:type="spellEnd"/>
      <w:r>
        <w:t xml:space="preserve"> Although the standard drug aspirin increased significantly with inhibition (5.55 ± 0.06% to 27.79 ± 0.22%), both treatments demonstrated a clear dose–response relationship.</w:t>
      </w:r>
    </w:p>
    <w:p w14:paraId="75B65E53" w14:textId="77777777" w:rsidR="00B03C77" w:rsidRDefault="007E1F15">
      <w:r>
        <w:t>The protective effe</w:t>
      </w:r>
      <w:r>
        <w:t>ct of the extract on erythrocyte membranes showed its ability to stabilize lysosomal membranes and prevent the release of pro-inflammatory agents. This effect may be due to the combined activity of saponins, flavonoids, and phenolic compounds, which enhanc</w:t>
      </w:r>
      <w:r>
        <w:t xml:space="preserve">e membrane reinforcement and reduce oxidative damage (Basu </w:t>
      </w:r>
      <w:r>
        <w:rPr>
          <w:i/>
          <w:iCs/>
        </w:rPr>
        <w:t>et al</w:t>
      </w:r>
      <w:r>
        <w:t xml:space="preserve">., 2022; Odeyemi &amp; Afolayan, 2021). The same results have been reported for fenugreek extracts demonstrating strong anti-inflammatory and cytoprotective effects (Mishra et al., 2020; Patel et </w:t>
      </w:r>
      <w:r>
        <w:t>al., 2023). Therefore, the membrane-stabilizing potential observed in this study lends scientific support to the traditional therapeutic use of fenugreek seeds in managing inflammatory conditions like hypothyroidism.</w:t>
      </w:r>
    </w:p>
    <w:p w14:paraId="704D8651" w14:textId="77777777" w:rsidR="00B03C77" w:rsidRDefault="00B03C77">
      <w:pPr>
        <w:rPr>
          <w:b/>
          <w:bCs/>
        </w:rPr>
      </w:pPr>
    </w:p>
    <w:p w14:paraId="6926CE7B" w14:textId="77777777" w:rsidR="00B03C77" w:rsidRDefault="007E1F15">
      <w:pPr>
        <w:rPr>
          <w:b/>
          <w:bCs/>
        </w:rPr>
      </w:pPr>
      <w:r>
        <w:rPr>
          <w:b/>
          <w:bCs/>
        </w:rPr>
        <w:t>Table 4: Protein Denaturation Inhibiti</w:t>
      </w:r>
      <w:r>
        <w:rPr>
          <w:b/>
          <w:bCs/>
        </w:rPr>
        <w:t xml:space="preserve">on Activity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47"/>
        <w:gridCol w:w="2256"/>
        <w:gridCol w:w="2244"/>
      </w:tblGrid>
      <w:tr w:rsidR="00B03C77" w14:paraId="20E634D9" w14:textId="77777777" w:rsidTr="001565D6">
        <w:tc>
          <w:tcPr>
            <w:tcW w:w="1647" w:type="dxa"/>
            <w:tcBorders>
              <w:top w:val="single" w:sz="4" w:space="0" w:color="auto"/>
              <w:left w:val="single" w:sz="4" w:space="0" w:color="auto"/>
              <w:bottom w:val="single" w:sz="4" w:space="0" w:color="auto"/>
              <w:right w:val="single" w:sz="4" w:space="0" w:color="auto"/>
            </w:tcBorders>
          </w:tcPr>
          <w:p w14:paraId="10CC24AC" w14:textId="77777777" w:rsidR="00B03C77" w:rsidRDefault="007E1F15">
            <w:r>
              <w:t>Concentration (mg/mL)</w:t>
            </w:r>
          </w:p>
        </w:tc>
        <w:tc>
          <w:tcPr>
            <w:tcW w:w="2256" w:type="dxa"/>
            <w:tcBorders>
              <w:top w:val="single" w:sz="4" w:space="0" w:color="auto"/>
              <w:left w:val="single" w:sz="4" w:space="0" w:color="auto"/>
              <w:bottom w:val="single" w:sz="4" w:space="0" w:color="auto"/>
              <w:right w:val="single" w:sz="4" w:space="0" w:color="auto"/>
            </w:tcBorders>
          </w:tcPr>
          <w:p w14:paraId="02A781C0" w14:textId="77777777" w:rsidR="00B03C77" w:rsidRDefault="007E1F15">
            <w:r>
              <w:t>Extract (% Inhibition, Mean ± SD)</w:t>
            </w:r>
          </w:p>
        </w:tc>
        <w:tc>
          <w:tcPr>
            <w:tcW w:w="2244" w:type="dxa"/>
            <w:tcBorders>
              <w:top w:val="single" w:sz="4" w:space="0" w:color="auto"/>
              <w:left w:val="single" w:sz="4" w:space="0" w:color="auto"/>
              <w:bottom w:val="single" w:sz="4" w:space="0" w:color="auto"/>
              <w:right w:val="single" w:sz="4" w:space="0" w:color="auto"/>
            </w:tcBorders>
          </w:tcPr>
          <w:p w14:paraId="6F295D1E" w14:textId="77777777" w:rsidR="00B03C77" w:rsidRDefault="007E1F15">
            <w:r>
              <w:t>Aspirin (% Inhibition, Mean ± SD)</w:t>
            </w:r>
          </w:p>
        </w:tc>
      </w:tr>
      <w:tr w:rsidR="00B03C77" w14:paraId="73EFEA8B" w14:textId="77777777" w:rsidTr="001565D6">
        <w:tc>
          <w:tcPr>
            <w:tcW w:w="1647" w:type="dxa"/>
            <w:tcBorders>
              <w:top w:val="single" w:sz="4" w:space="0" w:color="auto"/>
              <w:left w:val="single" w:sz="4" w:space="0" w:color="auto"/>
              <w:bottom w:val="single" w:sz="4" w:space="0" w:color="auto"/>
              <w:right w:val="single" w:sz="4" w:space="0" w:color="auto"/>
            </w:tcBorders>
          </w:tcPr>
          <w:p w14:paraId="3A86376F" w14:textId="77777777" w:rsidR="00B03C77" w:rsidRDefault="007E1F15">
            <w:r>
              <w:t>100</w:t>
            </w:r>
          </w:p>
        </w:tc>
        <w:tc>
          <w:tcPr>
            <w:tcW w:w="2256" w:type="dxa"/>
            <w:tcBorders>
              <w:top w:val="single" w:sz="4" w:space="0" w:color="auto"/>
              <w:left w:val="single" w:sz="4" w:space="0" w:color="auto"/>
              <w:bottom w:val="single" w:sz="4" w:space="0" w:color="auto"/>
              <w:right w:val="single" w:sz="4" w:space="0" w:color="auto"/>
            </w:tcBorders>
          </w:tcPr>
          <w:p w14:paraId="4A09658E" w14:textId="77777777" w:rsidR="00B03C77" w:rsidRDefault="007E1F15">
            <w:r>
              <w:t>35.87 ± 0.28</w:t>
            </w:r>
            <w:r>
              <w:t>ᵃ</w:t>
            </w:r>
          </w:p>
        </w:tc>
        <w:tc>
          <w:tcPr>
            <w:tcW w:w="2244" w:type="dxa"/>
            <w:tcBorders>
              <w:top w:val="single" w:sz="4" w:space="0" w:color="auto"/>
              <w:left w:val="single" w:sz="4" w:space="0" w:color="auto"/>
              <w:bottom w:val="single" w:sz="4" w:space="0" w:color="auto"/>
              <w:right w:val="single" w:sz="4" w:space="0" w:color="auto"/>
            </w:tcBorders>
          </w:tcPr>
          <w:p w14:paraId="6589D652" w14:textId="77777777" w:rsidR="00B03C77" w:rsidRDefault="007E1F15">
            <w:r>
              <w:t>59.65 ± 4.35</w:t>
            </w:r>
            <w:r>
              <w:t>ᵇ</w:t>
            </w:r>
          </w:p>
        </w:tc>
      </w:tr>
      <w:tr w:rsidR="00B03C77" w14:paraId="6A9DD0F0" w14:textId="77777777" w:rsidTr="001565D6">
        <w:tc>
          <w:tcPr>
            <w:tcW w:w="1647" w:type="dxa"/>
            <w:tcBorders>
              <w:top w:val="single" w:sz="4" w:space="0" w:color="auto"/>
              <w:left w:val="single" w:sz="4" w:space="0" w:color="auto"/>
              <w:bottom w:val="single" w:sz="4" w:space="0" w:color="auto"/>
              <w:right w:val="single" w:sz="4" w:space="0" w:color="auto"/>
            </w:tcBorders>
          </w:tcPr>
          <w:p w14:paraId="5605BFC5" w14:textId="77777777" w:rsidR="00B03C77" w:rsidRDefault="007E1F15">
            <w:r>
              <w:lastRenderedPageBreak/>
              <w:t>200</w:t>
            </w:r>
          </w:p>
        </w:tc>
        <w:tc>
          <w:tcPr>
            <w:tcW w:w="2256" w:type="dxa"/>
            <w:tcBorders>
              <w:top w:val="single" w:sz="4" w:space="0" w:color="auto"/>
              <w:left w:val="single" w:sz="4" w:space="0" w:color="auto"/>
              <w:bottom w:val="single" w:sz="4" w:space="0" w:color="auto"/>
              <w:right w:val="single" w:sz="4" w:space="0" w:color="auto"/>
            </w:tcBorders>
          </w:tcPr>
          <w:p w14:paraId="359ACA59" w14:textId="77777777" w:rsidR="00B03C77" w:rsidRDefault="007E1F15">
            <w:r>
              <w:t>48.56 ± 0.31</w:t>
            </w:r>
            <w:r>
              <w:t>ᵃ</w:t>
            </w:r>
          </w:p>
        </w:tc>
        <w:tc>
          <w:tcPr>
            <w:tcW w:w="2244" w:type="dxa"/>
            <w:tcBorders>
              <w:top w:val="single" w:sz="4" w:space="0" w:color="auto"/>
              <w:left w:val="single" w:sz="4" w:space="0" w:color="auto"/>
              <w:bottom w:val="single" w:sz="4" w:space="0" w:color="auto"/>
              <w:right w:val="single" w:sz="4" w:space="0" w:color="auto"/>
            </w:tcBorders>
          </w:tcPr>
          <w:p w14:paraId="0E5193BF" w14:textId="77777777" w:rsidR="00B03C77" w:rsidRDefault="007E1F15">
            <w:r>
              <w:t>68.93 ± 0.20</w:t>
            </w:r>
            <w:r>
              <w:t>ᵇ</w:t>
            </w:r>
          </w:p>
        </w:tc>
      </w:tr>
      <w:tr w:rsidR="00B03C77" w14:paraId="7C8414C5" w14:textId="77777777" w:rsidTr="001565D6">
        <w:tc>
          <w:tcPr>
            <w:tcW w:w="1647" w:type="dxa"/>
            <w:tcBorders>
              <w:top w:val="single" w:sz="4" w:space="0" w:color="auto"/>
              <w:left w:val="single" w:sz="4" w:space="0" w:color="auto"/>
              <w:bottom w:val="single" w:sz="4" w:space="0" w:color="auto"/>
              <w:right w:val="single" w:sz="4" w:space="0" w:color="auto"/>
            </w:tcBorders>
          </w:tcPr>
          <w:p w14:paraId="43657D20" w14:textId="77777777" w:rsidR="00B03C77" w:rsidRDefault="007E1F15">
            <w:r>
              <w:t>300</w:t>
            </w:r>
          </w:p>
        </w:tc>
        <w:tc>
          <w:tcPr>
            <w:tcW w:w="2256" w:type="dxa"/>
            <w:tcBorders>
              <w:top w:val="single" w:sz="4" w:space="0" w:color="auto"/>
              <w:left w:val="single" w:sz="4" w:space="0" w:color="auto"/>
              <w:bottom w:val="single" w:sz="4" w:space="0" w:color="auto"/>
              <w:right w:val="single" w:sz="4" w:space="0" w:color="auto"/>
            </w:tcBorders>
          </w:tcPr>
          <w:p w14:paraId="277E0AB8" w14:textId="77777777" w:rsidR="00B03C77" w:rsidRDefault="007E1F15">
            <w:r>
              <w:t>66.13 ± 0.31</w:t>
            </w:r>
            <w:r>
              <w:t>ᵃ</w:t>
            </w:r>
          </w:p>
        </w:tc>
        <w:tc>
          <w:tcPr>
            <w:tcW w:w="2244" w:type="dxa"/>
            <w:tcBorders>
              <w:top w:val="single" w:sz="4" w:space="0" w:color="auto"/>
              <w:left w:val="single" w:sz="4" w:space="0" w:color="auto"/>
              <w:bottom w:val="single" w:sz="4" w:space="0" w:color="auto"/>
              <w:right w:val="single" w:sz="4" w:space="0" w:color="auto"/>
            </w:tcBorders>
          </w:tcPr>
          <w:p w14:paraId="296E035F" w14:textId="77777777" w:rsidR="00B03C77" w:rsidRDefault="007E1F15">
            <w:r>
              <w:t>76.37 ± 0.79</w:t>
            </w:r>
            <w:r>
              <w:t>ᵇ</w:t>
            </w:r>
          </w:p>
        </w:tc>
      </w:tr>
      <w:tr w:rsidR="00B03C77" w14:paraId="1D384DE0" w14:textId="77777777" w:rsidTr="001565D6">
        <w:tc>
          <w:tcPr>
            <w:tcW w:w="1647" w:type="dxa"/>
            <w:tcBorders>
              <w:top w:val="single" w:sz="4" w:space="0" w:color="auto"/>
              <w:left w:val="single" w:sz="4" w:space="0" w:color="auto"/>
              <w:bottom w:val="single" w:sz="4" w:space="0" w:color="auto"/>
              <w:right w:val="single" w:sz="4" w:space="0" w:color="auto"/>
            </w:tcBorders>
          </w:tcPr>
          <w:p w14:paraId="721DD1C9" w14:textId="77777777" w:rsidR="00B03C77" w:rsidRDefault="007E1F15">
            <w:r>
              <w:t>400</w:t>
            </w:r>
          </w:p>
        </w:tc>
        <w:tc>
          <w:tcPr>
            <w:tcW w:w="2256" w:type="dxa"/>
            <w:tcBorders>
              <w:top w:val="single" w:sz="4" w:space="0" w:color="auto"/>
              <w:left w:val="single" w:sz="4" w:space="0" w:color="auto"/>
              <w:bottom w:val="single" w:sz="4" w:space="0" w:color="auto"/>
              <w:right w:val="single" w:sz="4" w:space="0" w:color="auto"/>
            </w:tcBorders>
          </w:tcPr>
          <w:p w14:paraId="7D05EE8C" w14:textId="77777777" w:rsidR="00B03C77" w:rsidRDefault="007E1F15">
            <w:r>
              <w:t>69.90 ± 0.34</w:t>
            </w:r>
            <w:r>
              <w:t>ᵃ</w:t>
            </w:r>
            <w:r>
              <w:tab/>
            </w:r>
          </w:p>
        </w:tc>
        <w:tc>
          <w:tcPr>
            <w:tcW w:w="2244" w:type="dxa"/>
            <w:tcBorders>
              <w:top w:val="single" w:sz="4" w:space="0" w:color="auto"/>
              <w:left w:val="single" w:sz="4" w:space="0" w:color="auto"/>
              <w:bottom w:val="single" w:sz="4" w:space="0" w:color="auto"/>
              <w:right w:val="single" w:sz="4" w:space="0" w:color="auto"/>
            </w:tcBorders>
          </w:tcPr>
          <w:p w14:paraId="679D6BAA" w14:textId="77777777" w:rsidR="00B03C77" w:rsidRDefault="007E1F15">
            <w:r>
              <w:t>84.46 ± 0.51</w:t>
            </w:r>
            <w:r>
              <w:t>ᵇ</w:t>
            </w:r>
          </w:p>
        </w:tc>
      </w:tr>
    </w:tbl>
    <w:p w14:paraId="14103A2F" w14:textId="77777777" w:rsidR="00B03C77" w:rsidRDefault="007E1F15">
      <w:r>
        <w:t xml:space="preserve">Values are </w:t>
      </w:r>
      <w:r>
        <w:t>expressed as Mean ± SD (n = 3). Different superscript letters (a–b) within the same row indicate significant differences (p &lt; 0.05) according to one-way ANOVA followed by Duncan’s multiple range post hoc test.</w:t>
      </w:r>
    </w:p>
    <w:p w14:paraId="4D94CC34" w14:textId="77777777" w:rsidR="00B03C77" w:rsidRDefault="007E1F15">
      <w:pPr>
        <w:rPr>
          <w:b/>
          <w:bCs/>
        </w:rPr>
      </w:pPr>
      <w:r>
        <w:rPr>
          <w:b/>
          <w:bCs/>
        </w:rPr>
        <w:t>3.2.2. Protein Denaturation Inhibition Activit</w:t>
      </w:r>
      <w:r>
        <w:rPr>
          <w:b/>
          <w:bCs/>
        </w:rPr>
        <w:t>y</w:t>
      </w:r>
    </w:p>
    <w:p w14:paraId="606ACA65" w14:textId="77777777" w:rsidR="00B03C77" w:rsidRDefault="007E1F15">
      <w:r>
        <w:t xml:space="preserve">One of the </w:t>
      </w:r>
      <w:proofErr w:type="gramStart"/>
      <w:r>
        <w:t>mechanism</w:t>
      </w:r>
      <w:proofErr w:type="gramEnd"/>
      <w:r>
        <w:t xml:space="preserve"> widely used to evaluate the anti-inflammatory activity of natural compounds is the inhibition of protein denaturation. Protein denaturation plays a crucial role in the pathogenesis of inflammation, as denatured proteins can act as au</w:t>
      </w:r>
      <w:r>
        <w:t>to-antigens and trigger tissue damage (Umapathy et al., 2010). In table 4, the ethanolic extract of fenugreek seeds exhibited a concentration-dependent inhibition of protein denaturation, with percentage inhibition values ranging from 35.87 ± 0.28 % at 100</w:t>
      </w:r>
      <w:r>
        <w:t xml:space="preserve"> mg/mL to 69.90 ± 0.34 % at 400 mg/</w:t>
      </w:r>
      <w:proofErr w:type="spellStart"/>
      <w:r>
        <w:t>mL.</w:t>
      </w:r>
      <w:proofErr w:type="spellEnd"/>
      <w:r>
        <w:t xml:space="preserve"> Although aspirin demonstrated a higher inhibitory effect (59.65 ± 4.35 %–84.46 ± 0.51 %), the extract produced a statistically significant (p &lt; 0.05) activity across all tested concentrations.</w:t>
      </w:r>
    </w:p>
    <w:p w14:paraId="7BE366EB" w14:textId="77777777" w:rsidR="00B03C77" w:rsidRDefault="007E1F15">
      <w:proofErr w:type="gramStart"/>
      <w:r>
        <w:t>This results</w:t>
      </w:r>
      <w:proofErr w:type="gramEnd"/>
      <w:r>
        <w:t xml:space="preserve"> reveals tha</w:t>
      </w:r>
      <w:r>
        <w:t>t the extract contains compounds that have the ability of stabilizing proteins against thermal denaturation, thus mitigating inflammatory responses. This mechanism may be due to the presence of phenolic and flavonoid constituents, which protect proteins fr</w:t>
      </w:r>
      <w:r>
        <w:t xml:space="preserve">om oxidative or conformational injury (Odeyemi &amp; Afolayan, 2021). These findings align with previous reports confirming the anti-inflammatory potential of fenugreek through both membrane stabilization and protein denaturation pathways (Patel et al., 2023; </w:t>
      </w:r>
      <w:r>
        <w:t xml:space="preserve">Mishra et al., 2020). Therefore, T. </w:t>
      </w:r>
      <w:proofErr w:type="spellStart"/>
      <w:r>
        <w:t>foenum</w:t>
      </w:r>
      <w:proofErr w:type="spellEnd"/>
      <w:r>
        <w:t>-graecum seeds can be regarded as a promising natural source of bioactive compounds with significant anti-inflammatory efficacy.</w:t>
      </w:r>
    </w:p>
    <w:p w14:paraId="5DF04A98" w14:textId="77777777" w:rsidR="00B03C77" w:rsidRDefault="00B03C77">
      <w:pPr>
        <w:rPr>
          <w:b/>
          <w:bCs/>
        </w:rPr>
      </w:pPr>
    </w:p>
    <w:p w14:paraId="666A818F" w14:textId="77777777" w:rsidR="00B03C77" w:rsidRDefault="007E1F15">
      <w:pPr>
        <w:rPr>
          <w:b/>
          <w:bCs/>
        </w:rPr>
      </w:pPr>
      <w:r>
        <w:rPr>
          <w:b/>
          <w:bCs/>
        </w:rPr>
        <w:t>3.3. Conclusion</w:t>
      </w:r>
    </w:p>
    <w:p w14:paraId="1EF92AB6" w14:textId="77777777" w:rsidR="00B03C77" w:rsidRDefault="007E1F15">
      <w:r>
        <w:t xml:space="preserve">The findings of this study reveal that the ethanolic extract of </w:t>
      </w:r>
      <w:proofErr w:type="spellStart"/>
      <w:r>
        <w:t>Trig</w:t>
      </w:r>
      <w:r>
        <w:t>onella</w:t>
      </w:r>
      <w:proofErr w:type="spellEnd"/>
      <w:r>
        <w:t xml:space="preserve"> </w:t>
      </w:r>
      <w:proofErr w:type="spellStart"/>
      <w:r>
        <w:t>foenum</w:t>
      </w:r>
      <w:proofErr w:type="spellEnd"/>
      <w:r>
        <w:t xml:space="preserve">-graecum (fenugreek) seeds possesses significant phytochemical constituents, including flavonoids, phenols, tannins, alkaloids, and saponins, which contribute to its strong antioxidant and anti-inflammatory potential. The extract demonstrated </w:t>
      </w:r>
      <w:r>
        <w:t>dose-dependent radical scavenging and membrane-stabilizing effects comparable to standard drugs, indicating its ability to protect biological membranes and suppress protein denaturation. These bioactivities suggest that the synergistic interaction of the p</w:t>
      </w:r>
      <w:r>
        <w:t>hytochemicals enhances the extract’s capacity to mitigate oxidative stress and inflammatory damage.</w:t>
      </w:r>
    </w:p>
    <w:p w14:paraId="57E840D6" w14:textId="77777777" w:rsidR="00B03C77" w:rsidRDefault="007E1F15">
      <w:r>
        <w:t xml:space="preserve">Therefore, T. </w:t>
      </w:r>
      <w:proofErr w:type="spellStart"/>
      <w:r>
        <w:t>foenum</w:t>
      </w:r>
      <w:proofErr w:type="spellEnd"/>
      <w:r>
        <w:t>-graecum seed extract may serve as a promising natural source of therapeutic agents for managing inflammation-related disorders and oxid</w:t>
      </w:r>
      <w:r>
        <w:t>ative stress–associated diseases.</w:t>
      </w:r>
    </w:p>
    <w:p w14:paraId="040C3ED7" w14:textId="77777777" w:rsidR="00B03C77" w:rsidRDefault="00B03C77">
      <w:pPr>
        <w:rPr>
          <w:b/>
          <w:bCs/>
        </w:rPr>
      </w:pPr>
    </w:p>
    <w:p w14:paraId="64D38390" w14:textId="77777777" w:rsidR="00B03C77" w:rsidRDefault="00B03C77">
      <w:pPr>
        <w:rPr>
          <w:b/>
          <w:bCs/>
        </w:rPr>
      </w:pPr>
    </w:p>
    <w:p w14:paraId="37CB1F35" w14:textId="77777777" w:rsidR="00B03C77" w:rsidRDefault="007E1F15">
      <w:pPr>
        <w:rPr>
          <w:b/>
          <w:bCs/>
        </w:rPr>
      </w:pPr>
      <w:bookmarkStart w:id="0" w:name="_GoBack"/>
      <w:bookmarkEnd w:id="0"/>
      <w:r>
        <w:rPr>
          <w:b/>
          <w:bCs/>
        </w:rPr>
        <w:t>References</w:t>
      </w:r>
    </w:p>
    <w:p w14:paraId="0678F538" w14:textId="77777777" w:rsidR="00B03C77" w:rsidRDefault="007E1F15">
      <w:pPr>
        <w:spacing w:line="360" w:lineRule="auto"/>
        <w:ind w:left="720" w:hanging="720"/>
        <w:jc w:val="both"/>
      </w:pPr>
      <w:r>
        <w:t xml:space="preserve">Acharya, S. N., </w:t>
      </w:r>
      <w:proofErr w:type="spellStart"/>
      <w:r>
        <w:t>Srichamroen</w:t>
      </w:r>
      <w:proofErr w:type="spellEnd"/>
      <w:r>
        <w:t xml:space="preserve">, A., Basu, S. K., </w:t>
      </w:r>
      <w:proofErr w:type="spellStart"/>
      <w:r>
        <w:t>Ooraikul</w:t>
      </w:r>
      <w:proofErr w:type="spellEnd"/>
      <w:r>
        <w:t xml:space="preserve">, B., &amp; Basu, T. (2006). Improvement in </w:t>
      </w:r>
      <w:proofErr w:type="gramStart"/>
      <w:r>
        <w:t>the  nutraceutical</w:t>
      </w:r>
      <w:proofErr w:type="gramEnd"/>
      <w:r>
        <w:t xml:space="preserve"> properties of fenugreek (</w:t>
      </w:r>
      <w:proofErr w:type="spellStart"/>
      <w:r>
        <w:rPr>
          <w:i/>
          <w:iCs/>
        </w:rPr>
        <w:t>Trigonella</w:t>
      </w:r>
      <w:proofErr w:type="spellEnd"/>
      <w:r>
        <w:rPr>
          <w:i/>
          <w:iCs/>
        </w:rPr>
        <w:t xml:space="preserve"> </w:t>
      </w:r>
      <w:proofErr w:type="spellStart"/>
      <w:r>
        <w:rPr>
          <w:i/>
          <w:iCs/>
        </w:rPr>
        <w:t>foenum</w:t>
      </w:r>
      <w:proofErr w:type="spellEnd"/>
      <w:r>
        <w:rPr>
          <w:i/>
          <w:iCs/>
        </w:rPr>
        <w:t>-graecum L.</w:t>
      </w:r>
      <w:r>
        <w:t xml:space="preserve">). </w:t>
      </w:r>
      <w:r>
        <w:rPr>
          <w:i/>
          <w:iCs/>
        </w:rPr>
        <w:t>Food Science and Technology</w:t>
      </w:r>
      <w:r>
        <w:t>, 39(6), 479–483. https://doi.org/10.1016</w:t>
      </w:r>
      <w:r>
        <w:t>/j.lwt.2005.03.013</w:t>
      </w:r>
    </w:p>
    <w:p w14:paraId="69642B53" w14:textId="77777777" w:rsidR="00B03C77" w:rsidRDefault="007E1F15">
      <w:pPr>
        <w:spacing w:line="360" w:lineRule="auto"/>
        <w:ind w:left="720" w:hanging="720"/>
        <w:jc w:val="both"/>
      </w:pPr>
      <w:r>
        <w:t xml:space="preserve">Basu, S., Dutta, A., &amp; Bandyopadhyay, S. (2022). Phytochemicals and pharmacological properties of </w:t>
      </w:r>
      <w:proofErr w:type="spellStart"/>
      <w:r>
        <w:rPr>
          <w:i/>
          <w:iCs/>
        </w:rPr>
        <w:t>Trigonella</w:t>
      </w:r>
      <w:proofErr w:type="spellEnd"/>
      <w:r>
        <w:rPr>
          <w:i/>
          <w:iCs/>
        </w:rPr>
        <w:t xml:space="preserve"> </w:t>
      </w:r>
      <w:proofErr w:type="spellStart"/>
      <w:r>
        <w:rPr>
          <w:i/>
          <w:iCs/>
        </w:rPr>
        <w:t>foenum</w:t>
      </w:r>
      <w:proofErr w:type="spellEnd"/>
      <w:r>
        <w:rPr>
          <w:i/>
          <w:iCs/>
        </w:rPr>
        <w:t>-graecum</w:t>
      </w:r>
      <w:r>
        <w:t xml:space="preserve">: A review. </w:t>
      </w:r>
      <w:r>
        <w:rPr>
          <w:i/>
          <w:iCs/>
        </w:rPr>
        <w:t>Journal of Ethnopharmacology</w:t>
      </w:r>
      <w:r>
        <w:t>, 292, 115–134. https://doi.org/10.1016/j.jep.2022.115134</w:t>
      </w:r>
    </w:p>
    <w:p w14:paraId="42DF0204" w14:textId="77777777" w:rsidR="00B03C77" w:rsidRDefault="007E1F15">
      <w:pPr>
        <w:spacing w:line="360" w:lineRule="auto"/>
        <w:ind w:left="720" w:hanging="720"/>
        <w:jc w:val="both"/>
      </w:pPr>
      <w:r>
        <w:t xml:space="preserve">Chen, L., Deng, </w:t>
      </w:r>
      <w:r>
        <w:t xml:space="preserve">H., Cui, H., Fang, J., Zuo, Z., Deng, J., Li, Y., Wang, X., &amp; Zhao, L. (2017). Inflammatory responses and inflammation-associated diseases in organs. </w:t>
      </w:r>
      <w:proofErr w:type="spellStart"/>
      <w:r>
        <w:rPr>
          <w:i/>
          <w:iCs/>
        </w:rPr>
        <w:t>Oncotarget</w:t>
      </w:r>
      <w:proofErr w:type="spellEnd"/>
      <w:r>
        <w:t>, 9(6), 7204–7218. https://doi.org/10.18632/oncotarget.23208</w:t>
      </w:r>
    </w:p>
    <w:p w14:paraId="005D3EC1" w14:textId="77777777" w:rsidR="00B03C77" w:rsidRDefault="007E1F15">
      <w:pPr>
        <w:spacing w:line="360" w:lineRule="auto"/>
        <w:ind w:left="720" w:hanging="720"/>
        <w:jc w:val="both"/>
      </w:pPr>
      <w:r>
        <w:t xml:space="preserve">Choudhary, R., Singh, V., &amp; Sharma, A. (2019). Therapeutic potential of alkaloids and terpenoids in inflammatory and microbial diseases: A review. </w:t>
      </w:r>
      <w:r>
        <w:rPr>
          <w:i/>
          <w:iCs/>
        </w:rPr>
        <w:t xml:space="preserve">Pharmacognosy Reviews, </w:t>
      </w:r>
      <w:r>
        <w:t>13(25), 1–8. https://doi.org/10.4103/phrev.phrev_13_18</w:t>
      </w:r>
    </w:p>
    <w:p w14:paraId="143D29CA" w14:textId="77777777" w:rsidR="00B03C77" w:rsidRDefault="007E1F15">
      <w:pPr>
        <w:spacing w:line="360" w:lineRule="auto"/>
        <w:ind w:left="720" w:hanging="720"/>
        <w:jc w:val="both"/>
      </w:pPr>
      <w:r>
        <w:t xml:space="preserve">Dixit, P., </w:t>
      </w:r>
      <w:proofErr w:type="spellStart"/>
      <w:r>
        <w:t>Ghaskadbi</w:t>
      </w:r>
      <w:proofErr w:type="spellEnd"/>
      <w:r>
        <w:t>, S., Mohan</w:t>
      </w:r>
      <w:r>
        <w:t xml:space="preserve">, H., &amp; </w:t>
      </w:r>
      <w:proofErr w:type="spellStart"/>
      <w:r>
        <w:t>Devasagayam</w:t>
      </w:r>
      <w:proofErr w:type="spellEnd"/>
      <w:r>
        <w:t xml:space="preserve">, T. P. A. (2005). Antioxidant properties of germinated fenugreek seeds. </w:t>
      </w:r>
      <w:r>
        <w:rPr>
          <w:i/>
          <w:iCs/>
        </w:rPr>
        <w:t>Phytotherapy Research,</w:t>
      </w:r>
      <w:r>
        <w:t xml:space="preserve"> 19(11), 977–983. https://doi.org/10.1002/ptr.1758</w:t>
      </w:r>
    </w:p>
    <w:p w14:paraId="0978DC4A" w14:textId="77777777" w:rsidR="00B03C77" w:rsidRDefault="007E1F15">
      <w:pPr>
        <w:spacing w:line="360" w:lineRule="auto"/>
        <w:ind w:left="720" w:hanging="720"/>
        <w:jc w:val="both"/>
      </w:pPr>
      <w:r>
        <w:t xml:space="preserve">Gupta, S. C., </w:t>
      </w:r>
      <w:proofErr w:type="spellStart"/>
      <w:r>
        <w:t>Kunnumakkara</w:t>
      </w:r>
      <w:proofErr w:type="spellEnd"/>
      <w:r>
        <w:t xml:space="preserve">, A. B., Aggarwal, S., &amp; Aggarwal, B. B. (2018). Inflammation, a </w:t>
      </w:r>
      <w:r>
        <w:t xml:space="preserve">double-edged sword in cancer and other chronic diseases. </w:t>
      </w:r>
      <w:r>
        <w:rPr>
          <w:i/>
          <w:iCs/>
        </w:rPr>
        <w:t>Frontiers in Immunology,</w:t>
      </w:r>
      <w:r>
        <w:t xml:space="preserve"> 9, 2160. https://doi.org/10.3389/fimmu.2018.02160</w:t>
      </w:r>
    </w:p>
    <w:p w14:paraId="7CA7C3AC" w14:textId="77777777" w:rsidR="00B03C77" w:rsidRDefault="007E1F15">
      <w:pPr>
        <w:spacing w:line="360" w:lineRule="auto"/>
        <w:ind w:left="720" w:hanging="720"/>
        <w:jc w:val="both"/>
      </w:pPr>
      <w:r>
        <w:t xml:space="preserve">Harborne, J. B. (1998). Phytochemical methods: A guide to modern techniques of plant analysis (3rd ed.). </w:t>
      </w:r>
      <w:r>
        <w:rPr>
          <w:i/>
          <w:iCs/>
        </w:rPr>
        <w:t>Chapman and Hall Lt</w:t>
      </w:r>
      <w:r>
        <w:rPr>
          <w:i/>
          <w:iCs/>
        </w:rPr>
        <w:t>d</w:t>
      </w:r>
      <w:r>
        <w:t>.</w:t>
      </w:r>
    </w:p>
    <w:p w14:paraId="4B0AAA1B" w14:textId="77777777" w:rsidR="00B03C77" w:rsidRDefault="007E1F15">
      <w:pPr>
        <w:spacing w:line="360" w:lineRule="auto"/>
        <w:ind w:left="720" w:hanging="720"/>
        <w:jc w:val="both"/>
      </w:pPr>
      <w:r>
        <w:t xml:space="preserve">Kumar, P., Sharma, B., &amp; Bakshi, N. (2010). Biological activity of alkaloids from </w:t>
      </w:r>
      <w:proofErr w:type="spellStart"/>
      <w:r>
        <w:t>Trigonella</w:t>
      </w:r>
      <w:proofErr w:type="spellEnd"/>
      <w:r>
        <w:t xml:space="preserve"> </w:t>
      </w:r>
      <w:proofErr w:type="spellStart"/>
      <w:r>
        <w:t>foenum</w:t>
      </w:r>
      <w:proofErr w:type="spellEnd"/>
      <w:r>
        <w:t xml:space="preserve">-graecum L.: A review. </w:t>
      </w:r>
      <w:r>
        <w:rPr>
          <w:i/>
          <w:iCs/>
        </w:rPr>
        <w:t xml:space="preserve">International Journal of Chemical and Analytical Science, </w:t>
      </w:r>
      <w:r>
        <w:t>1(1), 24–29.</w:t>
      </w:r>
    </w:p>
    <w:p w14:paraId="732CAD31" w14:textId="77777777" w:rsidR="00B03C77" w:rsidRDefault="007E1F15">
      <w:pPr>
        <w:spacing w:line="360" w:lineRule="auto"/>
        <w:ind w:left="720" w:hanging="720"/>
        <w:jc w:val="both"/>
      </w:pPr>
      <w:r>
        <w:t xml:space="preserve">Kumar, S., Sharma, P., &amp; Singh, R. (2020). Role of phenolic </w:t>
      </w:r>
      <w:r>
        <w:t xml:space="preserve">compounds and flavonoids in anti-inflammatory activity of medicinal plants. </w:t>
      </w:r>
      <w:r>
        <w:rPr>
          <w:i/>
          <w:iCs/>
        </w:rPr>
        <w:t xml:space="preserve">Journal of Pharmacognosy and Phytochemistry, </w:t>
      </w:r>
      <w:r>
        <w:t>9(5), 233–239.</w:t>
      </w:r>
    </w:p>
    <w:p w14:paraId="13FD1369" w14:textId="77777777" w:rsidR="00B03C77" w:rsidRDefault="007E1F15">
      <w:pPr>
        <w:spacing w:line="360" w:lineRule="auto"/>
        <w:ind w:left="720" w:hanging="720"/>
        <w:jc w:val="both"/>
      </w:pPr>
      <w:r>
        <w:lastRenderedPageBreak/>
        <w:t>Lobo, V., Patil, A., Phatak, A., &amp; Chandra, N. (2010). Free radicals, antioxidants and functional foods: Impact on human</w:t>
      </w:r>
      <w:r>
        <w:t xml:space="preserve"> health. </w:t>
      </w:r>
      <w:r>
        <w:rPr>
          <w:i/>
          <w:iCs/>
        </w:rPr>
        <w:t>Pharmacognosy Reviews,</w:t>
      </w:r>
      <w:r>
        <w:t xml:space="preserve"> 4(8), 118–126. https://doi.org/10.4103/0973-7847.70902</w:t>
      </w:r>
    </w:p>
    <w:p w14:paraId="6EDE581E" w14:textId="77777777" w:rsidR="00B03C77" w:rsidRDefault="007E1F15">
      <w:pPr>
        <w:spacing w:line="360" w:lineRule="auto"/>
        <w:ind w:left="720" w:hanging="720"/>
        <w:jc w:val="both"/>
      </w:pPr>
      <w:proofErr w:type="spellStart"/>
      <w:r>
        <w:t>Medzhitov</w:t>
      </w:r>
      <w:proofErr w:type="spellEnd"/>
      <w:r>
        <w:t xml:space="preserve">, R. (2008). Origin and physiological roles of inflammation. </w:t>
      </w:r>
      <w:r>
        <w:rPr>
          <w:i/>
          <w:iCs/>
        </w:rPr>
        <w:t>Nature</w:t>
      </w:r>
      <w:r>
        <w:t>, 454(7203), 428–435. https://doi.org/10.1038/nature07201</w:t>
      </w:r>
    </w:p>
    <w:p w14:paraId="62E760D8" w14:textId="77777777" w:rsidR="00B03C77" w:rsidRDefault="007E1F15">
      <w:pPr>
        <w:spacing w:line="360" w:lineRule="auto"/>
        <w:ind w:left="720" w:hanging="720"/>
        <w:jc w:val="both"/>
      </w:pPr>
      <w:r>
        <w:t xml:space="preserve">Mishra, R., Gupta, R., &amp; Singh, A. </w:t>
      </w:r>
      <w:r>
        <w:t xml:space="preserve">(2020). Anti-inflammatory and antioxidant activities of </w:t>
      </w:r>
      <w:proofErr w:type="spellStart"/>
      <w:r>
        <w:t>Trigonella</w:t>
      </w:r>
      <w:proofErr w:type="spellEnd"/>
      <w:r>
        <w:t xml:space="preserve"> </w:t>
      </w:r>
      <w:proofErr w:type="spellStart"/>
      <w:r>
        <w:t>foenum</w:t>
      </w:r>
      <w:proofErr w:type="spellEnd"/>
      <w:r>
        <w:t xml:space="preserve">-graecum L. seed extract. </w:t>
      </w:r>
      <w:r>
        <w:rPr>
          <w:i/>
          <w:iCs/>
        </w:rPr>
        <w:t xml:space="preserve">Journal of Applied Pharmaceutical Science, </w:t>
      </w:r>
      <w:r>
        <w:t>10(6), 75–81. https://doi.org/10.7324/JAPS.2020.10610</w:t>
      </w:r>
    </w:p>
    <w:p w14:paraId="617B38AD" w14:textId="77777777" w:rsidR="00B03C77" w:rsidRDefault="007E1F15">
      <w:pPr>
        <w:spacing w:line="360" w:lineRule="auto"/>
        <w:ind w:left="720" w:hanging="720"/>
        <w:jc w:val="both"/>
      </w:pPr>
      <w:r>
        <w:t>Odeyemi, S., &amp; Afolayan, A. J. (2021). Biological activities</w:t>
      </w:r>
      <w:r>
        <w:t xml:space="preserve"> and therapeutic potential of </w:t>
      </w:r>
      <w:proofErr w:type="spellStart"/>
      <w:r>
        <w:t>Trigonella</w:t>
      </w:r>
      <w:proofErr w:type="spellEnd"/>
      <w:r>
        <w:t xml:space="preserve"> </w:t>
      </w:r>
      <w:proofErr w:type="spellStart"/>
      <w:r>
        <w:t>foenum</w:t>
      </w:r>
      <w:proofErr w:type="spellEnd"/>
      <w:r>
        <w:t xml:space="preserve">-graecum L.: A review. </w:t>
      </w:r>
      <w:r>
        <w:rPr>
          <w:i/>
          <w:iCs/>
        </w:rPr>
        <w:t xml:space="preserve">South African Journal of Botany, </w:t>
      </w:r>
      <w:r>
        <w:t>140, 156–166. https://doi.org/10.1016/j.sajb.2021.03.006</w:t>
      </w:r>
    </w:p>
    <w:p w14:paraId="4F3A2880" w14:textId="77777777" w:rsidR="00B03C77" w:rsidRDefault="007E1F15">
      <w:pPr>
        <w:spacing w:line="360" w:lineRule="auto"/>
        <w:ind w:left="720" w:hanging="720"/>
        <w:jc w:val="both"/>
      </w:pPr>
      <w:proofErr w:type="spellStart"/>
      <w:r>
        <w:t>Oyedapo</w:t>
      </w:r>
      <w:proofErr w:type="spellEnd"/>
      <w:r>
        <w:t xml:space="preserve">, O. O., Akinpelu, B. A., Akinwunmi, K. F., Adeyinka, M. O., &amp; </w:t>
      </w:r>
      <w:proofErr w:type="spellStart"/>
      <w:r>
        <w:t>Sipeolu</w:t>
      </w:r>
      <w:proofErr w:type="spellEnd"/>
      <w:r>
        <w:t>, F. O. (2010). Red</w:t>
      </w:r>
      <w:r>
        <w:t xml:space="preserve"> blood cell membrane stabilizing potentials of extracts of Lantana camara and its fractions. </w:t>
      </w:r>
      <w:r>
        <w:rPr>
          <w:i/>
          <w:iCs/>
        </w:rPr>
        <w:t xml:space="preserve">International Journal of Plant Physiology and Biochemistry, </w:t>
      </w:r>
      <w:r>
        <w:t>2(4), 46–51.</w:t>
      </w:r>
    </w:p>
    <w:p w14:paraId="0530A6AC" w14:textId="77777777" w:rsidR="00B03C77" w:rsidRDefault="007E1F15">
      <w:pPr>
        <w:spacing w:line="360" w:lineRule="auto"/>
        <w:ind w:left="720" w:hanging="720"/>
        <w:jc w:val="both"/>
      </w:pPr>
      <w:r>
        <w:t xml:space="preserve">Patel, H., Patel, D., &amp; Desai, S. (2023). Anti-inflammatory and cytoprotective properties </w:t>
      </w:r>
      <w:r>
        <w:t xml:space="preserve">of </w:t>
      </w:r>
      <w:proofErr w:type="spellStart"/>
      <w:r>
        <w:t>Trigonella</w:t>
      </w:r>
      <w:proofErr w:type="spellEnd"/>
      <w:r>
        <w:t xml:space="preserve"> </w:t>
      </w:r>
      <w:proofErr w:type="spellStart"/>
      <w:r>
        <w:t>foenum</w:t>
      </w:r>
      <w:proofErr w:type="spellEnd"/>
      <w:r>
        <w:t xml:space="preserve">-graecum seed extracts: Mechanistic insights. </w:t>
      </w:r>
      <w:r>
        <w:rPr>
          <w:i/>
          <w:iCs/>
        </w:rPr>
        <w:t>Journal of Herbal Medicine,</w:t>
      </w:r>
      <w:r>
        <w:t xml:space="preserve"> 39, 100567. https://doi.org/10.1016/j.hermed.2023.100567</w:t>
      </w:r>
    </w:p>
    <w:p w14:paraId="3676C4BD" w14:textId="77777777" w:rsidR="00B03C77" w:rsidRDefault="007E1F15">
      <w:pPr>
        <w:spacing w:line="360" w:lineRule="auto"/>
        <w:ind w:left="720" w:hanging="720"/>
        <w:jc w:val="both"/>
      </w:pPr>
      <w:r>
        <w:t xml:space="preserve">Raju, J., &amp; Bird, R. P. (2006). </w:t>
      </w:r>
      <w:proofErr w:type="spellStart"/>
      <w:r>
        <w:t>Trigonella</w:t>
      </w:r>
      <w:proofErr w:type="spellEnd"/>
      <w:r>
        <w:t xml:space="preserve"> </w:t>
      </w:r>
      <w:proofErr w:type="spellStart"/>
      <w:r>
        <w:t>foenum</w:t>
      </w:r>
      <w:proofErr w:type="spellEnd"/>
      <w:r>
        <w:t>-graecum (fenugreek) seed extract prevents the developme</w:t>
      </w:r>
      <w:r>
        <w:t xml:space="preserve">nt of aberrant crypt foci in the rat colon. </w:t>
      </w:r>
      <w:r>
        <w:rPr>
          <w:i/>
          <w:iCs/>
        </w:rPr>
        <w:t>Cancer Biology &amp; Therapy</w:t>
      </w:r>
      <w:r>
        <w:t>, 5(9), 1079–1085. https://doi.org/10.4161/cbt.5.9.2970</w:t>
      </w:r>
    </w:p>
    <w:p w14:paraId="05665F9B" w14:textId="77777777" w:rsidR="00B03C77" w:rsidRDefault="007E1F15">
      <w:pPr>
        <w:spacing w:line="360" w:lineRule="auto"/>
        <w:ind w:left="720" w:hanging="720"/>
        <w:jc w:val="both"/>
      </w:pPr>
      <w:r>
        <w:t xml:space="preserve">Shakibaei, M., Buhrmann, C., &amp; </w:t>
      </w:r>
      <w:proofErr w:type="spellStart"/>
      <w:r>
        <w:t>Mobasheri</w:t>
      </w:r>
      <w:proofErr w:type="spellEnd"/>
      <w:r>
        <w:t xml:space="preserve">, A. (2012). Anti-inflammatory and anti-catabolic effects of </w:t>
      </w:r>
      <w:proofErr w:type="spellStart"/>
      <w:r>
        <w:t>Trigonella</w:t>
      </w:r>
      <w:proofErr w:type="spellEnd"/>
      <w:r>
        <w:t xml:space="preserve"> </w:t>
      </w:r>
      <w:proofErr w:type="spellStart"/>
      <w:r>
        <w:t>foenum</w:t>
      </w:r>
      <w:proofErr w:type="spellEnd"/>
      <w:r>
        <w:t xml:space="preserve">-graecum seed </w:t>
      </w:r>
      <w:r>
        <w:t xml:space="preserve">extract in chondrocytes. </w:t>
      </w:r>
      <w:r>
        <w:rPr>
          <w:i/>
          <w:iCs/>
        </w:rPr>
        <w:t>Arthritis Research &amp; Therapy,</w:t>
      </w:r>
      <w:r>
        <w:t xml:space="preserve"> 14(1), R18. https://doi.org/10.1186/ar3705</w:t>
      </w:r>
    </w:p>
    <w:p w14:paraId="436E61B9" w14:textId="77777777" w:rsidR="00B03C77" w:rsidRDefault="007E1F15">
      <w:pPr>
        <w:spacing w:line="360" w:lineRule="auto"/>
        <w:ind w:left="720" w:hanging="720"/>
        <w:jc w:val="both"/>
      </w:pPr>
      <w:r>
        <w:t xml:space="preserve">Shinde, U. A., Phadke, A. S., Nair, A. M., </w:t>
      </w:r>
      <w:proofErr w:type="spellStart"/>
      <w:r>
        <w:t>Mungantiwar</w:t>
      </w:r>
      <w:proofErr w:type="spellEnd"/>
      <w:r>
        <w:t xml:space="preserve">, A. A., Dikshit, V. J., &amp; Saraf, M. N. (1999). Membrane stabilizing activity – A possible mechanism of </w:t>
      </w:r>
      <w:r>
        <w:t xml:space="preserve">action for the anti-inflammatory activity of Cedrus deodara wood oil. </w:t>
      </w:r>
      <w:proofErr w:type="spellStart"/>
      <w:r>
        <w:rPr>
          <w:i/>
          <w:iCs/>
        </w:rPr>
        <w:t>Fitoterapia</w:t>
      </w:r>
      <w:proofErr w:type="spellEnd"/>
      <w:r>
        <w:t>, 70(3), 251–257. https://doi.org/10.1016/S0367-326X(99)00030-1</w:t>
      </w:r>
    </w:p>
    <w:p w14:paraId="7CA7DAAF" w14:textId="77777777" w:rsidR="00B03C77" w:rsidRDefault="007E1F15">
      <w:pPr>
        <w:spacing w:line="360" w:lineRule="auto"/>
        <w:ind w:left="720" w:hanging="720"/>
      </w:pPr>
      <w:r>
        <w:lastRenderedPageBreak/>
        <w:t>Singh, P., &amp; Kumar, V. (2021). Tannins: Classification, chemistry, and biological properties. Natural Product C</w:t>
      </w:r>
      <w:r>
        <w:t>ommunications, 16(9). https://doi.org/10.1177/1934578X211038218</w:t>
      </w:r>
    </w:p>
    <w:p w14:paraId="4E7D5BAB" w14:textId="77777777" w:rsidR="00B03C77" w:rsidRDefault="007E1F15">
      <w:pPr>
        <w:spacing w:line="360" w:lineRule="auto"/>
        <w:ind w:left="720" w:hanging="720"/>
      </w:pPr>
      <w:r>
        <w:t xml:space="preserve">Sowmya, P., &amp; Rajyalakshmi, P. (1999). </w:t>
      </w:r>
      <w:proofErr w:type="spellStart"/>
      <w:r>
        <w:t>Hypocholesterolemic</w:t>
      </w:r>
      <w:proofErr w:type="spellEnd"/>
      <w:r>
        <w:t xml:space="preserve"> effect of germinated fenugreek seeds in human subjects. </w:t>
      </w:r>
      <w:r>
        <w:rPr>
          <w:i/>
          <w:iCs/>
        </w:rPr>
        <w:t>Plant Foods for Human Nutrition,</w:t>
      </w:r>
      <w:r>
        <w:t xml:space="preserve"> 53(4), 359–365. https://doi.org/10.1023/A:1008088701635</w:t>
      </w:r>
    </w:p>
    <w:p w14:paraId="3A327EC5" w14:textId="77777777" w:rsidR="00B03C77" w:rsidRDefault="007E1F15">
      <w:pPr>
        <w:spacing w:line="360" w:lineRule="auto"/>
        <w:ind w:left="720" w:hanging="720"/>
      </w:pPr>
      <w:r>
        <w:t>Srinivasan, K. (2006). Fenugreek (</w:t>
      </w:r>
      <w:proofErr w:type="spellStart"/>
      <w:r>
        <w:t>Trigonella</w:t>
      </w:r>
      <w:proofErr w:type="spellEnd"/>
      <w:r>
        <w:t xml:space="preserve"> </w:t>
      </w:r>
      <w:proofErr w:type="spellStart"/>
      <w:r>
        <w:t>foenum</w:t>
      </w:r>
      <w:proofErr w:type="spellEnd"/>
      <w:r>
        <w:t>-graecum): A review of health beneficial physiological effects.</w:t>
      </w:r>
      <w:r>
        <w:rPr>
          <w:i/>
          <w:iCs/>
        </w:rPr>
        <w:t xml:space="preserve"> Food Reviews International,</w:t>
      </w:r>
      <w:r>
        <w:t xml:space="preserve"> 22(2), 203–224. https://doi.org/10.1080/8755912060058631</w:t>
      </w:r>
      <w:r>
        <w:t>5</w:t>
      </w:r>
    </w:p>
    <w:p w14:paraId="3E3628A1" w14:textId="77777777" w:rsidR="00B03C77" w:rsidRDefault="007E1F15">
      <w:pPr>
        <w:spacing w:line="360" w:lineRule="auto"/>
        <w:ind w:left="720" w:hanging="720"/>
      </w:pPr>
      <w:r>
        <w:t xml:space="preserve">Srinivasan, R., Chandrasekar, M. J. N., </w:t>
      </w:r>
      <w:proofErr w:type="spellStart"/>
      <w:r>
        <w:t>Nanjan</w:t>
      </w:r>
      <w:proofErr w:type="spellEnd"/>
      <w:r>
        <w:t xml:space="preserve">, M. J., &amp; Suresh, B. (2016). Antioxidant and anti-inflammatory activity of medicinal plants: A mechanistic approach. </w:t>
      </w:r>
      <w:r>
        <w:rPr>
          <w:i/>
          <w:iCs/>
        </w:rPr>
        <w:t>International Journal of Pharmacognosy and Phytochemical Research</w:t>
      </w:r>
      <w:r>
        <w:t>, 8(1), 64–72.</w:t>
      </w:r>
    </w:p>
    <w:p w14:paraId="3EC172E4" w14:textId="77777777" w:rsidR="00B03C77" w:rsidRDefault="007E1F15">
      <w:pPr>
        <w:spacing w:line="360" w:lineRule="auto"/>
        <w:ind w:left="720" w:hanging="720"/>
      </w:pPr>
      <w:r>
        <w:t>Trease, G.</w:t>
      </w:r>
      <w:r>
        <w:t xml:space="preserve"> E., &amp; Evans, W. C. (2002). </w:t>
      </w:r>
      <w:r>
        <w:rPr>
          <w:i/>
          <w:iCs/>
        </w:rPr>
        <w:t>Pharmacognosy</w:t>
      </w:r>
      <w:r>
        <w:t xml:space="preserve"> (15th ed.). W.B. Saunders Ltd.</w:t>
      </w:r>
    </w:p>
    <w:p w14:paraId="1E617CD5" w14:textId="77777777" w:rsidR="00B03C77" w:rsidRDefault="007E1F15">
      <w:pPr>
        <w:spacing w:line="360" w:lineRule="auto"/>
        <w:ind w:left="720" w:hanging="720"/>
      </w:pPr>
      <w:r>
        <w:t xml:space="preserve">Umapathy, E., </w:t>
      </w:r>
      <w:proofErr w:type="spellStart"/>
      <w:r>
        <w:t>Ndebia</w:t>
      </w:r>
      <w:proofErr w:type="spellEnd"/>
      <w:r>
        <w:t xml:space="preserve">, E. J., Meeme, A., Adam, B., </w:t>
      </w:r>
      <w:proofErr w:type="spellStart"/>
      <w:r>
        <w:t>Menziwa</w:t>
      </w:r>
      <w:proofErr w:type="spellEnd"/>
      <w:r>
        <w:t xml:space="preserve">, P., </w:t>
      </w:r>
      <w:proofErr w:type="spellStart"/>
      <w:r>
        <w:t>Nkeh-Chungag</w:t>
      </w:r>
      <w:proofErr w:type="spellEnd"/>
      <w:r>
        <w:t xml:space="preserve">, B. N., &amp; </w:t>
      </w:r>
      <w:proofErr w:type="spellStart"/>
      <w:r>
        <w:t>Iputo</w:t>
      </w:r>
      <w:proofErr w:type="spellEnd"/>
      <w:r>
        <w:t xml:space="preserve">, J. E. (2010). An experimental evaluation of </w:t>
      </w:r>
      <w:proofErr w:type="spellStart"/>
      <w:r>
        <w:t>Albuca</w:t>
      </w:r>
      <w:proofErr w:type="spellEnd"/>
      <w:r>
        <w:t xml:space="preserve"> </w:t>
      </w:r>
      <w:proofErr w:type="spellStart"/>
      <w:r>
        <w:t>setosa</w:t>
      </w:r>
      <w:proofErr w:type="spellEnd"/>
      <w:r>
        <w:t xml:space="preserve"> aqueous extract on membrane stab</w:t>
      </w:r>
      <w:r>
        <w:t xml:space="preserve">ilization and protein denaturation in vitro. Asian Pacific </w:t>
      </w:r>
      <w:r>
        <w:rPr>
          <w:i/>
          <w:iCs/>
        </w:rPr>
        <w:t>Journal of Tropical Biomedicine</w:t>
      </w:r>
      <w:r>
        <w:t>, 3(12), 870–874. https://doi.org/10.1016/S2221-1691(13)60169-2</w:t>
      </w:r>
    </w:p>
    <w:p w14:paraId="1CFEAF5A" w14:textId="77777777" w:rsidR="00B03C77" w:rsidRDefault="007E1F15">
      <w:pPr>
        <w:spacing w:line="360" w:lineRule="auto"/>
        <w:ind w:left="720" w:hanging="720"/>
      </w:pPr>
      <w:r>
        <w:t xml:space="preserve">Vane, J. R., &amp; Botting, R. M. (2003). The mechanism of action of aspirin. </w:t>
      </w:r>
      <w:r>
        <w:rPr>
          <w:i/>
          <w:iCs/>
        </w:rPr>
        <w:t>Thrombosis Research,</w:t>
      </w:r>
      <w:r>
        <w:t xml:space="preserve"> 110(5–6</w:t>
      </w:r>
      <w:r>
        <w:t>), 255–258. https://doi.org/10.1016/S0049-3848(03)00379-7</w:t>
      </w:r>
    </w:p>
    <w:p w14:paraId="7199DD78" w14:textId="77777777" w:rsidR="00B03C77" w:rsidRDefault="00B03C77">
      <w:pPr>
        <w:rPr>
          <w:b/>
          <w:bCs/>
        </w:rPr>
      </w:pPr>
    </w:p>
    <w:p w14:paraId="36D23344" w14:textId="77777777" w:rsidR="00B03C77" w:rsidRDefault="00B03C77">
      <w:pPr>
        <w:rPr>
          <w:b/>
          <w:bCs/>
        </w:rPr>
      </w:pPr>
    </w:p>
    <w:p w14:paraId="3905761F" w14:textId="77777777" w:rsidR="00B03C77" w:rsidRDefault="00B03C77"/>
    <w:sectPr w:rsidR="00B03C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48AAD" w14:textId="77777777" w:rsidR="007E1F15" w:rsidRDefault="007E1F15" w:rsidP="004D1DBD">
      <w:pPr>
        <w:spacing w:after="0" w:line="240" w:lineRule="auto"/>
      </w:pPr>
      <w:r>
        <w:separator/>
      </w:r>
    </w:p>
  </w:endnote>
  <w:endnote w:type="continuationSeparator" w:id="0">
    <w:p w14:paraId="0A3742C0" w14:textId="77777777" w:rsidR="007E1F15" w:rsidRDefault="007E1F15" w:rsidP="004D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D0AE" w14:textId="77777777" w:rsidR="004D1DBD" w:rsidRDefault="004D1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E40F0" w14:textId="77777777" w:rsidR="004D1DBD" w:rsidRDefault="004D1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9DA5E" w14:textId="77777777" w:rsidR="004D1DBD" w:rsidRDefault="004D1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658C" w14:textId="77777777" w:rsidR="007E1F15" w:rsidRDefault="007E1F15" w:rsidP="004D1DBD">
      <w:pPr>
        <w:spacing w:after="0" w:line="240" w:lineRule="auto"/>
      </w:pPr>
      <w:r>
        <w:separator/>
      </w:r>
    </w:p>
  </w:footnote>
  <w:footnote w:type="continuationSeparator" w:id="0">
    <w:p w14:paraId="25B08ACC" w14:textId="77777777" w:rsidR="007E1F15" w:rsidRDefault="007E1F15" w:rsidP="004D1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6BE9" w14:textId="44B832B3" w:rsidR="004D1DBD" w:rsidRDefault="004D1DBD">
    <w:pPr>
      <w:pStyle w:val="Header"/>
    </w:pPr>
    <w:r>
      <w:rPr>
        <w:noProof/>
      </w:rPr>
      <w:pict w14:anchorId="1C38A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50501" o:spid="_x0000_s2050" type="#_x0000_t136" style="position:absolute;margin-left:0;margin-top:0;width:555.05pt;height:104.6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11522" w14:textId="11E54665" w:rsidR="004D1DBD" w:rsidRDefault="004D1DBD">
    <w:pPr>
      <w:pStyle w:val="Header"/>
    </w:pPr>
    <w:r>
      <w:rPr>
        <w:noProof/>
      </w:rPr>
      <w:pict w14:anchorId="33064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50502" o:spid="_x0000_s2051" type="#_x0000_t136" style="position:absolute;margin-left:0;margin-top:0;width:555.05pt;height:104.6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371F1" w14:textId="2F8AA67A" w:rsidR="004D1DBD" w:rsidRDefault="004D1DBD">
    <w:pPr>
      <w:pStyle w:val="Header"/>
    </w:pPr>
    <w:r>
      <w:rPr>
        <w:noProof/>
      </w:rPr>
      <w:pict w14:anchorId="1E4A9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50500" o:spid="_x0000_s2049" type="#_x0000_t136" style="position:absolute;margin-left:0;margin-top:0;width:555.05pt;height:104.6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C77"/>
    <w:rsid w:val="0006798C"/>
    <w:rsid w:val="001565D6"/>
    <w:rsid w:val="002A10E0"/>
    <w:rsid w:val="00311F8D"/>
    <w:rsid w:val="004A5D0A"/>
    <w:rsid w:val="004D1DBD"/>
    <w:rsid w:val="007E1F15"/>
    <w:rsid w:val="00B03C77"/>
    <w:rsid w:val="00B90A3E"/>
    <w:rsid w:val="00E72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883BD8B"/>
  <w15:docId w15:val="{B76E0C2D-51BA-44CE-A4B1-27D4A6CF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680"/>
        <w:tab w:val="right" w:pos="9360"/>
      </w:tabs>
    </w:pPr>
    <w:rPr>
      <w:rFonts w:ascii="Times New Roman" w:hAnsi="Times New Roman"/>
    </w:rPr>
  </w:style>
  <w:style w:type="paragraph" w:styleId="Header">
    <w:name w:val="header"/>
    <w:basedOn w:val="Normal"/>
    <w:pPr>
      <w:tabs>
        <w:tab w:val="center" w:pos="4680"/>
        <w:tab w:val="right" w:pos="9360"/>
      </w:tabs>
    </w:pPr>
    <w:rPr>
      <w:rFonts w:ascii="Times New Roman" w:hAnsi="Times New Roman"/>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uiPriority w:val="99"/>
    <w:unhideWhenUsed/>
    <w:rsid w:val="001565D6"/>
    <w:rPr>
      <w:color w:val="0000FF"/>
      <w:u w:val="single"/>
    </w:rPr>
  </w:style>
  <w:style w:type="character" w:styleId="UnresolvedMention">
    <w:name w:val="Unresolved Mention"/>
    <w:uiPriority w:val="99"/>
    <w:semiHidden/>
    <w:unhideWhenUsed/>
    <w:rsid w:val="00156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11</Pages>
  <Words>3596</Words>
  <Characters>20502</Characters>
  <Application>Microsoft Office Word</Application>
  <DocSecurity>0</DocSecurity>
  <Lines>170</Lines>
  <Paragraphs>48</Paragraphs>
  <ScaleCrop>false</ScaleCrop>
  <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KJ5</dc:creator>
  <cp:lastModifiedBy>SDI 1084</cp:lastModifiedBy>
  <cp:revision>8</cp:revision>
  <dcterms:created xsi:type="dcterms:W3CDTF">2025-10-15T05:13:00Z</dcterms:created>
  <dcterms:modified xsi:type="dcterms:W3CDTF">2025-10-31T13:29:00Z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c297da9b99b44ccd99d1d68cdf1fcdca</vt:lpwstr>
  </property>
</Properties>
</file>