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FF7EE" w14:textId="24402491" w:rsidR="007E3DE4" w:rsidRDefault="000D7CBB" w:rsidP="007E3DE4">
      <w:pPr>
        <w:spacing w:line="240" w:lineRule="auto"/>
        <w:ind w:left="-567"/>
        <w:jc w:val="center"/>
        <w:rPr>
          <w:rFonts w:ascii="Times New Roman" w:eastAsia="SimSun" w:hAnsi="Times New Roman"/>
          <w:b/>
          <w:bCs/>
          <w:sz w:val="24"/>
          <w:szCs w:val="24"/>
        </w:rPr>
      </w:pPr>
      <w:r>
        <w:rPr>
          <w:rFonts w:ascii="Times New Roman" w:eastAsia="SimSun" w:hAnsi="Times New Roman"/>
          <w:b/>
          <w:bCs/>
          <w:sz w:val="24"/>
          <w:szCs w:val="24"/>
        </w:rPr>
        <w:t>Effect of Animal Bone Biochar on Total Petroleum Hydrocarbon Reduction and Fertility Restoration in Crude Oil–Contaminated Soil</w:t>
      </w:r>
    </w:p>
    <w:p w14:paraId="264152EC" w14:textId="77777777" w:rsidR="007E3DE4" w:rsidRDefault="007E3DE4" w:rsidP="007E3DE4">
      <w:pPr>
        <w:spacing w:line="240" w:lineRule="auto"/>
        <w:ind w:left="-567"/>
        <w:jc w:val="center"/>
        <w:rPr>
          <w:rFonts w:ascii="Times New Roman" w:eastAsia="SimSun" w:hAnsi="Times New Roman"/>
          <w:b/>
          <w:bCs/>
          <w:sz w:val="24"/>
          <w:szCs w:val="24"/>
        </w:rPr>
      </w:pPr>
    </w:p>
    <w:p w14:paraId="309AC306" w14:textId="77777777" w:rsidR="00487178" w:rsidRDefault="00487178">
      <w:pPr>
        <w:spacing w:line="480" w:lineRule="auto"/>
        <w:jc w:val="both"/>
        <w:rPr>
          <w:rFonts w:ascii="Times New Roman" w:eastAsia="SimSun" w:hAnsi="Times New Roman"/>
          <w:b/>
          <w:bCs/>
          <w:sz w:val="24"/>
          <w:szCs w:val="24"/>
        </w:rPr>
      </w:pPr>
    </w:p>
    <w:p w14:paraId="5D3AAB8F" w14:textId="2BC661AE" w:rsidR="002B5760" w:rsidRPr="00042740" w:rsidRDefault="002B5760" w:rsidP="00042740">
      <w:pPr>
        <w:spacing w:after="0" w:line="240" w:lineRule="auto"/>
        <w:jc w:val="both"/>
        <w:rPr>
          <w:rFonts w:ascii="Times New Roman" w:eastAsia="Times New Roman" w:hAnsi="Times New Roman"/>
          <w:b/>
          <w:bCs/>
          <w:sz w:val="24"/>
          <w:szCs w:val="24"/>
        </w:rPr>
      </w:pPr>
      <w:r w:rsidRPr="00042740">
        <w:rPr>
          <w:rFonts w:ascii="Times New Roman" w:eastAsia="Times New Roman" w:hAnsi="Times New Roman"/>
          <w:b/>
          <w:bCs/>
          <w:sz w:val="24"/>
          <w:szCs w:val="24"/>
        </w:rPr>
        <w:t>Abstract</w:t>
      </w:r>
    </w:p>
    <w:p w14:paraId="0BB21E54" w14:textId="1C1498E8" w:rsidR="004F25DA" w:rsidRDefault="000D7CBB" w:rsidP="0004274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Crude oil contamination significantly reduces </w:t>
      </w:r>
      <w:r>
        <w:rPr>
          <w:rFonts w:ascii="Times New Roman" w:eastAsia="Times New Roman" w:hAnsi="Times New Roman"/>
          <w:sz w:val="24"/>
          <w:szCs w:val="24"/>
        </w:rPr>
        <w:t>soil fertility and hampers plant growth through hydrocarbon toxicity and nutrient imbalance. This study evaluated the effectiveness of animal bone biochar (ABB) in enhancing total petroleum hydrocarbon (TPH) degradation and restoring the fertility of crude</w:t>
      </w:r>
      <w:r>
        <w:rPr>
          <w:rFonts w:ascii="Times New Roman" w:eastAsia="Times New Roman" w:hAnsi="Times New Roman"/>
          <w:sz w:val="24"/>
          <w:szCs w:val="24"/>
        </w:rPr>
        <w:t xml:space="preserve"> oil</w:t>
      </w:r>
      <w:r>
        <w:rPr>
          <w:rFonts w:ascii="Times New Roman" w:eastAsia="Times New Roman" w:hAnsi="Times New Roman"/>
          <w:sz w:val="24"/>
          <w:szCs w:val="24"/>
          <w:lang w:val="en-GB"/>
        </w:rPr>
        <w:t xml:space="preserve"> </w:t>
      </w:r>
      <w:r>
        <w:rPr>
          <w:rFonts w:ascii="Times New Roman" w:eastAsia="Times New Roman" w:hAnsi="Times New Roman"/>
          <w:sz w:val="24"/>
          <w:szCs w:val="24"/>
        </w:rPr>
        <w:t>polluted soils. Contaminated soils were amended with 20</w:t>
      </w:r>
      <w:r>
        <w:rPr>
          <w:rFonts w:ascii="Times New Roman" w:eastAsia="Times New Roman" w:hAnsi="Times New Roman"/>
          <w:sz w:val="24"/>
          <w:szCs w:val="24"/>
          <w:lang w:val="en-GB"/>
        </w:rPr>
        <w:t>g</w:t>
      </w:r>
      <w:r>
        <w:rPr>
          <w:rFonts w:ascii="Times New Roman" w:eastAsia="Times New Roman" w:hAnsi="Times New Roman"/>
          <w:sz w:val="24"/>
          <w:szCs w:val="24"/>
        </w:rPr>
        <w:t>, 60</w:t>
      </w:r>
      <w:r>
        <w:rPr>
          <w:rFonts w:ascii="Times New Roman" w:eastAsia="Times New Roman" w:hAnsi="Times New Roman"/>
          <w:sz w:val="24"/>
          <w:szCs w:val="24"/>
          <w:lang w:val="en-GB"/>
        </w:rPr>
        <w:t>g,</w:t>
      </w:r>
      <w:r>
        <w:rPr>
          <w:rFonts w:ascii="Times New Roman" w:eastAsia="Times New Roman" w:hAnsi="Times New Roman"/>
          <w:sz w:val="24"/>
          <w:szCs w:val="24"/>
        </w:rPr>
        <w:t xml:space="preserve"> and 100 g of ABB and monitored for 90 days. TPH analysis showed a marked, dose-dependent reduction, with the highest removal (75%) observed in the 100 g ABB treatment. Plant bioassays usin</w:t>
      </w:r>
      <w:r>
        <w:rPr>
          <w:rFonts w:ascii="Times New Roman" w:eastAsia="Times New Roman" w:hAnsi="Times New Roman"/>
          <w:sz w:val="24"/>
          <w:szCs w:val="24"/>
        </w:rPr>
        <w:t xml:space="preserve">g </w:t>
      </w:r>
      <w:r>
        <w:rPr>
          <w:rFonts w:ascii="Times New Roman" w:eastAsia="Times New Roman" w:hAnsi="Times New Roman"/>
          <w:i/>
          <w:iCs/>
          <w:sz w:val="24"/>
          <w:szCs w:val="24"/>
        </w:rPr>
        <w:t>Phaseolus vulgaris r</w:t>
      </w:r>
      <w:r>
        <w:rPr>
          <w:rFonts w:ascii="Times New Roman" w:eastAsia="Times New Roman" w:hAnsi="Times New Roman"/>
          <w:sz w:val="24"/>
          <w:szCs w:val="24"/>
        </w:rPr>
        <w:t xml:space="preserve">evealed improved germination, shoot and root growth, and leaf development in biochar-amended soils compared with the unamended control, confirming reduced hydrocarbon toxicity and fertility recovery. The findings demonstrate that ABB </w:t>
      </w:r>
      <w:r>
        <w:rPr>
          <w:rFonts w:ascii="Times New Roman" w:eastAsia="Times New Roman" w:hAnsi="Times New Roman"/>
          <w:sz w:val="24"/>
          <w:szCs w:val="24"/>
        </w:rPr>
        <w:t>serves as an efficient, low-cost amendment capable of promoting both hydrocarbon degradation and soil productivity restoration in crude oil</w:t>
      </w:r>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w:t>
      </w:r>
      <w:r>
        <w:rPr>
          <w:rFonts w:ascii="Times New Roman" w:eastAsia="Times New Roman" w:hAnsi="Times New Roman"/>
          <w:sz w:val="24"/>
          <w:szCs w:val="24"/>
        </w:rPr>
        <w:t>mpacted</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environments </w:t>
      </w:r>
      <w:r>
        <w:rPr>
          <w:rFonts w:ascii="Times New Roman" w:eastAsia="Times New Roman" w:hAnsi="Times New Roman"/>
          <w:sz w:val="24"/>
          <w:szCs w:val="24"/>
          <w:lang w:val="en-GB"/>
        </w:rPr>
        <w:t>.</w:t>
      </w:r>
      <w:proofErr w:type="gramEnd"/>
    </w:p>
    <w:p w14:paraId="4B422E91" w14:textId="77777777" w:rsidR="004F25DA" w:rsidRDefault="004F25DA">
      <w:pPr>
        <w:spacing w:line="480" w:lineRule="auto"/>
        <w:jc w:val="both"/>
        <w:rPr>
          <w:rFonts w:ascii="Times New Roman" w:eastAsia="Times New Roman" w:hAnsi="Times New Roman"/>
          <w:b/>
          <w:bCs/>
          <w:sz w:val="24"/>
          <w:szCs w:val="24"/>
        </w:rPr>
      </w:pPr>
    </w:p>
    <w:p w14:paraId="45015767" w14:textId="77777777" w:rsidR="004F25DA" w:rsidRDefault="000D7CBB" w:rsidP="00042740">
      <w:pPr>
        <w:spacing w:line="240" w:lineRule="auto"/>
        <w:jc w:val="both"/>
        <w:rPr>
          <w:rFonts w:ascii="Times New Roman" w:hAnsi="Times New Roman"/>
          <w:sz w:val="24"/>
          <w:szCs w:val="24"/>
        </w:rPr>
      </w:pPr>
      <w:r>
        <w:rPr>
          <w:rFonts w:ascii="Times New Roman" w:eastAsia="Times New Roman" w:hAnsi="Times New Roman"/>
          <w:b/>
          <w:bCs/>
          <w:sz w:val="24"/>
          <w:szCs w:val="24"/>
        </w:rPr>
        <w:t>Keywords:</w:t>
      </w:r>
      <w:r>
        <w:rPr>
          <w:rFonts w:ascii="Times New Roman" w:eastAsia="Times New Roman" w:hAnsi="Times New Roman"/>
          <w:sz w:val="24"/>
          <w:szCs w:val="24"/>
        </w:rPr>
        <w:t xml:space="preserve"> Biochar amendments, Bioremediation, Petroleum-impacted soil, Soil fertility restoration</w:t>
      </w:r>
    </w:p>
    <w:p w14:paraId="4C4ED033" w14:textId="77777777" w:rsidR="0005186D" w:rsidRDefault="0005186D">
      <w:pPr>
        <w:spacing w:line="480" w:lineRule="auto"/>
        <w:jc w:val="both"/>
        <w:rPr>
          <w:rFonts w:ascii="Times New Roman" w:eastAsia="SimSun" w:hAnsi="Times New Roman"/>
          <w:b/>
          <w:bCs/>
          <w:sz w:val="24"/>
          <w:szCs w:val="24"/>
        </w:rPr>
      </w:pPr>
      <w:bookmarkStart w:id="0" w:name="_GoBack"/>
      <w:bookmarkEnd w:id="0"/>
    </w:p>
    <w:p w14:paraId="3BA6A7B6" w14:textId="77777777" w:rsidR="004F25DA" w:rsidRDefault="000D7CBB">
      <w:pPr>
        <w:spacing w:line="480" w:lineRule="auto"/>
        <w:jc w:val="both"/>
        <w:rPr>
          <w:rFonts w:ascii="Times New Roman" w:hAnsi="Times New Roman"/>
          <w:b/>
          <w:bCs/>
          <w:sz w:val="24"/>
          <w:szCs w:val="24"/>
          <w:lang w:val="en-GB"/>
        </w:rPr>
      </w:pPr>
      <w:r>
        <w:rPr>
          <w:rFonts w:ascii="Times New Roman" w:hAnsi="Times New Roman"/>
          <w:b/>
          <w:bCs/>
          <w:sz w:val="24"/>
          <w:szCs w:val="24"/>
        </w:rPr>
        <w:t>1. I</w:t>
      </w:r>
      <w:r>
        <w:rPr>
          <w:rFonts w:ascii="Times New Roman" w:hAnsi="Times New Roman"/>
          <w:b/>
          <w:bCs/>
          <w:sz w:val="24"/>
          <w:szCs w:val="24"/>
          <w:lang w:val="en-GB"/>
        </w:rPr>
        <w:t>NTRODUCTION</w:t>
      </w:r>
    </w:p>
    <w:p w14:paraId="037CB30F" w14:textId="77777777" w:rsidR="004F25DA" w:rsidRDefault="000D7CBB">
      <w:pPr>
        <w:spacing w:line="480" w:lineRule="auto"/>
        <w:jc w:val="both"/>
        <w:rPr>
          <w:rFonts w:ascii="Times New Roman" w:eastAsia="Times New Roman" w:hAnsi="Times New Roman"/>
          <w:sz w:val="24"/>
          <w:szCs w:val="24"/>
        </w:rPr>
      </w:pPr>
      <w:r>
        <w:rPr>
          <w:rFonts w:ascii="Times New Roman" w:hAnsi="Times New Roman"/>
          <w:sz w:val="24"/>
          <w:szCs w:val="24"/>
        </w:rPr>
        <w:t>Petroleum hydrocarbon contamination of soils remains a critical environ</w:t>
      </w:r>
      <w:r>
        <w:rPr>
          <w:rFonts w:ascii="Times New Roman" w:hAnsi="Times New Roman"/>
          <w:sz w:val="24"/>
          <w:szCs w:val="24"/>
          <w:lang w:val="en-GB"/>
        </w:rPr>
        <w:t>m</w:t>
      </w:r>
      <w:proofErr w:type="spellStart"/>
      <w:r>
        <w:rPr>
          <w:rFonts w:ascii="Times New Roman" w:hAnsi="Times New Roman"/>
          <w:sz w:val="24"/>
          <w:szCs w:val="24"/>
        </w:rPr>
        <w:t>ental</w:t>
      </w:r>
      <w:proofErr w:type="spellEnd"/>
      <w:r>
        <w:rPr>
          <w:rFonts w:ascii="Times New Roman" w:hAnsi="Times New Roman"/>
          <w:sz w:val="24"/>
          <w:szCs w:val="24"/>
        </w:rPr>
        <w:t xml:space="preserve"> concern, particularly in oil-producing regions such as the Niger Delt</w:t>
      </w:r>
      <w:r>
        <w:rPr>
          <w:rFonts w:ascii="Times New Roman" w:hAnsi="Times New Roman"/>
          <w:sz w:val="24"/>
          <w:szCs w:val="24"/>
        </w:rPr>
        <w:t xml:space="preserve">a, Nigeria. Crude oil spills adversely affect soil physicochemical properties leading to nutrient imbalance, poor aeration, and hydrophobic conditions that inhibit microbial activity and plant growth. For example, studies of spill sites in the Niger Delta </w:t>
      </w:r>
      <w:r>
        <w:rPr>
          <w:rFonts w:ascii="Times New Roman" w:hAnsi="Times New Roman"/>
          <w:sz w:val="24"/>
          <w:szCs w:val="24"/>
        </w:rPr>
        <w:t>report decreased levels of available phosphorus and exchangeable cations, elevated hydrocarbon concentrations (up to 12.4 ppm), and disruption of soil electrical conductivity relative to uncontaminated reference zones (</w:t>
      </w:r>
      <w:proofErr w:type="spellStart"/>
      <w:r>
        <w:rPr>
          <w:rFonts w:ascii="Times New Roman" w:hAnsi="Times New Roman"/>
          <w:sz w:val="24"/>
          <w:szCs w:val="24"/>
        </w:rPr>
        <w:t>Abii</w:t>
      </w:r>
      <w:proofErr w:type="spellEnd"/>
      <w:r>
        <w:rPr>
          <w:rFonts w:ascii="Times New Roman" w:hAnsi="Times New Roman"/>
          <w:sz w:val="24"/>
          <w:szCs w:val="24"/>
        </w:rPr>
        <w:t>, 2009; effects documented in soi</w:t>
      </w:r>
      <w:r>
        <w:rPr>
          <w:rFonts w:ascii="Times New Roman" w:hAnsi="Times New Roman"/>
          <w:sz w:val="24"/>
          <w:szCs w:val="24"/>
        </w:rPr>
        <w:t xml:space="preserve">ls with heavy impact zones). These changes contribute to reduced soil fertility, biodiversity loss, and long‐term ecological degradation. Conventional remediation strategies such as excavation, chemical </w:t>
      </w:r>
      <w:r>
        <w:rPr>
          <w:rFonts w:ascii="Times New Roman" w:hAnsi="Times New Roman"/>
          <w:sz w:val="24"/>
          <w:szCs w:val="24"/>
        </w:rPr>
        <w:lastRenderedPageBreak/>
        <w:t xml:space="preserve">oxidation, or thermal treatment while effective, are </w:t>
      </w:r>
      <w:r>
        <w:rPr>
          <w:rFonts w:ascii="Times New Roman" w:hAnsi="Times New Roman"/>
          <w:sz w:val="24"/>
          <w:szCs w:val="24"/>
        </w:rPr>
        <w:t xml:space="preserve">often costly, invasive, and difficult to sustain under resource-limited conditions. Bioremediation, which leverages indigenous or introduced microorganisms to degrade hydrocarbons, thus emerges as an environmentally friendly and cost-effective alternative </w:t>
      </w:r>
      <w:r>
        <w:rPr>
          <w:rFonts w:ascii="Times New Roman" w:hAnsi="Times New Roman"/>
          <w:sz w:val="24"/>
          <w:szCs w:val="24"/>
        </w:rPr>
        <w:t xml:space="preserve">(Olanipekun, 2017). In the Niger Delta, for example, enhanced natural attenuation (ENA) has been shown to reduce total petroleum hydrocarbons (TPH) and improve soil productivity indices over time (Etuk et al., 2020; </w:t>
      </w:r>
      <w:proofErr w:type="spellStart"/>
      <w:r>
        <w:rPr>
          <w:rFonts w:ascii="Times New Roman" w:hAnsi="Times New Roman"/>
          <w:sz w:val="24"/>
          <w:szCs w:val="24"/>
        </w:rPr>
        <w:t>Etuk</w:t>
      </w:r>
      <w:proofErr w:type="spellEnd"/>
      <w:r>
        <w:rPr>
          <w:rFonts w:ascii="Times New Roman" w:hAnsi="Times New Roman"/>
          <w:sz w:val="24"/>
          <w:szCs w:val="24"/>
        </w:rPr>
        <w:t xml:space="preserve">, </w:t>
      </w:r>
      <w:proofErr w:type="spellStart"/>
      <w:r>
        <w:rPr>
          <w:rFonts w:ascii="Times New Roman" w:hAnsi="Times New Roman"/>
          <w:sz w:val="24"/>
          <w:szCs w:val="24"/>
        </w:rPr>
        <w:t>Ogboi</w:t>
      </w:r>
      <w:proofErr w:type="spellEnd"/>
      <w:r>
        <w:rPr>
          <w:rFonts w:ascii="Times New Roman" w:hAnsi="Times New Roman"/>
          <w:sz w:val="24"/>
          <w:szCs w:val="24"/>
        </w:rPr>
        <w:t xml:space="preserve">, </w:t>
      </w:r>
      <w:proofErr w:type="spellStart"/>
      <w:r>
        <w:rPr>
          <w:rFonts w:ascii="Times New Roman" w:hAnsi="Times New Roman"/>
          <w:sz w:val="24"/>
          <w:szCs w:val="24"/>
        </w:rPr>
        <w:t>Nwadinigwe</w:t>
      </w:r>
      <w:proofErr w:type="spellEnd"/>
      <w:r>
        <w:rPr>
          <w:rFonts w:ascii="Times New Roman" w:hAnsi="Times New Roman"/>
          <w:sz w:val="24"/>
          <w:szCs w:val="24"/>
        </w:rPr>
        <w:t xml:space="preserve">, &amp; </w:t>
      </w:r>
      <w:proofErr w:type="spellStart"/>
      <w:r>
        <w:rPr>
          <w:rFonts w:ascii="Times New Roman" w:hAnsi="Times New Roman"/>
          <w:sz w:val="24"/>
          <w:szCs w:val="24"/>
        </w:rPr>
        <w:t>Elekwachi</w:t>
      </w:r>
      <w:proofErr w:type="spellEnd"/>
      <w:r>
        <w:rPr>
          <w:rFonts w:ascii="Times New Roman" w:hAnsi="Times New Roman"/>
          <w:sz w:val="24"/>
          <w:szCs w:val="24"/>
        </w:rPr>
        <w:t>, 20</w:t>
      </w:r>
      <w:r>
        <w:rPr>
          <w:rFonts w:ascii="Times New Roman" w:hAnsi="Times New Roman"/>
          <w:sz w:val="24"/>
          <w:szCs w:val="24"/>
        </w:rPr>
        <w:t>21). Recent advances in bioremediation highlight the potential role of soil amendments particularly biochar in enhancing microbial recovery and restoring soil fertility during remediation efforts. Biochar, a carbon-rich product of biomass pyrolysis, offers</w:t>
      </w:r>
      <w:r>
        <w:rPr>
          <w:rFonts w:ascii="Times New Roman" w:hAnsi="Times New Roman"/>
          <w:sz w:val="24"/>
          <w:szCs w:val="24"/>
        </w:rPr>
        <w:t xml:space="preserve"> a porous structure, high surface area, and capacity to adsorb hydrocarbons and other toxic compounds (</w:t>
      </w:r>
      <w:proofErr w:type="spellStart"/>
      <w:r>
        <w:rPr>
          <w:rFonts w:ascii="Times New Roman" w:hAnsi="Times New Roman"/>
          <w:sz w:val="24"/>
          <w:szCs w:val="24"/>
        </w:rPr>
        <w:t>Mukome</w:t>
      </w:r>
      <w:proofErr w:type="spellEnd"/>
      <w:r>
        <w:rPr>
          <w:rFonts w:ascii="Times New Roman" w:hAnsi="Times New Roman"/>
          <w:sz w:val="24"/>
          <w:szCs w:val="24"/>
        </w:rPr>
        <w:t xml:space="preserve"> et al., 2020). Beyond pollutant immobilization, biochar has been shown to improve water retention, cation exchange capacity, and nutrient availabi</w:t>
      </w:r>
      <w:r>
        <w:rPr>
          <w:rFonts w:ascii="Times New Roman" w:hAnsi="Times New Roman"/>
          <w:sz w:val="24"/>
          <w:szCs w:val="24"/>
        </w:rPr>
        <w:t>lity in soils, thus creating favorable conditions for microbial colonization and plant growth (Li et al., 2022)  which is one recent pot experiment demonstrated that applying biochar at 15 t/ha in crude oil-contaminated soil significantly improved TPH degr</w:t>
      </w:r>
      <w:r>
        <w:rPr>
          <w:rFonts w:ascii="Times New Roman" w:hAnsi="Times New Roman"/>
          <w:sz w:val="24"/>
          <w:szCs w:val="24"/>
        </w:rPr>
        <w:t>adation (~69 %) and promoted cowpea growth (height, stem girth) by six weeks (biochar × plant interaction highly significant). However, the efficacy of biochar-assisted bioremediation depends on multiple factors: feedstock type, pyrolysis conditions, appli</w:t>
      </w:r>
      <w:r>
        <w:rPr>
          <w:rFonts w:ascii="Times New Roman" w:hAnsi="Times New Roman"/>
          <w:sz w:val="24"/>
          <w:szCs w:val="24"/>
        </w:rPr>
        <w:t>cation rate, and soil characteristics. One study reported that a soil treated with ponderosa pine wood biochar showed substantially higher TPH biodegradation rates than one treated with walnut shell biochar, which in some cases inhibited degradation (under</w:t>
      </w:r>
      <w:r>
        <w:rPr>
          <w:rFonts w:ascii="Times New Roman" w:hAnsi="Times New Roman"/>
          <w:sz w:val="24"/>
          <w:szCs w:val="24"/>
        </w:rPr>
        <w:t xml:space="preserve"> fertilizer + bulking conditions). Another review found that combining biochar with other bioremediation techniques such as bioaugmentation or phytoremediation typically yields better hydrocarbon removal than biochar alone, though results vary depending on</w:t>
      </w:r>
      <w:r>
        <w:rPr>
          <w:rFonts w:ascii="Times New Roman" w:hAnsi="Times New Roman"/>
          <w:sz w:val="24"/>
          <w:szCs w:val="24"/>
        </w:rPr>
        <w:t xml:space="preserve"> </w:t>
      </w:r>
      <w:r>
        <w:rPr>
          <w:rFonts w:ascii="Times New Roman" w:hAnsi="Times New Roman"/>
          <w:sz w:val="24"/>
          <w:szCs w:val="24"/>
        </w:rPr>
        <w:lastRenderedPageBreak/>
        <w:t xml:space="preserve">experimental conditions (co-application often outperforms sole treatment). Despite promising findings, there is still limited data on comparative performance of </w:t>
      </w:r>
      <w:proofErr w:type="spellStart"/>
      <w:r>
        <w:rPr>
          <w:rFonts w:ascii="Times New Roman" w:hAnsi="Times New Roman"/>
          <w:sz w:val="24"/>
          <w:szCs w:val="24"/>
        </w:rPr>
        <w:t>biochars</w:t>
      </w:r>
      <w:proofErr w:type="spellEnd"/>
      <w:r>
        <w:rPr>
          <w:rFonts w:ascii="Times New Roman" w:hAnsi="Times New Roman"/>
          <w:sz w:val="24"/>
          <w:szCs w:val="24"/>
        </w:rPr>
        <w:t xml:space="preserve"> from diverse feedstocks in remediation of crude oil-impacted soils within the Niger D</w:t>
      </w:r>
      <w:r>
        <w:rPr>
          <w:rFonts w:ascii="Times New Roman" w:hAnsi="Times New Roman"/>
          <w:sz w:val="24"/>
          <w:szCs w:val="24"/>
        </w:rPr>
        <w:t xml:space="preserve">elta. Furthermore, studies specific to Niger Delta conditions soil type, indigenous microbial communities, climate are particularly scarce, though some work on ENA and </w:t>
      </w:r>
      <w:proofErr w:type="spellStart"/>
      <w:r>
        <w:rPr>
          <w:rFonts w:ascii="Times New Roman" w:hAnsi="Times New Roman"/>
          <w:sz w:val="24"/>
          <w:szCs w:val="24"/>
        </w:rPr>
        <w:t>biostimulation</w:t>
      </w:r>
      <w:proofErr w:type="spellEnd"/>
      <w:r>
        <w:rPr>
          <w:rFonts w:ascii="Times New Roman" w:hAnsi="Times New Roman"/>
          <w:sz w:val="24"/>
          <w:szCs w:val="24"/>
        </w:rPr>
        <w:t xml:space="preserve"> employing local resources offers context (Etuk et al., 2020; Olanipekun, </w:t>
      </w:r>
      <w:r>
        <w:rPr>
          <w:rFonts w:ascii="Times New Roman" w:hAnsi="Times New Roman"/>
          <w:sz w:val="24"/>
          <w:szCs w:val="24"/>
        </w:rPr>
        <w:t xml:space="preserve">2017). </w:t>
      </w:r>
      <w:r>
        <w:rPr>
          <w:rFonts w:ascii="Times New Roman" w:eastAsia="Times New Roman" w:hAnsi="Times New Roman"/>
          <w:sz w:val="24"/>
          <w:szCs w:val="24"/>
        </w:rPr>
        <w:t>This study was designed to evaluate the effect of animal bone biochar on the remediation and fertility restoration of crude oil–polluted soils. Specifically, it assessed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the efficiency of biochar-assisted degradation of total petroleum hydrocarb</w:t>
      </w:r>
      <w:r>
        <w:rPr>
          <w:rFonts w:ascii="Times New Roman" w:eastAsia="Times New Roman" w:hAnsi="Times New Roman"/>
          <w:sz w:val="24"/>
          <w:szCs w:val="24"/>
        </w:rPr>
        <w:t xml:space="preserve">ons and (ii) the fertility recovery of the remediated soils using plant bioassays. By combining hydrocarbon degradation and plant growth evaluations, the study highlights the potential of animal bone biochar as a dual-function amendment for promoting soil </w:t>
      </w:r>
      <w:r>
        <w:rPr>
          <w:rFonts w:ascii="Times New Roman" w:eastAsia="Times New Roman" w:hAnsi="Times New Roman"/>
          <w:sz w:val="24"/>
          <w:szCs w:val="24"/>
        </w:rPr>
        <w:t>detoxification and agricultural productivity in crude oil–impacted environments, particularly within the Niger Delta region.</w:t>
      </w:r>
    </w:p>
    <w:p w14:paraId="61EDF3EE" w14:textId="77777777" w:rsidR="004F25DA" w:rsidRDefault="004F25DA">
      <w:pPr>
        <w:spacing w:line="480" w:lineRule="auto"/>
        <w:jc w:val="both"/>
        <w:rPr>
          <w:rFonts w:ascii="Times New Roman" w:eastAsia="SimSun" w:hAnsi="Times New Roman"/>
          <w:b/>
          <w:bCs/>
          <w:sz w:val="24"/>
          <w:szCs w:val="24"/>
        </w:rPr>
      </w:pPr>
    </w:p>
    <w:p w14:paraId="00B3D51F" w14:textId="77777777" w:rsidR="004F25DA" w:rsidRDefault="000D7CBB">
      <w:pPr>
        <w:spacing w:line="480" w:lineRule="auto"/>
        <w:jc w:val="both"/>
        <w:rPr>
          <w:rFonts w:ascii="Times New Roman" w:hAnsi="Times New Roman"/>
          <w:b/>
          <w:bCs/>
          <w:sz w:val="24"/>
          <w:szCs w:val="24"/>
          <w:lang w:val="en-GB"/>
        </w:rPr>
      </w:pPr>
      <w:r>
        <w:rPr>
          <w:rFonts w:ascii="Times New Roman" w:hAnsi="Times New Roman"/>
          <w:b/>
          <w:bCs/>
          <w:sz w:val="24"/>
          <w:szCs w:val="24"/>
        </w:rPr>
        <w:t xml:space="preserve">2. </w:t>
      </w:r>
      <w:r>
        <w:rPr>
          <w:rFonts w:ascii="Times New Roman" w:hAnsi="Times New Roman"/>
          <w:b/>
          <w:bCs/>
          <w:sz w:val="24"/>
          <w:szCs w:val="24"/>
          <w:lang w:val="en-GB"/>
        </w:rPr>
        <w:t xml:space="preserve">METHODOLOGY </w:t>
      </w:r>
    </w:p>
    <w:p w14:paraId="0E03A9B5" w14:textId="77777777" w:rsidR="004F25DA" w:rsidRDefault="000D7CBB">
      <w:pPr>
        <w:spacing w:line="480" w:lineRule="auto"/>
        <w:jc w:val="both"/>
        <w:rPr>
          <w:rFonts w:ascii="Times New Roman" w:hAnsi="Times New Roman"/>
          <w:sz w:val="24"/>
          <w:szCs w:val="24"/>
        </w:rPr>
      </w:pPr>
      <w:r>
        <w:rPr>
          <w:rFonts w:ascii="Times New Roman" w:hAnsi="Times New Roman"/>
          <w:sz w:val="24"/>
          <w:szCs w:val="24"/>
        </w:rPr>
        <w:t xml:space="preserve">The study was carried out to assess </w:t>
      </w:r>
      <w:r>
        <w:rPr>
          <w:rFonts w:ascii="Times New Roman" w:hAnsi="Times New Roman"/>
          <w:sz w:val="24"/>
          <w:szCs w:val="24"/>
          <w:lang w:val="en-GB"/>
        </w:rPr>
        <w:t>hydrocarbon degradation</w:t>
      </w:r>
      <w:r>
        <w:rPr>
          <w:rFonts w:ascii="Times New Roman" w:hAnsi="Times New Roman"/>
          <w:sz w:val="24"/>
          <w:szCs w:val="24"/>
        </w:rPr>
        <w:t xml:space="preserve"> and plant growth response during </w:t>
      </w:r>
      <w:r>
        <w:rPr>
          <w:rFonts w:ascii="Times New Roman" w:hAnsi="Times New Roman"/>
          <w:sz w:val="24"/>
          <w:szCs w:val="24"/>
          <w:lang w:val="en-GB"/>
        </w:rPr>
        <w:t xml:space="preserve">animal bone </w:t>
      </w:r>
      <w:r>
        <w:rPr>
          <w:rFonts w:ascii="Times New Roman" w:hAnsi="Times New Roman"/>
          <w:sz w:val="24"/>
          <w:szCs w:val="24"/>
        </w:rPr>
        <w:t>biochar-a</w:t>
      </w:r>
      <w:r>
        <w:rPr>
          <w:rFonts w:ascii="Times New Roman" w:hAnsi="Times New Roman"/>
          <w:sz w:val="24"/>
          <w:szCs w:val="24"/>
        </w:rPr>
        <w:t>ssisted bioremediation of petroleum-impacted soils. The experimental soil</w:t>
      </w:r>
      <w:r>
        <w:rPr>
          <w:rFonts w:ascii="Times New Roman" w:hAnsi="Times New Roman"/>
          <w:bCs/>
          <w:sz w:val="24"/>
          <w:szCs w:val="24"/>
          <w:lang w:val="de-DE"/>
        </w:rPr>
        <w:t xml:space="preserve"> used in this investigation originated from Ozuoba, a peri-urban community in the Niger Delta region. This area is characterized by tropical rainforest vegetation, humid climate, and </w:t>
      </w:r>
      <w:r>
        <w:rPr>
          <w:rFonts w:ascii="Times New Roman" w:hAnsi="Times New Roman"/>
          <w:bCs/>
          <w:sz w:val="24"/>
          <w:szCs w:val="24"/>
          <w:lang w:val="de-DE"/>
        </w:rPr>
        <w:t>a bimodal rainfall pattern averaging 2,500–3,000 mm annually. Average ambient temperatures range from 25 °C to 32 °C, with relatively high humidity throughout the year (above 70%). The selected location is representative of typical agroecological zones wit</w:t>
      </w:r>
      <w:r>
        <w:rPr>
          <w:rFonts w:ascii="Times New Roman" w:hAnsi="Times New Roman"/>
          <w:bCs/>
          <w:sz w:val="24"/>
          <w:szCs w:val="24"/>
          <w:lang w:val="de-DE"/>
        </w:rPr>
        <w:t xml:space="preserve">hin the Niger Delta, known for its vulnerability to </w:t>
      </w:r>
      <w:r>
        <w:rPr>
          <w:rFonts w:ascii="Times New Roman" w:hAnsi="Times New Roman"/>
          <w:bCs/>
          <w:sz w:val="24"/>
          <w:szCs w:val="24"/>
          <w:lang w:val="de-DE"/>
        </w:rPr>
        <w:lastRenderedPageBreak/>
        <w:t xml:space="preserve">petroleum hydrocarbon contamination due to extensive oil exploration and spills. </w:t>
      </w:r>
      <w:r>
        <w:rPr>
          <w:rFonts w:ascii="Times New Roman" w:hAnsi="Times New Roman"/>
          <w:sz w:val="24"/>
          <w:szCs w:val="24"/>
        </w:rPr>
        <w:t xml:space="preserve"> A Randomized Complete Block Design (RCBD) was adopted to minimize variability and ensure reliable treatment comparisons. </w:t>
      </w:r>
    </w:p>
    <w:p w14:paraId="3D923502" w14:textId="7777777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b/>
          <w:bCs/>
          <w:sz w:val="24"/>
          <w:szCs w:val="24"/>
        </w:rPr>
        <w:t>Production of Animal Bone Biochar</w:t>
      </w:r>
    </w:p>
    <w:p w14:paraId="2D08722B" w14:textId="7777777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Animal bones sourced from local abattoirs in Port Harcourt were washed thoroughly, air-dried, and carbonized in a muffle furnace at 500 °C for two hours under limited oxygen supply. The resulting biochar was ground and sie</w:t>
      </w:r>
      <w:r>
        <w:rPr>
          <w:rFonts w:ascii="Times New Roman" w:eastAsia="Times New Roman" w:hAnsi="Times New Roman"/>
          <w:sz w:val="24"/>
          <w:szCs w:val="24"/>
        </w:rPr>
        <w:t>ved (2 mm) to ensure uniform particle size and stored in airtight containers until use.</w:t>
      </w:r>
    </w:p>
    <w:p w14:paraId="3810B516" w14:textId="7777777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b/>
          <w:bCs/>
          <w:sz w:val="24"/>
          <w:szCs w:val="24"/>
        </w:rPr>
        <w:t>Preparation of Crude Oil–Contaminated Soil</w:t>
      </w:r>
    </w:p>
    <w:p w14:paraId="73FFE22F" w14:textId="7777777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Clean soil was artificially polluted by mixing with crude oil obtained from an oil exploration facility in </w:t>
      </w:r>
      <w:proofErr w:type="spellStart"/>
      <w:r>
        <w:rPr>
          <w:rFonts w:ascii="Times New Roman" w:eastAsia="Times New Roman" w:hAnsi="Times New Roman"/>
          <w:sz w:val="24"/>
          <w:szCs w:val="24"/>
        </w:rPr>
        <w:t>Owaza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Abia</w:t>
      </w:r>
      <w:proofErr w:type="spellEnd"/>
      <w:r>
        <w:rPr>
          <w:rFonts w:ascii="Times New Roman" w:eastAsia="Times New Roman" w:hAnsi="Times New Roman"/>
          <w:sz w:val="24"/>
          <w:szCs w:val="24"/>
        </w:rPr>
        <w:t xml:space="preserve"> State,</w:t>
      </w:r>
      <w:r>
        <w:rPr>
          <w:rFonts w:ascii="Times New Roman" w:eastAsia="Times New Roman" w:hAnsi="Times New Roman"/>
          <w:sz w:val="24"/>
          <w:szCs w:val="24"/>
        </w:rPr>
        <w:t xml:space="preserve"> Nigeria. Contamination was achieved at a 5% (w/w) concentration to simulate a severe pollution scenario. </w:t>
      </w:r>
      <w:proofErr w:type="gramStart"/>
      <w:r>
        <w:rPr>
          <w:rFonts w:ascii="Times New Roman" w:eastAsia="Times New Roman" w:hAnsi="Times New Roman"/>
          <w:sz w:val="24"/>
          <w:szCs w:val="24"/>
        </w:rPr>
        <w:t>The  soil</w:t>
      </w:r>
      <w:proofErr w:type="gramEnd"/>
      <w:r>
        <w:rPr>
          <w:rFonts w:ascii="Times New Roman" w:eastAsia="Times New Roman" w:hAnsi="Times New Roman"/>
          <w:sz w:val="24"/>
          <w:szCs w:val="24"/>
        </w:rPr>
        <w:t xml:space="preserve"> was homogenized and amended with different rates of biochar. The treatments consisted of biochar-amended soils at rates of </w:t>
      </w:r>
      <w:r>
        <w:rPr>
          <w:rFonts w:ascii="Times New Roman" w:eastAsia="Times New Roman" w:hAnsi="Times New Roman"/>
          <w:sz w:val="24"/>
          <w:szCs w:val="24"/>
          <w:lang w:val="en-GB"/>
        </w:rPr>
        <w:t>20g,</w:t>
      </w:r>
      <w:r>
        <w:rPr>
          <w:rFonts w:ascii="Times New Roman" w:eastAsia="Times New Roman" w:hAnsi="Times New Roman"/>
          <w:sz w:val="24"/>
          <w:szCs w:val="24"/>
        </w:rPr>
        <w:t xml:space="preserve"> </w:t>
      </w:r>
      <w:r>
        <w:rPr>
          <w:rFonts w:ascii="Times New Roman" w:eastAsia="Times New Roman" w:hAnsi="Times New Roman"/>
          <w:sz w:val="24"/>
          <w:szCs w:val="24"/>
          <w:lang w:val="en-GB"/>
        </w:rPr>
        <w:t>60g</w:t>
      </w:r>
      <w:r>
        <w:rPr>
          <w:rFonts w:ascii="Times New Roman" w:eastAsia="Times New Roman" w:hAnsi="Times New Roman"/>
          <w:sz w:val="24"/>
          <w:szCs w:val="24"/>
        </w:rPr>
        <w:t xml:space="preserve">, and </w:t>
      </w:r>
      <w:r>
        <w:rPr>
          <w:rFonts w:ascii="Times New Roman" w:eastAsia="Times New Roman" w:hAnsi="Times New Roman"/>
          <w:sz w:val="24"/>
          <w:szCs w:val="24"/>
          <w:lang w:val="en-GB"/>
        </w:rPr>
        <w:t>100</w:t>
      </w:r>
      <w:proofErr w:type="gramStart"/>
      <w:r>
        <w:rPr>
          <w:rFonts w:ascii="Times New Roman" w:eastAsia="Times New Roman" w:hAnsi="Times New Roman"/>
          <w:sz w:val="24"/>
          <w:szCs w:val="24"/>
          <w:lang w:val="en-GB"/>
        </w:rPr>
        <w:t>g</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with t</w:t>
      </w:r>
      <w:r>
        <w:rPr>
          <w:rFonts w:ascii="Times New Roman" w:eastAsia="Times New Roman" w:hAnsi="Times New Roman"/>
          <w:sz w:val="24"/>
          <w:szCs w:val="24"/>
          <w:lang w:val="en-GB"/>
        </w:rPr>
        <w:t>wo</w:t>
      </w:r>
      <w:r>
        <w:rPr>
          <w:rFonts w:ascii="Times New Roman" w:eastAsia="Times New Roman" w:hAnsi="Times New Roman"/>
          <w:sz w:val="24"/>
          <w:szCs w:val="24"/>
        </w:rPr>
        <w:t xml:space="preserve"> replicates each. </w:t>
      </w:r>
      <w:r>
        <w:rPr>
          <w:rFonts w:ascii="Times New Roman" w:eastAsia="Times New Roman" w:hAnsi="Times New Roman"/>
          <w:sz w:val="24"/>
          <w:szCs w:val="24"/>
          <w:lang w:val="en-GB"/>
        </w:rPr>
        <w:t>T</w:t>
      </w:r>
      <w:r>
        <w:rPr>
          <w:rFonts w:ascii="Times New Roman" w:eastAsia="Times New Roman" w:hAnsi="Times New Roman"/>
          <w:sz w:val="24"/>
          <w:szCs w:val="24"/>
        </w:rPr>
        <w:t>he mixture was left for seven days to allow weathering and full integration of the crude oil with the soil particles, simulating field contamination conditions.</w:t>
      </w:r>
    </w:p>
    <w:p w14:paraId="3A951312" w14:textId="7777777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b/>
          <w:bCs/>
          <w:sz w:val="24"/>
          <w:szCs w:val="24"/>
        </w:rPr>
        <w:t>Determination of Total Petroleum Hydrocarbon (TPH)</w:t>
      </w:r>
    </w:p>
    <w:p w14:paraId="040965E5" w14:textId="7777777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Soil samples </w:t>
      </w:r>
      <w:r>
        <w:rPr>
          <w:rFonts w:ascii="Times New Roman" w:eastAsia="Times New Roman" w:hAnsi="Times New Roman"/>
          <w:sz w:val="24"/>
          <w:szCs w:val="24"/>
        </w:rPr>
        <w:t xml:space="preserve">were collected on days 0 and 90 for TPH </w:t>
      </w:r>
      <w:proofErr w:type="gramStart"/>
      <w:r>
        <w:rPr>
          <w:rFonts w:ascii="Times New Roman" w:eastAsia="Times New Roman" w:hAnsi="Times New Roman"/>
          <w:sz w:val="24"/>
          <w:szCs w:val="24"/>
          <w:lang w:val="en-GB"/>
        </w:rPr>
        <w:t>analysis.</w:t>
      </w:r>
      <w:r>
        <w:rPr>
          <w:rFonts w:ascii="Times New Roman" w:eastAsia="Times New Roman" w:hAnsi="Times New Roman"/>
          <w:sz w:val="24"/>
          <w:szCs w:val="24"/>
        </w:rPr>
        <w:t>Soil</w:t>
      </w:r>
      <w:proofErr w:type="gramEnd"/>
      <w:r>
        <w:rPr>
          <w:rFonts w:ascii="Times New Roman" w:eastAsia="Times New Roman" w:hAnsi="Times New Roman"/>
          <w:sz w:val="24"/>
          <w:szCs w:val="24"/>
        </w:rPr>
        <w:t xml:space="preserve"> TPH was extracted with n-hexane and analyzed using gas chromatography–flame ionization detection (GC-FID), according to U.S. Environmental Protection Agency (USEPA, 2014) Method 8015.</w:t>
      </w:r>
    </w:p>
    <w:p w14:paraId="7796B930" w14:textId="7777777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b/>
          <w:bCs/>
          <w:sz w:val="24"/>
          <w:szCs w:val="24"/>
        </w:rPr>
        <w:t>Plant Growth Assay</w:t>
      </w:r>
    </w:p>
    <w:p w14:paraId="6C4B4CB6" w14:textId="77777777" w:rsidR="004F25DA" w:rsidRDefault="000D7CBB">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White beans (</w:t>
      </w:r>
      <w:r>
        <w:rPr>
          <w:rFonts w:ascii="Times New Roman" w:eastAsia="Times New Roman" w:hAnsi="Times New Roman"/>
          <w:i/>
          <w:iCs/>
          <w:sz w:val="24"/>
          <w:szCs w:val="24"/>
        </w:rPr>
        <w:t>Phaseolus vulgaris)</w:t>
      </w:r>
      <w:r>
        <w:rPr>
          <w:rFonts w:ascii="Times New Roman" w:eastAsia="Times New Roman" w:hAnsi="Times New Roman"/>
          <w:sz w:val="24"/>
          <w:szCs w:val="24"/>
        </w:rPr>
        <w:t xml:space="preserve"> were used as a test crop to assess soil fertility restoration potential following bioremediation. Two surface-sterilized seeds were sown per pot and watered regularly with distilled water for 30 days without fertilizer app</w:t>
      </w:r>
      <w:r>
        <w:rPr>
          <w:rFonts w:ascii="Times New Roman" w:eastAsia="Times New Roman" w:hAnsi="Times New Roman"/>
          <w:sz w:val="24"/>
          <w:szCs w:val="24"/>
        </w:rPr>
        <w:t>lication. Growth parameters, including germination percentage, shoot height, root length, and number of leaves, were measured to evaluate plant performance. Germination percentage was calculated as the number of seeds germinated divided by the total number</w:t>
      </w:r>
      <w:r>
        <w:rPr>
          <w:rFonts w:ascii="Times New Roman" w:eastAsia="Times New Roman" w:hAnsi="Times New Roman"/>
          <w:sz w:val="24"/>
          <w:szCs w:val="24"/>
        </w:rPr>
        <w:t xml:space="preserve"> of seeds sown, multiplied by 100, while shoot and root lengths were determined at harvest.</w:t>
      </w:r>
    </w:p>
    <w:p w14:paraId="1FCAE013" w14:textId="77777777" w:rsidR="004F25DA" w:rsidRDefault="004F25DA">
      <w:pPr>
        <w:spacing w:line="480" w:lineRule="auto"/>
        <w:jc w:val="both"/>
        <w:rPr>
          <w:rFonts w:ascii="Times New Roman" w:eastAsia="Times New Roman" w:hAnsi="Times New Roman"/>
          <w:sz w:val="24"/>
          <w:szCs w:val="24"/>
        </w:rPr>
      </w:pPr>
    </w:p>
    <w:p w14:paraId="4502F96A" w14:textId="77777777" w:rsidR="004F25DA" w:rsidRDefault="000D7CBB">
      <w:pPr>
        <w:spacing w:line="480" w:lineRule="auto"/>
        <w:jc w:val="both"/>
        <w:rPr>
          <w:rFonts w:ascii="Times New Roman" w:hAnsi="Times New Roman"/>
          <w:sz w:val="24"/>
          <w:szCs w:val="24"/>
        </w:rPr>
      </w:pPr>
      <w:r>
        <w:rPr>
          <w:rFonts w:ascii="Times New Roman" w:eastAsia="Times New Roman" w:hAnsi="Times New Roman"/>
          <w:sz w:val="24"/>
          <w:szCs w:val="24"/>
          <w:lang w:val="en-GB"/>
        </w:rPr>
        <w:t>Al</w:t>
      </w:r>
      <w:r>
        <w:rPr>
          <w:rFonts w:ascii="Times New Roman" w:eastAsia="Times New Roman" w:hAnsi="Times New Roman"/>
          <w:sz w:val="24"/>
          <w:szCs w:val="24"/>
        </w:rPr>
        <w:t xml:space="preserve">l data generated </w:t>
      </w:r>
      <w:proofErr w:type="spellStart"/>
      <w:r>
        <w:rPr>
          <w:rFonts w:ascii="Times New Roman" w:eastAsia="Times New Roman" w:hAnsi="Times New Roman"/>
          <w:sz w:val="24"/>
          <w:szCs w:val="24"/>
        </w:rPr>
        <w:t>fro</w:t>
      </w:r>
      <w:proofErr w:type="spellEnd"/>
      <w:r>
        <w:rPr>
          <w:rFonts w:ascii="Times New Roman" w:eastAsia="Times New Roman" w:hAnsi="Times New Roman"/>
          <w:sz w:val="24"/>
          <w:szCs w:val="24"/>
          <w:lang w:val="en-GB"/>
        </w:rPr>
        <w:t xml:space="preserve">m </w:t>
      </w:r>
      <w:r>
        <w:rPr>
          <w:rFonts w:ascii="Times New Roman" w:eastAsia="Times New Roman" w:hAnsi="Times New Roman"/>
          <w:sz w:val="24"/>
          <w:szCs w:val="24"/>
        </w:rPr>
        <w:t>hydrocarbon degradation</w:t>
      </w:r>
      <w:r>
        <w:rPr>
          <w:rFonts w:ascii="Times New Roman" w:eastAsia="Times New Roman" w:hAnsi="Times New Roman"/>
          <w:sz w:val="24"/>
          <w:szCs w:val="24"/>
          <w:lang w:val="en-GB"/>
        </w:rPr>
        <w:t xml:space="preserve"> </w:t>
      </w:r>
      <w:r>
        <w:rPr>
          <w:rFonts w:ascii="Times New Roman" w:eastAsia="Times New Roman" w:hAnsi="Times New Roman"/>
          <w:sz w:val="24"/>
          <w:szCs w:val="24"/>
        </w:rPr>
        <w:t>and plant assays were subjected to analysis of variance (ANOVA) to test for significant treatment effects. Signific</w:t>
      </w:r>
      <w:r>
        <w:rPr>
          <w:rFonts w:ascii="Times New Roman" w:eastAsia="Times New Roman" w:hAnsi="Times New Roman"/>
          <w:sz w:val="24"/>
          <w:szCs w:val="24"/>
        </w:rPr>
        <w:t>ant means were separated using Duncan’s Multiple Range Test (DMRT) at a 5% probability level. Statistical analyses were c</w:t>
      </w:r>
      <w:r>
        <w:rPr>
          <w:rFonts w:ascii="Times New Roman" w:hAnsi="Times New Roman"/>
          <w:sz w:val="24"/>
          <w:szCs w:val="24"/>
        </w:rPr>
        <w:t>onducted with SPSS version 25.</w:t>
      </w:r>
    </w:p>
    <w:p w14:paraId="62DEBB02" w14:textId="0D879F4B" w:rsidR="004F25DA" w:rsidRPr="00990EC0" w:rsidRDefault="000D7CBB">
      <w:pPr>
        <w:spacing w:line="480" w:lineRule="auto"/>
        <w:jc w:val="both"/>
        <w:rPr>
          <w:rFonts w:ascii="Times New Roman" w:hAnsi="Times New Roman"/>
          <w:b/>
          <w:bCs/>
          <w:sz w:val="24"/>
          <w:szCs w:val="24"/>
          <w:lang w:val="en-GB"/>
        </w:rPr>
      </w:pPr>
      <w:r>
        <w:rPr>
          <w:rFonts w:ascii="Times New Roman" w:hAnsi="Times New Roman"/>
          <w:b/>
          <w:bCs/>
          <w:sz w:val="24"/>
          <w:szCs w:val="24"/>
          <w:lang w:val="en-GB"/>
        </w:rPr>
        <w:t xml:space="preserve">3 </w:t>
      </w:r>
      <w:r>
        <w:rPr>
          <w:rFonts w:ascii="Times New Roman" w:hAnsi="Times New Roman"/>
          <w:b/>
          <w:bCs/>
          <w:sz w:val="24"/>
          <w:szCs w:val="24"/>
        </w:rPr>
        <w:t>R</w:t>
      </w:r>
      <w:r>
        <w:rPr>
          <w:rFonts w:ascii="Times New Roman" w:hAnsi="Times New Roman"/>
          <w:b/>
          <w:bCs/>
          <w:sz w:val="24"/>
          <w:szCs w:val="24"/>
          <w:lang w:val="en-GB"/>
        </w:rPr>
        <w:t>ESULTS AND DISCUSSION</w:t>
      </w:r>
    </w:p>
    <w:p w14:paraId="15B924C7" w14:textId="77777777" w:rsidR="004F25DA" w:rsidRDefault="000D7CBB">
      <w:pPr>
        <w:spacing w:line="480" w:lineRule="auto"/>
        <w:jc w:val="both"/>
        <w:rPr>
          <w:rFonts w:ascii="Times New Roman" w:eastAsia="Cambria" w:hAnsi="Times New Roman"/>
          <w:b/>
          <w:bCs/>
          <w:sz w:val="24"/>
          <w:szCs w:val="24"/>
          <w:shd w:val="clear" w:color="auto" w:fill="FFFFFF"/>
          <w:lang w:val="en-GB"/>
        </w:rPr>
      </w:pPr>
      <w:r>
        <w:rPr>
          <w:rFonts w:ascii="Times New Roman" w:eastAsia="Cambria" w:hAnsi="Times New Roman"/>
          <w:b/>
          <w:bCs/>
          <w:sz w:val="24"/>
          <w:szCs w:val="24"/>
          <w:shd w:val="clear" w:color="auto" w:fill="FFFFFF"/>
          <w:lang w:val="en-GB"/>
        </w:rPr>
        <w:t>Impact of Biochar amendments on TPH during Bioremediation of Crude Oil Contamin</w:t>
      </w:r>
      <w:r>
        <w:rPr>
          <w:rFonts w:ascii="Times New Roman" w:eastAsia="Cambria" w:hAnsi="Times New Roman"/>
          <w:b/>
          <w:bCs/>
          <w:sz w:val="24"/>
          <w:szCs w:val="24"/>
          <w:shd w:val="clear" w:color="auto" w:fill="FFFFFF"/>
          <w:lang w:val="en-GB"/>
        </w:rPr>
        <w:t xml:space="preserve">ated Soil </w:t>
      </w:r>
    </w:p>
    <w:p w14:paraId="7AC4B317" w14:textId="77777777" w:rsidR="004F25DA" w:rsidRDefault="000D7CBB">
      <w:pPr>
        <w:spacing w:line="480" w:lineRule="auto"/>
        <w:jc w:val="both"/>
        <w:rPr>
          <w:rFonts w:ascii="Times New Roman" w:hAnsi="Times New Roman"/>
          <w:sz w:val="24"/>
          <w:szCs w:val="24"/>
        </w:rPr>
      </w:pPr>
      <w:r>
        <w:rPr>
          <w:rFonts w:ascii="Times New Roman" w:hAnsi="Times New Roman"/>
          <w:noProof/>
          <w:sz w:val="24"/>
          <w:szCs w:val="24"/>
        </w:rPr>
        <w:lastRenderedPageBreak/>
        <w:drawing>
          <wp:inline distT="0" distB="0" distL="114300" distR="114300" wp14:anchorId="31B849FF" wp14:editId="05FB8273">
            <wp:extent cx="4152900" cy="2914650"/>
            <wp:effectExtent l="4445" t="4445" r="14605" b="14605"/>
            <wp:docPr id="1"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178086" w14:textId="77777777" w:rsidR="004F25DA" w:rsidRDefault="000D7CBB">
      <w:pPr>
        <w:spacing w:line="480" w:lineRule="auto"/>
        <w:jc w:val="both"/>
        <w:rPr>
          <w:rFonts w:ascii="Times New Roman" w:eastAsia="Cambria" w:hAnsi="Times New Roman"/>
          <w:sz w:val="24"/>
          <w:szCs w:val="24"/>
          <w:shd w:val="clear" w:color="auto" w:fill="FFFFFF"/>
          <w:lang w:val="en-GB"/>
        </w:rPr>
      </w:pPr>
      <w:r>
        <w:rPr>
          <w:rFonts w:ascii="Times New Roman" w:eastAsia="SimSun" w:hAnsi="Times New Roman"/>
          <w:b/>
          <w:bCs/>
          <w:sz w:val="24"/>
          <w:szCs w:val="24"/>
          <w:lang w:val="en-GB"/>
        </w:rPr>
        <w:t xml:space="preserve">Figure </w:t>
      </w:r>
      <w:proofErr w:type="gramStart"/>
      <w:r>
        <w:rPr>
          <w:rFonts w:ascii="Times New Roman" w:eastAsia="SimSun" w:hAnsi="Times New Roman"/>
          <w:b/>
          <w:bCs/>
          <w:sz w:val="24"/>
          <w:szCs w:val="24"/>
          <w:lang w:val="en-GB"/>
        </w:rPr>
        <w:t>1</w:t>
      </w:r>
      <w:r>
        <w:rPr>
          <w:rFonts w:ascii="Times New Roman" w:eastAsia="SimSun" w:hAnsi="Times New Roman"/>
          <w:sz w:val="24"/>
          <w:szCs w:val="24"/>
          <w:lang w:val="en-GB"/>
        </w:rPr>
        <w:t>:</w:t>
      </w:r>
      <w:r>
        <w:rPr>
          <w:rFonts w:ascii="Times New Roman" w:eastAsia="Cambria" w:hAnsi="Times New Roman"/>
          <w:sz w:val="24"/>
          <w:szCs w:val="24"/>
          <w:shd w:val="clear" w:color="auto" w:fill="FFFFFF"/>
          <w:lang w:val="en-GB"/>
        </w:rPr>
        <w:t>Changes</w:t>
      </w:r>
      <w:proofErr w:type="gramEnd"/>
      <w:r>
        <w:rPr>
          <w:rFonts w:ascii="Times New Roman" w:eastAsia="Cambria" w:hAnsi="Times New Roman"/>
          <w:sz w:val="24"/>
          <w:szCs w:val="24"/>
          <w:shd w:val="clear" w:color="auto" w:fill="FFFFFF"/>
          <w:lang w:val="en-GB"/>
        </w:rPr>
        <w:t xml:space="preserve"> in soil Total Petroleum Hydrocarbon (TPH) under different Biochar  treatment over a period of 90 days</w:t>
      </w:r>
    </w:p>
    <w:p w14:paraId="0BAA8899" w14:textId="77777777" w:rsidR="004F25DA" w:rsidRDefault="000D7CBB">
      <w:pPr>
        <w:pStyle w:val="NormalWeb"/>
        <w:spacing w:line="480" w:lineRule="auto"/>
        <w:jc w:val="both"/>
      </w:pPr>
      <w:r>
        <w:t xml:space="preserve">The trend of Total Petroleum Hydrocarbon (TPH) degradation over the 90-day bioremediation period is illustrated in Figure </w:t>
      </w:r>
      <w:r>
        <w:rPr>
          <w:lang w:val="en-GB"/>
        </w:rPr>
        <w:t>1</w:t>
      </w:r>
      <w:r>
        <w:t>,</w:t>
      </w:r>
      <w:r>
        <w:t xml:space="preserve"> presenting clear evidence of both the persistence of hydrocarbons in untreated soils and the remediation potential of biochar amendments. At Day 0, the uncontaminated soil (UCS) recorded a baseline TPH concentration of 10.86 ± 0.01 mg/kg, indicating the a</w:t>
      </w:r>
      <w:r>
        <w:t>bsence of petroleum pollutants and serving as a reference point for evaluating remediation performance across treatments. In contrast, the crude oil-contaminated soil without any amendment (CS) started with a high TPH concentration of 5327.01 ± 0.01 mg/kg,</w:t>
      </w:r>
      <w:r>
        <w:t xml:space="preserve"> reflecting the severe hydrocarbon load introduced during contamination.</w:t>
      </w:r>
    </w:p>
    <w:p w14:paraId="284708FC" w14:textId="77777777" w:rsidR="004F25DA" w:rsidRDefault="000D7CBB">
      <w:pPr>
        <w:pStyle w:val="NormalWeb"/>
        <w:spacing w:line="480" w:lineRule="auto"/>
        <w:jc w:val="both"/>
      </w:pPr>
      <w:r>
        <w:t>After 90 days, only a marginal decline in TPH was observed in the CS treatment, with levels reducing to 2347.21 mg/kg. This relatively modest reduction</w:t>
      </w:r>
      <w:r>
        <w:rPr>
          <w:lang w:val="en-GB"/>
        </w:rPr>
        <w:t xml:space="preserve"> (</w:t>
      </w:r>
      <w:r>
        <w:t>less than 56%</w:t>
      </w:r>
      <w:r>
        <w:rPr>
          <w:lang w:val="en-GB"/>
        </w:rPr>
        <w:t xml:space="preserve">) </w:t>
      </w:r>
      <w:r>
        <w:t>suggests limite</w:t>
      </w:r>
      <w:r>
        <w:t xml:space="preserve">d natural attenuation under the prevailing soil conditions. The reduction may be attributed to slow abiotic weathering, volatilization of light fractions, or </w:t>
      </w:r>
      <w:r>
        <w:lastRenderedPageBreak/>
        <w:t>minimal microbial activity due to the toxicity of hydrocarbons and poor soil aeration. These findi</w:t>
      </w:r>
      <w:r>
        <w:t>ngs affirm the inefficacy of natural processes alone in restoring soil quality within a short-to-medium time frame, thereby emphasizing the need for active bioremediation interventions.</w:t>
      </w:r>
    </w:p>
    <w:p w14:paraId="48307640" w14:textId="77777777" w:rsidR="004F25DA" w:rsidRDefault="000D7CBB">
      <w:pPr>
        <w:pStyle w:val="NormalWeb"/>
        <w:spacing w:line="480" w:lineRule="auto"/>
        <w:jc w:val="both"/>
      </w:pPr>
      <w:r>
        <w:t>The application of biochar significantly enhanced TPH degradation in a</w:t>
      </w:r>
      <w:r>
        <w:t xml:space="preserve"> dose-dependent manner, confirming its role as a catalyst for microbial and physicochemical remediation processes. In the CS + 20 g biochar treatment, TPH levels declined from 5198.33 mg/kg at Day 0 to 2070.38 mg/kg at Day 90. Although this treatment showe</w:t>
      </w:r>
      <w:r>
        <w:t>d improvement over the unamended CS, the degradation efficiency remained moderate, likely due to insufficient biochar to offset the toxic effects of residual hydrocarbons or to stimulate substantial microbial activity.</w:t>
      </w:r>
    </w:p>
    <w:p w14:paraId="063552C4" w14:textId="77777777" w:rsidR="004F25DA" w:rsidRDefault="000D7CBB">
      <w:pPr>
        <w:pStyle w:val="NormalWeb"/>
        <w:spacing w:line="480" w:lineRule="auto"/>
        <w:jc w:val="both"/>
      </w:pPr>
      <w:r>
        <w:t>The CS + 60 g treatment yielded a mor</w:t>
      </w:r>
      <w:r>
        <w:t>e pronounced effect, with TPH levels dropping from 5060.13 mg/kg to 1677.11 mg/kg over the 90-day period. This indicates improved microbial activation and possibly better hydrocarbon adsorption, aeration, and nutrient availability as a result of the higher</w:t>
      </w:r>
      <w:r>
        <w:t xml:space="preserve"> biochar concentration. Notably, the most substantial TPH reduction was achieved in the CS + 100 g treatment, where concentrations decreased from 5062.46 mg/kg to 1263.36 mg/kg, representing a total degradation of approximately 75%. This superior performan</w:t>
      </w:r>
      <w:r>
        <w:t>ce underscores the importance of dosage in optimizing the efficacy of biochar-assisted remediation.</w:t>
      </w:r>
    </w:p>
    <w:p w14:paraId="46B4D0B1" w14:textId="77777777" w:rsidR="004F25DA" w:rsidRDefault="000D7CBB">
      <w:pPr>
        <w:pStyle w:val="NormalWeb"/>
        <w:spacing w:line="480" w:lineRule="auto"/>
        <w:jc w:val="both"/>
      </w:pPr>
      <w:r>
        <w:t>Several mechanisms can explain the observed enhancements in TPH degradation with increasing biochar application. Firstly, biochar provides a large surface a</w:t>
      </w:r>
      <w:r>
        <w:t>rea and porous structure, which create microhabitats favorable to hydrocarbon-degrading microbial communities. These structures also aid in sorption of hydrophobic contaminants, effectively reducing their bioavailability and toxicity in the short term, whi</w:t>
      </w:r>
      <w:r>
        <w:t xml:space="preserve">le facilitating </w:t>
      </w:r>
      <w:r>
        <w:lastRenderedPageBreak/>
        <w:t>slower, sustained microbial breakdown. Secondly, biochar improves soil aeration, water retention, and nutrient dynamics</w:t>
      </w:r>
      <w:r>
        <w:rPr>
          <w:lang w:val="en-GB"/>
        </w:rPr>
        <w:t xml:space="preserve"> </w:t>
      </w:r>
      <w:r>
        <w:t>especially for key elements like nitrogen and phosphorus</w:t>
      </w:r>
      <w:r>
        <w:rPr>
          <w:lang w:val="en-GB"/>
        </w:rPr>
        <w:t xml:space="preserve"> </w:t>
      </w:r>
      <w:r>
        <w:t>which are often deficient in polluted soils. The cumulative eff</w:t>
      </w:r>
      <w:r>
        <w:t>ect of these properties is the reactivation of microbial processes that are otherwise suppressed in crude oil-polluted environments.</w:t>
      </w:r>
    </w:p>
    <w:p w14:paraId="21B6E594" w14:textId="77777777" w:rsidR="004F25DA" w:rsidRDefault="000D7CBB">
      <w:pPr>
        <w:pStyle w:val="NormalWeb"/>
        <w:spacing w:line="480" w:lineRule="auto"/>
        <w:jc w:val="both"/>
      </w:pPr>
      <w:r>
        <w:t>These findings are consistent with a growing body of literature supporting biochar’s effectiveness in enhancing bioremediat</w:t>
      </w:r>
      <w:r>
        <w:t xml:space="preserve">ion. </w:t>
      </w:r>
      <w:proofErr w:type="spellStart"/>
      <w:r>
        <w:t>Eneje</w:t>
      </w:r>
      <w:proofErr w:type="spellEnd"/>
      <w:r>
        <w:t xml:space="preserve"> et al. (2021) reported that sawdust-derived biochar significantly reduced hydrocarbon toxicity and stimulated microbial degradation of oil pollutants in </w:t>
      </w:r>
      <w:proofErr w:type="spellStart"/>
      <w:r>
        <w:t>Umuebulu</w:t>
      </w:r>
      <w:proofErr w:type="spellEnd"/>
      <w:r>
        <w:t xml:space="preserve"> soils of Rivers State, Nigeria. Similarly, López-Martínez et al. (2020) demonstrate</w:t>
      </w:r>
      <w:r>
        <w:t>d that biochar derived from agave fiber led to over 70% TPH reduction in oil-contaminated soils within 90 days, attributing the improvement to enhanced soil microbial activity and reduced hydrocarbon mobility. Setiawan et al. (2022) found that palm shell b</w:t>
      </w:r>
      <w:r>
        <w:t>iochar accelerated TPH breakdown in lateritic soils in Indonesia, achieving substantial remediation within 12 weeks.</w:t>
      </w:r>
    </w:p>
    <w:p w14:paraId="009218FD" w14:textId="77777777" w:rsidR="004F25DA" w:rsidRDefault="000D7CBB">
      <w:pPr>
        <w:pStyle w:val="NormalWeb"/>
        <w:spacing w:line="480" w:lineRule="auto"/>
        <w:jc w:val="both"/>
      </w:pPr>
      <w:r>
        <w:t xml:space="preserve">Additional support comes from recent studies in the Niger Delta region. </w:t>
      </w:r>
      <w:proofErr w:type="spellStart"/>
      <w:r>
        <w:t>Omeje</w:t>
      </w:r>
      <w:proofErr w:type="spellEnd"/>
      <w:r>
        <w:t xml:space="preserve"> et al. (2022) found that biochar application improved both TP</w:t>
      </w:r>
      <w:r>
        <w:t>H degradation and soil fertility in oil-contaminated farmlands. Likewise, Anyanwu et al. (2022) observed that biochar derived from agricultural residues significantly enhanced TPH breakdown in contaminated soils, contributing to better microbial activity a</w:t>
      </w:r>
      <w:r>
        <w:t xml:space="preserve">nd structural recovery. Nwankwo and Ayuba (2023) further emphasized that lignocellulosic </w:t>
      </w:r>
      <w:proofErr w:type="spellStart"/>
      <w:r>
        <w:t>biochars</w:t>
      </w:r>
      <w:proofErr w:type="spellEnd"/>
      <w:r>
        <w:t xml:space="preserve"> offer long-term stabilization of hydrocarbons and improvement in soil physicochemical properties compared to conventional organic amendments.</w:t>
      </w:r>
    </w:p>
    <w:p w14:paraId="7FD55A8D" w14:textId="77777777" w:rsidR="004F25DA" w:rsidRDefault="000D7CBB">
      <w:pPr>
        <w:pStyle w:val="NormalWeb"/>
        <w:spacing w:line="480" w:lineRule="auto"/>
        <w:jc w:val="both"/>
      </w:pPr>
      <w:r>
        <w:t>International st</w:t>
      </w:r>
      <w:r>
        <w:t xml:space="preserve">udies corroborate these observations. In China, Zhang et al. (2022) reported that biochar application not only improved TPH degradation but also </w:t>
      </w:r>
      <w:r>
        <w:lastRenderedPageBreak/>
        <w:t>significantly boosted microbial biomass and enzymatic activities in polluted soils. In Brazil, Silva et al. (20</w:t>
      </w:r>
      <w:r>
        <w:t>22) showed that sugarcane bagasse biochar reduced petroleum hydrocarbon toxicity and improved nitrogen retention, leading to enhanced plant recovery and soil quality.</w:t>
      </w:r>
    </w:p>
    <w:p w14:paraId="36FFDFB7" w14:textId="77777777" w:rsidR="004F25DA" w:rsidRDefault="000D7CBB">
      <w:pPr>
        <w:pStyle w:val="NormalWeb"/>
        <w:spacing w:line="480" w:lineRule="auto"/>
        <w:jc w:val="both"/>
      </w:pPr>
      <w:r>
        <w:t>The consistent findings across diverse geographical and environmental contexts affirm the</w:t>
      </w:r>
      <w:r>
        <w:t xml:space="preserve"> robustness and adaptability of biochar as a bioremediation tool. However, it is important to highlight that the efficiency of TPH degradation is closely tied to the type and dosage of biochar used, as well as site-specific conditions such as soil texture,</w:t>
      </w:r>
      <w:r>
        <w:t xml:space="preserve"> contaminant type, microbial diversity, and climatic factors. The biochar employed in this study</w:t>
      </w:r>
      <w:r>
        <w:rPr>
          <w:lang w:val="en-GB"/>
        </w:rPr>
        <w:t xml:space="preserve"> </w:t>
      </w:r>
      <w:r>
        <w:t>derived from animal bones</w:t>
      </w:r>
      <w:r>
        <w:rPr>
          <w:lang w:val="en-GB"/>
        </w:rPr>
        <w:t xml:space="preserve"> </w:t>
      </w:r>
      <w:r>
        <w:t>demonstrated high effectiveness, likely due to its mineral-rich composition and favorable surface properties.</w:t>
      </w:r>
    </w:p>
    <w:p w14:paraId="113644AD" w14:textId="77777777" w:rsidR="004F25DA" w:rsidRDefault="000D7CBB">
      <w:pPr>
        <w:pStyle w:val="NormalWeb"/>
        <w:spacing w:line="480" w:lineRule="auto"/>
        <w:jc w:val="both"/>
        <w:rPr>
          <w:lang w:bidi="ar"/>
        </w:rPr>
      </w:pPr>
      <w:r>
        <w:rPr>
          <w:b/>
          <w:bCs/>
          <w:lang w:bidi="ar"/>
        </w:rPr>
        <w:t>Fertility Restoration P</w:t>
      </w:r>
      <w:r>
        <w:rPr>
          <w:b/>
          <w:bCs/>
          <w:lang w:bidi="ar"/>
        </w:rPr>
        <w:t>otentials of Bioremediated Soil Using Plant Assays</w:t>
      </w:r>
      <w:r>
        <w:rPr>
          <w:lang w:bidi="ar"/>
        </w:rPr>
        <w:br/>
      </w:r>
    </w:p>
    <w:p w14:paraId="69F5687A" w14:textId="77777777" w:rsidR="004F25DA" w:rsidRDefault="000D7CBB">
      <w:pPr>
        <w:spacing w:line="480" w:lineRule="auto"/>
        <w:jc w:val="both"/>
        <w:rPr>
          <w:rFonts w:ascii="Times New Roman" w:eastAsia="SimSun" w:hAnsi="Times New Roman"/>
          <w:sz w:val="24"/>
          <w:szCs w:val="24"/>
          <w:lang w:val="en-GB"/>
        </w:rPr>
      </w:pPr>
      <w:r>
        <w:rPr>
          <w:rFonts w:ascii="Times New Roman" w:hAnsi="Times New Roman"/>
          <w:sz w:val="24"/>
          <w:szCs w:val="24"/>
          <w:lang w:val="en-GB"/>
        </w:rPr>
        <w:t>a)</w:t>
      </w:r>
      <w:r>
        <w:rPr>
          <w:rFonts w:ascii="Times New Roman" w:hAnsi="Times New Roman"/>
          <w:noProof/>
          <w:sz w:val="24"/>
          <w:szCs w:val="24"/>
        </w:rPr>
        <w:drawing>
          <wp:inline distT="0" distB="0" distL="114300" distR="114300" wp14:anchorId="1CC81BD8" wp14:editId="43E0EB6F">
            <wp:extent cx="3623310" cy="2781935"/>
            <wp:effectExtent l="4445" t="4445" r="6985"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sz w:val="24"/>
          <w:szCs w:val="24"/>
          <w:lang w:val="en-GB"/>
        </w:rPr>
        <w:t xml:space="preserve">   </w:t>
      </w:r>
    </w:p>
    <w:p w14:paraId="06B6030A" w14:textId="77777777" w:rsidR="004F25DA" w:rsidRDefault="000D7CBB">
      <w:pPr>
        <w:spacing w:line="480" w:lineRule="auto"/>
        <w:jc w:val="both"/>
        <w:rPr>
          <w:rFonts w:ascii="Times New Roman" w:hAnsi="Times New Roman"/>
          <w:sz w:val="24"/>
          <w:szCs w:val="24"/>
        </w:rPr>
      </w:pPr>
      <w:r>
        <w:rPr>
          <w:rFonts w:ascii="Times New Roman" w:hAnsi="Times New Roman"/>
          <w:sz w:val="24"/>
          <w:szCs w:val="24"/>
          <w:lang w:val="en-GB"/>
        </w:rPr>
        <w:lastRenderedPageBreak/>
        <w:t>b)</w:t>
      </w:r>
      <w:r>
        <w:rPr>
          <w:rFonts w:ascii="Times New Roman" w:hAnsi="Times New Roman"/>
          <w:noProof/>
          <w:sz w:val="24"/>
          <w:szCs w:val="24"/>
        </w:rPr>
        <w:drawing>
          <wp:inline distT="0" distB="0" distL="114300" distR="114300" wp14:anchorId="26B4E37B" wp14:editId="0487BD94">
            <wp:extent cx="3962400" cy="2647950"/>
            <wp:effectExtent l="4445" t="4445" r="14605" b="1460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A3B895" w14:textId="77777777" w:rsidR="005C0550" w:rsidRDefault="005C0550" w:rsidP="005C0550">
      <w:pPr>
        <w:spacing w:line="480" w:lineRule="auto"/>
        <w:jc w:val="both"/>
        <w:rPr>
          <w:rFonts w:ascii="Times New Roman" w:hAnsi="Times New Roman"/>
          <w:sz w:val="24"/>
          <w:szCs w:val="24"/>
        </w:rPr>
      </w:pPr>
      <w:r>
        <w:rPr>
          <w:rFonts w:ascii="Times New Roman" w:hAnsi="Times New Roman"/>
          <w:sz w:val="24"/>
          <w:szCs w:val="24"/>
          <w:lang w:val="en-GB"/>
        </w:rPr>
        <w:t>c)</w:t>
      </w:r>
      <w:r>
        <w:rPr>
          <w:rFonts w:ascii="Times New Roman" w:hAnsi="Times New Roman"/>
          <w:noProof/>
          <w:sz w:val="24"/>
          <w:szCs w:val="24"/>
        </w:rPr>
        <w:drawing>
          <wp:inline distT="0" distB="0" distL="114300" distR="114300" wp14:anchorId="3ACEF203" wp14:editId="30273415">
            <wp:extent cx="4171950" cy="2114550"/>
            <wp:effectExtent l="4445" t="4445"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ECF064" w14:textId="77777777" w:rsidR="005C0550" w:rsidRDefault="005C0550" w:rsidP="005C0550">
      <w:pPr>
        <w:spacing w:line="480" w:lineRule="auto"/>
        <w:jc w:val="both"/>
        <w:rPr>
          <w:rFonts w:ascii="Times New Roman" w:hAnsi="Times New Roman"/>
          <w:sz w:val="24"/>
          <w:szCs w:val="24"/>
        </w:rPr>
      </w:pPr>
      <w:r>
        <w:rPr>
          <w:rFonts w:ascii="Times New Roman" w:hAnsi="Times New Roman"/>
          <w:sz w:val="24"/>
          <w:szCs w:val="24"/>
          <w:lang w:val="en-GB"/>
        </w:rPr>
        <w:t>d)</w:t>
      </w:r>
      <w:r>
        <w:rPr>
          <w:rFonts w:ascii="Times New Roman" w:hAnsi="Times New Roman"/>
          <w:noProof/>
          <w:sz w:val="24"/>
          <w:szCs w:val="24"/>
        </w:rPr>
        <w:drawing>
          <wp:inline distT="0" distB="0" distL="114300" distR="114300" wp14:anchorId="6B05DF0B" wp14:editId="5B4AABE5">
            <wp:extent cx="4495800" cy="2362200"/>
            <wp:effectExtent l="4445" t="4445" r="14605" b="1460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9F4DA2" w14:textId="0857CB3D" w:rsidR="004F25DA" w:rsidRDefault="000D7CBB">
      <w:pPr>
        <w:spacing w:line="480" w:lineRule="auto"/>
        <w:jc w:val="both"/>
        <w:rPr>
          <w:rFonts w:ascii="Times New Roman" w:eastAsia="SimSun" w:hAnsi="Times New Roman"/>
          <w:sz w:val="24"/>
          <w:szCs w:val="24"/>
        </w:rPr>
      </w:pPr>
      <w:r>
        <w:rPr>
          <w:rStyle w:val="Strong"/>
          <w:rFonts w:ascii="Times New Roman" w:eastAsia="SimSun" w:hAnsi="Times New Roman"/>
          <w:sz w:val="24"/>
          <w:szCs w:val="24"/>
        </w:rPr>
        <w:lastRenderedPageBreak/>
        <w:t xml:space="preserve">Figure </w:t>
      </w:r>
      <w:r>
        <w:rPr>
          <w:rStyle w:val="Strong"/>
          <w:rFonts w:ascii="Times New Roman" w:eastAsia="SimSun" w:hAnsi="Times New Roman"/>
          <w:sz w:val="24"/>
          <w:szCs w:val="24"/>
          <w:lang w:val="en-GB"/>
        </w:rPr>
        <w:t>2</w:t>
      </w:r>
      <w:proofErr w:type="gramStart"/>
      <w:r>
        <w:rPr>
          <w:rStyle w:val="Strong"/>
          <w:rFonts w:ascii="Times New Roman" w:eastAsia="SimSun" w:hAnsi="Times New Roman"/>
          <w:sz w:val="24"/>
          <w:szCs w:val="24"/>
          <w:lang w:val="en-GB"/>
        </w:rPr>
        <w:t>:</w:t>
      </w:r>
      <w:r>
        <w:rPr>
          <w:rStyle w:val="Strong"/>
          <w:rFonts w:ascii="Times New Roman" w:eastAsia="SimSun" w:hAnsi="Times New Roman"/>
          <w:sz w:val="24"/>
          <w:szCs w:val="24"/>
        </w:rPr>
        <w:t>.</w:t>
      </w:r>
      <w:r>
        <w:rPr>
          <w:rFonts w:ascii="Times New Roman" w:eastAsia="SimSun" w:hAnsi="Times New Roman"/>
          <w:sz w:val="24"/>
          <w:szCs w:val="24"/>
        </w:rPr>
        <w:t>Changes</w:t>
      </w:r>
      <w:proofErr w:type="gramEnd"/>
      <w:r>
        <w:rPr>
          <w:rFonts w:ascii="Times New Roman" w:eastAsia="SimSun" w:hAnsi="Times New Roman"/>
          <w:sz w:val="24"/>
          <w:szCs w:val="24"/>
        </w:rPr>
        <w:t xml:space="preserve"> in the growth parameters of </w:t>
      </w:r>
      <w:r>
        <w:rPr>
          <w:rStyle w:val="Emphasis"/>
          <w:rFonts w:ascii="Times New Roman" w:eastAsia="SimSun" w:hAnsi="Times New Roman"/>
          <w:sz w:val="24"/>
          <w:szCs w:val="24"/>
        </w:rPr>
        <w:t>Phaseolus vulgaris</w:t>
      </w:r>
      <w:r>
        <w:rPr>
          <w:rFonts w:ascii="Times New Roman" w:eastAsia="SimSun" w:hAnsi="Times New Roman"/>
          <w:sz w:val="24"/>
          <w:szCs w:val="24"/>
        </w:rPr>
        <w:t xml:space="preserve"> grown in crude oil–polluted soils amended with animal bone biochar</w:t>
      </w:r>
      <w:r>
        <w:rPr>
          <w:rFonts w:ascii="Times New Roman" w:eastAsia="SimSun" w:hAnsi="Times New Roman"/>
          <w:sz w:val="24"/>
          <w:szCs w:val="24"/>
          <w:lang w:val="en-GB"/>
        </w:rPr>
        <w:t>. a).</w:t>
      </w:r>
      <w:r>
        <w:rPr>
          <w:rFonts w:ascii="Times New Roman" w:eastAsia="SimSun" w:hAnsi="Times New Roman"/>
          <w:sz w:val="24"/>
          <w:szCs w:val="24"/>
        </w:rPr>
        <w:t xml:space="preserve"> Germination </w:t>
      </w:r>
      <w:proofErr w:type="gramStart"/>
      <w:r>
        <w:rPr>
          <w:rFonts w:ascii="Times New Roman" w:eastAsia="SimSun" w:hAnsi="Times New Roman"/>
          <w:sz w:val="24"/>
          <w:szCs w:val="24"/>
        </w:rPr>
        <w:t xml:space="preserve">percentage </w:t>
      </w:r>
      <w:r>
        <w:rPr>
          <w:rFonts w:ascii="Times New Roman" w:eastAsia="SimSun" w:hAnsi="Times New Roman"/>
          <w:sz w:val="24"/>
          <w:szCs w:val="24"/>
          <w:lang w:val="en-GB"/>
        </w:rPr>
        <w:t xml:space="preserve"> </w:t>
      </w:r>
      <w:r>
        <w:rPr>
          <w:rStyle w:val="Strong"/>
          <w:rFonts w:ascii="Times New Roman" w:eastAsia="SimSun" w:hAnsi="Times New Roman"/>
          <w:b w:val="0"/>
          <w:bCs w:val="0"/>
          <w:sz w:val="24"/>
          <w:szCs w:val="24"/>
          <w:lang w:val="en-GB"/>
        </w:rPr>
        <w:t>b</w:t>
      </w:r>
      <w:proofErr w:type="gramEnd"/>
      <w:r>
        <w:rPr>
          <w:rStyle w:val="Strong"/>
          <w:rFonts w:ascii="Times New Roman" w:eastAsia="SimSun" w:hAnsi="Times New Roman"/>
          <w:b w:val="0"/>
          <w:bCs w:val="0"/>
          <w:sz w:val="24"/>
          <w:szCs w:val="24"/>
          <w:lang w:val="en-GB"/>
        </w:rPr>
        <w:t>).</w:t>
      </w:r>
      <w:r>
        <w:rPr>
          <w:rFonts w:ascii="Times New Roman" w:eastAsia="SimSun" w:hAnsi="Times New Roman"/>
          <w:sz w:val="24"/>
          <w:szCs w:val="24"/>
        </w:rPr>
        <w:t xml:space="preserve"> Shoot height </w:t>
      </w:r>
      <w:r>
        <w:rPr>
          <w:rFonts w:ascii="Times New Roman" w:eastAsia="SimSun" w:hAnsi="Times New Roman"/>
          <w:sz w:val="24"/>
          <w:szCs w:val="24"/>
          <w:lang w:val="en-GB"/>
        </w:rPr>
        <w:t xml:space="preserve">  c).</w:t>
      </w:r>
      <w:r>
        <w:rPr>
          <w:rFonts w:ascii="Times New Roman" w:eastAsia="SimSun" w:hAnsi="Times New Roman"/>
          <w:sz w:val="24"/>
          <w:szCs w:val="24"/>
        </w:rPr>
        <w:t xml:space="preserve"> </w:t>
      </w:r>
      <w:r>
        <w:rPr>
          <w:rFonts w:ascii="Times New Roman" w:eastAsia="SimSun" w:hAnsi="Times New Roman"/>
          <w:sz w:val="24"/>
          <w:szCs w:val="24"/>
          <w:lang w:val="en-GB"/>
        </w:rPr>
        <w:t xml:space="preserve">Root length d). </w:t>
      </w:r>
      <w:proofErr w:type="spellStart"/>
      <w:proofErr w:type="gramStart"/>
      <w:r>
        <w:rPr>
          <w:rFonts w:ascii="Times New Roman" w:eastAsia="SimSun" w:hAnsi="Times New Roman"/>
          <w:sz w:val="24"/>
          <w:szCs w:val="24"/>
          <w:lang w:val="en-GB"/>
        </w:rPr>
        <w:t>No.of</w:t>
      </w:r>
      <w:proofErr w:type="spellEnd"/>
      <w:proofErr w:type="gramEnd"/>
      <w:r>
        <w:rPr>
          <w:rFonts w:ascii="Times New Roman" w:eastAsia="SimSun" w:hAnsi="Times New Roman"/>
          <w:sz w:val="24"/>
          <w:szCs w:val="24"/>
          <w:lang w:val="en-GB"/>
        </w:rPr>
        <w:t xml:space="preserve"> Leaves</w:t>
      </w:r>
    </w:p>
    <w:p w14:paraId="6D71FFC3" w14:textId="77777777" w:rsidR="004F25DA" w:rsidRDefault="000D7CBB">
      <w:pPr>
        <w:pStyle w:val="NormalWeb"/>
        <w:spacing w:line="480" w:lineRule="auto"/>
        <w:jc w:val="both"/>
      </w:pPr>
      <w:r>
        <w:t xml:space="preserve">The restoration of soil fertility following crude oil contamination was evaluated through a plant bioassay using </w:t>
      </w:r>
      <w:r>
        <w:rPr>
          <w:rStyle w:val="Emphasis"/>
        </w:rPr>
        <w:t>Phaseolus vulgaris</w:t>
      </w:r>
      <w:r>
        <w:t xml:space="preserve"> after 90 days of bioremediation. The results, presented in </w:t>
      </w:r>
      <w:r>
        <w:rPr>
          <w:lang w:val="en-GB"/>
        </w:rPr>
        <w:t>Figure 2(a-d)</w:t>
      </w:r>
      <w:r>
        <w:t xml:space="preserve"> reveal significant var</w:t>
      </w:r>
      <w:r>
        <w:t>iation in plant germination and growth across treatment groups, highlighting both the adverse effects of petroleum pollution and the ameliorative potential of biochar amendments.</w:t>
      </w:r>
    </w:p>
    <w:p w14:paraId="496DD9B8" w14:textId="77777777" w:rsidR="004F25DA" w:rsidRDefault="000D7CBB">
      <w:pPr>
        <w:pStyle w:val="NormalWeb"/>
        <w:spacing w:line="480" w:lineRule="auto"/>
        <w:jc w:val="both"/>
      </w:pPr>
      <w:r>
        <w:t>The uncontaminated soil (UCS) served as the control and exhibited optimal pla</w:t>
      </w:r>
      <w:r>
        <w:t>nt development, with 100% germination, an average shoot height of 22.1 cm, root length of 10.6 cm, and an average of 7.4 leaves per plant. These values established the reference standard for fertile, unpolluted soil conditions, reflecting adequate nutrient</w:t>
      </w:r>
      <w:r>
        <w:t xml:space="preserve"> availability, favorable microbial activity, and absence of phytotoxic stress.</w:t>
      </w:r>
    </w:p>
    <w:p w14:paraId="164647AE" w14:textId="77777777" w:rsidR="004F25DA" w:rsidRDefault="000D7CBB">
      <w:pPr>
        <w:pStyle w:val="NormalWeb"/>
        <w:spacing w:line="480" w:lineRule="auto"/>
        <w:jc w:val="both"/>
      </w:pPr>
      <w:r>
        <w:t>In stark contrast, the crude oil-contaminated soil without any amendment (CS) demonstrated severe inhibition of plant growth, characterized by only 25% germination. The plants t</w:t>
      </w:r>
      <w:r>
        <w:t xml:space="preserve">hat did emerge exhibited stunted growth, with mean shoot and root lengths of 9.0 cm and 4.0 cm, respectively, and only 2.7 leaves per plant. These outcomes underscore the deleterious impact of hydrocarbons on soil fertility and plant viability, likely due </w:t>
      </w:r>
      <w:r>
        <w:t>to disruptions in nutrient cycling, microbial suppression, and direct toxicity from polycyclic aromatic hydrocarbons (PAHs) and other oil fractions (</w:t>
      </w:r>
      <w:proofErr w:type="spellStart"/>
      <w:r>
        <w:t>Okonokhua</w:t>
      </w:r>
      <w:proofErr w:type="spellEnd"/>
      <w:r>
        <w:t xml:space="preserve"> et al., 2021).</w:t>
      </w:r>
    </w:p>
    <w:p w14:paraId="21389DE7" w14:textId="77777777" w:rsidR="004F25DA" w:rsidRDefault="000D7CBB">
      <w:pPr>
        <w:pStyle w:val="NormalWeb"/>
        <w:spacing w:line="480" w:lineRule="auto"/>
        <w:jc w:val="both"/>
      </w:pPr>
      <w:r>
        <w:t>The integration of biochar amendments into the contaminated soil significantly imp</w:t>
      </w:r>
      <w:r>
        <w:t xml:space="preserve">roved plant growth parameters in a dose-responsive manner. No germination was </w:t>
      </w:r>
      <w:r>
        <w:lastRenderedPageBreak/>
        <w:t>recorded in the CS + 20 g biochar treatment, suggesting that lower biochar levels were insufficient to neutralize toxicity or restore soil structure and microbial balance. Howeve</w:t>
      </w:r>
      <w:r>
        <w:t>r, the CS + 60 g biochar treatment led to marked improvement, with germination rising to 50%, shoot height increasing to 13.5 cm, root length to 6.1 cm, and average leaf number to 4.1. These values demonstrate partial recovery of soil fertility, likely dri</w:t>
      </w:r>
      <w:r>
        <w:t>ven by the adsorption of hydrocarbons, improved aeration, and gradual microbial recolonization.</w:t>
      </w:r>
    </w:p>
    <w:p w14:paraId="140E6988" w14:textId="77777777" w:rsidR="004F25DA" w:rsidRDefault="000D7CBB">
      <w:pPr>
        <w:pStyle w:val="NormalWeb"/>
        <w:spacing w:line="480" w:lineRule="auto"/>
        <w:jc w:val="both"/>
      </w:pPr>
      <w:r>
        <w:t xml:space="preserve">The most profound restoration was observed in the CS + 100 g biochar treatment, where germination reached 75%. Plant growth metrics nearly matched those of the </w:t>
      </w:r>
      <w:r>
        <w:t>UCS control, with a shoot height of 19.4 cm, root length of 9.9 cm, and an average of 6.3 leaves per plant. This substantial improvement indicates a near-complete restoration of soil fertility, attributable to enhanced nutrient availability, reactivation o</w:t>
      </w:r>
      <w:r>
        <w:t>f microbial processes, and the amelioration of oil-induced phytotoxicity.</w:t>
      </w:r>
    </w:p>
    <w:p w14:paraId="07F34C3E" w14:textId="77777777" w:rsidR="004F25DA" w:rsidRDefault="000D7CBB">
      <w:pPr>
        <w:pStyle w:val="NormalWeb"/>
        <w:spacing w:line="480" w:lineRule="auto"/>
        <w:jc w:val="both"/>
      </w:pPr>
      <w:r>
        <w:t xml:space="preserve">Several previous studies support these findings. </w:t>
      </w:r>
      <w:proofErr w:type="spellStart"/>
      <w:r>
        <w:t>Okonokhua</w:t>
      </w:r>
      <w:proofErr w:type="spellEnd"/>
      <w:r>
        <w:t xml:space="preserve"> et al. (2021) reported that crude oil-contaminated soils in Rivers State severely inhibited bean growth and prevented plant</w:t>
      </w:r>
      <w:r>
        <w:t xml:space="preserve">s from reaching maturity, underscoring the fertility crisis associated with petroleum pollution. However, their study lacked a remediation strategy. In contrast, </w:t>
      </w:r>
      <w:proofErr w:type="spellStart"/>
      <w:r>
        <w:t>Udeme</w:t>
      </w:r>
      <w:proofErr w:type="spellEnd"/>
      <w:r>
        <w:t xml:space="preserve"> et al. (2022) found that the application of organic amendments such as poultry manure an</w:t>
      </w:r>
      <w:r>
        <w:t xml:space="preserve">d compost improved cowpea growth in oil-impacted soils, although these materials are often less stable and slower-acting than biochar. Biochar, particularly when derived from lignocellulosic or mineral-rich feedstocks, offers greater longevity, structural </w:t>
      </w:r>
      <w:r>
        <w:t>benefits, and hydrocarbon immobilization potential (Nwankwo &amp; Ayuba, 2023).</w:t>
      </w:r>
    </w:p>
    <w:p w14:paraId="1BC0A517" w14:textId="77777777" w:rsidR="004F25DA" w:rsidRDefault="000D7CBB">
      <w:pPr>
        <w:pStyle w:val="NormalWeb"/>
        <w:spacing w:line="480" w:lineRule="auto"/>
        <w:jc w:val="both"/>
      </w:pPr>
      <w:r>
        <w:lastRenderedPageBreak/>
        <w:t>Comparable international studies reinforce the generalizability of biochar's benefits. Sharma et al. (2020) demonstrated that bamboo biochar significantly improved the fertility of</w:t>
      </w:r>
      <w:r>
        <w:t xml:space="preserve"> petroleum-contaminated soils in India, enhancing maize biomass and nutrient uptake. Similarly, Zhao et al. (2021) reported that corn stalk biochar restored fertility and increased soybean productivity in oil-polluted Chinese soils. In both studies, the im</w:t>
      </w:r>
      <w:r>
        <w:t>provements were linked to better cation exchange capacity, microbial stimulation, and reduced hydrocarbon toxicity</w:t>
      </w:r>
      <w:r>
        <w:rPr>
          <w:lang w:val="en-GB"/>
        </w:rPr>
        <w:t xml:space="preserve"> </w:t>
      </w:r>
      <w:r>
        <w:t>mechanisms aligned with the findings of the present research.</w:t>
      </w:r>
    </w:p>
    <w:p w14:paraId="488A3088" w14:textId="77777777" w:rsidR="004F25DA" w:rsidRDefault="000D7CBB">
      <w:pPr>
        <w:pStyle w:val="NormalWeb"/>
        <w:spacing w:line="480" w:lineRule="auto"/>
        <w:jc w:val="both"/>
      </w:pPr>
      <w:r>
        <w:t>Moreover, the biochar used in this study, derived from animal bone, likely cont</w:t>
      </w:r>
      <w:r>
        <w:t>ributed mineral elements such as calcium and phosphorus, which are beneficial for both microbial activity and plant development. The ability of this regionally available feedstock to enhance plant performance suggests its suitability for large-scale applic</w:t>
      </w:r>
      <w:r>
        <w:t>ation in the Niger Delta, where soil degradation from oil spills is widespread and persistent.</w:t>
      </w:r>
    </w:p>
    <w:p w14:paraId="7874AEB0" w14:textId="77777777" w:rsidR="004F25DA" w:rsidRDefault="000D7CBB">
      <w:pPr>
        <w:pStyle w:val="NormalWeb"/>
        <w:spacing w:line="480" w:lineRule="auto"/>
        <w:jc w:val="both"/>
      </w:pPr>
      <w:r>
        <w:t>In conclusion, the fertility restoration observed in this study confirms the effectiveness of biochar as a soil amendment for hydrocarbon-contaminated environmen</w:t>
      </w:r>
      <w:r>
        <w:t xml:space="preserve">ts. The dose-dependent response observed, particularly the superior outcomes with the 100 g biochar treatment, highlights the importance of amendment optimization. </w:t>
      </w:r>
    </w:p>
    <w:p w14:paraId="06E13529" w14:textId="77777777" w:rsidR="004F25DA" w:rsidRDefault="004F25DA">
      <w:pPr>
        <w:spacing w:line="480" w:lineRule="auto"/>
        <w:jc w:val="both"/>
        <w:rPr>
          <w:rFonts w:ascii="Times New Roman" w:eastAsia="SimSun" w:hAnsi="Times New Roman"/>
          <w:sz w:val="24"/>
          <w:szCs w:val="24"/>
          <w:lang w:val="en-GB"/>
        </w:rPr>
      </w:pPr>
    </w:p>
    <w:p w14:paraId="08C1291C" w14:textId="77777777" w:rsidR="004F25DA" w:rsidRDefault="000D7CBB">
      <w:pPr>
        <w:spacing w:line="480" w:lineRule="auto"/>
        <w:jc w:val="both"/>
        <w:rPr>
          <w:rFonts w:ascii="Times New Roman" w:hAnsi="Times New Roman"/>
          <w:b/>
          <w:bCs/>
          <w:sz w:val="24"/>
          <w:szCs w:val="24"/>
          <w:lang w:val="en-GB"/>
        </w:rPr>
      </w:pPr>
      <w:r>
        <w:rPr>
          <w:rFonts w:ascii="Times New Roman" w:hAnsi="Times New Roman"/>
          <w:b/>
          <w:bCs/>
          <w:sz w:val="24"/>
          <w:szCs w:val="24"/>
          <w:lang w:val="en-GB"/>
        </w:rPr>
        <w:t>4. CONCLUSION</w:t>
      </w:r>
    </w:p>
    <w:p w14:paraId="7552C806" w14:textId="77777777" w:rsidR="004F25DA" w:rsidRDefault="000D7CBB">
      <w:pPr>
        <w:pStyle w:val="NormalWeb"/>
        <w:spacing w:line="480" w:lineRule="auto"/>
        <w:jc w:val="both"/>
      </w:pPr>
      <w:r>
        <w:t xml:space="preserve">This research highlights the potential of animal bone-derived biochar as an </w:t>
      </w:r>
      <w:r>
        <w:t xml:space="preserve">effective amendment for restoring the health of crude oil-contaminated soils. Over a 90-day period, biochar application significantly reduced Total Petroleum Hydrocarbon (TPH) </w:t>
      </w:r>
      <w:r>
        <w:lastRenderedPageBreak/>
        <w:t>levels, with the highest treatment (100 g) achieving a reduction of approximatel</w:t>
      </w:r>
      <w:r>
        <w:t>y 75%. The improved degradation is likely attributed to the enhanced microbial activity and nutrient dynamics supported by the biochar’s porous structure and chemical properties.</w:t>
      </w:r>
    </w:p>
    <w:p w14:paraId="03D07882" w14:textId="77777777" w:rsidR="004F25DA" w:rsidRDefault="000D7CBB">
      <w:pPr>
        <w:pStyle w:val="NormalWeb"/>
        <w:spacing w:line="480" w:lineRule="auto"/>
        <w:jc w:val="both"/>
      </w:pPr>
      <w:r>
        <w:t xml:space="preserve">The results of the </w:t>
      </w:r>
      <w:r>
        <w:rPr>
          <w:rStyle w:val="Emphasis"/>
        </w:rPr>
        <w:t>Phaseolus vulgaris</w:t>
      </w:r>
      <w:r>
        <w:t xml:space="preserve"> plant assay further demonstrate the fun</w:t>
      </w:r>
      <w:r>
        <w:t>ctional restoration of soil fertility, with marked improvements in germination, shoot and root development, and leaf formation in the biochar-amended treatments. The highest biochar dose restored plant growth parameters to values approaching those in uncon</w:t>
      </w:r>
      <w:r>
        <w:t xml:space="preserve">taminated soil, confirming the ecological relevance of </w:t>
      </w:r>
      <w:proofErr w:type="spellStart"/>
      <w:r>
        <w:t>th</w:t>
      </w:r>
      <w:proofErr w:type="spellEnd"/>
      <w:r>
        <w:rPr>
          <w:lang w:val="en-GB"/>
        </w:rPr>
        <w:t xml:space="preserve">e hydrocarbon reduction </w:t>
      </w:r>
      <w:r>
        <w:t>observed.</w:t>
      </w:r>
    </w:p>
    <w:p w14:paraId="6FABBD1C" w14:textId="77777777" w:rsidR="004F25DA" w:rsidRDefault="000D7CBB">
      <w:pPr>
        <w:pStyle w:val="NormalWeb"/>
        <w:spacing w:line="480" w:lineRule="auto"/>
        <w:jc w:val="both"/>
      </w:pPr>
      <w:r>
        <w:t xml:space="preserve">These findings are consistent with regional and international studies on biochar-mediated remediation and suggest that biochar can play a key role in improving both </w:t>
      </w:r>
      <w:r>
        <w:t>environmental quality and agricultural productivity in oil-affected areas such as the Niger Delta. Notably, the use of biochar produced from locally available feedstocks enhances the feasibility and sustainability of this approach.</w:t>
      </w:r>
    </w:p>
    <w:p w14:paraId="2A82C99E" w14:textId="77777777" w:rsidR="004F25DA" w:rsidRDefault="000D7CBB">
      <w:pPr>
        <w:pStyle w:val="NormalWeb"/>
        <w:spacing w:line="480" w:lineRule="auto"/>
        <w:jc w:val="both"/>
      </w:pPr>
      <w:r>
        <w:t>Overall, this study prov</w:t>
      </w:r>
      <w:r>
        <w:t>ides robust evidence supporting the integration of biochar into bioremediation strategies for petroleum-contaminated soils. Its effectiveness in promoting both contaminant reduction and plant-based indicators of soil health makes it a valuable tool for lon</w:t>
      </w:r>
      <w:r>
        <w:t>g-term ecological restoration. Future research should explore field-scale applications, long-term effects, and synergistic interactions with other organic or microbial amendments.</w:t>
      </w:r>
    </w:p>
    <w:p w14:paraId="767D8258" w14:textId="77777777" w:rsidR="004F25DA" w:rsidRDefault="000D7CBB">
      <w:pPr>
        <w:spacing w:line="480" w:lineRule="auto"/>
        <w:jc w:val="both"/>
        <w:rPr>
          <w:rFonts w:ascii="Times New Roman" w:eastAsia="Calibri" w:hAnsi="Times New Roman"/>
          <w:b/>
          <w:bCs/>
          <w:kern w:val="2"/>
          <w:sz w:val="24"/>
          <w:szCs w:val="24"/>
          <w:lang w:eastAsia="en-US"/>
        </w:rPr>
      </w:pPr>
      <w:r>
        <w:rPr>
          <w:rFonts w:ascii="Times New Roman" w:hAnsi="Times New Roman"/>
          <w:b/>
          <w:bCs/>
          <w:sz w:val="24"/>
          <w:szCs w:val="24"/>
          <w:lang w:val="en-GB"/>
        </w:rPr>
        <w:t>REFERENCES</w:t>
      </w:r>
    </w:p>
    <w:p w14:paraId="47FE62E7" w14:textId="77777777" w:rsidR="004F25DA" w:rsidRDefault="000D7CBB">
      <w:pPr>
        <w:jc w:val="both"/>
        <w:rPr>
          <w:rFonts w:ascii="Times New Roman" w:eastAsia="Calibri" w:hAnsi="Times New Roman"/>
          <w:kern w:val="2"/>
          <w:sz w:val="24"/>
          <w:szCs w:val="24"/>
          <w:lang w:eastAsia="en-US"/>
        </w:rPr>
      </w:pPr>
      <w:proofErr w:type="spellStart"/>
      <w:r>
        <w:rPr>
          <w:rFonts w:ascii="Times New Roman" w:eastAsia="Calibri" w:hAnsi="Times New Roman"/>
          <w:kern w:val="2"/>
          <w:sz w:val="24"/>
          <w:szCs w:val="24"/>
          <w:lang w:eastAsia="en-US"/>
        </w:rPr>
        <w:t>Abii</w:t>
      </w:r>
      <w:proofErr w:type="spellEnd"/>
      <w:r>
        <w:rPr>
          <w:rFonts w:ascii="Times New Roman" w:eastAsia="Calibri" w:hAnsi="Times New Roman"/>
          <w:kern w:val="2"/>
          <w:sz w:val="24"/>
          <w:szCs w:val="24"/>
          <w:lang w:eastAsia="en-US"/>
        </w:rPr>
        <w:t xml:space="preserve">, T. U. (2009). The effect of oil-spillage on the soil of Eleme in Rivers State of the Niger-Delta Area of Nigeria. </w:t>
      </w:r>
      <w:r>
        <w:rPr>
          <w:rFonts w:ascii="Times New Roman" w:eastAsia="Calibri" w:hAnsi="Times New Roman"/>
          <w:i/>
          <w:iCs/>
          <w:kern w:val="2"/>
          <w:sz w:val="24"/>
          <w:szCs w:val="24"/>
          <w:lang w:eastAsia="en-US"/>
        </w:rPr>
        <w:t>Research Journal of Environmental Sciences, 3</w:t>
      </w:r>
      <w:r>
        <w:rPr>
          <w:rFonts w:ascii="Times New Roman" w:eastAsia="Calibri" w:hAnsi="Times New Roman"/>
          <w:kern w:val="2"/>
          <w:sz w:val="24"/>
          <w:szCs w:val="24"/>
          <w:lang w:eastAsia="en-US"/>
        </w:rPr>
        <w:t xml:space="preserve">(3), 316–320. </w:t>
      </w:r>
      <w:hyperlink r:id="rId12" w:tgtFrame="_new" w:history="1">
        <w:r w:rsidR="004F25DA">
          <w:rPr>
            <w:rFonts w:ascii="Times New Roman" w:eastAsia="Calibri" w:hAnsi="Times New Roman"/>
            <w:kern w:val="2"/>
            <w:sz w:val="24"/>
            <w:szCs w:val="24"/>
            <w:u w:val="single"/>
            <w:lang w:eastAsia="en-US"/>
          </w:rPr>
          <w:t>https://doi.org/10.3923/rjes.2009.316.320</w:t>
        </w:r>
      </w:hyperlink>
    </w:p>
    <w:p w14:paraId="0525185B" w14:textId="77777777" w:rsidR="004F25DA" w:rsidRDefault="000D7CBB">
      <w:pPr>
        <w:jc w:val="both"/>
        <w:rPr>
          <w:rFonts w:ascii="Times New Roman" w:eastAsia="Calibri" w:hAnsi="Times New Roman"/>
          <w:kern w:val="2"/>
          <w:sz w:val="24"/>
          <w:szCs w:val="24"/>
          <w:lang w:eastAsia="en-US"/>
        </w:rPr>
      </w:pPr>
      <w:proofErr w:type="spellStart"/>
      <w:r>
        <w:rPr>
          <w:rFonts w:ascii="Times New Roman" w:eastAsia="Calibri" w:hAnsi="Times New Roman"/>
          <w:kern w:val="2"/>
          <w:sz w:val="24"/>
          <w:szCs w:val="24"/>
          <w:lang w:eastAsia="en-US"/>
        </w:rPr>
        <w:lastRenderedPageBreak/>
        <w:t>Adesodun</w:t>
      </w:r>
      <w:proofErr w:type="spellEnd"/>
      <w:r>
        <w:rPr>
          <w:rFonts w:ascii="Times New Roman" w:eastAsia="Calibri" w:hAnsi="Times New Roman"/>
          <w:kern w:val="2"/>
          <w:sz w:val="24"/>
          <w:szCs w:val="24"/>
          <w:lang w:eastAsia="en-US"/>
        </w:rPr>
        <w:t xml:space="preserve">, J. K., &amp; Mbagwu, J. S. C. (2008). Effects of spent engine-oil on the soil environment: Physicochemical properties and hydrocarbon content. </w:t>
      </w:r>
      <w:r>
        <w:rPr>
          <w:rFonts w:ascii="Times New Roman" w:eastAsia="Calibri" w:hAnsi="Times New Roman"/>
          <w:i/>
          <w:iCs/>
          <w:kern w:val="2"/>
          <w:sz w:val="24"/>
          <w:szCs w:val="24"/>
          <w:lang w:eastAsia="en-US"/>
        </w:rPr>
        <w:t>Chemosphere, 71</w:t>
      </w:r>
      <w:r>
        <w:rPr>
          <w:rFonts w:ascii="Times New Roman" w:eastAsia="Calibri" w:hAnsi="Times New Roman"/>
          <w:kern w:val="2"/>
          <w:sz w:val="24"/>
          <w:szCs w:val="24"/>
          <w:lang w:eastAsia="en-US"/>
        </w:rPr>
        <w:t xml:space="preserve">(8), 1103–1108. </w:t>
      </w:r>
      <w:hyperlink r:id="rId13" w:tgtFrame="_new" w:history="1">
        <w:r w:rsidR="004F25DA">
          <w:rPr>
            <w:rFonts w:ascii="Times New Roman" w:eastAsia="Calibri" w:hAnsi="Times New Roman"/>
            <w:kern w:val="2"/>
            <w:sz w:val="24"/>
            <w:szCs w:val="24"/>
            <w:u w:val="single"/>
            <w:lang w:eastAsia="en-US"/>
          </w:rPr>
          <w:t>https://doi.org/10.1016/j.chemosphere.2007.11.020</w:t>
        </w:r>
      </w:hyperlink>
    </w:p>
    <w:p w14:paraId="7B2405C4"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Ahmad, M., Lee, S. S., Dou, X., Mohan, D., Sung, J. K., Yang, J. E., &amp; Ok, Y. S. (2012). Effects of pyrolysis temperature on soybean stover- and peanut shell-derived biochar pro</w:t>
      </w:r>
      <w:r>
        <w:rPr>
          <w:rFonts w:ascii="Times New Roman" w:eastAsia="Calibri" w:hAnsi="Times New Roman"/>
          <w:kern w:val="2"/>
          <w:sz w:val="24"/>
          <w:szCs w:val="24"/>
          <w:lang w:eastAsia="en-US"/>
        </w:rPr>
        <w:t xml:space="preserve">perties and TCE adsorption in water. </w:t>
      </w:r>
      <w:r>
        <w:rPr>
          <w:rFonts w:ascii="Times New Roman" w:eastAsia="Calibri" w:hAnsi="Times New Roman"/>
          <w:i/>
          <w:iCs/>
          <w:kern w:val="2"/>
          <w:sz w:val="24"/>
          <w:szCs w:val="24"/>
          <w:lang w:eastAsia="en-US"/>
        </w:rPr>
        <w:t>Bioresource Technology, 118,</w:t>
      </w:r>
      <w:r>
        <w:rPr>
          <w:rFonts w:ascii="Times New Roman" w:eastAsia="Calibri" w:hAnsi="Times New Roman"/>
          <w:kern w:val="2"/>
          <w:sz w:val="24"/>
          <w:szCs w:val="24"/>
          <w:lang w:eastAsia="en-US"/>
        </w:rPr>
        <w:t xml:space="preserve"> 536–544. </w:t>
      </w:r>
      <w:hyperlink r:id="rId14" w:tgtFrame="_new" w:history="1">
        <w:r w:rsidR="004F25DA">
          <w:rPr>
            <w:rFonts w:ascii="Times New Roman" w:eastAsia="Calibri" w:hAnsi="Times New Roman"/>
            <w:kern w:val="2"/>
            <w:sz w:val="24"/>
            <w:szCs w:val="24"/>
            <w:u w:val="single"/>
            <w:lang w:eastAsia="en-US"/>
          </w:rPr>
          <w:t>https://doi.org/10.1016/j.biortech.2012.05.042</w:t>
        </w:r>
      </w:hyperlink>
    </w:p>
    <w:p w14:paraId="2FFE1E93"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Ahmad, M., Rajapaksha, A. U., Lim, J. E., Zhang, M., Bolan, N</w:t>
      </w:r>
      <w:r>
        <w:rPr>
          <w:rFonts w:ascii="Times New Roman" w:eastAsia="Calibri" w:hAnsi="Times New Roman"/>
          <w:kern w:val="2"/>
          <w:sz w:val="24"/>
          <w:szCs w:val="24"/>
          <w:lang w:eastAsia="en-US"/>
        </w:rPr>
        <w:t xml:space="preserve">., Mohan, D., ... &amp; Ok, Y. S. (2014). Biochar as a sorbent for contaminant management in soil and water: A review. </w:t>
      </w:r>
      <w:r>
        <w:rPr>
          <w:rFonts w:ascii="Times New Roman" w:eastAsia="Calibri" w:hAnsi="Times New Roman"/>
          <w:i/>
          <w:iCs/>
          <w:kern w:val="2"/>
          <w:sz w:val="24"/>
          <w:szCs w:val="24"/>
          <w:lang w:eastAsia="en-US"/>
        </w:rPr>
        <w:t>Chemosphere, 99,</w:t>
      </w:r>
      <w:r>
        <w:rPr>
          <w:rFonts w:ascii="Times New Roman" w:eastAsia="Calibri" w:hAnsi="Times New Roman"/>
          <w:kern w:val="2"/>
          <w:sz w:val="24"/>
          <w:szCs w:val="24"/>
          <w:lang w:eastAsia="en-US"/>
        </w:rPr>
        <w:t xml:space="preserve"> 19–33. </w:t>
      </w:r>
      <w:hyperlink r:id="rId15" w:tgtFrame="_new" w:history="1">
        <w:r w:rsidR="004F25DA">
          <w:rPr>
            <w:rFonts w:ascii="Times New Roman" w:eastAsia="Calibri" w:hAnsi="Times New Roman"/>
            <w:kern w:val="2"/>
            <w:sz w:val="24"/>
            <w:szCs w:val="24"/>
            <w:u w:val="single"/>
            <w:lang w:eastAsia="en-US"/>
          </w:rPr>
          <w:t>https://doi.org/10.1016/j.chemosphere.2013.10.071</w:t>
        </w:r>
      </w:hyperlink>
    </w:p>
    <w:p w14:paraId="42E7B64F" w14:textId="77777777" w:rsidR="004F25DA" w:rsidRDefault="000D7CBB">
      <w:pPr>
        <w:jc w:val="both"/>
        <w:rPr>
          <w:rFonts w:ascii="Times New Roman" w:eastAsia="Calibri" w:hAnsi="Times New Roman"/>
          <w:kern w:val="2"/>
          <w:sz w:val="24"/>
          <w:szCs w:val="24"/>
          <w:u w:val="single"/>
          <w:lang w:eastAsia="en-US"/>
        </w:rPr>
      </w:pPr>
      <w:r>
        <w:rPr>
          <w:rFonts w:ascii="Times New Roman" w:eastAsia="Calibri" w:hAnsi="Times New Roman"/>
          <w:kern w:val="2"/>
          <w:sz w:val="24"/>
          <w:szCs w:val="24"/>
          <w:lang w:eastAsia="en-US"/>
        </w:rPr>
        <w:t xml:space="preserve">Amin, A. E. Z. A. (2024). Using bone char as a renewable resource of phosphate fertilizers in sustainable agriculture and its effects on phosphorus transformations and remediation of contaminated soils as well as the growth of plants. </w:t>
      </w:r>
      <w:r>
        <w:rPr>
          <w:rFonts w:ascii="Times New Roman" w:eastAsia="Calibri" w:hAnsi="Times New Roman"/>
          <w:i/>
          <w:iCs/>
          <w:kern w:val="2"/>
          <w:sz w:val="24"/>
          <w:szCs w:val="24"/>
          <w:lang w:eastAsia="en-US"/>
        </w:rPr>
        <w:t>Journal of S</w:t>
      </w:r>
      <w:r>
        <w:rPr>
          <w:rFonts w:ascii="Times New Roman" w:eastAsia="Calibri" w:hAnsi="Times New Roman"/>
          <w:i/>
          <w:iCs/>
          <w:kern w:val="2"/>
          <w:sz w:val="24"/>
          <w:szCs w:val="24"/>
          <w:lang w:eastAsia="en-US"/>
        </w:rPr>
        <w:t>oil Science and Plant Nutrition.</w:t>
      </w:r>
      <w:r>
        <w:rPr>
          <w:rFonts w:ascii="Times New Roman" w:eastAsia="Calibri" w:hAnsi="Times New Roman"/>
          <w:kern w:val="2"/>
          <w:sz w:val="24"/>
          <w:szCs w:val="24"/>
          <w:lang w:eastAsia="en-US"/>
        </w:rPr>
        <w:t xml:space="preserve"> Advance online publication. </w:t>
      </w:r>
      <w:hyperlink r:id="rId16" w:tgtFrame="_new" w:history="1">
        <w:r w:rsidR="004F25DA">
          <w:rPr>
            <w:rFonts w:ascii="Times New Roman" w:eastAsia="Calibri" w:hAnsi="Times New Roman"/>
            <w:kern w:val="2"/>
            <w:sz w:val="24"/>
            <w:szCs w:val="24"/>
            <w:u w:val="single"/>
            <w:lang w:eastAsia="en-US"/>
          </w:rPr>
          <w:t>https://doi.org/10.1007/s42729-024-02018-y</w:t>
        </w:r>
      </w:hyperlink>
    </w:p>
    <w:p w14:paraId="4E49C46C" w14:textId="77777777" w:rsidR="004F25DA" w:rsidRDefault="000D7CBB">
      <w:pPr>
        <w:jc w:val="both"/>
        <w:rPr>
          <w:rFonts w:ascii="Times New Roman" w:eastAsia="Calibri" w:hAnsi="Times New Roman"/>
          <w:kern w:val="2"/>
          <w:sz w:val="24"/>
          <w:szCs w:val="24"/>
          <w:u w:val="single"/>
          <w:lang w:eastAsia="en-US"/>
        </w:rPr>
      </w:pPr>
      <w:r>
        <w:rPr>
          <w:rFonts w:ascii="Times New Roman" w:eastAsia="SimSun" w:hAnsi="Times New Roman"/>
          <w:sz w:val="24"/>
          <w:szCs w:val="24"/>
        </w:rPr>
        <w:t xml:space="preserve">Anyanwu, I. N., </w:t>
      </w:r>
      <w:proofErr w:type="spellStart"/>
      <w:r>
        <w:rPr>
          <w:rFonts w:ascii="Times New Roman" w:eastAsia="SimSun" w:hAnsi="Times New Roman"/>
          <w:sz w:val="24"/>
          <w:szCs w:val="24"/>
        </w:rPr>
        <w:t>Ighalo</w:t>
      </w:r>
      <w:proofErr w:type="spellEnd"/>
      <w:r>
        <w:rPr>
          <w:rFonts w:ascii="Times New Roman" w:eastAsia="SimSun" w:hAnsi="Times New Roman"/>
          <w:sz w:val="24"/>
          <w:szCs w:val="24"/>
        </w:rPr>
        <w:t>, J. O., &amp; Emenike, C. U. (2022). Biochar from agricultural w</w:t>
      </w:r>
      <w:r>
        <w:rPr>
          <w:rFonts w:ascii="Times New Roman" w:eastAsia="SimSun" w:hAnsi="Times New Roman"/>
          <w:sz w:val="24"/>
          <w:szCs w:val="24"/>
        </w:rPr>
        <w:t xml:space="preserve">aste as an amendment for petroleum hydrocarbon-contaminated soils: A Nigerian case study. </w:t>
      </w:r>
      <w:r>
        <w:rPr>
          <w:rStyle w:val="Emphasis"/>
          <w:rFonts w:ascii="Times New Roman" w:eastAsia="SimSun" w:hAnsi="Times New Roman"/>
          <w:sz w:val="24"/>
          <w:szCs w:val="24"/>
        </w:rPr>
        <w:t>Environmental Technology &amp; Innovation</w:t>
      </w:r>
      <w:r>
        <w:rPr>
          <w:rFonts w:ascii="Times New Roman" w:eastAsia="SimSun" w:hAnsi="Times New Roman"/>
          <w:sz w:val="24"/>
          <w:szCs w:val="24"/>
        </w:rPr>
        <w:t xml:space="preserve">, </w:t>
      </w:r>
      <w:r>
        <w:rPr>
          <w:rStyle w:val="Emphasis"/>
          <w:rFonts w:ascii="Times New Roman" w:eastAsia="SimSun" w:hAnsi="Times New Roman"/>
          <w:sz w:val="24"/>
          <w:szCs w:val="24"/>
        </w:rPr>
        <w:t>25</w:t>
      </w:r>
      <w:r>
        <w:rPr>
          <w:rFonts w:ascii="Times New Roman" w:eastAsia="SimSun" w:hAnsi="Times New Roman"/>
          <w:sz w:val="24"/>
          <w:szCs w:val="24"/>
        </w:rPr>
        <w:t>, 102103. https://doi.org/10.1016/j.eti.2021.102103</w:t>
      </w:r>
    </w:p>
    <w:p w14:paraId="7F014743"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Azeem, M., Ali, A., </w:t>
      </w:r>
      <w:proofErr w:type="spellStart"/>
      <w:r>
        <w:rPr>
          <w:rFonts w:ascii="Times New Roman" w:eastAsia="Calibri" w:hAnsi="Times New Roman"/>
          <w:kern w:val="2"/>
          <w:sz w:val="24"/>
          <w:szCs w:val="24"/>
          <w:lang w:eastAsia="en-US"/>
        </w:rPr>
        <w:t>Jeyasundar</w:t>
      </w:r>
      <w:proofErr w:type="spellEnd"/>
      <w:r>
        <w:rPr>
          <w:rFonts w:ascii="Times New Roman" w:eastAsia="Calibri" w:hAnsi="Times New Roman"/>
          <w:kern w:val="2"/>
          <w:sz w:val="24"/>
          <w:szCs w:val="24"/>
          <w:lang w:eastAsia="en-US"/>
        </w:rPr>
        <w:t>, P. G. S. A., Bashir, S., Hussain, Q., Wah</w:t>
      </w:r>
      <w:r>
        <w:rPr>
          <w:rFonts w:ascii="Times New Roman" w:eastAsia="Calibri" w:hAnsi="Times New Roman"/>
          <w:kern w:val="2"/>
          <w:sz w:val="24"/>
          <w:szCs w:val="24"/>
          <w:lang w:eastAsia="en-US"/>
        </w:rPr>
        <w:t xml:space="preserve">id, F., ... Zhang, Z. (2023). Cow bone-derived biochar enhances microbial biomass and alters bacterial community composition and diversity in a smelter contaminated soil. </w:t>
      </w:r>
      <w:r>
        <w:rPr>
          <w:rFonts w:ascii="Times New Roman" w:eastAsia="Calibri" w:hAnsi="Times New Roman"/>
          <w:i/>
          <w:iCs/>
          <w:kern w:val="2"/>
          <w:sz w:val="24"/>
          <w:szCs w:val="24"/>
          <w:lang w:eastAsia="en-US"/>
        </w:rPr>
        <w:t>Environmental Research, 216,</w:t>
      </w:r>
      <w:r>
        <w:rPr>
          <w:rFonts w:ascii="Times New Roman" w:eastAsia="Calibri" w:hAnsi="Times New Roman"/>
          <w:kern w:val="2"/>
          <w:sz w:val="24"/>
          <w:szCs w:val="24"/>
          <w:lang w:eastAsia="en-US"/>
        </w:rPr>
        <w:t xml:space="preserve"> 114278. </w:t>
      </w:r>
      <w:hyperlink r:id="rId17" w:tgtFrame="_new" w:history="1">
        <w:r w:rsidR="004F25DA">
          <w:rPr>
            <w:rFonts w:ascii="Times New Roman" w:eastAsia="Calibri" w:hAnsi="Times New Roman"/>
            <w:kern w:val="2"/>
            <w:sz w:val="24"/>
            <w:szCs w:val="24"/>
            <w:u w:val="single"/>
            <w:lang w:eastAsia="en-US"/>
          </w:rPr>
          <w:t>https://doi.org/10.1016/j.envres.2022.114278</w:t>
        </w:r>
      </w:hyperlink>
    </w:p>
    <w:p w14:paraId="6F17C1FC"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Beesley, L., Moreno-Jiménez, E., &amp; Gomez-Eyles, J. L. (2011). Effects of biochar and </w:t>
      </w:r>
      <w:proofErr w:type="spellStart"/>
      <w:r>
        <w:rPr>
          <w:rFonts w:ascii="Times New Roman" w:eastAsia="Calibri" w:hAnsi="Times New Roman"/>
          <w:kern w:val="2"/>
          <w:sz w:val="24"/>
          <w:szCs w:val="24"/>
          <w:lang w:eastAsia="en-US"/>
        </w:rPr>
        <w:t>greenwaste</w:t>
      </w:r>
      <w:proofErr w:type="spellEnd"/>
      <w:r>
        <w:rPr>
          <w:rFonts w:ascii="Times New Roman" w:eastAsia="Calibri" w:hAnsi="Times New Roman"/>
          <w:kern w:val="2"/>
          <w:sz w:val="24"/>
          <w:szCs w:val="24"/>
          <w:lang w:eastAsia="en-US"/>
        </w:rPr>
        <w:t xml:space="preserve"> compost amendments on mobility, bioavailability and toxicity of inorganic and organic contaminants in a multi-element polluted soil. </w:t>
      </w:r>
      <w:r>
        <w:rPr>
          <w:rFonts w:ascii="Times New Roman" w:eastAsia="Calibri" w:hAnsi="Times New Roman"/>
          <w:i/>
          <w:iCs/>
          <w:kern w:val="2"/>
          <w:sz w:val="24"/>
          <w:szCs w:val="24"/>
          <w:lang w:eastAsia="en-US"/>
        </w:rPr>
        <w:t>Environmental Pollution, 158</w:t>
      </w:r>
      <w:r>
        <w:rPr>
          <w:rFonts w:ascii="Times New Roman" w:eastAsia="Calibri" w:hAnsi="Times New Roman"/>
          <w:kern w:val="2"/>
          <w:sz w:val="24"/>
          <w:szCs w:val="24"/>
          <w:lang w:eastAsia="en-US"/>
        </w:rPr>
        <w:t xml:space="preserve">(6), 2282–2287. </w:t>
      </w:r>
      <w:hyperlink r:id="rId18" w:tgtFrame="_new" w:history="1">
        <w:r w:rsidR="004F25DA">
          <w:rPr>
            <w:rFonts w:ascii="Times New Roman" w:eastAsia="Calibri" w:hAnsi="Times New Roman"/>
            <w:kern w:val="2"/>
            <w:sz w:val="24"/>
            <w:szCs w:val="24"/>
            <w:u w:val="single"/>
            <w:lang w:eastAsia="en-US"/>
          </w:rPr>
          <w:t>https://doi.org/10.1016/j.envpol.2010.10.009</w:t>
        </w:r>
      </w:hyperlink>
    </w:p>
    <w:p w14:paraId="7D79C912" w14:textId="77777777" w:rsidR="004F25DA" w:rsidRDefault="000D7CBB">
      <w:pPr>
        <w:jc w:val="both"/>
        <w:rPr>
          <w:rFonts w:ascii="Times New Roman" w:eastAsia="Calibri" w:hAnsi="Times New Roman"/>
          <w:kern w:val="2"/>
          <w:sz w:val="24"/>
          <w:szCs w:val="24"/>
          <w:u w:val="single"/>
          <w:lang w:eastAsia="en-US"/>
        </w:rPr>
      </w:pPr>
      <w:r>
        <w:rPr>
          <w:rFonts w:ascii="Times New Roman" w:eastAsia="Calibri" w:hAnsi="Times New Roman"/>
          <w:kern w:val="2"/>
          <w:sz w:val="24"/>
          <w:szCs w:val="24"/>
          <w:lang w:eastAsia="en-US"/>
        </w:rPr>
        <w:t xml:space="preserve">Dike, C. C. (2021). Can biochar be an effective and reliable </w:t>
      </w:r>
      <w:proofErr w:type="spellStart"/>
      <w:r>
        <w:rPr>
          <w:rFonts w:ascii="Times New Roman" w:eastAsia="Calibri" w:hAnsi="Times New Roman"/>
          <w:kern w:val="2"/>
          <w:sz w:val="24"/>
          <w:szCs w:val="24"/>
          <w:lang w:eastAsia="en-US"/>
        </w:rPr>
        <w:t>biostimulating</w:t>
      </w:r>
      <w:proofErr w:type="spellEnd"/>
      <w:r>
        <w:rPr>
          <w:rFonts w:ascii="Times New Roman" w:eastAsia="Calibri" w:hAnsi="Times New Roman"/>
          <w:kern w:val="2"/>
          <w:sz w:val="24"/>
          <w:szCs w:val="24"/>
          <w:lang w:eastAsia="en-US"/>
        </w:rPr>
        <w:t xml:space="preserve"> agent for petroleum hydrocarbon polluted soil? </w:t>
      </w:r>
      <w:r>
        <w:rPr>
          <w:rFonts w:ascii="Times New Roman" w:eastAsia="Calibri" w:hAnsi="Times New Roman"/>
          <w:i/>
          <w:iCs/>
          <w:kern w:val="2"/>
          <w:sz w:val="24"/>
          <w:szCs w:val="24"/>
          <w:lang w:eastAsia="en-US"/>
        </w:rPr>
        <w:t>Environmental Pollution, 287,</w:t>
      </w:r>
      <w:r>
        <w:rPr>
          <w:rFonts w:ascii="Times New Roman" w:eastAsia="Calibri" w:hAnsi="Times New Roman"/>
          <w:kern w:val="2"/>
          <w:sz w:val="24"/>
          <w:szCs w:val="24"/>
          <w:lang w:eastAsia="en-US"/>
        </w:rPr>
        <w:t xml:space="preserve"> 117355. </w:t>
      </w:r>
      <w:hyperlink r:id="rId19" w:history="1">
        <w:r w:rsidR="004F25DA">
          <w:rPr>
            <w:rFonts w:ascii="Times New Roman" w:eastAsia="Calibri" w:hAnsi="Times New Roman"/>
            <w:kern w:val="2"/>
            <w:sz w:val="24"/>
            <w:szCs w:val="24"/>
            <w:u w:val="single"/>
            <w:lang w:eastAsia="en-US"/>
          </w:rPr>
          <w:t>https://doi.org/10.1016/j.envpol.2021.117355</w:t>
        </w:r>
      </w:hyperlink>
    </w:p>
    <w:p w14:paraId="4423A05D" w14:textId="77777777" w:rsidR="004F25DA" w:rsidRDefault="000D7CBB">
      <w:pPr>
        <w:jc w:val="both"/>
        <w:rPr>
          <w:rFonts w:ascii="Times New Roman" w:eastAsia="Calibri" w:hAnsi="Times New Roman"/>
          <w:kern w:val="2"/>
          <w:sz w:val="24"/>
          <w:szCs w:val="24"/>
        </w:rPr>
      </w:pPr>
      <w:proofErr w:type="spellStart"/>
      <w:r>
        <w:rPr>
          <w:rFonts w:ascii="Times New Roman" w:eastAsia="Calibri" w:hAnsi="Times New Roman"/>
          <w:kern w:val="2"/>
          <w:sz w:val="24"/>
          <w:szCs w:val="24"/>
        </w:rPr>
        <w:t>Eneje</w:t>
      </w:r>
      <w:proofErr w:type="spellEnd"/>
      <w:r>
        <w:rPr>
          <w:rFonts w:ascii="Times New Roman" w:eastAsia="Calibri" w:hAnsi="Times New Roman"/>
          <w:kern w:val="2"/>
          <w:sz w:val="24"/>
          <w:szCs w:val="24"/>
        </w:rPr>
        <w:t xml:space="preserve">, R. C., Amah, V. N., &amp; </w:t>
      </w:r>
      <w:proofErr w:type="spellStart"/>
      <w:r>
        <w:rPr>
          <w:rFonts w:ascii="Times New Roman" w:eastAsia="Calibri" w:hAnsi="Times New Roman"/>
          <w:kern w:val="2"/>
          <w:sz w:val="24"/>
          <w:szCs w:val="24"/>
        </w:rPr>
        <w:t>Akah</w:t>
      </w:r>
      <w:proofErr w:type="spellEnd"/>
      <w:r>
        <w:rPr>
          <w:rFonts w:ascii="Times New Roman" w:eastAsia="Calibri" w:hAnsi="Times New Roman"/>
          <w:kern w:val="2"/>
          <w:sz w:val="24"/>
          <w:szCs w:val="24"/>
        </w:rPr>
        <w:t xml:space="preserve">, L. U. (2021). Bioremediation of crude oil-contaminated soil using organic waste-derived biochar in </w:t>
      </w:r>
      <w:proofErr w:type="spellStart"/>
      <w:r>
        <w:rPr>
          <w:rFonts w:ascii="Times New Roman" w:eastAsia="Calibri" w:hAnsi="Times New Roman"/>
          <w:kern w:val="2"/>
          <w:sz w:val="24"/>
          <w:szCs w:val="24"/>
        </w:rPr>
        <w:t>Umuebulu</w:t>
      </w:r>
      <w:proofErr w:type="spellEnd"/>
      <w:r>
        <w:rPr>
          <w:rFonts w:ascii="Times New Roman" w:eastAsia="Calibri" w:hAnsi="Times New Roman"/>
          <w:kern w:val="2"/>
          <w:sz w:val="24"/>
          <w:szCs w:val="24"/>
        </w:rPr>
        <w:t xml:space="preserve">, Nigeria. </w:t>
      </w:r>
      <w:r>
        <w:rPr>
          <w:rFonts w:ascii="Times New Roman" w:eastAsia="Calibri" w:hAnsi="Times New Roman"/>
          <w:i/>
          <w:iCs/>
          <w:kern w:val="2"/>
          <w:sz w:val="24"/>
          <w:szCs w:val="24"/>
        </w:rPr>
        <w:t>International Journal of Environmental Research and Pu</w:t>
      </w:r>
      <w:r>
        <w:rPr>
          <w:rFonts w:ascii="Times New Roman" w:eastAsia="Calibri" w:hAnsi="Times New Roman"/>
          <w:i/>
          <w:iCs/>
          <w:kern w:val="2"/>
          <w:sz w:val="24"/>
          <w:szCs w:val="24"/>
        </w:rPr>
        <w:t>blic Health, 18</w:t>
      </w:r>
      <w:r>
        <w:rPr>
          <w:rFonts w:ascii="Times New Roman" w:eastAsia="Calibri" w:hAnsi="Times New Roman"/>
          <w:kern w:val="2"/>
          <w:sz w:val="24"/>
          <w:szCs w:val="24"/>
        </w:rPr>
        <w:t xml:space="preserve">(17), 9134. </w:t>
      </w:r>
      <w:hyperlink r:id="rId20" w:tgtFrame="_blank" w:history="1">
        <w:r w:rsidR="004F25DA">
          <w:rPr>
            <w:rFonts w:ascii="Times New Roman" w:eastAsia="Calibri" w:hAnsi="Times New Roman"/>
            <w:kern w:val="2"/>
            <w:sz w:val="24"/>
            <w:szCs w:val="24"/>
            <w:u w:val="single"/>
          </w:rPr>
          <w:t>https://doi.org/10.3390/ijerph18179134</w:t>
        </w:r>
      </w:hyperlink>
    </w:p>
    <w:p w14:paraId="25CBEE1F" w14:textId="77777777" w:rsidR="004F25DA" w:rsidRDefault="004F25DA">
      <w:pPr>
        <w:jc w:val="both"/>
        <w:rPr>
          <w:rFonts w:ascii="Times New Roman" w:eastAsia="Calibri" w:hAnsi="Times New Roman"/>
          <w:kern w:val="2"/>
          <w:sz w:val="24"/>
          <w:szCs w:val="24"/>
          <w:u w:val="single"/>
          <w:lang w:eastAsia="en-US"/>
        </w:rPr>
      </w:pPr>
    </w:p>
    <w:p w14:paraId="1B7AE90A"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Etuk, E. A., Ogboi, K. C., &amp; </w:t>
      </w:r>
      <w:proofErr w:type="spellStart"/>
      <w:r>
        <w:rPr>
          <w:rFonts w:ascii="Times New Roman" w:eastAsia="Calibri" w:hAnsi="Times New Roman"/>
          <w:kern w:val="2"/>
          <w:sz w:val="24"/>
          <w:szCs w:val="24"/>
          <w:lang w:eastAsia="en-US"/>
        </w:rPr>
        <w:t>Nwadinigwe</w:t>
      </w:r>
      <w:proofErr w:type="spellEnd"/>
      <w:r>
        <w:rPr>
          <w:rFonts w:ascii="Times New Roman" w:eastAsia="Calibri" w:hAnsi="Times New Roman"/>
          <w:kern w:val="2"/>
          <w:sz w:val="24"/>
          <w:szCs w:val="24"/>
          <w:lang w:eastAsia="en-US"/>
        </w:rPr>
        <w:t>, C. A. (2020). Bioremediation of hydrocarbon polluted soil in the Barrier Island F</w:t>
      </w:r>
      <w:r>
        <w:rPr>
          <w:rFonts w:ascii="Times New Roman" w:eastAsia="Calibri" w:hAnsi="Times New Roman"/>
          <w:kern w:val="2"/>
          <w:sz w:val="24"/>
          <w:szCs w:val="24"/>
          <w:lang w:eastAsia="en-US"/>
        </w:rPr>
        <w:t xml:space="preserve">orest Ecosystem in the Niger Delta through </w:t>
      </w:r>
      <w:r>
        <w:rPr>
          <w:rFonts w:ascii="Times New Roman" w:eastAsia="Calibri" w:hAnsi="Times New Roman"/>
          <w:kern w:val="2"/>
          <w:sz w:val="24"/>
          <w:szCs w:val="24"/>
          <w:lang w:eastAsia="en-US"/>
        </w:rPr>
        <w:lastRenderedPageBreak/>
        <w:t xml:space="preserve">Enhanced Natural Attenuation Process (ENAP). </w:t>
      </w:r>
      <w:r>
        <w:rPr>
          <w:rFonts w:ascii="Times New Roman" w:eastAsia="Calibri" w:hAnsi="Times New Roman"/>
          <w:i/>
          <w:iCs/>
          <w:kern w:val="2"/>
          <w:sz w:val="24"/>
          <w:szCs w:val="24"/>
          <w:lang w:eastAsia="en-US"/>
        </w:rPr>
        <w:t>European Modern Studies Journal, 4</w:t>
      </w:r>
      <w:r>
        <w:rPr>
          <w:rFonts w:ascii="Times New Roman" w:eastAsia="Calibri" w:hAnsi="Times New Roman"/>
          <w:kern w:val="2"/>
          <w:sz w:val="24"/>
          <w:szCs w:val="24"/>
          <w:lang w:eastAsia="en-US"/>
        </w:rPr>
        <w:t>(4), 90–98.</w:t>
      </w:r>
    </w:p>
    <w:p w14:paraId="554AECF0"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Etuk, E., Ogboi, K. C., </w:t>
      </w:r>
      <w:proofErr w:type="spellStart"/>
      <w:r>
        <w:rPr>
          <w:rFonts w:ascii="Times New Roman" w:eastAsia="Calibri" w:hAnsi="Times New Roman"/>
          <w:kern w:val="2"/>
          <w:sz w:val="24"/>
          <w:szCs w:val="24"/>
          <w:lang w:eastAsia="en-US"/>
        </w:rPr>
        <w:t>Nwadinigwe</w:t>
      </w:r>
      <w:proofErr w:type="spellEnd"/>
      <w:r>
        <w:rPr>
          <w:rFonts w:ascii="Times New Roman" w:eastAsia="Calibri" w:hAnsi="Times New Roman"/>
          <w:kern w:val="2"/>
          <w:sz w:val="24"/>
          <w:szCs w:val="24"/>
          <w:lang w:eastAsia="en-US"/>
        </w:rPr>
        <w:t xml:space="preserve">, C. A., &amp; </w:t>
      </w:r>
      <w:proofErr w:type="spellStart"/>
      <w:r>
        <w:rPr>
          <w:rFonts w:ascii="Times New Roman" w:eastAsia="Calibri" w:hAnsi="Times New Roman"/>
          <w:kern w:val="2"/>
          <w:sz w:val="24"/>
          <w:szCs w:val="24"/>
          <w:lang w:eastAsia="en-US"/>
        </w:rPr>
        <w:t>Elekwachi</w:t>
      </w:r>
      <w:proofErr w:type="spellEnd"/>
      <w:r>
        <w:rPr>
          <w:rFonts w:ascii="Times New Roman" w:eastAsia="Calibri" w:hAnsi="Times New Roman"/>
          <w:kern w:val="2"/>
          <w:sz w:val="24"/>
          <w:szCs w:val="24"/>
          <w:lang w:eastAsia="en-US"/>
        </w:rPr>
        <w:t>, W. (2021). A comparative analysis of bioremediation of hydrocarbon</w:t>
      </w:r>
      <w:r>
        <w:rPr>
          <w:rFonts w:ascii="Times New Roman" w:eastAsia="Calibri" w:hAnsi="Times New Roman"/>
          <w:kern w:val="2"/>
          <w:sz w:val="24"/>
          <w:szCs w:val="24"/>
          <w:lang w:eastAsia="en-US"/>
        </w:rPr>
        <w:t xml:space="preserve"> polluted soil in the Island Forest Ecosystem and the Lowland Forest Ecosystem in the Niger Delta through enhanced natural attenuation process (ENAP). </w:t>
      </w:r>
      <w:r>
        <w:rPr>
          <w:rFonts w:ascii="Times New Roman" w:eastAsia="Calibri" w:hAnsi="Times New Roman"/>
          <w:i/>
          <w:iCs/>
          <w:kern w:val="2"/>
          <w:sz w:val="24"/>
          <w:szCs w:val="24"/>
          <w:lang w:eastAsia="en-US"/>
        </w:rPr>
        <w:t>Advances in Social Sciences Research Journal, 8</w:t>
      </w:r>
      <w:r>
        <w:rPr>
          <w:rFonts w:ascii="Times New Roman" w:eastAsia="Calibri" w:hAnsi="Times New Roman"/>
          <w:kern w:val="2"/>
          <w:sz w:val="24"/>
          <w:szCs w:val="24"/>
          <w:lang w:eastAsia="en-US"/>
        </w:rPr>
        <w:t xml:space="preserve">(1), 81–93. </w:t>
      </w:r>
      <w:hyperlink r:id="rId21" w:tgtFrame="_new" w:history="1">
        <w:r w:rsidR="004F25DA">
          <w:rPr>
            <w:rFonts w:ascii="Times New Roman" w:eastAsia="Calibri" w:hAnsi="Times New Roman"/>
            <w:kern w:val="2"/>
            <w:sz w:val="24"/>
            <w:szCs w:val="24"/>
            <w:u w:val="single"/>
            <w:lang w:eastAsia="en-US"/>
          </w:rPr>
          <w:t>https://doi.org/10.14738/assrj.81.9027</w:t>
        </w:r>
      </w:hyperlink>
    </w:p>
    <w:p w14:paraId="367097E4"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Ite, A. E., </w:t>
      </w:r>
      <w:proofErr w:type="spellStart"/>
      <w:r>
        <w:rPr>
          <w:rFonts w:ascii="Times New Roman" w:eastAsia="Calibri" w:hAnsi="Times New Roman"/>
          <w:kern w:val="2"/>
          <w:sz w:val="24"/>
          <w:szCs w:val="24"/>
          <w:lang w:eastAsia="en-US"/>
        </w:rPr>
        <w:t>Ibok</w:t>
      </w:r>
      <w:proofErr w:type="spellEnd"/>
      <w:r>
        <w:rPr>
          <w:rFonts w:ascii="Times New Roman" w:eastAsia="Calibri" w:hAnsi="Times New Roman"/>
          <w:kern w:val="2"/>
          <w:sz w:val="24"/>
          <w:szCs w:val="24"/>
          <w:lang w:eastAsia="en-US"/>
        </w:rPr>
        <w:t xml:space="preserve">, U. J., Ite, M. U., &amp; Petters, S. W. (2013). Petroleum exploration and production: Past and present environmental issues in Nigeria’s Niger Delta. </w:t>
      </w:r>
      <w:r>
        <w:rPr>
          <w:rFonts w:ascii="Times New Roman" w:eastAsia="Calibri" w:hAnsi="Times New Roman"/>
          <w:i/>
          <w:iCs/>
          <w:kern w:val="2"/>
          <w:sz w:val="24"/>
          <w:szCs w:val="24"/>
          <w:lang w:eastAsia="en-US"/>
        </w:rPr>
        <w:t xml:space="preserve">American Journal of Environmental </w:t>
      </w:r>
      <w:r>
        <w:rPr>
          <w:rFonts w:ascii="Times New Roman" w:eastAsia="Calibri" w:hAnsi="Times New Roman"/>
          <w:i/>
          <w:iCs/>
          <w:kern w:val="2"/>
          <w:sz w:val="24"/>
          <w:szCs w:val="24"/>
          <w:lang w:eastAsia="en-US"/>
        </w:rPr>
        <w:t>Protection, 1</w:t>
      </w:r>
      <w:r>
        <w:rPr>
          <w:rFonts w:ascii="Times New Roman" w:eastAsia="Calibri" w:hAnsi="Times New Roman"/>
          <w:kern w:val="2"/>
          <w:sz w:val="24"/>
          <w:szCs w:val="24"/>
          <w:lang w:eastAsia="en-US"/>
        </w:rPr>
        <w:t xml:space="preserve">(4), 78–90. </w:t>
      </w:r>
      <w:hyperlink r:id="rId22" w:tgtFrame="_new" w:history="1">
        <w:r w:rsidR="004F25DA">
          <w:rPr>
            <w:rFonts w:ascii="Times New Roman" w:eastAsia="Calibri" w:hAnsi="Times New Roman"/>
            <w:kern w:val="2"/>
            <w:sz w:val="24"/>
            <w:szCs w:val="24"/>
            <w:u w:val="single"/>
            <w:lang w:eastAsia="en-US"/>
          </w:rPr>
          <w:t>https://doi.org/10.11648/j.ajep.20130104.11</w:t>
        </w:r>
      </w:hyperlink>
    </w:p>
    <w:p w14:paraId="187FE477"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Kerner, P., </w:t>
      </w:r>
      <w:proofErr w:type="spellStart"/>
      <w:r>
        <w:rPr>
          <w:rFonts w:ascii="Times New Roman" w:eastAsia="Calibri" w:hAnsi="Times New Roman"/>
          <w:kern w:val="2"/>
          <w:sz w:val="24"/>
          <w:szCs w:val="24"/>
          <w:lang w:eastAsia="en-US"/>
        </w:rPr>
        <w:t>Pohoata</w:t>
      </w:r>
      <w:proofErr w:type="spellEnd"/>
      <w:r>
        <w:rPr>
          <w:rFonts w:ascii="Times New Roman" w:eastAsia="Calibri" w:hAnsi="Times New Roman"/>
          <w:kern w:val="2"/>
          <w:sz w:val="24"/>
          <w:szCs w:val="24"/>
          <w:lang w:eastAsia="en-US"/>
        </w:rPr>
        <w:t>, A., &amp; Lehmann, J. (2023). Microbial responses to biochar soil amendment and implications for soi</w:t>
      </w:r>
      <w:r>
        <w:rPr>
          <w:rFonts w:ascii="Times New Roman" w:eastAsia="Calibri" w:hAnsi="Times New Roman"/>
          <w:kern w:val="2"/>
          <w:sz w:val="24"/>
          <w:szCs w:val="24"/>
          <w:lang w:eastAsia="en-US"/>
        </w:rPr>
        <w:t xml:space="preserve">l health. </w:t>
      </w:r>
      <w:r>
        <w:rPr>
          <w:rFonts w:ascii="Times New Roman" w:eastAsia="Calibri" w:hAnsi="Times New Roman"/>
          <w:i/>
          <w:iCs/>
          <w:kern w:val="2"/>
          <w:sz w:val="24"/>
          <w:szCs w:val="24"/>
          <w:lang w:eastAsia="en-US"/>
        </w:rPr>
        <w:t>Frontiers in Microbiology, 14,</w:t>
      </w:r>
      <w:r>
        <w:rPr>
          <w:rFonts w:ascii="Times New Roman" w:eastAsia="Calibri" w:hAnsi="Times New Roman"/>
          <w:kern w:val="2"/>
          <w:sz w:val="24"/>
          <w:szCs w:val="24"/>
          <w:lang w:eastAsia="en-US"/>
        </w:rPr>
        <w:t xml:space="preserve"> 118. </w:t>
      </w:r>
      <w:hyperlink r:id="rId23" w:tgtFrame="_new" w:history="1">
        <w:r w:rsidR="004F25DA">
          <w:rPr>
            <w:rFonts w:ascii="Times New Roman" w:eastAsia="Calibri" w:hAnsi="Times New Roman"/>
            <w:kern w:val="2"/>
            <w:sz w:val="24"/>
            <w:szCs w:val="24"/>
            <w:u w:val="single"/>
            <w:lang w:eastAsia="en-US"/>
          </w:rPr>
          <w:t>https://doi.org/10.3389/fmicb.2023.10702529</w:t>
        </w:r>
      </w:hyperlink>
    </w:p>
    <w:p w14:paraId="7D6C6C83"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Khan, F. I., Husain, T., &amp; Hejazi, R. (2004). An overview and analysis of site remediation techn</w:t>
      </w:r>
      <w:r>
        <w:rPr>
          <w:rFonts w:ascii="Times New Roman" w:eastAsia="Calibri" w:hAnsi="Times New Roman"/>
          <w:kern w:val="2"/>
          <w:sz w:val="24"/>
          <w:szCs w:val="24"/>
          <w:lang w:eastAsia="en-US"/>
        </w:rPr>
        <w:t xml:space="preserve">ologies. </w:t>
      </w:r>
      <w:r>
        <w:rPr>
          <w:rFonts w:ascii="Times New Roman" w:eastAsia="Calibri" w:hAnsi="Times New Roman"/>
          <w:i/>
          <w:iCs/>
          <w:kern w:val="2"/>
          <w:sz w:val="24"/>
          <w:szCs w:val="24"/>
          <w:lang w:eastAsia="en-US"/>
        </w:rPr>
        <w:t>Journal of Environmental Management, 71</w:t>
      </w:r>
      <w:r>
        <w:rPr>
          <w:rFonts w:ascii="Times New Roman" w:eastAsia="Calibri" w:hAnsi="Times New Roman"/>
          <w:kern w:val="2"/>
          <w:sz w:val="24"/>
          <w:szCs w:val="24"/>
          <w:lang w:eastAsia="en-US"/>
        </w:rPr>
        <w:t xml:space="preserve">(2), 95–122. </w:t>
      </w:r>
      <w:hyperlink r:id="rId24" w:tgtFrame="_new" w:history="1">
        <w:r w:rsidR="004F25DA">
          <w:rPr>
            <w:rFonts w:ascii="Times New Roman" w:eastAsia="Calibri" w:hAnsi="Times New Roman"/>
            <w:kern w:val="2"/>
            <w:sz w:val="24"/>
            <w:szCs w:val="24"/>
            <w:u w:val="single"/>
            <w:lang w:eastAsia="en-US"/>
          </w:rPr>
          <w:t>https://doi.org/10.1016/j.jenvman.2004.02.003</w:t>
        </w:r>
      </w:hyperlink>
    </w:p>
    <w:p w14:paraId="438BE223"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Lehmann, J., &amp; Joseph, S. (Eds.). (2015). </w:t>
      </w:r>
      <w:r>
        <w:rPr>
          <w:rFonts w:ascii="Times New Roman" w:eastAsia="Calibri" w:hAnsi="Times New Roman"/>
          <w:i/>
          <w:iCs/>
          <w:kern w:val="2"/>
          <w:sz w:val="24"/>
          <w:szCs w:val="24"/>
          <w:lang w:eastAsia="en-US"/>
        </w:rPr>
        <w:t>Biochar for environmental managemen</w:t>
      </w:r>
      <w:r>
        <w:rPr>
          <w:rFonts w:ascii="Times New Roman" w:eastAsia="Calibri" w:hAnsi="Times New Roman"/>
          <w:i/>
          <w:iCs/>
          <w:kern w:val="2"/>
          <w:sz w:val="24"/>
          <w:szCs w:val="24"/>
          <w:lang w:eastAsia="en-US"/>
        </w:rPr>
        <w:t>t: Science, technology and implementation</w:t>
      </w:r>
      <w:r>
        <w:rPr>
          <w:rFonts w:ascii="Times New Roman" w:eastAsia="Calibri" w:hAnsi="Times New Roman"/>
          <w:kern w:val="2"/>
          <w:sz w:val="24"/>
          <w:szCs w:val="24"/>
          <w:lang w:eastAsia="en-US"/>
        </w:rPr>
        <w:t xml:space="preserve"> (2nd ed.). Routledge. </w:t>
      </w:r>
      <w:hyperlink r:id="rId25" w:tgtFrame="_new" w:history="1">
        <w:r w:rsidR="004F25DA">
          <w:rPr>
            <w:rFonts w:ascii="Times New Roman" w:eastAsia="Calibri" w:hAnsi="Times New Roman"/>
            <w:kern w:val="2"/>
            <w:sz w:val="24"/>
            <w:szCs w:val="24"/>
            <w:u w:val="single"/>
            <w:lang w:eastAsia="en-US"/>
          </w:rPr>
          <w:t>https://doi.org/10.4324/9780203762264</w:t>
        </w:r>
      </w:hyperlink>
    </w:p>
    <w:p w14:paraId="686F3EFD" w14:textId="77777777" w:rsidR="004F25DA" w:rsidRDefault="000D7CBB">
      <w:pPr>
        <w:jc w:val="both"/>
        <w:rPr>
          <w:rFonts w:ascii="Times New Roman" w:eastAsia="Calibri" w:hAnsi="Times New Roman"/>
          <w:kern w:val="2"/>
          <w:sz w:val="24"/>
          <w:szCs w:val="24"/>
          <w:u w:val="single"/>
          <w:lang w:eastAsia="en-US"/>
        </w:rPr>
      </w:pPr>
      <w:r>
        <w:rPr>
          <w:rFonts w:ascii="Times New Roman" w:eastAsia="Calibri" w:hAnsi="Times New Roman"/>
          <w:kern w:val="2"/>
          <w:sz w:val="24"/>
          <w:szCs w:val="24"/>
          <w:lang w:eastAsia="en-US"/>
        </w:rPr>
        <w:t>Liu, X., Zhang, A., Ji, C., Joseph, S., Bian, R., Li, L., Cui, L., Zheng, J., &amp; Pan, G. (2</w:t>
      </w:r>
      <w:r>
        <w:rPr>
          <w:rFonts w:ascii="Times New Roman" w:eastAsia="Calibri" w:hAnsi="Times New Roman"/>
          <w:kern w:val="2"/>
          <w:sz w:val="24"/>
          <w:szCs w:val="24"/>
          <w:lang w:eastAsia="en-US"/>
        </w:rPr>
        <w:t xml:space="preserve">019). Biochar’s role in alleviating the effects of environmental stresses: A review. </w:t>
      </w:r>
      <w:r>
        <w:rPr>
          <w:rFonts w:ascii="Times New Roman" w:eastAsia="Calibri" w:hAnsi="Times New Roman"/>
          <w:i/>
          <w:iCs/>
          <w:kern w:val="2"/>
          <w:sz w:val="24"/>
          <w:szCs w:val="24"/>
          <w:lang w:eastAsia="en-US"/>
        </w:rPr>
        <w:t>Science of the Total Environment, 650,</w:t>
      </w:r>
      <w:r>
        <w:rPr>
          <w:rFonts w:ascii="Times New Roman" w:eastAsia="Calibri" w:hAnsi="Times New Roman"/>
          <w:kern w:val="2"/>
          <w:sz w:val="24"/>
          <w:szCs w:val="24"/>
          <w:lang w:eastAsia="en-US"/>
        </w:rPr>
        <w:t xml:space="preserve"> 3083–3093. </w:t>
      </w:r>
      <w:hyperlink r:id="rId26" w:tgtFrame="_new" w:history="1">
        <w:r w:rsidR="004F25DA">
          <w:rPr>
            <w:rFonts w:ascii="Times New Roman" w:eastAsia="Calibri" w:hAnsi="Times New Roman"/>
            <w:kern w:val="2"/>
            <w:sz w:val="24"/>
            <w:szCs w:val="24"/>
            <w:u w:val="single"/>
            <w:lang w:eastAsia="en-US"/>
          </w:rPr>
          <w:t>https://doi.org/10.1016/j.scitotenv.2018.10.045</w:t>
        </w:r>
      </w:hyperlink>
    </w:p>
    <w:p w14:paraId="0ED06DCB" w14:textId="77777777" w:rsidR="004F25DA" w:rsidRDefault="000D7CBB">
      <w:pPr>
        <w:jc w:val="both"/>
        <w:rPr>
          <w:rFonts w:ascii="Times New Roman" w:eastAsia="Calibri" w:hAnsi="Times New Roman"/>
          <w:kern w:val="2"/>
          <w:sz w:val="24"/>
          <w:szCs w:val="24"/>
        </w:rPr>
      </w:pPr>
      <w:r>
        <w:rPr>
          <w:rFonts w:ascii="Times New Roman" w:eastAsia="Calibri" w:hAnsi="Times New Roman"/>
          <w:kern w:val="2"/>
          <w:sz w:val="24"/>
          <w:szCs w:val="24"/>
        </w:rPr>
        <w:t xml:space="preserve">López Martínez, J. O., Hernández </w:t>
      </w:r>
      <w:proofErr w:type="spellStart"/>
      <w:r>
        <w:rPr>
          <w:rFonts w:ascii="Times New Roman" w:eastAsia="Calibri" w:hAnsi="Times New Roman"/>
          <w:kern w:val="2"/>
          <w:sz w:val="24"/>
          <w:szCs w:val="24"/>
        </w:rPr>
        <w:t>Hernández</w:t>
      </w:r>
      <w:proofErr w:type="spellEnd"/>
      <w:r>
        <w:rPr>
          <w:rFonts w:ascii="Times New Roman" w:eastAsia="Calibri" w:hAnsi="Times New Roman"/>
          <w:kern w:val="2"/>
          <w:sz w:val="24"/>
          <w:szCs w:val="24"/>
        </w:rPr>
        <w:t xml:space="preserve">, J. L., Martínez Ramos, J. L., &amp; Saucedo Terán, R. A. (2020). Biochar as a tool for the bioremediation of hydrocarbon contaminated soils in arid regions of Mexico. </w:t>
      </w:r>
      <w:r>
        <w:rPr>
          <w:rFonts w:ascii="Times New Roman" w:eastAsia="Calibri" w:hAnsi="Times New Roman"/>
          <w:i/>
          <w:iCs/>
          <w:kern w:val="2"/>
          <w:sz w:val="24"/>
          <w:szCs w:val="24"/>
        </w:rPr>
        <w:t>Environmental Technology, 41</w:t>
      </w:r>
      <w:r>
        <w:rPr>
          <w:rFonts w:ascii="Times New Roman" w:eastAsia="Calibri" w:hAnsi="Times New Roman"/>
          <w:kern w:val="2"/>
          <w:sz w:val="24"/>
          <w:szCs w:val="24"/>
        </w:rPr>
        <w:t xml:space="preserve">(17), 2206–2215. </w:t>
      </w:r>
      <w:hyperlink r:id="rId27" w:tgtFrame="_blank" w:history="1">
        <w:r w:rsidR="004F25DA">
          <w:rPr>
            <w:rFonts w:ascii="Times New Roman" w:eastAsia="Calibri" w:hAnsi="Times New Roman"/>
            <w:kern w:val="2"/>
            <w:sz w:val="24"/>
            <w:szCs w:val="24"/>
            <w:u w:val="single"/>
          </w:rPr>
          <w:t>https://doi.org/10.1080/09593330.2018.1551431</w:t>
        </w:r>
      </w:hyperlink>
    </w:p>
    <w:p w14:paraId="6D10BE37" w14:textId="77777777" w:rsidR="004F25DA" w:rsidRDefault="004F25DA">
      <w:pPr>
        <w:jc w:val="both"/>
        <w:rPr>
          <w:rFonts w:ascii="Times New Roman" w:eastAsia="Calibri" w:hAnsi="Times New Roman"/>
          <w:kern w:val="2"/>
          <w:sz w:val="24"/>
          <w:szCs w:val="24"/>
          <w:u w:val="single"/>
          <w:lang w:eastAsia="en-US"/>
        </w:rPr>
      </w:pPr>
    </w:p>
    <w:p w14:paraId="365E2A09" w14:textId="77777777" w:rsidR="004F25DA" w:rsidRDefault="000D7CBB">
      <w:pPr>
        <w:jc w:val="both"/>
        <w:rPr>
          <w:rFonts w:ascii="Times New Roman" w:eastAsia="Calibri" w:hAnsi="Times New Roman"/>
          <w:kern w:val="2"/>
          <w:sz w:val="24"/>
          <w:szCs w:val="24"/>
          <w:lang w:eastAsia="en-US"/>
        </w:rPr>
      </w:pPr>
      <w:proofErr w:type="spellStart"/>
      <w:r>
        <w:rPr>
          <w:rFonts w:ascii="Times New Roman" w:eastAsia="Calibri" w:hAnsi="Times New Roman"/>
          <w:kern w:val="2"/>
          <w:sz w:val="24"/>
          <w:szCs w:val="24"/>
          <w:lang w:eastAsia="en-US"/>
        </w:rPr>
        <w:t>Mukome</w:t>
      </w:r>
      <w:proofErr w:type="spellEnd"/>
      <w:r>
        <w:rPr>
          <w:rFonts w:ascii="Times New Roman" w:eastAsia="Calibri" w:hAnsi="Times New Roman"/>
          <w:kern w:val="2"/>
          <w:sz w:val="24"/>
          <w:szCs w:val="24"/>
          <w:lang w:eastAsia="en-US"/>
        </w:rPr>
        <w:t>, F. N. D., Buelow, M. C., Shang, J., Peng, J., Rodriguez, M., Mackay, D. M., &amp; Parikh, S. J. (2020). Biochar amendment as a remedi</w:t>
      </w:r>
      <w:r>
        <w:rPr>
          <w:rFonts w:ascii="Times New Roman" w:eastAsia="Calibri" w:hAnsi="Times New Roman"/>
          <w:kern w:val="2"/>
          <w:sz w:val="24"/>
          <w:szCs w:val="24"/>
          <w:lang w:eastAsia="en-US"/>
        </w:rPr>
        <w:t xml:space="preserve">ation strategy for surface soils impacted by crude oil. </w:t>
      </w:r>
      <w:r>
        <w:rPr>
          <w:rFonts w:ascii="Times New Roman" w:eastAsia="Calibri" w:hAnsi="Times New Roman"/>
          <w:i/>
          <w:iCs/>
          <w:kern w:val="2"/>
          <w:sz w:val="24"/>
          <w:szCs w:val="24"/>
          <w:lang w:eastAsia="en-US"/>
        </w:rPr>
        <w:t>Environmental Pollution, 266,</w:t>
      </w:r>
      <w:r>
        <w:rPr>
          <w:rFonts w:ascii="Times New Roman" w:eastAsia="Calibri" w:hAnsi="Times New Roman"/>
          <w:kern w:val="2"/>
          <w:sz w:val="24"/>
          <w:szCs w:val="24"/>
          <w:lang w:eastAsia="en-US"/>
        </w:rPr>
        <w:t xml:space="preserve"> 115006. </w:t>
      </w:r>
      <w:hyperlink r:id="rId28" w:tgtFrame="_new" w:history="1">
        <w:r w:rsidR="004F25DA">
          <w:rPr>
            <w:rFonts w:ascii="Times New Roman" w:eastAsia="Calibri" w:hAnsi="Times New Roman"/>
            <w:kern w:val="2"/>
            <w:sz w:val="24"/>
            <w:szCs w:val="24"/>
            <w:u w:val="single"/>
            <w:lang w:eastAsia="en-US"/>
          </w:rPr>
          <w:t>https://doi.org/10.1016/j.envpol.2020.115006</w:t>
        </w:r>
      </w:hyperlink>
    </w:p>
    <w:p w14:paraId="557F5E08"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Narayanan, M., Chopra, A., Swaminathan, K., &amp; </w:t>
      </w:r>
      <w:proofErr w:type="spellStart"/>
      <w:r>
        <w:rPr>
          <w:rFonts w:ascii="Times New Roman" w:eastAsia="Calibri" w:hAnsi="Times New Roman"/>
          <w:kern w:val="2"/>
          <w:sz w:val="24"/>
          <w:szCs w:val="24"/>
          <w:lang w:eastAsia="en-US"/>
        </w:rPr>
        <w:t>Varjani</w:t>
      </w:r>
      <w:proofErr w:type="spellEnd"/>
      <w:r>
        <w:rPr>
          <w:rFonts w:ascii="Times New Roman" w:eastAsia="Calibri" w:hAnsi="Times New Roman"/>
          <w:kern w:val="2"/>
          <w:sz w:val="24"/>
          <w:szCs w:val="24"/>
          <w:lang w:eastAsia="en-US"/>
        </w:rPr>
        <w:t xml:space="preserve">, S. (2022). Influences of biochar on bioremediation and phytoremediation of petroleum hydrocarbon contaminated soils: A review. </w:t>
      </w:r>
      <w:r>
        <w:rPr>
          <w:rFonts w:ascii="Times New Roman" w:eastAsia="Calibri" w:hAnsi="Times New Roman"/>
          <w:i/>
          <w:iCs/>
          <w:kern w:val="2"/>
          <w:sz w:val="24"/>
          <w:szCs w:val="24"/>
          <w:lang w:eastAsia="en-US"/>
        </w:rPr>
        <w:t>Frontiers in Microbiology, 13,</w:t>
      </w:r>
      <w:r>
        <w:rPr>
          <w:rFonts w:ascii="Times New Roman" w:eastAsia="Calibri" w:hAnsi="Times New Roman"/>
          <w:kern w:val="2"/>
          <w:sz w:val="24"/>
          <w:szCs w:val="24"/>
          <w:lang w:eastAsia="en-US"/>
        </w:rPr>
        <w:t xml:space="preserve"> 929730. </w:t>
      </w:r>
      <w:hyperlink r:id="rId29" w:tgtFrame="_new" w:history="1">
        <w:r w:rsidR="004F25DA">
          <w:rPr>
            <w:rFonts w:ascii="Times New Roman" w:eastAsia="Calibri" w:hAnsi="Times New Roman"/>
            <w:kern w:val="2"/>
            <w:sz w:val="24"/>
            <w:szCs w:val="24"/>
            <w:u w:val="single"/>
            <w:lang w:eastAsia="en-US"/>
          </w:rPr>
          <w:t>https://doi.org/10.3389/fmicb.2022.929730</w:t>
        </w:r>
      </w:hyperlink>
    </w:p>
    <w:p w14:paraId="12472CAE" w14:textId="77777777" w:rsidR="004F25DA" w:rsidRDefault="000D7CBB">
      <w:pPr>
        <w:jc w:val="both"/>
        <w:rPr>
          <w:rFonts w:ascii="Times New Roman" w:eastAsia="Calibri" w:hAnsi="Times New Roman"/>
          <w:kern w:val="2"/>
          <w:sz w:val="24"/>
          <w:szCs w:val="24"/>
          <w:lang w:eastAsia="en-US"/>
        </w:rPr>
      </w:pPr>
      <w:proofErr w:type="spellStart"/>
      <w:r>
        <w:rPr>
          <w:rFonts w:ascii="Times New Roman" w:eastAsia="Calibri" w:hAnsi="Times New Roman"/>
          <w:kern w:val="2"/>
          <w:sz w:val="24"/>
          <w:szCs w:val="24"/>
          <w:lang w:eastAsia="en-US"/>
        </w:rPr>
        <w:lastRenderedPageBreak/>
        <w:t>Nkereuwem</w:t>
      </w:r>
      <w:proofErr w:type="spellEnd"/>
      <w:r>
        <w:rPr>
          <w:rFonts w:ascii="Times New Roman" w:eastAsia="Calibri" w:hAnsi="Times New Roman"/>
          <w:kern w:val="2"/>
          <w:sz w:val="24"/>
          <w:szCs w:val="24"/>
          <w:lang w:eastAsia="en-US"/>
        </w:rPr>
        <w:t xml:space="preserve">, M. E., Etim, E. E., &amp; </w:t>
      </w:r>
      <w:proofErr w:type="spellStart"/>
      <w:r>
        <w:rPr>
          <w:rFonts w:ascii="Times New Roman" w:eastAsia="Calibri" w:hAnsi="Times New Roman"/>
          <w:kern w:val="2"/>
          <w:sz w:val="24"/>
          <w:szCs w:val="24"/>
          <w:lang w:eastAsia="en-US"/>
        </w:rPr>
        <w:t>Nse</w:t>
      </w:r>
      <w:proofErr w:type="spellEnd"/>
      <w:r>
        <w:rPr>
          <w:rFonts w:ascii="Times New Roman" w:eastAsia="Calibri" w:hAnsi="Times New Roman"/>
          <w:kern w:val="2"/>
          <w:sz w:val="24"/>
          <w:szCs w:val="24"/>
          <w:lang w:eastAsia="en-US"/>
        </w:rPr>
        <w:t xml:space="preserve">, J. A. (2025). </w:t>
      </w:r>
      <w:proofErr w:type="spellStart"/>
      <w:r>
        <w:rPr>
          <w:rFonts w:ascii="Times New Roman" w:eastAsia="Calibri" w:hAnsi="Times New Roman"/>
          <w:kern w:val="2"/>
          <w:sz w:val="24"/>
          <w:szCs w:val="24"/>
          <w:lang w:eastAsia="en-US"/>
        </w:rPr>
        <w:t>Biostimulatory</w:t>
      </w:r>
      <w:proofErr w:type="spellEnd"/>
      <w:r>
        <w:rPr>
          <w:rFonts w:ascii="Times New Roman" w:eastAsia="Calibri" w:hAnsi="Times New Roman"/>
          <w:kern w:val="2"/>
          <w:sz w:val="24"/>
          <w:szCs w:val="24"/>
          <w:lang w:eastAsia="en-US"/>
        </w:rPr>
        <w:t xml:space="preserve"> influence of biochar on degradation of petroleum hydrocarbon impacted soil. </w:t>
      </w:r>
      <w:r>
        <w:rPr>
          <w:rFonts w:ascii="Times New Roman" w:eastAsia="Calibri" w:hAnsi="Times New Roman"/>
          <w:i/>
          <w:iCs/>
          <w:kern w:val="2"/>
          <w:sz w:val="24"/>
          <w:szCs w:val="24"/>
          <w:lang w:eastAsia="en-US"/>
        </w:rPr>
        <w:t>Indonesian Journal of Social and Environmental Issues, 2</w:t>
      </w:r>
      <w:r>
        <w:rPr>
          <w:rFonts w:ascii="Times New Roman" w:eastAsia="Calibri" w:hAnsi="Times New Roman"/>
          <w:kern w:val="2"/>
          <w:sz w:val="24"/>
          <w:szCs w:val="24"/>
          <w:lang w:eastAsia="en-US"/>
        </w:rPr>
        <w:t>(3), 227–234.</w:t>
      </w:r>
    </w:p>
    <w:p w14:paraId="4F89C589"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Novak, J. M., </w:t>
      </w:r>
      <w:r>
        <w:rPr>
          <w:rFonts w:ascii="Times New Roman" w:eastAsia="Calibri" w:hAnsi="Times New Roman"/>
          <w:kern w:val="2"/>
          <w:sz w:val="24"/>
          <w:szCs w:val="24"/>
          <w:lang w:eastAsia="en-US"/>
        </w:rPr>
        <w:t xml:space="preserve">Busscher, W. J., Laird, D. L., </w:t>
      </w:r>
      <w:proofErr w:type="spellStart"/>
      <w:r>
        <w:rPr>
          <w:rFonts w:ascii="Times New Roman" w:eastAsia="Calibri" w:hAnsi="Times New Roman"/>
          <w:kern w:val="2"/>
          <w:sz w:val="24"/>
          <w:szCs w:val="24"/>
          <w:lang w:eastAsia="en-US"/>
        </w:rPr>
        <w:t>Ahmedna</w:t>
      </w:r>
      <w:proofErr w:type="spellEnd"/>
      <w:r>
        <w:rPr>
          <w:rFonts w:ascii="Times New Roman" w:eastAsia="Calibri" w:hAnsi="Times New Roman"/>
          <w:kern w:val="2"/>
          <w:sz w:val="24"/>
          <w:szCs w:val="24"/>
          <w:lang w:eastAsia="en-US"/>
        </w:rPr>
        <w:t xml:space="preserve">, M., Watts, D. W., &amp; </w:t>
      </w:r>
      <w:proofErr w:type="spellStart"/>
      <w:r>
        <w:rPr>
          <w:rFonts w:ascii="Times New Roman" w:eastAsia="Calibri" w:hAnsi="Times New Roman"/>
          <w:kern w:val="2"/>
          <w:sz w:val="24"/>
          <w:szCs w:val="24"/>
          <w:lang w:eastAsia="en-US"/>
        </w:rPr>
        <w:t>Niandou</w:t>
      </w:r>
      <w:proofErr w:type="spellEnd"/>
      <w:r>
        <w:rPr>
          <w:rFonts w:ascii="Times New Roman" w:eastAsia="Calibri" w:hAnsi="Times New Roman"/>
          <w:kern w:val="2"/>
          <w:sz w:val="24"/>
          <w:szCs w:val="24"/>
          <w:lang w:eastAsia="en-US"/>
        </w:rPr>
        <w:t xml:space="preserve">, M. A. S. (2009). Impact of biochar amendment on fertility of a southeastern coastal plain soil. </w:t>
      </w:r>
      <w:r>
        <w:rPr>
          <w:rFonts w:ascii="Times New Roman" w:eastAsia="Calibri" w:hAnsi="Times New Roman"/>
          <w:i/>
          <w:iCs/>
          <w:kern w:val="2"/>
          <w:sz w:val="24"/>
          <w:szCs w:val="24"/>
          <w:lang w:eastAsia="en-US"/>
        </w:rPr>
        <w:t>Soil Science, 174</w:t>
      </w:r>
      <w:r>
        <w:rPr>
          <w:rFonts w:ascii="Times New Roman" w:eastAsia="Calibri" w:hAnsi="Times New Roman"/>
          <w:kern w:val="2"/>
          <w:sz w:val="24"/>
          <w:szCs w:val="24"/>
          <w:lang w:eastAsia="en-US"/>
        </w:rPr>
        <w:t xml:space="preserve">(2), 105–112. </w:t>
      </w:r>
      <w:hyperlink r:id="rId30" w:tgtFrame="_new" w:history="1">
        <w:r w:rsidR="004F25DA">
          <w:rPr>
            <w:rFonts w:ascii="Times New Roman" w:eastAsia="Calibri" w:hAnsi="Times New Roman"/>
            <w:kern w:val="2"/>
            <w:sz w:val="24"/>
            <w:szCs w:val="24"/>
            <w:u w:val="single"/>
            <w:lang w:eastAsia="en-US"/>
          </w:rPr>
          <w:t>https://doi.org/10.1097/SS.0b013e3181981d9a</w:t>
        </w:r>
      </w:hyperlink>
    </w:p>
    <w:p w14:paraId="736BE6B1"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Nwankwo, C. U., &amp; Ayuba, T. T. (2023). Enhancement of soil fertility in petroleum-contaminated lands using hardwood biochar: A case from the southern Niger Delta. </w:t>
      </w:r>
      <w:r>
        <w:rPr>
          <w:rFonts w:ascii="Times New Roman" w:eastAsia="Calibri" w:hAnsi="Times New Roman"/>
          <w:i/>
          <w:iCs/>
          <w:kern w:val="2"/>
          <w:sz w:val="24"/>
          <w:szCs w:val="24"/>
          <w:lang w:eastAsia="en-US"/>
        </w:rPr>
        <w:t xml:space="preserve">African Journal of Environmental </w:t>
      </w:r>
      <w:r>
        <w:rPr>
          <w:rFonts w:ascii="Times New Roman" w:eastAsia="Calibri" w:hAnsi="Times New Roman"/>
          <w:i/>
          <w:iCs/>
          <w:kern w:val="2"/>
          <w:sz w:val="24"/>
          <w:szCs w:val="24"/>
          <w:lang w:eastAsia="en-US"/>
        </w:rPr>
        <w:t>Science and Technology, 17</w:t>
      </w:r>
      <w:r>
        <w:rPr>
          <w:rFonts w:ascii="Times New Roman" w:eastAsia="Calibri" w:hAnsi="Times New Roman"/>
          <w:kern w:val="2"/>
          <w:sz w:val="24"/>
          <w:szCs w:val="24"/>
          <w:lang w:eastAsia="en-US"/>
        </w:rPr>
        <w:t xml:space="preserve">(3), 98–108. </w:t>
      </w:r>
      <w:hyperlink r:id="rId31" w:tgtFrame="_new" w:history="1">
        <w:r w:rsidR="004F25DA">
          <w:rPr>
            <w:rFonts w:ascii="Times New Roman" w:eastAsia="Calibri" w:hAnsi="Times New Roman"/>
            <w:kern w:val="2"/>
            <w:sz w:val="24"/>
            <w:szCs w:val="24"/>
            <w:u w:val="single"/>
            <w:lang w:eastAsia="en-US"/>
          </w:rPr>
          <w:t>https://doi.org/10.5897/AJEST2023.3200</w:t>
        </w:r>
      </w:hyperlink>
    </w:p>
    <w:p w14:paraId="0D7E10E9"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Ogunyemi, S., </w:t>
      </w:r>
      <w:proofErr w:type="spellStart"/>
      <w:r>
        <w:rPr>
          <w:rFonts w:ascii="Times New Roman" w:eastAsia="Calibri" w:hAnsi="Times New Roman"/>
          <w:kern w:val="2"/>
          <w:sz w:val="24"/>
          <w:szCs w:val="24"/>
          <w:lang w:eastAsia="en-US"/>
        </w:rPr>
        <w:t>Awotoye</w:t>
      </w:r>
      <w:proofErr w:type="spellEnd"/>
      <w:r>
        <w:rPr>
          <w:rFonts w:ascii="Times New Roman" w:eastAsia="Calibri" w:hAnsi="Times New Roman"/>
          <w:kern w:val="2"/>
          <w:sz w:val="24"/>
          <w:szCs w:val="24"/>
          <w:lang w:eastAsia="en-US"/>
        </w:rPr>
        <w:t xml:space="preserve">, O. O., &amp; Oyedeji, A. A. (2018). Biochar from different </w:t>
      </w:r>
      <w:proofErr w:type="spellStart"/>
      <w:r>
        <w:rPr>
          <w:rFonts w:ascii="Times New Roman" w:eastAsia="Calibri" w:hAnsi="Times New Roman"/>
          <w:kern w:val="2"/>
          <w:sz w:val="24"/>
          <w:szCs w:val="24"/>
          <w:lang w:eastAsia="en-US"/>
        </w:rPr>
        <w:t>agro</w:t>
      </w:r>
      <w:proofErr w:type="spellEnd"/>
      <w:r>
        <w:rPr>
          <w:rFonts w:ascii="Times New Roman" w:eastAsia="Calibri" w:hAnsi="Times New Roman"/>
          <w:kern w:val="2"/>
          <w:sz w:val="24"/>
          <w:szCs w:val="24"/>
          <w:lang w:eastAsia="en-US"/>
        </w:rPr>
        <w:t>-wastes for remediation of crud</w:t>
      </w:r>
      <w:r>
        <w:rPr>
          <w:rFonts w:ascii="Times New Roman" w:eastAsia="Calibri" w:hAnsi="Times New Roman"/>
          <w:kern w:val="2"/>
          <w:sz w:val="24"/>
          <w:szCs w:val="24"/>
          <w:lang w:eastAsia="en-US"/>
        </w:rPr>
        <w:t xml:space="preserve">e oil-contaminated soil: A comparative study. </w:t>
      </w:r>
      <w:r>
        <w:rPr>
          <w:rFonts w:ascii="Times New Roman" w:eastAsia="Calibri" w:hAnsi="Times New Roman"/>
          <w:i/>
          <w:iCs/>
          <w:kern w:val="2"/>
          <w:sz w:val="24"/>
          <w:szCs w:val="24"/>
          <w:lang w:eastAsia="en-US"/>
        </w:rPr>
        <w:t>Soil and Environment, 37</w:t>
      </w:r>
      <w:r>
        <w:rPr>
          <w:rFonts w:ascii="Times New Roman" w:eastAsia="Calibri" w:hAnsi="Times New Roman"/>
          <w:kern w:val="2"/>
          <w:sz w:val="24"/>
          <w:szCs w:val="24"/>
          <w:lang w:eastAsia="en-US"/>
        </w:rPr>
        <w:t>(2), 179–187.</w:t>
      </w:r>
    </w:p>
    <w:p w14:paraId="385B70D2" w14:textId="77777777" w:rsidR="004F25DA" w:rsidRDefault="000D7CBB">
      <w:pPr>
        <w:jc w:val="both"/>
        <w:rPr>
          <w:rFonts w:ascii="Times New Roman" w:eastAsia="Calibri" w:hAnsi="Times New Roman"/>
          <w:kern w:val="2"/>
          <w:sz w:val="24"/>
          <w:szCs w:val="24"/>
          <w:u w:val="single"/>
          <w:lang w:eastAsia="en-US"/>
        </w:rPr>
      </w:pPr>
      <w:r>
        <w:rPr>
          <w:rFonts w:ascii="Times New Roman" w:eastAsia="Calibri" w:hAnsi="Times New Roman"/>
          <w:kern w:val="2"/>
          <w:sz w:val="24"/>
          <w:szCs w:val="24"/>
          <w:lang w:eastAsia="en-US"/>
        </w:rPr>
        <w:t>Okon, O. E., Samuel, O. A., &amp; Ihuoma, J. N. (2020). Remediation of crude oil-polluted soil using biochar and its effects on the growth of maize (</w:t>
      </w:r>
      <w:r>
        <w:rPr>
          <w:rFonts w:ascii="Times New Roman" w:eastAsia="Calibri" w:hAnsi="Times New Roman"/>
          <w:i/>
          <w:iCs/>
          <w:kern w:val="2"/>
          <w:sz w:val="24"/>
          <w:szCs w:val="24"/>
          <w:lang w:eastAsia="en-US"/>
        </w:rPr>
        <w:t>Zea mays</w:t>
      </w:r>
      <w:r>
        <w:rPr>
          <w:rFonts w:ascii="Times New Roman" w:eastAsia="Calibri" w:hAnsi="Times New Roman"/>
          <w:kern w:val="2"/>
          <w:sz w:val="24"/>
          <w:szCs w:val="24"/>
          <w:lang w:eastAsia="en-US"/>
        </w:rPr>
        <w:t xml:space="preserve"> L.). </w:t>
      </w:r>
      <w:r>
        <w:rPr>
          <w:rFonts w:ascii="Times New Roman" w:eastAsia="Calibri" w:hAnsi="Times New Roman"/>
          <w:i/>
          <w:iCs/>
          <w:kern w:val="2"/>
          <w:sz w:val="24"/>
          <w:szCs w:val="24"/>
          <w:lang w:eastAsia="en-US"/>
        </w:rPr>
        <w:t xml:space="preserve">Journal of </w:t>
      </w:r>
      <w:r>
        <w:rPr>
          <w:rFonts w:ascii="Times New Roman" w:eastAsia="Calibri" w:hAnsi="Times New Roman"/>
          <w:i/>
          <w:iCs/>
          <w:kern w:val="2"/>
          <w:sz w:val="24"/>
          <w:szCs w:val="24"/>
          <w:lang w:eastAsia="en-US"/>
        </w:rPr>
        <w:t>Applied Sciences and Environmental Management, 24</w:t>
      </w:r>
      <w:r>
        <w:rPr>
          <w:rFonts w:ascii="Times New Roman" w:eastAsia="Calibri" w:hAnsi="Times New Roman"/>
          <w:kern w:val="2"/>
          <w:sz w:val="24"/>
          <w:szCs w:val="24"/>
          <w:lang w:eastAsia="en-US"/>
        </w:rPr>
        <w:t xml:space="preserve">(3), 507–514. </w:t>
      </w:r>
      <w:hyperlink r:id="rId32" w:tgtFrame="_new" w:history="1">
        <w:r w:rsidR="004F25DA">
          <w:rPr>
            <w:rFonts w:ascii="Times New Roman" w:eastAsia="Calibri" w:hAnsi="Times New Roman"/>
            <w:kern w:val="2"/>
            <w:sz w:val="24"/>
            <w:szCs w:val="24"/>
            <w:u w:val="single"/>
            <w:lang w:eastAsia="en-US"/>
          </w:rPr>
          <w:t>https://doi.org/10.4314/jasem.v24i3.23</w:t>
        </w:r>
      </w:hyperlink>
    </w:p>
    <w:p w14:paraId="2703E848" w14:textId="77777777" w:rsidR="004F25DA" w:rsidRDefault="000D7CBB">
      <w:pPr>
        <w:jc w:val="both"/>
        <w:rPr>
          <w:rFonts w:ascii="Times New Roman" w:eastAsia="Calibri" w:hAnsi="Times New Roman"/>
          <w:kern w:val="2"/>
          <w:sz w:val="24"/>
          <w:szCs w:val="24"/>
          <w:u w:val="single"/>
          <w:lang w:eastAsia="en-US"/>
        </w:rPr>
      </w:pPr>
      <w:proofErr w:type="spellStart"/>
      <w:r>
        <w:rPr>
          <w:rFonts w:ascii="Times New Roman" w:eastAsia="SimSun" w:hAnsi="Times New Roman"/>
          <w:sz w:val="24"/>
          <w:szCs w:val="24"/>
        </w:rPr>
        <w:t>Okonokhua</w:t>
      </w:r>
      <w:proofErr w:type="spellEnd"/>
      <w:r>
        <w:rPr>
          <w:rFonts w:ascii="Times New Roman" w:eastAsia="SimSun" w:hAnsi="Times New Roman"/>
          <w:sz w:val="24"/>
          <w:szCs w:val="24"/>
        </w:rPr>
        <w:t xml:space="preserve">, B. O., </w:t>
      </w:r>
      <w:proofErr w:type="spellStart"/>
      <w:r>
        <w:rPr>
          <w:rFonts w:ascii="Times New Roman" w:eastAsia="SimSun" w:hAnsi="Times New Roman"/>
          <w:sz w:val="24"/>
          <w:szCs w:val="24"/>
        </w:rPr>
        <w:t>Ikhajiagbe</w:t>
      </w:r>
      <w:proofErr w:type="spellEnd"/>
      <w:r>
        <w:rPr>
          <w:rFonts w:ascii="Times New Roman" w:eastAsia="SimSun" w:hAnsi="Times New Roman"/>
          <w:sz w:val="24"/>
          <w:szCs w:val="24"/>
        </w:rPr>
        <w:t xml:space="preserve">, B., </w:t>
      </w:r>
      <w:proofErr w:type="spellStart"/>
      <w:r>
        <w:rPr>
          <w:rFonts w:ascii="Times New Roman" w:eastAsia="SimSun" w:hAnsi="Times New Roman"/>
          <w:sz w:val="24"/>
          <w:szCs w:val="24"/>
        </w:rPr>
        <w:t>Anoliefo</w:t>
      </w:r>
      <w:proofErr w:type="spellEnd"/>
      <w:r>
        <w:rPr>
          <w:rFonts w:ascii="Times New Roman" w:eastAsia="SimSun" w:hAnsi="Times New Roman"/>
          <w:sz w:val="24"/>
          <w:szCs w:val="24"/>
        </w:rPr>
        <w:t>, G. O., &amp; Emede, T. O. (2021). Toxicity effect</w:t>
      </w:r>
      <w:r>
        <w:rPr>
          <w:rFonts w:ascii="Times New Roman" w:eastAsia="SimSun" w:hAnsi="Times New Roman"/>
          <w:sz w:val="24"/>
          <w:szCs w:val="24"/>
        </w:rPr>
        <w:t>s of spent engine oil on soil physicochemical properties and maize (</w:t>
      </w:r>
      <w:r>
        <w:rPr>
          <w:rStyle w:val="Emphasis"/>
          <w:rFonts w:ascii="Times New Roman" w:eastAsia="SimSun" w:hAnsi="Times New Roman"/>
          <w:sz w:val="24"/>
          <w:szCs w:val="24"/>
        </w:rPr>
        <w:t>Zea mays</w:t>
      </w:r>
      <w:r>
        <w:rPr>
          <w:rFonts w:ascii="Times New Roman" w:eastAsia="SimSun" w:hAnsi="Times New Roman"/>
          <w:sz w:val="24"/>
          <w:szCs w:val="24"/>
        </w:rPr>
        <w:t xml:space="preserve"> L.) growth. </w:t>
      </w:r>
      <w:r>
        <w:rPr>
          <w:rStyle w:val="Emphasis"/>
          <w:rFonts w:ascii="Times New Roman" w:eastAsia="SimSun" w:hAnsi="Times New Roman"/>
          <w:sz w:val="24"/>
          <w:szCs w:val="24"/>
        </w:rPr>
        <w:t>African Journal of Environmental Science and Technology</w:t>
      </w:r>
      <w:r>
        <w:rPr>
          <w:rFonts w:ascii="Times New Roman" w:eastAsia="SimSun" w:hAnsi="Times New Roman"/>
          <w:sz w:val="24"/>
          <w:szCs w:val="24"/>
        </w:rPr>
        <w:t xml:space="preserve">, </w:t>
      </w:r>
      <w:r>
        <w:rPr>
          <w:rStyle w:val="Emphasis"/>
          <w:rFonts w:ascii="Times New Roman" w:eastAsia="SimSun" w:hAnsi="Times New Roman"/>
          <w:sz w:val="24"/>
          <w:szCs w:val="24"/>
        </w:rPr>
        <w:t>15</w:t>
      </w:r>
      <w:r>
        <w:rPr>
          <w:rFonts w:ascii="Times New Roman" w:eastAsia="SimSun" w:hAnsi="Times New Roman"/>
          <w:sz w:val="24"/>
          <w:szCs w:val="24"/>
        </w:rPr>
        <w:t>(4), 120–128. https://doi.org/10.5897/AJEST2020.2984</w:t>
      </w:r>
    </w:p>
    <w:p w14:paraId="5BF2CA47" w14:textId="77777777" w:rsidR="004F25DA" w:rsidRDefault="000D7CBB">
      <w:pPr>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Olanipekun, O. O. (2017). Bioremediation potential of m</w:t>
      </w:r>
      <w:r>
        <w:rPr>
          <w:rFonts w:ascii="Times New Roman" w:eastAsia="Calibri" w:hAnsi="Times New Roman"/>
          <w:kern w:val="2"/>
          <w:sz w:val="24"/>
          <w:szCs w:val="24"/>
          <w:lang w:eastAsia="en-US"/>
        </w:rPr>
        <w:t>icroorganisms in selected hydrocarbon-contaminated soils of the Niger Delta, Nigeria (Master’s thesis). University of Lagos, Nigeria.</w:t>
      </w:r>
    </w:p>
    <w:p w14:paraId="0C46E182" w14:textId="77777777" w:rsidR="004F25DA" w:rsidRDefault="000D7CBB">
      <w:pPr>
        <w:jc w:val="both"/>
        <w:rPr>
          <w:rFonts w:ascii="Times New Roman" w:eastAsia="Calibri" w:hAnsi="Times New Roman"/>
          <w:kern w:val="2"/>
          <w:sz w:val="24"/>
          <w:szCs w:val="24"/>
          <w:lang w:eastAsia="en-US"/>
        </w:rPr>
      </w:pPr>
      <w:proofErr w:type="spellStart"/>
      <w:r>
        <w:rPr>
          <w:rFonts w:ascii="Times New Roman" w:eastAsia="SimSun" w:hAnsi="Times New Roman"/>
          <w:sz w:val="24"/>
          <w:szCs w:val="24"/>
        </w:rPr>
        <w:t>Omeje</w:t>
      </w:r>
      <w:proofErr w:type="spellEnd"/>
      <w:r>
        <w:rPr>
          <w:rFonts w:ascii="Times New Roman" w:eastAsia="SimSun" w:hAnsi="Times New Roman"/>
          <w:sz w:val="24"/>
          <w:szCs w:val="24"/>
        </w:rPr>
        <w:t xml:space="preserve">, M., Ekene, F., &amp; </w:t>
      </w:r>
      <w:proofErr w:type="spellStart"/>
      <w:r>
        <w:rPr>
          <w:rFonts w:ascii="Times New Roman" w:eastAsia="SimSun" w:hAnsi="Times New Roman"/>
          <w:sz w:val="24"/>
          <w:szCs w:val="24"/>
        </w:rPr>
        <w:t>Okenwa</w:t>
      </w:r>
      <w:proofErr w:type="spellEnd"/>
      <w:r>
        <w:rPr>
          <w:rFonts w:ascii="Times New Roman" w:eastAsia="SimSun" w:hAnsi="Times New Roman"/>
          <w:sz w:val="24"/>
          <w:szCs w:val="24"/>
        </w:rPr>
        <w:t>, C. (2022). Enhancing TPH degradation and soil fertility in crude oil-contaminated Niger De</w:t>
      </w:r>
      <w:r>
        <w:rPr>
          <w:rFonts w:ascii="Times New Roman" w:eastAsia="SimSun" w:hAnsi="Times New Roman"/>
          <w:sz w:val="24"/>
          <w:szCs w:val="24"/>
        </w:rPr>
        <w:t xml:space="preserve">lta soils using biochar amendments. </w:t>
      </w:r>
      <w:r>
        <w:rPr>
          <w:rStyle w:val="Emphasis"/>
          <w:rFonts w:ascii="Times New Roman" w:eastAsia="SimSun" w:hAnsi="Times New Roman"/>
          <w:sz w:val="24"/>
          <w:szCs w:val="24"/>
        </w:rPr>
        <w:t>Nigerian Journal of Soil Science</w:t>
      </w:r>
      <w:r>
        <w:rPr>
          <w:rFonts w:ascii="Times New Roman" w:eastAsia="SimSun" w:hAnsi="Times New Roman"/>
          <w:sz w:val="24"/>
          <w:szCs w:val="24"/>
        </w:rPr>
        <w:t xml:space="preserve">, </w:t>
      </w:r>
      <w:r>
        <w:rPr>
          <w:rStyle w:val="Emphasis"/>
          <w:rFonts w:ascii="Times New Roman" w:eastAsia="SimSun" w:hAnsi="Times New Roman"/>
          <w:sz w:val="24"/>
          <w:szCs w:val="24"/>
        </w:rPr>
        <w:t>32</w:t>
      </w:r>
      <w:r>
        <w:rPr>
          <w:rFonts w:ascii="Times New Roman" w:eastAsia="SimSun" w:hAnsi="Times New Roman"/>
          <w:sz w:val="24"/>
          <w:szCs w:val="24"/>
        </w:rPr>
        <w:t>(1), 28–36.</w:t>
      </w:r>
    </w:p>
    <w:p w14:paraId="1645F84B" w14:textId="77777777" w:rsidR="004F25DA" w:rsidRDefault="000D7CBB">
      <w:pPr>
        <w:jc w:val="both"/>
        <w:rPr>
          <w:rFonts w:ascii="Times New Roman" w:eastAsia="Calibri" w:hAnsi="Times New Roman"/>
          <w:kern w:val="2"/>
          <w:sz w:val="24"/>
          <w:szCs w:val="24"/>
          <w:u w:val="single"/>
          <w:lang w:eastAsia="en-US"/>
        </w:rPr>
      </w:pPr>
      <w:r>
        <w:rPr>
          <w:rFonts w:ascii="Times New Roman" w:eastAsia="Calibri" w:hAnsi="Times New Roman"/>
          <w:kern w:val="2"/>
          <w:sz w:val="24"/>
          <w:szCs w:val="24"/>
          <w:lang w:eastAsia="en-US"/>
        </w:rPr>
        <w:t xml:space="preserve">Saeed, M., Sun, G., Gao, Y., &amp; Xu, H. (2021). </w:t>
      </w:r>
      <w:proofErr w:type="spellStart"/>
      <w:r>
        <w:rPr>
          <w:rFonts w:ascii="Times New Roman" w:eastAsia="Calibri" w:hAnsi="Times New Roman"/>
          <w:kern w:val="2"/>
          <w:sz w:val="24"/>
          <w:szCs w:val="24"/>
          <w:lang w:eastAsia="en-US"/>
        </w:rPr>
        <w:t>Biostimulation</w:t>
      </w:r>
      <w:proofErr w:type="spellEnd"/>
      <w:r>
        <w:rPr>
          <w:rFonts w:ascii="Times New Roman" w:eastAsia="Calibri" w:hAnsi="Times New Roman"/>
          <w:kern w:val="2"/>
          <w:sz w:val="24"/>
          <w:szCs w:val="24"/>
          <w:lang w:eastAsia="en-US"/>
        </w:rPr>
        <w:t xml:space="preserve"> potential of biochar for remediating hydrocarbon-polluted soil. </w:t>
      </w:r>
      <w:r>
        <w:rPr>
          <w:rFonts w:ascii="Times New Roman" w:eastAsia="Calibri" w:hAnsi="Times New Roman"/>
          <w:i/>
          <w:iCs/>
          <w:kern w:val="2"/>
          <w:sz w:val="24"/>
          <w:szCs w:val="24"/>
          <w:lang w:eastAsia="en-US"/>
        </w:rPr>
        <w:t>Science of the Total Environment, 765,</w:t>
      </w:r>
      <w:r>
        <w:rPr>
          <w:rFonts w:ascii="Times New Roman" w:eastAsia="Calibri" w:hAnsi="Times New Roman"/>
          <w:kern w:val="2"/>
          <w:sz w:val="24"/>
          <w:szCs w:val="24"/>
          <w:lang w:eastAsia="en-US"/>
        </w:rPr>
        <w:t xml:space="preserve"> 142766. </w:t>
      </w:r>
      <w:hyperlink r:id="rId33" w:tgtFrame="_new" w:history="1">
        <w:r w:rsidR="004F25DA">
          <w:rPr>
            <w:rFonts w:ascii="Times New Roman" w:eastAsia="Calibri" w:hAnsi="Times New Roman"/>
            <w:kern w:val="2"/>
            <w:sz w:val="24"/>
            <w:szCs w:val="24"/>
            <w:u w:val="single"/>
            <w:lang w:eastAsia="en-US"/>
          </w:rPr>
          <w:t>https://doi.org/10.1016/j.scitotenv.2020.142766</w:t>
        </w:r>
      </w:hyperlink>
    </w:p>
    <w:p w14:paraId="15531457" w14:textId="77777777" w:rsidR="004F25DA" w:rsidRDefault="000D7CBB">
      <w:pPr>
        <w:jc w:val="both"/>
        <w:rPr>
          <w:rFonts w:ascii="Times New Roman" w:eastAsia="Calibri" w:hAnsi="Times New Roman"/>
          <w:kern w:val="2"/>
          <w:sz w:val="24"/>
          <w:szCs w:val="24"/>
          <w:u w:val="single"/>
        </w:rPr>
      </w:pPr>
      <w:r>
        <w:rPr>
          <w:rFonts w:ascii="Times New Roman" w:eastAsia="Calibri" w:hAnsi="Times New Roman"/>
          <w:kern w:val="2"/>
          <w:sz w:val="24"/>
          <w:szCs w:val="24"/>
        </w:rPr>
        <w:t>Setiawan, T., Nurhayati, E., &amp; Purnama, W. (2022). Application of palm shell biochar in the remediation of petroleum contaminated trop</w:t>
      </w:r>
      <w:r>
        <w:rPr>
          <w:rFonts w:ascii="Times New Roman" w:eastAsia="Calibri" w:hAnsi="Times New Roman"/>
          <w:kern w:val="2"/>
          <w:sz w:val="24"/>
          <w:szCs w:val="24"/>
        </w:rPr>
        <w:t xml:space="preserve">ical soils. </w:t>
      </w:r>
      <w:r>
        <w:rPr>
          <w:rFonts w:ascii="Times New Roman" w:eastAsia="Calibri" w:hAnsi="Times New Roman"/>
          <w:i/>
          <w:iCs/>
          <w:kern w:val="2"/>
          <w:sz w:val="24"/>
          <w:szCs w:val="24"/>
        </w:rPr>
        <w:t>Environmental Technology &amp; Innovation, 27</w:t>
      </w:r>
      <w:r>
        <w:rPr>
          <w:rFonts w:ascii="Times New Roman" w:eastAsia="Calibri" w:hAnsi="Times New Roman"/>
          <w:kern w:val="2"/>
          <w:sz w:val="24"/>
          <w:szCs w:val="24"/>
        </w:rPr>
        <w:t xml:space="preserve">, 102519. </w:t>
      </w:r>
      <w:hyperlink r:id="rId34" w:tgtFrame="_blank" w:history="1">
        <w:r w:rsidR="004F25DA">
          <w:rPr>
            <w:rFonts w:ascii="Times New Roman" w:eastAsia="Calibri" w:hAnsi="Times New Roman"/>
            <w:kern w:val="2"/>
            <w:sz w:val="24"/>
            <w:szCs w:val="24"/>
            <w:u w:val="single"/>
          </w:rPr>
          <w:t>https://doi.org/10.1016/j.eti.2022.102519</w:t>
        </w:r>
      </w:hyperlink>
    </w:p>
    <w:p w14:paraId="2F3FFED6" w14:textId="77777777" w:rsidR="004F25DA" w:rsidRDefault="000D7CBB">
      <w:pPr>
        <w:jc w:val="both"/>
        <w:rPr>
          <w:rFonts w:ascii="Times New Roman" w:eastAsia="Calibri" w:hAnsi="Times New Roman"/>
          <w:kern w:val="2"/>
          <w:sz w:val="24"/>
          <w:szCs w:val="24"/>
          <w:u w:val="single"/>
        </w:rPr>
      </w:pPr>
      <w:r>
        <w:rPr>
          <w:rFonts w:ascii="Times New Roman" w:eastAsia="SimSun" w:hAnsi="Times New Roman"/>
          <w:sz w:val="24"/>
          <w:szCs w:val="24"/>
        </w:rPr>
        <w:t xml:space="preserve">Silva, T. L., Souza, L. P., &amp; Ferreira, M. C. (2022). Sugarcane bagasse biochar enhances degradation of petroleum hydrocarbons and improves nitrogen cycling in tropical soils. </w:t>
      </w:r>
      <w:r>
        <w:rPr>
          <w:rStyle w:val="Emphasis"/>
          <w:rFonts w:ascii="Times New Roman" w:eastAsia="SimSun" w:hAnsi="Times New Roman"/>
          <w:sz w:val="24"/>
          <w:szCs w:val="24"/>
        </w:rPr>
        <w:t>Chemosphere</w:t>
      </w:r>
      <w:r>
        <w:rPr>
          <w:rFonts w:ascii="Times New Roman" w:eastAsia="SimSun" w:hAnsi="Times New Roman"/>
          <w:sz w:val="24"/>
          <w:szCs w:val="24"/>
        </w:rPr>
        <w:t xml:space="preserve">, </w:t>
      </w:r>
      <w:r>
        <w:rPr>
          <w:rStyle w:val="Emphasis"/>
          <w:rFonts w:ascii="Times New Roman" w:eastAsia="SimSun" w:hAnsi="Times New Roman"/>
          <w:sz w:val="24"/>
          <w:szCs w:val="24"/>
        </w:rPr>
        <w:t>292</w:t>
      </w:r>
      <w:r>
        <w:rPr>
          <w:rFonts w:ascii="Times New Roman" w:eastAsia="SimSun" w:hAnsi="Times New Roman"/>
          <w:sz w:val="24"/>
          <w:szCs w:val="24"/>
        </w:rPr>
        <w:t>, 133360. https://doi.org/10.1016/j.chemosphere.2021.133360</w:t>
      </w:r>
    </w:p>
    <w:p w14:paraId="4520182E" w14:textId="77777777" w:rsidR="004F25DA" w:rsidRDefault="000D7CBB">
      <w:pPr>
        <w:jc w:val="both"/>
        <w:rPr>
          <w:rFonts w:ascii="Times New Roman" w:eastAsia="Calibri" w:hAnsi="Times New Roman"/>
          <w:kern w:val="2"/>
          <w:sz w:val="24"/>
          <w:szCs w:val="24"/>
          <w:u w:val="single"/>
          <w:lang w:eastAsia="en-US"/>
        </w:rPr>
      </w:pPr>
      <w:proofErr w:type="spellStart"/>
      <w:r>
        <w:rPr>
          <w:rFonts w:ascii="Times New Roman" w:eastAsia="SimSun" w:hAnsi="Times New Roman"/>
          <w:sz w:val="24"/>
          <w:szCs w:val="24"/>
        </w:rPr>
        <w:lastRenderedPageBreak/>
        <w:t>Udem</w:t>
      </w:r>
      <w:r>
        <w:rPr>
          <w:rFonts w:ascii="Times New Roman" w:eastAsia="SimSun" w:hAnsi="Times New Roman"/>
          <w:sz w:val="24"/>
          <w:szCs w:val="24"/>
        </w:rPr>
        <w:t>e</w:t>
      </w:r>
      <w:proofErr w:type="spellEnd"/>
      <w:r>
        <w:rPr>
          <w:rFonts w:ascii="Times New Roman" w:eastAsia="SimSun" w:hAnsi="Times New Roman"/>
          <w:sz w:val="24"/>
          <w:szCs w:val="24"/>
        </w:rPr>
        <w:t xml:space="preserve">, M., Oladeji, O., &amp; Etim, R. (2022). Organic amendments enhance fertility and crop growth in crude oil-contaminated soils of the Niger Delta. </w:t>
      </w:r>
      <w:r>
        <w:rPr>
          <w:rStyle w:val="Emphasis"/>
          <w:rFonts w:ascii="Times New Roman" w:eastAsia="SimSun" w:hAnsi="Times New Roman"/>
          <w:sz w:val="24"/>
          <w:szCs w:val="24"/>
        </w:rPr>
        <w:t>African Journal of Agricultural Research</w:t>
      </w:r>
      <w:r>
        <w:rPr>
          <w:rFonts w:ascii="Times New Roman" w:eastAsia="SimSun" w:hAnsi="Times New Roman"/>
          <w:sz w:val="24"/>
          <w:szCs w:val="24"/>
        </w:rPr>
        <w:t xml:space="preserve">, </w:t>
      </w:r>
      <w:r>
        <w:rPr>
          <w:rStyle w:val="Emphasis"/>
          <w:rFonts w:ascii="Times New Roman" w:eastAsia="SimSun" w:hAnsi="Times New Roman"/>
          <w:sz w:val="24"/>
          <w:szCs w:val="24"/>
        </w:rPr>
        <w:t>17</w:t>
      </w:r>
      <w:r>
        <w:rPr>
          <w:rFonts w:ascii="Times New Roman" w:eastAsia="SimSun" w:hAnsi="Times New Roman"/>
          <w:sz w:val="24"/>
          <w:szCs w:val="24"/>
        </w:rPr>
        <w:t>(6), 845–852. https://doi.org/10.5897/AJAR2022.16020</w:t>
      </w:r>
    </w:p>
    <w:p w14:paraId="7B4C7EA4" w14:textId="77777777" w:rsidR="004F25DA" w:rsidRDefault="000D7CBB">
      <w:pPr>
        <w:jc w:val="both"/>
        <w:rPr>
          <w:rFonts w:ascii="Times New Roman" w:eastAsia="Calibri" w:hAnsi="Times New Roman"/>
          <w:kern w:val="2"/>
          <w:sz w:val="24"/>
          <w:szCs w:val="24"/>
          <w:u w:val="single"/>
          <w:lang w:eastAsia="en-US"/>
        </w:rPr>
      </w:pPr>
      <w:r>
        <w:rPr>
          <w:rFonts w:ascii="Times New Roman" w:eastAsia="Calibri" w:hAnsi="Times New Roman"/>
          <w:kern w:val="2"/>
          <w:sz w:val="24"/>
          <w:szCs w:val="24"/>
          <w:lang w:eastAsia="en-US"/>
        </w:rPr>
        <w:t>Zhang, B., Zhan</w:t>
      </w:r>
      <w:r>
        <w:rPr>
          <w:rFonts w:ascii="Times New Roman" w:eastAsia="Calibri" w:hAnsi="Times New Roman"/>
          <w:kern w:val="2"/>
          <w:sz w:val="24"/>
          <w:szCs w:val="24"/>
          <w:lang w:eastAsia="en-US"/>
        </w:rPr>
        <w:t xml:space="preserve">g, L., &amp; Zhang, X. (2019). Bioremediation of petroleum hydrocarbon-contaminated soil by petroleum-degrading bacteria immobilized on biochar. </w:t>
      </w:r>
      <w:r>
        <w:rPr>
          <w:rFonts w:ascii="Times New Roman" w:eastAsia="Calibri" w:hAnsi="Times New Roman"/>
          <w:i/>
          <w:iCs/>
          <w:kern w:val="2"/>
          <w:sz w:val="24"/>
          <w:szCs w:val="24"/>
          <w:lang w:eastAsia="en-US"/>
        </w:rPr>
        <w:t>RSC Advances, 9</w:t>
      </w:r>
      <w:r>
        <w:rPr>
          <w:rFonts w:ascii="Times New Roman" w:eastAsia="Calibri" w:hAnsi="Times New Roman"/>
          <w:kern w:val="2"/>
          <w:sz w:val="24"/>
          <w:szCs w:val="24"/>
          <w:lang w:eastAsia="en-US"/>
        </w:rPr>
        <w:t xml:space="preserve">(51), 35304–35311. </w:t>
      </w:r>
      <w:hyperlink r:id="rId35" w:tgtFrame="_new" w:history="1">
        <w:r w:rsidR="004F25DA">
          <w:rPr>
            <w:rFonts w:ascii="Times New Roman" w:eastAsia="Calibri" w:hAnsi="Times New Roman"/>
            <w:kern w:val="2"/>
            <w:sz w:val="24"/>
            <w:szCs w:val="24"/>
            <w:u w:val="single"/>
            <w:lang w:eastAsia="en-US"/>
          </w:rPr>
          <w:t>https://doi.org/10.1039/C9RA06726D</w:t>
        </w:r>
      </w:hyperlink>
    </w:p>
    <w:p w14:paraId="40A342ED" w14:textId="77777777" w:rsidR="004F25DA" w:rsidRDefault="000D7CBB">
      <w:pPr>
        <w:jc w:val="both"/>
        <w:rPr>
          <w:rFonts w:ascii="Times New Roman" w:eastAsia="Calibri" w:hAnsi="Times New Roman"/>
          <w:kern w:val="2"/>
          <w:sz w:val="24"/>
          <w:szCs w:val="24"/>
          <w:u w:val="single"/>
          <w:lang w:eastAsia="en-US"/>
        </w:rPr>
      </w:pPr>
      <w:r>
        <w:rPr>
          <w:rFonts w:ascii="Times New Roman" w:eastAsia="SimSun" w:hAnsi="Times New Roman"/>
          <w:sz w:val="24"/>
          <w:szCs w:val="24"/>
        </w:rPr>
        <w:t xml:space="preserve">Zhao, X., Liu, Y., &amp; Hu, Y. (2021). Remediation of petroleum-contaminated soils using corn stalk biochar: Effects on microbial community and soybean productivity. </w:t>
      </w:r>
      <w:r>
        <w:rPr>
          <w:rStyle w:val="Emphasis"/>
          <w:rFonts w:ascii="Times New Roman" w:eastAsia="SimSun" w:hAnsi="Times New Roman"/>
          <w:sz w:val="24"/>
          <w:szCs w:val="24"/>
        </w:rPr>
        <w:t>Science of the Total Environment</w:t>
      </w:r>
      <w:r>
        <w:rPr>
          <w:rFonts w:ascii="Times New Roman" w:eastAsia="SimSun" w:hAnsi="Times New Roman"/>
          <w:sz w:val="24"/>
          <w:szCs w:val="24"/>
        </w:rPr>
        <w:t xml:space="preserve">, </w:t>
      </w:r>
      <w:r>
        <w:rPr>
          <w:rStyle w:val="Emphasis"/>
          <w:rFonts w:ascii="Times New Roman" w:eastAsia="SimSun" w:hAnsi="Times New Roman"/>
          <w:sz w:val="24"/>
          <w:szCs w:val="24"/>
        </w:rPr>
        <w:t>758</w:t>
      </w:r>
      <w:r>
        <w:rPr>
          <w:rFonts w:ascii="Times New Roman" w:eastAsia="SimSun" w:hAnsi="Times New Roman"/>
          <w:sz w:val="24"/>
          <w:szCs w:val="24"/>
        </w:rPr>
        <w:t>, 143647. https://doi.org/10.1016/j.scito</w:t>
      </w:r>
      <w:r>
        <w:rPr>
          <w:rFonts w:ascii="Times New Roman" w:eastAsia="SimSun" w:hAnsi="Times New Roman"/>
          <w:sz w:val="24"/>
          <w:szCs w:val="24"/>
        </w:rPr>
        <w:t>tenv.2020.143647</w:t>
      </w:r>
    </w:p>
    <w:p w14:paraId="524B66EC" w14:textId="77777777" w:rsidR="004F25DA" w:rsidRDefault="004F25DA">
      <w:pPr>
        <w:spacing w:line="480" w:lineRule="auto"/>
        <w:jc w:val="both"/>
        <w:rPr>
          <w:rFonts w:ascii="Times New Roman" w:hAnsi="Times New Roman"/>
          <w:b/>
          <w:bCs/>
          <w:sz w:val="24"/>
          <w:szCs w:val="24"/>
          <w:lang w:val="en-GB"/>
        </w:rPr>
      </w:pPr>
    </w:p>
    <w:sectPr w:rsidR="004F25DA">
      <w:headerReference w:type="even" r:id="rId36"/>
      <w:headerReference w:type="default" r:id="rId37"/>
      <w:footerReference w:type="even" r:id="rId38"/>
      <w:footerReference w:type="default" r:id="rId39"/>
      <w:headerReference w:type="first" r:id="rId40"/>
      <w:footerReference w:type="first" r:id="rId4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F20C7" w14:textId="77777777" w:rsidR="000D7CBB" w:rsidRDefault="000D7CBB" w:rsidP="007E3DE4">
      <w:pPr>
        <w:spacing w:after="0" w:line="240" w:lineRule="auto"/>
      </w:pPr>
      <w:r>
        <w:separator/>
      </w:r>
    </w:p>
  </w:endnote>
  <w:endnote w:type="continuationSeparator" w:id="0">
    <w:p w14:paraId="17A0AD58" w14:textId="77777777" w:rsidR="000D7CBB" w:rsidRDefault="000D7CBB" w:rsidP="007E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F2FD" w14:textId="77777777" w:rsidR="001F7B0B" w:rsidRDefault="001F7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760790"/>
      <w:docPartObj>
        <w:docPartGallery w:val="Page Numbers (Bottom of Page)"/>
        <w:docPartUnique/>
      </w:docPartObj>
    </w:sdtPr>
    <w:sdtEndPr>
      <w:rPr>
        <w:noProof/>
      </w:rPr>
    </w:sdtEndPr>
    <w:sdtContent>
      <w:p w14:paraId="7C93E2F2" w14:textId="68D18D89" w:rsidR="00990EC0" w:rsidRDefault="00990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4D702" w14:textId="77777777" w:rsidR="007E3DE4" w:rsidRDefault="007E3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6472" w14:textId="77777777" w:rsidR="001F7B0B" w:rsidRDefault="001F7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A4475" w14:textId="77777777" w:rsidR="000D7CBB" w:rsidRDefault="000D7CBB" w:rsidP="007E3DE4">
      <w:pPr>
        <w:spacing w:after="0" w:line="240" w:lineRule="auto"/>
      </w:pPr>
      <w:r>
        <w:separator/>
      </w:r>
    </w:p>
  </w:footnote>
  <w:footnote w:type="continuationSeparator" w:id="0">
    <w:p w14:paraId="04FD865F" w14:textId="77777777" w:rsidR="000D7CBB" w:rsidRDefault="000D7CBB" w:rsidP="007E3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B63A" w14:textId="3772D3DE" w:rsidR="001F7B0B" w:rsidRDefault="001F7B0B">
    <w:pPr>
      <w:pStyle w:val="Header"/>
    </w:pPr>
    <w:r>
      <w:rPr>
        <w:noProof/>
      </w:rPr>
      <w:pict w14:anchorId="7AC6C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07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0282" w14:textId="5C1EA75A" w:rsidR="001F7B0B" w:rsidRDefault="001F7B0B">
    <w:pPr>
      <w:pStyle w:val="Header"/>
    </w:pPr>
    <w:r>
      <w:rPr>
        <w:noProof/>
      </w:rPr>
      <w:pict w14:anchorId="26E5E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08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B1967" w14:textId="0E35313D" w:rsidR="001F7B0B" w:rsidRDefault="001F7B0B">
    <w:pPr>
      <w:pStyle w:val="Header"/>
    </w:pPr>
    <w:r>
      <w:rPr>
        <w:noProof/>
      </w:rPr>
      <w:pict w14:anchorId="29B7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707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DA"/>
    <w:rsid w:val="00042740"/>
    <w:rsid w:val="0005186D"/>
    <w:rsid w:val="000D7CBB"/>
    <w:rsid w:val="001F7B0B"/>
    <w:rsid w:val="002B5760"/>
    <w:rsid w:val="00487178"/>
    <w:rsid w:val="004F25DA"/>
    <w:rsid w:val="005C0550"/>
    <w:rsid w:val="006A444F"/>
    <w:rsid w:val="00796F11"/>
    <w:rsid w:val="007E3DE4"/>
    <w:rsid w:val="0085208C"/>
    <w:rsid w:val="00951113"/>
    <w:rsid w:val="00990EC0"/>
    <w:rsid w:val="009A216C"/>
    <w:rsid w:val="00B10103"/>
    <w:rsid w:val="00D51852"/>
    <w:rsid w:val="00DE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D75D0B"/>
  <w15:docId w15:val="{961A6BAF-6205-4EC0-948E-6D0CEB3C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DengXian" w:hAnsi="Calibr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NormalWeb">
    <w:name w:val="Normal (Web)"/>
    <w:qFormat/>
    <w:pPr>
      <w:spacing w:beforeAutospacing="1" w:after="0" w:afterAutospacing="1"/>
    </w:pPr>
    <w:rPr>
      <w:sz w:val="24"/>
      <w:szCs w:val="24"/>
      <w:lang w:val="en-US" w:eastAsia="zh-CN"/>
    </w:rPr>
  </w:style>
  <w:style w:type="character" w:styleId="Emphasis">
    <w:name w:val="Emphasis"/>
    <w:basedOn w:val="DefaultParagraphFont"/>
    <w:qFormat/>
    <w:rPr>
      <w:i/>
      <w:iCs/>
    </w:rPr>
  </w:style>
  <w:style w:type="character" w:styleId="Strong">
    <w:name w:val="Strong"/>
    <w:basedOn w:val="DefaultParagraphFont"/>
    <w:qFormat/>
    <w:rPr>
      <w:b/>
      <w:bCs/>
    </w:rPr>
  </w:style>
  <w:style w:type="paragraph" w:styleId="Header">
    <w:name w:val="header"/>
    <w:basedOn w:val="Normal"/>
    <w:link w:val="HeaderChar"/>
    <w:rsid w:val="007E3DE4"/>
    <w:pPr>
      <w:tabs>
        <w:tab w:val="center" w:pos="4513"/>
        <w:tab w:val="right" w:pos="9026"/>
      </w:tabs>
      <w:spacing w:after="0" w:line="240" w:lineRule="auto"/>
    </w:pPr>
  </w:style>
  <w:style w:type="character" w:customStyle="1" w:styleId="HeaderChar">
    <w:name w:val="Header Char"/>
    <w:basedOn w:val="DefaultParagraphFont"/>
    <w:link w:val="Header"/>
    <w:rsid w:val="007E3DE4"/>
    <w:rPr>
      <w:rFonts w:ascii="Calibri" w:eastAsia="DengXian" w:hAnsi="Calibri"/>
      <w:lang w:val="en-US" w:eastAsia="zh-CN"/>
    </w:rPr>
  </w:style>
  <w:style w:type="paragraph" w:styleId="Footer">
    <w:name w:val="footer"/>
    <w:basedOn w:val="Normal"/>
    <w:link w:val="FooterChar"/>
    <w:uiPriority w:val="99"/>
    <w:rsid w:val="007E3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DE4"/>
    <w:rPr>
      <w:rFonts w:ascii="Calibri" w:eastAsia="DengXian" w:hAnsi="Calibri"/>
      <w:lang w:val="en-US" w:eastAsia="zh-CN"/>
    </w:rPr>
  </w:style>
  <w:style w:type="character" w:styleId="Hyperlink">
    <w:name w:val="Hyperlink"/>
    <w:basedOn w:val="DefaultParagraphFont"/>
    <w:uiPriority w:val="99"/>
    <w:unhideWhenUsed/>
    <w:qFormat/>
    <w:rsid w:val="005C0550"/>
    <w:rPr>
      <w:color w:val="0563C1" w:themeColor="hyperlink"/>
      <w:u w:val="single"/>
    </w:rPr>
  </w:style>
  <w:style w:type="character" w:styleId="UnresolvedMention">
    <w:name w:val="Unresolved Mention"/>
    <w:basedOn w:val="DefaultParagraphFont"/>
    <w:uiPriority w:val="99"/>
    <w:semiHidden/>
    <w:unhideWhenUsed/>
    <w:rsid w:val="005C0550"/>
    <w:rPr>
      <w:color w:val="605E5C"/>
      <w:shd w:val="clear" w:color="auto" w:fill="E1DFDD"/>
    </w:rPr>
  </w:style>
  <w:style w:type="paragraph" w:styleId="ListParagraph">
    <w:name w:val="List Paragraph"/>
    <w:basedOn w:val="Normal"/>
    <w:uiPriority w:val="99"/>
    <w:unhideWhenUsed/>
    <w:rsid w:val="005C0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chemosphere.2007.11.020" TargetMode="External"/><Relationship Id="rId18" Type="http://schemas.openxmlformats.org/officeDocument/2006/relationships/hyperlink" Target="https://doi.org/10.1016/j.envpol.2010.10.009" TargetMode="External"/><Relationship Id="rId26" Type="http://schemas.openxmlformats.org/officeDocument/2006/relationships/hyperlink" Target="https://doi.org/10.1016/j.scitotenv.2018.10.045" TargetMode="External"/><Relationship Id="rId39" Type="http://schemas.openxmlformats.org/officeDocument/2006/relationships/footer" Target="footer2.xml"/><Relationship Id="rId21" Type="http://schemas.openxmlformats.org/officeDocument/2006/relationships/hyperlink" Target="https://doi.org/10.14738/assrj.81.9027" TargetMode="External"/><Relationship Id="rId34" Type="http://schemas.openxmlformats.org/officeDocument/2006/relationships/hyperlink" Target="https://doi.org/10.1016/j.eti.2022.102519"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42729-024-02018-y" TargetMode="External"/><Relationship Id="rId20" Type="http://schemas.openxmlformats.org/officeDocument/2006/relationships/hyperlink" Target="https://doi.org/10.3390/ijerph18179134" TargetMode="External"/><Relationship Id="rId29" Type="http://schemas.openxmlformats.org/officeDocument/2006/relationships/hyperlink" Target="https://doi.org/10.3389/fmicb.2022.92973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016/j.jenvman.2004.02.003" TargetMode="External"/><Relationship Id="rId32" Type="http://schemas.openxmlformats.org/officeDocument/2006/relationships/hyperlink" Target="https://doi.org/10.4314/jasem.v24i3.2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chemosphere.2013.10.071" TargetMode="External"/><Relationship Id="rId23" Type="http://schemas.openxmlformats.org/officeDocument/2006/relationships/hyperlink" Target="https://doi.org/10.3389/fmicb.2023.10702529" TargetMode="External"/><Relationship Id="rId28" Type="http://schemas.openxmlformats.org/officeDocument/2006/relationships/hyperlink" Target="https://doi.org/10.1016/j.envpol.2020.115006" TargetMode="External"/><Relationship Id="rId36"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doi.org/10.1016/j.envpol.2021.117355" TargetMode="External"/><Relationship Id="rId31" Type="http://schemas.openxmlformats.org/officeDocument/2006/relationships/hyperlink" Target="https://doi.org/10.5897/AJEST2023.320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biortech.2012.05.042" TargetMode="External"/><Relationship Id="rId22" Type="http://schemas.openxmlformats.org/officeDocument/2006/relationships/hyperlink" Target="https://doi.org/10.11648/j.ajep.20130104.11" TargetMode="External"/><Relationship Id="rId27" Type="http://schemas.openxmlformats.org/officeDocument/2006/relationships/hyperlink" Target="https://doi.org/10.1080/09593330.2018.1551431" TargetMode="External"/><Relationship Id="rId30" Type="http://schemas.openxmlformats.org/officeDocument/2006/relationships/hyperlink" Target="https://doi.org/10.1097/SS.0b013e3181981d9a" TargetMode="External"/><Relationship Id="rId35" Type="http://schemas.openxmlformats.org/officeDocument/2006/relationships/hyperlink" Target="https://doi.org/10.1039/C9RA06726D" TargetMode="External"/><Relationship Id="rId43"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3923/rjes.2009.316.320" TargetMode="External"/><Relationship Id="rId17" Type="http://schemas.openxmlformats.org/officeDocument/2006/relationships/hyperlink" Target="https://doi.org/10.1016/j.envres.2022.114278" TargetMode="External"/><Relationship Id="rId25" Type="http://schemas.openxmlformats.org/officeDocument/2006/relationships/hyperlink" Target="https://doi.org/10.4324/9780203762264" TargetMode="External"/><Relationship Id="rId33" Type="http://schemas.openxmlformats.org/officeDocument/2006/relationships/hyperlink" Target="https://doi.org/10.1016/j.scitotenv.2020.142766"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zebu\Documents\T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3"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4"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de-DE" altLang="en-GB">
                <a:latin typeface="Calibri" pitchFamily="2" charset="0"/>
              </a:rPr>
              <a:t>TPH</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[TPH.xlsx]Sheet1!$A$2</c:f>
              <c:strCache>
                <c:ptCount val="1"/>
                <c:pt idx="0">
                  <c:v>Day 0</c:v>
                </c:pt>
              </c:strCache>
            </c:strRef>
          </c:tx>
          <c:spPr>
            <a:solidFill>
              <a:srgbClr val="4F81BD"/>
            </a:solidFill>
            <a:ln>
              <a:noFill/>
            </a:ln>
            <a:effectLst/>
          </c:spPr>
          <c:invertIfNegative val="0"/>
          <c:cat>
            <c:strRef>
              <c:f>[TPH.xlsx]Sheet1!$B$1:$F$1</c:f>
              <c:strCache>
                <c:ptCount val="5"/>
                <c:pt idx="0">
                  <c:v>UCS</c:v>
                </c:pt>
                <c:pt idx="1">
                  <c:v>CS</c:v>
                </c:pt>
                <c:pt idx="2">
                  <c:v>CS+20</c:v>
                </c:pt>
                <c:pt idx="3">
                  <c:v>CS+60</c:v>
                </c:pt>
                <c:pt idx="4">
                  <c:v>CS+100</c:v>
                </c:pt>
              </c:strCache>
            </c:strRef>
          </c:cat>
          <c:val>
            <c:numRef>
              <c:f>[TPH.xlsx]Sheet1!$B$2:$F$2</c:f>
              <c:numCache>
                <c:formatCode>General</c:formatCode>
                <c:ptCount val="5"/>
                <c:pt idx="0">
                  <c:v>10.863</c:v>
                </c:pt>
                <c:pt idx="1">
                  <c:v>5327.0140000000001</c:v>
                </c:pt>
                <c:pt idx="2">
                  <c:v>5198.326</c:v>
                </c:pt>
                <c:pt idx="3">
                  <c:v>5060.1319999999996</c:v>
                </c:pt>
                <c:pt idx="4">
                  <c:v>5062.442</c:v>
                </c:pt>
              </c:numCache>
            </c:numRef>
          </c:val>
          <c:extLst>
            <c:ext xmlns:c16="http://schemas.microsoft.com/office/drawing/2014/chart" uri="{C3380CC4-5D6E-409C-BE32-E72D297353CC}">
              <c16:uniqueId val="{00000000-FECC-4261-B03E-058A307914D0}"/>
            </c:ext>
          </c:extLst>
        </c:ser>
        <c:ser>
          <c:idx val="1"/>
          <c:order val="1"/>
          <c:tx>
            <c:strRef>
              <c:f>[TPH.xlsx]Sheet1!$A$3</c:f>
              <c:strCache>
                <c:ptCount val="1"/>
                <c:pt idx="0">
                  <c:v>Day 30</c:v>
                </c:pt>
              </c:strCache>
            </c:strRef>
          </c:tx>
          <c:spPr>
            <a:solidFill>
              <a:srgbClr val="C0504D"/>
            </a:solidFill>
            <a:ln>
              <a:noFill/>
            </a:ln>
            <a:effectLst/>
          </c:spPr>
          <c:invertIfNegative val="0"/>
          <c:cat>
            <c:strRef>
              <c:f>[TPH.xlsx]Sheet1!$B$1:$F$1</c:f>
              <c:strCache>
                <c:ptCount val="5"/>
                <c:pt idx="0">
                  <c:v>UCS</c:v>
                </c:pt>
                <c:pt idx="1">
                  <c:v>CS</c:v>
                </c:pt>
                <c:pt idx="2">
                  <c:v>CS+20</c:v>
                </c:pt>
                <c:pt idx="3">
                  <c:v>CS+60</c:v>
                </c:pt>
                <c:pt idx="4">
                  <c:v>CS+100</c:v>
                </c:pt>
              </c:strCache>
            </c:strRef>
          </c:cat>
          <c:val>
            <c:numRef>
              <c:f>[TPH.xlsx]Sheet1!$B$3:$F$3</c:f>
              <c:numCache>
                <c:formatCode>General</c:formatCode>
                <c:ptCount val="5"/>
                <c:pt idx="0">
                  <c:v>9.0410000000000004</c:v>
                </c:pt>
                <c:pt idx="1">
                  <c:v>5318.9589999999998</c:v>
                </c:pt>
                <c:pt idx="2">
                  <c:v>4825.0200000000004</c:v>
                </c:pt>
                <c:pt idx="3">
                  <c:v>4869.6139999999996</c:v>
                </c:pt>
                <c:pt idx="4">
                  <c:v>4174.7510000000002</c:v>
                </c:pt>
              </c:numCache>
            </c:numRef>
          </c:val>
          <c:extLst>
            <c:ext xmlns:c16="http://schemas.microsoft.com/office/drawing/2014/chart" uri="{C3380CC4-5D6E-409C-BE32-E72D297353CC}">
              <c16:uniqueId val="{00000001-FECC-4261-B03E-058A307914D0}"/>
            </c:ext>
          </c:extLst>
        </c:ser>
        <c:ser>
          <c:idx val="2"/>
          <c:order val="2"/>
          <c:tx>
            <c:strRef>
              <c:f>[TPH.xlsx]Sheet1!$A$4</c:f>
              <c:strCache>
                <c:ptCount val="1"/>
                <c:pt idx="0">
                  <c:v>Day 60</c:v>
                </c:pt>
              </c:strCache>
            </c:strRef>
          </c:tx>
          <c:spPr>
            <a:solidFill>
              <a:srgbClr val="9BBB59"/>
            </a:solidFill>
            <a:ln>
              <a:noFill/>
            </a:ln>
            <a:effectLst/>
          </c:spPr>
          <c:invertIfNegative val="0"/>
          <c:cat>
            <c:strRef>
              <c:f>[TPH.xlsx]Sheet1!$B$1:$F$1</c:f>
              <c:strCache>
                <c:ptCount val="5"/>
                <c:pt idx="0">
                  <c:v>UCS</c:v>
                </c:pt>
                <c:pt idx="1">
                  <c:v>CS</c:v>
                </c:pt>
                <c:pt idx="2">
                  <c:v>CS+20</c:v>
                </c:pt>
                <c:pt idx="3">
                  <c:v>CS+60</c:v>
                </c:pt>
                <c:pt idx="4">
                  <c:v>CS+100</c:v>
                </c:pt>
              </c:strCache>
            </c:strRef>
          </c:cat>
          <c:val>
            <c:numRef>
              <c:f>[TPH.xlsx]Sheet1!$B$4:$F$4</c:f>
              <c:numCache>
                <c:formatCode>General</c:formatCode>
                <c:ptCount val="5"/>
                <c:pt idx="0">
                  <c:v>9.423</c:v>
                </c:pt>
                <c:pt idx="1">
                  <c:v>2361.2959999999998</c:v>
                </c:pt>
                <c:pt idx="2">
                  <c:v>2081.7950000000001</c:v>
                </c:pt>
                <c:pt idx="3">
                  <c:v>1773.732</c:v>
                </c:pt>
                <c:pt idx="4">
                  <c:v>1447.854</c:v>
                </c:pt>
              </c:numCache>
            </c:numRef>
          </c:val>
          <c:extLst>
            <c:ext xmlns:c16="http://schemas.microsoft.com/office/drawing/2014/chart" uri="{C3380CC4-5D6E-409C-BE32-E72D297353CC}">
              <c16:uniqueId val="{00000002-FECC-4261-B03E-058A307914D0}"/>
            </c:ext>
          </c:extLst>
        </c:ser>
        <c:ser>
          <c:idx val="3"/>
          <c:order val="3"/>
          <c:tx>
            <c:strRef>
              <c:f>[TPH.xlsx]Sheet1!$A$5</c:f>
              <c:strCache>
                <c:ptCount val="1"/>
                <c:pt idx="0">
                  <c:v>Day 90</c:v>
                </c:pt>
              </c:strCache>
            </c:strRef>
          </c:tx>
          <c:spPr>
            <a:solidFill>
              <a:srgbClr val="8064A2"/>
            </a:solidFill>
            <a:ln>
              <a:noFill/>
            </a:ln>
            <a:effectLst/>
          </c:spPr>
          <c:invertIfNegative val="0"/>
          <c:cat>
            <c:strRef>
              <c:f>[TPH.xlsx]Sheet1!$B$1:$F$1</c:f>
              <c:strCache>
                <c:ptCount val="5"/>
                <c:pt idx="0">
                  <c:v>UCS</c:v>
                </c:pt>
                <c:pt idx="1">
                  <c:v>CS</c:v>
                </c:pt>
                <c:pt idx="2">
                  <c:v>CS+20</c:v>
                </c:pt>
                <c:pt idx="3">
                  <c:v>CS+60</c:v>
                </c:pt>
                <c:pt idx="4">
                  <c:v>CS+100</c:v>
                </c:pt>
              </c:strCache>
            </c:strRef>
          </c:cat>
          <c:val>
            <c:numRef>
              <c:f>[TPH.xlsx]Sheet1!$B$5:$F$5</c:f>
              <c:numCache>
                <c:formatCode>General</c:formatCode>
                <c:ptCount val="5"/>
                <c:pt idx="0">
                  <c:v>8.3460000000000001</c:v>
                </c:pt>
                <c:pt idx="1">
                  <c:v>2347.2260000000001</c:v>
                </c:pt>
                <c:pt idx="2">
                  <c:v>2070.375</c:v>
                </c:pt>
                <c:pt idx="3">
                  <c:v>1677.1279999999999</c:v>
                </c:pt>
                <c:pt idx="4">
                  <c:v>1263.3879999999999</c:v>
                </c:pt>
              </c:numCache>
            </c:numRef>
          </c:val>
          <c:extLst>
            <c:ext xmlns:c16="http://schemas.microsoft.com/office/drawing/2014/chart" uri="{C3380CC4-5D6E-409C-BE32-E72D297353CC}">
              <c16:uniqueId val="{00000003-FECC-4261-B03E-058A307914D0}"/>
            </c:ext>
          </c:extLst>
        </c:ser>
        <c:dLbls>
          <c:showLegendKey val="0"/>
          <c:showVal val="0"/>
          <c:showCatName val="0"/>
          <c:showSerName val="0"/>
          <c:showPercent val="0"/>
          <c:showBubbleSize val="0"/>
        </c:dLbls>
        <c:gapWidth val="150"/>
        <c:axId val="814238236"/>
        <c:axId val="250991036"/>
      </c:barChart>
      <c:catAx>
        <c:axId val="814238236"/>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Biochar Treatment</a:t>
                </a:r>
              </a:p>
            </c:rich>
          </c:tx>
          <c:overlay val="0"/>
          <c:spPr>
            <a:noFill/>
            <a:ln>
              <a:noFill/>
            </a:ln>
            <a:effectLst/>
          </c:spPr>
          <c:txPr>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250991036"/>
        <c:crosses val="autoZero"/>
        <c:auto val="1"/>
        <c:lblAlgn val="ctr"/>
        <c:lblOffset val="100"/>
        <c:noMultiLvlLbl val="0"/>
      </c:catAx>
      <c:valAx>
        <c:axId val="250991036"/>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TPH Concenteration</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814238236"/>
        <c:crosses val="autoZero"/>
        <c:crossBetween val="between"/>
      </c:valAx>
      <c:spPr>
        <a:noFill/>
        <a:ln>
          <a:noFill/>
        </a:ln>
        <a:effectLst/>
      </c:spPr>
    </c:plotArea>
    <c:legend>
      <c:legendPos val="r"/>
      <c:overlay val="0"/>
      <c:spPr>
        <a:noFill/>
        <a:ln>
          <a:noFill/>
        </a:ln>
        <a:effectLst/>
      </c:spPr>
      <c:txPr>
        <a:bodyPr rot="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GB"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Germinated Percentage</c:v>
                </c:pt>
              </c:strCache>
            </c:strRef>
          </c:tx>
          <c:spPr>
            <a:solidFill>
              <a:srgbClr val="5B9BD5"/>
            </a:solidFill>
            <a:ln>
              <a:noFill/>
            </a:ln>
            <a:effectLst/>
          </c:spPr>
          <c:invertIfNegative val="0"/>
          <c:cat>
            <c:strRef>
              <c:f>[Book1]Sheet1!$A$2:$A$6</c:f>
              <c:strCache>
                <c:ptCount val="5"/>
                <c:pt idx="0">
                  <c:v>UCS</c:v>
                </c:pt>
                <c:pt idx="1">
                  <c:v>CS</c:v>
                </c:pt>
                <c:pt idx="2">
                  <c:v>CS+20g</c:v>
                </c:pt>
                <c:pt idx="3">
                  <c:v>CS+60g</c:v>
                </c:pt>
                <c:pt idx="4">
                  <c:v>CS+100g</c:v>
                </c:pt>
              </c:strCache>
            </c:strRef>
          </c:cat>
          <c:val>
            <c:numRef>
              <c:f>[Book1]Sheet1!$B$2:$B$6</c:f>
              <c:numCache>
                <c:formatCode>General</c:formatCode>
                <c:ptCount val="5"/>
                <c:pt idx="0">
                  <c:v>100</c:v>
                </c:pt>
                <c:pt idx="1">
                  <c:v>25</c:v>
                </c:pt>
                <c:pt idx="2">
                  <c:v>0</c:v>
                </c:pt>
                <c:pt idx="3">
                  <c:v>50</c:v>
                </c:pt>
                <c:pt idx="4">
                  <c:v>75</c:v>
                </c:pt>
              </c:numCache>
            </c:numRef>
          </c:val>
          <c:extLst>
            <c:ext xmlns:c16="http://schemas.microsoft.com/office/drawing/2014/chart" uri="{C3380CC4-5D6E-409C-BE32-E72D297353CC}">
              <c16:uniqueId val="{00000000-D435-42D7-8B1A-E567A778C927}"/>
            </c:ext>
          </c:extLst>
        </c:ser>
        <c:dLbls>
          <c:showLegendKey val="0"/>
          <c:showVal val="0"/>
          <c:showCatName val="0"/>
          <c:showSerName val="0"/>
          <c:showPercent val="0"/>
          <c:showBubbleSize val="0"/>
        </c:dLbls>
        <c:gapWidth val="246"/>
        <c:overlap val="-28"/>
        <c:axId val="282491018"/>
        <c:axId val="489404803"/>
      </c:barChart>
      <c:catAx>
        <c:axId val="282491018"/>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p>
            </c:rich>
          </c:tx>
          <c:overlay val="0"/>
          <c:spPr>
            <a:noFill/>
            <a:ln>
              <a:noFill/>
            </a:ln>
            <a:effectLst/>
          </c:spPr>
          <c:txPr>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489404803"/>
        <c:crosses val="autoZero"/>
        <c:auto val="1"/>
        <c:lblAlgn val="ctr"/>
        <c:lblOffset val="100"/>
        <c:noMultiLvlLbl val="0"/>
      </c:catAx>
      <c:valAx>
        <c:axId val="489404803"/>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Percentage</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28249101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en-GB"/>
              <a:t>Shoot Height </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[Book2]Sheet1!$B$1</c:f>
              <c:strCache>
                <c:ptCount val="1"/>
                <c:pt idx="0">
                  <c:v>Shoot Height (cm)</c:v>
                </c:pt>
              </c:strCache>
            </c:strRef>
          </c:tx>
          <c:spPr>
            <a:solidFill>
              <a:srgbClr val="5B9BD5"/>
            </a:solidFill>
            <a:ln>
              <a:noFill/>
            </a:ln>
            <a:effectLst/>
          </c:spPr>
          <c:invertIfNegative val="0"/>
          <c:cat>
            <c:strRef>
              <c:f>[Book2]Sheet1!$A$2:$A$6</c:f>
              <c:strCache>
                <c:ptCount val="5"/>
                <c:pt idx="0">
                  <c:v>UCS</c:v>
                </c:pt>
                <c:pt idx="1">
                  <c:v>CS</c:v>
                </c:pt>
                <c:pt idx="2">
                  <c:v>CS+20g</c:v>
                </c:pt>
                <c:pt idx="3">
                  <c:v>CS+60g</c:v>
                </c:pt>
                <c:pt idx="4">
                  <c:v>CS+100g</c:v>
                </c:pt>
              </c:strCache>
            </c:strRef>
          </c:cat>
          <c:val>
            <c:numRef>
              <c:f>[Book2]Sheet1!$B$2:$B$6</c:f>
              <c:numCache>
                <c:formatCode>General</c:formatCode>
                <c:ptCount val="5"/>
                <c:pt idx="0">
                  <c:v>22.1</c:v>
                </c:pt>
                <c:pt idx="1">
                  <c:v>9</c:v>
                </c:pt>
                <c:pt idx="2">
                  <c:v>0</c:v>
                </c:pt>
                <c:pt idx="3">
                  <c:v>13.5</c:v>
                </c:pt>
                <c:pt idx="4">
                  <c:v>19.399999999999999</c:v>
                </c:pt>
              </c:numCache>
            </c:numRef>
          </c:val>
          <c:extLst>
            <c:ext xmlns:c16="http://schemas.microsoft.com/office/drawing/2014/chart" uri="{C3380CC4-5D6E-409C-BE32-E72D297353CC}">
              <c16:uniqueId val="{00000000-8052-415E-A723-506039028F3C}"/>
            </c:ext>
          </c:extLst>
        </c:ser>
        <c:dLbls>
          <c:showLegendKey val="0"/>
          <c:showVal val="0"/>
          <c:showCatName val="0"/>
          <c:showSerName val="0"/>
          <c:showPercent val="0"/>
          <c:showBubbleSize val="0"/>
        </c:dLbls>
        <c:gapWidth val="246"/>
        <c:overlap val="-28"/>
        <c:axId val="336930410"/>
        <c:axId val="472444881"/>
      </c:barChart>
      <c:catAx>
        <c:axId val="33693041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p>
            </c:rich>
          </c:tx>
          <c:layout>
            <c:manualLayout>
              <c:xMode val="edge"/>
              <c:yMode val="edge"/>
              <c:x val="0.46747368421052599"/>
              <c:y val="0.89629629629629604"/>
            </c:manualLayout>
          </c:layout>
          <c:overlay val="0"/>
          <c:spPr>
            <a:noFill/>
            <a:ln>
              <a:noFill/>
            </a:ln>
            <a:effectLst/>
          </c:spPr>
          <c:txPr>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472444881"/>
        <c:crosses val="autoZero"/>
        <c:auto val="1"/>
        <c:lblAlgn val="ctr"/>
        <c:lblOffset val="100"/>
        <c:noMultiLvlLbl val="0"/>
      </c:catAx>
      <c:valAx>
        <c:axId val="472444881"/>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Shoot height cm</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33693041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en-GB"/>
              <a:t>Root Length </a:t>
            </a:r>
          </a:p>
        </c:rich>
      </c:tx>
      <c:overlay val="0"/>
      <c:spPr>
        <a:noFill/>
        <a:ln>
          <a:noFill/>
        </a:ln>
        <a:effectLst/>
      </c:spPr>
      <c:txPr>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[Book3]Sheet1!$B$1</c:f>
              <c:strCache>
                <c:ptCount val="1"/>
                <c:pt idx="0">
                  <c:v>Root Length (cm)</c:v>
                </c:pt>
              </c:strCache>
            </c:strRef>
          </c:tx>
          <c:spPr>
            <a:solidFill>
              <a:srgbClr val="5B9BD5"/>
            </a:solidFill>
            <a:ln>
              <a:noFill/>
            </a:ln>
            <a:effectLst/>
          </c:spPr>
          <c:invertIfNegative val="0"/>
          <c:cat>
            <c:strRef>
              <c:f>[Book3]Sheet1!$A$2:$A$6</c:f>
              <c:strCache>
                <c:ptCount val="5"/>
                <c:pt idx="0">
                  <c:v>UCS</c:v>
                </c:pt>
                <c:pt idx="1">
                  <c:v>CS</c:v>
                </c:pt>
                <c:pt idx="2">
                  <c:v>CS+20g</c:v>
                </c:pt>
                <c:pt idx="3">
                  <c:v>CS+60g</c:v>
                </c:pt>
                <c:pt idx="4">
                  <c:v>CS+100g</c:v>
                </c:pt>
              </c:strCache>
            </c:strRef>
          </c:cat>
          <c:val>
            <c:numRef>
              <c:f>[Book3]Sheet1!$B$2:$B$6</c:f>
              <c:numCache>
                <c:formatCode>General</c:formatCode>
                <c:ptCount val="5"/>
                <c:pt idx="0">
                  <c:v>10.6</c:v>
                </c:pt>
                <c:pt idx="1">
                  <c:v>4</c:v>
                </c:pt>
                <c:pt idx="2">
                  <c:v>0</c:v>
                </c:pt>
                <c:pt idx="3">
                  <c:v>6.1</c:v>
                </c:pt>
                <c:pt idx="4">
                  <c:v>9.9</c:v>
                </c:pt>
              </c:numCache>
            </c:numRef>
          </c:val>
          <c:extLst>
            <c:ext xmlns:c16="http://schemas.microsoft.com/office/drawing/2014/chart" uri="{C3380CC4-5D6E-409C-BE32-E72D297353CC}">
              <c16:uniqueId val="{00000000-751E-4351-A034-7A234F64D0A3}"/>
            </c:ext>
          </c:extLst>
        </c:ser>
        <c:dLbls>
          <c:showLegendKey val="0"/>
          <c:showVal val="0"/>
          <c:showCatName val="0"/>
          <c:showSerName val="0"/>
          <c:showPercent val="0"/>
          <c:showBubbleSize val="0"/>
        </c:dLbls>
        <c:gapWidth val="246"/>
        <c:overlap val="-28"/>
        <c:axId val="689789204"/>
        <c:axId val="630981414"/>
      </c:barChart>
      <c:catAx>
        <c:axId val="689789204"/>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p>
            </c:rich>
          </c:tx>
          <c:overlay val="0"/>
          <c:spPr>
            <a:noFill/>
            <a:ln>
              <a:noFill/>
            </a:ln>
            <a:effectLst/>
          </c:spPr>
          <c:txPr>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630981414"/>
        <c:crosses val="autoZero"/>
        <c:auto val="1"/>
        <c:lblAlgn val="ctr"/>
        <c:lblOffset val="100"/>
        <c:noMultiLvlLbl val="0"/>
      </c:catAx>
      <c:valAx>
        <c:axId val="630981414"/>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Root length (cm)</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689789204"/>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0" vertOverflow="ellipsis" vert="horz" wrap="square" anchor="ctr" anchorCtr="1"/>
        <a:lstStyle/>
        <a:p>
          <a:pPr>
            <a:defRPr lang="en-GB" sz="1400" b="1" i="0" u="none" strike="noStrike" kern="1200" baseline="0">
              <a:solidFill>
                <a:srgbClr val="404040">
                  <a:lumMod val="75000"/>
                  <a:lumOff val="25000"/>
                </a:srgbClr>
              </a:solidFill>
              <a:latin typeface="+mn-lt"/>
              <a:ea typeface="+mn-ea"/>
              <a:cs typeface="+mn-cs"/>
            </a:defRPr>
          </a:pPr>
          <a:endParaRPr lang="en-US"/>
        </a:p>
      </c:txPr>
    </c:title>
    <c:autoTitleDeleted val="0"/>
    <c:plotArea>
      <c:layout/>
      <c:barChart>
        <c:barDir val="col"/>
        <c:grouping val="clustered"/>
        <c:varyColors val="0"/>
        <c:ser>
          <c:idx val="0"/>
          <c:order val="0"/>
          <c:tx>
            <c:strRef>
              <c:f>[Book4]Sheet1!$B$1</c:f>
              <c:strCache>
                <c:ptCount val="1"/>
                <c:pt idx="0">
                  <c:v>No. of Leaves</c:v>
                </c:pt>
              </c:strCache>
            </c:strRef>
          </c:tx>
          <c:spPr>
            <a:solidFill>
              <a:srgbClr val="5B9BD5"/>
            </a:solidFill>
            <a:ln>
              <a:noFill/>
            </a:ln>
            <a:effectLst/>
          </c:spPr>
          <c:invertIfNegative val="0"/>
          <c:cat>
            <c:strRef>
              <c:f>[Book4]Sheet1!$A$2:$A$6</c:f>
              <c:strCache>
                <c:ptCount val="5"/>
                <c:pt idx="0">
                  <c:v>UCS</c:v>
                </c:pt>
                <c:pt idx="1">
                  <c:v>CS</c:v>
                </c:pt>
                <c:pt idx="2">
                  <c:v>CS+20g</c:v>
                </c:pt>
                <c:pt idx="3">
                  <c:v>CS+60g</c:v>
                </c:pt>
                <c:pt idx="4">
                  <c:v>CS+100g</c:v>
                </c:pt>
              </c:strCache>
            </c:strRef>
          </c:cat>
          <c:val>
            <c:numRef>
              <c:f>[Book4]Sheet1!$B$2:$B$6</c:f>
              <c:numCache>
                <c:formatCode>General</c:formatCode>
                <c:ptCount val="5"/>
                <c:pt idx="0">
                  <c:v>7.4</c:v>
                </c:pt>
                <c:pt idx="1">
                  <c:v>2.7</c:v>
                </c:pt>
                <c:pt idx="2">
                  <c:v>0</c:v>
                </c:pt>
                <c:pt idx="3">
                  <c:v>4.0999999999999996</c:v>
                </c:pt>
                <c:pt idx="4">
                  <c:v>6.3</c:v>
                </c:pt>
              </c:numCache>
            </c:numRef>
          </c:val>
          <c:extLst>
            <c:ext xmlns:c16="http://schemas.microsoft.com/office/drawing/2014/chart" uri="{C3380CC4-5D6E-409C-BE32-E72D297353CC}">
              <c16:uniqueId val="{00000000-0597-41A2-B207-2D64C79F5A02}"/>
            </c:ext>
          </c:extLst>
        </c:ser>
        <c:dLbls>
          <c:showLegendKey val="0"/>
          <c:showVal val="0"/>
          <c:showCatName val="0"/>
          <c:showSerName val="0"/>
          <c:showPercent val="0"/>
          <c:showBubbleSize val="0"/>
        </c:dLbls>
        <c:gapWidth val="246"/>
        <c:overlap val="-28"/>
        <c:axId val="835858560"/>
        <c:axId val="68287740"/>
      </c:barChart>
      <c:catAx>
        <c:axId val="83585856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p>
            </c:rich>
          </c:tx>
          <c:overlay val="0"/>
          <c:spPr>
            <a:noFill/>
            <a:ln>
              <a:noFill/>
            </a:ln>
            <a:effectLst/>
          </c:spPr>
          <c:txPr>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68287740"/>
        <c:crosses val="autoZero"/>
        <c:auto val="1"/>
        <c:lblAlgn val="ctr"/>
        <c:lblOffset val="100"/>
        <c:noMultiLvlLbl val="0"/>
      </c:catAx>
      <c:valAx>
        <c:axId val="68287740"/>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No of Leaves</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endParaRPr lang="en-US"/>
          </a:p>
        </c:txPr>
        <c:crossAx val="83585856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GB"/>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18">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4718</Words>
  <Characters>26899</Characters>
  <Application>Microsoft Office Word</Application>
  <DocSecurity>0</DocSecurity>
  <Lines>224</Lines>
  <Paragraphs>63</Paragraphs>
  <ScaleCrop>false</ScaleCrop>
  <Company/>
  <LinksUpToDate>false</LinksUpToDate>
  <CharactersWithSpaces>31554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immaculate ejike</dc:creator>
  <cp:lastModifiedBy>SDI 1084</cp:lastModifiedBy>
  <cp:revision>4</cp:revision>
  <dcterms:created xsi:type="dcterms:W3CDTF">2025-10-24T16:05:00Z</dcterms:created>
  <dcterms:modified xsi:type="dcterms:W3CDTF">2025-10-25T11:07:00Z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4AF060A5A3314C029DB7E7AEAB4DE2F4_13</vt:lpwstr>
  </property>
</Properties>
</file>