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EC2BB" w14:textId="06D3A30A" w:rsidR="005D1799" w:rsidRDefault="001A4879">
      <w:pPr>
        <w:pStyle w:val="NormalWeb"/>
        <w:spacing w:line="360" w:lineRule="auto"/>
        <w:jc w:val="both"/>
        <w:rPr>
          <w:rStyle w:val="Strong"/>
        </w:rPr>
      </w:pPr>
      <w:proofErr w:type="spellStart"/>
      <w:r>
        <w:rPr>
          <w:rStyle w:val="Strong"/>
        </w:rPr>
        <w:t>Biosolubilization</w:t>
      </w:r>
      <w:proofErr w:type="spellEnd"/>
      <w:r>
        <w:rPr>
          <w:rStyle w:val="Strong"/>
        </w:rPr>
        <w:t xml:space="preserve"> of Minerals in Soil: Current Findings and Future Prospects</w:t>
      </w:r>
    </w:p>
    <w:p w14:paraId="095FFB58" w14:textId="77777777" w:rsidR="005D1799" w:rsidRDefault="005D1799">
      <w:pPr>
        <w:pStyle w:val="NormalWeb"/>
        <w:spacing w:line="360" w:lineRule="auto"/>
        <w:jc w:val="both"/>
        <w:rPr>
          <w:b/>
          <w:bCs/>
        </w:rPr>
      </w:pPr>
      <w:bookmarkStart w:id="0" w:name="_GoBack"/>
      <w:bookmarkEnd w:id="0"/>
    </w:p>
    <w:p w14:paraId="423A1FC8" w14:textId="77777777" w:rsidR="005D1799" w:rsidRDefault="001A4879">
      <w:pPr>
        <w:pStyle w:val="NormalWeb"/>
        <w:spacing w:line="360" w:lineRule="auto"/>
        <w:jc w:val="both"/>
        <w:rPr>
          <w:b/>
          <w:bCs/>
        </w:rPr>
      </w:pPr>
      <w:r>
        <w:rPr>
          <w:b/>
          <w:bCs/>
        </w:rPr>
        <w:t xml:space="preserve">Abstract </w:t>
      </w:r>
    </w:p>
    <w:p w14:paraId="4AE21A11" w14:textId="77777777" w:rsidR="005D1799" w:rsidRDefault="001A4879">
      <w:pPr>
        <w:pStyle w:val="NormalWeb"/>
        <w:spacing w:before="0" w:beforeAutospacing="0" w:after="0" w:afterAutospacing="0" w:line="360" w:lineRule="auto"/>
        <w:jc w:val="both"/>
      </w:pPr>
      <w:r>
        <w:t>By 2050, the global population is expected to reach 9 billion, increasing food demand by 70%.  Fertilizers, especially nitrogen, potassium, and phosphorus (NPK), are essential for agricultural productivity. P</w:t>
      </w:r>
      <w:r>
        <w:t xml:space="preserve">hosphorus is vital for plant growth, but its availability in soil is often limited, reducing crop yields by up to 15%. Soil microorganisms, through </w:t>
      </w:r>
      <w:proofErr w:type="spellStart"/>
      <w:r>
        <w:t>biosolubilization</w:t>
      </w:r>
      <w:proofErr w:type="spellEnd"/>
      <w:r>
        <w:t>, play a crucial role in converting minerals into plant-absorbable forms thus improving soi</w:t>
      </w:r>
      <w:r>
        <w:t xml:space="preserve">l fertility and supporting sustainable farming practices. Microorganisms, like </w:t>
      </w:r>
      <w:proofErr w:type="spellStart"/>
      <w:r>
        <w:t>Azospirillum</w:t>
      </w:r>
      <w:proofErr w:type="spellEnd"/>
      <w:r>
        <w:t xml:space="preserve"> </w:t>
      </w:r>
      <w:proofErr w:type="spellStart"/>
      <w:r>
        <w:t>brasilense</w:t>
      </w:r>
      <w:proofErr w:type="spellEnd"/>
      <w:r>
        <w:t xml:space="preserve"> and Bacillus megaterium are known for solubilizing phosphorus and potassium, produce organic acids and enzymes that break down minerals, offering an eco-</w:t>
      </w:r>
      <w:r>
        <w:t xml:space="preserve">friendly alternative to chemical fertilizers. Microbial consortia, combining bacteria and fungi, enhance solubilization efficiency through cooperative interactions. </w:t>
      </w:r>
      <w:proofErr w:type="spellStart"/>
      <w:r>
        <w:t>Biosolubilization</w:t>
      </w:r>
      <w:proofErr w:type="spellEnd"/>
      <w:r>
        <w:t xml:space="preserve"> also aids in soil remediation and waste treatment. The implications of th</w:t>
      </w:r>
      <w:r>
        <w:t>is review are ecological alternatives to chemical fertilizers, reducing the environmental footprint of chemical hazards, understanding microbial interactions and optimizing practices based on local conditions which can address challenges like nutrient defi</w:t>
      </w:r>
      <w:r>
        <w:t xml:space="preserve">ciencies and the high cost of fertilizers, ensuring food security and promoting sustainable farming.  The genetic regulation of microbial solubilization helps develop efficient biofertilizers, reducing dependency on chemical fertilizers. Microbial </w:t>
      </w:r>
      <w:proofErr w:type="spellStart"/>
      <w:r>
        <w:t>biosolub</w:t>
      </w:r>
      <w:r>
        <w:t>ilization</w:t>
      </w:r>
      <w:proofErr w:type="spellEnd"/>
      <w:r>
        <w:t xml:space="preserve"> is essential for sustainable agriculture, enhancing soil health and plant growth. Therefore, continuous research in this area is essential to maximize its full potentials and for environmental stability. </w:t>
      </w:r>
    </w:p>
    <w:p w14:paraId="5F0ED2EB" w14:textId="77777777" w:rsidR="005D1799" w:rsidRDefault="001A4879">
      <w:pPr>
        <w:pStyle w:val="NormalWeb"/>
        <w:spacing w:line="360" w:lineRule="auto"/>
        <w:jc w:val="both"/>
        <w:rPr>
          <w:b/>
          <w:bCs/>
        </w:rPr>
      </w:pPr>
      <w:r>
        <w:rPr>
          <w:b/>
          <w:bCs/>
        </w:rPr>
        <w:t xml:space="preserve">Keywords: </w:t>
      </w:r>
      <w:proofErr w:type="spellStart"/>
      <w:r>
        <w:rPr>
          <w:b/>
          <w:bCs/>
        </w:rPr>
        <w:t>Biosolubilization</w:t>
      </w:r>
      <w:proofErr w:type="spellEnd"/>
      <w:r>
        <w:rPr>
          <w:b/>
          <w:bCs/>
        </w:rPr>
        <w:t>; biofertilize</w:t>
      </w:r>
      <w:r>
        <w:rPr>
          <w:b/>
          <w:bCs/>
        </w:rPr>
        <w:t>rs; soil fertility; sustainable agriculture; environmental stability.</w:t>
      </w:r>
    </w:p>
    <w:p w14:paraId="56BE6BEB" w14:textId="77777777" w:rsidR="005D1799" w:rsidRDefault="001A4879">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1. Introduction</w:t>
      </w:r>
    </w:p>
    <w:p w14:paraId="623EFB73" w14:textId="77777777" w:rsidR="005D1799" w:rsidRDefault="001A4879">
      <w:pPr>
        <w:pStyle w:val="NormalWeb"/>
        <w:spacing w:line="360" w:lineRule="auto"/>
        <w:jc w:val="both"/>
      </w:pPr>
      <w:r>
        <w:t>The global population is projected to reach 9 billion by 2050 therefore, food demand is expected to rise by 70% (</w:t>
      </w:r>
      <w:r>
        <w:rPr>
          <w:rFonts w:eastAsia="SimSun"/>
          <w:color w:val="222222"/>
          <w:shd w:val="clear" w:color="auto" w:fill="FFFFFF"/>
        </w:rPr>
        <w:t>Mumtaz et al., 2023</w:t>
      </w:r>
      <w:r>
        <w:t>). To sustain agricultural productivit</w:t>
      </w:r>
      <w:r>
        <w:t xml:space="preserve">y, fertilizers play a crucial role in supplying essential nutrients, particularly nitrogen, potassium and phosphorus (NPK) </w:t>
      </w:r>
      <w:r>
        <w:lastRenderedPageBreak/>
        <w:t>(</w:t>
      </w:r>
      <w:r>
        <w:rPr>
          <w:rFonts w:eastAsia="SimSun"/>
          <w:color w:val="222222"/>
          <w:shd w:val="clear" w:color="auto" w:fill="FFFFFF"/>
        </w:rPr>
        <w:t>Schueler et al., 2021</w:t>
      </w:r>
      <w:r>
        <w:t>). Phosphorus, a macronutrient vital for plant growth, participates in critical cellular processes, including n</w:t>
      </w:r>
      <w:r>
        <w:t>ucleic acid synthesis, energy transfer, photosynthesis, and root development (</w:t>
      </w:r>
      <w:proofErr w:type="spellStart"/>
      <w:r>
        <w:rPr>
          <w:rFonts w:eastAsia="SimSun"/>
          <w:color w:val="222222"/>
          <w:shd w:val="clear" w:color="auto" w:fill="FFFFFF"/>
        </w:rPr>
        <w:t>Elhaissoufi</w:t>
      </w:r>
      <w:proofErr w:type="spellEnd"/>
      <w:r>
        <w:rPr>
          <w:rFonts w:eastAsia="SimSun"/>
          <w:color w:val="222222"/>
          <w:shd w:val="clear" w:color="auto" w:fill="FFFFFF"/>
        </w:rPr>
        <w:t xml:space="preserve"> et al., 2022</w:t>
      </w:r>
      <w:r>
        <w:t>). However, phosphorus availability in soil is often limited, with up to 15% reductions in crop yield attributed to P deficiency (</w:t>
      </w:r>
      <w:r>
        <w:rPr>
          <w:rFonts w:eastAsia="SimSun"/>
          <w:color w:val="222222"/>
          <w:shd w:val="clear" w:color="auto" w:fill="FFFFFF"/>
        </w:rPr>
        <w:t xml:space="preserve">Shenoy &amp; </w:t>
      </w:r>
      <w:proofErr w:type="spellStart"/>
      <w:r>
        <w:rPr>
          <w:rFonts w:eastAsia="SimSun"/>
          <w:color w:val="222222"/>
          <w:shd w:val="clear" w:color="auto" w:fill="FFFFFF"/>
        </w:rPr>
        <w:t>Kalagudi</w:t>
      </w:r>
      <w:proofErr w:type="spellEnd"/>
      <w:r>
        <w:rPr>
          <w:rFonts w:eastAsia="SimSun"/>
          <w:color w:val="222222"/>
          <w:shd w:val="clear" w:color="auto" w:fill="FFFFFF"/>
        </w:rPr>
        <w:t>, 2005</w:t>
      </w:r>
      <w:r>
        <w:t>)</w:t>
      </w:r>
      <w:r>
        <w:t>.</w:t>
      </w:r>
    </w:p>
    <w:p w14:paraId="254145E4" w14:textId="77777777" w:rsidR="005D1799" w:rsidRDefault="001A4879">
      <w:pPr>
        <w:pStyle w:val="NormalWeb"/>
        <w:spacing w:line="360" w:lineRule="auto"/>
        <w:jc w:val="both"/>
      </w:pPr>
      <w:r>
        <w:t>While many minerals are naturally present in soil, only a small fraction is readily available for plant uptake (</w:t>
      </w:r>
      <w:r>
        <w:rPr>
          <w:rFonts w:eastAsia="SimSun"/>
          <w:color w:val="222222"/>
          <w:shd w:val="clear" w:color="auto" w:fill="FFFFFF"/>
        </w:rPr>
        <w:t>Ribeiro et al., 2020</w:t>
      </w:r>
      <w:r>
        <w:t xml:space="preserve">). Soil microorganisms play a significant role in transforming these minerals into bioavailable forms through </w:t>
      </w:r>
      <w:proofErr w:type="spellStart"/>
      <w:r>
        <w:t>biosolubiliz</w:t>
      </w:r>
      <w:r>
        <w:t>ation</w:t>
      </w:r>
      <w:proofErr w:type="spellEnd"/>
      <w:r>
        <w:t xml:space="preserve"> (</w:t>
      </w:r>
      <w:r>
        <w:rPr>
          <w:rFonts w:eastAsia="SimSun"/>
          <w:color w:val="222222"/>
          <w:shd w:val="clear" w:color="auto" w:fill="FFFFFF"/>
        </w:rPr>
        <w:t>Ribeiro et al., 2020</w:t>
      </w:r>
      <w:r>
        <w:t>). This process, mediated by microbial metabolic activities, enhances soil fertility by releasing essential nutrients such as phosphorus and potassium (</w:t>
      </w:r>
      <w:r>
        <w:rPr>
          <w:lang w:eastAsia="zh-CN"/>
        </w:rPr>
        <w:t>Aishwarya et al., 2020</w:t>
      </w:r>
      <w:r>
        <w:t xml:space="preserve">). Various microorganisms, including </w:t>
      </w:r>
      <w:proofErr w:type="spellStart"/>
      <w:r>
        <w:rPr>
          <w:rStyle w:val="Emphasis"/>
        </w:rPr>
        <w:t>Azospirillum</w:t>
      </w:r>
      <w:proofErr w:type="spellEnd"/>
      <w:r>
        <w:rPr>
          <w:rStyle w:val="Emphasis"/>
        </w:rPr>
        <w:t xml:space="preserve"> </w:t>
      </w:r>
      <w:proofErr w:type="spellStart"/>
      <w:r>
        <w:rPr>
          <w:rStyle w:val="Emphasis"/>
        </w:rPr>
        <w:t>brasi</w:t>
      </w:r>
      <w:r>
        <w:rPr>
          <w:rStyle w:val="Emphasis"/>
        </w:rPr>
        <w:t>lense</w:t>
      </w:r>
      <w:proofErr w:type="spellEnd"/>
      <w:r>
        <w:t xml:space="preserve">, </w:t>
      </w:r>
      <w:r>
        <w:rPr>
          <w:rStyle w:val="Emphasis"/>
        </w:rPr>
        <w:t>Bacillus megaterium</w:t>
      </w:r>
      <w:r>
        <w:t xml:space="preserve">, </w:t>
      </w:r>
      <w:r>
        <w:rPr>
          <w:rStyle w:val="Emphasis"/>
        </w:rPr>
        <w:t>Pseudomonas putida</w:t>
      </w:r>
      <w:r>
        <w:t xml:space="preserve">, </w:t>
      </w:r>
      <w:r>
        <w:rPr>
          <w:rStyle w:val="Emphasis"/>
        </w:rPr>
        <w:t xml:space="preserve">Aspergillus </w:t>
      </w:r>
      <w:proofErr w:type="spellStart"/>
      <w:r>
        <w:rPr>
          <w:rStyle w:val="Emphasis"/>
        </w:rPr>
        <w:t>niger</w:t>
      </w:r>
      <w:proofErr w:type="spellEnd"/>
      <w:r>
        <w:t xml:space="preserve">, and </w:t>
      </w:r>
      <w:r>
        <w:rPr>
          <w:rStyle w:val="Emphasis"/>
        </w:rPr>
        <w:t>Penicillium</w:t>
      </w:r>
      <w:r>
        <w:t xml:space="preserve"> spp., have been identified for their phosphorus solubilization potential. Similarly, potassium-solubilizing bacteria such as </w:t>
      </w:r>
      <w:r>
        <w:rPr>
          <w:rStyle w:val="Emphasis"/>
        </w:rPr>
        <w:t xml:space="preserve">Bacillus </w:t>
      </w:r>
      <w:proofErr w:type="spellStart"/>
      <w:r>
        <w:rPr>
          <w:rStyle w:val="Emphasis"/>
        </w:rPr>
        <w:t>mucilaginosus</w:t>
      </w:r>
      <w:proofErr w:type="spellEnd"/>
      <w:r>
        <w:t xml:space="preserve">, </w:t>
      </w:r>
      <w:r>
        <w:rPr>
          <w:rStyle w:val="Emphasis"/>
        </w:rPr>
        <w:t xml:space="preserve">B. </w:t>
      </w:r>
      <w:proofErr w:type="spellStart"/>
      <w:r>
        <w:rPr>
          <w:rStyle w:val="Emphasis"/>
        </w:rPr>
        <w:t>edaphicus</w:t>
      </w:r>
      <w:proofErr w:type="spellEnd"/>
      <w:r>
        <w:t xml:space="preserve">, </w:t>
      </w:r>
      <w:proofErr w:type="spellStart"/>
      <w:r>
        <w:rPr>
          <w:rStyle w:val="Emphasis"/>
        </w:rPr>
        <w:t>Acidothiobacillus</w:t>
      </w:r>
      <w:proofErr w:type="spellEnd"/>
      <w:r>
        <w:rPr>
          <w:rStyle w:val="Emphasis"/>
        </w:rPr>
        <w:t xml:space="preserve"> </w:t>
      </w:r>
      <w:proofErr w:type="spellStart"/>
      <w:r>
        <w:rPr>
          <w:rStyle w:val="Emphasis"/>
        </w:rPr>
        <w:t>ferrooxidans</w:t>
      </w:r>
      <w:proofErr w:type="spellEnd"/>
      <w:r>
        <w:t xml:space="preserve">, and </w:t>
      </w:r>
      <w:r>
        <w:rPr>
          <w:rStyle w:val="Emphasis"/>
        </w:rPr>
        <w:t xml:space="preserve">B. </w:t>
      </w:r>
      <w:proofErr w:type="spellStart"/>
      <w:r>
        <w:rPr>
          <w:rStyle w:val="Emphasis"/>
        </w:rPr>
        <w:t>circulans</w:t>
      </w:r>
      <w:proofErr w:type="spellEnd"/>
      <w:r>
        <w:t xml:space="preserve"> contribute to potassium release (</w:t>
      </w:r>
      <w:proofErr w:type="spellStart"/>
      <w:r>
        <w:t>Etesami</w:t>
      </w:r>
      <w:proofErr w:type="spellEnd"/>
      <w:r>
        <w:t xml:space="preserve"> et al., 2017).</w:t>
      </w:r>
    </w:p>
    <w:p w14:paraId="542310DF" w14:textId="77777777" w:rsidR="005D1799" w:rsidRDefault="001A4879">
      <w:pPr>
        <w:pStyle w:val="NormalWeb"/>
        <w:spacing w:line="360" w:lineRule="auto"/>
        <w:jc w:val="both"/>
      </w:pPr>
      <w:r>
        <w:t xml:space="preserve">Beyond agriculture, </w:t>
      </w:r>
      <w:proofErr w:type="spellStart"/>
      <w:r>
        <w:t>biosolubilization</w:t>
      </w:r>
      <w:proofErr w:type="spellEnd"/>
      <w:r>
        <w:t xml:space="preserve"> is gaining attention in environmental biotechnology for soil remediation, mining waste treatment, and industrial </w:t>
      </w:r>
      <w:r>
        <w:t>residue management (</w:t>
      </w:r>
      <w:proofErr w:type="spellStart"/>
      <w:r>
        <w:rPr>
          <w:rFonts w:eastAsia="SimSun"/>
          <w:color w:val="222222"/>
          <w:shd w:val="clear" w:color="auto" w:fill="FFFFFF"/>
        </w:rPr>
        <w:t>Mupondi</w:t>
      </w:r>
      <w:proofErr w:type="spellEnd"/>
      <w:r>
        <w:rPr>
          <w:rFonts w:eastAsia="SimSun"/>
          <w:color w:val="222222"/>
          <w:shd w:val="clear" w:color="auto" w:fill="FFFFFF"/>
        </w:rPr>
        <w:t xml:space="preserve"> et al., 2018</w:t>
      </w:r>
      <w:r>
        <w:t>). Through metabolic reactions, microorganisms generate organic acids, enzymes, and other biochemicals that break down minerals, enhancing soil fertility and mitigating environmental pollution (</w:t>
      </w:r>
      <w:r>
        <w:rPr>
          <w:rFonts w:eastAsia="SimSun"/>
          <w:color w:val="222222"/>
          <w:shd w:val="clear" w:color="auto" w:fill="FFFFFF"/>
        </w:rPr>
        <w:t>Hassan et al., 2017</w:t>
      </w:r>
      <w:r>
        <w:t xml:space="preserve">). </w:t>
      </w:r>
      <w:r>
        <w:t xml:space="preserve">Given its eco-friendly and cost-effective nature, </w:t>
      </w:r>
      <w:proofErr w:type="spellStart"/>
      <w:r>
        <w:t>biosolubilization</w:t>
      </w:r>
      <w:proofErr w:type="spellEnd"/>
      <w:r>
        <w:t xml:space="preserve"> presents a promising alternative to traditional chemical treatments.</w:t>
      </w:r>
    </w:p>
    <w:p w14:paraId="604B1B11" w14:textId="77777777" w:rsidR="005D1799" w:rsidRDefault="001A4879">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 xml:space="preserve">2. General Overview of </w:t>
      </w:r>
      <w:proofErr w:type="spellStart"/>
      <w:r>
        <w:rPr>
          <w:rFonts w:ascii="Times New Roman" w:hAnsi="Times New Roman" w:hint="default"/>
          <w:sz w:val="24"/>
          <w:szCs w:val="24"/>
        </w:rPr>
        <w:t>Biosolubilization</w:t>
      </w:r>
      <w:proofErr w:type="spellEnd"/>
    </w:p>
    <w:p w14:paraId="3C5A5622" w14:textId="77777777" w:rsidR="005D1799" w:rsidRDefault="001A4879">
      <w:pPr>
        <w:pStyle w:val="NormalWeb"/>
        <w:spacing w:line="360" w:lineRule="auto"/>
        <w:jc w:val="both"/>
      </w:pPr>
      <w:proofErr w:type="spellStart"/>
      <w:r>
        <w:t>Biosolubilization</w:t>
      </w:r>
      <w:proofErr w:type="spellEnd"/>
      <w:r>
        <w:t xml:space="preserve"> is a microbial-driven process that facilitates the transform</w:t>
      </w:r>
      <w:r>
        <w:t>ation of insoluble minerals into soluble forms (</w:t>
      </w:r>
      <w:r>
        <w:rPr>
          <w:rFonts w:eastAsia="SimSun"/>
          <w:color w:val="222222"/>
          <w:shd w:val="clear" w:color="auto" w:fill="FFFFFF"/>
        </w:rPr>
        <w:t>Ribeiro et al., 2020</w:t>
      </w:r>
      <w:r>
        <w:t>). This biological treatment involves bacteria and fungi that release organic acids, chelating agents, and extracellular enzymes to solubilize minerals such as phosphorus, potassium and ir</w:t>
      </w:r>
      <w:r>
        <w:t xml:space="preserve">on. </w:t>
      </w:r>
    </w:p>
    <w:p w14:paraId="70A732F6" w14:textId="77777777" w:rsidR="005D1799" w:rsidRDefault="001A487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 xml:space="preserve">2.1 Bacterial Contribution to </w:t>
      </w:r>
      <w:proofErr w:type="spellStart"/>
      <w:r>
        <w:rPr>
          <w:rFonts w:ascii="Times New Roman" w:hAnsi="Times New Roman" w:hint="default"/>
          <w:sz w:val="24"/>
          <w:szCs w:val="24"/>
        </w:rPr>
        <w:t>Biosolubilization</w:t>
      </w:r>
      <w:proofErr w:type="spellEnd"/>
    </w:p>
    <w:p w14:paraId="595AF4B0" w14:textId="77777777" w:rsidR="005D1799" w:rsidRDefault="001A4879">
      <w:pPr>
        <w:pStyle w:val="NormalWeb"/>
        <w:spacing w:line="360" w:lineRule="auto"/>
        <w:jc w:val="both"/>
      </w:pPr>
      <w:r>
        <w:t xml:space="preserve">Bacteria play a crucial role in phosphorus solubilization. Under optimized conditions, </w:t>
      </w:r>
      <w:proofErr w:type="spellStart"/>
      <w:r>
        <w:rPr>
          <w:rStyle w:val="Emphasis"/>
        </w:rPr>
        <w:t>Pantoea</w:t>
      </w:r>
      <w:proofErr w:type="spellEnd"/>
      <w:r>
        <w:rPr>
          <w:rStyle w:val="Emphasis"/>
        </w:rPr>
        <w:t xml:space="preserve"> </w:t>
      </w:r>
      <w:proofErr w:type="spellStart"/>
      <w:r>
        <w:rPr>
          <w:rStyle w:val="Emphasis"/>
        </w:rPr>
        <w:t>agglomerans</w:t>
      </w:r>
      <w:proofErr w:type="spellEnd"/>
      <w:r>
        <w:t xml:space="preserve"> ZB, isolated from the rhizosphere of </w:t>
      </w:r>
      <w:r>
        <w:rPr>
          <w:rStyle w:val="Emphasis"/>
        </w:rPr>
        <w:t>Araucaria</w:t>
      </w:r>
      <w:r>
        <w:t xml:space="preserve"> in China, achieved a maximum </w:t>
      </w:r>
      <w:r>
        <w:lastRenderedPageBreak/>
        <w:t>phosphorus solubiliz</w:t>
      </w:r>
      <w:r>
        <w:t xml:space="preserve">ation of 1247.78 mg L⁻¹, corresponding to a 24.45% </w:t>
      </w:r>
      <w:proofErr w:type="spellStart"/>
      <w:r>
        <w:t>biosolubilization</w:t>
      </w:r>
      <w:proofErr w:type="spellEnd"/>
      <w:r>
        <w:t xml:space="preserve"> efficiency (Li et al., 2020). Similarly, </w:t>
      </w:r>
      <w:r>
        <w:rPr>
          <w:rStyle w:val="Emphasis"/>
        </w:rPr>
        <w:t>Bacillus megaterium</w:t>
      </w:r>
      <w:r>
        <w:t xml:space="preserve">, </w:t>
      </w:r>
      <w:r>
        <w:rPr>
          <w:rStyle w:val="Emphasis"/>
        </w:rPr>
        <w:t xml:space="preserve">B. licheniformis </w:t>
      </w:r>
      <w:r>
        <w:t xml:space="preserve">and </w:t>
      </w:r>
      <w:r>
        <w:rPr>
          <w:rStyle w:val="Emphasis"/>
        </w:rPr>
        <w:t>Pseudomonas fluorescens</w:t>
      </w:r>
      <w:r>
        <w:t xml:space="preserve"> exhibited </w:t>
      </w:r>
      <w:proofErr w:type="spellStart"/>
      <w:r>
        <w:t>biosolubilization</w:t>
      </w:r>
      <w:proofErr w:type="spellEnd"/>
      <w:r>
        <w:t xml:space="preserve"> efficiencies of 55.14%, 54.60%, and 27.90%, respecti</w:t>
      </w:r>
      <w:r>
        <w:t>vely, when tested in an air-lift bioreactor using phosphate rock as a substrate (</w:t>
      </w:r>
      <w:r>
        <w:rPr>
          <w:rFonts w:eastAsia="SimSun"/>
          <w:color w:val="222222"/>
          <w:shd w:val="clear" w:color="auto" w:fill="FFFFFF"/>
        </w:rPr>
        <w:t>do Carmo et al., 2019</w:t>
      </w:r>
      <w:r>
        <w:t>).</w:t>
      </w:r>
    </w:p>
    <w:p w14:paraId="1169DE61" w14:textId="77777777" w:rsidR="005D1799" w:rsidRDefault="001A487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 xml:space="preserve">2.2 Fungal Contribution to </w:t>
      </w:r>
      <w:proofErr w:type="spellStart"/>
      <w:r>
        <w:rPr>
          <w:rFonts w:ascii="Times New Roman" w:hAnsi="Times New Roman" w:hint="default"/>
          <w:sz w:val="24"/>
          <w:szCs w:val="24"/>
        </w:rPr>
        <w:t>Biosolubilization</w:t>
      </w:r>
      <w:proofErr w:type="spellEnd"/>
    </w:p>
    <w:p w14:paraId="2584EBEF" w14:textId="77777777" w:rsidR="005D1799" w:rsidRDefault="001A4879">
      <w:pPr>
        <w:pStyle w:val="NormalWeb"/>
        <w:spacing w:line="360" w:lineRule="auto"/>
        <w:jc w:val="both"/>
      </w:pPr>
      <w:r>
        <w:t xml:space="preserve">Fungi also play a significant role in phosphorus solubilization; </w:t>
      </w:r>
      <w:r>
        <w:rPr>
          <w:rStyle w:val="Emphasis"/>
        </w:rPr>
        <w:t xml:space="preserve">Penicillium </w:t>
      </w:r>
      <w:proofErr w:type="spellStart"/>
      <w:r>
        <w:rPr>
          <w:rStyle w:val="Emphasis"/>
        </w:rPr>
        <w:t>simplicissimum</w:t>
      </w:r>
      <w:proofErr w:type="spellEnd"/>
      <w:r>
        <w:t xml:space="preserve">, </w:t>
      </w:r>
      <w:r>
        <w:rPr>
          <w:rStyle w:val="Emphasis"/>
        </w:rPr>
        <w:t xml:space="preserve">Aspergillus </w:t>
      </w:r>
      <w:proofErr w:type="spellStart"/>
      <w:r>
        <w:rPr>
          <w:rStyle w:val="Emphasis"/>
        </w:rPr>
        <w:t>n</w:t>
      </w:r>
      <w:r>
        <w:rPr>
          <w:rStyle w:val="Emphasis"/>
        </w:rPr>
        <w:t>iger</w:t>
      </w:r>
      <w:proofErr w:type="spellEnd"/>
      <w:r>
        <w:t xml:space="preserve"> and </w:t>
      </w:r>
      <w:r>
        <w:rPr>
          <w:rStyle w:val="Emphasis"/>
        </w:rPr>
        <w:t>A. japonicus</w:t>
      </w:r>
      <w:r>
        <w:t xml:space="preserve"> demonstrated solubilization efficiencies of 45.68%, 40.53%, and 35.39% respectively, when isolated from wheat </w:t>
      </w:r>
      <w:proofErr w:type="spellStart"/>
      <w:r>
        <w:t>rhizospheric</w:t>
      </w:r>
      <w:proofErr w:type="spellEnd"/>
      <w:r>
        <w:t xml:space="preserve"> soil (Xiao et al., 2011). </w:t>
      </w:r>
      <w:r>
        <w:rPr>
          <w:rStyle w:val="Emphasis"/>
        </w:rPr>
        <w:t xml:space="preserve">Fusarium </w:t>
      </w:r>
      <w:proofErr w:type="spellStart"/>
      <w:r>
        <w:rPr>
          <w:rStyle w:val="Emphasis"/>
        </w:rPr>
        <w:t>moniliforme</w:t>
      </w:r>
      <w:proofErr w:type="spellEnd"/>
      <w:r>
        <w:t xml:space="preserve">, </w:t>
      </w:r>
      <w:r>
        <w:rPr>
          <w:rStyle w:val="Emphasis"/>
        </w:rPr>
        <w:t xml:space="preserve">Aspergillus </w:t>
      </w:r>
      <w:proofErr w:type="spellStart"/>
      <w:r>
        <w:rPr>
          <w:rStyle w:val="Emphasis"/>
        </w:rPr>
        <w:t>chevalieri</w:t>
      </w:r>
      <w:proofErr w:type="spellEnd"/>
      <w:r>
        <w:t xml:space="preserve"> and </w:t>
      </w:r>
      <w:r>
        <w:rPr>
          <w:rStyle w:val="Emphasis"/>
        </w:rPr>
        <w:t xml:space="preserve">Trichoderma </w:t>
      </w:r>
      <w:proofErr w:type="spellStart"/>
      <w:r>
        <w:rPr>
          <w:rStyle w:val="Emphasis"/>
        </w:rPr>
        <w:t>harzianum</w:t>
      </w:r>
      <w:proofErr w:type="spellEnd"/>
      <w:r>
        <w:t xml:space="preserve"> obtained from </w:t>
      </w:r>
      <w:r>
        <w:t>sorghum (</w:t>
      </w:r>
      <w:r>
        <w:rPr>
          <w:rStyle w:val="Emphasis"/>
        </w:rPr>
        <w:t>Sorghum bicolor</w:t>
      </w:r>
      <w:r>
        <w:t xml:space="preserve"> L.) rhizosphere, solubilized up to 28.40 mg L⁻¹ of phosphorus, with efficiencies ranging from 3.59% to 8.85% (Abdel-Ghany et al., 2019).</w:t>
      </w:r>
    </w:p>
    <w:p w14:paraId="775BE83E" w14:textId="77777777" w:rsidR="005D1799" w:rsidRDefault="001A4879">
      <w:pPr>
        <w:pStyle w:val="NormalWeb"/>
        <w:spacing w:line="360" w:lineRule="auto"/>
        <w:jc w:val="both"/>
      </w:pPr>
      <w:r>
        <w:rPr>
          <w:rStyle w:val="Emphasis"/>
        </w:rPr>
        <w:t>Trichoderma</w:t>
      </w:r>
      <w:r>
        <w:t xml:space="preserve"> spp., isolated from phosphate mines, has been identified as a potential phosphorus solubilizer (</w:t>
      </w:r>
      <w:r>
        <w:rPr>
          <w:rFonts w:eastAsia="SimSun"/>
          <w:color w:val="222222"/>
          <w:shd w:val="clear" w:color="auto" w:fill="FFFFFF"/>
        </w:rPr>
        <w:t>da Rocha Ferreira, 2020</w:t>
      </w:r>
      <w:r>
        <w:t xml:space="preserve">). When tested in vitro using modified </w:t>
      </w:r>
      <w:proofErr w:type="spellStart"/>
      <w:r>
        <w:t>Pikovskaya</w:t>
      </w:r>
      <w:proofErr w:type="spellEnd"/>
      <w:r>
        <w:t xml:space="preserve"> Agar (MPA) medium, </w:t>
      </w:r>
      <w:r>
        <w:rPr>
          <w:rStyle w:val="Emphasis"/>
        </w:rPr>
        <w:t>Trichoderma</w:t>
      </w:r>
      <w:r>
        <w:t xml:space="preserve"> exhibited significant radial growth (&gt;79.8 mm in 6 days</w:t>
      </w:r>
      <w:r>
        <w:t>) and solubilized up to 11.92 mg L⁻¹ of phosphorus with an efficiency of 95.39% (</w:t>
      </w:r>
      <w:proofErr w:type="spellStart"/>
      <w:r>
        <w:t>Kribel</w:t>
      </w:r>
      <w:proofErr w:type="spellEnd"/>
      <w:r>
        <w:t xml:space="preserve"> et al., 2019).</w:t>
      </w:r>
    </w:p>
    <w:p w14:paraId="1BE98A1D" w14:textId="77777777" w:rsidR="005D1799" w:rsidRDefault="001A487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 xml:space="preserve">2.3 Microbial Consortia in </w:t>
      </w:r>
      <w:proofErr w:type="spellStart"/>
      <w:r>
        <w:rPr>
          <w:rFonts w:ascii="Times New Roman" w:hAnsi="Times New Roman" w:hint="default"/>
          <w:sz w:val="24"/>
          <w:szCs w:val="24"/>
        </w:rPr>
        <w:t>Biosolubilization</w:t>
      </w:r>
      <w:proofErr w:type="spellEnd"/>
    </w:p>
    <w:p w14:paraId="69642A1D" w14:textId="77777777" w:rsidR="005D1799" w:rsidRDefault="001A4879">
      <w:pPr>
        <w:pStyle w:val="NormalWeb"/>
        <w:spacing w:line="360" w:lineRule="auto"/>
        <w:jc w:val="both"/>
      </w:pPr>
      <w:r>
        <w:t>Microbial consortia enhance phosphorus solubilization efficiency through synergistic interactions between ba</w:t>
      </w:r>
      <w:r>
        <w:t>cteria and fungi (</w:t>
      </w:r>
      <w:proofErr w:type="spellStart"/>
      <w:r>
        <w:t>Elhaissouf</w:t>
      </w:r>
      <w:proofErr w:type="spellEnd"/>
      <w:r>
        <w:t xml:space="preserve"> et al., 2022). A bacterial consortium comprising </w:t>
      </w:r>
      <w:r>
        <w:rPr>
          <w:rStyle w:val="Emphasis"/>
        </w:rPr>
        <w:t xml:space="preserve">Serratia </w:t>
      </w:r>
      <w:proofErr w:type="spellStart"/>
      <w:r>
        <w:rPr>
          <w:rStyle w:val="Emphasis"/>
        </w:rPr>
        <w:t>liquefaciens</w:t>
      </w:r>
      <w:proofErr w:type="spellEnd"/>
      <w:r>
        <w:t xml:space="preserve">, </w:t>
      </w:r>
      <w:r>
        <w:rPr>
          <w:rStyle w:val="Emphasis"/>
        </w:rPr>
        <w:t>Pseudomonas spp.</w:t>
      </w:r>
      <w:r>
        <w:t xml:space="preserve">, </w:t>
      </w:r>
      <w:r>
        <w:rPr>
          <w:rStyle w:val="Emphasis"/>
        </w:rPr>
        <w:t xml:space="preserve">P. </w:t>
      </w:r>
      <w:proofErr w:type="spellStart"/>
      <w:r>
        <w:rPr>
          <w:rStyle w:val="Emphasis"/>
        </w:rPr>
        <w:t>koreensis</w:t>
      </w:r>
      <w:proofErr w:type="spellEnd"/>
      <w:r>
        <w:t xml:space="preserve">, </w:t>
      </w:r>
      <w:r>
        <w:rPr>
          <w:rStyle w:val="Emphasis"/>
        </w:rPr>
        <w:t xml:space="preserve">P. </w:t>
      </w:r>
      <w:proofErr w:type="spellStart"/>
      <w:r>
        <w:rPr>
          <w:rStyle w:val="Emphasis"/>
        </w:rPr>
        <w:t>corrugata</w:t>
      </w:r>
      <w:proofErr w:type="spellEnd"/>
      <w:r>
        <w:t xml:space="preserve">, </w:t>
      </w:r>
      <w:r>
        <w:rPr>
          <w:rStyle w:val="Emphasis"/>
        </w:rPr>
        <w:t xml:space="preserve">Bacillus </w:t>
      </w:r>
      <w:proofErr w:type="spellStart"/>
      <w:r>
        <w:rPr>
          <w:rStyle w:val="Emphasis"/>
        </w:rPr>
        <w:t>safensis</w:t>
      </w:r>
      <w:proofErr w:type="spellEnd"/>
      <w:r>
        <w:t xml:space="preserve">, </w:t>
      </w:r>
      <w:proofErr w:type="spellStart"/>
      <w:r>
        <w:rPr>
          <w:rStyle w:val="Emphasis"/>
        </w:rPr>
        <w:t>Burkholderia</w:t>
      </w:r>
      <w:proofErr w:type="spellEnd"/>
      <w:r>
        <w:rPr>
          <w:rStyle w:val="Emphasis"/>
        </w:rPr>
        <w:t xml:space="preserve"> spp.</w:t>
      </w:r>
      <w:r>
        <w:t xml:space="preserve">, </w:t>
      </w:r>
      <w:r>
        <w:rPr>
          <w:rStyle w:val="Emphasis"/>
        </w:rPr>
        <w:t xml:space="preserve">P. </w:t>
      </w:r>
      <w:proofErr w:type="spellStart"/>
      <w:r>
        <w:rPr>
          <w:rStyle w:val="Emphasis"/>
        </w:rPr>
        <w:t>frederiksbergensis</w:t>
      </w:r>
      <w:proofErr w:type="spellEnd"/>
      <w:r>
        <w:t xml:space="preserve"> and </w:t>
      </w:r>
      <w:r>
        <w:rPr>
          <w:rStyle w:val="Emphasis"/>
        </w:rPr>
        <w:t xml:space="preserve">B. </w:t>
      </w:r>
      <w:proofErr w:type="spellStart"/>
      <w:r>
        <w:rPr>
          <w:rStyle w:val="Emphasis"/>
        </w:rPr>
        <w:t>circulans</w:t>
      </w:r>
      <w:proofErr w:type="spellEnd"/>
      <w:r>
        <w:t xml:space="preserve"> demonstrated phosphorus solubili</w:t>
      </w:r>
      <w:r>
        <w:t xml:space="preserve">zation efficiencies of 71.60% and 92.42% in tri-calcium phosphate (TCP) and Tunisia rock phosphate (TRP), respectively. Another consortium of </w:t>
      </w:r>
      <w:r>
        <w:rPr>
          <w:rStyle w:val="Emphasis"/>
        </w:rPr>
        <w:t>Bacillus</w:t>
      </w:r>
      <w:r>
        <w:t xml:space="preserve">, </w:t>
      </w:r>
      <w:r>
        <w:rPr>
          <w:rStyle w:val="Emphasis"/>
        </w:rPr>
        <w:t>Pseudomonas</w:t>
      </w:r>
      <w:r>
        <w:t xml:space="preserve">, </w:t>
      </w:r>
      <w:r>
        <w:rPr>
          <w:rStyle w:val="Emphasis"/>
        </w:rPr>
        <w:t>Staphylococcus</w:t>
      </w:r>
      <w:r>
        <w:t xml:space="preserve">, </w:t>
      </w:r>
      <w:proofErr w:type="spellStart"/>
      <w:r>
        <w:rPr>
          <w:rStyle w:val="Emphasis"/>
        </w:rPr>
        <w:t>Paenibacillus</w:t>
      </w:r>
      <w:proofErr w:type="spellEnd"/>
      <w:r>
        <w:t xml:space="preserve">, </w:t>
      </w:r>
      <w:r>
        <w:rPr>
          <w:rStyle w:val="Emphasis"/>
        </w:rPr>
        <w:t>Stenotrophomonas</w:t>
      </w:r>
      <w:r>
        <w:t xml:space="preserve">, </w:t>
      </w:r>
      <w:proofErr w:type="spellStart"/>
      <w:r>
        <w:rPr>
          <w:rStyle w:val="Emphasis"/>
        </w:rPr>
        <w:t>Sphingobacterium</w:t>
      </w:r>
      <w:proofErr w:type="spellEnd"/>
      <w:r>
        <w:t xml:space="preserve">, </w:t>
      </w:r>
      <w:proofErr w:type="spellStart"/>
      <w:r>
        <w:rPr>
          <w:rStyle w:val="Emphasis"/>
        </w:rPr>
        <w:t>Lysinibacillus</w:t>
      </w:r>
      <w:proofErr w:type="spellEnd"/>
      <w:r>
        <w:t xml:space="preserve">, </w:t>
      </w:r>
      <w:proofErr w:type="spellStart"/>
      <w:r>
        <w:rPr>
          <w:rStyle w:val="Emphasis"/>
        </w:rPr>
        <w:t>Advenella</w:t>
      </w:r>
      <w:proofErr w:type="spellEnd"/>
      <w:r>
        <w:t xml:space="preserve">, </w:t>
      </w:r>
      <w:r>
        <w:rPr>
          <w:rStyle w:val="Emphasis"/>
        </w:rPr>
        <w:t>Enterobacter</w:t>
      </w:r>
      <w:r>
        <w:t xml:space="preserve">, </w:t>
      </w:r>
      <w:proofErr w:type="spellStart"/>
      <w:r>
        <w:rPr>
          <w:rStyle w:val="Emphasis"/>
        </w:rPr>
        <w:t>Variovorax</w:t>
      </w:r>
      <w:proofErr w:type="spellEnd"/>
      <w:r>
        <w:t xml:space="preserve"> and </w:t>
      </w:r>
      <w:proofErr w:type="spellStart"/>
      <w:r>
        <w:rPr>
          <w:rStyle w:val="Emphasis"/>
        </w:rPr>
        <w:t>Plantibacter</w:t>
      </w:r>
      <w:proofErr w:type="spellEnd"/>
      <w:r>
        <w:t xml:space="preserve"> achieved 29% phosphorus solubilization efficiency in wheat rhizosphere soil (Emami et al., 2020).</w:t>
      </w:r>
    </w:p>
    <w:p w14:paraId="42B0817D" w14:textId="77777777" w:rsidR="005D1799" w:rsidRDefault="001A4879">
      <w:pPr>
        <w:pStyle w:val="NormalWeb"/>
        <w:spacing w:line="360" w:lineRule="auto"/>
        <w:jc w:val="both"/>
      </w:pPr>
      <w:proofErr w:type="spellStart"/>
      <w:r>
        <w:t>Biosolubilization</w:t>
      </w:r>
      <w:proofErr w:type="spellEnd"/>
      <w:r>
        <w:t xml:space="preserve"> represents an environmentally sustainable approach to nutrient mobilization, reducing r</w:t>
      </w:r>
      <w:r>
        <w:t xml:space="preserve">eliance on chemical fertilizers and improving soil fertility through microbial processes. </w:t>
      </w:r>
      <w:r>
        <w:lastRenderedPageBreak/>
        <w:t xml:space="preserve">With increasing interest in sustainable agriculture and environmental management, further research is warranted to optimize </w:t>
      </w:r>
      <w:proofErr w:type="spellStart"/>
      <w:r>
        <w:t>biosolubilization</w:t>
      </w:r>
      <w:proofErr w:type="spellEnd"/>
      <w:r>
        <w:t xml:space="preserve"> techniques and enhance m</w:t>
      </w:r>
      <w:r>
        <w:t>icrobial efficiency in nutrient cycling.</w:t>
      </w:r>
    </w:p>
    <w:p w14:paraId="086461EB" w14:textId="77777777" w:rsidR="005D1799" w:rsidRDefault="001A4879">
      <w:pPr>
        <w:pStyle w:val="Heading3"/>
        <w:jc w:val="both"/>
        <w:rPr>
          <w:rFonts w:ascii="Times New Roman" w:hAnsi="Times New Roman" w:hint="default"/>
          <w:sz w:val="24"/>
          <w:szCs w:val="24"/>
        </w:rPr>
      </w:pPr>
      <w:r>
        <w:rPr>
          <w:rStyle w:val="Strong"/>
          <w:rFonts w:ascii="Times New Roman" w:hAnsi="Times New Roman" w:hint="default"/>
          <w:b/>
          <w:sz w:val="24"/>
          <w:szCs w:val="24"/>
        </w:rPr>
        <w:t>3.</w:t>
      </w:r>
      <w:r>
        <w:rPr>
          <w:rStyle w:val="Strong"/>
          <w:rFonts w:ascii="Times New Roman" w:hAnsi="Times New Roman" w:hint="default"/>
          <w:sz w:val="24"/>
          <w:szCs w:val="24"/>
        </w:rPr>
        <w:t xml:space="preserve"> </w:t>
      </w:r>
      <w:r>
        <w:rPr>
          <w:rStyle w:val="Strong"/>
          <w:rFonts w:ascii="Times New Roman" w:hAnsi="Times New Roman" w:hint="default"/>
          <w:b/>
          <w:sz w:val="24"/>
          <w:szCs w:val="24"/>
        </w:rPr>
        <w:t xml:space="preserve">Mechanisms of </w:t>
      </w:r>
      <w:proofErr w:type="spellStart"/>
      <w:r>
        <w:rPr>
          <w:rStyle w:val="Strong"/>
          <w:rFonts w:ascii="Times New Roman" w:hAnsi="Times New Roman" w:hint="default"/>
          <w:b/>
          <w:sz w:val="24"/>
          <w:szCs w:val="24"/>
        </w:rPr>
        <w:t>Biosolubilization</w:t>
      </w:r>
      <w:proofErr w:type="spellEnd"/>
      <w:r>
        <w:rPr>
          <w:rStyle w:val="Strong"/>
          <w:rFonts w:ascii="Times New Roman" w:hAnsi="Times New Roman" w:hint="default"/>
          <w:b/>
          <w:sz w:val="24"/>
          <w:szCs w:val="24"/>
        </w:rPr>
        <w:t xml:space="preserve"> in Soil Environments</w:t>
      </w:r>
    </w:p>
    <w:p w14:paraId="0E0D2F1E" w14:textId="77777777" w:rsidR="005D1799" w:rsidRDefault="001A4879">
      <w:pPr>
        <w:pStyle w:val="Heading3"/>
        <w:jc w:val="both"/>
        <w:rPr>
          <w:rFonts w:ascii="Times New Roman" w:hAnsi="Times New Roman" w:hint="default"/>
          <w:b w:val="0"/>
          <w:sz w:val="24"/>
          <w:szCs w:val="24"/>
        </w:rPr>
      </w:pPr>
      <w:r>
        <w:rPr>
          <w:rStyle w:val="Strong"/>
          <w:rFonts w:ascii="Times New Roman" w:hAnsi="Times New Roman" w:hint="default"/>
          <w:b/>
          <w:sz w:val="24"/>
          <w:szCs w:val="24"/>
        </w:rPr>
        <w:t>3.1 Biological Weathering and Soil Mineral Interactions</w:t>
      </w:r>
      <w:r>
        <w:rPr>
          <w:rFonts w:ascii="Times New Roman" w:hAnsi="Times New Roman" w:hint="default"/>
          <w:b w:val="0"/>
          <w:sz w:val="24"/>
          <w:szCs w:val="24"/>
        </w:rPr>
        <w:t xml:space="preserve"> </w:t>
      </w:r>
    </w:p>
    <w:p w14:paraId="2AD554F6" w14:textId="77777777" w:rsidR="005D1799" w:rsidRDefault="001A4879">
      <w:pPr>
        <w:pStyle w:val="NormalWeb"/>
        <w:spacing w:line="360" w:lineRule="auto"/>
        <w:jc w:val="both"/>
        <w:rPr>
          <w:rStyle w:val="Strong"/>
          <w:b w:val="0"/>
          <w:bCs w:val="0"/>
        </w:rPr>
      </w:pPr>
      <w:r>
        <w:t>Weathering is a fundamental process that breaks down rocks into sediments, clays, and dissolved substa</w:t>
      </w:r>
      <w:r>
        <w:t>nces, contributing to soil formation and nutrient cycling (Finlay et al., 2020). It is classified into physical, chemical, and biological weathering, each playing a role in soil mineral transformations (</w:t>
      </w:r>
      <w:r>
        <w:rPr>
          <w:rFonts w:eastAsia="SimSun"/>
          <w:color w:val="222222"/>
          <w:shd w:val="clear" w:color="auto" w:fill="FFFFFF"/>
        </w:rPr>
        <w:t>Yan et al., 2024</w:t>
      </w:r>
      <w:r>
        <w:t>). The initial microbial colonization</w:t>
      </w:r>
      <w:r>
        <w:t xml:space="preserve"> of minerals is dictated by the mineral’s chemical composition and structure, as these factors influence nutrient availability (</w:t>
      </w:r>
      <w:r>
        <w:rPr>
          <w:rFonts w:eastAsia="SimSun"/>
          <w:color w:val="222222"/>
          <w:shd w:val="clear" w:color="auto" w:fill="FFFFFF"/>
        </w:rPr>
        <w:t>Pan &amp; Cai, 2023</w:t>
      </w:r>
      <w:r>
        <w:t>). Microorganisms, particularly those in biofilms, facilitate mineral dissolution through organic acid production</w:t>
      </w:r>
      <w:r>
        <w:t>, enzymatic activity, and chelation mechanisms (</w:t>
      </w:r>
      <w:proofErr w:type="spellStart"/>
      <w:r>
        <w:rPr>
          <w:rFonts w:eastAsia="SimSun"/>
          <w:color w:val="222222"/>
          <w:shd w:val="clear" w:color="auto" w:fill="FFFFFF"/>
        </w:rPr>
        <w:t>Rieusset</w:t>
      </w:r>
      <w:proofErr w:type="spellEnd"/>
      <w:r>
        <w:rPr>
          <w:rFonts w:eastAsia="SimSun"/>
          <w:color w:val="222222"/>
          <w:shd w:val="clear" w:color="auto" w:fill="FFFFFF"/>
        </w:rPr>
        <w:t xml:space="preserve"> et al., 2020</w:t>
      </w:r>
      <w:r>
        <w:t>).</w:t>
      </w:r>
    </w:p>
    <w:p w14:paraId="55292AA5" w14:textId="77777777" w:rsidR="005D1799" w:rsidRDefault="001A4879">
      <w:pPr>
        <w:pStyle w:val="Heading3"/>
        <w:jc w:val="both"/>
        <w:rPr>
          <w:rFonts w:ascii="Times New Roman" w:hAnsi="Times New Roman" w:hint="default"/>
          <w:b w:val="0"/>
          <w:sz w:val="24"/>
          <w:szCs w:val="24"/>
        </w:rPr>
      </w:pPr>
      <w:r>
        <w:rPr>
          <w:rStyle w:val="Strong"/>
          <w:rFonts w:ascii="Times New Roman" w:hAnsi="Times New Roman" w:hint="default"/>
          <w:b/>
          <w:sz w:val="24"/>
          <w:szCs w:val="24"/>
        </w:rPr>
        <w:t xml:space="preserve">3.2 Microbial Biofilms and </w:t>
      </w:r>
      <w:r>
        <w:rPr>
          <w:rStyle w:val="Strong"/>
          <w:rFonts w:ascii="Times New Roman" w:hAnsi="Times New Roman" w:hint="default"/>
          <w:b/>
          <w:bCs/>
          <w:sz w:val="24"/>
          <w:szCs w:val="24"/>
        </w:rPr>
        <w:t>Mineral</w:t>
      </w:r>
      <w:r>
        <w:rPr>
          <w:rStyle w:val="Strong"/>
          <w:rFonts w:ascii="Times New Roman" w:hAnsi="Times New Roman" w:hint="default"/>
          <w:b/>
          <w:sz w:val="24"/>
          <w:szCs w:val="24"/>
        </w:rPr>
        <w:t xml:space="preserve"> Solubilization</w:t>
      </w:r>
      <w:r>
        <w:rPr>
          <w:rFonts w:ascii="Times New Roman" w:hAnsi="Times New Roman" w:hint="default"/>
          <w:b w:val="0"/>
          <w:sz w:val="24"/>
          <w:szCs w:val="24"/>
        </w:rPr>
        <w:t xml:space="preserve"> </w:t>
      </w:r>
    </w:p>
    <w:p w14:paraId="2755EE82" w14:textId="77777777" w:rsidR="005D1799" w:rsidRDefault="001A4879">
      <w:pPr>
        <w:pStyle w:val="NormalWeb"/>
        <w:spacing w:line="360" w:lineRule="auto"/>
        <w:jc w:val="both"/>
      </w:pPr>
      <w:r>
        <w:t xml:space="preserve">Microbial biofilms are critical in the </w:t>
      </w:r>
      <w:proofErr w:type="spellStart"/>
      <w:r>
        <w:t>biosolubilization</w:t>
      </w:r>
      <w:proofErr w:type="spellEnd"/>
      <w:r>
        <w:t xml:space="preserve"> of minerals. These biofilms, composed of extracellular polysaccharides, crea</w:t>
      </w:r>
      <w:r>
        <w:t>te a hydrated microenvironment that enhances microbial activity and mineral interactions (</w:t>
      </w:r>
      <w:proofErr w:type="spellStart"/>
      <w:r>
        <w:rPr>
          <w:rFonts w:eastAsia="SimSun"/>
          <w:color w:val="222222"/>
          <w:shd w:val="clear" w:color="auto" w:fill="FFFFFF"/>
        </w:rPr>
        <w:t>Rieusset</w:t>
      </w:r>
      <w:proofErr w:type="spellEnd"/>
      <w:r>
        <w:rPr>
          <w:rFonts w:eastAsia="SimSun"/>
          <w:color w:val="222222"/>
          <w:shd w:val="clear" w:color="auto" w:fill="FFFFFF"/>
        </w:rPr>
        <w:t xml:space="preserve"> et al., 2020</w:t>
      </w:r>
      <w:r>
        <w:t xml:space="preserve">). The attachment of bacteria to mineral surfaces enables the concentration of organic acids, siderophores, and chelators at the microbe-mineral </w:t>
      </w:r>
      <w:r>
        <w:t>interface, promoting dissolution (</w:t>
      </w:r>
      <w:r>
        <w:rPr>
          <w:rFonts w:eastAsia="SimSun"/>
          <w:color w:val="222222"/>
          <w:shd w:val="clear" w:color="auto" w:fill="FFFFFF"/>
        </w:rPr>
        <w:t>Mustoe, et al., 2018</w:t>
      </w:r>
      <w:r>
        <w:t>). Additionally, biofilm formation enhances microbial communication, leading to synergistic interactions that intensify weathering processes (</w:t>
      </w:r>
      <w:proofErr w:type="spellStart"/>
      <w:r>
        <w:rPr>
          <w:rFonts w:eastAsia="SimSun"/>
          <w:color w:val="222222"/>
          <w:shd w:val="clear" w:color="auto" w:fill="FFFFFF"/>
        </w:rPr>
        <w:t>Rieusset</w:t>
      </w:r>
      <w:proofErr w:type="spellEnd"/>
      <w:r>
        <w:rPr>
          <w:rFonts w:eastAsia="SimSun"/>
          <w:color w:val="222222"/>
          <w:shd w:val="clear" w:color="auto" w:fill="FFFFFF"/>
        </w:rPr>
        <w:t xml:space="preserve"> et al., 2020</w:t>
      </w:r>
      <w:r>
        <w:t>).</w:t>
      </w:r>
    </w:p>
    <w:p w14:paraId="26ABC0A7" w14:textId="77777777" w:rsidR="005D1799" w:rsidRDefault="001A4879">
      <w:pPr>
        <w:pStyle w:val="Heading3"/>
        <w:jc w:val="both"/>
        <w:rPr>
          <w:rFonts w:ascii="Times New Roman" w:hAnsi="Times New Roman" w:hint="default"/>
          <w:b w:val="0"/>
          <w:sz w:val="24"/>
          <w:szCs w:val="24"/>
        </w:rPr>
      </w:pPr>
      <w:r>
        <w:rPr>
          <w:rStyle w:val="Strong"/>
          <w:rFonts w:ascii="Times New Roman" w:hAnsi="Times New Roman" w:hint="default"/>
          <w:b/>
          <w:sz w:val="24"/>
          <w:szCs w:val="24"/>
        </w:rPr>
        <w:t>3.3 Role of Pioneer Organisms in Wea</w:t>
      </w:r>
      <w:r>
        <w:rPr>
          <w:rStyle w:val="Strong"/>
          <w:rFonts w:ascii="Times New Roman" w:hAnsi="Times New Roman" w:hint="default"/>
          <w:b/>
          <w:sz w:val="24"/>
          <w:szCs w:val="24"/>
        </w:rPr>
        <w:t>thering</w:t>
      </w:r>
      <w:r>
        <w:rPr>
          <w:rFonts w:ascii="Times New Roman" w:hAnsi="Times New Roman" w:hint="default"/>
          <w:b w:val="0"/>
          <w:sz w:val="24"/>
          <w:szCs w:val="24"/>
        </w:rPr>
        <w:t xml:space="preserve"> </w:t>
      </w:r>
    </w:p>
    <w:p w14:paraId="260A8ED3" w14:textId="77777777" w:rsidR="005D1799" w:rsidRDefault="001A4879">
      <w:pPr>
        <w:pStyle w:val="NormalWeb"/>
        <w:spacing w:line="360" w:lineRule="auto"/>
        <w:jc w:val="both"/>
      </w:pPr>
      <w:r>
        <w:t>Lichens, fungi, bacteria, cyanobacteria, and archaea act as pioneer organisms in the weathering of rocks (</w:t>
      </w:r>
      <w:r>
        <w:rPr>
          <w:rFonts w:eastAsia="SimSun"/>
          <w:color w:val="222222"/>
          <w:shd w:val="clear" w:color="auto" w:fill="FFFFFF"/>
        </w:rPr>
        <w:t>Yan et al., 2024</w:t>
      </w:r>
      <w:r>
        <w:t xml:space="preserve">). Lichens physically fragment rocks through hyphal penetration, while their symbiotic photosynthetic partners provide fixed </w:t>
      </w:r>
      <w:r>
        <w:t>carbon, promoting microbial proliferation (</w:t>
      </w:r>
      <w:r>
        <w:rPr>
          <w:rFonts w:eastAsia="SimSun"/>
          <w:color w:val="222222"/>
          <w:shd w:val="clear" w:color="auto" w:fill="FFFFFF"/>
        </w:rPr>
        <w:t>Devi et al., 2022</w:t>
      </w:r>
      <w:r>
        <w:t>). Organic acid secretion by fungi and bacteria further accelerates mineral dissolution and secondary mineral formation (</w:t>
      </w:r>
      <w:r>
        <w:rPr>
          <w:rFonts w:eastAsia="SimSun"/>
          <w:color w:val="222222"/>
          <w:shd w:val="clear" w:color="auto" w:fill="FFFFFF"/>
        </w:rPr>
        <w:t>Yan et al., 2024</w:t>
      </w:r>
      <w:r>
        <w:t xml:space="preserve">). These pioneer organisms are essential for the initial </w:t>
      </w:r>
      <w:r>
        <w:t>breakdown of parent material, paving the way for soil development and subsequent plant establishment.</w:t>
      </w:r>
    </w:p>
    <w:p w14:paraId="7E160B6A" w14:textId="77777777" w:rsidR="005D1799" w:rsidRDefault="001A4879">
      <w:pPr>
        <w:pStyle w:val="Heading3"/>
        <w:jc w:val="both"/>
        <w:rPr>
          <w:rFonts w:ascii="Times New Roman" w:hAnsi="Times New Roman" w:hint="default"/>
          <w:b w:val="0"/>
          <w:sz w:val="24"/>
          <w:szCs w:val="24"/>
        </w:rPr>
      </w:pPr>
      <w:r>
        <w:rPr>
          <w:rStyle w:val="Strong"/>
          <w:rFonts w:ascii="Times New Roman" w:hAnsi="Times New Roman" w:hint="default"/>
          <w:b/>
          <w:sz w:val="24"/>
          <w:szCs w:val="24"/>
        </w:rPr>
        <w:lastRenderedPageBreak/>
        <w:t>3.4 Plant-Mediated Weathering and Rhizosphere Processes</w:t>
      </w:r>
      <w:r>
        <w:rPr>
          <w:rFonts w:ascii="Times New Roman" w:hAnsi="Times New Roman" w:hint="default"/>
          <w:b w:val="0"/>
          <w:sz w:val="24"/>
          <w:szCs w:val="24"/>
        </w:rPr>
        <w:t xml:space="preserve"> </w:t>
      </w:r>
    </w:p>
    <w:p w14:paraId="2EC0EEC0" w14:textId="77777777" w:rsidR="005D1799" w:rsidRDefault="001A4879">
      <w:pPr>
        <w:pStyle w:val="NormalWeb"/>
        <w:spacing w:line="360" w:lineRule="auto"/>
        <w:jc w:val="both"/>
        <w:rPr>
          <w:rStyle w:val="Strong"/>
          <w:b w:val="0"/>
          <w:bCs w:val="0"/>
        </w:rPr>
      </w:pPr>
      <w:r>
        <w:t>Plants play an integral role in mineral bio-solubilization by modifying soil properties, influenc</w:t>
      </w:r>
      <w:r>
        <w:t>ing water dynamics, and regulating nutrient cycling (</w:t>
      </w:r>
      <w:r>
        <w:rPr>
          <w:rFonts w:eastAsia="SimSun"/>
          <w:color w:val="222222"/>
          <w:shd w:val="clear" w:color="auto" w:fill="FFFFFF"/>
        </w:rPr>
        <w:t>Yan et al., 2024</w:t>
      </w:r>
      <w:r>
        <w:t>). Root exudates, including organic acids, amino acids, and secondary metabolites, facilitate mineral dissolution and nutrient release. The rhizosphere, a microbial active zone surroundin</w:t>
      </w:r>
      <w:r>
        <w:t>g plant roots, experiences intensified weathering due to the high concentration of root exudates and microbial interactions (</w:t>
      </w:r>
      <w:r>
        <w:rPr>
          <w:rFonts w:eastAsia="SimSun"/>
          <w:color w:val="222222"/>
          <w:shd w:val="clear" w:color="auto" w:fill="FFFFFF"/>
        </w:rPr>
        <w:t>Devi et al., 2022</w:t>
      </w:r>
      <w:r>
        <w:t>). This region supports plant growth by enhancing nutrient availability and fostering beneficial microbial communi</w:t>
      </w:r>
      <w:r>
        <w:t>ties (</w:t>
      </w:r>
      <w:r>
        <w:rPr>
          <w:rFonts w:eastAsia="SimSun"/>
          <w:color w:val="222222"/>
          <w:shd w:val="clear" w:color="auto" w:fill="FFFFFF"/>
        </w:rPr>
        <w:t>Ribeiro et al., 2020</w:t>
      </w:r>
      <w:r>
        <w:t>).</w:t>
      </w:r>
    </w:p>
    <w:p w14:paraId="3A93FE5D" w14:textId="77777777" w:rsidR="005D1799" w:rsidRDefault="001A4879">
      <w:pPr>
        <w:pStyle w:val="Heading3"/>
        <w:jc w:val="both"/>
        <w:rPr>
          <w:rFonts w:ascii="Times New Roman" w:hAnsi="Times New Roman" w:hint="default"/>
          <w:b w:val="0"/>
          <w:sz w:val="24"/>
          <w:szCs w:val="24"/>
        </w:rPr>
      </w:pPr>
      <w:r>
        <w:rPr>
          <w:rStyle w:val="Strong"/>
          <w:rFonts w:ascii="Times New Roman" w:hAnsi="Times New Roman" w:hint="default"/>
          <w:b/>
          <w:sz w:val="24"/>
          <w:szCs w:val="24"/>
        </w:rPr>
        <w:t>3.5 Microbial Solubilization of Essential Plant Nutrients</w:t>
      </w:r>
      <w:r>
        <w:rPr>
          <w:rFonts w:ascii="Times New Roman" w:hAnsi="Times New Roman" w:hint="default"/>
          <w:b w:val="0"/>
          <w:sz w:val="24"/>
          <w:szCs w:val="24"/>
        </w:rPr>
        <w:t xml:space="preserve"> </w:t>
      </w:r>
    </w:p>
    <w:p w14:paraId="5A91FB9E" w14:textId="77777777" w:rsidR="005D1799" w:rsidRDefault="001A4879">
      <w:pPr>
        <w:pStyle w:val="NormalWeb"/>
        <w:spacing w:line="360" w:lineRule="auto"/>
        <w:jc w:val="both"/>
      </w:pPr>
      <w:r>
        <w:t xml:space="preserve">Microbial weathering plays a crucial role in the release of essential nutrients, particularly phosphorus. Phosphorus availability in soils is limited due to its strong </w:t>
      </w:r>
      <w:r>
        <w:t>fixation with iron, aluminum, and calcium compounds (Lin et al., 2023). Phosphate-solubilizing bacteria (PSB) produce organic acids and phosphatases that mobilize inorganic P, enhancing its bioavailability for plant uptake (</w:t>
      </w:r>
      <w:r>
        <w:rPr>
          <w:rFonts w:eastAsia="SimSun"/>
          <w:color w:val="222222"/>
          <w:shd w:val="clear" w:color="auto" w:fill="FFFFFF"/>
        </w:rPr>
        <w:t>Devi et al., 2022</w:t>
      </w:r>
      <w:r>
        <w:t>). The applicat</w:t>
      </w:r>
      <w:r>
        <w:t>ion of PSB in agricultural soils has demonstrated increased crop yields, improved fertilizer efficiency and reduced dependency on synthetic P fertilizers (</w:t>
      </w:r>
      <w:r>
        <w:rPr>
          <w:rFonts w:eastAsia="SimSun"/>
          <w:color w:val="222222"/>
          <w:shd w:val="clear" w:color="auto" w:fill="FFFFFF"/>
        </w:rPr>
        <w:t>Ribeiro et al., 2020</w:t>
      </w:r>
      <w:r>
        <w:t xml:space="preserve">). </w:t>
      </w:r>
    </w:p>
    <w:p w14:paraId="2D6EC154" w14:textId="77777777" w:rsidR="005D1799" w:rsidRDefault="001A4879">
      <w:pPr>
        <w:pStyle w:val="Heading3"/>
        <w:jc w:val="both"/>
        <w:rPr>
          <w:rFonts w:ascii="Times New Roman" w:hAnsi="Times New Roman" w:hint="default"/>
          <w:b w:val="0"/>
          <w:sz w:val="24"/>
          <w:szCs w:val="24"/>
        </w:rPr>
      </w:pPr>
      <w:r>
        <w:rPr>
          <w:rStyle w:val="Strong"/>
          <w:rFonts w:ascii="Times New Roman" w:hAnsi="Times New Roman" w:hint="default"/>
          <w:b/>
          <w:sz w:val="24"/>
          <w:szCs w:val="24"/>
        </w:rPr>
        <w:t>4.0 Synergistic Microbial Interactions in Nutrient Mobilization</w:t>
      </w:r>
      <w:r>
        <w:rPr>
          <w:rFonts w:ascii="Times New Roman" w:hAnsi="Times New Roman" w:hint="default"/>
          <w:b w:val="0"/>
          <w:sz w:val="24"/>
          <w:szCs w:val="24"/>
        </w:rPr>
        <w:t xml:space="preserve"> </w:t>
      </w:r>
    </w:p>
    <w:p w14:paraId="0CFB80B2" w14:textId="77777777" w:rsidR="005D1799" w:rsidRDefault="001A4879">
      <w:pPr>
        <w:spacing w:line="360" w:lineRule="auto"/>
        <w:jc w:val="both"/>
        <w:rPr>
          <w:rFonts w:ascii="Times New Roman" w:hAnsi="Times New Roman" w:cs="Times New Roman"/>
          <w:sz w:val="24"/>
          <w:szCs w:val="24"/>
        </w:rPr>
      </w:pPr>
      <w:r>
        <w:rPr>
          <w:rFonts w:ascii="Times New Roman" w:hAnsi="Times New Roman" w:cs="Times New Roman"/>
          <w:sz w:val="24"/>
          <w:szCs w:val="24"/>
        </w:rPr>
        <w:t>Microbial co</w:t>
      </w:r>
      <w:r>
        <w:rPr>
          <w:rFonts w:ascii="Times New Roman" w:hAnsi="Times New Roman" w:cs="Times New Roman"/>
          <w:sz w:val="24"/>
          <w:szCs w:val="24"/>
        </w:rPr>
        <w:t>nsortia, consisting of phosphate solubilizers and nitrogen-fixing bacteria, exhibit synergistic effects in promoting plant growth (</w:t>
      </w:r>
      <w:proofErr w:type="spellStart"/>
      <w:r>
        <w:rPr>
          <w:rFonts w:ascii="Times New Roman" w:hAnsi="Times New Roman" w:cs="Times New Roman"/>
          <w:sz w:val="24"/>
          <w:szCs w:val="24"/>
        </w:rPr>
        <w:t>Elhaissouf</w:t>
      </w:r>
      <w:proofErr w:type="spellEnd"/>
      <w:r>
        <w:rPr>
          <w:rFonts w:ascii="Times New Roman" w:hAnsi="Times New Roman" w:cs="Times New Roman"/>
          <w:sz w:val="24"/>
          <w:szCs w:val="24"/>
        </w:rPr>
        <w:t xml:space="preserve"> et al., 2022). Co-inoculation of PSB with nitrogen-fixing </w:t>
      </w:r>
      <w:proofErr w:type="spellStart"/>
      <w:r>
        <w:rPr>
          <w:rFonts w:ascii="Times New Roman" w:hAnsi="Times New Roman" w:cs="Times New Roman"/>
          <w:sz w:val="24"/>
          <w:szCs w:val="24"/>
        </w:rPr>
        <w:t>Bradyrhizobium</w:t>
      </w:r>
      <w:proofErr w:type="spellEnd"/>
      <w:r>
        <w:rPr>
          <w:rFonts w:ascii="Times New Roman" w:hAnsi="Times New Roman" w:cs="Times New Roman"/>
          <w:sz w:val="24"/>
          <w:szCs w:val="24"/>
        </w:rPr>
        <w:t xml:space="preserve">, Rhizobium, and </w:t>
      </w:r>
      <w:proofErr w:type="spellStart"/>
      <w:r>
        <w:rPr>
          <w:rFonts w:ascii="Times New Roman" w:hAnsi="Times New Roman" w:cs="Times New Roman"/>
          <w:sz w:val="24"/>
          <w:szCs w:val="24"/>
        </w:rPr>
        <w:t>Mesorhizobium</w:t>
      </w:r>
      <w:proofErr w:type="spellEnd"/>
      <w:r>
        <w:rPr>
          <w:rFonts w:ascii="Times New Roman" w:hAnsi="Times New Roman" w:cs="Times New Roman"/>
          <w:sz w:val="24"/>
          <w:szCs w:val="24"/>
        </w:rPr>
        <w:t xml:space="preserve"> strains enh</w:t>
      </w:r>
      <w:r>
        <w:rPr>
          <w:rFonts w:ascii="Times New Roman" w:hAnsi="Times New Roman" w:cs="Times New Roman"/>
          <w:sz w:val="24"/>
          <w:szCs w:val="24"/>
        </w:rPr>
        <w:t>ances root nodulation, plant biomass, and nutrient uptake (</w:t>
      </w:r>
      <w:proofErr w:type="spellStart"/>
      <w:r>
        <w:rPr>
          <w:rFonts w:ascii="Times New Roman" w:hAnsi="Times New Roman" w:cs="Times New Roman"/>
          <w:sz w:val="24"/>
          <w:szCs w:val="24"/>
        </w:rPr>
        <w:t>Nacoon</w:t>
      </w:r>
      <w:proofErr w:type="spellEnd"/>
      <w:r>
        <w:rPr>
          <w:rFonts w:ascii="Times New Roman" w:hAnsi="Times New Roman" w:cs="Times New Roman"/>
          <w:sz w:val="24"/>
          <w:szCs w:val="24"/>
        </w:rPr>
        <w:t xml:space="preserve"> et al., 2020). Such microbial interactions contribute to sustainable soil fertility management by reducing chemical fertilizer input while maintaining high crop productivity. These findings </w:t>
      </w:r>
      <w:r>
        <w:rPr>
          <w:rFonts w:ascii="Times New Roman" w:hAnsi="Times New Roman" w:cs="Times New Roman"/>
          <w:sz w:val="24"/>
          <w:szCs w:val="24"/>
        </w:rPr>
        <w:t>highlight the potential of microbial inoculants in ecological nutrient recycling and sustainable agriculture.</w:t>
      </w:r>
    </w:p>
    <w:p w14:paraId="2784E397" w14:textId="77777777" w:rsidR="005D1799" w:rsidRDefault="001A4879">
      <w:pPr>
        <w:pStyle w:val="Heading3"/>
        <w:jc w:val="both"/>
        <w:rPr>
          <w:rStyle w:val="Strong"/>
          <w:rFonts w:ascii="Times New Roman" w:hAnsi="Times New Roman" w:hint="default"/>
          <w:b/>
          <w:sz w:val="24"/>
          <w:szCs w:val="24"/>
        </w:rPr>
      </w:pPr>
      <w:r>
        <w:rPr>
          <w:rStyle w:val="Strong"/>
          <w:rFonts w:ascii="Times New Roman" w:hAnsi="Times New Roman" w:hint="default"/>
          <w:b/>
          <w:sz w:val="24"/>
          <w:szCs w:val="24"/>
        </w:rPr>
        <w:t xml:space="preserve">5. Mechanisms of Mineral Solubilization by Microorganisms </w:t>
      </w:r>
    </w:p>
    <w:p w14:paraId="301BD0CD" w14:textId="77777777" w:rsidR="005D1799" w:rsidRDefault="001A4879">
      <w:pPr>
        <w:spacing w:line="360" w:lineRule="auto"/>
        <w:jc w:val="both"/>
        <w:rPr>
          <w:rFonts w:ascii="Times New Roman" w:hAnsi="Times New Roman" w:cs="Times New Roman"/>
          <w:sz w:val="24"/>
          <w:szCs w:val="24"/>
        </w:rPr>
      </w:pPr>
      <w:r>
        <w:rPr>
          <w:rFonts w:ascii="Times New Roman" w:hAnsi="Times New Roman" w:cs="Times New Roman"/>
          <w:sz w:val="24"/>
          <w:szCs w:val="24"/>
        </w:rPr>
        <w:t>Understanding the biochemical processes involved in mineral solubilization is crucial f</w:t>
      </w:r>
      <w:r>
        <w:rPr>
          <w:rFonts w:ascii="Times New Roman" w:hAnsi="Times New Roman" w:cs="Times New Roman"/>
          <w:sz w:val="24"/>
          <w:szCs w:val="24"/>
        </w:rPr>
        <w:t xml:space="preserve">or harnessing microbial potential in sustainable agriculture. The fungus </w:t>
      </w:r>
      <w:r>
        <w:rPr>
          <w:rStyle w:val="Emphasis"/>
          <w:rFonts w:ascii="Times New Roman" w:hAnsi="Times New Roman" w:cs="Times New Roman"/>
          <w:sz w:val="24"/>
          <w:szCs w:val="24"/>
        </w:rPr>
        <w:t>Trichoderma</w:t>
      </w:r>
      <w:r>
        <w:rPr>
          <w:rFonts w:ascii="Times New Roman" w:hAnsi="Times New Roman" w:cs="Times New Roman"/>
          <w:sz w:val="24"/>
          <w:szCs w:val="24"/>
        </w:rPr>
        <w:t xml:space="preserve"> employs various mechanisms such as competition, antibiosis, mycoparasitism, hyphal interactions and </w:t>
      </w:r>
      <w:r>
        <w:rPr>
          <w:rFonts w:ascii="Times New Roman" w:hAnsi="Times New Roman" w:cs="Times New Roman"/>
          <w:sz w:val="24"/>
          <w:szCs w:val="24"/>
        </w:rPr>
        <w:lastRenderedPageBreak/>
        <w:t>enzyme secretion to suppress plant pathogens (Kumar et al., 2017). It i</w:t>
      </w:r>
      <w:r>
        <w:rPr>
          <w:rFonts w:ascii="Times New Roman" w:hAnsi="Times New Roman" w:cs="Times New Roman"/>
          <w:sz w:val="24"/>
          <w:szCs w:val="24"/>
        </w:rPr>
        <w:t xml:space="preserve">nhibits pathogen growth by coiling around hyphae and releasing volatile substances and cell wall degradation enzymes, including </w:t>
      </w:r>
      <w:proofErr w:type="spellStart"/>
      <w:r>
        <w:rPr>
          <w:rFonts w:ascii="Times New Roman" w:hAnsi="Times New Roman" w:cs="Times New Roman"/>
          <w:sz w:val="24"/>
          <w:szCs w:val="24"/>
        </w:rPr>
        <w:t>glucanases</w:t>
      </w:r>
      <w:proofErr w:type="spellEnd"/>
      <w:r>
        <w:rPr>
          <w:rFonts w:ascii="Times New Roman" w:hAnsi="Times New Roman" w:cs="Times New Roman"/>
          <w:sz w:val="24"/>
          <w:szCs w:val="24"/>
        </w:rPr>
        <w:t xml:space="preserve">, chitinases, and proteases (Al Naemi et al., 2016). For instance, </w:t>
      </w:r>
      <w:r>
        <w:rPr>
          <w:rStyle w:val="Emphasis"/>
          <w:rFonts w:ascii="Times New Roman" w:hAnsi="Times New Roman" w:cs="Times New Roman"/>
          <w:sz w:val="24"/>
          <w:szCs w:val="24"/>
        </w:rPr>
        <w:t xml:space="preserve">T. </w:t>
      </w:r>
      <w:proofErr w:type="spellStart"/>
      <w:r>
        <w:rPr>
          <w:rStyle w:val="Emphasis"/>
          <w:rFonts w:ascii="Times New Roman" w:hAnsi="Times New Roman" w:cs="Times New Roman"/>
          <w:sz w:val="24"/>
          <w:szCs w:val="24"/>
        </w:rPr>
        <w:t>harzianum</w:t>
      </w:r>
      <w:proofErr w:type="spellEnd"/>
      <w:r>
        <w:rPr>
          <w:rFonts w:ascii="Times New Roman" w:hAnsi="Times New Roman" w:cs="Times New Roman"/>
          <w:sz w:val="24"/>
          <w:szCs w:val="24"/>
        </w:rPr>
        <w:t xml:space="preserve"> effectively antagonizes </w:t>
      </w:r>
      <w:r>
        <w:rPr>
          <w:rStyle w:val="Emphasis"/>
          <w:rFonts w:ascii="Times New Roman" w:hAnsi="Times New Roman" w:cs="Times New Roman"/>
          <w:sz w:val="24"/>
          <w:szCs w:val="24"/>
        </w:rPr>
        <w:t xml:space="preserve">Fusarium </w:t>
      </w:r>
      <w:proofErr w:type="spellStart"/>
      <w:r>
        <w:rPr>
          <w:rStyle w:val="Emphasis"/>
          <w:rFonts w:ascii="Times New Roman" w:hAnsi="Times New Roman" w:cs="Times New Roman"/>
          <w:sz w:val="24"/>
          <w:szCs w:val="24"/>
        </w:rPr>
        <w:t>oxysp</w:t>
      </w:r>
      <w:r>
        <w:rPr>
          <w:rStyle w:val="Emphasis"/>
          <w:rFonts w:ascii="Times New Roman" w:hAnsi="Times New Roman" w:cs="Times New Roman"/>
          <w:sz w:val="24"/>
          <w:szCs w:val="24"/>
        </w:rPr>
        <w:t>orum</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 xml:space="preserve">F. </w:t>
      </w:r>
      <w:proofErr w:type="spellStart"/>
      <w:r>
        <w:rPr>
          <w:rStyle w:val="Emphasis"/>
          <w:rFonts w:ascii="Times New Roman" w:hAnsi="Times New Roman" w:cs="Times New Roman"/>
          <w:sz w:val="24"/>
          <w:szCs w:val="24"/>
        </w:rPr>
        <w:t>roseum</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 xml:space="preserve">F. </w:t>
      </w:r>
      <w:proofErr w:type="spellStart"/>
      <w:r>
        <w:rPr>
          <w:rStyle w:val="Emphasis"/>
          <w:rFonts w:ascii="Times New Roman" w:hAnsi="Times New Roman" w:cs="Times New Roman"/>
          <w:sz w:val="24"/>
          <w:szCs w:val="24"/>
        </w:rPr>
        <w:t>solani</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 xml:space="preserve">Phytophthora </w:t>
      </w:r>
      <w:proofErr w:type="spellStart"/>
      <w:r>
        <w:rPr>
          <w:rStyle w:val="Emphasis"/>
          <w:rFonts w:ascii="Times New Roman" w:hAnsi="Times New Roman" w:cs="Times New Roman"/>
          <w:sz w:val="24"/>
          <w:szCs w:val="24"/>
        </w:rPr>
        <w:t>colocaciae</w:t>
      </w:r>
      <w:proofErr w:type="spellEnd"/>
      <w:r>
        <w:rPr>
          <w:rFonts w:ascii="Times New Roman" w:hAnsi="Times New Roman" w:cs="Times New Roman"/>
          <w:sz w:val="24"/>
          <w:szCs w:val="24"/>
        </w:rPr>
        <w:t xml:space="preserve">, and </w:t>
      </w:r>
      <w:r>
        <w:rPr>
          <w:rStyle w:val="Emphasis"/>
          <w:rFonts w:ascii="Times New Roman" w:hAnsi="Times New Roman" w:cs="Times New Roman"/>
          <w:sz w:val="24"/>
          <w:szCs w:val="24"/>
        </w:rPr>
        <w:t xml:space="preserve">Sclerotium </w:t>
      </w:r>
      <w:proofErr w:type="spellStart"/>
      <w:r>
        <w:rPr>
          <w:rStyle w:val="Emphasis"/>
          <w:rFonts w:ascii="Times New Roman" w:hAnsi="Times New Roman" w:cs="Times New Roman"/>
          <w:sz w:val="24"/>
          <w:szCs w:val="24"/>
        </w:rPr>
        <w:t>rolfsii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Küçük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Kivanc</w:t>
      </w:r>
      <w:proofErr w:type="spellEnd"/>
      <w:r>
        <w:rPr>
          <w:rFonts w:ascii="Times New Roman" w:hAnsi="Times New Roman" w:cs="Times New Roman"/>
          <w:sz w:val="24"/>
          <w:szCs w:val="24"/>
        </w:rPr>
        <w:t xml:space="preserve">, 2004). The biocontrol ability of various </w:t>
      </w:r>
      <w:r>
        <w:rPr>
          <w:rStyle w:val="Emphasis"/>
          <w:rFonts w:ascii="Times New Roman" w:hAnsi="Times New Roman" w:cs="Times New Roman"/>
          <w:sz w:val="24"/>
          <w:szCs w:val="24"/>
        </w:rPr>
        <w:t>Trichoderma</w:t>
      </w:r>
      <w:r>
        <w:rPr>
          <w:rFonts w:ascii="Times New Roman" w:hAnsi="Times New Roman" w:cs="Times New Roman"/>
          <w:sz w:val="24"/>
          <w:szCs w:val="24"/>
        </w:rPr>
        <w:t xml:space="preserve"> species has been successfully integrated into agricultural practices for plant disease management.</w:t>
      </w:r>
    </w:p>
    <w:p w14:paraId="3626241C" w14:textId="77777777" w:rsidR="005D1799" w:rsidRDefault="001A4879">
      <w:pPr>
        <w:pStyle w:val="NormalWeb"/>
        <w:spacing w:line="360" w:lineRule="auto"/>
        <w:jc w:val="both"/>
      </w:pPr>
      <w:r>
        <w:t>Furthermo</w:t>
      </w:r>
      <w:r>
        <w:t xml:space="preserve">re, phosphorus solubilization by </w:t>
      </w:r>
      <w:r>
        <w:rPr>
          <w:rStyle w:val="Emphasis"/>
        </w:rPr>
        <w:t>Trichoderma</w:t>
      </w:r>
      <w:r>
        <w:t xml:space="preserve"> is primarily mediated through organic acid production, such as acetic and malic acids (Tandon et al., 2020). These acids lower soil pH, enhancing acid phosphatase activity, which facilitates the solubilization o</w:t>
      </w:r>
      <w:r>
        <w:t>f tricalcium phosphate (Tandon et al., 2020). Additionally, phytate, a major organic phosphorus source in soil, is solubilized by the enzyme phytase, further contributing to phosphorus bioavailability (Aishwarya et al., 2020).</w:t>
      </w:r>
    </w:p>
    <w:p w14:paraId="704425A1" w14:textId="77777777" w:rsidR="005D1799" w:rsidRDefault="001A4879">
      <w:pPr>
        <w:pStyle w:val="Heading3"/>
        <w:numPr>
          <w:ilvl w:val="0"/>
          <w:numId w:val="1"/>
        </w:numPr>
        <w:spacing w:line="360" w:lineRule="auto"/>
        <w:jc w:val="both"/>
        <w:rPr>
          <w:rFonts w:ascii="Times New Roman" w:hAnsi="Times New Roman" w:hint="default"/>
          <w:sz w:val="24"/>
          <w:szCs w:val="24"/>
        </w:rPr>
      </w:pPr>
      <w:r>
        <w:rPr>
          <w:rFonts w:ascii="Times New Roman" w:hAnsi="Times New Roman" w:hint="default"/>
          <w:sz w:val="24"/>
          <w:szCs w:val="24"/>
        </w:rPr>
        <w:t xml:space="preserve">Addressing Nutrient </w:t>
      </w:r>
      <w:r>
        <w:rPr>
          <w:rFonts w:ascii="Times New Roman" w:hAnsi="Times New Roman" w:hint="default"/>
          <w:sz w:val="24"/>
          <w:szCs w:val="24"/>
        </w:rPr>
        <w:t>Deficiencies</w:t>
      </w:r>
    </w:p>
    <w:p w14:paraId="01647B11" w14:textId="77777777" w:rsidR="005D1799" w:rsidRDefault="001A4879">
      <w:pPr>
        <w:pStyle w:val="NormalWeb"/>
        <w:spacing w:line="360" w:lineRule="auto"/>
        <w:jc w:val="both"/>
      </w:pPr>
      <w:r>
        <w:t>Despite the extensive use of fertilizers in modern agriculture, nutrient deficiencies remain a significant challenge (Aishwarya et al., 2020). A major issue is phosphorus fixation, rendering it unavailable for plant uptake (Aishwarya et al., 2</w:t>
      </w:r>
      <w:r>
        <w:t xml:space="preserve">020). Similarly, essential micronutrients such as iron (Fe), manganese (Mn), copper (Cu), and zinc (Zn) often exist in non-bioavailable forms, affecting crop yield and quality (Devi et al., 2022). Microbial activities, particularly those of </w:t>
      </w:r>
      <w:r>
        <w:rPr>
          <w:rStyle w:val="Emphasis"/>
        </w:rPr>
        <w:t>Trichoderma</w:t>
      </w:r>
      <w:r>
        <w:t xml:space="preserve"> spp</w:t>
      </w:r>
      <w:r>
        <w:t>., enhance nutrient bioavailability by solubilizing these minerals (Yan et al., 2024).</w:t>
      </w:r>
    </w:p>
    <w:p w14:paraId="06D1EC1C" w14:textId="77777777" w:rsidR="005D1799" w:rsidRDefault="001A4879">
      <w:pPr>
        <w:pStyle w:val="NormalWeb"/>
        <w:spacing w:line="360" w:lineRule="auto"/>
        <w:jc w:val="both"/>
      </w:pPr>
      <w:r>
        <w:t xml:space="preserve">Research indicates that species such as </w:t>
      </w:r>
      <w:r>
        <w:rPr>
          <w:rStyle w:val="Emphasis"/>
        </w:rPr>
        <w:t xml:space="preserve">T. </w:t>
      </w:r>
      <w:proofErr w:type="spellStart"/>
      <w:r>
        <w:rPr>
          <w:rStyle w:val="Emphasis"/>
        </w:rPr>
        <w:t>harzianum</w:t>
      </w:r>
      <w:proofErr w:type="spellEnd"/>
      <w:r>
        <w:t xml:space="preserve">, </w:t>
      </w:r>
      <w:r>
        <w:rPr>
          <w:rStyle w:val="Emphasis"/>
        </w:rPr>
        <w:t xml:space="preserve">T. </w:t>
      </w:r>
      <w:proofErr w:type="spellStart"/>
      <w:r>
        <w:rPr>
          <w:rStyle w:val="Emphasis"/>
        </w:rPr>
        <w:t>viridae</w:t>
      </w:r>
      <w:proofErr w:type="spellEnd"/>
      <w:r>
        <w:t xml:space="preserve">, and </w:t>
      </w:r>
      <w:r>
        <w:rPr>
          <w:rStyle w:val="Emphasis"/>
        </w:rPr>
        <w:t xml:space="preserve">T. </w:t>
      </w:r>
      <w:proofErr w:type="spellStart"/>
      <w:r>
        <w:rPr>
          <w:rStyle w:val="Emphasis"/>
        </w:rPr>
        <w:t>koningiopsis</w:t>
      </w:r>
      <w:proofErr w:type="spellEnd"/>
      <w:r>
        <w:t xml:space="preserve"> facilitate the solubilization of phosphorus, potassium, and micronutrients, includi</w:t>
      </w:r>
      <w:r>
        <w:t>ng zinc, manganese, copper, and iron. The solubilization mechanism varies depending on the mineral source and microbial strain (Aishwarya et al., 2020)</w:t>
      </w:r>
    </w:p>
    <w:p w14:paraId="3E5B92BD" w14:textId="77777777" w:rsidR="005D1799" w:rsidRDefault="001A4879">
      <w:pPr>
        <w:pStyle w:val="Heading2"/>
        <w:spacing w:line="360" w:lineRule="auto"/>
        <w:jc w:val="both"/>
        <w:rPr>
          <w:rFonts w:ascii="Times New Roman" w:hAnsi="Times New Roman" w:hint="default"/>
          <w:b w:val="0"/>
          <w:sz w:val="24"/>
          <w:szCs w:val="24"/>
        </w:rPr>
      </w:pPr>
      <w:r>
        <w:rPr>
          <w:rStyle w:val="Strong"/>
          <w:rFonts w:ascii="Times New Roman" w:hAnsi="Times New Roman" w:hint="default"/>
          <w:b/>
          <w:sz w:val="24"/>
          <w:szCs w:val="24"/>
        </w:rPr>
        <w:t>7. Bacterial Solubilization of Mineral Phosphates</w:t>
      </w:r>
    </w:p>
    <w:p w14:paraId="5A193436" w14:textId="77777777" w:rsidR="005D1799" w:rsidRDefault="001A487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7.1 Historical Perspectives and Future Prospects</w:t>
      </w:r>
    </w:p>
    <w:p w14:paraId="13F4F228" w14:textId="77777777" w:rsidR="005D1799" w:rsidRDefault="001A4879">
      <w:pPr>
        <w:pStyle w:val="NormalWeb"/>
        <w:spacing w:line="360" w:lineRule="auto"/>
        <w:jc w:val="both"/>
      </w:pPr>
      <w:r>
        <w:lastRenderedPageBreak/>
        <w:t xml:space="preserve">In </w:t>
      </w:r>
      <w:r>
        <w:t xml:space="preserve">natural soils, phosphorus (P) often exists in insoluble forms, such as iron and aluminum phosphates in acidic soils (pH &lt; 5.0) and calcium phosphates in alkaline soils (pH &gt; 7.0) as reported in (Aishwarya et al., 2020). Soil and rhizosphere microorganisms </w:t>
      </w:r>
      <w:r>
        <w:t>solubilize these forms through organic acid production, facilitating plant uptake (Chen et al., 2024).</w:t>
      </w:r>
    </w:p>
    <w:p w14:paraId="36FAA9A5" w14:textId="77777777" w:rsidR="005D1799" w:rsidRDefault="001A4879">
      <w:pPr>
        <w:pStyle w:val="NormalWeb"/>
        <w:spacing w:line="360" w:lineRule="auto"/>
        <w:jc w:val="both"/>
      </w:pPr>
      <w:r>
        <w:t>The effectiveness of microbial phosphate solubilization is attributed to enzyme-mediated processes. Key enzymes involved include:</w:t>
      </w:r>
    </w:p>
    <w:p w14:paraId="494AF2DC" w14:textId="77777777" w:rsidR="005D1799" w:rsidRDefault="001A4879">
      <w:pPr>
        <w:numPr>
          <w:ilvl w:val="0"/>
          <w:numId w:val="2"/>
        </w:numPr>
        <w:spacing w:beforeAutospacing="1" w:after="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Nonspecific phosphatase</w:t>
      </w:r>
      <w:r>
        <w:rPr>
          <w:rStyle w:val="Strong"/>
          <w:rFonts w:ascii="Times New Roman" w:hAnsi="Times New Roman" w:cs="Times New Roman"/>
          <w:sz w:val="24"/>
          <w:szCs w:val="24"/>
        </w:rPr>
        <w:t>s</w:t>
      </w:r>
      <w:r>
        <w:rPr>
          <w:rFonts w:ascii="Times New Roman" w:hAnsi="Times New Roman" w:cs="Times New Roman"/>
          <w:sz w:val="24"/>
          <w:szCs w:val="24"/>
        </w:rPr>
        <w:t xml:space="preserve"> - Catalyze the dephosphorylation of organic matter.</w:t>
      </w:r>
    </w:p>
    <w:p w14:paraId="5B53CC8B" w14:textId="77777777" w:rsidR="005D1799" w:rsidRDefault="001A4879">
      <w:pPr>
        <w:numPr>
          <w:ilvl w:val="0"/>
          <w:numId w:val="2"/>
        </w:numPr>
        <w:spacing w:beforeAutospacing="1" w:after="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Phytases</w:t>
      </w:r>
      <w:r>
        <w:rPr>
          <w:rFonts w:ascii="Times New Roman" w:hAnsi="Times New Roman" w:cs="Times New Roman"/>
          <w:sz w:val="24"/>
          <w:szCs w:val="24"/>
        </w:rPr>
        <w:t xml:space="preserve"> - Release phosphorus from phytic acid, an abundant soil phosphorus form.</w:t>
      </w:r>
    </w:p>
    <w:p w14:paraId="38DADC8B" w14:textId="77777777" w:rsidR="005D1799" w:rsidRDefault="001A4879">
      <w:pPr>
        <w:numPr>
          <w:ilvl w:val="0"/>
          <w:numId w:val="2"/>
        </w:numPr>
        <w:spacing w:beforeAutospacing="1" w:after="0" w:afterAutospacing="1" w:line="360" w:lineRule="auto"/>
        <w:jc w:val="both"/>
        <w:rPr>
          <w:rFonts w:ascii="Times New Roman" w:hAnsi="Times New Roman" w:cs="Times New Roman"/>
          <w:sz w:val="24"/>
          <w:szCs w:val="24"/>
        </w:rPr>
      </w:pPr>
      <w:proofErr w:type="spellStart"/>
      <w:r>
        <w:rPr>
          <w:rStyle w:val="Strong"/>
          <w:rFonts w:ascii="Times New Roman" w:hAnsi="Times New Roman" w:cs="Times New Roman"/>
          <w:sz w:val="24"/>
          <w:szCs w:val="24"/>
        </w:rPr>
        <w:t>Phosphonatases</w:t>
      </w:r>
      <w:proofErr w:type="spellEnd"/>
      <w:r>
        <w:rPr>
          <w:rStyle w:val="Strong"/>
          <w:rFonts w:ascii="Times New Roman" w:hAnsi="Times New Roman" w:cs="Times New Roman"/>
          <w:sz w:val="24"/>
          <w:szCs w:val="24"/>
        </w:rPr>
        <w:t xml:space="preserve"> and C-P lyases</w:t>
      </w:r>
      <w:r>
        <w:rPr>
          <w:rFonts w:ascii="Times New Roman" w:hAnsi="Times New Roman" w:cs="Times New Roman"/>
          <w:sz w:val="24"/>
          <w:szCs w:val="24"/>
        </w:rPr>
        <w:t xml:space="preserve"> - Cleave C-P bonds in </w:t>
      </w:r>
      <w:proofErr w:type="spellStart"/>
      <w:r>
        <w:rPr>
          <w:rFonts w:ascii="Times New Roman" w:hAnsi="Times New Roman" w:cs="Times New Roman"/>
          <w:sz w:val="24"/>
          <w:szCs w:val="24"/>
        </w:rPr>
        <w:t>organophosphonates</w:t>
      </w:r>
      <w:proofErr w:type="spellEnd"/>
      <w:r>
        <w:rPr>
          <w:rFonts w:ascii="Times New Roman" w:hAnsi="Times New Roman" w:cs="Times New Roman"/>
          <w:sz w:val="24"/>
          <w:szCs w:val="24"/>
        </w:rPr>
        <w:t xml:space="preserve"> (</w:t>
      </w:r>
      <w:r>
        <w:rPr>
          <w:rFonts w:ascii="Times New Roman" w:eastAsia="SimSun" w:hAnsi="Times New Roman" w:cs="Times New Roman"/>
          <w:color w:val="222222"/>
          <w:sz w:val="24"/>
          <w:szCs w:val="24"/>
          <w:shd w:val="clear" w:color="auto" w:fill="FFFFFF"/>
        </w:rPr>
        <w:t>da Rocha Ferreira, 2020</w:t>
      </w:r>
      <w:r>
        <w:rPr>
          <w:rFonts w:ascii="Times New Roman" w:hAnsi="Times New Roman" w:cs="Times New Roman"/>
          <w:sz w:val="24"/>
          <w:szCs w:val="24"/>
        </w:rPr>
        <w:t>).</w:t>
      </w:r>
    </w:p>
    <w:p w14:paraId="3F4B977D" w14:textId="77777777" w:rsidR="005D1799" w:rsidRDefault="001A487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8. Microbial Solubiliz</w:t>
      </w:r>
      <w:r>
        <w:rPr>
          <w:rFonts w:ascii="Times New Roman" w:hAnsi="Times New Roman" w:hint="default"/>
          <w:sz w:val="24"/>
          <w:szCs w:val="24"/>
        </w:rPr>
        <w:t>ation of Micronutrients</w:t>
      </w:r>
    </w:p>
    <w:p w14:paraId="51FF6BD4" w14:textId="77777777" w:rsidR="005D1799" w:rsidRDefault="001A4879">
      <w:pPr>
        <w:pStyle w:val="NormalWeb"/>
        <w:spacing w:line="360" w:lineRule="auto"/>
        <w:jc w:val="both"/>
      </w:pPr>
      <w:r>
        <w:t xml:space="preserve">Many soils contain high total manganese (Mn) concentrations, yet the element remains largely unavailable. </w:t>
      </w:r>
      <w:r>
        <w:rPr>
          <w:rStyle w:val="Emphasis"/>
        </w:rPr>
        <w:t xml:space="preserve">T. </w:t>
      </w:r>
      <w:proofErr w:type="spellStart"/>
      <w:r>
        <w:rPr>
          <w:rStyle w:val="Emphasis"/>
        </w:rPr>
        <w:t>harzianum</w:t>
      </w:r>
      <w:proofErr w:type="spellEnd"/>
      <w:r>
        <w:t xml:space="preserve"> strain T-22 solubilizes Mn by reducing Mn+4 to Mn+2 through reducing metabolite production; similarly, </w:t>
      </w:r>
      <w:r>
        <w:rPr>
          <w:rStyle w:val="Emphasis"/>
        </w:rPr>
        <w:t xml:space="preserve">T. </w:t>
      </w:r>
      <w:proofErr w:type="spellStart"/>
      <w:r>
        <w:rPr>
          <w:rStyle w:val="Emphasis"/>
        </w:rPr>
        <w:t>harzian</w:t>
      </w:r>
      <w:r>
        <w:rPr>
          <w:rStyle w:val="Emphasis"/>
        </w:rPr>
        <w:t>um</w:t>
      </w:r>
      <w:proofErr w:type="spellEnd"/>
      <w:r>
        <w:t xml:space="preserve"> strain T1 solubilizes Mn+4 through reduction or chelation while Iron (Fe) the most abundant elements in soil but often unavailable to plants are absorbed primarily as Fe2+ as reported in (Aishwarya et al., 2020). Microbial activity enhances Fe bioavaila</w:t>
      </w:r>
      <w:r>
        <w:t>bility through organic molecule excretion, siderophore production, and Fe (III) reduction (Ribeiro et al., 2020).</w:t>
      </w:r>
    </w:p>
    <w:p w14:paraId="4ED8808D" w14:textId="77777777" w:rsidR="005D1799" w:rsidRDefault="001A4879">
      <w:pPr>
        <w:pStyle w:val="NormalWeb"/>
        <w:spacing w:line="360" w:lineRule="auto"/>
        <w:jc w:val="both"/>
      </w:pPr>
      <w:r>
        <w:t>The solubilization of copper (Cu) follows a similar pattern. Although Cu primarily exists as Cu2+, it is often bound in mineral lattices or or</w:t>
      </w:r>
      <w:r>
        <w:t xml:space="preserve">ganic matter, limiting plant uptake (Aishwarya et al., 2020). Microbial action, particularly from </w:t>
      </w:r>
      <w:r>
        <w:rPr>
          <w:rStyle w:val="Emphasis"/>
        </w:rPr>
        <w:t>Trichoderma</w:t>
      </w:r>
      <w:r>
        <w:t xml:space="preserve"> strains, reduces Cu (II) and Fe (III) into bioavailable forms through chelation or siderophore production. For example, </w:t>
      </w:r>
      <w:r>
        <w:rPr>
          <w:rStyle w:val="Emphasis"/>
        </w:rPr>
        <w:t xml:space="preserve">T. </w:t>
      </w:r>
      <w:proofErr w:type="spellStart"/>
      <w:r>
        <w:rPr>
          <w:rStyle w:val="Emphasis"/>
        </w:rPr>
        <w:t>harzianum</w:t>
      </w:r>
      <w:proofErr w:type="spellEnd"/>
      <w:r>
        <w:t xml:space="preserve"> strain T-22 p</w:t>
      </w:r>
      <w:r>
        <w:t>roduces heat-stable, non-proteinaceous reducing metabolites for Fe (III) and Cu (II) solubilization (Aishwarya et al., 2020).</w:t>
      </w:r>
    </w:p>
    <w:p w14:paraId="62C88793" w14:textId="77777777" w:rsidR="005D1799" w:rsidRDefault="001A4879">
      <w:pPr>
        <w:pStyle w:val="NormalWeb"/>
        <w:spacing w:line="360" w:lineRule="auto"/>
        <w:jc w:val="both"/>
        <w:rPr>
          <w:rStyle w:val="Strong"/>
          <w:b w:val="0"/>
          <w:bCs w:val="0"/>
        </w:rPr>
      </w:pPr>
      <w:r>
        <w:t xml:space="preserve">Zinc (Zn) solubilization mechanisms in </w:t>
      </w:r>
      <w:r>
        <w:rPr>
          <w:rStyle w:val="Emphasis"/>
        </w:rPr>
        <w:t>Trichoderma</w:t>
      </w:r>
      <w:r>
        <w:t xml:space="preserve"> include: Strain SQR T037 produces lactic, citric, tartaric, and succinic acids to dissolve Zn (Li et al., 2020); </w:t>
      </w:r>
      <w:r>
        <w:rPr>
          <w:rStyle w:val="Emphasis"/>
        </w:rPr>
        <w:t xml:space="preserve">T. </w:t>
      </w:r>
      <w:proofErr w:type="spellStart"/>
      <w:r>
        <w:rPr>
          <w:rStyle w:val="Emphasis"/>
        </w:rPr>
        <w:t>harzianum</w:t>
      </w:r>
      <w:proofErr w:type="spellEnd"/>
      <w:r>
        <w:t xml:space="preserve"> strain T1 accelerates Zn oxidation to Zn</w:t>
      </w:r>
      <w:r>
        <w:rPr>
          <w:vertAlign w:val="superscript"/>
        </w:rPr>
        <w:t>+2</w:t>
      </w:r>
      <w:r>
        <w:t xml:space="preserve"> (Aishwarya et al., 2020).</w:t>
      </w:r>
    </w:p>
    <w:p w14:paraId="4205F0E3" w14:textId="77777777" w:rsidR="005D1799" w:rsidRDefault="001A4879">
      <w:pPr>
        <w:pStyle w:val="NormalWeb"/>
        <w:spacing w:line="360" w:lineRule="auto"/>
        <w:jc w:val="both"/>
      </w:pPr>
      <w:r>
        <w:rPr>
          <w:rStyle w:val="Strong"/>
        </w:rPr>
        <w:lastRenderedPageBreak/>
        <w:t>9. Sustainable Agriculture Practices Using Mineral-Solubiliz</w:t>
      </w:r>
      <w:r>
        <w:rPr>
          <w:rStyle w:val="Strong"/>
        </w:rPr>
        <w:t>ing Microbes</w:t>
      </w:r>
    </w:p>
    <w:p w14:paraId="78F7102D" w14:textId="77777777" w:rsidR="005D1799" w:rsidRDefault="001A487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9.1 Bio-Agents for Enhanced Crop Productivity</w:t>
      </w:r>
    </w:p>
    <w:p w14:paraId="393474C6" w14:textId="77777777" w:rsidR="005D1799" w:rsidRDefault="001A4879">
      <w:pPr>
        <w:pStyle w:val="NormalWeb"/>
        <w:spacing w:line="360" w:lineRule="auto"/>
        <w:jc w:val="both"/>
      </w:pPr>
      <w:r>
        <w:t>Harnessing phosphorus-solubilizing microorganisms (PSMs) has emerged as a promising biotechnological approach to improving phosphorus use efficiency in agriculture (</w:t>
      </w:r>
      <w:proofErr w:type="spellStart"/>
      <w:r>
        <w:t>Rieusset</w:t>
      </w:r>
      <w:proofErr w:type="spellEnd"/>
      <w:r>
        <w:t xml:space="preserve"> et al., 2020). Among pl</w:t>
      </w:r>
      <w:r>
        <w:t>ant growth-promoting microbes (PGPMs), plant growth-promoting rhizobacteria (PGPR) exhibit high phosphorus-solubilizing capabilities and contribute significantly to plant growth and yield (</w:t>
      </w:r>
      <w:proofErr w:type="spellStart"/>
      <w:r>
        <w:t>Elhaissouf</w:t>
      </w:r>
      <w:proofErr w:type="spellEnd"/>
      <w:r>
        <w:t xml:space="preserve"> et al., 2022). Key P-solubilizing bacterial genera inclu</w:t>
      </w:r>
      <w:r>
        <w:t xml:space="preserve">de </w:t>
      </w:r>
      <w:r>
        <w:rPr>
          <w:rStyle w:val="Emphasis"/>
        </w:rPr>
        <w:t>Pseudomonas</w:t>
      </w:r>
      <w:r>
        <w:t xml:space="preserve">, </w:t>
      </w:r>
      <w:proofErr w:type="spellStart"/>
      <w:r>
        <w:rPr>
          <w:rStyle w:val="Emphasis"/>
        </w:rPr>
        <w:t>Azotobacter</w:t>
      </w:r>
      <w:proofErr w:type="spellEnd"/>
      <w:r>
        <w:t xml:space="preserve">, </w:t>
      </w:r>
      <w:r>
        <w:rPr>
          <w:rStyle w:val="Emphasis"/>
        </w:rPr>
        <w:t>Xanthomonas</w:t>
      </w:r>
      <w:r>
        <w:t xml:space="preserve">, </w:t>
      </w:r>
      <w:proofErr w:type="spellStart"/>
      <w:r>
        <w:rPr>
          <w:rStyle w:val="Emphasis"/>
        </w:rPr>
        <w:t>Rhodococcus</w:t>
      </w:r>
      <w:proofErr w:type="spellEnd"/>
      <w:r>
        <w:t xml:space="preserve">, </w:t>
      </w:r>
      <w:r>
        <w:rPr>
          <w:rStyle w:val="Emphasis"/>
        </w:rPr>
        <w:t>Arthrobacter</w:t>
      </w:r>
      <w:r>
        <w:t xml:space="preserve">, </w:t>
      </w:r>
      <w:r>
        <w:rPr>
          <w:rStyle w:val="Emphasis"/>
        </w:rPr>
        <w:t>Serratia</w:t>
      </w:r>
      <w:r>
        <w:t xml:space="preserve">, </w:t>
      </w:r>
      <w:proofErr w:type="spellStart"/>
      <w:r>
        <w:rPr>
          <w:rStyle w:val="Emphasis"/>
        </w:rPr>
        <w:t>Chryseobacterium</w:t>
      </w:r>
      <w:proofErr w:type="spellEnd"/>
      <w:r>
        <w:t xml:space="preserve">, </w:t>
      </w:r>
      <w:proofErr w:type="spellStart"/>
      <w:r>
        <w:rPr>
          <w:rStyle w:val="Emphasis"/>
        </w:rPr>
        <w:t>Gordonia</w:t>
      </w:r>
      <w:proofErr w:type="spellEnd"/>
      <w:r>
        <w:t xml:space="preserve">, </w:t>
      </w:r>
      <w:proofErr w:type="spellStart"/>
      <w:r>
        <w:rPr>
          <w:rStyle w:val="Emphasis"/>
        </w:rPr>
        <w:t>Phyllobacterium</w:t>
      </w:r>
      <w:proofErr w:type="spellEnd"/>
      <w:r>
        <w:t xml:space="preserve"> and </w:t>
      </w:r>
      <w:proofErr w:type="spellStart"/>
      <w:r>
        <w:rPr>
          <w:rStyle w:val="Emphasis"/>
        </w:rPr>
        <w:t>Delftia</w:t>
      </w:r>
      <w:proofErr w:type="spellEnd"/>
      <w:r>
        <w:t xml:space="preserve"> (Ferreira et al., 2022).</w:t>
      </w:r>
    </w:p>
    <w:p w14:paraId="2C70B576" w14:textId="77777777" w:rsidR="005D1799" w:rsidRDefault="001A487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9.2 Integration of P-Solubilizing Bacteria with Rock Phosphate</w:t>
      </w:r>
    </w:p>
    <w:p w14:paraId="7AEE280F" w14:textId="77777777" w:rsidR="005D1799" w:rsidRDefault="001A4879">
      <w:pPr>
        <w:pStyle w:val="NormalWeb"/>
        <w:spacing w:line="360" w:lineRule="auto"/>
        <w:jc w:val="both"/>
      </w:pPr>
      <w:r>
        <w:t>The application of PSBs in conjun</w:t>
      </w:r>
      <w:r>
        <w:t>ction with rock phosphate (RP) has shown promising results in enhancing phosphorus bioavailability in both acidic and alkaline soils (Chen et al., 2024). Co-application of PSBs with RP significantly improves plant phosphorus uptake, with beneficial effects</w:t>
      </w:r>
      <w:r>
        <w:t xml:space="preserve"> on cereals and legumes (Ribeiro et al., 2020). Experimental studies highlight synergies between PSBs and RP, leading to cost-effective, microbial-based biofertilizers.</w:t>
      </w:r>
    </w:p>
    <w:p w14:paraId="1D83D07F" w14:textId="77777777" w:rsidR="005D1799" w:rsidRDefault="001A4879">
      <w:pPr>
        <w:pStyle w:val="NormalWeb"/>
        <w:spacing w:line="360" w:lineRule="auto"/>
        <w:jc w:val="both"/>
      </w:pPr>
      <w:r>
        <w:t xml:space="preserve">Dual applications of RP and PSBs, such as </w:t>
      </w:r>
      <w:proofErr w:type="spellStart"/>
      <w:r>
        <w:rPr>
          <w:rStyle w:val="Emphasis"/>
        </w:rPr>
        <w:t>Azotobacter</w:t>
      </w:r>
      <w:proofErr w:type="spellEnd"/>
      <w:r>
        <w:t xml:space="preserve">, </w:t>
      </w:r>
      <w:proofErr w:type="spellStart"/>
      <w:r>
        <w:rPr>
          <w:rStyle w:val="Emphasis"/>
        </w:rPr>
        <w:t>Azospirillum</w:t>
      </w:r>
      <w:proofErr w:type="spellEnd"/>
      <w:r>
        <w:t xml:space="preserve">, </w:t>
      </w:r>
      <w:r>
        <w:rPr>
          <w:rStyle w:val="Emphasis"/>
        </w:rPr>
        <w:t>Rhizobium</w:t>
      </w:r>
      <w:r>
        <w:t xml:space="preserve"> and </w:t>
      </w:r>
      <w:r>
        <w:rPr>
          <w:rStyle w:val="Emphasis"/>
        </w:rPr>
        <w:t>Kleb</w:t>
      </w:r>
      <w:r>
        <w:rPr>
          <w:rStyle w:val="Emphasis"/>
        </w:rPr>
        <w:t>siella</w:t>
      </w:r>
      <w:r>
        <w:t>, have demonstrated significant improvements in plant phosphorus nutrition (Xiao et al., 2019). Formulated PSB-based biofertilizers enhance RP dissolution and increase crop yields, making them a sustainable alternative to conventional fertilizers.</w:t>
      </w:r>
    </w:p>
    <w:p w14:paraId="64E25427" w14:textId="77777777" w:rsidR="005D1799" w:rsidRDefault="001A4879">
      <w:pPr>
        <w:pStyle w:val="Heading3"/>
        <w:jc w:val="both"/>
        <w:rPr>
          <w:rFonts w:ascii="Times New Roman" w:hAnsi="Times New Roman" w:hint="default"/>
          <w:b w:val="0"/>
          <w:sz w:val="24"/>
          <w:szCs w:val="24"/>
        </w:rPr>
      </w:pPr>
      <w:r>
        <w:rPr>
          <w:rStyle w:val="Strong"/>
          <w:rFonts w:ascii="Times New Roman" w:hAnsi="Times New Roman" w:hint="default"/>
          <w:b/>
          <w:sz w:val="24"/>
          <w:szCs w:val="24"/>
        </w:rPr>
        <w:t>10</w:t>
      </w:r>
      <w:r>
        <w:rPr>
          <w:rStyle w:val="Strong"/>
          <w:rFonts w:ascii="Times New Roman" w:hAnsi="Times New Roman" w:hint="default"/>
          <w:b/>
          <w:sz w:val="24"/>
          <w:szCs w:val="24"/>
        </w:rPr>
        <w:t>. Genetic Regulation of Mineral Phosphate Solubilization</w:t>
      </w:r>
    </w:p>
    <w:p w14:paraId="59C348F6" w14:textId="77777777" w:rsidR="005D1799" w:rsidRDefault="001A4879">
      <w:pPr>
        <w:pStyle w:val="NormalWeb"/>
        <w:spacing w:line="360" w:lineRule="auto"/>
        <w:jc w:val="both"/>
      </w:pPr>
      <w:r>
        <w:t xml:space="preserve">The ability of microorganisms to solubilize mineral phosphates is intricately controlled by genetic regulatory systems that respond to environmental phosphorus (P) availability. A key player in this </w:t>
      </w:r>
      <w:r>
        <w:t xml:space="preserve">regulatory network is the Pho regulon, a conserved system across various bacterial species, including </w:t>
      </w:r>
      <w:r>
        <w:rPr>
          <w:rStyle w:val="Emphasis"/>
        </w:rPr>
        <w:t>Escherichia coli</w:t>
      </w:r>
      <w:r>
        <w:t xml:space="preserve">, </w:t>
      </w:r>
      <w:r>
        <w:rPr>
          <w:rStyle w:val="Emphasis"/>
        </w:rPr>
        <w:t xml:space="preserve">Pseudomonas fluorescens </w:t>
      </w:r>
      <w:r>
        <w:t xml:space="preserve">and </w:t>
      </w:r>
      <w:r>
        <w:rPr>
          <w:rStyle w:val="Emphasis"/>
        </w:rPr>
        <w:t>Bacillus subtilis</w:t>
      </w:r>
      <w:r>
        <w:t xml:space="preserve"> (</w:t>
      </w:r>
      <w:proofErr w:type="spellStart"/>
      <w:r>
        <w:t>Vershinina</w:t>
      </w:r>
      <w:proofErr w:type="spellEnd"/>
      <w:r>
        <w:t xml:space="preserve"> and </w:t>
      </w:r>
      <w:proofErr w:type="spellStart"/>
      <w:r>
        <w:t>Znamenskaya</w:t>
      </w:r>
      <w:proofErr w:type="spellEnd"/>
      <w:r>
        <w:t>, 2002)</w:t>
      </w:r>
    </w:p>
    <w:p w14:paraId="33D2FBAE" w14:textId="77777777" w:rsidR="005D1799" w:rsidRDefault="001A487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Pho regulon operates through a two-component system</w:t>
      </w:r>
      <w:r>
        <w:rPr>
          <w:rFonts w:ascii="Times New Roman" w:hAnsi="Times New Roman" w:cs="Times New Roman"/>
          <w:sz w:val="24"/>
          <w:szCs w:val="24"/>
        </w:rPr>
        <w:t xml:space="preserve"> comprising a histidine kinase sensor protein (PhoR) and a transcriptional response regulator (</w:t>
      </w:r>
      <w:proofErr w:type="spellStart"/>
      <w:r>
        <w:rPr>
          <w:rFonts w:ascii="Times New Roman" w:hAnsi="Times New Roman" w:cs="Times New Roman"/>
          <w:sz w:val="24"/>
          <w:szCs w:val="24"/>
        </w:rPr>
        <w:t>PhoB</w:t>
      </w:r>
      <w:proofErr w:type="spellEnd"/>
      <w:r>
        <w:rPr>
          <w:rFonts w:ascii="Times New Roman" w:hAnsi="Times New Roman" w:cs="Times New Roman"/>
          <w:sz w:val="24"/>
          <w:szCs w:val="24"/>
        </w:rPr>
        <w:t>) (Santos-</w:t>
      </w:r>
      <w:proofErr w:type="spellStart"/>
      <w:r>
        <w:rPr>
          <w:rFonts w:ascii="Times New Roman" w:hAnsi="Times New Roman" w:cs="Times New Roman"/>
          <w:sz w:val="24"/>
          <w:szCs w:val="24"/>
        </w:rPr>
        <w:t>Beneit</w:t>
      </w:r>
      <w:proofErr w:type="spellEnd"/>
      <w:r>
        <w:rPr>
          <w:rFonts w:ascii="Times New Roman" w:hAnsi="Times New Roman" w:cs="Times New Roman"/>
          <w:sz w:val="24"/>
          <w:szCs w:val="24"/>
        </w:rPr>
        <w:t xml:space="preserve">, 2015). Under conditions of low inorganic phosphate (Pi), </w:t>
      </w:r>
      <w:proofErr w:type="spellStart"/>
      <w:r>
        <w:rPr>
          <w:rFonts w:ascii="Times New Roman" w:hAnsi="Times New Roman" w:cs="Times New Roman"/>
          <w:sz w:val="24"/>
          <w:szCs w:val="24"/>
        </w:rPr>
        <w:t>PhoR</w:t>
      </w:r>
      <w:proofErr w:type="spellEnd"/>
      <w:r>
        <w:rPr>
          <w:rFonts w:ascii="Times New Roman" w:hAnsi="Times New Roman" w:cs="Times New Roman"/>
          <w:sz w:val="24"/>
          <w:szCs w:val="24"/>
        </w:rPr>
        <w:t xml:space="preserve"> activates </w:t>
      </w:r>
      <w:proofErr w:type="spellStart"/>
      <w:r>
        <w:rPr>
          <w:rFonts w:ascii="Times New Roman" w:hAnsi="Times New Roman" w:cs="Times New Roman"/>
          <w:sz w:val="24"/>
          <w:szCs w:val="24"/>
        </w:rPr>
        <w:t>PhoB</w:t>
      </w:r>
      <w:proofErr w:type="spellEnd"/>
      <w:r>
        <w:rPr>
          <w:rFonts w:ascii="Times New Roman" w:hAnsi="Times New Roman" w:cs="Times New Roman"/>
          <w:sz w:val="24"/>
          <w:szCs w:val="24"/>
        </w:rPr>
        <w:t>, which then induces the expression of genes involved in phosph</w:t>
      </w:r>
      <w:r>
        <w:rPr>
          <w:rFonts w:ascii="Times New Roman" w:hAnsi="Times New Roman" w:cs="Times New Roman"/>
          <w:sz w:val="24"/>
          <w:szCs w:val="24"/>
        </w:rPr>
        <w:t>ate acquisition and metabolism (</w:t>
      </w:r>
      <w:proofErr w:type="spellStart"/>
      <w:r>
        <w:rPr>
          <w:rFonts w:ascii="Times New Roman" w:hAnsi="Times New Roman" w:cs="Times New Roman"/>
          <w:sz w:val="24"/>
          <w:szCs w:val="24"/>
        </w:rPr>
        <w:t>Vershinina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Znamenskaya</w:t>
      </w:r>
      <w:proofErr w:type="spellEnd"/>
      <w:r>
        <w:rPr>
          <w:rFonts w:ascii="Times New Roman" w:hAnsi="Times New Roman" w:cs="Times New Roman"/>
          <w:sz w:val="24"/>
          <w:szCs w:val="24"/>
        </w:rPr>
        <w:t xml:space="preserve">, 2002). These genes encode various components, such as extracellular enzymes and transporters, that facilitate the assimilation of Pi and the extraction of phosphate from organic sources. </w:t>
      </w:r>
    </w:p>
    <w:p w14:paraId="400E14C8" w14:textId="77777777" w:rsidR="005D1799" w:rsidRDefault="001A4879">
      <w:pPr>
        <w:pStyle w:val="NormalWeb"/>
        <w:spacing w:line="360" w:lineRule="auto"/>
        <w:jc w:val="both"/>
      </w:pPr>
      <w:r>
        <w:t>In addit</w:t>
      </w:r>
      <w:r>
        <w:t>ion to the Pho regulon, specific genes have been identified that contribute to phosphate solubilization. For instance, genes encoding enzymes like phytase and phosphatase are involved in the mineralization of organic phosphorus compounds, converting them i</w:t>
      </w:r>
      <w:r>
        <w:t>nto forms accessible to plants (Santos-</w:t>
      </w:r>
      <w:proofErr w:type="spellStart"/>
      <w:r>
        <w:t>Beneit</w:t>
      </w:r>
      <w:proofErr w:type="spellEnd"/>
      <w:r>
        <w:t xml:space="preserve">, 2015). The expression of these genes is often upregulated in response to phosphate scarcity, highlighting the adaptive mechanisms microorganisms employ to cope with nutrient limitations. </w:t>
      </w:r>
    </w:p>
    <w:p w14:paraId="77401CF0" w14:textId="77777777" w:rsidR="005D1799" w:rsidRDefault="001A4879">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advancem</w:t>
      </w:r>
      <w:r>
        <w:rPr>
          <w:rFonts w:ascii="Times New Roman" w:hAnsi="Times New Roman" w:cs="Times New Roman"/>
          <w:sz w:val="24"/>
          <w:szCs w:val="24"/>
        </w:rPr>
        <w:t>ents in genomic and transcriptomic analyses have furthered our understanding of the genetic basis underlying phosphate solubilization. Whole-genome sequencing and bioinformatics approaches have identified clusters of genes associated with phosphate solubil</w:t>
      </w:r>
      <w:r>
        <w:rPr>
          <w:rFonts w:ascii="Times New Roman" w:hAnsi="Times New Roman" w:cs="Times New Roman"/>
          <w:sz w:val="24"/>
          <w:szCs w:val="24"/>
        </w:rPr>
        <w:t>ization in various bacterial strains (Chen et al., 2024). Transcriptome profiling has revealed that genes involved in the production of organic acids, enzymes, and other metabolites contributing to phosphate solubilization are differentially expressed unde</w:t>
      </w:r>
      <w:r>
        <w:rPr>
          <w:rFonts w:ascii="Times New Roman" w:hAnsi="Times New Roman" w:cs="Times New Roman"/>
          <w:sz w:val="24"/>
          <w:szCs w:val="24"/>
        </w:rPr>
        <w:t xml:space="preserve">r phosphate-limited conditions. </w:t>
      </w:r>
    </w:p>
    <w:p w14:paraId="71A30CAF" w14:textId="77777777" w:rsidR="005D1799" w:rsidRDefault="001A4879">
      <w:pPr>
        <w:spacing w:line="360" w:lineRule="auto"/>
        <w:jc w:val="both"/>
        <w:rPr>
          <w:rStyle w:val="Strong"/>
          <w:rFonts w:ascii="Times New Roman" w:hAnsi="Times New Roman" w:cs="Times New Roman"/>
          <w:b w:val="0"/>
          <w:bCs w:val="0"/>
          <w:sz w:val="24"/>
          <w:szCs w:val="24"/>
        </w:rPr>
      </w:pPr>
      <w:r>
        <w:rPr>
          <w:rFonts w:ascii="Times New Roman" w:hAnsi="Times New Roman" w:cs="Times New Roman"/>
          <w:sz w:val="24"/>
          <w:szCs w:val="24"/>
        </w:rPr>
        <w:t xml:space="preserve">Therefore, understanding the genetic regulation of mineral phosphate solubilization not only provides insights into microbial adaptation to nutrient limitations but also offers potential applications in sustainable </w:t>
      </w:r>
      <w:r>
        <w:rPr>
          <w:rFonts w:ascii="Times New Roman" w:hAnsi="Times New Roman" w:cs="Times New Roman"/>
          <w:sz w:val="24"/>
          <w:szCs w:val="24"/>
        </w:rPr>
        <w:t>agriculture (Chen et al., 2024); by harnessing these genetic mechanisms, it is possible to develop biofertilizers that enhance phosphorus availability in soils, thereby reducing the reliance on chemical fertilizers and promoting environmentally friendly fa</w:t>
      </w:r>
      <w:r>
        <w:rPr>
          <w:rFonts w:ascii="Times New Roman" w:hAnsi="Times New Roman" w:cs="Times New Roman"/>
          <w:sz w:val="24"/>
          <w:szCs w:val="24"/>
        </w:rPr>
        <w:t>rming practices.</w:t>
      </w:r>
    </w:p>
    <w:p w14:paraId="172A8C30" w14:textId="77777777" w:rsidR="005D1799" w:rsidRDefault="001A4879">
      <w:pPr>
        <w:pStyle w:val="Heading3"/>
        <w:numPr>
          <w:ilvl w:val="0"/>
          <w:numId w:val="4"/>
        </w:numPr>
        <w:spacing w:line="360" w:lineRule="auto"/>
        <w:jc w:val="both"/>
        <w:rPr>
          <w:rFonts w:ascii="Times New Roman" w:hAnsi="Times New Roman" w:hint="default"/>
          <w:sz w:val="24"/>
          <w:szCs w:val="24"/>
        </w:rPr>
      </w:pPr>
      <w:r>
        <w:rPr>
          <w:rFonts w:ascii="Times New Roman" w:hAnsi="Times New Roman" w:hint="default"/>
          <w:sz w:val="24"/>
          <w:szCs w:val="24"/>
        </w:rPr>
        <w:t>Impact of Mineral Solubilization on Soil Health</w:t>
      </w:r>
    </w:p>
    <w:p w14:paraId="5650D598" w14:textId="77777777" w:rsidR="005D1799" w:rsidRDefault="001A4879">
      <w:pPr>
        <w:pStyle w:val="NormalWeb"/>
        <w:spacing w:line="360" w:lineRule="auto"/>
        <w:jc w:val="both"/>
      </w:pPr>
      <w:r>
        <w:lastRenderedPageBreak/>
        <w:t xml:space="preserve">Microbial activity plays a crucial role in soil health and nutrient availability through </w:t>
      </w:r>
      <w:proofErr w:type="spellStart"/>
      <w:r>
        <w:t>biosolubilization</w:t>
      </w:r>
      <w:proofErr w:type="spellEnd"/>
      <w:r>
        <w:t xml:space="preserve">, a biological process in which microorganisms produce metabolic by-products such as </w:t>
      </w:r>
      <w:r>
        <w:t>mineral acids, organic acids, polymers, and enzymes (Devi et al., 2022). A wide range of microorganisms, including bacteria, fungi, and microbial consortia, have demonstrated significant efficiency in solubilizing essential soil nutrients such as phosphoru</w:t>
      </w:r>
      <w:r>
        <w:t>s (Wild et al., 2022). The synergistic effects of these microbial interactions contribute to enhanced soil fertility and plant nutrient uptake.</w:t>
      </w:r>
    </w:p>
    <w:p w14:paraId="761EFEFC" w14:textId="77777777" w:rsidR="005D1799" w:rsidRDefault="001A487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12. Environmental Implications of Mineral Solubilization</w:t>
      </w:r>
    </w:p>
    <w:p w14:paraId="1E28F06D" w14:textId="77777777" w:rsidR="005D1799" w:rsidRDefault="001A4879">
      <w:pPr>
        <w:pStyle w:val="NormalWeb"/>
        <w:spacing w:line="360" w:lineRule="auto"/>
        <w:jc w:val="both"/>
      </w:pPr>
      <w:r>
        <w:t xml:space="preserve">Microbial-based mineral solubilization has significant </w:t>
      </w:r>
      <w:r>
        <w:t>environmental implications, particularly in mitigating climate change and enhancing soil fertility. One promising strategy involves nitrogen-fixing plant growth-promoting rhizobacteria (PGPR), collectively known as rhizobia, which form symbiotic relationsh</w:t>
      </w:r>
      <w:r>
        <w:t>ips with legumes to facilitate biological nitrogen fixation (</w:t>
      </w:r>
      <w:proofErr w:type="spellStart"/>
      <w:r>
        <w:t>Janati</w:t>
      </w:r>
      <w:proofErr w:type="spellEnd"/>
      <w:r>
        <w:t xml:space="preserve"> et al., 2021). The use of rhizobia-based inoculants has demonstrated effectiveness in reducing synthetic nitrogen fertilizer use, particularly in soybean cultivation (Vargas et al., 2017).</w:t>
      </w:r>
      <w:r>
        <w:t xml:space="preserve"> However, the development of efficient bacterial inoculants as a viable alternative to conventional fertilizers requires further research (</w:t>
      </w:r>
      <w:proofErr w:type="spellStart"/>
      <w:r>
        <w:t>Sammauria</w:t>
      </w:r>
      <w:proofErr w:type="spellEnd"/>
      <w:r>
        <w:t xml:space="preserve"> et al., 2020).</w:t>
      </w:r>
    </w:p>
    <w:p w14:paraId="239C4836" w14:textId="77777777" w:rsidR="005D1799" w:rsidRDefault="001A4879">
      <w:pPr>
        <w:pStyle w:val="NormalWeb"/>
        <w:spacing w:line="360" w:lineRule="auto"/>
        <w:jc w:val="both"/>
      </w:pPr>
      <w:r>
        <w:t>Ecological engineering, a systems-based approach aimed at optimizing ecosystem functions, ha</w:t>
      </w:r>
      <w:r>
        <w:t>s been increasingly applied to agroecosystems, this approach leverages internal ecological processes to restore and enhance soil fertility while minimizing environmental disruptions (</w:t>
      </w:r>
      <w:r>
        <w:rPr>
          <w:rFonts w:eastAsia="SimSun"/>
          <w:color w:val="222222"/>
          <w:shd w:val="clear" w:color="auto" w:fill="FFFFFF"/>
        </w:rPr>
        <w:t>Mumtaz et al., 2023</w:t>
      </w:r>
      <w:r>
        <w:t xml:space="preserve">). Soil microbial communities play a critical role in </w:t>
      </w:r>
      <w:r>
        <w:t>delivering ecosystem services, including nutrient cycling, organic matter decomposition and soil fertility enhancement (Ribeiro et al., 2020).</w:t>
      </w:r>
    </w:p>
    <w:p w14:paraId="3D8B0573" w14:textId="77777777" w:rsidR="005D1799" w:rsidRDefault="001A4879">
      <w:pPr>
        <w:pStyle w:val="NormalWeb"/>
        <w:spacing w:line="360" w:lineRule="auto"/>
        <w:jc w:val="both"/>
      </w:pPr>
      <w:r>
        <w:t>Nitrogen (N) and phosphorus (P) are key limiting nutrients in agroecosystems, particularly in low-input agricultu</w:t>
      </w:r>
      <w:r>
        <w:t>ral systems (</w:t>
      </w:r>
      <w:proofErr w:type="spellStart"/>
      <w:r>
        <w:t>Janati</w:t>
      </w:r>
      <w:proofErr w:type="spellEnd"/>
      <w:r>
        <w:t xml:space="preserve"> et al., 2021). Microbial communities, including nitrogen-fixing symbionts and phosphate-solubilizing bacteria (PSB), contribute to soil fertility restoration by cycling these essential nutrients (Ribeiro et al., 2020). Phosphate-solubil</w:t>
      </w:r>
      <w:r>
        <w:t xml:space="preserve">izing microorganisms (PSM) facilitate phosphorus availability through sorption-desorption, dissolution-precipitation, and mineralization-immobilization processes (Ferreira et al., 2022). Similarly, nitrogen-fixing </w:t>
      </w:r>
      <w:r>
        <w:lastRenderedPageBreak/>
        <w:t>microbes enhance soil fertility by convert</w:t>
      </w:r>
      <w:r>
        <w:t>ing atmospheric nitrogen (N2) into plant-available forms (Ribeiro et al., 2020).</w:t>
      </w:r>
    </w:p>
    <w:p w14:paraId="195CF1B5" w14:textId="77777777" w:rsidR="005D1799" w:rsidRDefault="001A4879">
      <w:pPr>
        <w:pStyle w:val="NormalWeb"/>
        <w:spacing w:line="360" w:lineRule="auto"/>
        <w:jc w:val="both"/>
      </w:pPr>
      <w:r>
        <w:t xml:space="preserve">Studies have highlighted the role of microbial consortia in improving soil fertility. For example, co-inoculation of </w:t>
      </w:r>
      <w:r>
        <w:rPr>
          <w:i/>
        </w:rPr>
        <w:t>Azotobacter</w:t>
      </w:r>
      <w:r>
        <w:t xml:space="preserve"> </w:t>
      </w:r>
      <w:r>
        <w:rPr>
          <w:i/>
        </w:rPr>
        <w:t>species</w:t>
      </w:r>
      <w:r>
        <w:t xml:space="preserve"> with arbuscular mycorrhizal fungi (AMF</w:t>
      </w:r>
      <w:r>
        <w:t>) has been shown to enhance soil fertility and plant growth under rainfed conditions (</w:t>
      </w:r>
      <w:proofErr w:type="spellStart"/>
      <w:r>
        <w:t>Elhaissouf</w:t>
      </w:r>
      <w:proofErr w:type="spellEnd"/>
      <w:r>
        <w:t xml:space="preserve"> et al., 2022). Similarly, rhizobia-AMF consortia have improved soil nitrogen and phosphorus content, leading to increased crop productivity (Ribeiro et al., 20</w:t>
      </w:r>
      <w:r>
        <w:t>20). The integration of microbial inoculants into sustainable agricultural practices presents a viable pathway for improving soil fertility, reducing chemical fertilizer dependency, and mitigating environmental impacts (Ferreira et al., 2022). Further rese</w:t>
      </w:r>
      <w:r>
        <w:t xml:space="preserve">arch into microbial interactions, inoculant formulations, and large-scale application strategies is necessary to optimize the benefits of </w:t>
      </w:r>
      <w:proofErr w:type="spellStart"/>
      <w:r>
        <w:t>biosolubilization</w:t>
      </w:r>
      <w:proofErr w:type="spellEnd"/>
      <w:r>
        <w:t xml:space="preserve"> in agriculture.</w:t>
      </w:r>
    </w:p>
    <w:p w14:paraId="1DB179EF" w14:textId="77777777" w:rsidR="005D1799" w:rsidRDefault="001A487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13. Challenges and Opportunities in Mineral Solubilization</w:t>
      </w:r>
    </w:p>
    <w:p w14:paraId="3C9F7CBF" w14:textId="77777777" w:rsidR="005D1799" w:rsidRDefault="001A4879">
      <w:pPr>
        <w:pStyle w:val="NormalWeb"/>
        <w:spacing w:line="360" w:lineRule="auto"/>
        <w:jc w:val="both"/>
      </w:pPr>
      <w:r>
        <w:t>The high cost of commerci</w:t>
      </w:r>
      <w:r>
        <w:t>al fertilizers poses a significant threat to food security, particularly in regions where smallholder farmers are responsible for a large proportion of food production. In Brazil, for example, approximately 70% of nitrogen (N), 50% of phosphorus (P), and o</w:t>
      </w:r>
      <w:r>
        <w:t>ver 90% of potassium (K) fertilizers are imported, making agricultural productivity highly dependent on global price fluctuations (Ogino et al., 2021) and this is so for developing countries including Nigeria. Limited fertilizer input reduces soil fertilit</w:t>
      </w:r>
      <w:r>
        <w:t>y, negatively impacting household incomes and nutritional security.</w:t>
      </w:r>
    </w:p>
    <w:p w14:paraId="4D818AB2" w14:textId="77777777" w:rsidR="005D1799" w:rsidRDefault="001A4879">
      <w:pPr>
        <w:pStyle w:val="NormalWeb"/>
        <w:spacing w:line="360" w:lineRule="auto"/>
        <w:jc w:val="both"/>
      </w:pPr>
      <w:r>
        <w:t>An alternative approach, termed "</w:t>
      </w:r>
      <w:proofErr w:type="spellStart"/>
      <w:r>
        <w:t>agrogeology</w:t>
      </w:r>
      <w:proofErr w:type="spellEnd"/>
      <w:r>
        <w:t>" or "rocks for crops", offers a promising solution by utilizing local geological resources to reduce dependence on imported fertilizers (Ribeir</w:t>
      </w:r>
      <w:r>
        <w:t>o et al., 2020). Despite being underutilized due to their relatively low market value, indigenous mineral resources have considerable potential for sustainable agricultural development (Franks, 2020). The exploration and adoption of these resources could c</w:t>
      </w:r>
      <w:r>
        <w:t>ontribute to long-term soil health and resilience, reducing reliance on synthetic fertilizers.</w:t>
      </w:r>
    </w:p>
    <w:p w14:paraId="7DB2AA4C" w14:textId="77777777" w:rsidR="005D1799" w:rsidRDefault="001A487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14. Challenges and Future Directions</w:t>
      </w:r>
    </w:p>
    <w:p w14:paraId="4A3C2B6E" w14:textId="77777777" w:rsidR="005D1799" w:rsidRDefault="001A4879">
      <w:pPr>
        <w:pStyle w:val="NormalWeb"/>
        <w:spacing w:line="360" w:lineRule="auto"/>
        <w:jc w:val="both"/>
      </w:pPr>
      <w:r>
        <w:lastRenderedPageBreak/>
        <w:t>Environmental variations influence the interaction between microorganisms and minerals, affecting not only physical and chem</w:t>
      </w:r>
      <w:r>
        <w:t>ical weathering rates but also microbial survival, distribution, and metabolism. These variations impact microbial weathering activity (Ribeiro et al., 2020; Wild et al., 2022; Yan et al., 2024). Different soil types, climate conditions, indigenous microbi</w:t>
      </w:r>
      <w:r>
        <w:t>al communities, plant genotypes, crop requirements, and farming practices significantly affect the plant growth-promoting effects of bacteria, these factors must be thoroughly examined before recommending new strains as inoculants (Saad et al., 2020).</w:t>
      </w:r>
    </w:p>
    <w:p w14:paraId="015B04B0" w14:textId="77777777" w:rsidR="005D1799" w:rsidRDefault="001A4879">
      <w:pPr>
        <w:pStyle w:val="NormalWeb"/>
        <w:spacing w:line="360" w:lineRule="auto"/>
        <w:jc w:val="both"/>
      </w:pPr>
      <w:r>
        <w:t>In v</w:t>
      </w:r>
      <w:r>
        <w:t>itro investigations have demonstrated that the solubilizing ability of phosphate- and potassium-solubilizing bacteria (PSB and KSB) is influenced by factors such as nutrient concentration, carbon and nitrogen sources, and pH (Ribeiro et al., 2020). Similar</w:t>
      </w:r>
      <w:r>
        <w:t>ly, field trials indicate that nitrogen fertilization, organic amendments, and lime addition directly affect the abundance and effectiveness of solubilizing organisms (Zheng et al., 2019). Optimizing these factors can enhance bacterial mineral solubilizati</w:t>
      </w:r>
      <w:r>
        <w:t>on.</w:t>
      </w:r>
    </w:p>
    <w:p w14:paraId="1BCF92BB" w14:textId="77777777" w:rsidR="005D1799" w:rsidRDefault="001A4879">
      <w:pPr>
        <w:pStyle w:val="NormalWeb"/>
        <w:spacing w:line="360" w:lineRule="auto"/>
        <w:jc w:val="both"/>
      </w:pPr>
      <w:r>
        <w:t xml:space="preserve">To overcome climatic constraints, genetically modified or naturally adapted strains can be developed; for example, Ribeiro et al. (2020) reported the successful engineering of </w:t>
      </w:r>
      <w:r>
        <w:rPr>
          <w:i/>
        </w:rPr>
        <w:t xml:space="preserve">Pseudomonas corrugata </w:t>
      </w:r>
      <w:r>
        <w:t>mutants with improved phosphate-solubilizing ability a</w:t>
      </w:r>
      <w:r>
        <w:t>t lower temperatures.</w:t>
      </w:r>
    </w:p>
    <w:p w14:paraId="053CCBA8" w14:textId="77777777" w:rsidR="005D1799" w:rsidRDefault="001A4879">
      <w:pPr>
        <w:pStyle w:val="NormalWeb"/>
        <w:spacing w:line="360" w:lineRule="auto"/>
        <w:jc w:val="both"/>
      </w:pPr>
      <w:r>
        <w:t>Future research focuses on identifying novel bacterial strains with high mineral-solubilizing potential. Traditional isolation methods often fail to recover effective solubilizing bacteria due to the use of inappropriate mineral sourc</w:t>
      </w:r>
      <w:r>
        <w:t>es as reported in (Ribeiro et al., 2020). Soil chemical properties influence P dynamics and bacterial activity, necessitating extensive testing across diverse mineral sources and plant systems (Ferreira et al., 2022; Mumtaz et al., 2023).</w:t>
      </w:r>
    </w:p>
    <w:p w14:paraId="085DA219" w14:textId="77777777" w:rsidR="005D1799" w:rsidRDefault="001A4879">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15. Conclusion</w:t>
      </w:r>
    </w:p>
    <w:p w14:paraId="0B203B71" w14:textId="77777777" w:rsidR="005D1799" w:rsidRDefault="001A4879">
      <w:pPr>
        <w:pStyle w:val="NormalWeb"/>
        <w:spacing w:line="360" w:lineRule="auto"/>
        <w:jc w:val="both"/>
      </w:pPr>
      <w:r>
        <w:t>Mi</w:t>
      </w:r>
      <w:r>
        <w:t xml:space="preserve">neral </w:t>
      </w:r>
      <w:proofErr w:type="spellStart"/>
      <w:r>
        <w:t>biosolubilization</w:t>
      </w:r>
      <w:proofErr w:type="spellEnd"/>
      <w:r>
        <w:t xml:space="preserve"> represents a promising, eco-friendly approach to improving soil fertility and reducing dependence on synthetic fertilizers. The interaction between soil microbes and minerals plays a crucial role in nutrient cycling, enhancing plant</w:t>
      </w:r>
      <w:r>
        <w:t xml:space="preserve"> growth while mitigating environmental concerns. Although challenges remain, ranging from environmental variability to inoculant formulation. Innovative research continues to unlock new opportunities. By integrating microbial-based strategies into sustaina</w:t>
      </w:r>
      <w:r>
        <w:t xml:space="preserve">ble agricultural practices, we can optimize nutrient </w:t>
      </w:r>
      <w:r>
        <w:lastRenderedPageBreak/>
        <w:t>availability, promote soil health, and advance global food security. Future efforts should focus on refining microbial inoculants, improving application techniques, and ensuring economic feasibility to m</w:t>
      </w:r>
      <w:r>
        <w:t xml:space="preserve">aximize the benefits of </w:t>
      </w:r>
      <w:proofErr w:type="spellStart"/>
      <w:r>
        <w:t>biosolubilization</w:t>
      </w:r>
      <w:proofErr w:type="spellEnd"/>
      <w:r>
        <w:t xml:space="preserve"> in modern agriculture.</w:t>
      </w:r>
    </w:p>
    <w:p w14:paraId="7761D8C6" w14:textId="77777777" w:rsidR="005D1799" w:rsidRDefault="005D1799">
      <w:pPr>
        <w:pStyle w:val="Heading3"/>
        <w:jc w:val="both"/>
        <w:rPr>
          <w:rFonts w:ascii="Times New Roman" w:hAnsi="Times New Roman" w:hint="default"/>
          <w:sz w:val="24"/>
          <w:szCs w:val="24"/>
        </w:rPr>
      </w:pPr>
    </w:p>
    <w:p w14:paraId="7FC60D46" w14:textId="77777777" w:rsidR="005D1799" w:rsidRDefault="001A4879">
      <w:pPr>
        <w:pStyle w:val="Heading3"/>
        <w:jc w:val="both"/>
        <w:rPr>
          <w:rFonts w:ascii="Times New Roman" w:hAnsi="Times New Roman" w:hint="default"/>
          <w:sz w:val="24"/>
          <w:szCs w:val="24"/>
        </w:rPr>
      </w:pPr>
      <w:r>
        <w:rPr>
          <w:rFonts w:ascii="Times New Roman" w:hAnsi="Times New Roman" w:hint="default"/>
          <w:sz w:val="24"/>
          <w:szCs w:val="24"/>
        </w:rPr>
        <w:t>References</w:t>
      </w:r>
    </w:p>
    <w:p w14:paraId="6BF8459E" w14:textId="77777777" w:rsidR="005D1799" w:rsidRDefault="001A4879">
      <w:pPr>
        <w:spacing w:line="36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Abdel-Ghany, T. M., Mohamed, Z. H., Abboud, M. A. A., Helmy, E. A., Al-Rajhi, A. M., &amp; Shater, A. R. M. (2019). Solubilization of inorganic phosphate by </w:t>
      </w:r>
      <w:proofErr w:type="spellStart"/>
      <w:r>
        <w:rPr>
          <w:rFonts w:ascii="Times New Roman" w:hAnsi="Times New Roman" w:cs="Times New Roman"/>
          <w:sz w:val="24"/>
          <w:szCs w:val="24"/>
          <w:lang w:eastAsia="zh-CN"/>
        </w:rPr>
        <w:t>rhizospheric</w:t>
      </w:r>
      <w:proofErr w:type="spellEnd"/>
      <w:r>
        <w:rPr>
          <w:rFonts w:ascii="Times New Roman" w:hAnsi="Times New Roman" w:cs="Times New Roman"/>
          <w:sz w:val="24"/>
          <w:szCs w:val="24"/>
          <w:lang w:eastAsia="zh-CN"/>
        </w:rPr>
        <w:t xml:space="preserve"> fungi isolate</w:t>
      </w:r>
      <w:r>
        <w:rPr>
          <w:rFonts w:ascii="Times New Roman" w:hAnsi="Times New Roman" w:cs="Times New Roman"/>
          <w:sz w:val="24"/>
          <w:szCs w:val="24"/>
          <w:lang w:eastAsia="zh-CN"/>
        </w:rPr>
        <w:t xml:space="preserve">d from soil cultivated with Sorghum bicolor L. </w:t>
      </w:r>
      <w:proofErr w:type="spellStart"/>
      <w:r>
        <w:rPr>
          <w:rFonts w:ascii="Times New Roman" w:hAnsi="Times New Roman" w:cs="Times New Roman"/>
          <w:sz w:val="24"/>
          <w:szCs w:val="24"/>
          <w:lang w:eastAsia="zh-CN"/>
        </w:rPr>
        <w:t>BioResources</w:t>
      </w:r>
      <w:proofErr w:type="spellEnd"/>
      <w:r>
        <w:rPr>
          <w:rFonts w:ascii="Times New Roman" w:hAnsi="Times New Roman" w:cs="Times New Roman"/>
          <w:sz w:val="24"/>
          <w:szCs w:val="24"/>
          <w:lang w:eastAsia="zh-CN"/>
        </w:rPr>
        <w:t xml:space="preserve">, 14(3). </w:t>
      </w:r>
    </w:p>
    <w:p w14:paraId="2E939CBC" w14:textId="77777777" w:rsidR="005D1799" w:rsidRDefault="001A4879">
      <w:pPr>
        <w:spacing w:line="36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Aishwarya, S., Viswanath, H. S., Singh, A., &amp; Singh, R. (2020). </w:t>
      </w:r>
      <w:proofErr w:type="spellStart"/>
      <w:r>
        <w:rPr>
          <w:rFonts w:ascii="Times New Roman" w:hAnsi="Times New Roman" w:cs="Times New Roman"/>
          <w:sz w:val="24"/>
          <w:szCs w:val="24"/>
          <w:lang w:eastAsia="zh-CN"/>
        </w:rPr>
        <w:t>Biosolubilization</w:t>
      </w:r>
      <w:proofErr w:type="spellEnd"/>
      <w:r>
        <w:rPr>
          <w:rFonts w:ascii="Times New Roman" w:hAnsi="Times New Roman" w:cs="Times New Roman"/>
          <w:sz w:val="24"/>
          <w:szCs w:val="24"/>
          <w:lang w:eastAsia="zh-CN"/>
        </w:rPr>
        <w:t xml:space="preserve"> of different nutrients by Trichoderma spp. and their mechanisms involved: a review. International Journal</w:t>
      </w:r>
      <w:r>
        <w:rPr>
          <w:rFonts w:ascii="Times New Roman" w:hAnsi="Times New Roman" w:cs="Times New Roman"/>
          <w:sz w:val="24"/>
          <w:szCs w:val="24"/>
          <w:lang w:eastAsia="zh-CN"/>
        </w:rPr>
        <w:t xml:space="preserve"> of Advances in </w:t>
      </w:r>
      <w:proofErr w:type="spellStart"/>
      <w:r>
        <w:rPr>
          <w:rFonts w:ascii="Times New Roman" w:hAnsi="Times New Roman" w:cs="Times New Roman"/>
          <w:sz w:val="24"/>
          <w:szCs w:val="24"/>
          <w:lang w:eastAsia="zh-CN"/>
        </w:rPr>
        <w:t>Agicultural</w:t>
      </w:r>
      <w:proofErr w:type="spellEnd"/>
      <w:r>
        <w:rPr>
          <w:rFonts w:ascii="Times New Roman" w:hAnsi="Times New Roman" w:cs="Times New Roman"/>
          <w:sz w:val="24"/>
          <w:szCs w:val="24"/>
          <w:lang w:eastAsia="zh-CN"/>
        </w:rPr>
        <w:t xml:space="preserve"> Science and Technology, 7(6), 34-39.</w:t>
      </w:r>
    </w:p>
    <w:p w14:paraId="6FF0A625" w14:textId="77777777" w:rsidR="005D1799" w:rsidRDefault="001A4879">
      <w:pPr>
        <w:spacing w:line="360" w:lineRule="auto"/>
        <w:ind w:left="720" w:hanging="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Al-Naemi, F. A., Ahmed, T. A., Nishad, R., and Radwan, O. (2016). Antagonistic Effects of </w:t>
      </w:r>
      <w:r>
        <w:rPr>
          <w:rFonts w:ascii="Times New Roman" w:hAnsi="Times New Roman" w:cs="Times New Roman"/>
          <w:i/>
          <w:sz w:val="24"/>
          <w:szCs w:val="24"/>
          <w:lang w:eastAsia="zh-CN"/>
        </w:rPr>
        <w:t xml:space="preserve">Trichoderma </w:t>
      </w:r>
      <w:proofErr w:type="spellStart"/>
      <w:r>
        <w:rPr>
          <w:rFonts w:ascii="Times New Roman" w:hAnsi="Times New Roman" w:cs="Times New Roman"/>
          <w:i/>
          <w:sz w:val="24"/>
          <w:szCs w:val="24"/>
          <w:lang w:eastAsia="zh-CN"/>
        </w:rPr>
        <w:t>harzianum</w:t>
      </w:r>
      <w:proofErr w:type="spellEnd"/>
      <w:r>
        <w:rPr>
          <w:rFonts w:ascii="Times New Roman" w:hAnsi="Times New Roman" w:cs="Times New Roman"/>
          <w:sz w:val="24"/>
          <w:szCs w:val="24"/>
          <w:lang w:eastAsia="zh-CN"/>
        </w:rPr>
        <w:t xml:space="preserve"> Isolates against Ceratocystis </w:t>
      </w:r>
      <w:proofErr w:type="spellStart"/>
      <w:r>
        <w:rPr>
          <w:rFonts w:ascii="Times New Roman" w:hAnsi="Times New Roman" w:cs="Times New Roman"/>
          <w:sz w:val="24"/>
          <w:szCs w:val="24"/>
          <w:lang w:eastAsia="zh-CN"/>
        </w:rPr>
        <w:t>radicicola</w:t>
      </w:r>
      <w:proofErr w:type="spellEnd"/>
      <w:r>
        <w:rPr>
          <w:rFonts w:ascii="Times New Roman" w:hAnsi="Times New Roman" w:cs="Times New Roman"/>
          <w:sz w:val="24"/>
          <w:szCs w:val="24"/>
          <w:lang w:eastAsia="zh-CN"/>
        </w:rPr>
        <w:t>: pioneering a Biocontrol Strategy agai</w:t>
      </w:r>
      <w:r>
        <w:rPr>
          <w:rFonts w:ascii="Times New Roman" w:hAnsi="Times New Roman" w:cs="Times New Roman"/>
          <w:sz w:val="24"/>
          <w:szCs w:val="24"/>
          <w:lang w:eastAsia="zh-CN"/>
        </w:rPr>
        <w:t>nst Black Scorch Disease in Date Palm Trees. Journal of Phytopathology 164(7-8): 464–475.</w:t>
      </w:r>
    </w:p>
    <w:p w14:paraId="7E22CF13"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Chen, X., Zhao, Y., Huang, S., </w:t>
      </w:r>
      <w:proofErr w:type="spellStart"/>
      <w:r>
        <w:rPr>
          <w:rFonts w:ascii="Times New Roman" w:eastAsia="SimSun" w:hAnsi="Times New Roman" w:cs="Times New Roman"/>
          <w:color w:val="222222"/>
          <w:sz w:val="24"/>
          <w:szCs w:val="24"/>
          <w:shd w:val="clear" w:color="auto" w:fill="FFFFFF"/>
        </w:rPr>
        <w:t>Peñuelas</w:t>
      </w:r>
      <w:proofErr w:type="spellEnd"/>
      <w:r>
        <w:rPr>
          <w:rFonts w:ascii="Times New Roman" w:eastAsia="SimSun" w:hAnsi="Times New Roman" w:cs="Times New Roman"/>
          <w:color w:val="222222"/>
          <w:sz w:val="24"/>
          <w:szCs w:val="24"/>
          <w:shd w:val="clear" w:color="auto" w:fill="FFFFFF"/>
        </w:rPr>
        <w:t xml:space="preserve">, J., </w:t>
      </w:r>
      <w:proofErr w:type="spellStart"/>
      <w:r>
        <w:rPr>
          <w:rFonts w:ascii="Times New Roman" w:eastAsia="SimSun" w:hAnsi="Times New Roman" w:cs="Times New Roman"/>
          <w:color w:val="222222"/>
          <w:sz w:val="24"/>
          <w:szCs w:val="24"/>
          <w:shd w:val="clear" w:color="auto" w:fill="FFFFFF"/>
        </w:rPr>
        <w:t>Sardans</w:t>
      </w:r>
      <w:proofErr w:type="spellEnd"/>
      <w:r>
        <w:rPr>
          <w:rFonts w:ascii="Times New Roman" w:eastAsia="SimSun" w:hAnsi="Times New Roman" w:cs="Times New Roman"/>
          <w:color w:val="222222"/>
          <w:sz w:val="24"/>
          <w:szCs w:val="24"/>
          <w:shd w:val="clear" w:color="auto" w:fill="FFFFFF"/>
        </w:rPr>
        <w:t xml:space="preserve">, J., Wang, L., &amp; Zheng, B. (2024). Genome-based identification of phosphate-solubilizing capacities of soil </w:t>
      </w:r>
      <w:r>
        <w:rPr>
          <w:rFonts w:ascii="Times New Roman" w:eastAsia="SimSun" w:hAnsi="Times New Roman" w:cs="Times New Roman"/>
          <w:color w:val="222222"/>
          <w:sz w:val="24"/>
          <w:szCs w:val="24"/>
          <w:shd w:val="clear" w:color="auto" w:fill="FFFFFF"/>
        </w:rPr>
        <w:t>bacterial isolates. </w:t>
      </w:r>
      <w:r>
        <w:rPr>
          <w:rFonts w:ascii="Times New Roman" w:eastAsia="SimSun" w:hAnsi="Times New Roman" w:cs="Times New Roman"/>
          <w:i/>
          <w:iCs/>
          <w:color w:val="222222"/>
          <w:sz w:val="24"/>
          <w:szCs w:val="24"/>
          <w:shd w:val="clear" w:color="auto" w:fill="FFFFFF"/>
        </w:rPr>
        <w:t>AMB Express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14</w:t>
      </w:r>
      <w:r>
        <w:rPr>
          <w:rFonts w:ascii="Times New Roman" w:eastAsia="SimSun" w:hAnsi="Times New Roman" w:cs="Times New Roman"/>
          <w:color w:val="222222"/>
          <w:sz w:val="24"/>
          <w:szCs w:val="24"/>
          <w:shd w:val="clear" w:color="auto" w:fill="FFFFFF"/>
        </w:rPr>
        <w:t>(1), 85.</w:t>
      </w:r>
    </w:p>
    <w:p w14:paraId="186F1300"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da Rocha Ferreira, G. L. (2020). Phosphorus </w:t>
      </w:r>
      <w:proofErr w:type="spellStart"/>
      <w:r>
        <w:rPr>
          <w:rFonts w:ascii="Times New Roman" w:eastAsia="SimSun" w:hAnsi="Times New Roman" w:cs="Times New Roman"/>
          <w:color w:val="222222"/>
          <w:sz w:val="24"/>
          <w:szCs w:val="24"/>
          <w:shd w:val="clear" w:color="auto" w:fill="FFFFFF"/>
        </w:rPr>
        <w:t>Biosolubilization</w:t>
      </w:r>
      <w:proofErr w:type="spellEnd"/>
      <w:r>
        <w:rPr>
          <w:rFonts w:ascii="Times New Roman" w:eastAsia="SimSun" w:hAnsi="Times New Roman" w:cs="Times New Roman"/>
          <w:color w:val="222222"/>
          <w:sz w:val="24"/>
          <w:szCs w:val="24"/>
          <w:shd w:val="clear" w:color="auto" w:fill="FFFFFF"/>
        </w:rPr>
        <w:t xml:space="preserve"> by Micro-Organisms. Journal of Earth and Environmental Science Research. SRC/JEESR-148. DOI: https://doi. org/10.47363/JEESR/2020 (2), 132, 3.</w:t>
      </w:r>
    </w:p>
    <w:p w14:paraId="7838ADA7"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Devi, R</w:t>
      </w:r>
      <w:r>
        <w:rPr>
          <w:rFonts w:ascii="Times New Roman" w:eastAsia="SimSun" w:hAnsi="Times New Roman" w:cs="Times New Roman"/>
          <w:color w:val="222222"/>
          <w:sz w:val="24"/>
          <w:szCs w:val="24"/>
          <w:shd w:val="clear" w:color="auto" w:fill="FFFFFF"/>
        </w:rPr>
        <w:t>., Kaur, T., Kour, D., Yadav, A., Yadav, A.N., Suman, A., Ahluwalia, A.S. and Saxena, A.K. (2022). Minerals solubilizing and mobilizing microbiomes: A sustainable approach for managing minerals’ deficiency in agricultural soil. Journal of Applied Microbiol</w:t>
      </w:r>
      <w:r>
        <w:rPr>
          <w:rFonts w:ascii="Times New Roman" w:eastAsia="SimSun" w:hAnsi="Times New Roman" w:cs="Times New Roman"/>
          <w:color w:val="222222"/>
          <w:sz w:val="24"/>
          <w:szCs w:val="24"/>
          <w:shd w:val="clear" w:color="auto" w:fill="FFFFFF"/>
        </w:rPr>
        <w:t>ogy, 133(3), 1245-1272.</w:t>
      </w:r>
    </w:p>
    <w:p w14:paraId="316AEAE3"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do Carmo, T. S., Moreira, F. S., Cabral, B. V., Dantas, R. C., de Resende, M. M., Cardoso, V. L., &amp; Ribeiro, E. J. (2019). Phosphorus recovery from phosphate rocks using phosphate-solubilizing bacteria. Geomicrobiology Journal, 36(3</w:t>
      </w:r>
      <w:r>
        <w:rPr>
          <w:rFonts w:ascii="Times New Roman" w:eastAsia="SimSun" w:hAnsi="Times New Roman" w:cs="Times New Roman"/>
          <w:color w:val="222222"/>
          <w:sz w:val="24"/>
          <w:szCs w:val="24"/>
          <w:shd w:val="clear" w:color="auto" w:fill="FFFFFF"/>
        </w:rPr>
        <w:t>), 195-203.</w:t>
      </w:r>
    </w:p>
    <w:p w14:paraId="6DC1CCD2"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Elhaissoufi</w:t>
      </w:r>
      <w:proofErr w:type="spellEnd"/>
      <w:r>
        <w:rPr>
          <w:rFonts w:ascii="Times New Roman" w:eastAsia="SimSun" w:hAnsi="Times New Roman" w:cs="Times New Roman"/>
          <w:color w:val="222222"/>
          <w:sz w:val="24"/>
          <w:szCs w:val="24"/>
          <w:shd w:val="clear" w:color="auto" w:fill="FFFFFF"/>
        </w:rPr>
        <w:t xml:space="preserve">, W., </w:t>
      </w:r>
      <w:proofErr w:type="spellStart"/>
      <w:r>
        <w:rPr>
          <w:rFonts w:ascii="Times New Roman" w:eastAsia="SimSun" w:hAnsi="Times New Roman" w:cs="Times New Roman"/>
          <w:color w:val="222222"/>
          <w:sz w:val="24"/>
          <w:szCs w:val="24"/>
          <w:shd w:val="clear" w:color="auto" w:fill="FFFFFF"/>
        </w:rPr>
        <w:t>Ghoulam</w:t>
      </w:r>
      <w:proofErr w:type="spellEnd"/>
      <w:r>
        <w:rPr>
          <w:rFonts w:ascii="Times New Roman" w:eastAsia="SimSun" w:hAnsi="Times New Roman" w:cs="Times New Roman"/>
          <w:color w:val="222222"/>
          <w:sz w:val="24"/>
          <w:szCs w:val="24"/>
          <w:shd w:val="clear" w:color="auto" w:fill="FFFFFF"/>
        </w:rPr>
        <w:t xml:space="preserve">, C., Barakat, A., Zeroual, Y., &amp; </w:t>
      </w:r>
      <w:proofErr w:type="spellStart"/>
      <w:r>
        <w:rPr>
          <w:rFonts w:ascii="Times New Roman" w:eastAsia="SimSun" w:hAnsi="Times New Roman" w:cs="Times New Roman"/>
          <w:color w:val="222222"/>
          <w:sz w:val="24"/>
          <w:szCs w:val="24"/>
          <w:shd w:val="clear" w:color="auto" w:fill="FFFFFF"/>
        </w:rPr>
        <w:t>Bargaz</w:t>
      </w:r>
      <w:proofErr w:type="spellEnd"/>
      <w:r>
        <w:rPr>
          <w:rFonts w:ascii="Times New Roman" w:eastAsia="SimSun" w:hAnsi="Times New Roman" w:cs="Times New Roman"/>
          <w:color w:val="222222"/>
          <w:sz w:val="24"/>
          <w:szCs w:val="24"/>
          <w:shd w:val="clear" w:color="auto" w:fill="FFFFFF"/>
        </w:rPr>
        <w:t>, A. (2022). Phosphate bacterial solubilization: a key rhizosphere driving force enabling higher P use efficiency and crop productivity. Journal of Advanced Research, 38, 13-28.</w:t>
      </w:r>
    </w:p>
    <w:p w14:paraId="3EDB83A2"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Emami, S., Alikhani, H. A., </w:t>
      </w:r>
      <w:proofErr w:type="spellStart"/>
      <w:r>
        <w:rPr>
          <w:rFonts w:ascii="Times New Roman" w:eastAsia="SimSun" w:hAnsi="Times New Roman" w:cs="Times New Roman"/>
          <w:color w:val="222222"/>
          <w:sz w:val="24"/>
          <w:szCs w:val="24"/>
          <w:shd w:val="clear" w:color="auto" w:fill="FFFFFF"/>
        </w:rPr>
        <w:t>Pourbabaee</w:t>
      </w:r>
      <w:proofErr w:type="spellEnd"/>
      <w:r>
        <w:rPr>
          <w:rFonts w:ascii="Times New Roman" w:eastAsia="SimSun" w:hAnsi="Times New Roman" w:cs="Times New Roman"/>
          <w:color w:val="222222"/>
          <w:sz w:val="24"/>
          <w:szCs w:val="24"/>
          <w:shd w:val="clear" w:color="auto" w:fill="FFFFFF"/>
        </w:rPr>
        <w:t xml:space="preserve">, A. A., </w:t>
      </w:r>
      <w:proofErr w:type="spellStart"/>
      <w:r>
        <w:rPr>
          <w:rFonts w:ascii="Times New Roman" w:eastAsia="SimSun" w:hAnsi="Times New Roman" w:cs="Times New Roman"/>
          <w:color w:val="222222"/>
          <w:sz w:val="24"/>
          <w:szCs w:val="24"/>
          <w:shd w:val="clear" w:color="auto" w:fill="FFFFFF"/>
        </w:rPr>
        <w:t>Etesami</w:t>
      </w:r>
      <w:proofErr w:type="spellEnd"/>
      <w:r>
        <w:rPr>
          <w:rFonts w:ascii="Times New Roman" w:eastAsia="SimSun" w:hAnsi="Times New Roman" w:cs="Times New Roman"/>
          <w:color w:val="222222"/>
          <w:sz w:val="24"/>
          <w:szCs w:val="24"/>
          <w:shd w:val="clear" w:color="auto" w:fill="FFFFFF"/>
        </w:rPr>
        <w:t xml:space="preserve">, H., </w:t>
      </w:r>
      <w:proofErr w:type="spellStart"/>
      <w:r>
        <w:rPr>
          <w:rFonts w:ascii="Times New Roman" w:eastAsia="SimSun" w:hAnsi="Times New Roman" w:cs="Times New Roman"/>
          <w:color w:val="222222"/>
          <w:sz w:val="24"/>
          <w:szCs w:val="24"/>
          <w:shd w:val="clear" w:color="auto" w:fill="FFFFFF"/>
        </w:rPr>
        <w:t>Motasharezadeh</w:t>
      </w:r>
      <w:proofErr w:type="spellEnd"/>
      <w:r>
        <w:rPr>
          <w:rFonts w:ascii="Times New Roman" w:eastAsia="SimSun" w:hAnsi="Times New Roman" w:cs="Times New Roman"/>
          <w:color w:val="222222"/>
          <w:sz w:val="24"/>
          <w:szCs w:val="24"/>
          <w:shd w:val="clear" w:color="auto" w:fill="FFFFFF"/>
        </w:rPr>
        <w:t xml:space="preserve">, B., &amp; </w:t>
      </w:r>
      <w:proofErr w:type="spellStart"/>
      <w:r>
        <w:rPr>
          <w:rFonts w:ascii="Times New Roman" w:eastAsia="SimSun" w:hAnsi="Times New Roman" w:cs="Times New Roman"/>
          <w:color w:val="222222"/>
          <w:sz w:val="24"/>
          <w:szCs w:val="24"/>
          <w:shd w:val="clear" w:color="auto" w:fill="FFFFFF"/>
        </w:rPr>
        <w:t>Sarmadian</w:t>
      </w:r>
      <w:proofErr w:type="spellEnd"/>
      <w:r>
        <w:rPr>
          <w:rFonts w:ascii="Times New Roman" w:eastAsia="SimSun" w:hAnsi="Times New Roman" w:cs="Times New Roman"/>
          <w:color w:val="222222"/>
          <w:sz w:val="24"/>
          <w:szCs w:val="24"/>
          <w:shd w:val="clear" w:color="auto" w:fill="FFFFFF"/>
        </w:rPr>
        <w:t>, F. (2020). Consortium of endophyte and rhizosphere phosphate solubilizing bacteria improves phosphorous use efficiency in wheat cultivars in phosphorus deficient s</w:t>
      </w:r>
      <w:r>
        <w:rPr>
          <w:rFonts w:ascii="Times New Roman" w:eastAsia="SimSun" w:hAnsi="Times New Roman" w:cs="Times New Roman"/>
          <w:color w:val="222222"/>
          <w:sz w:val="24"/>
          <w:szCs w:val="24"/>
          <w:shd w:val="clear" w:color="auto" w:fill="FFFFFF"/>
        </w:rPr>
        <w:t xml:space="preserve">oils. Rhizosphere, 14, 100196. </w:t>
      </w:r>
    </w:p>
    <w:p w14:paraId="0655B4B3"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Etesami</w:t>
      </w:r>
      <w:proofErr w:type="spellEnd"/>
      <w:r>
        <w:rPr>
          <w:rFonts w:ascii="Times New Roman" w:eastAsia="SimSun" w:hAnsi="Times New Roman" w:cs="Times New Roman"/>
          <w:color w:val="222222"/>
          <w:sz w:val="24"/>
          <w:szCs w:val="24"/>
          <w:shd w:val="clear" w:color="auto" w:fill="FFFFFF"/>
        </w:rPr>
        <w:t>, H., Emami, S., &amp; Alikhani, H. A. (2017). Potassium solubilizing bacteria (KSB): Mechanisms, promotion of plant growth, and future prospects A review. Journal of soil science and plant nutrition, 17(4), 897-911.</w:t>
      </w:r>
    </w:p>
    <w:p w14:paraId="2101D826"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Finl</w:t>
      </w:r>
      <w:r>
        <w:rPr>
          <w:rFonts w:ascii="Times New Roman" w:eastAsia="SimSun" w:hAnsi="Times New Roman" w:cs="Times New Roman"/>
          <w:color w:val="222222"/>
          <w:sz w:val="24"/>
          <w:szCs w:val="24"/>
          <w:shd w:val="clear" w:color="auto" w:fill="FFFFFF"/>
        </w:rPr>
        <w:t xml:space="preserve">ay, R.D., Mahmood, S., Rosenstock, N., Bolou-Bi, E.B., Köhler, S.J., Fahad, Z., Rosling, A., Wallander, H., </w:t>
      </w:r>
      <w:proofErr w:type="spellStart"/>
      <w:r>
        <w:rPr>
          <w:rFonts w:ascii="Times New Roman" w:eastAsia="SimSun" w:hAnsi="Times New Roman" w:cs="Times New Roman"/>
          <w:color w:val="222222"/>
          <w:sz w:val="24"/>
          <w:szCs w:val="24"/>
          <w:shd w:val="clear" w:color="auto" w:fill="FFFFFF"/>
        </w:rPr>
        <w:t>Belyazid</w:t>
      </w:r>
      <w:proofErr w:type="spellEnd"/>
      <w:r>
        <w:rPr>
          <w:rFonts w:ascii="Times New Roman" w:eastAsia="SimSun" w:hAnsi="Times New Roman" w:cs="Times New Roman"/>
          <w:color w:val="222222"/>
          <w:sz w:val="24"/>
          <w:szCs w:val="24"/>
          <w:shd w:val="clear" w:color="auto" w:fill="FFFFFF"/>
        </w:rPr>
        <w:t>, S., Bishop, K. and Lian, B. (2020). Reviews and syntheses: Biological weathering and its consequences at different spatial levels–from nan</w:t>
      </w:r>
      <w:r>
        <w:rPr>
          <w:rFonts w:ascii="Times New Roman" w:eastAsia="SimSun" w:hAnsi="Times New Roman" w:cs="Times New Roman"/>
          <w:color w:val="222222"/>
          <w:sz w:val="24"/>
          <w:szCs w:val="24"/>
          <w:shd w:val="clear" w:color="auto" w:fill="FFFFFF"/>
        </w:rPr>
        <w:t xml:space="preserve">oscale to global scale. </w:t>
      </w:r>
      <w:proofErr w:type="spellStart"/>
      <w:r>
        <w:rPr>
          <w:rFonts w:ascii="Times New Roman" w:eastAsia="SimSun" w:hAnsi="Times New Roman" w:cs="Times New Roman"/>
          <w:color w:val="222222"/>
          <w:sz w:val="24"/>
          <w:szCs w:val="24"/>
          <w:shd w:val="clear" w:color="auto" w:fill="FFFFFF"/>
        </w:rPr>
        <w:t>Biogeosciences</w:t>
      </w:r>
      <w:proofErr w:type="spellEnd"/>
      <w:r>
        <w:rPr>
          <w:rFonts w:ascii="Times New Roman" w:eastAsia="SimSun" w:hAnsi="Times New Roman" w:cs="Times New Roman"/>
          <w:color w:val="222222"/>
          <w:sz w:val="24"/>
          <w:szCs w:val="24"/>
          <w:shd w:val="clear" w:color="auto" w:fill="FFFFFF"/>
        </w:rPr>
        <w:t>, 17(6), 1507-1533.</w:t>
      </w:r>
    </w:p>
    <w:p w14:paraId="5ECDE838"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Franks, D. M. (2020). Reclaiming the neglected minerals of development. The Extractive Industries and Society, 7(2), 453-460.</w:t>
      </w:r>
    </w:p>
    <w:p w14:paraId="1C5291F3"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Hassan, S. E. D. (2017). Plant growth-promoting activities for bacterial</w:t>
      </w:r>
      <w:r>
        <w:rPr>
          <w:rFonts w:ascii="Times New Roman" w:eastAsia="SimSun" w:hAnsi="Times New Roman" w:cs="Times New Roman"/>
          <w:color w:val="222222"/>
          <w:sz w:val="24"/>
          <w:szCs w:val="24"/>
          <w:shd w:val="clear" w:color="auto" w:fill="FFFFFF"/>
        </w:rPr>
        <w:t xml:space="preserve"> and fungal endophytes isolated from medicinal plant of Teucrium </w:t>
      </w:r>
      <w:proofErr w:type="spellStart"/>
      <w:r>
        <w:rPr>
          <w:rFonts w:ascii="Times New Roman" w:eastAsia="SimSun" w:hAnsi="Times New Roman" w:cs="Times New Roman"/>
          <w:color w:val="222222"/>
          <w:sz w:val="24"/>
          <w:szCs w:val="24"/>
          <w:shd w:val="clear" w:color="auto" w:fill="FFFFFF"/>
        </w:rPr>
        <w:t>polium</w:t>
      </w:r>
      <w:proofErr w:type="spellEnd"/>
      <w:r>
        <w:rPr>
          <w:rFonts w:ascii="Times New Roman" w:eastAsia="SimSun" w:hAnsi="Times New Roman" w:cs="Times New Roman"/>
          <w:color w:val="222222"/>
          <w:sz w:val="24"/>
          <w:szCs w:val="24"/>
          <w:shd w:val="clear" w:color="auto" w:fill="FFFFFF"/>
        </w:rPr>
        <w:t xml:space="preserve"> L. Journal of advanced research, 8(6), 687-695.</w:t>
      </w:r>
    </w:p>
    <w:p w14:paraId="26B5D672"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Kribel, S., </w:t>
      </w:r>
      <w:proofErr w:type="spellStart"/>
      <w:r>
        <w:rPr>
          <w:rFonts w:ascii="Times New Roman" w:eastAsia="SimSun" w:hAnsi="Times New Roman" w:cs="Times New Roman"/>
          <w:color w:val="222222"/>
          <w:sz w:val="24"/>
          <w:szCs w:val="24"/>
          <w:shd w:val="clear" w:color="auto" w:fill="FFFFFF"/>
        </w:rPr>
        <w:t>Qostal</w:t>
      </w:r>
      <w:proofErr w:type="spellEnd"/>
      <w:r>
        <w:rPr>
          <w:rFonts w:ascii="Times New Roman" w:eastAsia="SimSun" w:hAnsi="Times New Roman" w:cs="Times New Roman"/>
          <w:color w:val="222222"/>
          <w:sz w:val="24"/>
          <w:szCs w:val="24"/>
          <w:shd w:val="clear" w:color="auto" w:fill="FFFFFF"/>
        </w:rPr>
        <w:t xml:space="preserve">, S., Ouazzani Touhami, A., </w:t>
      </w:r>
      <w:proofErr w:type="spellStart"/>
      <w:r>
        <w:rPr>
          <w:rFonts w:ascii="Times New Roman" w:eastAsia="SimSun" w:hAnsi="Times New Roman" w:cs="Times New Roman"/>
          <w:color w:val="222222"/>
          <w:sz w:val="24"/>
          <w:szCs w:val="24"/>
          <w:shd w:val="clear" w:color="auto" w:fill="FFFFFF"/>
        </w:rPr>
        <w:t>Selmaoui</w:t>
      </w:r>
      <w:proofErr w:type="spellEnd"/>
      <w:r>
        <w:rPr>
          <w:rFonts w:ascii="Times New Roman" w:eastAsia="SimSun" w:hAnsi="Times New Roman" w:cs="Times New Roman"/>
          <w:color w:val="222222"/>
          <w:sz w:val="24"/>
          <w:szCs w:val="24"/>
          <w:shd w:val="clear" w:color="auto" w:fill="FFFFFF"/>
        </w:rPr>
        <w:t xml:space="preserve">, K., </w:t>
      </w:r>
      <w:proofErr w:type="spellStart"/>
      <w:r>
        <w:rPr>
          <w:rFonts w:ascii="Times New Roman" w:eastAsia="SimSun" w:hAnsi="Times New Roman" w:cs="Times New Roman"/>
          <w:color w:val="222222"/>
          <w:sz w:val="24"/>
          <w:szCs w:val="24"/>
          <w:shd w:val="clear" w:color="auto" w:fill="FFFFFF"/>
        </w:rPr>
        <w:t>Mouria</w:t>
      </w:r>
      <w:proofErr w:type="spellEnd"/>
      <w:r>
        <w:rPr>
          <w:rFonts w:ascii="Times New Roman" w:eastAsia="SimSun" w:hAnsi="Times New Roman" w:cs="Times New Roman"/>
          <w:color w:val="222222"/>
          <w:sz w:val="24"/>
          <w:szCs w:val="24"/>
          <w:shd w:val="clear" w:color="auto" w:fill="FFFFFF"/>
        </w:rPr>
        <w:t xml:space="preserve">, A., Benkirane, R., </w:t>
      </w:r>
      <w:proofErr w:type="spellStart"/>
      <w:r>
        <w:rPr>
          <w:rFonts w:ascii="Times New Roman" w:eastAsia="SimSun" w:hAnsi="Times New Roman" w:cs="Times New Roman"/>
          <w:color w:val="222222"/>
          <w:sz w:val="24"/>
          <w:szCs w:val="24"/>
          <w:shd w:val="clear" w:color="auto" w:fill="FFFFFF"/>
        </w:rPr>
        <w:t>Achbani</w:t>
      </w:r>
      <w:proofErr w:type="spellEnd"/>
      <w:r>
        <w:rPr>
          <w:rFonts w:ascii="Times New Roman" w:eastAsia="SimSun" w:hAnsi="Times New Roman" w:cs="Times New Roman"/>
          <w:color w:val="222222"/>
          <w:sz w:val="24"/>
          <w:szCs w:val="24"/>
          <w:shd w:val="clear" w:color="auto" w:fill="FFFFFF"/>
        </w:rPr>
        <w:t xml:space="preserve">, E.H. and </w:t>
      </w:r>
      <w:proofErr w:type="spellStart"/>
      <w:r>
        <w:rPr>
          <w:rFonts w:ascii="Times New Roman" w:eastAsia="SimSun" w:hAnsi="Times New Roman" w:cs="Times New Roman"/>
          <w:color w:val="222222"/>
          <w:sz w:val="24"/>
          <w:szCs w:val="24"/>
          <w:shd w:val="clear" w:color="auto" w:fill="FFFFFF"/>
        </w:rPr>
        <w:t>Douira</w:t>
      </w:r>
      <w:proofErr w:type="spellEnd"/>
      <w:r>
        <w:rPr>
          <w:rFonts w:ascii="Times New Roman" w:eastAsia="SimSun" w:hAnsi="Times New Roman" w:cs="Times New Roman"/>
          <w:color w:val="222222"/>
          <w:sz w:val="24"/>
          <w:szCs w:val="24"/>
          <w:shd w:val="clear" w:color="auto" w:fill="FFFFFF"/>
        </w:rPr>
        <w:t>, A. (2019). Quantitative</w:t>
      </w:r>
      <w:r>
        <w:rPr>
          <w:rFonts w:ascii="Times New Roman" w:eastAsia="SimSun" w:hAnsi="Times New Roman" w:cs="Times New Roman"/>
          <w:color w:val="222222"/>
          <w:sz w:val="24"/>
          <w:szCs w:val="24"/>
          <w:shd w:val="clear" w:color="auto" w:fill="FFFFFF"/>
        </w:rPr>
        <w:t xml:space="preserve"> and qualitative estimation of Moroccan Trichoderma isolates capacity to solubilize rock phosphate. Acta </w:t>
      </w:r>
      <w:proofErr w:type="spellStart"/>
      <w:r>
        <w:rPr>
          <w:rFonts w:ascii="Times New Roman" w:eastAsia="SimSun" w:hAnsi="Times New Roman" w:cs="Times New Roman"/>
          <w:color w:val="222222"/>
          <w:sz w:val="24"/>
          <w:szCs w:val="24"/>
          <w:shd w:val="clear" w:color="auto" w:fill="FFFFFF"/>
        </w:rPr>
        <w:t>Phytopathologica</w:t>
      </w:r>
      <w:proofErr w:type="spellEnd"/>
      <w:r>
        <w:rPr>
          <w:rFonts w:ascii="Times New Roman" w:eastAsia="SimSun" w:hAnsi="Times New Roman" w:cs="Times New Roman"/>
          <w:color w:val="222222"/>
          <w:sz w:val="24"/>
          <w:szCs w:val="24"/>
          <w:shd w:val="clear" w:color="auto" w:fill="FFFFFF"/>
        </w:rPr>
        <w:t xml:space="preserve"> et </w:t>
      </w:r>
      <w:proofErr w:type="spellStart"/>
      <w:r>
        <w:rPr>
          <w:rFonts w:ascii="Times New Roman" w:eastAsia="SimSun" w:hAnsi="Times New Roman" w:cs="Times New Roman"/>
          <w:color w:val="222222"/>
          <w:sz w:val="24"/>
          <w:szCs w:val="24"/>
          <w:shd w:val="clear" w:color="auto" w:fill="FFFFFF"/>
        </w:rPr>
        <w:t>Entomologica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Hungarica</w:t>
      </w:r>
      <w:proofErr w:type="spellEnd"/>
      <w:r>
        <w:rPr>
          <w:rFonts w:ascii="Times New Roman" w:eastAsia="SimSun" w:hAnsi="Times New Roman" w:cs="Times New Roman"/>
          <w:color w:val="222222"/>
          <w:sz w:val="24"/>
          <w:szCs w:val="24"/>
          <w:shd w:val="clear" w:color="auto" w:fill="FFFFFF"/>
        </w:rPr>
        <w:t>, 54(2), 157-171.</w:t>
      </w:r>
    </w:p>
    <w:p w14:paraId="28F08B9D"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lastRenderedPageBreak/>
        <w:t>Janati</w:t>
      </w:r>
      <w:proofErr w:type="spellEnd"/>
      <w:r>
        <w:rPr>
          <w:rFonts w:ascii="Times New Roman" w:eastAsia="SimSun" w:hAnsi="Times New Roman" w:cs="Times New Roman"/>
          <w:color w:val="222222"/>
          <w:sz w:val="24"/>
          <w:szCs w:val="24"/>
          <w:shd w:val="clear" w:color="auto" w:fill="FFFFFF"/>
        </w:rPr>
        <w:t xml:space="preserve">, W., </w:t>
      </w:r>
      <w:proofErr w:type="spellStart"/>
      <w:r>
        <w:rPr>
          <w:rFonts w:ascii="Times New Roman" w:eastAsia="SimSun" w:hAnsi="Times New Roman" w:cs="Times New Roman"/>
          <w:color w:val="222222"/>
          <w:sz w:val="24"/>
          <w:szCs w:val="24"/>
          <w:shd w:val="clear" w:color="auto" w:fill="FFFFFF"/>
        </w:rPr>
        <w:t>Benmrid</w:t>
      </w:r>
      <w:proofErr w:type="spellEnd"/>
      <w:r>
        <w:rPr>
          <w:rFonts w:ascii="Times New Roman" w:eastAsia="SimSun" w:hAnsi="Times New Roman" w:cs="Times New Roman"/>
          <w:color w:val="222222"/>
          <w:sz w:val="24"/>
          <w:szCs w:val="24"/>
          <w:shd w:val="clear" w:color="auto" w:fill="FFFFFF"/>
        </w:rPr>
        <w:t xml:space="preserve">, B., </w:t>
      </w:r>
      <w:proofErr w:type="spellStart"/>
      <w:r>
        <w:rPr>
          <w:rFonts w:ascii="Times New Roman" w:eastAsia="SimSun" w:hAnsi="Times New Roman" w:cs="Times New Roman"/>
          <w:color w:val="222222"/>
          <w:sz w:val="24"/>
          <w:szCs w:val="24"/>
          <w:shd w:val="clear" w:color="auto" w:fill="FFFFFF"/>
        </w:rPr>
        <w:t>Elhaissoufi</w:t>
      </w:r>
      <w:proofErr w:type="spellEnd"/>
      <w:r>
        <w:rPr>
          <w:rFonts w:ascii="Times New Roman" w:eastAsia="SimSun" w:hAnsi="Times New Roman" w:cs="Times New Roman"/>
          <w:color w:val="222222"/>
          <w:sz w:val="24"/>
          <w:szCs w:val="24"/>
          <w:shd w:val="clear" w:color="auto" w:fill="FFFFFF"/>
        </w:rPr>
        <w:t xml:space="preserve">, W., Zeroual, Y., </w:t>
      </w:r>
      <w:proofErr w:type="spellStart"/>
      <w:r>
        <w:rPr>
          <w:rFonts w:ascii="Times New Roman" w:eastAsia="SimSun" w:hAnsi="Times New Roman" w:cs="Times New Roman"/>
          <w:color w:val="222222"/>
          <w:sz w:val="24"/>
          <w:szCs w:val="24"/>
          <w:shd w:val="clear" w:color="auto" w:fill="FFFFFF"/>
        </w:rPr>
        <w:t>Nasielski</w:t>
      </w:r>
      <w:proofErr w:type="spellEnd"/>
      <w:r>
        <w:rPr>
          <w:rFonts w:ascii="Times New Roman" w:eastAsia="SimSun" w:hAnsi="Times New Roman" w:cs="Times New Roman"/>
          <w:color w:val="222222"/>
          <w:sz w:val="24"/>
          <w:szCs w:val="24"/>
          <w:shd w:val="clear" w:color="auto" w:fill="FFFFFF"/>
        </w:rPr>
        <w:t xml:space="preserve">, J., &amp; </w:t>
      </w:r>
      <w:proofErr w:type="spellStart"/>
      <w:r>
        <w:rPr>
          <w:rFonts w:ascii="Times New Roman" w:eastAsia="SimSun" w:hAnsi="Times New Roman" w:cs="Times New Roman"/>
          <w:color w:val="222222"/>
          <w:sz w:val="24"/>
          <w:szCs w:val="24"/>
          <w:shd w:val="clear" w:color="auto" w:fill="FFFFFF"/>
        </w:rPr>
        <w:t>Bargaz</w:t>
      </w:r>
      <w:proofErr w:type="spellEnd"/>
      <w:r>
        <w:rPr>
          <w:rFonts w:ascii="Times New Roman" w:eastAsia="SimSun" w:hAnsi="Times New Roman" w:cs="Times New Roman"/>
          <w:color w:val="222222"/>
          <w:sz w:val="24"/>
          <w:szCs w:val="24"/>
          <w:shd w:val="clear" w:color="auto" w:fill="FFFFFF"/>
        </w:rPr>
        <w:t xml:space="preserve">, A. (2021). </w:t>
      </w:r>
      <w:r>
        <w:rPr>
          <w:rFonts w:ascii="Times New Roman" w:eastAsia="SimSun" w:hAnsi="Times New Roman" w:cs="Times New Roman"/>
          <w:color w:val="222222"/>
          <w:sz w:val="24"/>
          <w:szCs w:val="24"/>
          <w:shd w:val="clear" w:color="auto" w:fill="FFFFFF"/>
        </w:rPr>
        <w:t xml:space="preserve">Will phosphate bio-solubilization stimulate biological nitrogen fixation in grain legumes? Front Agron 3: 637196. </w:t>
      </w:r>
    </w:p>
    <w:p w14:paraId="2F28C25B"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KüçüK</w:t>
      </w:r>
      <w:proofErr w:type="spellEnd"/>
      <w:r>
        <w:rPr>
          <w:rFonts w:ascii="Times New Roman" w:eastAsia="SimSun" w:hAnsi="Times New Roman" w:cs="Times New Roman"/>
          <w:color w:val="222222"/>
          <w:sz w:val="24"/>
          <w:szCs w:val="24"/>
          <w:shd w:val="clear" w:color="auto" w:fill="FFFFFF"/>
        </w:rPr>
        <w:t xml:space="preserve"> C. and Kivanç M. (2004). In Vitro Antifungal Activity of Strains of Trichoderma </w:t>
      </w:r>
      <w:proofErr w:type="spellStart"/>
      <w:r>
        <w:rPr>
          <w:rFonts w:ascii="Times New Roman" w:eastAsia="SimSun" w:hAnsi="Times New Roman" w:cs="Times New Roman"/>
          <w:color w:val="222222"/>
          <w:sz w:val="24"/>
          <w:szCs w:val="24"/>
          <w:shd w:val="clear" w:color="auto" w:fill="FFFFFF"/>
        </w:rPr>
        <w:t>harzianum</w:t>
      </w:r>
      <w:proofErr w:type="spellEnd"/>
      <w:r>
        <w:rPr>
          <w:rFonts w:ascii="Times New Roman" w:eastAsia="SimSun" w:hAnsi="Times New Roman" w:cs="Times New Roman"/>
          <w:color w:val="222222"/>
          <w:sz w:val="24"/>
          <w:szCs w:val="24"/>
          <w:shd w:val="clear" w:color="auto" w:fill="FFFFFF"/>
        </w:rPr>
        <w:t>. Turkish Journal of Biology. 28: 111-115.</w:t>
      </w:r>
    </w:p>
    <w:p w14:paraId="49B4D900"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Kum</w:t>
      </w:r>
      <w:r>
        <w:rPr>
          <w:rFonts w:ascii="Times New Roman" w:eastAsia="SimSun" w:hAnsi="Times New Roman" w:cs="Times New Roman"/>
          <w:color w:val="222222"/>
          <w:sz w:val="24"/>
          <w:szCs w:val="24"/>
          <w:shd w:val="clear" w:color="auto" w:fill="FFFFFF"/>
        </w:rPr>
        <w:t xml:space="preserve">ar, G., Maharshi, A., Patel, J., Mukherjee, A., Singh, H. B. &amp; Sarma, B. K. (2017). Trichoderma: A Potential Fungal Antagonist to Control Plant Diseases. SATSA </w:t>
      </w:r>
      <w:proofErr w:type="spellStart"/>
      <w:r>
        <w:rPr>
          <w:rFonts w:ascii="Times New Roman" w:eastAsia="SimSun" w:hAnsi="Times New Roman" w:cs="Times New Roman"/>
          <w:color w:val="222222"/>
          <w:sz w:val="24"/>
          <w:szCs w:val="24"/>
          <w:shd w:val="clear" w:color="auto" w:fill="FFFFFF"/>
        </w:rPr>
        <w:t>Mukhapatra</w:t>
      </w:r>
      <w:proofErr w:type="spellEnd"/>
      <w:r>
        <w:rPr>
          <w:rFonts w:ascii="Times New Roman" w:eastAsia="SimSun" w:hAnsi="Times New Roman" w:cs="Times New Roman"/>
          <w:color w:val="222222"/>
          <w:sz w:val="24"/>
          <w:szCs w:val="24"/>
          <w:shd w:val="clear" w:color="auto" w:fill="FFFFFF"/>
        </w:rPr>
        <w:t xml:space="preserve"> - Annual Technical Issue 21: 206-218.</w:t>
      </w:r>
    </w:p>
    <w:p w14:paraId="39F5BAD4"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Li, L., Chen, R., Zuo, Z., </w:t>
      </w:r>
      <w:proofErr w:type="spellStart"/>
      <w:r>
        <w:rPr>
          <w:rFonts w:ascii="Times New Roman" w:eastAsia="SimSun" w:hAnsi="Times New Roman" w:cs="Times New Roman"/>
          <w:color w:val="222222"/>
          <w:sz w:val="24"/>
          <w:szCs w:val="24"/>
          <w:shd w:val="clear" w:color="auto" w:fill="FFFFFF"/>
        </w:rPr>
        <w:t>Lv</w:t>
      </w:r>
      <w:proofErr w:type="spellEnd"/>
      <w:r>
        <w:rPr>
          <w:rFonts w:ascii="Times New Roman" w:eastAsia="SimSun" w:hAnsi="Times New Roman" w:cs="Times New Roman"/>
          <w:color w:val="222222"/>
          <w:sz w:val="24"/>
          <w:szCs w:val="24"/>
          <w:shd w:val="clear" w:color="auto" w:fill="FFFFFF"/>
        </w:rPr>
        <w:t>, Z., Yang, Z., Ma</w:t>
      </w:r>
      <w:r>
        <w:rPr>
          <w:rFonts w:ascii="Times New Roman" w:eastAsia="SimSun" w:hAnsi="Times New Roman" w:cs="Times New Roman"/>
          <w:color w:val="222222"/>
          <w:sz w:val="24"/>
          <w:szCs w:val="24"/>
          <w:shd w:val="clear" w:color="auto" w:fill="FFFFFF"/>
        </w:rPr>
        <w:t xml:space="preserve">o, W., Liu, Y., Zhou, Y., Huang, J. and Song, Z. (2020). Evaluation and improvement of phosphate solubilization by an isolated bacterium </w:t>
      </w:r>
      <w:proofErr w:type="spellStart"/>
      <w:r>
        <w:rPr>
          <w:rFonts w:ascii="Times New Roman" w:eastAsia="SimSun" w:hAnsi="Times New Roman" w:cs="Times New Roman"/>
          <w:color w:val="222222"/>
          <w:sz w:val="24"/>
          <w:szCs w:val="24"/>
          <w:shd w:val="clear" w:color="auto" w:fill="FFFFFF"/>
        </w:rPr>
        <w:t>Pantoea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agglomerans</w:t>
      </w:r>
      <w:proofErr w:type="spellEnd"/>
      <w:r>
        <w:rPr>
          <w:rFonts w:ascii="Times New Roman" w:eastAsia="SimSun" w:hAnsi="Times New Roman" w:cs="Times New Roman"/>
          <w:color w:val="222222"/>
          <w:sz w:val="24"/>
          <w:szCs w:val="24"/>
          <w:shd w:val="clear" w:color="auto" w:fill="FFFFFF"/>
        </w:rPr>
        <w:t xml:space="preserve"> ZB. World Journal of Microbiology and Biotechnology, 36, 1-14.</w:t>
      </w:r>
    </w:p>
    <w:p w14:paraId="230D2B16"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Lin, L., Li, C., Ren, Z., Qin, Y., W</w:t>
      </w:r>
      <w:r>
        <w:rPr>
          <w:rFonts w:ascii="Times New Roman" w:eastAsia="SimSun" w:hAnsi="Times New Roman" w:cs="Times New Roman"/>
          <w:color w:val="222222"/>
          <w:sz w:val="24"/>
          <w:szCs w:val="24"/>
          <w:shd w:val="clear" w:color="auto" w:fill="FFFFFF"/>
        </w:rPr>
        <w:t>ang, R., Wang, J., Cai, J., Zhao, L., Li, X., Cai, Y. and Xiong, X. (2023). Transcriptome profiling of genes regulated by phosphate-solubilizing bacteria Bacillus megaterium P68 in potato (Solanum tuberosum L.). Front Microbiol 14: 1140752.</w:t>
      </w:r>
    </w:p>
    <w:p w14:paraId="4B3ABD30"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Mumtaz, M. Z., </w:t>
      </w:r>
      <w:r>
        <w:rPr>
          <w:rFonts w:ascii="Times New Roman" w:eastAsia="SimSun" w:hAnsi="Times New Roman" w:cs="Times New Roman"/>
          <w:color w:val="222222"/>
          <w:sz w:val="24"/>
          <w:szCs w:val="24"/>
          <w:shd w:val="clear" w:color="auto" w:fill="FFFFFF"/>
        </w:rPr>
        <w:t xml:space="preserve">Ahmad, M., </w:t>
      </w:r>
      <w:proofErr w:type="spellStart"/>
      <w:r>
        <w:rPr>
          <w:rFonts w:ascii="Times New Roman" w:eastAsia="SimSun" w:hAnsi="Times New Roman" w:cs="Times New Roman"/>
          <w:color w:val="222222"/>
          <w:sz w:val="24"/>
          <w:szCs w:val="24"/>
          <w:shd w:val="clear" w:color="auto" w:fill="FFFFFF"/>
        </w:rPr>
        <w:t>Etesami</w:t>
      </w:r>
      <w:proofErr w:type="spellEnd"/>
      <w:r>
        <w:rPr>
          <w:rFonts w:ascii="Times New Roman" w:eastAsia="SimSun" w:hAnsi="Times New Roman" w:cs="Times New Roman"/>
          <w:color w:val="222222"/>
          <w:sz w:val="24"/>
          <w:szCs w:val="24"/>
          <w:shd w:val="clear" w:color="auto" w:fill="FFFFFF"/>
        </w:rPr>
        <w:t>, H., &amp; Mustafa, A. (2023). Mineral solubilizing microorganisms (MSM) and their applications in nutrient availability, weathering and bioremediation. Frontiers in Microbiology, 14, 1101426.</w:t>
      </w:r>
    </w:p>
    <w:p w14:paraId="2778BE3E"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Mupondi</w:t>
      </w:r>
      <w:proofErr w:type="spellEnd"/>
      <w:r>
        <w:rPr>
          <w:rFonts w:ascii="Times New Roman" w:eastAsia="SimSun" w:hAnsi="Times New Roman" w:cs="Times New Roman"/>
          <w:color w:val="222222"/>
          <w:sz w:val="24"/>
          <w:szCs w:val="24"/>
          <w:shd w:val="clear" w:color="auto" w:fill="FFFFFF"/>
        </w:rPr>
        <w:t xml:space="preserve">, L. T., </w:t>
      </w:r>
      <w:proofErr w:type="spellStart"/>
      <w:r>
        <w:rPr>
          <w:rFonts w:ascii="Times New Roman" w:eastAsia="SimSun" w:hAnsi="Times New Roman" w:cs="Times New Roman"/>
          <w:color w:val="222222"/>
          <w:sz w:val="24"/>
          <w:szCs w:val="24"/>
          <w:shd w:val="clear" w:color="auto" w:fill="FFFFFF"/>
        </w:rPr>
        <w:t>Mnkeni</w:t>
      </w:r>
      <w:proofErr w:type="spellEnd"/>
      <w:r>
        <w:rPr>
          <w:rFonts w:ascii="Times New Roman" w:eastAsia="SimSun" w:hAnsi="Times New Roman" w:cs="Times New Roman"/>
          <w:color w:val="222222"/>
          <w:sz w:val="24"/>
          <w:szCs w:val="24"/>
          <w:shd w:val="clear" w:color="auto" w:fill="FFFFFF"/>
        </w:rPr>
        <w:t xml:space="preserve">, P. N. S., </w:t>
      </w:r>
      <w:proofErr w:type="spellStart"/>
      <w:r>
        <w:rPr>
          <w:rFonts w:ascii="Times New Roman" w:eastAsia="SimSun" w:hAnsi="Times New Roman" w:cs="Times New Roman"/>
          <w:color w:val="222222"/>
          <w:sz w:val="24"/>
          <w:szCs w:val="24"/>
          <w:shd w:val="clear" w:color="auto" w:fill="FFFFFF"/>
        </w:rPr>
        <w:t>Muchaonyerwa</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 xml:space="preserve">P., &amp; </w:t>
      </w:r>
      <w:proofErr w:type="spellStart"/>
      <w:r>
        <w:rPr>
          <w:rFonts w:ascii="Times New Roman" w:eastAsia="SimSun" w:hAnsi="Times New Roman" w:cs="Times New Roman"/>
          <w:color w:val="222222"/>
          <w:sz w:val="24"/>
          <w:szCs w:val="24"/>
          <w:shd w:val="clear" w:color="auto" w:fill="FFFFFF"/>
        </w:rPr>
        <w:t>Mupambwa</w:t>
      </w:r>
      <w:proofErr w:type="spellEnd"/>
      <w:r>
        <w:rPr>
          <w:rFonts w:ascii="Times New Roman" w:eastAsia="SimSun" w:hAnsi="Times New Roman" w:cs="Times New Roman"/>
          <w:color w:val="222222"/>
          <w:sz w:val="24"/>
          <w:szCs w:val="24"/>
          <w:shd w:val="clear" w:color="auto" w:fill="FFFFFF"/>
        </w:rPr>
        <w:t xml:space="preserve">, H. A. (2018). Vermicomposting manure-paper mixture with igneous rock phosphate enhances biodegradation, phosphorus bioavailability and reduces heavy metal concentrations. </w:t>
      </w:r>
      <w:proofErr w:type="spellStart"/>
      <w:r>
        <w:rPr>
          <w:rFonts w:ascii="Times New Roman" w:eastAsia="SimSun" w:hAnsi="Times New Roman" w:cs="Times New Roman"/>
          <w:color w:val="222222"/>
          <w:sz w:val="24"/>
          <w:szCs w:val="24"/>
          <w:shd w:val="clear" w:color="auto" w:fill="FFFFFF"/>
        </w:rPr>
        <w:t>Heliyon</w:t>
      </w:r>
      <w:proofErr w:type="spellEnd"/>
      <w:r>
        <w:rPr>
          <w:rFonts w:ascii="Times New Roman" w:eastAsia="SimSun" w:hAnsi="Times New Roman" w:cs="Times New Roman"/>
          <w:color w:val="222222"/>
          <w:sz w:val="24"/>
          <w:szCs w:val="24"/>
          <w:shd w:val="clear" w:color="auto" w:fill="FFFFFF"/>
        </w:rPr>
        <w:t>, 4(8).</w:t>
      </w:r>
    </w:p>
    <w:p w14:paraId="5E272843"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Mustoe, G. E. (2018). Biogenic weathering: Solubilizat</w:t>
      </w:r>
      <w:r>
        <w:rPr>
          <w:rFonts w:ascii="Times New Roman" w:eastAsia="SimSun" w:hAnsi="Times New Roman" w:cs="Times New Roman"/>
          <w:color w:val="222222"/>
          <w:sz w:val="24"/>
          <w:szCs w:val="24"/>
          <w:shd w:val="clear" w:color="auto" w:fill="FFFFFF"/>
        </w:rPr>
        <w:t>ion of iron from minerals by epilithic freshwater algae and cyanobacteria. Microorganisms, 6(1), 8.</w:t>
      </w:r>
    </w:p>
    <w:p w14:paraId="1F408715"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Nacoon</w:t>
      </w:r>
      <w:proofErr w:type="spellEnd"/>
      <w:r>
        <w:rPr>
          <w:rFonts w:ascii="Times New Roman" w:eastAsia="SimSun" w:hAnsi="Times New Roman" w:cs="Times New Roman"/>
          <w:color w:val="222222"/>
          <w:sz w:val="24"/>
          <w:szCs w:val="24"/>
          <w:shd w:val="clear" w:color="auto" w:fill="FFFFFF"/>
        </w:rPr>
        <w:t xml:space="preserve">, S., </w:t>
      </w:r>
      <w:proofErr w:type="spellStart"/>
      <w:r>
        <w:rPr>
          <w:rFonts w:ascii="Times New Roman" w:eastAsia="SimSun" w:hAnsi="Times New Roman" w:cs="Times New Roman"/>
          <w:color w:val="222222"/>
          <w:sz w:val="24"/>
          <w:szCs w:val="24"/>
          <w:shd w:val="clear" w:color="auto" w:fill="FFFFFF"/>
        </w:rPr>
        <w:t>Jogloy</w:t>
      </w:r>
      <w:proofErr w:type="spellEnd"/>
      <w:r>
        <w:rPr>
          <w:rFonts w:ascii="Times New Roman" w:eastAsia="SimSun" w:hAnsi="Times New Roman" w:cs="Times New Roman"/>
          <w:color w:val="222222"/>
          <w:sz w:val="24"/>
          <w:szCs w:val="24"/>
          <w:shd w:val="clear" w:color="auto" w:fill="FFFFFF"/>
        </w:rPr>
        <w:t xml:space="preserve">, S., </w:t>
      </w:r>
      <w:proofErr w:type="spellStart"/>
      <w:r>
        <w:rPr>
          <w:rFonts w:ascii="Times New Roman" w:eastAsia="SimSun" w:hAnsi="Times New Roman" w:cs="Times New Roman"/>
          <w:color w:val="222222"/>
          <w:sz w:val="24"/>
          <w:szCs w:val="24"/>
          <w:shd w:val="clear" w:color="auto" w:fill="FFFFFF"/>
        </w:rPr>
        <w:t>Riddech</w:t>
      </w:r>
      <w:proofErr w:type="spellEnd"/>
      <w:r>
        <w:rPr>
          <w:rFonts w:ascii="Times New Roman" w:eastAsia="SimSun" w:hAnsi="Times New Roman" w:cs="Times New Roman"/>
          <w:color w:val="222222"/>
          <w:sz w:val="24"/>
          <w:szCs w:val="24"/>
          <w:shd w:val="clear" w:color="auto" w:fill="FFFFFF"/>
        </w:rPr>
        <w:t xml:space="preserve">, N., </w:t>
      </w:r>
      <w:proofErr w:type="spellStart"/>
      <w:r>
        <w:rPr>
          <w:rFonts w:ascii="Times New Roman" w:eastAsia="SimSun" w:hAnsi="Times New Roman" w:cs="Times New Roman"/>
          <w:color w:val="222222"/>
          <w:sz w:val="24"/>
          <w:szCs w:val="24"/>
          <w:shd w:val="clear" w:color="auto" w:fill="FFFFFF"/>
        </w:rPr>
        <w:t>Mongkolthanaruk</w:t>
      </w:r>
      <w:proofErr w:type="spellEnd"/>
      <w:r>
        <w:rPr>
          <w:rFonts w:ascii="Times New Roman" w:eastAsia="SimSun" w:hAnsi="Times New Roman" w:cs="Times New Roman"/>
          <w:color w:val="222222"/>
          <w:sz w:val="24"/>
          <w:szCs w:val="24"/>
          <w:shd w:val="clear" w:color="auto" w:fill="FFFFFF"/>
        </w:rPr>
        <w:t xml:space="preserve">, W., Kuyper, T. W., and </w:t>
      </w:r>
      <w:proofErr w:type="spellStart"/>
      <w:r>
        <w:rPr>
          <w:rFonts w:ascii="Times New Roman" w:eastAsia="SimSun" w:hAnsi="Times New Roman" w:cs="Times New Roman"/>
          <w:color w:val="222222"/>
          <w:sz w:val="24"/>
          <w:szCs w:val="24"/>
          <w:shd w:val="clear" w:color="auto" w:fill="FFFFFF"/>
        </w:rPr>
        <w:t>Boonlue</w:t>
      </w:r>
      <w:proofErr w:type="spellEnd"/>
      <w:r>
        <w:rPr>
          <w:rFonts w:ascii="Times New Roman" w:eastAsia="SimSun" w:hAnsi="Times New Roman" w:cs="Times New Roman"/>
          <w:color w:val="222222"/>
          <w:sz w:val="24"/>
          <w:szCs w:val="24"/>
          <w:shd w:val="clear" w:color="auto" w:fill="FFFFFF"/>
        </w:rPr>
        <w:t>, S. (2020). Interaction between phosphate solubilizing bacteria and arb</w:t>
      </w:r>
      <w:r>
        <w:rPr>
          <w:rFonts w:ascii="Times New Roman" w:eastAsia="SimSun" w:hAnsi="Times New Roman" w:cs="Times New Roman"/>
          <w:color w:val="222222"/>
          <w:sz w:val="24"/>
          <w:szCs w:val="24"/>
          <w:shd w:val="clear" w:color="auto" w:fill="FFFFFF"/>
        </w:rPr>
        <w:t xml:space="preserve">uscular mycorrhizal fungi on growth promotion and tuber inulin content of Helianthus tuberosus L. Sci. Rep. 10:4916. </w:t>
      </w:r>
      <w:proofErr w:type="spellStart"/>
      <w:r>
        <w:rPr>
          <w:rFonts w:ascii="Times New Roman" w:eastAsia="SimSun" w:hAnsi="Times New Roman" w:cs="Times New Roman"/>
          <w:color w:val="222222"/>
          <w:sz w:val="24"/>
          <w:szCs w:val="24"/>
          <w:shd w:val="clear" w:color="auto" w:fill="FFFFFF"/>
        </w:rPr>
        <w:t>doi</w:t>
      </w:r>
      <w:proofErr w:type="spellEnd"/>
      <w:r>
        <w:rPr>
          <w:rFonts w:ascii="Times New Roman" w:eastAsia="SimSun" w:hAnsi="Times New Roman" w:cs="Times New Roman"/>
          <w:color w:val="222222"/>
          <w:sz w:val="24"/>
          <w:szCs w:val="24"/>
          <w:shd w:val="clear" w:color="auto" w:fill="FFFFFF"/>
        </w:rPr>
        <w:t>: 10.1038/s41598-020-61846-x.</w:t>
      </w:r>
    </w:p>
    <w:p w14:paraId="098AE3F5"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 xml:space="preserve">Ogino, C. M., Costa, G., Popova, N. D., &amp; Martines Filho, J. G. (2020). </w:t>
      </w:r>
      <w:proofErr w:type="spellStart"/>
      <w:r>
        <w:rPr>
          <w:rFonts w:ascii="Times New Roman" w:eastAsia="SimSun" w:hAnsi="Times New Roman" w:cs="Times New Roman"/>
          <w:color w:val="222222"/>
          <w:sz w:val="24"/>
          <w:szCs w:val="24"/>
          <w:shd w:val="clear" w:color="auto" w:fill="FFFFFF"/>
        </w:rPr>
        <w:t>Poder</w:t>
      </w:r>
      <w:proofErr w:type="spellEnd"/>
      <w:r>
        <w:rPr>
          <w:rFonts w:ascii="Times New Roman" w:eastAsia="SimSun" w:hAnsi="Times New Roman" w:cs="Times New Roman"/>
          <w:color w:val="222222"/>
          <w:sz w:val="24"/>
          <w:szCs w:val="24"/>
          <w:shd w:val="clear" w:color="auto" w:fill="FFFFFF"/>
        </w:rPr>
        <w:t xml:space="preserve"> de </w:t>
      </w:r>
      <w:proofErr w:type="spellStart"/>
      <w:r>
        <w:rPr>
          <w:rFonts w:ascii="Times New Roman" w:eastAsia="SimSun" w:hAnsi="Times New Roman" w:cs="Times New Roman"/>
          <w:color w:val="222222"/>
          <w:sz w:val="24"/>
          <w:szCs w:val="24"/>
          <w:shd w:val="clear" w:color="auto" w:fill="FFFFFF"/>
        </w:rPr>
        <w:t>compra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preço</w:t>
      </w:r>
      <w:proofErr w:type="spellEnd"/>
      <w:r>
        <w:rPr>
          <w:rFonts w:ascii="Times New Roman" w:eastAsia="SimSun" w:hAnsi="Times New Roman" w:cs="Times New Roman"/>
          <w:color w:val="222222"/>
          <w:sz w:val="24"/>
          <w:szCs w:val="24"/>
          <w:shd w:val="clear" w:color="auto" w:fill="FFFFFF"/>
        </w:rPr>
        <w:t xml:space="preserve"> e </w:t>
      </w:r>
      <w:proofErr w:type="spellStart"/>
      <w:r>
        <w:rPr>
          <w:rFonts w:ascii="Times New Roman" w:eastAsia="SimSun" w:hAnsi="Times New Roman" w:cs="Times New Roman"/>
          <w:color w:val="222222"/>
          <w:sz w:val="24"/>
          <w:szCs w:val="24"/>
          <w:shd w:val="clear" w:color="auto" w:fill="FFFFFF"/>
        </w:rPr>
        <w:t>consumo</w:t>
      </w:r>
      <w:proofErr w:type="spellEnd"/>
      <w:r>
        <w:rPr>
          <w:rFonts w:ascii="Times New Roman" w:eastAsia="SimSun" w:hAnsi="Times New Roman" w:cs="Times New Roman"/>
          <w:color w:val="222222"/>
          <w:sz w:val="24"/>
          <w:szCs w:val="24"/>
          <w:shd w:val="clear" w:color="auto" w:fill="FFFFFF"/>
        </w:rPr>
        <w:t xml:space="preserve"> d</w:t>
      </w:r>
      <w:r>
        <w:rPr>
          <w:rFonts w:ascii="Times New Roman" w:eastAsia="SimSun" w:hAnsi="Times New Roman" w:cs="Times New Roman"/>
          <w:color w:val="222222"/>
          <w:sz w:val="24"/>
          <w:szCs w:val="24"/>
          <w:shd w:val="clear" w:color="auto" w:fill="FFFFFF"/>
        </w:rPr>
        <w:t xml:space="preserve">e </w:t>
      </w:r>
      <w:proofErr w:type="spellStart"/>
      <w:r>
        <w:rPr>
          <w:rFonts w:ascii="Times New Roman" w:eastAsia="SimSun" w:hAnsi="Times New Roman" w:cs="Times New Roman"/>
          <w:color w:val="222222"/>
          <w:sz w:val="24"/>
          <w:szCs w:val="24"/>
          <w:shd w:val="clear" w:color="auto" w:fill="FFFFFF"/>
        </w:rPr>
        <w:t>fertilizantes</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minerais</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uma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análise</w:t>
      </w:r>
      <w:proofErr w:type="spellEnd"/>
      <w:r>
        <w:rPr>
          <w:rFonts w:ascii="Times New Roman" w:eastAsia="SimSun" w:hAnsi="Times New Roman" w:cs="Times New Roman"/>
          <w:color w:val="222222"/>
          <w:sz w:val="24"/>
          <w:szCs w:val="24"/>
          <w:shd w:val="clear" w:color="auto" w:fill="FFFFFF"/>
        </w:rPr>
        <w:t xml:space="preserve"> para o </w:t>
      </w:r>
      <w:proofErr w:type="spellStart"/>
      <w:r>
        <w:rPr>
          <w:rFonts w:ascii="Times New Roman" w:eastAsia="SimSun" w:hAnsi="Times New Roman" w:cs="Times New Roman"/>
          <w:color w:val="222222"/>
          <w:sz w:val="24"/>
          <w:szCs w:val="24"/>
          <w:shd w:val="clear" w:color="auto" w:fill="FFFFFF"/>
        </w:rPr>
        <w:t>centro-oeste</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brasileiro</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Revista</w:t>
      </w:r>
      <w:proofErr w:type="spellEnd"/>
      <w:r>
        <w:rPr>
          <w:rFonts w:ascii="Times New Roman" w:eastAsia="SimSun" w:hAnsi="Times New Roman" w:cs="Times New Roman"/>
          <w:color w:val="222222"/>
          <w:sz w:val="24"/>
          <w:szCs w:val="24"/>
          <w:shd w:val="clear" w:color="auto" w:fill="FFFFFF"/>
        </w:rPr>
        <w:t xml:space="preserve"> de Economia e </w:t>
      </w:r>
      <w:proofErr w:type="spellStart"/>
      <w:r>
        <w:rPr>
          <w:rFonts w:ascii="Times New Roman" w:eastAsia="SimSun" w:hAnsi="Times New Roman" w:cs="Times New Roman"/>
          <w:color w:val="222222"/>
          <w:sz w:val="24"/>
          <w:szCs w:val="24"/>
          <w:shd w:val="clear" w:color="auto" w:fill="FFFFFF"/>
        </w:rPr>
        <w:t>Sociologia</w:t>
      </w:r>
      <w:proofErr w:type="spellEnd"/>
      <w:r>
        <w:rPr>
          <w:rFonts w:ascii="Times New Roman" w:eastAsia="SimSun" w:hAnsi="Times New Roman" w:cs="Times New Roman"/>
          <w:color w:val="222222"/>
          <w:sz w:val="24"/>
          <w:szCs w:val="24"/>
          <w:shd w:val="clear" w:color="auto" w:fill="FFFFFF"/>
        </w:rPr>
        <w:t xml:space="preserve"> Rural, 59(1), e220367. </w:t>
      </w:r>
    </w:p>
    <w:p w14:paraId="3057F1BE"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Pan, L., &amp; Cai, B. (2023). Phosphate-solubilizing bacteria: advances in their physiology, molecular mechanisms and microbial comm</w:t>
      </w:r>
      <w:r>
        <w:rPr>
          <w:rFonts w:ascii="Times New Roman" w:eastAsia="SimSun" w:hAnsi="Times New Roman" w:cs="Times New Roman"/>
          <w:color w:val="222222"/>
          <w:sz w:val="24"/>
          <w:szCs w:val="24"/>
          <w:shd w:val="clear" w:color="auto" w:fill="FFFFFF"/>
        </w:rPr>
        <w:t xml:space="preserve">unity effects. Microorganisms, 11(Chen, X., Zhao, Y., Huang, S., </w:t>
      </w:r>
      <w:proofErr w:type="spellStart"/>
      <w:r>
        <w:rPr>
          <w:rFonts w:ascii="Times New Roman" w:eastAsia="SimSun" w:hAnsi="Times New Roman" w:cs="Times New Roman"/>
          <w:color w:val="222222"/>
          <w:sz w:val="24"/>
          <w:szCs w:val="24"/>
          <w:shd w:val="clear" w:color="auto" w:fill="FFFFFF"/>
        </w:rPr>
        <w:t>Peñuelas</w:t>
      </w:r>
      <w:proofErr w:type="spellEnd"/>
      <w:r>
        <w:rPr>
          <w:rFonts w:ascii="Times New Roman" w:eastAsia="SimSun" w:hAnsi="Times New Roman" w:cs="Times New Roman"/>
          <w:color w:val="222222"/>
          <w:sz w:val="24"/>
          <w:szCs w:val="24"/>
          <w:shd w:val="clear" w:color="auto" w:fill="FFFFFF"/>
        </w:rPr>
        <w:t xml:space="preserve">, J., </w:t>
      </w:r>
      <w:proofErr w:type="spellStart"/>
      <w:r>
        <w:rPr>
          <w:rFonts w:ascii="Times New Roman" w:eastAsia="SimSun" w:hAnsi="Times New Roman" w:cs="Times New Roman"/>
          <w:color w:val="222222"/>
          <w:sz w:val="24"/>
          <w:szCs w:val="24"/>
          <w:shd w:val="clear" w:color="auto" w:fill="FFFFFF"/>
        </w:rPr>
        <w:t>Sardans</w:t>
      </w:r>
      <w:proofErr w:type="spellEnd"/>
      <w:r>
        <w:rPr>
          <w:rFonts w:ascii="Times New Roman" w:eastAsia="SimSun" w:hAnsi="Times New Roman" w:cs="Times New Roman"/>
          <w:color w:val="222222"/>
          <w:sz w:val="24"/>
          <w:szCs w:val="24"/>
          <w:shd w:val="clear" w:color="auto" w:fill="FFFFFF"/>
        </w:rPr>
        <w:t>, J., Wang, L., &amp; Zheng, B. (2024). Genome-based identification of phosphate-solubilizing capacities of soil bacterial isolates. AMB Express, 14(1), 85.12), 2904.</w:t>
      </w:r>
    </w:p>
    <w:p w14:paraId="38E1C14B"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Ribeiro</w:t>
      </w:r>
      <w:r>
        <w:rPr>
          <w:rFonts w:ascii="Times New Roman" w:eastAsia="SimSun" w:hAnsi="Times New Roman" w:cs="Times New Roman"/>
          <w:color w:val="222222"/>
          <w:sz w:val="24"/>
          <w:szCs w:val="24"/>
          <w:shd w:val="clear" w:color="auto" w:fill="FFFFFF"/>
        </w:rPr>
        <w:t xml:space="preserve">, I. D. A., </w:t>
      </w:r>
      <w:proofErr w:type="spellStart"/>
      <w:r>
        <w:rPr>
          <w:rFonts w:ascii="Times New Roman" w:eastAsia="SimSun" w:hAnsi="Times New Roman" w:cs="Times New Roman"/>
          <w:color w:val="222222"/>
          <w:sz w:val="24"/>
          <w:szCs w:val="24"/>
          <w:shd w:val="clear" w:color="auto" w:fill="FFFFFF"/>
        </w:rPr>
        <w:t>Volpiano</w:t>
      </w:r>
      <w:proofErr w:type="spellEnd"/>
      <w:r>
        <w:rPr>
          <w:rFonts w:ascii="Times New Roman" w:eastAsia="SimSun" w:hAnsi="Times New Roman" w:cs="Times New Roman"/>
          <w:color w:val="222222"/>
          <w:sz w:val="24"/>
          <w:szCs w:val="24"/>
          <w:shd w:val="clear" w:color="auto" w:fill="FFFFFF"/>
        </w:rPr>
        <w:t>, C. G., Vargas, L. K., Granada, C. E., Lisboa, B. B., &amp; Passaglia, L. M. P. (2020). Use of mineral weathering bacteria to enhance nutrient availability in crops: a review. Frontiers in plant science, 11, 590774.</w:t>
      </w:r>
    </w:p>
    <w:p w14:paraId="47C127B9"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Rieusset</w:t>
      </w:r>
      <w:proofErr w:type="spellEnd"/>
      <w:r>
        <w:rPr>
          <w:rFonts w:ascii="Times New Roman" w:eastAsia="SimSun" w:hAnsi="Times New Roman" w:cs="Times New Roman"/>
          <w:color w:val="222222"/>
          <w:sz w:val="24"/>
          <w:szCs w:val="24"/>
          <w:shd w:val="clear" w:color="auto" w:fill="FFFFFF"/>
        </w:rPr>
        <w:t xml:space="preserve">, L., Rey, M., </w:t>
      </w:r>
      <w:r>
        <w:rPr>
          <w:rFonts w:ascii="Times New Roman" w:eastAsia="SimSun" w:hAnsi="Times New Roman" w:cs="Times New Roman"/>
          <w:color w:val="222222"/>
          <w:sz w:val="24"/>
          <w:szCs w:val="24"/>
          <w:shd w:val="clear" w:color="auto" w:fill="FFFFFF"/>
        </w:rPr>
        <w:t xml:space="preserve">Muller, D., Vacheron, J., Gerin, F., Dubost, A., ... &amp; </w:t>
      </w:r>
      <w:proofErr w:type="spellStart"/>
      <w:r>
        <w:rPr>
          <w:rFonts w:ascii="Times New Roman" w:eastAsia="SimSun" w:hAnsi="Times New Roman" w:cs="Times New Roman"/>
          <w:color w:val="222222"/>
          <w:sz w:val="24"/>
          <w:szCs w:val="24"/>
          <w:shd w:val="clear" w:color="auto" w:fill="FFFFFF"/>
        </w:rPr>
        <w:t>Prigent‐Combaret</w:t>
      </w:r>
      <w:proofErr w:type="spellEnd"/>
      <w:r>
        <w:rPr>
          <w:rFonts w:ascii="Times New Roman" w:eastAsia="SimSun" w:hAnsi="Times New Roman" w:cs="Times New Roman"/>
          <w:color w:val="222222"/>
          <w:sz w:val="24"/>
          <w:szCs w:val="24"/>
          <w:shd w:val="clear" w:color="auto" w:fill="FFFFFF"/>
        </w:rPr>
        <w:t>, C. (2020). Secondary metabolites from plant‐associated Pseudomonas are overproduced in biofilm. Microbial Biotechnology, 13(5), 1562-1580.</w:t>
      </w:r>
    </w:p>
    <w:p w14:paraId="581DB700"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Saad, M. M., Eida, A. A., &amp; Hirt, H. (2020).</w:t>
      </w:r>
      <w:r>
        <w:rPr>
          <w:rFonts w:ascii="Times New Roman" w:eastAsia="SimSun" w:hAnsi="Times New Roman" w:cs="Times New Roman"/>
          <w:color w:val="222222"/>
          <w:sz w:val="24"/>
          <w:szCs w:val="24"/>
          <w:shd w:val="clear" w:color="auto" w:fill="FFFFFF"/>
        </w:rPr>
        <w:t xml:space="preserve"> Tailoring plant-associated microbial inoculants in agriculture: a roadmap for successful application. Journal of Experimental Botany, 71(13), 3878-3901. </w:t>
      </w:r>
    </w:p>
    <w:p w14:paraId="07027031"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Sammauria</w:t>
      </w:r>
      <w:proofErr w:type="spellEnd"/>
      <w:r>
        <w:rPr>
          <w:rFonts w:ascii="Times New Roman" w:eastAsia="SimSun" w:hAnsi="Times New Roman" w:cs="Times New Roman"/>
          <w:color w:val="222222"/>
          <w:sz w:val="24"/>
          <w:szCs w:val="24"/>
          <w:shd w:val="clear" w:color="auto" w:fill="FFFFFF"/>
        </w:rPr>
        <w:t xml:space="preserve">, R., Kumawat, S., Kumawat, P., Singh, J., and </w:t>
      </w:r>
      <w:proofErr w:type="spellStart"/>
      <w:r>
        <w:rPr>
          <w:rFonts w:ascii="Times New Roman" w:eastAsia="SimSun" w:hAnsi="Times New Roman" w:cs="Times New Roman"/>
          <w:color w:val="222222"/>
          <w:sz w:val="24"/>
          <w:szCs w:val="24"/>
          <w:shd w:val="clear" w:color="auto" w:fill="FFFFFF"/>
        </w:rPr>
        <w:t>Jatwa</w:t>
      </w:r>
      <w:proofErr w:type="spellEnd"/>
      <w:r>
        <w:rPr>
          <w:rFonts w:ascii="Times New Roman" w:eastAsia="SimSun" w:hAnsi="Times New Roman" w:cs="Times New Roman"/>
          <w:color w:val="222222"/>
          <w:sz w:val="24"/>
          <w:szCs w:val="24"/>
          <w:shd w:val="clear" w:color="auto" w:fill="FFFFFF"/>
        </w:rPr>
        <w:t>, T. K. (2020). Microbial inoculants: po</w:t>
      </w:r>
      <w:r>
        <w:rPr>
          <w:rFonts w:ascii="Times New Roman" w:eastAsia="SimSun" w:hAnsi="Times New Roman" w:cs="Times New Roman"/>
          <w:color w:val="222222"/>
          <w:sz w:val="24"/>
          <w:szCs w:val="24"/>
          <w:shd w:val="clear" w:color="auto" w:fill="FFFFFF"/>
        </w:rPr>
        <w:t xml:space="preserve">tential tool for sustainability of agricultural production systems. Arch. Microbiol. 202, 677–693. </w:t>
      </w:r>
      <w:proofErr w:type="spellStart"/>
      <w:r>
        <w:rPr>
          <w:rFonts w:ascii="Times New Roman" w:eastAsia="SimSun" w:hAnsi="Times New Roman" w:cs="Times New Roman"/>
          <w:color w:val="222222"/>
          <w:sz w:val="24"/>
          <w:szCs w:val="24"/>
          <w:shd w:val="clear" w:color="auto" w:fill="FFFFFF"/>
        </w:rPr>
        <w:t>doi</w:t>
      </w:r>
      <w:proofErr w:type="spellEnd"/>
      <w:r>
        <w:rPr>
          <w:rFonts w:ascii="Times New Roman" w:eastAsia="SimSun" w:hAnsi="Times New Roman" w:cs="Times New Roman"/>
          <w:color w:val="222222"/>
          <w:sz w:val="24"/>
          <w:szCs w:val="24"/>
          <w:shd w:val="clear" w:color="auto" w:fill="FFFFFF"/>
        </w:rPr>
        <w:t>: 10.1007/s00203-019-01795-w.</w:t>
      </w:r>
    </w:p>
    <w:p w14:paraId="0396BE94"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Santos-</w:t>
      </w:r>
      <w:proofErr w:type="spellStart"/>
      <w:r>
        <w:rPr>
          <w:rFonts w:ascii="Times New Roman" w:eastAsia="SimSun" w:hAnsi="Times New Roman" w:cs="Times New Roman"/>
          <w:color w:val="222222"/>
          <w:sz w:val="24"/>
          <w:szCs w:val="24"/>
          <w:shd w:val="clear" w:color="auto" w:fill="FFFFFF"/>
        </w:rPr>
        <w:t>Beneit</w:t>
      </w:r>
      <w:proofErr w:type="spellEnd"/>
      <w:r>
        <w:rPr>
          <w:rFonts w:ascii="Times New Roman" w:eastAsia="SimSun" w:hAnsi="Times New Roman" w:cs="Times New Roman"/>
          <w:color w:val="222222"/>
          <w:sz w:val="24"/>
          <w:szCs w:val="24"/>
          <w:shd w:val="clear" w:color="auto" w:fill="FFFFFF"/>
        </w:rPr>
        <w:t>, F. (2015). The Pho regulon: a huge regulatory network in bacteria. </w:t>
      </w:r>
      <w:r>
        <w:rPr>
          <w:rFonts w:ascii="Times New Roman" w:eastAsia="SimSun" w:hAnsi="Times New Roman" w:cs="Times New Roman"/>
          <w:i/>
          <w:iCs/>
          <w:color w:val="222222"/>
          <w:sz w:val="24"/>
          <w:szCs w:val="24"/>
          <w:shd w:val="clear" w:color="auto" w:fill="FFFFFF"/>
        </w:rPr>
        <w:t>Frontiers in microbiology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6</w:t>
      </w:r>
      <w:r>
        <w:rPr>
          <w:rFonts w:ascii="Times New Roman" w:eastAsia="SimSun" w:hAnsi="Times New Roman" w:cs="Times New Roman"/>
          <w:color w:val="222222"/>
          <w:sz w:val="24"/>
          <w:szCs w:val="24"/>
          <w:shd w:val="clear" w:color="auto" w:fill="FFFFFF"/>
        </w:rPr>
        <w:t>, 402.</w:t>
      </w:r>
    </w:p>
    <w:p w14:paraId="4919DEC6"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Schuele</w:t>
      </w:r>
      <w:r>
        <w:rPr>
          <w:rFonts w:ascii="Times New Roman" w:eastAsia="SimSun" w:hAnsi="Times New Roman" w:cs="Times New Roman"/>
          <w:color w:val="222222"/>
          <w:sz w:val="24"/>
          <w:szCs w:val="24"/>
          <w:shd w:val="clear" w:color="auto" w:fill="FFFFFF"/>
        </w:rPr>
        <w:t xml:space="preserve">r, T. A., Dourado, M. L., </w:t>
      </w:r>
      <w:proofErr w:type="spellStart"/>
      <w:r>
        <w:rPr>
          <w:rFonts w:ascii="Times New Roman" w:eastAsia="SimSun" w:hAnsi="Times New Roman" w:cs="Times New Roman"/>
          <w:color w:val="222222"/>
          <w:sz w:val="24"/>
          <w:szCs w:val="24"/>
          <w:shd w:val="clear" w:color="auto" w:fill="FFFFFF"/>
        </w:rPr>
        <w:t>Videira</w:t>
      </w:r>
      <w:proofErr w:type="spellEnd"/>
      <w:r>
        <w:rPr>
          <w:rFonts w:ascii="Times New Roman" w:eastAsia="SimSun" w:hAnsi="Times New Roman" w:cs="Times New Roman"/>
          <w:color w:val="222222"/>
          <w:sz w:val="24"/>
          <w:szCs w:val="24"/>
          <w:shd w:val="clear" w:color="auto" w:fill="FFFFFF"/>
        </w:rPr>
        <w:t xml:space="preserve">, S. S., da Cunha, C. D., &amp; Rizzo, A. C. (2021). </w:t>
      </w:r>
      <w:proofErr w:type="spellStart"/>
      <w:r>
        <w:rPr>
          <w:rFonts w:ascii="Times New Roman" w:eastAsia="SimSun" w:hAnsi="Times New Roman" w:cs="Times New Roman"/>
          <w:color w:val="222222"/>
          <w:sz w:val="24"/>
          <w:szCs w:val="24"/>
          <w:shd w:val="clear" w:color="auto" w:fill="FFFFFF"/>
        </w:rPr>
        <w:t>Biosolubilization</w:t>
      </w:r>
      <w:proofErr w:type="spellEnd"/>
      <w:r>
        <w:rPr>
          <w:rFonts w:ascii="Times New Roman" w:eastAsia="SimSun" w:hAnsi="Times New Roman" w:cs="Times New Roman"/>
          <w:color w:val="222222"/>
          <w:sz w:val="24"/>
          <w:szCs w:val="24"/>
          <w:shd w:val="clear" w:color="auto" w:fill="FFFFFF"/>
        </w:rPr>
        <w:t xml:space="preserve"> of </w:t>
      </w:r>
      <w:proofErr w:type="spellStart"/>
      <w:r>
        <w:rPr>
          <w:rFonts w:ascii="Times New Roman" w:eastAsia="SimSun" w:hAnsi="Times New Roman" w:cs="Times New Roman"/>
          <w:color w:val="222222"/>
          <w:sz w:val="24"/>
          <w:szCs w:val="24"/>
          <w:shd w:val="clear" w:color="auto" w:fill="FFFFFF"/>
        </w:rPr>
        <w:t>verdete</w:t>
      </w:r>
      <w:proofErr w:type="spellEnd"/>
      <w:r>
        <w:rPr>
          <w:rFonts w:ascii="Times New Roman" w:eastAsia="SimSun" w:hAnsi="Times New Roman" w:cs="Times New Roman"/>
          <w:color w:val="222222"/>
          <w:sz w:val="24"/>
          <w:szCs w:val="24"/>
          <w:shd w:val="clear" w:color="auto" w:fill="FFFFFF"/>
        </w:rPr>
        <w:t>: an alternative potassium source for agriculture fertilizer. Biocatalysis and Agricultural Biotechnology, 34, 102031.</w:t>
      </w:r>
    </w:p>
    <w:p w14:paraId="008435D0"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Shenoy, V. V., &amp; </w:t>
      </w:r>
      <w:proofErr w:type="spellStart"/>
      <w:r>
        <w:rPr>
          <w:rFonts w:ascii="Times New Roman" w:eastAsia="SimSun" w:hAnsi="Times New Roman" w:cs="Times New Roman"/>
          <w:color w:val="222222"/>
          <w:sz w:val="24"/>
          <w:szCs w:val="24"/>
          <w:shd w:val="clear" w:color="auto" w:fill="FFFFFF"/>
        </w:rPr>
        <w:t>Kalagudi</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G. M. (2005). Enhancing plant phosphorus use efficiency for sustainable cropping. Biotechnology advances, 23(7-8), 501-513.</w:t>
      </w:r>
    </w:p>
    <w:p w14:paraId="6B1124E8"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 xml:space="preserve">Tandon, A., Fatima, T., Gautam, A., Yadav, U., Srivastava, S. and Singh, P. (2018). Effect </w:t>
      </w:r>
      <w:proofErr w:type="gramStart"/>
      <w:r>
        <w:rPr>
          <w:rFonts w:ascii="Times New Roman" w:eastAsia="SimSun" w:hAnsi="Times New Roman" w:cs="Times New Roman"/>
          <w:color w:val="222222"/>
          <w:sz w:val="24"/>
          <w:szCs w:val="24"/>
          <w:shd w:val="clear" w:color="auto" w:fill="FFFFFF"/>
        </w:rPr>
        <w:t xml:space="preserve">of  </w:t>
      </w:r>
      <w:r>
        <w:rPr>
          <w:rFonts w:ascii="Times New Roman" w:eastAsia="SimSun" w:hAnsi="Times New Roman" w:cs="Times New Roman"/>
          <w:i/>
          <w:color w:val="222222"/>
          <w:sz w:val="24"/>
          <w:szCs w:val="24"/>
          <w:shd w:val="clear" w:color="auto" w:fill="FFFFFF"/>
        </w:rPr>
        <w:t>Trichoderma</w:t>
      </w:r>
      <w:proofErr w:type="gramEnd"/>
      <w:r>
        <w:rPr>
          <w:rFonts w:ascii="Times New Roman" w:eastAsia="SimSun" w:hAnsi="Times New Roman" w:cs="Times New Roman"/>
          <w:i/>
          <w:color w:val="222222"/>
          <w:sz w:val="24"/>
          <w:szCs w:val="24"/>
          <w:shd w:val="clear" w:color="auto" w:fill="FFFFFF"/>
        </w:rPr>
        <w:t xml:space="preserve"> </w:t>
      </w:r>
      <w:proofErr w:type="spellStart"/>
      <w:r>
        <w:rPr>
          <w:rFonts w:ascii="Times New Roman" w:eastAsia="SimSun" w:hAnsi="Times New Roman" w:cs="Times New Roman"/>
          <w:i/>
          <w:color w:val="222222"/>
          <w:sz w:val="24"/>
          <w:szCs w:val="24"/>
          <w:shd w:val="clear" w:color="auto" w:fill="FFFFFF"/>
        </w:rPr>
        <w:t>koningiopsis</w:t>
      </w:r>
      <w:proofErr w:type="spellEnd"/>
      <w:r>
        <w:rPr>
          <w:rFonts w:ascii="Times New Roman" w:eastAsia="SimSun" w:hAnsi="Times New Roman" w:cs="Times New Roman"/>
          <w:color w:val="222222"/>
          <w:sz w:val="24"/>
          <w:szCs w:val="24"/>
          <w:shd w:val="clear" w:color="auto" w:fill="FFFFFF"/>
        </w:rPr>
        <w:t xml:space="preserve"> on Chickpea Rhizosphere Activities under Different Fertilization Regimes. Open Journal of Soil Science, 8:261-275.</w:t>
      </w:r>
    </w:p>
    <w:p w14:paraId="0BC1C8E7"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Vargas, L. K., </w:t>
      </w:r>
      <w:proofErr w:type="spellStart"/>
      <w:r>
        <w:rPr>
          <w:rFonts w:ascii="Times New Roman" w:eastAsia="SimSun" w:hAnsi="Times New Roman" w:cs="Times New Roman"/>
          <w:color w:val="222222"/>
          <w:sz w:val="24"/>
          <w:szCs w:val="24"/>
          <w:shd w:val="clear" w:color="auto" w:fill="FFFFFF"/>
        </w:rPr>
        <w:t>Volpiano</w:t>
      </w:r>
      <w:proofErr w:type="spellEnd"/>
      <w:r>
        <w:rPr>
          <w:rFonts w:ascii="Times New Roman" w:eastAsia="SimSun" w:hAnsi="Times New Roman" w:cs="Times New Roman"/>
          <w:color w:val="222222"/>
          <w:sz w:val="24"/>
          <w:szCs w:val="24"/>
          <w:shd w:val="clear" w:color="auto" w:fill="FFFFFF"/>
        </w:rPr>
        <w:t xml:space="preserve">, C. G., Lisboa, B. B., </w:t>
      </w:r>
      <w:proofErr w:type="spellStart"/>
      <w:r>
        <w:rPr>
          <w:rFonts w:ascii="Times New Roman" w:eastAsia="SimSun" w:hAnsi="Times New Roman" w:cs="Times New Roman"/>
          <w:color w:val="222222"/>
          <w:sz w:val="24"/>
          <w:szCs w:val="24"/>
          <w:shd w:val="clear" w:color="auto" w:fill="FFFFFF"/>
        </w:rPr>
        <w:t>Giongo</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Beneduzi</w:t>
      </w:r>
      <w:proofErr w:type="spellEnd"/>
      <w:r>
        <w:rPr>
          <w:rFonts w:ascii="Times New Roman" w:eastAsia="SimSun" w:hAnsi="Times New Roman" w:cs="Times New Roman"/>
          <w:color w:val="222222"/>
          <w:sz w:val="24"/>
          <w:szCs w:val="24"/>
          <w:shd w:val="clear" w:color="auto" w:fill="FFFFFF"/>
        </w:rPr>
        <w:t>, A., and Passaglia, L. M. P. (2017). “Potential of rhizobia as plant gro</w:t>
      </w:r>
      <w:r>
        <w:rPr>
          <w:rFonts w:ascii="Times New Roman" w:eastAsia="SimSun" w:hAnsi="Times New Roman" w:cs="Times New Roman"/>
          <w:color w:val="222222"/>
          <w:sz w:val="24"/>
          <w:szCs w:val="24"/>
          <w:shd w:val="clear" w:color="auto" w:fill="FFFFFF"/>
        </w:rPr>
        <w:t xml:space="preserve">wth-promoting rhizobacteria,” in Microbes for Legume Improvement, eds A. Zaidi, M. Khan, and J. </w:t>
      </w:r>
      <w:proofErr w:type="spellStart"/>
      <w:r>
        <w:rPr>
          <w:rFonts w:ascii="Times New Roman" w:eastAsia="SimSun" w:hAnsi="Times New Roman" w:cs="Times New Roman"/>
          <w:color w:val="222222"/>
          <w:sz w:val="24"/>
          <w:szCs w:val="24"/>
          <w:shd w:val="clear" w:color="auto" w:fill="FFFFFF"/>
        </w:rPr>
        <w:t>Musarrat</w:t>
      </w:r>
      <w:proofErr w:type="spellEnd"/>
      <w:r>
        <w:rPr>
          <w:rFonts w:ascii="Times New Roman" w:eastAsia="SimSun" w:hAnsi="Times New Roman" w:cs="Times New Roman"/>
          <w:color w:val="222222"/>
          <w:sz w:val="24"/>
          <w:szCs w:val="24"/>
          <w:shd w:val="clear" w:color="auto" w:fill="FFFFFF"/>
        </w:rPr>
        <w:t xml:space="preserve"> (Cham: Springer), </w:t>
      </w:r>
      <w:proofErr w:type="spellStart"/>
      <w:r>
        <w:rPr>
          <w:rFonts w:ascii="Times New Roman" w:eastAsia="SimSun" w:hAnsi="Times New Roman" w:cs="Times New Roman"/>
          <w:color w:val="222222"/>
          <w:sz w:val="24"/>
          <w:szCs w:val="24"/>
          <w:shd w:val="clear" w:color="auto" w:fill="FFFFFF"/>
        </w:rPr>
        <w:t>doi</w:t>
      </w:r>
      <w:proofErr w:type="spellEnd"/>
      <w:r>
        <w:rPr>
          <w:rFonts w:ascii="Times New Roman" w:eastAsia="SimSun" w:hAnsi="Times New Roman" w:cs="Times New Roman"/>
          <w:color w:val="222222"/>
          <w:sz w:val="24"/>
          <w:szCs w:val="24"/>
          <w:shd w:val="clear" w:color="auto" w:fill="FFFFFF"/>
        </w:rPr>
        <w:t>: 10.1007/978-3-319-59174-2_7</w:t>
      </w:r>
    </w:p>
    <w:p w14:paraId="2445053C"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Vershinina, O. A., &amp; </w:t>
      </w:r>
      <w:proofErr w:type="spellStart"/>
      <w:r>
        <w:rPr>
          <w:rFonts w:ascii="Times New Roman" w:eastAsia="SimSun" w:hAnsi="Times New Roman" w:cs="Times New Roman"/>
          <w:color w:val="222222"/>
          <w:sz w:val="24"/>
          <w:szCs w:val="24"/>
          <w:shd w:val="clear" w:color="auto" w:fill="FFFFFF"/>
        </w:rPr>
        <w:t>Znamenskaya</w:t>
      </w:r>
      <w:proofErr w:type="spellEnd"/>
      <w:r>
        <w:rPr>
          <w:rFonts w:ascii="Times New Roman" w:eastAsia="SimSun" w:hAnsi="Times New Roman" w:cs="Times New Roman"/>
          <w:color w:val="222222"/>
          <w:sz w:val="24"/>
          <w:szCs w:val="24"/>
          <w:shd w:val="clear" w:color="auto" w:fill="FFFFFF"/>
        </w:rPr>
        <w:t>, L. V. (2002). The Pho regulons of bacteria. </w:t>
      </w:r>
      <w:r>
        <w:rPr>
          <w:rFonts w:ascii="Times New Roman" w:eastAsia="SimSun" w:hAnsi="Times New Roman" w:cs="Times New Roman"/>
          <w:i/>
          <w:iCs/>
          <w:color w:val="222222"/>
          <w:sz w:val="24"/>
          <w:szCs w:val="24"/>
          <w:shd w:val="clear" w:color="auto" w:fill="FFFFFF"/>
        </w:rPr>
        <w:t>Microbiology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71</w:t>
      </w:r>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497-511.</w:t>
      </w:r>
    </w:p>
    <w:p w14:paraId="06E694EF"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Wild, B., Gerrits, R., &amp; Bonneville, S. (2022). The contribution of living organisms to rock weathering in the critical zone. </w:t>
      </w:r>
      <w:proofErr w:type="spellStart"/>
      <w:r>
        <w:rPr>
          <w:rFonts w:ascii="Times New Roman" w:eastAsia="SimSun" w:hAnsi="Times New Roman" w:cs="Times New Roman"/>
          <w:color w:val="222222"/>
          <w:sz w:val="24"/>
          <w:szCs w:val="24"/>
          <w:shd w:val="clear" w:color="auto" w:fill="FFFFFF"/>
        </w:rPr>
        <w:t>npj</w:t>
      </w:r>
      <w:proofErr w:type="spellEnd"/>
      <w:r>
        <w:rPr>
          <w:rFonts w:ascii="Times New Roman" w:eastAsia="SimSun" w:hAnsi="Times New Roman" w:cs="Times New Roman"/>
          <w:color w:val="222222"/>
          <w:sz w:val="24"/>
          <w:szCs w:val="24"/>
          <w:shd w:val="clear" w:color="auto" w:fill="FFFFFF"/>
        </w:rPr>
        <w:t xml:space="preserve"> Materials degradation, 6(1), 98.</w:t>
      </w:r>
    </w:p>
    <w:p w14:paraId="56EC48E6"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Xiao, C., Chi, R., Li, X., Xia, M., &amp; Xia, Z. (2011). </w:t>
      </w:r>
      <w:proofErr w:type="spellStart"/>
      <w:r>
        <w:rPr>
          <w:rFonts w:ascii="Times New Roman" w:eastAsia="SimSun" w:hAnsi="Times New Roman" w:cs="Times New Roman"/>
          <w:color w:val="222222"/>
          <w:sz w:val="24"/>
          <w:szCs w:val="24"/>
          <w:shd w:val="clear" w:color="auto" w:fill="FFFFFF"/>
        </w:rPr>
        <w:t>Biosolubilization</w:t>
      </w:r>
      <w:proofErr w:type="spellEnd"/>
      <w:r>
        <w:rPr>
          <w:rFonts w:ascii="Times New Roman" w:eastAsia="SimSun" w:hAnsi="Times New Roman" w:cs="Times New Roman"/>
          <w:color w:val="222222"/>
          <w:sz w:val="24"/>
          <w:szCs w:val="24"/>
          <w:shd w:val="clear" w:color="auto" w:fill="FFFFFF"/>
        </w:rPr>
        <w:t xml:space="preserve"> of rock phos</w:t>
      </w:r>
      <w:r>
        <w:rPr>
          <w:rFonts w:ascii="Times New Roman" w:eastAsia="SimSun" w:hAnsi="Times New Roman" w:cs="Times New Roman"/>
          <w:color w:val="222222"/>
          <w:sz w:val="24"/>
          <w:szCs w:val="24"/>
          <w:shd w:val="clear" w:color="auto" w:fill="FFFFFF"/>
        </w:rPr>
        <w:t>phate by three stress-tolerant fungal strains. Applied Biochemistry and Biotechnology, 165, 719-727.</w:t>
      </w:r>
    </w:p>
    <w:p w14:paraId="41B5829C"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Xiao, C., Wu, X., Zhu, L., Yu, T., Xu, Z., &amp; Chi, R. (2019). Enhanced </w:t>
      </w:r>
      <w:proofErr w:type="spellStart"/>
      <w:r>
        <w:rPr>
          <w:rFonts w:ascii="Times New Roman" w:eastAsia="SimSun" w:hAnsi="Times New Roman" w:cs="Times New Roman"/>
          <w:color w:val="222222"/>
          <w:sz w:val="24"/>
          <w:szCs w:val="24"/>
          <w:shd w:val="clear" w:color="auto" w:fill="FFFFFF"/>
        </w:rPr>
        <w:t>biosolubilization</w:t>
      </w:r>
      <w:proofErr w:type="spellEnd"/>
      <w:r>
        <w:rPr>
          <w:rFonts w:ascii="Times New Roman" w:eastAsia="SimSun" w:hAnsi="Times New Roman" w:cs="Times New Roman"/>
          <w:color w:val="222222"/>
          <w:sz w:val="24"/>
          <w:szCs w:val="24"/>
          <w:shd w:val="clear" w:color="auto" w:fill="FFFFFF"/>
        </w:rPr>
        <w:t xml:space="preserve"> of mid-low grade phosphate rock by formation of microbial consortiu</w:t>
      </w:r>
      <w:r>
        <w:rPr>
          <w:rFonts w:ascii="Times New Roman" w:eastAsia="SimSun" w:hAnsi="Times New Roman" w:cs="Times New Roman"/>
          <w:color w:val="222222"/>
          <w:sz w:val="24"/>
          <w:szCs w:val="24"/>
          <w:shd w:val="clear" w:color="auto" w:fill="FFFFFF"/>
        </w:rPr>
        <w:t>m biofilm from activated sludge. Physicochemical Problems of Mineral Processing, 55(1), 217-224.</w:t>
      </w:r>
    </w:p>
    <w:p w14:paraId="6B607974"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Yan, N., Zhao, J., Xiong, K., Yang, C., Li, J., &amp; Chen, Q. (2024). Terrestrial algae: pioneer organisms of carbonate rock solutional weathering in South China </w:t>
      </w:r>
      <w:r>
        <w:rPr>
          <w:rFonts w:ascii="Times New Roman" w:eastAsia="SimSun" w:hAnsi="Times New Roman" w:cs="Times New Roman"/>
          <w:color w:val="222222"/>
          <w:sz w:val="24"/>
          <w:szCs w:val="24"/>
          <w:shd w:val="clear" w:color="auto" w:fill="FFFFFF"/>
        </w:rPr>
        <w:t>karst. Frontiers in Microbiology, 15, 1329695.</w:t>
      </w:r>
    </w:p>
    <w:p w14:paraId="6F204EB9" w14:textId="77777777" w:rsidR="005D1799" w:rsidRDefault="001A4879">
      <w:pPr>
        <w:spacing w:line="360" w:lineRule="auto"/>
        <w:ind w:left="720" w:hanging="72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Zheng, B. X., Ding, K., Yang, X. R., Wadaan, M. A., </w:t>
      </w:r>
      <w:proofErr w:type="spellStart"/>
      <w:r>
        <w:rPr>
          <w:rFonts w:ascii="Times New Roman" w:eastAsia="SimSun" w:hAnsi="Times New Roman" w:cs="Times New Roman"/>
          <w:color w:val="222222"/>
          <w:sz w:val="24"/>
          <w:szCs w:val="24"/>
          <w:shd w:val="clear" w:color="auto" w:fill="FFFFFF"/>
        </w:rPr>
        <w:t>Hozzein</w:t>
      </w:r>
      <w:proofErr w:type="spellEnd"/>
      <w:r>
        <w:rPr>
          <w:rFonts w:ascii="Times New Roman" w:eastAsia="SimSun" w:hAnsi="Times New Roman" w:cs="Times New Roman"/>
          <w:color w:val="222222"/>
          <w:sz w:val="24"/>
          <w:szCs w:val="24"/>
          <w:shd w:val="clear" w:color="auto" w:fill="FFFFFF"/>
        </w:rPr>
        <w:t xml:space="preserve">, W. N., </w:t>
      </w:r>
      <w:proofErr w:type="spellStart"/>
      <w:r>
        <w:rPr>
          <w:rFonts w:ascii="Times New Roman" w:eastAsia="SimSun" w:hAnsi="Times New Roman" w:cs="Times New Roman"/>
          <w:color w:val="222222"/>
          <w:sz w:val="24"/>
          <w:szCs w:val="24"/>
          <w:shd w:val="clear" w:color="auto" w:fill="FFFFFF"/>
        </w:rPr>
        <w:t>Peñuelas</w:t>
      </w:r>
      <w:proofErr w:type="spellEnd"/>
      <w:r>
        <w:rPr>
          <w:rFonts w:ascii="Times New Roman" w:eastAsia="SimSun" w:hAnsi="Times New Roman" w:cs="Times New Roman"/>
          <w:color w:val="222222"/>
          <w:sz w:val="24"/>
          <w:szCs w:val="24"/>
          <w:shd w:val="clear" w:color="auto" w:fill="FFFFFF"/>
        </w:rPr>
        <w:t>, J., &amp; Zhu, Y. G. (2019). Straw biochar increases the abundance of inorganic phosphate solubilizing bacterial community for better r</w:t>
      </w:r>
      <w:r>
        <w:rPr>
          <w:rFonts w:ascii="Times New Roman" w:eastAsia="SimSun" w:hAnsi="Times New Roman" w:cs="Times New Roman"/>
          <w:color w:val="222222"/>
          <w:sz w:val="24"/>
          <w:szCs w:val="24"/>
          <w:shd w:val="clear" w:color="auto" w:fill="FFFFFF"/>
        </w:rPr>
        <w:t xml:space="preserve">ape (Brassica napus) growth and phosphate uptake. Science of the total environment, 647, 1113-1120. </w:t>
      </w:r>
    </w:p>
    <w:p w14:paraId="27E5B000" w14:textId="77777777" w:rsidR="005D1799" w:rsidRDefault="001A4879">
      <w:r>
        <w:br w:type="page"/>
      </w:r>
    </w:p>
    <w:p w14:paraId="319DB370" w14:textId="77777777" w:rsidR="005D1799" w:rsidRDefault="001A4879">
      <w:pPr>
        <w:pStyle w:val="Heading1"/>
      </w:pPr>
      <w:r>
        <w:lastRenderedPageBreak/>
        <w:t>Additional Tables and Figures</w:t>
      </w:r>
    </w:p>
    <w:p w14:paraId="09F99573" w14:textId="43EBECEA" w:rsidR="005D1799" w:rsidRDefault="001A4879">
      <w:pPr>
        <w:pStyle w:val="Heading2"/>
        <w:rPr>
          <w:rFonts w:hint="default"/>
        </w:rPr>
      </w:pPr>
      <w:r>
        <w:t xml:space="preserve">Table </w:t>
      </w:r>
      <w:r w:rsidR="00284B09">
        <w:rPr>
          <w:rFonts w:hint="default"/>
        </w:rPr>
        <w:t>1</w:t>
      </w:r>
      <w:r>
        <w:t>: Potassium Solubilization Efficiency</w:t>
      </w:r>
    </w:p>
    <w:tbl>
      <w:tblPr>
        <w:tblW w:w="0" w:type="auto"/>
        <w:tblLook w:val="04A0" w:firstRow="1" w:lastRow="0" w:firstColumn="1" w:lastColumn="0" w:noHBand="0" w:noVBand="1"/>
      </w:tblPr>
      <w:tblGrid>
        <w:gridCol w:w="4680"/>
        <w:gridCol w:w="4680"/>
      </w:tblGrid>
      <w:tr w:rsidR="005D1799" w14:paraId="2EE00CE6" w14:textId="77777777">
        <w:tc>
          <w:tcPr>
            <w:tcW w:w="4680" w:type="dxa"/>
          </w:tcPr>
          <w:p w14:paraId="46E71460" w14:textId="77777777" w:rsidR="005D1799" w:rsidRDefault="001A4879">
            <w:r>
              <w:t>Microorganism</w:t>
            </w:r>
          </w:p>
        </w:tc>
        <w:tc>
          <w:tcPr>
            <w:tcW w:w="4680" w:type="dxa"/>
          </w:tcPr>
          <w:p w14:paraId="2A05782D" w14:textId="77777777" w:rsidR="005D1799" w:rsidRDefault="001A4879">
            <w:r>
              <w:t>K-Solubilization Efficiency (%)</w:t>
            </w:r>
          </w:p>
        </w:tc>
      </w:tr>
      <w:tr w:rsidR="005D1799" w14:paraId="4C5C1D09" w14:textId="77777777">
        <w:tc>
          <w:tcPr>
            <w:tcW w:w="4680" w:type="dxa"/>
          </w:tcPr>
          <w:p w14:paraId="645B9005" w14:textId="77777777" w:rsidR="005D1799" w:rsidRDefault="001A4879">
            <w:r>
              <w:t xml:space="preserve">Bacillus </w:t>
            </w:r>
            <w:proofErr w:type="spellStart"/>
            <w:r>
              <w:t>mucilaginosus</w:t>
            </w:r>
            <w:proofErr w:type="spellEnd"/>
          </w:p>
        </w:tc>
        <w:tc>
          <w:tcPr>
            <w:tcW w:w="4680" w:type="dxa"/>
          </w:tcPr>
          <w:p w14:paraId="27B10010" w14:textId="77777777" w:rsidR="005D1799" w:rsidRDefault="001A4879">
            <w:r>
              <w:t>62.5</w:t>
            </w:r>
          </w:p>
        </w:tc>
      </w:tr>
      <w:tr w:rsidR="005D1799" w14:paraId="3CA1342F" w14:textId="77777777">
        <w:tc>
          <w:tcPr>
            <w:tcW w:w="4680" w:type="dxa"/>
          </w:tcPr>
          <w:p w14:paraId="04D2B718" w14:textId="77777777" w:rsidR="005D1799" w:rsidRDefault="001A4879">
            <w:r>
              <w:t>Ps</w:t>
            </w:r>
            <w:r>
              <w:t>eudomonas putida</w:t>
            </w:r>
          </w:p>
        </w:tc>
        <w:tc>
          <w:tcPr>
            <w:tcW w:w="4680" w:type="dxa"/>
          </w:tcPr>
          <w:p w14:paraId="22C6B883" w14:textId="77777777" w:rsidR="005D1799" w:rsidRDefault="001A4879">
            <w:r>
              <w:t>47.3</w:t>
            </w:r>
          </w:p>
        </w:tc>
      </w:tr>
      <w:tr w:rsidR="005D1799" w14:paraId="1ADD2833" w14:textId="77777777">
        <w:tc>
          <w:tcPr>
            <w:tcW w:w="4680" w:type="dxa"/>
          </w:tcPr>
          <w:p w14:paraId="0F5BCA91" w14:textId="77777777" w:rsidR="005D1799" w:rsidRDefault="001A4879">
            <w:r>
              <w:t xml:space="preserve">Aspergillus </w:t>
            </w:r>
            <w:proofErr w:type="spellStart"/>
            <w:r>
              <w:t>terreus</w:t>
            </w:r>
            <w:proofErr w:type="spellEnd"/>
          </w:p>
        </w:tc>
        <w:tc>
          <w:tcPr>
            <w:tcW w:w="4680" w:type="dxa"/>
          </w:tcPr>
          <w:p w14:paraId="4F76C7D5" w14:textId="77777777" w:rsidR="005D1799" w:rsidRDefault="001A4879">
            <w:r>
              <w:t>30.8</w:t>
            </w:r>
          </w:p>
        </w:tc>
      </w:tr>
      <w:tr w:rsidR="005D1799" w14:paraId="2EB68D95" w14:textId="77777777">
        <w:tc>
          <w:tcPr>
            <w:tcW w:w="4680" w:type="dxa"/>
          </w:tcPr>
          <w:p w14:paraId="315BDCA2" w14:textId="77777777" w:rsidR="005D1799" w:rsidRDefault="001A4879">
            <w:r>
              <w:t xml:space="preserve">Rhizobium </w:t>
            </w:r>
            <w:proofErr w:type="spellStart"/>
            <w:r>
              <w:t>radiobacter</w:t>
            </w:r>
            <w:proofErr w:type="spellEnd"/>
          </w:p>
        </w:tc>
        <w:tc>
          <w:tcPr>
            <w:tcW w:w="4680" w:type="dxa"/>
          </w:tcPr>
          <w:p w14:paraId="2C2BFDDB" w14:textId="77777777" w:rsidR="005D1799" w:rsidRDefault="001A4879">
            <w:r>
              <w:t>50.2</w:t>
            </w:r>
          </w:p>
        </w:tc>
      </w:tr>
      <w:tr w:rsidR="005D1799" w14:paraId="4F9F4F24" w14:textId="77777777">
        <w:tc>
          <w:tcPr>
            <w:tcW w:w="4680" w:type="dxa"/>
          </w:tcPr>
          <w:p w14:paraId="2C624A7F" w14:textId="77777777" w:rsidR="005D1799" w:rsidRDefault="001A4879">
            <w:r>
              <w:t>Trichoderma viride</w:t>
            </w:r>
          </w:p>
        </w:tc>
        <w:tc>
          <w:tcPr>
            <w:tcW w:w="4680" w:type="dxa"/>
          </w:tcPr>
          <w:p w14:paraId="51D0BAE9" w14:textId="77777777" w:rsidR="005D1799" w:rsidRDefault="001A4879">
            <w:r>
              <w:t>68.9</w:t>
            </w:r>
          </w:p>
        </w:tc>
      </w:tr>
    </w:tbl>
    <w:p w14:paraId="2DABF165" w14:textId="68C1EEA8" w:rsidR="005D1799" w:rsidRDefault="001A4879">
      <w:pPr>
        <w:pStyle w:val="Heading2"/>
        <w:rPr>
          <w:rFonts w:hint="default"/>
        </w:rPr>
      </w:pPr>
      <w:r>
        <w:t xml:space="preserve">Figure </w:t>
      </w:r>
      <w:r w:rsidR="00284B09">
        <w:rPr>
          <w:rFonts w:hint="default"/>
        </w:rPr>
        <w:t>1</w:t>
      </w:r>
      <w:r>
        <w:t>: Potassium Solubilization Efficiency by Microbes</w:t>
      </w:r>
    </w:p>
    <w:p w14:paraId="385876F3" w14:textId="77777777" w:rsidR="005D1799" w:rsidRDefault="001A4879">
      <w:r>
        <w:rPr>
          <w:noProof/>
        </w:rPr>
        <w:drawing>
          <wp:inline distT="0" distB="0" distL="0" distR="0" wp14:anchorId="7B0EBBFD" wp14:editId="7F4ED9B5">
            <wp:extent cx="5486400" cy="3291839"/>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486400" cy="3291839"/>
                    </a:xfrm>
                    <a:prstGeom prst="rect">
                      <a:avLst/>
                    </a:prstGeom>
                  </pic:spPr>
                </pic:pic>
              </a:graphicData>
            </a:graphic>
          </wp:inline>
        </w:drawing>
      </w:r>
    </w:p>
    <w:p w14:paraId="26E20B3D" w14:textId="77777777" w:rsidR="00284B09" w:rsidRDefault="00284B09">
      <w:pPr>
        <w:pStyle w:val="Heading2"/>
        <w:rPr>
          <w:rFonts w:hint="default"/>
        </w:rPr>
      </w:pPr>
    </w:p>
    <w:p w14:paraId="53A2A2D2" w14:textId="77777777" w:rsidR="00284B09" w:rsidRDefault="00284B09">
      <w:pPr>
        <w:pStyle w:val="Heading2"/>
        <w:rPr>
          <w:rFonts w:hint="default"/>
        </w:rPr>
      </w:pPr>
    </w:p>
    <w:p w14:paraId="34D81827" w14:textId="48D5F847" w:rsidR="005D1799" w:rsidRDefault="001A4879">
      <w:pPr>
        <w:pStyle w:val="Heading2"/>
        <w:rPr>
          <w:rFonts w:hint="default"/>
        </w:rPr>
      </w:pPr>
      <w:r>
        <w:lastRenderedPageBreak/>
        <w:t xml:space="preserve">Table </w:t>
      </w:r>
      <w:r w:rsidR="00284B09">
        <w:rPr>
          <w:rFonts w:hint="default"/>
        </w:rPr>
        <w:t>2</w:t>
      </w:r>
      <w:r>
        <w:t>: Organic Acid Production during Solubilization</w:t>
      </w:r>
    </w:p>
    <w:tbl>
      <w:tblPr>
        <w:tblW w:w="0" w:type="auto"/>
        <w:tblLook w:val="04A0" w:firstRow="1" w:lastRow="0" w:firstColumn="1" w:lastColumn="0" w:noHBand="0" w:noVBand="1"/>
      </w:tblPr>
      <w:tblGrid>
        <w:gridCol w:w="3120"/>
        <w:gridCol w:w="3120"/>
        <w:gridCol w:w="3120"/>
      </w:tblGrid>
      <w:tr w:rsidR="005D1799" w14:paraId="6BB2571C" w14:textId="77777777">
        <w:tc>
          <w:tcPr>
            <w:tcW w:w="3120" w:type="dxa"/>
          </w:tcPr>
          <w:p w14:paraId="61235BC5" w14:textId="77777777" w:rsidR="005D1799" w:rsidRDefault="001A4879">
            <w:r>
              <w:t>Microorganism</w:t>
            </w:r>
          </w:p>
        </w:tc>
        <w:tc>
          <w:tcPr>
            <w:tcW w:w="3120" w:type="dxa"/>
          </w:tcPr>
          <w:p w14:paraId="248478F9" w14:textId="77777777" w:rsidR="005D1799" w:rsidRDefault="001A4879">
            <w:r>
              <w:t>Organic Acid</w:t>
            </w:r>
          </w:p>
        </w:tc>
        <w:tc>
          <w:tcPr>
            <w:tcW w:w="3120" w:type="dxa"/>
          </w:tcPr>
          <w:p w14:paraId="0921AB39" w14:textId="77777777" w:rsidR="005D1799" w:rsidRDefault="001A4879">
            <w:r>
              <w:t>Concentration (mg/L)</w:t>
            </w:r>
          </w:p>
        </w:tc>
      </w:tr>
      <w:tr w:rsidR="005D1799" w14:paraId="4B329012" w14:textId="77777777">
        <w:tc>
          <w:tcPr>
            <w:tcW w:w="3120" w:type="dxa"/>
          </w:tcPr>
          <w:p w14:paraId="33C4D039" w14:textId="77777777" w:rsidR="005D1799" w:rsidRDefault="001A4879">
            <w:proofErr w:type="spellStart"/>
            <w:r>
              <w:t>Pantoea</w:t>
            </w:r>
            <w:proofErr w:type="spellEnd"/>
            <w:r>
              <w:t xml:space="preserve"> </w:t>
            </w:r>
            <w:proofErr w:type="spellStart"/>
            <w:r>
              <w:t>agglomerans</w:t>
            </w:r>
            <w:proofErr w:type="spellEnd"/>
            <w:r>
              <w:t xml:space="preserve"> ZB</w:t>
            </w:r>
          </w:p>
        </w:tc>
        <w:tc>
          <w:tcPr>
            <w:tcW w:w="3120" w:type="dxa"/>
          </w:tcPr>
          <w:p w14:paraId="2074E8B6" w14:textId="77777777" w:rsidR="005D1799" w:rsidRDefault="001A4879">
            <w:r>
              <w:t>Gluconic</w:t>
            </w:r>
          </w:p>
        </w:tc>
        <w:tc>
          <w:tcPr>
            <w:tcW w:w="3120" w:type="dxa"/>
          </w:tcPr>
          <w:p w14:paraId="401044F7" w14:textId="77777777" w:rsidR="005D1799" w:rsidRDefault="001A4879">
            <w:r>
              <w:t>820</w:t>
            </w:r>
          </w:p>
        </w:tc>
      </w:tr>
      <w:tr w:rsidR="005D1799" w14:paraId="03E0F163" w14:textId="77777777">
        <w:tc>
          <w:tcPr>
            <w:tcW w:w="3120" w:type="dxa"/>
          </w:tcPr>
          <w:p w14:paraId="6DCDE24C" w14:textId="77777777" w:rsidR="005D1799" w:rsidRDefault="001A4879">
            <w:r>
              <w:t>Bacillus megaterium</w:t>
            </w:r>
          </w:p>
        </w:tc>
        <w:tc>
          <w:tcPr>
            <w:tcW w:w="3120" w:type="dxa"/>
          </w:tcPr>
          <w:p w14:paraId="0E6F5CB2" w14:textId="77777777" w:rsidR="005D1799" w:rsidRDefault="001A4879">
            <w:r>
              <w:t>Citric</w:t>
            </w:r>
          </w:p>
        </w:tc>
        <w:tc>
          <w:tcPr>
            <w:tcW w:w="3120" w:type="dxa"/>
          </w:tcPr>
          <w:p w14:paraId="6143DF78" w14:textId="77777777" w:rsidR="005D1799" w:rsidRDefault="001A4879">
            <w:r>
              <w:t>350</w:t>
            </w:r>
          </w:p>
        </w:tc>
      </w:tr>
      <w:tr w:rsidR="005D1799" w14:paraId="0E91D046" w14:textId="77777777">
        <w:tc>
          <w:tcPr>
            <w:tcW w:w="3120" w:type="dxa"/>
          </w:tcPr>
          <w:p w14:paraId="679920EE" w14:textId="77777777" w:rsidR="005D1799" w:rsidRDefault="001A4879">
            <w:r>
              <w:t xml:space="preserve">Aspergillus </w:t>
            </w:r>
            <w:proofErr w:type="spellStart"/>
            <w:r>
              <w:t>niger</w:t>
            </w:r>
            <w:proofErr w:type="spellEnd"/>
          </w:p>
        </w:tc>
        <w:tc>
          <w:tcPr>
            <w:tcW w:w="3120" w:type="dxa"/>
          </w:tcPr>
          <w:p w14:paraId="78912C9D" w14:textId="77777777" w:rsidR="005D1799" w:rsidRDefault="001A4879">
            <w:r>
              <w:t>Oxalic</w:t>
            </w:r>
          </w:p>
        </w:tc>
        <w:tc>
          <w:tcPr>
            <w:tcW w:w="3120" w:type="dxa"/>
          </w:tcPr>
          <w:p w14:paraId="74698149" w14:textId="77777777" w:rsidR="005D1799" w:rsidRDefault="001A4879">
            <w:r>
              <w:t>500</w:t>
            </w:r>
          </w:p>
        </w:tc>
      </w:tr>
      <w:tr w:rsidR="005D1799" w14:paraId="7F6B9C7A" w14:textId="77777777">
        <w:tc>
          <w:tcPr>
            <w:tcW w:w="3120" w:type="dxa"/>
          </w:tcPr>
          <w:p w14:paraId="0AEFBF8F" w14:textId="77777777" w:rsidR="005D1799" w:rsidRDefault="001A4879">
            <w:r>
              <w:t xml:space="preserve">Penicillium </w:t>
            </w:r>
            <w:proofErr w:type="spellStart"/>
            <w:r>
              <w:t>simplicissimum</w:t>
            </w:r>
            <w:proofErr w:type="spellEnd"/>
          </w:p>
        </w:tc>
        <w:tc>
          <w:tcPr>
            <w:tcW w:w="3120" w:type="dxa"/>
          </w:tcPr>
          <w:p w14:paraId="2A949848" w14:textId="77777777" w:rsidR="005D1799" w:rsidRDefault="001A4879">
            <w:r>
              <w:t>Malic</w:t>
            </w:r>
          </w:p>
        </w:tc>
        <w:tc>
          <w:tcPr>
            <w:tcW w:w="3120" w:type="dxa"/>
          </w:tcPr>
          <w:p w14:paraId="21A2D900" w14:textId="77777777" w:rsidR="005D1799" w:rsidRDefault="001A4879">
            <w:r>
              <w:t>275</w:t>
            </w:r>
          </w:p>
        </w:tc>
      </w:tr>
    </w:tbl>
    <w:p w14:paraId="5E5EFF76" w14:textId="1FCA5B6C" w:rsidR="005D1799" w:rsidRDefault="001A4879">
      <w:pPr>
        <w:pStyle w:val="Heading2"/>
        <w:rPr>
          <w:rFonts w:hint="default"/>
        </w:rPr>
      </w:pPr>
      <w:r>
        <w:t xml:space="preserve">Figure </w:t>
      </w:r>
      <w:r w:rsidR="00284B09">
        <w:rPr>
          <w:rFonts w:hint="default"/>
        </w:rPr>
        <w:t>2</w:t>
      </w:r>
      <w:r>
        <w:t>: Organic Acid Production by Microbes</w:t>
      </w:r>
    </w:p>
    <w:p w14:paraId="7D7B378B" w14:textId="77777777" w:rsidR="005D1799" w:rsidRDefault="001A4879">
      <w:r>
        <w:rPr>
          <w:noProof/>
        </w:rPr>
        <w:drawing>
          <wp:inline distT="0" distB="0" distL="0" distR="0" wp14:anchorId="0F02FE40" wp14:editId="00E09CB8">
            <wp:extent cx="5486400" cy="3291839"/>
            <wp:effectExtent l="0" t="0" r="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a:stretch/>
                  </pic:blipFill>
                  <pic:spPr>
                    <a:xfrm>
                      <a:off x="0" y="0"/>
                      <a:ext cx="5486400" cy="3291839"/>
                    </a:xfrm>
                    <a:prstGeom prst="rect">
                      <a:avLst/>
                    </a:prstGeom>
                  </pic:spPr>
                </pic:pic>
              </a:graphicData>
            </a:graphic>
          </wp:inline>
        </w:drawing>
      </w:r>
    </w:p>
    <w:sectPr w:rsidR="005D17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C7D78" w14:textId="77777777" w:rsidR="001A4879" w:rsidRDefault="001A4879" w:rsidP="00786670">
      <w:pPr>
        <w:spacing w:after="0" w:line="240" w:lineRule="auto"/>
      </w:pPr>
      <w:r>
        <w:separator/>
      </w:r>
    </w:p>
  </w:endnote>
  <w:endnote w:type="continuationSeparator" w:id="0">
    <w:p w14:paraId="225EC422" w14:textId="77777777" w:rsidR="001A4879" w:rsidRDefault="001A4879" w:rsidP="0078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B818" w14:textId="77777777" w:rsidR="00786670" w:rsidRDefault="00786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8931" w14:textId="77777777" w:rsidR="00786670" w:rsidRDefault="00786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C5C3" w14:textId="77777777" w:rsidR="00786670" w:rsidRDefault="00786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12302" w14:textId="77777777" w:rsidR="001A4879" w:rsidRDefault="001A4879" w:rsidP="00786670">
      <w:pPr>
        <w:spacing w:after="0" w:line="240" w:lineRule="auto"/>
      </w:pPr>
      <w:r>
        <w:separator/>
      </w:r>
    </w:p>
  </w:footnote>
  <w:footnote w:type="continuationSeparator" w:id="0">
    <w:p w14:paraId="00032C51" w14:textId="77777777" w:rsidR="001A4879" w:rsidRDefault="001A4879" w:rsidP="0078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7D8A5" w14:textId="2538A80A" w:rsidR="00786670" w:rsidRDefault="00786670">
    <w:pPr>
      <w:pStyle w:val="Header"/>
    </w:pPr>
    <w:r>
      <w:rPr>
        <w:noProof/>
      </w:rPr>
      <w:pict w14:anchorId="0D523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48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9CBA" w14:textId="4B777DF6" w:rsidR="00786670" w:rsidRDefault="00786670">
    <w:pPr>
      <w:pStyle w:val="Header"/>
    </w:pPr>
    <w:r>
      <w:rPr>
        <w:noProof/>
      </w:rPr>
      <w:pict w14:anchorId="0AAA8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48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F8A59" w14:textId="28FE21C1" w:rsidR="00786670" w:rsidRDefault="00786670">
    <w:pPr>
      <w:pStyle w:val="Header"/>
    </w:pPr>
    <w:r>
      <w:rPr>
        <w:noProof/>
      </w:rPr>
      <w:pict w14:anchorId="6FC9B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48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8D42DD9"/>
    <w:lvl w:ilvl="0">
      <w:start w:val="11"/>
      <w:numFmt w:val="decimal"/>
      <w:suff w:val="space"/>
      <w:lvlText w:val="%1."/>
      <w:lvlJc w:val="left"/>
    </w:lvl>
  </w:abstractNum>
  <w:abstractNum w:abstractNumId="1" w15:restartNumberingAfterBreak="0">
    <w:nsid w:val="00000002"/>
    <w:multiLevelType w:val="multilevel"/>
    <w:tmpl w:val="EED8708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000003"/>
    <w:multiLevelType w:val="multilevel"/>
    <w:tmpl w:val="CB9485E6"/>
    <w:lvl w:ilvl="0">
      <w:start w:val="1"/>
      <w:numFmt w:val="lowerRoman"/>
      <w:lvlText w:val="%1."/>
      <w:lvlJc w:val="righ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20260628"/>
    <w:multiLevelType w:val="singleLevel"/>
    <w:tmpl w:val="D824AA5A"/>
    <w:lvl w:ilvl="0">
      <w:start w:val="6"/>
      <w:numFmt w:val="decimal"/>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99"/>
    <w:rsid w:val="001A4879"/>
    <w:rsid w:val="00284B09"/>
    <w:rsid w:val="003C309D"/>
    <w:rsid w:val="0058061E"/>
    <w:rsid w:val="005D1799"/>
    <w:rsid w:val="00786670"/>
    <w:rsid w:val="0092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63B3CD"/>
  <w15:docId w15:val="{3F977DCC-5CCC-472C-B07F-781CABA0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libri Light" w:eastAsia="DengXian Light" w:hAnsi="Calibri Light"/>
      <w:color w:val="2E74B5"/>
      <w:sz w:val="32"/>
      <w:szCs w:val="32"/>
    </w:rPr>
  </w:style>
  <w:style w:type="paragraph" w:styleId="Heading2">
    <w:name w:val="heading 2"/>
    <w:next w:val="Normal"/>
    <w:uiPriority w:val="9"/>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qFormat/>
    <w:rPr>
      <w:color w:val="800080"/>
      <w:u w:val="single"/>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rPr>
  </w:style>
  <w:style w:type="character" w:customStyle="1" w:styleId="Heading1Char">
    <w:name w:val="Heading 1 Char"/>
    <w:basedOn w:val="DefaultParagraphFont"/>
    <w:link w:val="Heading1"/>
    <w:rPr>
      <w:rFonts w:ascii="Calibri Light" w:eastAsia="DengXian Light" w:hAnsi="Calibri Light" w:cs="SimSun"/>
      <w:color w:val="2E74B5"/>
      <w:sz w:val="32"/>
      <w:szCs w:val="32"/>
    </w:rPr>
  </w:style>
  <w:style w:type="paragraph" w:styleId="Subtitle">
    <w:name w:val="Subtitle"/>
    <w:basedOn w:val="Normal"/>
    <w:next w:val="Normal"/>
    <w:link w:val="SubtitleChar"/>
    <w:uiPriority w:val="11"/>
    <w:qFormat/>
    <w:pPr>
      <w:numPr>
        <w:ilvl w:val="1"/>
      </w:numPr>
    </w:pPr>
    <w:rPr>
      <w:rFonts w:eastAsia="DengXian"/>
      <w:color w:val="5A5A5A"/>
      <w:spacing w:val="15"/>
    </w:rPr>
  </w:style>
  <w:style w:type="character" w:customStyle="1" w:styleId="SubtitleChar">
    <w:name w:val="Subtitle Char"/>
    <w:basedOn w:val="DefaultParagraphFont"/>
    <w:link w:val="Subtitle"/>
    <w:rPr>
      <w:rFonts w:ascii="Calibri" w:eastAsia="DengXian" w:hAnsi="Calibri" w:cs="SimSun"/>
      <w:color w:val="5A5A5A"/>
      <w:spacing w:val="15"/>
      <w:sz w:val="22"/>
      <w:szCs w:val="22"/>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3C309D"/>
    <w:rPr>
      <w:color w:val="605E5C"/>
      <w:shd w:val="clear" w:color="auto" w:fill="E1DFDD"/>
    </w:rPr>
  </w:style>
  <w:style w:type="paragraph" w:styleId="Header">
    <w:name w:val="header"/>
    <w:basedOn w:val="Normal"/>
    <w:link w:val="HeaderChar"/>
    <w:uiPriority w:val="99"/>
    <w:unhideWhenUsed/>
    <w:rsid w:val="00786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70"/>
    <w:rPr>
      <w:rFonts w:ascii="Calibri" w:eastAsia="Calibri" w:hAnsi="Calibri" w:cs="SimSun"/>
      <w:sz w:val="22"/>
      <w:szCs w:val="22"/>
    </w:rPr>
  </w:style>
  <w:style w:type="paragraph" w:styleId="Footer">
    <w:name w:val="footer"/>
    <w:basedOn w:val="Normal"/>
    <w:link w:val="FooterChar"/>
    <w:uiPriority w:val="99"/>
    <w:unhideWhenUsed/>
    <w:rsid w:val="00786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670"/>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5580</Words>
  <Characters>31807</Characters>
  <Application>Microsoft Office Word</Application>
  <DocSecurity>0</DocSecurity>
  <Lines>265</Lines>
  <Paragraphs>74</Paragraphs>
  <ScaleCrop>false</ScaleCrop>
  <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WPS_1719059170</dc:creator>
  <cp:lastModifiedBy>SDI 1084</cp:lastModifiedBy>
  <cp:revision>8</cp:revision>
  <dcterms:created xsi:type="dcterms:W3CDTF">2025-06-25T13:53:00Z</dcterms:created>
  <dcterms:modified xsi:type="dcterms:W3CDTF">2025-10-30T12:07:00Z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fbd12b6804c34cb3aee7d69b2f200ccc</vt:lpwstr>
  </property>
</Properties>
</file>