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04CEF" w14:textId="77777777" w:rsidR="00754C9A" w:rsidRPr="00201125" w:rsidRDefault="00754C9A" w:rsidP="00441B6F">
      <w:pPr>
        <w:pStyle w:val="Title"/>
        <w:spacing w:after="0"/>
        <w:jc w:val="both"/>
        <w:rPr>
          <w:rFonts w:ascii="Arial" w:hAnsi="Arial" w:cs="Arial"/>
        </w:rPr>
      </w:pPr>
      <w:bookmarkStart w:id="0" w:name="_GoBack"/>
      <w:bookmarkEnd w:id="0"/>
    </w:p>
    <w:p w14:paraId="663412BC" w14:textId="77777777" w:rsidR="00163BC4" w:rsidRPr="00201125" w:rsidRDefault="00BE568E" w:rsidP="00441B6F">
      <w:pPr>
        <w:pStyle w:val="Author"/>
        <w:spacing w:line="240" w:lineRule="auto"/>
        <w:rPr>
          <w:rFonts w:ascii="Arial" w:hAnsi="Arial" w:cs="Arial"/>
          <w:bCs/>
          <w:iCs/>
          <w:kern w:val="28"/>
          <w:sz w:val="36"/>
        </w:rPr>
      </w:pPr>
      <w:r w:rsidRPr="00201125">
        <w:rPr>
          <w:rFonts w:ascii="Arial" w:hAnsi="Arial" w:cs="Arial"/>
          <w:bCs/>
          <w:sz w:val="36"/>
          <w:szCs w:val="24"/>
        </w:rPr>
        <w:t>The Role of Multilingual Education in Cognitive Development: A Study of Early Bilingual Learners</w:t>
      </w:r>
      <w:r w:rsidR="00231920" w:rsidRPr="00201125">
        <w:rPr>
          <w:rFonts w:ascii="Arial" w:hAnsi="Arial" w:cs="Arial"/>
          <w:bCs/>
          <w:iCs/>
          <w:kern w:val="28"/>
          <w:sz w:val="36"/>
        </w:rPr>
        <w:t xml:space="preserve"> </w:t>
      </w:r>
    </w:p>
    <w:p w14:paraId="145F1A60" w14:textId="3A2927E7" w:rsidR="00B01FCD" w:rsidRPr="00201125" w:rsidRDefault="00B01FCD" w:rsidP="00441B6F">
      <w:pPr>
        <w:pStyle w:val="Copyright"/>
        <w:spacing w:after="0" w:line="240" w:lineRule="auto"/>
        <w:jc w:val="both"/>
        <w:rPr>
          <w:rFonts w:ascii="Arial" w:hAnsi="Arial" w:cs="Arial"/>
        </w:rPr>
        <w:sectPr w:rsidR="00B01FCD" w:rsidRPr="00201125" w:rsidSect="00B56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F83A38D" w14:textId="77777777" w:rsidR="00B01FCD" w:rsidRPr="00201125" w:rsidRDefault="00B01FCD" w:rsidP="00441B6F">
      <w:pPr>
        <w:pStyle w:val="AbstHead"/>
        <w:spacing w:after="0"/>
        <w:jc w:val="both"/>
        <w:rPr>
          <w:rFonts w:ascii="Arial" w:hAnsi="Arial" w:cs="Arial"/>
        </w:rPr>
      </w:pPr>
      <w:r w:rsidRPr="00201125">
        <w:rPr>
          <w:rFonts w:ascii="Arial" w:hAnsi="Arial" w:cs="Arial"/>
        </w:rPr>
        <w:t>ABSTRACT</w:t>
      </w:r>
      <w:r w:rsidR="0066510A" w:rsidRPr="00201125">
        <w:rPr>
          <w:rFonts w:ascii="Arial" w:hAnsi="Arial" w:cs="Arial"/>
        </w:rPr>
        <w:t xml:space="preserve"> </w:t>
      </w:r>
    </w:p>
    <w:p w14:paraId="1826276D" w14:textId="77777777" w:rsidR="00790ADA" w:rsidRPr="0020112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01125" w14:paraId="7DA8EEF5" w14:textId="77777777" w:rsidTr="001E44FE">
        <w:tc>
          <w:tcPr>
            <w:tcW w:w="9576" w:type="dxa"/>
            <w:shd w:val="clear" w:color="auto" w:fill="F2F2F2"/>
          </w:tcPr>
          <w:p w14:paraId="0AC333DA" w14:textId="77777777" w:rsidR="00505F06" w:rsidRPr="00201125" w:rsidRDefault="00AC789A" w:rsidP="00441B6F">
            <w:pPr>
              <w:pStyle w:val="Body"/>
              <w:spacing w:after="0"/>
              <w:rPr>
                <w:rFonts w:ascii="Arial" w:eastAsia="Calibri" w:hAnsi="Arial" w:cs="Arial"/>
                <w:szCs w:val="22"/>
              </w:rPr>
            </w:pPr>
            <w:r w:rsidRPr="00201125">
              <w:rPr>
                <w:rFonts w:ascii="Arial" w:hAnsi="Arial" w:cs="Arial"/>
                <w:bCs/>
                <w:szCs w:val="24"/>
              </w:rPr>
              <w:t xml:space="preserve">Multilingual education is gaining recognition for its role in forming initial cognitive improvement in a growingly internationalized world. This research analyzes the cognitive advantages of bilingualism among primary school children, emphasizing executive utility, cognitive suppleness, and memory retention. </w:t>
            </w:r>
            <w:r w:rsidRPr="00201125">
              <w:rPr>
                <w:rFonts w:ascii="Arial" w:hAnsi="Arial" w:cs="Arial"/>
                <w:szCs w:val="24"/>
              </w:rPr>
              <w:t>As a conceptual synthesis, this paper integrates and interprets previous empirical studies rather than presenting original data.</w:t>
            </w:r>
            <w:r w:rsidRPr="00201125">
              <w:rPr>
                <w:rFonts w:ascii="Arial" w:hAnsi="Arial" w:cs="Arial"/>
                <w:bCs/>
                <w:szCs w:val="24"/>
              </w:rPr>
              <w:t xml:space="preserve"> </w:t>
            </w:r>
            <w:r w:rsidRPr="00201125">
              <w:rPr>
                <w:rFonts w:ascii="Arial" w:hAnsi="Arial" w:cs="Arial"/>
                <w:szCs w:val="24"/>
              </w:rPr>
              <w:t>A conceptual analytical framework was outlined to compare existing findings on monolingual and bilingual learners using standardized verbal and non-verbal reasoning measures. Qualitative insights were synthesized from prior studies involving parent interviews and teacher observations.</w:t>
            </w:r>
            <w:r w:rsidRPr="00201125">
              <w:rPr>
                <w:rFonts w:ascii="Arial" w:hAnsi="Arial" w:cs="Arial"/>
                <w:bCs/>
                <w:szCs w:val="24"/>
              </w:rPr>
              <w:t xml:space="preserve"> It is proposed by the findings that initial bilingual learners leave their monolingual peers behind in tasks demanding cognitive transfer and problem-solving, hinting at improved executive working. However, early delays in the improvement of vocabulary were displayed by a subset of bilingual children, which was diminished through ingenious bilingual assistance curricula. The research adds to a profound comprehension of the cognitive and socio-emotional repercussions of bilingual education and provides workable perceptions for educationalists and policymakers targeting to execute helpful multilingual educational tactics.</w:t>
            </w:r>
          </w:p>
        </w:tc>
      </w:tr>
    </w:tbl>
    <w:p w14:paraId="54E4391E" w14:textId="77777777" w:rsidR="00636EB2" w:rsidRPr="00201125" w:rsidRDefault="00636EB2" w:rsidP="00441B6F">
      <w:pPr>
        <w:pStyle w:val="Body"/>
        <w:spacing w:after="0"/>
        <w:rPr>
          <w:rFonts w:ascii="Arial" w:hAnsi="Arial" w:cs="Arial"/>
          <w:i/>
        </w:rPr>
      </w:pPr>
    </w:p>
    <w:p w14:paraId="52702783" w14:textId="77777777" w:rsidR="00A24E7E" w:rsidRPr="00201125" w:rsidRDefault="00A24E7E" w:rsidP="00441B6F">
      <w:pPr>
        <w:pStyle w:val="Body"/>
        <w:spacing w:after="0"/>
        <w:rPr>
          <w:rFonts w:ascii="Arial" w:hAnsi="Arial" w:cs="Arial"/>
          <w:i/>
          <w:sz w:val="16"/>
        </w:rPr>
      </w:pPr>
      <w:r w:rsidRPr="00201125">
        <w:rPr>
          <w:rFonts w:ascii="Arial" w:hAnsi="Arial" w:cs="Arial"/>
          <w:i/>
        </w:rPr>
        <w:t xml:space="preserve">Keywords: </w:t>
      </w:r>
      <w:r w:rsidR="00350CB2" w:rsidRPr="00201125">
        <w:rPr>
          <w:rFonts w:ascii="Arial" w:hAnsi="Arial" w:cs="Arial"/>
          <w:i/>
        </w:rPr>
        <w:t>Bilingualism, Cognitive Flexibility, Conceptual Framework, Early Childhood Education, Executive Function, Language Acquisition, Multilingual Education</w:t>
      </w:r>
    </w:p>
    <w:p w14:paraId="33A8B0D8" w14:textId="77777777" w:rsidR="00790ADA" w:rsidRPr="00201125" w:rsidRDefault="00790ADA" w:rsidP="00441B6F">
      <w:pPr>
        <w:pStyle w:val="Body"/>
        <w:spacing w:after="0"/>
        <w:rPr>
          <w:rFonts w:ascii="Arial" w:hAnsi="Arial" w:cs="Arial"/>
          <w:i/>
        </w:rPr>
      </w:pPr>
    </w:p>
    <w:p w14:paraId="699529A7" w14:textId="77777777" w:rsidR="00B470FA" w:rsidRPr="00201125" w:rsidRDefault="00B470FA" w:rsidP="00441B6F">
      <w:pPr>
        <w:pStyle w:val="AbstHead"/>
        <w:spacing w:after="0"/>
        <w:jc w:val="both"/>
        <w:rPr>
          <w:rFonts w:ascii="Arial" w:hAnsi="Arial" w:cs="Arial"/>
        </w:rPr>
      </w:pPr>
    </w:p>
    <w:p w14:paraId="1A6BEE0C" w14:textId="77777777" w:rsidR="00B470FA" w:rsidRPr="00201125" w:rsidRDefault="00B470FA" w:rsidP="00441B6F">
      <w:pPr>
        <w:pStyle w:val="AbstHead"/>
        <w:spacing w:after="0"/>
        <w:jc w:val="both"/>
        <w:rPr>
          <w:rFonts w:ascii="Arial" w:hAnsi="Arial" w:cs="Arial"/>
        </w:rPr>
      </w:pPr>
    </w:p>
    <w:p w14:paraId="3997F7EF" w14:textId="77777777" w:rsidR="007F7B32" w:rsidRPr="00201125" w:rsidRDefault="00902823" w:rsidP="00441B6F">
      <w:pPr>
        <w:pStyle w:val="AbstHead"/>
        <w:spacing w:after="0"/>
        <w:jc w:val="both"/>
        <w:rPr>
          <w:rFonts w:ascii="Arial" w:hAnsi="Arial" w:cs="Arial"/>
        </w:rPr>
      </w:pPr>
      <w:r w:rsidRPr="00201125">
        <w:rPr>
          <w:rFonts w:ascii="Arial" w:hAnsi="Arial" w:cs="Arial"/>
        </w:rPr>
        <w:t xml:space="preserve">1. </w:t>
      </w:r>
      <w:r w:rsidR="00B01FCD" w:rsidRPr="00201125">
        <w:rPr>
          <w:rFonts w:ascii="Arial" w:hAnsi="Arial" w:cs="Arial"/>
        </w:rPr>
        <w:t>INTRODUCTION</w:t>
      </w:r>
      <w:r w:rsidR="007F7B32" w:rsidRPr="00201125">
        <w:rPr>
          <w:rFonts w:ascii="Arial" w:hAnsi="Arial" w:cs="Arial"/>
        </w:rPr>
        <w:t xml:space="preserve"> </w:t>
      </w:r>
    </w:p>
    <w:p w14:paraId="160F60CC" w14:textId="77777777" w:rsidR="000464A4" w:rsidRPr="00201125" w:rsidRDefault="000464A4" w:rsidP="000464A4">
      <w:pPr>
        <w:spacing w:before="100" w:beforeAutospacing="1" w:after="100" w:afterAutospacing="1"/>
        <w:jc w:val="both"/>
        <w:outlineLvl w:val="2"/>
        <w:rPr>
          <w:rFonts w:ascii="Arial" w:hAnsi="Arial" w:cs="Arial"/>
          <w:b/>
          <w:bCs/>
          <w:sz w:val="22"/>
          <w:szCs w:val="24"/>
        </w:rPr>
      </w:pPr>
      <w:r w:rsidRPr="00201125">
        <w:rPr>
          <w:rFonts w:ascii="Arial" w:hAnsi="Arial" w:cs="Arial"/>
          <w:b/>
          <w:bCs/>
          <w:sz w:val="22"/>
          <w:szCs w:val="24"/>
        </w:rPr>
        <w:t>1.1 Background and Rationale</w:t>
      </w:r>
    </w:p>
    <w:p w14:paraId="670124D5" w14:textId="77777777" w:rsidR="000464A4" w:rsidRPr="005674DB" w:rsidRDefault="000464A4" w:rsidP="00201125">
      <w:pPr>
        <w:spacing w:before="100" w:beforeAutospacing="1" w:after="100" w:afterAutospacing="1"/>
        <w:jc w:val="both"/>
        <w:rPr>
          <w:rFonts w:ascii="Arial" w:hAnsi="Arial" w:cs="Arial"/>
          <w:szCs w:val="24"/>
        </w:rPr>
      </w:pPr>
      <w:r w:rsidRPr="005674DB">
        <w:rPr>
          <w:rFonts w:ascii="Arial" w:hAnsi="Arial" w:cs="Arial"/>
          <w:szCs w:val="24"/>
        </w:rPr>
        <w:t>Worldwide interconnectedness has deepened the requirement for multilingual skills, making initial bilingual learning a societal and mental necessity. The study proposes a solid relationship between improved cognitive performance and bilingualism (Bialystok, 2011; Barac &amp; Bialystok, 2012).</w:t>
      </w:r>
    </w:p>
    <w:p w14:paraId="31EEFE75" w14:textId="77777777" w:rsidR="000464A4" w:rsidRPr="005674DB" w:rsidRDefault="000464A4" w:rsidP="00201125">
      <w:pPr>
        <w:spacing w:before="100" w:beforeAutospacing="1" w:after="100" w:afterAutospacing="1"/>
        <w:jc w:val="both"/>
        <w:rPr>
          <w:rFonts w:ascii="Arial" w:hAnsi="Arial" w:cs="Arial"/>
          <w:szCs w:val="24"/>
        </w:rPr>
      </w:pPr>
      <w:r w:rsidRPr="005674DB">
        <w:rPr>
          <w:rFonts w:ascii="Arial" w:hAnsi="Arial" w:cs="Arial"/>
          <w:szCs w:val="24"/>
        </w:rPr>
        <w:t xml:space="preserve">The latest research has demonstrated the mental advantages of bilingualism. For example, it was discovered by Mohamed (2024) that bilingual people often display improved executive roles, for example, multitasking competence, enhanced focus, and problem-solving. Besides, bilingualism may add to the delayed beginning of age-associated mental decay.       </w:t>
      </w:r>
    </w:p>
    <w:p w14:paraId="38A4AABE" w14:textId="77777777"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 xml:space="preserve">Furthermore, Barac, Bialystok, Castro, and Sanchez’s (2014) critical review emphasized that bilingual offspring between 0 and 6 years old constantly leave monolinguals behind in non-verbal executive control and theory of mind errands, beginning in the first year of life. This proposes that know-how with double linguistic approaches alters the function of the brain irrespective of the language pairs engaged.       </w:t>
      </w:r>
    </w:p>
    <w:p w14:paraId="20370581" w14:textId="77777777"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lastRenderedPageBreak/>
        <w:t xml:space="preserve">Nonetheless, nuanced results have been reported by certain studies. For instance, </w:t>
      </w:r>
      <w:proofErr w:type="spellStart"/>
      <w:r w:rsidRPr="005674DB">
        <w:rPr>
          <w:rFonts w:ascii="Arial" w:hAnsi="Arial" w:cs="Arial"/>
          <w:szCs w:val="24"/>
        </w:rPr>
        <w:t>Moriguchi</w:t>
      </w:r>
      <w:proofErr w:type="spellEnd"/>
      <w:r w:rsidRPr="005674DB">
        <w:rPr>
          <w:rFonts w:ascii="Arial" w:hAnsi="Arial" w:cs="Arial"/>
          <w:szCs w:val="24"/>
        </w:rPr>
        <w:t xml:space="preserve"> and </w:t>
      </w:r>
      <w:proofErr w:type="spellStart"/>
      <w:r w:rsidRPr="005674DB">
        <w:rPr>
          <w:rFonts w:ascii="Arial" w:hAnsi="Arial" w:cs="Arial"/>
          <w:szCs w:val="24"/>
        </w:rPr>
        <w:t>Lertladaluck’s</w:t>
      </w:r>
      <w:proofErr w:type="spellEnd"/>
      <w:r w:rsidRPr="005674DB">
        <w:rPr>
          <w:rFonts w:ascii="Arial" w:hAnsi="Arial" w:cs="Arial"/>
          <w:szCs w:val="24"/>
        </w:rPr>
        <w:t xml:space="preserve"> (2019) research displayed that bilingual children may exhibit benefits in particular mental activities but these advantages are not homogenously observed throughout all executive function tasks. This highlights the intricacy of the impact of bilingualism on mental improvement.        </w:t>
      </w:r>
    </w:p>
    <w:p w14:paraId="79DAEE77" w14:textId="77777777"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 xml:space="preserve">In addition, Paap’s (2022) meta-analysis analyzed the bilingual benefit in executive function among offspring and discovered that a vital benefit prevails but it is minimal and impacted by issues like study pattern and socioeconomic backdrop. This proposes that the mental advantages of bilingualism may be reliant on the setting.    </w:t>
      </w:r>
    </w:p>
    <w:p w14:paraId="5EFB4BCE" w14:textId="77777777"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 xml:space="preserve">To put it briefly, initial bilingual education is connected with cognitive benefits, comprising improved executive functions and overdue mental decay but the degree of these advantages may be different grounded on personal and circumstantial issues. Constant study is necessary to completely comprehend the multilayered influence of bilingualism on mental improvement.      </w:t>
      </w:r>
    </w:p>
    <w:p w14:paraId="69981259" w14:textId="77777777" w:rsidR="000464A4" w:rsidRPr="00261226" w:rsidRDefault="000464A4" w:rsidP="000464A4">
      <w:pPr>
        <w:spacing w:before="100" w:beforeAutospacing="1" w:after="100" w:afterAutospacing="1"/>
        <w:jc w:val="both"/>
        <w:outlineLvl w:val="2"/>
        <w:rPr>
          <w:rFonts w:ascii="Arial" w:hAnsi="Arial" w:cs="Arial"/>
          <w:b/>
          <w:bCs/>
          <w:sz w:val="22"/>
          <w:szCs w:val="24"/>
        </w:rPr>
      </w:pPr>
      <w:r w:rsidRPr="00261226">
        <w:rPr>
          <w:rFonts w:ascii="Arial" w:hAnsi="Arial" w:cs="Arial"/>
          <w:b/>
          <w:bCs/>
          <w:sz w:val="22"/>
          <w:szCs w:val="24"/>
        </w:rPr>
        <w:t>1.2 Significance of Early Cognitive Development</w:t>
      </w:r>
    </w:p>
    <w:p w14:paraId="0A04CB7C" w14:textId="77777777" w:rsidR="000464A4" w:rsidRPr="0079297E" w:rsidRDefault="000464A4" w:rsidP="0079297E">
      <w:pPr>
        <w:pStyle w:val="NormalWeb"/>
        <w:jc w:val="both"/>
        <w:rPr>
          <w:rFonts w:ascii="Arial" w:hAnsi="Arial" w:cs="Arial"/>
          <w:sz w:val="20"/>
        </w:rPr>
      </w:pPr>
      <w:r w:rsidRPr="0079297E">
        <w:rPr>
          <w:rFonts w:ascii="Arial" w:hAnsi="Arial" w:cs="Arial"/>
          <w:sz w:val="20"/>
        </w:rPr>
        <w:t>The brains of children are most malleable during preliminary babyhood, and the know-how of bilingualism can scaffold metalinguistic consciousness, executive function, and memory (</w:t>
      </w:r>
      <w:proofErr w:type="spellStart"/>
      <w:r w:rsidRPr="0079297E">
        <w:rPr>
          <w:rFonts w:ascii="Arial" w:hAnsi="Arial" w:cs="Arial"/>
          <w:sz w:val="20"/>
        </w:rPr>
        <w:t>Adesope</w:t>
      </w:r>
      <w:proofErr w:type="spellEnd"/>
      <w:r w:rsidRPr="0079297E">
        <w:rPr>
          <w:rFonts w:ascii="Arial" w:hAnsi="Arial" w:cs="Arial"/>
          <w:sz w:val="20"/>
        </w:rPr>
        <w:t xml:space="preserve"> et al., 2010). Initial childhood is a crucial moment for mental improvement because of the brain’s intensified flexibility. Experiences like bilingualism can vitally impact the improvement of metalinguistic consciousness, memory, and executive functions during this period. Studies point out that bilingual offspring often outdo monolingual peers in activities demanding problem-solving abilities, focus control, and mental malleability (Barac &amp; Bialystok, 2012; Costa, Hernández, &amp; Sebastián-</w:t>
      </w:r>
      <w:proofErr w:type="spellStart"/>
      <w:r w:rsidRPr="0079297E">
        <w:rPr>
          <w:rFonts w:ascii="Arial" w:hAnsi="Arial" w:cs="Arial"/>
          <w:sz w:val="20"/>
        </w:rPr>
        <w:t>Gallés</w:t>
      </w:r>
      <w:proofErr w:type="spellEnd"/>
      <w:r w:rsidRPr="0079297E">
        <w:rPr>
          <w:rFonts w:ascii="Arial" w:hAnsi="Arial" w:cs="Arial"/>
          <w:sz w:val="20"/>
        </w:rPr>
        <w:t>, 2008). These benefits are credited to the continual handling of two approaches of language, which improves the executive control apparatuses of the brain (Bialystok, Craik, &amp; Luk, 2012; Kroll &amp; Bialystok, 2013).</w:t>
      </w:r>
    </w:p>
    <w:p w14:paraId="74FEFDC7" w14:textId="77777777" w:rsidR="000464A4" w:rsidRPr="0079297E" w:rsidRDefault="000464A4" w:rsidP="003A5F10">
      <w:pPr>
        <w:pStyle w:val="NormalWeb"/>
        <w:jc w:val="both"/>
        <w:rPr>
          <w:rFonts w:ascii="Arial" w:hAnsi="Arial" w:cs="Arial"/>
          <w:sz w:val="20"/>
        </w:rPr>
      </w:pPr>
      <w:r w:rsidRPr="0079297E">
        <w:rPr>
          <w:rFonts w:ascii="Arial" w:hAnsi="Arial" w:cs="Arial"/>
          <w:sz w:val="20"/>
        </w:rPr>
        <w:t>Neuroimaging research has displayed that bilingualism impacts the function and structure of the brain. For example, bilingual persons display growing gray matter solidity in the left inferior parietal cortex, an area connected with the cognitive control and processing of language (</w:t>
      </w:r>
      <w:proofErr w:type="spellStart"/>
      <w:r w:rsidRPr="0079297E">
        <w:rPr>
          <w:rFonts w:ascii="Arial" w:hAnsi="Arial" w:cs="Arial"/>
          <w:sz w:val="20"/>
        </w:rPr>
        <w:t>Mechelli</w:t>
      </w:r>
      <w:proofErr w:type="spellEnd"/>
      <w:r w:rsidRPr="0079297E">
        <w:rPr>
          <w:rFonts w:ascii="Arial" w:hAnsi="Arial" w:cs="Arial"/>
          <w:sz w:val="20"/>
        </w:rPr>
        <w:t xml:space="preserve"> et al., 2004; </w:t>
      </w:r>
      <w:proofErr w:type="spellStart"/>
      <w:r w:rsidRPr="0079297E">
        <w:rPr>
          <w:rFonts w:ascii="Arial" w:hAnsi="Arial" w:cs="Arial"/>
          <w:sz w:val="20"/>
        </w:rPr>
        <w:t>Abutalebi</w:t>
      </w:r>
      <w:proofErr w:type="spellEnd"/>
      <w:r w:rsidRPr="0079297E">
        <w:rPr>
          <w:rFonts w:ascii="Arial" w:hAnsi="Arial" w:cs="Arial"/>
          <w:sz w:val="20"/>
        </w:rPr>
        <w:t xml:space="preserve"> &amp; Green, 2016). Moreover, initial bilingualism has been connected to improved white matter uprightness in language-associated conduits, proposing further effective neural networking (Luk &amp; Bialystok, 2013).</w:t>
      </w:r>
    </w:p>
    <w:p w14:paraId="755AC229" w14:textId="77777777" w:rsidR="000464A4" w:rsidRPr="0079297E" w:rsidRDefault="000464A4" w:rsidP="003A5F10">
      <w:pPr>
        <w:pStyle w:val="NormalWeb"/>
        <w:jc w:val="both"/>
        <w:rPr>
          <w:rFonts w:ascii="Arial" w:hAnsi="Arial" w:cs="Arial"/>
          <w:sz w:val="20"/>
        </w:rPr>
      </w:pPr>
      <w:r w:rsidRPr="0079297E">
        <w:rPr>
          <w:rFonts w:ascii="Arial" w:hAnsi="Arial" w:cs="Arial"/>
          <w:sz w:val="20"/>
        </w:rPr>
        <w:t>Besides, bilingualism adds to metalinguistic consciousness, the capacity to contemplate and influence the constructions of language. Bilingual children display better competence in comprehending the language’s arbitrary nature, identifying grammatical blunders, and praising the subtleties of language (Barac &amp; Bialystok, 2012; Mohamed, 2024). These metalinguistic abilities are basic for success in academia and the improvement of literacy (Kroll &amp; Bialystok, 2013).</w:t>
      </w:r>
    </w:p>
    <w:p w14:paraId="35D79D4D" w14:textId="77777777" w:rsidR="000464A4" w:rsidRPr="0079297E" w:rsidRDefault="000464A4" w:rsidP="003A5F10">
      <w:pPr>
        <w:spacing w:before="100" w:beforeAutospacing="1" w:after="100" w:afterAutospacing="1"/>
        <w:jc w:val="both"/>
        <w:rPr>
          <w:rFonts w:ascii="Arial" w:hAnsi="Arial" w:cs="Arial"/>
          <w:szCs w:val="24"/>
        </w:rPr>
      </w:pPr>
      <w:r w:rsidRPr="0079297E">
        <w:rPr>
          <w:rFonts w:ascii="Arial" w:hAnsi="Arial" w:cs="Arial"/>
          <w:szCs w:val="24"/>
        </w:rPr>
        <w:t>Significantly, the cognitive advantages of bilingualism encompass into future life. Research has revealed that bilingual people undergo a delayed inception of dementia indications in comparison to monolinguals, proposing that bilingualism improves cognitive determination and reserve against age-associated mental decay (</w:t>
      </w:r>
      <w:proofErr w:type="spellStart"/>
      <w:r w:rsidRPr="0079297E">
        <w:rPr>
          <w:rFonts w:ascii="Arial" w:hAnsi="Arial" w:cs="Arial"/>
          <w:szCs w:val="24"/>
        </w:rPr>
        <w:t>Perani</w:t>
      </w:r>
      <w:proofErr w:type="spellEnd"/>
      <w:r w:rsidRPr="0079297E">
        <w:rPr>
          <w:rFonts w:ascii="Arial" w:hAnsi="Arial" w:cs="Arial"/>
          <w:szCs w:val="24"/>
        </w:rPr>
        <w:t xml:space="preserve"> &amp; </w:t>
      </w:r>
      <w:proofErr w:type="spellStart"/>
      <w:r w:rsidRPr="0079297E">
        <w:rPr>
          <w:rFonts w:ascii="Arial" w:hAnsi="Arial" w:cs="Arial"/>
          <w:szCs w:val="24"/>
        </w:rPr>
        <w:t>Abutalebi</w:t>
      </w:r>
      <w:proofErr w:type="spellEnd"/>
      <w:r w:rsidRPr="0079297E">
        <w:rPr>
          <w:rFonts w:ascii="Arial" w:hAnsi="Arial" w:cs="Arial"/>
          <w:szCs w:val="24"/>
        </w:rPr>
        <w:t xml:space="preserve">, 2015; Jansen, Higuera del Moral, </w:t>
      </w:r>
      <w:proofErr w:type="spellStart"/>
      <w:r w:rsidRPr="0079297E">
        <w:rPr>
          <w:rFonts w:ascii="Arial" w:hAnsi="Arial" w:cs="Arial"/>
          <w:szCs w:val="24"/>
        </w:rPr>
        <w:t>Barzen</w:t>
      </w:r>
      <w:proofErr w:type="spellEnd"/>
      <w:r w:rsidRPr="0079297E">
        <w:rPr>
          <w:rFonts w:ascii="Arial" w:hAnsi="Arial" w:cs="Arial"/>
          <w:szCs w:val="24"/>
        </w:rPr>
        <w:t xml:space="preserve">, Reimann, &amp; </w:t>
      </w:r>
      <w:proofErr w:type="spellStart"/>
      <w:r w:rsidRPr="0079297E">
        <w:rPr>
          <w:rFonts w:ascii="Arial" w:hAnsi="Arial" w:cs="Arial"/>
          <w:szCs w:val="24"/>
        </w:rPr>
        <w:t>Opolka</w:t>
      </w:r>
      <w:proofErr w:type="spellEnd"/>
      <w:r w:rsidRPr="0079297E">
        <w:rPr>
          <w:rFonts w:ascii="Arial" w:hAnsi="Arial" w:cs="Arial"/>
          <w:szCs w:val="24"/>
        </w:rPr>
        <w:t xml:space="preserve">, 2021).          </w:t>
      </w:r>
    </w:p>
    <w:p w14:paraId="2BBA56EF" w14:textId="77777777" w:rsidR="000464A4" w:rsidRPr="0079297E" w:rsidRDefault="000464A4" w:rsidP="003A5F10">
      <w:pPr>
        <w:spacing w:before="100" w:beforeAutospacing="1" w:after="100" w:afterAutospacing="1"/>
        <w:jc w:val="both"/>
        <w:rPr>
          <w:rFonts w:ascii="Arial" w:hAnsi="Arial" w:cs="Arial"/>
          <w:szCs w:val="24"/>
        </w:rPr>
      </w:pPr>
      <w:r w:rsidRPr="0079297E">
        <w:rPr>
          <w:rFonts w:ascii="Arial" w:hAnsi="Arial" w:cs="Arial"/>
          <w:szCs w:val="24"/>
        </w:rPr>
        <w:lastRenderedPageBreak/>
        <w:t xml:space="preserve">To sum up, initial bilingual know-how has a vital role to play in forming mental enhancement. They improve metalinguistic consciousness and executive functions during childhood and add to long-standing mental endurance and health.    </w:t>
      </w:r>
    </w:p>
    <w:p w14:paraId="26A5DF00" w14:textId="77777777" w:rsidR="000464A4" w:rsidRPr="00F15861" w:rsidRDefault="000464A4" w:rsidP="000464A4">
      <w:pPr>
        <w:spacing w:before="100" w:beforeAutospacing="1" w:after="100" w:afterAutospacing="1"/>
        <w:jc w:val="both"/>
        <w:outlineLvl w:val="2"/>
        <w:rPr>
          <w:rFonts w:ascii="Arial" w:hAnsi="Arial" w:cs="Arial"/>
          <w:b/>
          <w:bCs/>
          <w:sz w:val="22"/>
          <w:szCs w:val="24"/>
        </w:rPr>
      </w:pPr>
      <w:r w:rsidRPr="00F15861">
        <w:rPr>
          <w:rFonts w:ascii="Arial" w:hAnsi="Arial" w:cs="Arial"/>
          <w:b/>
          <w:bCs/>
          <w:sz w:val="22"/>
          <w:szCs w:val="24"/>
        </w:rPr>
        <w:t>1.3 Research Gap</w:t>
      </w:r>
    </w:p>
    <w:p w14:paraId="4468C41D"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Several research has confirmed the mental advantages of bilingualism, especially in executive functions like shifting tasks and regulating attention. A notable deficiency of studies is prevalent that instantaneously analyze diverse mental domains, for example, working memory, inhibitory control, and mental litheness applying mixed-methods systems as far as the preliminary learners are concerned. In distinct socio-economic and linguistic settings, this gap is predominantly discernible, in which the dealings between mental progress and bilingualism may solely make evident.                       </w:t>
      </w:r>
    </w:p>
    <w:p w14:paraId="02386075"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Neuroimaging methods were used by </w:t>
      </w:r>
      <w:proofErr w:type="spellStart"/>
      <w:r w:rsidRPr="00800B51">
        <w:rPr>
          <w:rFonts w:ascii="Arial" w:hAnsi="Arial" w:cs="Arial"/>
          <w:szCs w:val="24"/>
        </w:rPr>
        <w:t>Moriguchi</w:t>
      </w:r>
      <w:proofErr w:type="spellEnd"/>
      <w:r w:rsidRPr="00800B51">
        <w:rPr>
          <w:rFonts w:ascii="Arial" w:hAnsi="Arial" w:cs="Arial"/>
          <w:szCs w:val="24"/>
        </w:rPr>
        <w:t xml:space="preserve"> and </w:t>
      </w:r>
      <w:proofErr w:type="spellStart"/>
      <w:r w:rsidRPr="00800B51">
        <w:rPr>
          <w:rFonts w:ascii="Arial" w:hAnsi="Arial" w:cs="Arial"/>
          <w:szCs w:val="24"/>
        </w:rPr>
        <w:t>Lertladaluck</w:t>
      </w:r>
      <w:proofErr w:type="spellEnd"/>
      <w:r w:rsidRPr="00800B51">
        <w:rPr>
          <w:rFonts w:ascii="Arial" w:hAnsi="Arial" w:cs="Arial"/>
          <w:szCs w:val="24"/>
        </w:rPr>
        <w:t xml:space="preserve"> (2019) so that mental switching can be analyzed in bilingual preschoolers, revealing improved prefrontal prompting during task-switching happenings. Nonetheless, their attention was controlled to a certain mental domain, leaving added zones such as inhibitory control and working memory less scrutinized. Likewise, in bilingual offspring from low-income backdrops, Grote et al. (2021) analyzed the visual-spatial memory, discovering that bilinguals exceed monolinguals in certain deeds. Hitherto, this research did not take account of a further all-embracing range of mental tasks or employ a mixed-method design.            </w:t>
      </w:r>
    </w:p>
    <w:p w14:paraId="47D92CC3"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In addition, in executive function activities, meta-analyses have been performed by certain studies hinting that bilingual children often leave monolinguals behind. These examinations typically rest on quantitative data and do not delve into qualitative aspects that could offer profound discernments of the psychological procedures engaged (Wright &amp; Baker, 2025). The deficiency of qualitative data limits the intellectual capacity of the way bilingualism impacts mental enhancement in practical environments.    </w:t>
      </w:r>
    </w:p>
    <w:p w14:paraId="719720E3"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Besides, research such as that of Mohamed (2024) has focused on the impact of bilingualism on different cognitive zones, comprising auditory processing and language processing. Nevertheless, these studies often do not lay emphasis on early preliminary learners or use mixed-methods systems that unite quantitative evaluations with qualitative monitoring. </w:t>
      </w:r>
    </w:p>
    <w:p w14:paraId="4DD59276"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Moreover, findings have not been conclusive while certain studies have analyzed the relations between differing philosophies and bilingualism. For instance, no vital distinctions were discovered in research published in </w:t>
      </w:r>
      <w:r w:rsidRPr="00800B51">
        <w:rPr>
          <w:rFonts w:ascii="Arial" w:hAnsi="Arial" w:cs="Arial"/>
          <w:i/>
          <w:szCs w:val="24"/>
        </w:rPr>
        <w:t xml:space="preserve">Thinking Skills and Creativity </w:t>
      </w:r>
      <w:r w:rsidRPr="00800B51">
        <w:rPr>
          <w:rFonts w:ascii="Arial" w:hAnsi="Arial" w:cs="Arial"/>
          <w:szCs w:val="24"/>
        </w:rPr>
        <w:t xml:space="preserve">between research bilingual and monolingual children in different discerning activities, proposing that bilingualism’s mental benefits may not spread to every zone of cognition.       </w:t>
      </w:r>
    </w:p>
    <w:p w14:paraId="15608539" w14:textId="77777777" w:rsidR="000464A4" w:rsidRPr="00201125" w:rsidRDefault="000464A4" w:rsidP="003A5F10">
      <w:pPr>
        <w:spacing w:before="100" w:beforeAutospacing="1" w:after="100" w:afterAutospacing="1"/>
        <w:jc w:val="both"/>
        <w:rPr>
          <w:rFonts w:ascii="Arial" w:hAnsi="Arial" w:cs="Arial"/>
          <w:b/>
          <w:bCs/>
          <w:i/>
          <w:sz w:val="24"/>
          <w:szCs w:val="24"/>
        </w:rPr>
      </w:pPr>
      <w:r w:rsidRPr="00800B51">
        <w:rPr>
          <w:rFonts w:ascii="Arial" w:hAnsi="Arial" w:cs="Arial"/>
          <w:szCs w:val="24"/>
        </w:rPr>
        <w:t>In summary, there is a clear need for comprehensive studies that employ mixed-methods approaches to examine multiple cognitive domains simultaneously in early primary bilingual learners. Such research would provide a more holistic understanding of how bilingualism affects cognitive development and inform educational practices tailored to bilingual populations. The present paper does not involve primary data collection but proposes a conceptual framework for such studies, drawing upon an extensive synthesis of prior empirical research.</w:t>
      </w:r>
    </w:p>
    <w:p w14:paraId="32E392B5" w14:textId="77777777" w:rsidR="000464A4" w:rsidRPr="00262490" w:rsidRDefault="000464A4" w:rsidP="000464A4">
      <w:pPr>
        <w:spacing w:before="100" w:beforeAutospacing="1" w:after="100" w:afterAutospacing="1"/>
        <w:jc w:val="both"/>
        <w:outlineLvl w:val="2"/>
        <w:rPr>
          <w:rFonts w:ascii="Arial" w:hAnsi="Arial" w:cs="Arial"/>
          <w:b/>
          <w:bCs/>
          <w:sz w:val="22"/>
          <w:szCs w:val="24"/>
        </w:rPr>
      </w:pPr>
      <w:r w:rsidRPr="00262490">
        <w:rPr>
          <w:rFonts w:ascii="Arial" w:hAnsi="Arial" w:cs="Arial"/>
          <w:b/>
          <w:bCs/>
          <w:sz w:val="22"/>
          <w:szCs w:val="24"/>
        </w:rPr>
        <w:t>1.4 Research Question</w:t>
      </w:r>
    </w:p>
    <w:p w14:paraId="5F7FE9AB" w14:textId="77777777" w:rsidR="000464A4" w:rsidRPr="00D458E3" w:rsidRDefault="000464A4" w:rsidP="00D458E3">
      <w:pPr>
        <w:spacing w:before="100" w:beforeAutospacing="1" w:after="100" w:afterAutospacing="1"/>
        <w:jc w:val="both"/>
        <w:rPr>
          <w:rFonts w:ascii="Arial" w:hAnsi="Arial" w:cs="Arial"/>
          <w:szCs w:val="24"/>
        </w:rPr>
      </w:pPr>
      <w:r w:rsidRPr="00D458E3">
        <w:rPr>
          <w:rFonts w:ascii="Arial" w:hAnsi="Arial" w:cs="Arial"/>
          <w:bCs/>
          <w:szCs w:val="24"/>
        </w:rPr>
        <w:lastRenderedPageBreak/>
        <w:t>How does early bilingual education influence cognitive flexibility, executive function, and memory retention in comparison to monolingual education among primary school children?</w:t>
      </w:r>
    </w:p>
    <w:p w14:paraId="49341CA3" w14:textId="77777777" w:rsidR="000464A4" w:rsidRPr="00B11CAA" w:rsidRDefault="00703560" w:rsidP="00B11CAA">
      <w:pPr>
        <w:spacing w:before="100" w:beforeAutospacing="1" w:after="100" w:afterAutospacing="1"/>
        <w:outlineLvl w:val="1"/>
        <w:rPr>
          <w:rFonts w:ascii="Arial" w:hAnsi="Arial" w:cs="Arial"/>
          <w:b/>
          <w:bCs/>
          <w:sz w:val="22"/>
          <w:szCs w:val="24"/>
        </w:rPr>
      </w:pPr>
      <w:r>
        <w:rPr>
          <w:rFonts w:ascii="Arial" w:hAnsi="Arial" w:cs="Arial"/>
          <w:b/>
          <w:bCs/>
          <w:sz w:val="22"/>
          <w:szCs w:val="24"/>
        </w:rPr>
        <w:t xml:space="preserve">2. </w:t>
      </w:r>
      <w:r w:rsidR="00B11CAA" w:rsidRPr="00B11CAA">
        <w:rPr>
          <w:rFonts w:ascii="Arial" w:hAnsi="Arial" w:cs="Arial"/>
          <w:b/>
          <w:bCs/>
          <w:sz w:val="22"/>
          <w:szCs w:val="24"/>
        </w:rPr>
        <w:t>Literature Review</w:t>
      </w:r>
    </w:p>
    <w:p w14:paraId="6F3B790C" w14:textId="77777777" w:rsidR="000464A4" w:rsidRPr="00657737" w:rsidRDefault="000464A4" w:rsidP="000464A4">
      <w:pPr>
        <w:pStyle w:val="Heading3"/>
        <w:jc w:val="both"/>
        <w:rPr>
          <w:rFonts w:ascii="Arial" w:hAnsi="Arial" w:cs="Arial"/>
          <w:color w:val="auto"/>
          <w:sz w:val="22"/>
          <w:szCs w:val="24"/>
        </w:rPr>
      </w:pPr>
      <w:r w:rsidRPr="00657737">
        <w:rPr>
          <w:rFonts w:ascii="Arial" w:hAnsi="Arial" w:cs="Arial"/>
          <w:color w:val="auto"/>
          <w:sz w:val="22"/>
          <w:szCs w:val="24"/>
        </w:rPr>
        <w:t>2.1 Theoretical Frameworks on Bilingual Cognitive Advantage</w:t>
      </w:r>
    </w:p>
    <w:p w14:paraId="579FA769" w14:textId="77777777" w:rsidR="000464A4" w:rsidRPr="00DF5F30" w:rsidRDefault="000464A4" w:rsidP="00D14B39">
      <w:pPr>
        <w:spacing w:before="100" w:beforeAutospacing="1" w:after="100" w:afterAutospacing="1"/>
        <w:jc w:val="both"/>
        <w:rPr>
          <w:rFonts w:ascii="Arial" w:hAnsi="Arial" w:cs="Arial"/>
          <w:szCs w:val="24"/>
        </w:rPr>
      </w:pPr>
      <w:r w:rsidRPr="00DF5F30">
        <w:rPr>
          <w:rStyle w:val="relative"/>
          <w:rFonts w:ascii="Arial" w:hAnsi="Arial" w:cs="Arial"/>
          <w:szCs w:val="24"/>
        </w:rPr>
        <w:t>The relationship between bilingualism and cognitive development is deeply rooted in the interplay between language and thought.</w:t>
      </w:r>
      <w:r w:rsidRPr="00DF5F30">
        <w:rPr>
          <w:rFonts w:ascii="Arial" w:hAnsi="Arial" w:cs="Arial"/>
          <w:szCs w:val="24"/>
        </w:rPr>
        <w:t xml:space="preserve"> </w:t>
      </w:r>
      <w:r w:rsidRPr="00DF5F30">
        <w:rPr>
          <w:rStyle w:val="relative"/>
          <w:rFonts w:ascii="Arial" w:hAnsi="Arial" w:cs="Arial"/>
          <w:szCs w:val="24"/>
        </w:rPr>
        <w:t>Hamers and Blanc (2000) emphasize that bilingualism must be examined within the broader context of sociocultural influences, asserting that language development and cognitive growth are intimately connected.</w:t>
      </w:r>
      <w:r w:rsidRPr="00DF5F30">
        <w:rPr>
          <w:rFonts w:ascii="Arial" w:hAnsi="Arial" w:cs="Arial"/>
          <w:szCs w:val="24"/>
        </w:rPr>
        <w:t xml:space="preserve"> </w:t>
      </w:r>
      <w:r w:rsidRPr="00DF5F30">
        <w:rPr>
          <w:rStyle w:val="relative"/>
          <w:rFonts w:ascii="Arial" w:hAnsi="Arial" w:cs="Arial"/>
          <w:szCs w:val="24"/>
        </w:rPr>
        <w:t>Their work underscores the necessity of considering environmental and cultural factors when assessing the cognitive outcomes of bilingual individuals.</w:t>
      </w:r>
      <w:r w:rsidRPr="00DF5F30">
        <w:rPr>
          <w:rFonts w:ascii="Arial" w:hAnsi="Arial" w:cs="Arial"/>
          <w:szCs w:val="24"/>
        </w:rPr>
        <w:t xml:space="preserve"> </w:t>
      </w:r>
    </w:p>
    <w:p w14:paraId="22E65045" w14:textId="77777777" w:rsidR="000464A4" w:rsidRPr="00DF5F30" w:rsidRDefault="000464A4" w:rsidP="00D14B39">
      <w:pPr>
        <w:spacing w:before="100" w:beforeAutospacing="1" w:after="100" w:afterAutospacing="1"/>
        <w:jc w:val="both"/>
        <w:rPr>
          <w:rStyle w:val="relative"/>
          <w:rFonts w:ascii="Arial" w:hAnsi="Arial" w:cs="Arial"/>
          <w:szCs w:val="24"/>
        </w:rPr>
      </w:pPr>
      <w:r w:rsidRPr="00DF5F30">
        <w:rPr>
          <w:rStyle w:val="relative"/>
          <w:rFonts w:ascii="Arial" w:hAnsi="Arial" w:cs="Arial"/>
          <w:szCs w:val="24"/>
        </w:rPr>
        <w:t xml:space="preserve">According to the threshold theory, a particular efficiency level is essential in both languages for bilingual people to undergo cognitive advantages. A study by Cummins (2000) backs up this theory, implying that achievers of high skills in both languages display cognitive benefits over monolinguals. This offers that humble exposure to two languages is not ample; the profoundness of knowledge is vital in both as far as cognitive development is concerned.        </w:t>
      </w:r>
    </w:p>
    <w:p w14:paraId="78A23AD5" w14:textId="77777777" w:rsidR="000464A4" w:rsidRPr="00657737" w:rsidRDefault="000464A4" w:rsidP="000464A4">
      <w:pPr>
        <w:pStyle w:val="Heading3"/>
        <w:jc w:val="both"/>
        <w:rPr>
          <w:rFonts w:ascii="Arial" w:hAnsi="Arial" w:cs="Arial"/>
          <w:color w:val="auto"/>
          <w:sz w:val="22"/>
          <w:szCs w:val="24"/>
        </w:rPr>
      </w:pPr>
      <w:r w:rsidRPr="00657737">
        <w:rPr>
          <w:rFonts w:ascii="Arial" w:hAnsi="Arial" w:cs="Arial"/>
          <w:color w:val="auto"/>
          <w:sz w:val="22"/>
          <w:szCs w:val="24"/>
        </w:rPr>
        <w:t>2.2 Executive Control and Task-Switching in Bilinguals</w:t>
      </w:r>
    </w:p>
    <w:p w14:paraId="02B8006F" w14:textId="77777777" w:rsidR="000464A4" w:rsidRPr="0071647C" w:rsidRDefault="000464A4" w:rsidP="0071647C">
      <w:pPr>
        <w:spacing w:before="100" w:beforeAutospacing="1" w:after="100" w:afterAutospacing="1"/>
        <w:jc w:val="both"/>
        <w:rPr>
          <w:rStyle w:val="relative"/>
          <w:rFonts w:ascii="Arial" w:hAnsi="Arial" w:cs="Arial"/>
          <w:szCs w:val="24"/>
        </w:rPr>
      </w:pPr>
      <w:r w:rsidRPr="0071647C">
        <w:rPr>
          <w:rStyle w:val="relative"/>
          <w:rFonts w:ascii="Arial" w:hAnsi="Arial" w:cs="Arial"/>
          <w:szCs w:val="24"/>
        </w:rPr>
        <w:t>The most recent research has offered empirical validation backing up the impression that bilingualism advances executive functions, mainly in zones like cognitive suppleness and task-switching. Li et al. (2023) employed functional near-infrared spectroscopy (</w:t>
      </w:r>
      <w:proofErr w:type="spellStart"/>
      <w:proofErr w:type="gramStart"/>
      <w:r w:rsidRPr="0071647C">
        <w:rPr>
          <w:rStyle w:val="relative"/>
          <w:rFonts w:ascii="Arial" w:hAnsi="Arial" w:cs="Arial"/>
          <w:szCs w:val="24"/>
        </w:rPr>
        <w:t>fNIRS</w:t>
      </w:r>
      <w:proofErr w:type="spellEnd"/>
      <w:r w:rsidRPr="0071647C">
        <w:rPr>
          <w:rStyle w:val="relative"/>
          <w:rFonts w:ascii="Arial" w:hAnsi="Arial" w:cs="Arial"/>
          <w:szCs w:val="24"/>
        </w:rPr>
        <w:t>)  with</w:t>
      </w:r>
      <w:proofErr w:type="gramEnd"/>
      <w:r w:rsidRPr="0071647C">
        <w:rPr>
          <w:rStyle w:val="relative"/>
          <w:rFonts w:ascii="Arial" w:hAnsi="Arial" w:cs="Arial"/>
          <w:szCs w:val="24"/>
        </w:rPr>
        <w:t xml:space="preserve"> a view to illustrating that bilingual people showcase further skillful executive function, as reinforced by neural correlates linked with cognitive transmission.        </w:t>
      </w:r>
    </w:p>
    <w:p w14:paraId="67F549F6" w14:textId="77777777" w:rsidR="000464A4" w:rsidRPr="0071647C" w:rsidRDefault="000464A4" w:rsidP="0071647C">
      <w:pPr>
        <w:spacing w:before="100" w:beforeAutospacing="1" w:after="100" w:afterAutospacing="1"/>
        <w:jc w:val="both"/>
        <w:rPr>
          <w:rStyle w:val="relative"/>
          <w:rFonts w:ascii="Arial" w:hAnsi="Arial" w:cs="Arial"/>
          <w:szCs w:val="24"/>
        </w:rPr>
      </w:pPr>
      <w:r w:rsidRPr="0071647C">
        <w:rPr>
          <w:rStyle w:val="relative"/>
          <w:rFonts w:ascii="Arial" w:hAnsi="Arial" w:cs="Arial"/>
          <w:szCs w:val="24"/>
        </w:rPr>
        <w:t xml:space="preserve">Besides, Paap’s (2022) methodical review examined miscellaneous components of executive function, consisting of working memory, focus, and inhibition. The review settled that bilingual people often outdo monolinguals in these domains, though the sizes of the effects were diffident.       </w:t>
      </w:r>
    </w:p>
    <w:p w14:paraId="48233F95" w14:textId="77777777" w:rsidR="000464A4" w:rsidRPr="0071647C" w:rsidRDefault="000464A4" w:rsidP="0071647C">
      <w:pPr>
        <w:spacing w:before="100" w:beforeAutospacing="1" w:after="100" w:afterAutospacing="1"/>
        <w:jc w:val="both"/>
        <w:rPr>
          <w:rFonts w:ascii="Arial" w:hAnsi="Arial" w:cs="Arial"/>
          <w:szCs w:val="24"/>
        </w:rPr>
      </w:pPr>
      <w:r w:rsidRPr="0071647C">
        <w:rPr>
          <w:rStyle w:val="relative"/>
          <w:rFonts w:ascii="Arial" w:hAnsi="Arial" w:cs="Arial"/>
          <w:szCs w:val="24"/>
        </w:rPr>
        <w:t xml:space="preserve">The extent of bilingualism, in primary childhood, has been related to variances in executive function performance. Tran et al.’s (2019) research discovered that bilingual offspring, who are in the same way competent in both languages, put higher performance on display in undertakings measuring mental litheness and inhibitory regulation in comparison to monolingual peers. Likewise, it was reported by Hansen, </w:t>
      </w:r>
      <w:proofErr w:type="spellStart"/>
      <w:r w:rsidRPr="0071647C">
        <w:rPr>
          <w:rStyle w:val="relative"/>
          <w:rFonts w:ascii="Arial" w:hAnsi="Arial" w:cs="Arial"/>
          <w:szCs w:val="24"/>
        </w:rPr>
        <w:t>Slawny</w:t>
      </w:r>
      <w:proofErr w:type="spellEnd"/>
      <w:r w:rsidRPr="0071647C">
        <w:rPr>
          <w:rStyle w:val="relative"/>
          <w:rFonts w:ascii="Arial" w:hAnsi="Arial" w:cs="Arial"/>
          <w:szCs w:val="24"/>
        </w:rPr>
        <w:t xml:space="preserve">, and </w:t>
      </w:r>
      <w:proofErr w:type="spellStart"/>
      <w:r w:rsidRPr="0071647C">
        <w:rPr>
          <w:rStyle w:val="relative"/>
          <w:rFonts w:ascii="Arial" w:hAnsi="Arial" w:cs="Arial"/>
          <w:szCs w:val="24"/>
        </w:rPr>
        <w:t>Kaushanskaya</w:t>
      </w:r>
      <w:proofErr w:type="spellEnd"/>
      <w:r w:rsidRPr="0071647C">
        <w:rPr>
          <w:rStyle w:val="relative"/>
          <w:rFonts w:ascii="Arial" w:hAnsi="Arial" w:cs="Arial"/>
          <w:szCs w:val="24"/>
        </w:rPr>
        <w:t xml:space="preserve"> (2025) that the capacity of bilingual children to handle cross-speaker code-switching was constructively connected with their inhibitory regulation, emphasizing the cognitive demands of numerous linguistic inputs.       </w:t>
      </w:r>
      <w:r w:rsidRPr="0071647C">
        <w:rPr>
          <w:rFonts w:ascii="Arial" w:hAnsi="Arial" w:cs="Arial"/>
          <w:szCs w:val="24"/>
        </w:rPr>
        <w:t xml:space="preserve">  </w:t>
      </w:r>
    </w:p>
    <w:p w14:paraId="0B4B001D" w14:textId="77777777" w:rsidR="000464A4" w:rsidRPr="0071647C" w:rsidRDefault="000464A4" w:rsidP="0071647C">
      <w:pPr>
        <w:spacing w:before="100" w:beforeAutospacing="1" w:after="100" w:afterAutospacing="1"/>
        <w:jc w:val="both"/>
        <w:rPr>
          <w:rFonts w:ascii="Arial" w:hAnsi="Arial" w:cs="Arial"/>
          <w:szCs w:val="24"/>
        </w:rPr>
      </w:pPr>
      <w:r w:rsidRPr="0071647C">
        <w:rPr>
          <w:rFonts w:ascii="Arial" w:hAnsi="Arial" w:cs="Arial"/>
          <w:szCs w:val="24"/>
        </w:rPr>
        <w:t xml:space="preserve">Moreover, the study points out that the setting of language utilization impacts executive functions in bilinguals. It has been suggested by Green and </w:t>
      </w:r>
      <w:proofErr w:type="spellStart"/>
      <w:r w:rsidRPr="0071647C">
        <w:rPr>
          <w:rFonts w:ascii="Arial" w:hAnsi="Arial" w:cs="Arial"/>
          <w:szCs w:val="24"/>
        </w:rPr>
        <w:t>Abutalebi</w:t>
      </w:r>
      <w:proofErr w:type="spellEnd"/>
      <w:r w:rsidRPr="0071647C">
        <w:rPr>
          <w:rFonts w:ascii="Arial" w:hAnsi="Arial" w:cs="Arial"/>
          <w:szCs w:val="24"/>
        </w:rPr>
        <w:t xml:space="preserve"> (2013) that bilinguals functioning in the settings of dual languages, in which both languages are utilized alternately, need better language control levels, in that way improving their executive functions further those in dense code-switching settings or single-language.        </w:t>
      </w:r>
    </w:p>
    <w:p w14:paraId="575008DD" w14:textId="77777777" w:rsidR="000464A4" w:rsidRPr="004236F8" w:rsidRDefault="000464A4" w:rsidP="000464A4">
      <w:pPr>
        <w:spacing w:before="100" w:beforeAutospacing="1" w:after="100" w:afterAutospacing="1"/>
        <w:jc w:val="both"/>
        <w:rPr>
          <w:rFonts w:ascii="Arial" w:hAnsi="Arial" w:cs="Arial"/>
          <w:sz w:val="24"/>
          <w:szCs w:val="24"/>
        </w:rPr>
      </w:pPr>
      <w:r w:rsidRPr="004236F8">
        <w:rPr>
          <w:rFonts w:ascii="Arial" w:hAnsi="Arial" w:cs="Arial"/>
          <w:b/>
          <w:bCs/>
          <w:sz w:val="22"/>
          <w:szCs w:val="24"/>
        </w:rPr>
        <w:t>2.3 Early Language Acquisition and Plasticity</w:t>
      </w:r>
    </w:p>
    <w:p w14:paraId="3470E632"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lastRenderedPageBreak/>
        <w:t xml:space="preserve">The idea of crucial periods in the acquisition of language, Lenneberg (1967) primarily suggested, speculates that an organically resolute window subsists during which language learning happens most skillfully and naturally. This idea is backed up by modern studies, hinting that the plasticity of the brain is intensified during initial childhood, allowing the acquisition of the structures of language. For example, Kuhl’s (2011) research lays emphasis on the importance of early auditory know-how in forming phonetic insight, focusing that babies are especially receptive to the input of language during life’s first year.           </w:t>
      </w:r>
    </w:p>
    <w:p w14:paraId="6A3BD2D2"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From studies on global adoptees, more proof of preliminary neural pledge to language appears. Scholars at Montreal’s Neurological Institute and McGill University performed research in which it was discovered that babies who get exposure to a language at birth maintain neural patterns connected with that language, even though they stop utilizing it later in life. This proposes that preliminary exposure to language constructs basic neural prototypes that continue over the course of time.         </w:t>
      </w:r>
    </w:p>
    <w:p w14:paraId="1413A725"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The adaptableness of the brain is also obvious in cases of sensory deprivation. Research by Johns Hopkins University showed that congenitally blind children of five years old have the ability to reutilize parts of their visual areas of the brain so that speech can be processed, illustrating the notable suppleness in light of initial know-how.        </w:t>
      </w:r>
    </w:p>
    <w:p w14:paraId="50FFFCA6"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Besides, the occurrence of perceptual contraction demonstrates the way babies’ capacity to differentiate between phonemes of diverse languages decreases as they become rather familiar with their mother tongue’s sounds. This procedure takes place within the first year of life and it focuses on the significance of preliminary exposure of language in forming the capacities of phonetic discernment.       </w:t>
      </w:r>
    </w:p>
    <w:p w14:paraId="078C4DB7"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The crucial moments for the acquisition of language are most evident in preliminary childhood (Benson &amp; Haith, 2010), certain facets of language learning, like the expansion of words, linger across life. Nonetheless, the acquisition of some aspects of language such as phonology and syntax becomes growingly thought-provoking with age, focusing on the language advancement’s time-sensitive nature.          </w:t>
      </w:r>
    </w:p>
    <w:p w14:paraId="2C8E1E0E" w14:textId="77777777" w:rsidR="000464A4" w:rsidRPr="001A0B27" w:rsidRDefault="000464A4" w:rsidP="000464A4">
      <w:pPr>
        <w:spacing w:before="100" w:beforeAutospacing="1" w:after="100" w:afterAutospacing="1"/>
        <w:jc w:val="both"/>
        <w:rPr>
          <w:rFonts w:ascii="Arial" w:hAnsi="Arial" w:cs="Arial"/>
          <w:sz w:val="22"/>
          <w:szCs w:val="24"/>
        </w:rPr>
      </w:pPr>
      <w:r w:rsidRPr="001A0B27">
        <w:rPr>
          <w:rFonts w:ascii="Arial" w:hAnsi="Arial" w:cs="Arial"/>
          <w:b/>
          <w:bCs/>
          <w:sz w:val="22"/>
          <w:szCs w:val="24"/>
        </w:rPr>
        <w:t>2.4 Cross-Linguistic Transfer and Metalinguistic Skills</w:t>
      </w:r>
    </w:p>
    <w:p w14:paraId="6323B7E1"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The cross-linguistic shift indicates the impact of one language on the acquisition or utilization of another. The notion of linguistic interconnectedness was presented by Cummins (2000), proposing that efficiency in a mother language can be helpful in improving a second language. This idea is backed up by studies hinting that metalinguistic consciousness (comprehending and influencing the frameworks of language) has a pivotal role to play in the bilingual improvement of language.     </w:t>
      </w:r>
    </w:p>
    <w:p w14:paraId="6C5226CD"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Zhang, Chin, and Li (2017) conducted extended research that analyzed bilingual children speaking Malay and English and discovered that morphological and phonological consciousness vitally foretold word reading in both languages. The research also noticed cross-linguistic shift effects, in which competencies in one language allowed the improvement of reading in the other.    </w:t>
      </w:r>
    </w:p>
    <w:p w14:paraId="26A76E2D"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Likewise, Forbes’ (2020) on the morphological and phonological consciousness abilities of bilingual children displayed that these metalinguistic skills are interrelated throughout languages. The research emphasized that bilingual children enhance a further subtle comprehension of language frameworks, which backs up the advancement of literacy in both languages (Forbes, 2020).</w:t>
      </w:r>
    </w:p>
    <w:p w14:paraId="003A76D0" w14:textId="77777777" w:rsidR="000464A4" w:rsidRPr="00D6628C" w:rsidRDefault="000464A4" w:rsidP="00D6628C">
      <w:pPr>
        <w:spacing w:before="100" w:beforeAutospacing="1" w:after="100" w:afterAutospacing="1"/>
        <w:jc w:val="both"/>
        <w:rPr>
          <w:rFonts w:ascii="Arial" w:hAnsi="Arial" w:cs="Arial"/>
          <w:szCs w:val="24"/>
        </w:rPr>
      </w:pPr>
      <w:proofErr w:type="spellStart"/>
      <w:r w:rsidRPr="00D6628C">
        <w:rPr>
          <w:rFonts w:ascii="Arial" w:hAnsi="Arial" w:cs="Arial"/>
          <w:szCs w:val="24"/>
        </w:rPr>
        <w:lastRenderedPageBreak/>
        <w:t>Atouf</w:t>
      </w:r>
      <w:proofErr w:type="spellEnd"/>
      <w:r w:rsidRPr="00D6628C">
        <w:rPr>
          <w:rFonts w:ascii="Arial" w:hAnsi="Arial" w:cs="Arial"/>
          <w:szCs w:val="24"/>
        </w:rPr>
        <w:t xml:space="preserve"> and </w:t>
      </w:r>
      <w:proofErr w:type="spellStart"/>
      <w:r w:rsidRPr="00D6628C">
        <w:rPr>
          <w:rFonts w:ascii="Arial" w:hAnsi="Arial" w:cs="Arial"/>
          <w:szCs w:val="24"/>
        </w:rPr>
        <w:t>Harrizi</w:t>
      </w:r>
      <w:proofErr w:type="spellEnd"/>
      <w:r w:rsidRPr="00D6628C">
        <w:rPr>
          <w:rFonts w:ascii="Arial" w:hAnsi="Arial" w:cs="Arial"/>
          <w:szCs w:val="24"/>
        </w:rPr>
        <w:t xml:space="preserve"> performed quasi-experimental research in the setting of Moroccan university learners with problems in reading. The study illustrated that interventions aiming at metalinguistic abilities in English led to advancements in Arabic reading skills. This upturned ‘shift effect’ highlights the cross-linguistic impact’s bidirectional nature.     </w:t>
      </w:r>
    </w:p>
    <w:p w14:paraId="5DECC175"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Moreover, Yang, </w:t>
      </w:r>
      <w:proofErr w:type="spellStart"/>
      <w:r w:rsidRPr="00D6628C">
        <w:rPr>
          <w:rFonts w:ascii="Arial" w:hAnsi="Arial" w:cs="Arial"/>
          <w:szCs w:val="24"/>
        </w:rPr>
        <w:t>Cooc</w:t>
      </w:r>
      <w:proofErr w:type="spellEnd"/>
      <w:r w:rsidRPr="00D6628C">
        <w:rPr>
          <w:rFonts w:ascii="Arial" w:hAnsi="Arial" w:cs="Arial"/>
          <w:szCs w:val="24"/>
        </w:rPr>
        <w:t xml:space="preserve">, and Sheng’s (2017) meta-analysis explored the crosslinguistic shift between English and Chinese and discovered connections in morphological consciousness, words, deciphering abilities, and phonological consciousness. These outcomes propose that underlying mental abilities have the ability to transfer throughout the frontiers of language in spite of structural distinctions between languages.  </w:t>
      </w:r>
    </w:p>
    <w:p w14:paraId="5EC692AD" w14:textId="77777777" w:rsidR="000464A4" w:rsidRPr="005D2E2D" w:rsidRDefault="000464A4" w:rsidP="000464A4">
      <w:pPr>
        <w:pStyle w:val="Heading3"/>
        <w:jc w:val="both"/>
        <w:rPr>
          <w:rFonts w:ascii="Arial" w:hAnsi="Arial" w:cs="Arial"/>
          <w:color w:val="auto"/>
          <w:sz w:val="22"/>
          <w:szCs w:val="24"/>
        </w:rPr>
      </w:pPr>
      <w:r w:rsidRPr="005D2E2D">
        <w:rPr>
          <w:rStyle w:val="relative"/>
          <w:rFonts w:ascii="Arial" w:hAnsi="Arial" w:cs="Arial"/>
          <w:color w:val="auto"/>
          <w:sz w:val="22"/>
          <w:szCs w:val="24"/>
        </w:rPr>
        <w:t>2.5 Educational Models for Multilingual Classrooms</w:t>
      </w:r>
    </w:p>
    <w:p w14:paraId="02F5D1AA" w14:textId="77777777" w:rsidR="000464A4" w:rsidRPr="003169D7" w:rsidRDefault="000464A4" w:rsidP="003169D7">
      <w:pPr>
        <w:spacing w:before="100" w:beforeAutospacing="1" w:after="100" w:afterAutospacing="1"/>
        <w:jc w:val="both"/>
        <w:rPr>
          <w:rStyle w:val="relative"/>
          <w:rFonts w:ascii="Arial" w:hAnsi="Arial" w:cs="Arial"/>
          <w:szCs w:val="24"/>
        </w:rPr>
      </w:pPr>
      <w:r w:rsidRPr="003169D7">
        <w:rPr>
          <w:rStyle w:val="relative"/>
          <w:rFonts w:ascii="Arial" w:hAnsi="Arial" w:cs="Arial"/>
          <w:szCs w:val="24"/>
        </w:rPr>
        <w:t xml:space="preserve">The selection of instructional models vitally impacts the cognitive and linguistic advancement of the learners. Latest studies provide profound perceptions of helpful learning models for multilingual classrooms beyond the basic ideas of subtractive and additive bilingualism (Lambert, 1975) and the significance of mentor and curriculum assistance (García &amp; Wei, 2014).    </w:t>
      </w:r>
    </w:p>
    <w:p w14:paraId="2B791FEE" w14:textId="77777777" w:rsidR="000464A4" w:rsidRPr="002B3C74" w:rsidRDefault="003169D7" w:rsidP="000464A4">
      <w:pPr>
        <w:pStyle w:val="Heading4"/>
        <w:spacing w:before="0" w:line="240" w:lineRule="auto"/>
        <w:jc w:val="both"/>
        <w:rPr>
          <w:rFonts w:ascii="Arial" w:hAnsi="Arial" w:cs="Arial"/>
          <w:i w:val="0"/>
          <w:color w:val="auto"/>
          <w:sz w:val="20"/>
          <w:szCs w:val="24"/>
          <w:u w:val="single"/>
        </w:rPr>
      </w:pPr>
      <w:r w:rsidRPr="002B3C74">
        <w:rPr>
          <w:rFonts w:ascii="Arial" w:hAnsi="Arial" w:cs="Arial"/>
          <w:i w:val="0"/>
          <w:color w:val="auto"/>
          <w:sz w:val="20"/>
          <w:szCs w:val="24"/>
          <w:u w:val="single"/>
        </w:rPr>
        <w:t xml:space="preserve">2.5.1 </w:t>
      </w:r>
      <w:proofErr w:type="spellStart"/>
      <w:r w:rsidR="000464A4" w:rsidRPr="002B3C74">
        <w:rPr>
          <w:rFonts w:ascii="Arial" w:hAnsi="Arial" w:cs="Arial"/>
          <w:i w:val="0"/>
          <w:color w:val="auto"/>
          <w:sz w:val="20"/>
          <w:szCs w:val="24"/>
          <w:u w:val="single"/>
        </w:rPr>
        <w:t>Pluricentric</w:t>
      </w:r>
      <w:proofErr w:type="spellEnd"/>
      <w:r w:rsidR="000464A4" w:rsidRPr="002B3C74">
        <w:rPr>
          <w:rFonts w:ascii="Arial" w:hAnsi="Arial" w:cs="Arial"/>
          <w:i w:val="0"/>
          <w:color w:val="auto"/>
          <w:sz w:val="20"/>
          <w:szCs w:val="24"/>
          <w:u w:val="single"/>
        </w:rPr>
        <w:t xml:space="preserve"> Bilingual Education</w:t>
      </w:r>
    </w:p>
    <w:p w14:paraId="60CAB7A4" w14:textId="77777777" w:rsidR="000464A4" w:rsidRPr="00201125" w:rsidRDefault="000464A4" w:rsidP="000464A4">
      <w:pPr>
        <w:tabs>
          <w:tab w:val="left" w:pos="3132"/>
        </w:tabs>
        <w:jc w:val="both"/>
        <w:rPr>
          <w:rFonts w:ascii="Arial" w:hAnsi="Arial" w:cs="Arial"/>
          <w:sz w:val="24"/>
          <w:szCs w:val="24"/>
        </w:rPr>
      </w:pPr>
    </w:p>
    <w:p w14:paraId="5BF3F8AD" w14:textId="77777777" w:rsidR="000464A4" w:rsidRPr="0088081C" w:rsidRDefault="000464A4" w:rsidP="003169D7">
      <w:pPr>
        <w:tabs>
          <w:tab w:val="left" w:pos="3132"/>
        </w:tabs>
        <w:jc w:val="both"/>
        <w:rPr>
          <w:rStyle w:val="relative"/>
          <w:rFonts w:ascii="Arial" w:hAnsi="Arial" w:cs="Arial"/>
          <w:szCs w:val="24"/>
        </w:rPr>
      </w:pPr>
      <w:r w:rsidRPr="0088081C">
        <w:rPr>
          <w:rFonts w:ascii="Arial" w:hAnsi="Arial" w:cs="Arial"/>
          <w:szCs w:val="24"/>
        </w:rPr>
        <w:t>The concurrent advancement of the first language (L1) and the second language (L2) (Jette, Hansen Edwards, &amp; Zampini, 2008)</w:t>
      </w:r>
      <w:r w:rsidRPr="0088081C">
        <w:rPr>
          <w:rStyle w:val="relative"/>
          <w:rFonts w:ascii="Arial" w:hAnsi="Arial" w:cs="Arial"/>
          <w:szCs w:val="24"/>
        </w:rPr>
        <w:t xml:space="preserve"> is highlighted by the </w:t>
      </w:r>
      <w:proofErr w:type="spellStart"/>
      <w:r w:rsidRPr="0088081C">
        <w:rPr>
          <w:rStyle w:val="relative"/>
          <w:rFonts w:ascii="Arial" w:hAnsi="Arial" w:cs="Arial"/>
          <w:szCs w:val="24"/>
        </w:rPr>
        <w:t>pluricentric</w:t>
      </w:r>
      <w:proofErr w:type="spellEnd"/>
      <w:r w:rsidRPr="0088081C">
        <w:rPr>
          <w:rStyle w:val="relative"/>
          <w:rFonts w:ascii="Arial" w:hAnsi="Arial" w:cs="Arial"/>
          <w:szCs w:val="24"/>
        </w:rPr>
        <w:t xml:space="preserve"> approach to bilingual education, challenging conventional </w:t>
      </w:r>
      <w:proofErr w:type="spellStart"/>
      <w:r w:rsidRPr="0088081C">
        <w:rPr>
          <w:rStyle w:val="relative"/>
          <w:rFonts w:ascii="Arial" w:hAnsi="Arial" w:cs="Arial"/>
          <w:szCs w:val="24"/>
        </w:rPr>
        <w:t>monoglossic</w:t>
      </w:r>
      <w:proofErr w:type="spellEnd"/>
      <w:r w:rsidRPr="0088081C">
        <w:rPr>
          <w:rStyle w:val="relative"/>
          <w:rFonts w:ascii="Arial" w:hAnsi="Arial" w:cs="Arial"/>
          <w:szCs w:val="24"/>
        </w:rPr>
        <w:t xml:space="preserve"> principles that detach languages in instruction. </w:t>
      </w:r>
      <w:proofErr w:type="spellStart"/>
      <w:r w:rsidRPr="0088081C">
        <w:rPr>
          <w:rStyle w:val="relative"/>
          <w:rFonts w:ascii="Arial" w:hAnsi="Arial" w:cs="Arial"/>
          <w:szCs w:val="24"/>
        </w:rPr>
        <w:t>Chularut</w:t>
      </w:r>
      <w:proofErr w:type="spellEnd"/>
      <w:r w:rsidRPr="0088081C">
        <w:rPr>
          <w:rStyle w:val="relative"/>
          <w:rFonts w:ascii="Arial" w:hAnsi="Arial" w:cs="Arial"/>
          <w:szCs w:val="24"/>
        </w:rPr>
        <w:t xml:space="preserve"> et al.’s (2020) case study displayed that learners involved in a </w:t>
      </w:r>
      <w:proofErr w:type="spellStart"/>
      <w:r w:rsidRPr="0088081C">
        <w:rPr>
          <w:rStyle w:val="relative"/>
          <w:rFonts w:ascii="Arial" w:hAnsi="Arial" w:cs="Arial"/>
          <w:szCs w:val="24"/>
        </w:rPr>
        <w:t>pluricentric</w:t>
      </w:r>
      <w:proofErr w:type="spellEnd"/>
      <w:r w:rsidRPr="0088081C">
        <w:rPr>
          <w:rStyle w:val="relative"/>
          <w:rFonts w:ascii="Arial" w:hAnsi="Arial" w:cs="Arial"/>
          <w:szCs w:val="24"/>
        </w:rPr>
        <w:t xml:space="preserve"> bilingual program displayed improved efficiency in writing and reading in L1 and L2. Respondents also mentioned that they experienced self-assurance and self-efficacy in employing both languages, hinting at the helpfulness of incorporated bilingual instruction. This system is in line with the interdependence theory, proposing that competence attained in one language can constructively shift to another.                 </w:t>
      </w:r>
      <w:r w:rsidRPr="0088081C">
        <w:rPr>
          <w:rStyle w:val="relative"/>
          <w:rFonts w:ascii="Arial" w:hAnsi="Arial" w:cs="Arial"/>
          <w:szCs w:val="24"/>
        </w:rPr>
        <w:tab/>
      </w:r>
    </w:p>
    <w:p w14:paraId="3997E67B" w14:textId="77777777" w:rsidR="000464A4" w:rsidRPr="0088081C" w:rsidRDefault="000464A4" w:rsidP="000464A4">
      <w:pPr>
        <w:pStyle w:val="Heading4"/>
        <w:spacing w:before="0" w:line="240" w:lineRule="auto"/>
        <w:jc w:val="both"/>
        <w:rPr>
          <w:rFonts w:ascii="Arial" w:hAnsi="Arial" w:cs="Arial"/>
          <w:i w:val="0"/>
          <w:color w:val="auto"/>
          <w:sz w:val="20"/>
          <w:szCs w:val="24"/>
        </w:rPr>
      </w:pPr>
    </w:p>
    <w:p w14:paraId="1371CA2A" w14:textId="77777777" w:rsidR="000464A4" w:rsidRPr="002B3C74" w:rsidRDefault="002B3C74" w:rsidP="000464A4">
      <w:pPr>
        <w:pStyle w:val="Heading4"/>
        <w:spacing w:before="0" w:line="240" w:lineRule="auto"/>
        <w:jc w:val="both"/>
        <w:rPr>
          <w:rFonts w:ascii="Arial" w:hAnsi="Arial" w:cs="Arial"/>
          <w:i w:val="0"/>
          <w:color w:val="auto"/>
          <w:sz w:val="20"/>
          <w:szCs w:val="24"/>
          <w:u w:val="single"/>
        </w:rPr>
      </w:pPr>
      <w:r w:rsidRPr="002B3C74">
        <w:rPr>
          <w:rFonts w:ascii="Arial" w:hAnsi="Arial" w:cs="Arial"/>
          <w:i w:val="0"/>
          <w:color w:val="auto"/>
          <w:sz w:val="20"/>
          <w:szCs w:val="24"/>
          <w:u w:val="single"/>
        </w:rPr>
        <w:t xml:space="preserve">2.5.2 </w:t>
      </w:r>
      <w:r w:rsidR="000464A4" w:rsidRPr="002B3C74">
        <w:rPr>
          <w:rFonts w:ascii="Arial" w:hAnsi="Arial" w:cs="Arial"/>
          <w:i w:val="0"/>
          <w:color w:val="auto"/>
          <w:sz w:val="20"/>
          <w:szCs w:val="24"/>
          <w:u w:val="single"/>
        </w:rPr>
        <w:t>Translanguaging Pedagogy</w:t>
      </w:r>
    </w:p>
    <w:p w14:paraId="0F6559B2" w14:textId="77777777" w:rsidR="000464A4" w:rsidRPr="00201125" w:rsidRDefault="000464A4" w:rsidP="000464A4">
      <w:pPr>
        <w:jc w:val="both"/>
        <w:rPr>
          <w:rFonts w:ascii="Arial" w:hAnsi="Arial" w:cs="Arial"/>
          <w:sz w:val="24"/>
          <w:szCs w:val="24"/>
        </w:rPr>
      </w:pPr>
    </w:p>
    <w:p w14:paraId="3E2EAA20" w14:textId="77777777" w:rsidR="000464A4" w:rsidRPr="00D3034A" w:rsidRDefault="000464A4" w:rsidP="00E41DC1">
      <w:pPr>
        <w:jc w:val="both"/>
        <w:rPr>
          <w:rStyle w:val="relative"/>
          <w:rFonts w:ascii="Arial" w:hAnsi="Arial" w:cs="Arial"/>
          <w:szCs w:val="24"/>
        </w:rPr>
      </w:pPr>
      <w:r w:rsidRPr="00D3034A">
        <w:rPr>
          <w:rFonts w:ascii="Arial" w:hAnsi="Arial" w:cs="Arial"/>
          <w:szCs w:val="24"/>
        </w:rPr>
        <w:t>As Garcia (2009)</w:t>
      </w:r>
      <w:r w:rsidRPr="00D3034A">
        <w:rPr>
          <w:rStyle w:val="relative"/>
          <w:rFonts w:ascii="Arial" w:hAnsi="Arial" w:cs="Arial"/>
          <w:szCs w:val="24"/>
        </w:rPr>
        <w:t xml:space="preserve"> hypothesized, translanguaging includes the lively utilization of the whole linguistic repertoire of a bilingual person to make sense of and interact about the world. Translanguaging teaching permits learners to use their entire linguistic skills in academic environments, instead of compartmentalizing languages. This system has been displayed to make involvement and comprehension deeper, especially in complicated subjects such as science, in which learners can talk over ideas in one language and compose regarding them in another, allowing profound cognitive processing (García &amp; </w:t>
      </w:r>
      <w:r w:rsidRPr="00D3034A">
        <w:rPr>
          <w:rFonts w:ascii="Arial" w:hAnsi="Arial" w:cs="Arial"/>
          <w:szCs w:val="24"/>
        </w:rPr>
        <w:t>Wei</w:t>
      </w:r>
      <w:r w:rsidRPr="00D3034A">
        <w:rPr>
          <w:rStyle w:val="relative"/>
          <w:rFonts w:ascii="Arial" w:hAnsi="Arial" w:cs="Arial"/>
          <w:szCs w:val="24"/>
        </w:rPr>
        <w:t xml:space="preserve">, 2014).           </w:t>
      </w:r>
    </w:p>
    <w:p w14:paraId="1F416AC3" w14:textId="77777777" w:rsidR="000464A4" w:rsidRPr="00650721" w:rsidRDefault="00650721" w:rsidP="000464A4">
      <w:pPr>
        <w:pStyle w:val="Heading4"/>
        <w:jc w:val="both"/>
        <w:rPr>
          <w:rFonts w:ascii="Arial" w:hAnsi="Arial" w:cs="Arial"/>
          <w:i w:val="0"/>
          <w:color w:val="auto"/>
          <w:sz w:val="20"/>
          <w:szCs w:val="20"/>
          <w:u w:val="single"/>
        </w:rPr>
      </w:pPr>
      <w:r w:rsidRPr="00650721">
        <w:rPr>
          <w:rFonts w:ascii="Arial" w:hAnsi="Arial" w:cs="Arial"/>
          <w:i w:val="0"/>
          <w:color w:val="auto"/>
          <w:sz w:val="20"/>
          <w:szCs w:val="20"/>
          <w:u w:val="single"/>
        </w:rPr>
        <w:t xml:space="preserve">2.5.3 </w:t>
      </w:r>
      <w:r w:rsidR="000464A4" w:rsidRPr="00650721">
        <w:rPr>
          <w:rFonts w:ascii="Arial" w:hAnsi="Arial" w:cs="Arial"/>
          <w:i w:val="0"/>
          <w:color w:val="auto"/>
          <w:sz w:val="20"/>
          <w:szCs w:val="20"/>
          <w:u w:val="single"/>
        </w:rPr>
        <w:t>Intercultural Bilingual Education</w:t>
      </w:r>
    </w:p>
    <w:p w14:paraId="2BA98C37" w14:textId="77777777" w:rsidR="000464A4" w:rsidRPr="00B50114" w:rsidRDefault="000464A4" w:rsidP="00E41DC1">
      <w:pPr>
        <w:spacing w:before="100" w:beforeAutospacing="1" w:after="100" w:afterAutospacing="1"/>
        <w:jc w:val="both"/>
        <w:rPr>
          <w:rFonts w:ascii="Arial" w:hAnsi="Arial" w:cs="Arial"/>
          <w:szCs w:val="24"/>
        </w:rPr>
      </w:pPr>
      <w:r w:rsidRPr="00B50114">
        <w:rPr>
          <w:rStyle w:val="relative"/>
          <w:rFonts w:ascii="Arial" w:hAnsi="Arial" w:cs="Arial"/>
          <w:szCs w:val="24"/>
        </w:rPr>
        <w:t xml:space="preserve">Intercultural bilingual education spreads further than language teaching to integrate ethnic education, identifying the significance of the ethnic backdrops of the learners in the procedure of learning. In Latin America, this model has been especially noticeable in that programs target to incorporate cultures and languages into the curriculum. These programs do so and promote bilingualism and foster cultural pride and identity among students (López &amp; </w:t>
      </w:r>
      <w:proofErr w:type="spellStart"/>
      <w:r w:rsidRPr="00B50114">
        <w:rPr>
          <w:rStyle w:val="relative"/>
          <w:rFonts w:ascii="Arial" w:hAnsi="Arial" w:cs="Arial"/>
          <w:szCs w:val="24"/>
        </w:rPr>
        <w:t>Küper</w:t>
      </w:r>
      <w:proofErr w:type="spellEnd"/>
      <w:r w:rsidRPr="00B50114">
        <w:rPr>
          <w:rStyle w:val="relative"/>
          <w:rFonts w:ascii="Arial" w:hAnsi="Arial" w:cs="Arial"/>
          <w:szCs w:val="24"/>
        </w:rPr>
        <w:t>, 1999).</w:t>
      </w:r>
      <w:r w:rsidRPr="00B50114">
        <w:rPr>
          <w:rFonts w:ascii="Arial" w:hAnsi="Arial" w:cs="Arial"/>
          <w:szCs w:val="24"/>
        </w:rPr>
        <w:t xml:space="preserve"> </w:t>
      </w:r>
    </w:p>
    <w:p w14:paraId="2274D780" w14:textId="77777777" w:rsidR="000464A4" w:rsidRPr="00CD53CA" w:rsidRDefault="00CD53CA" w:rsidP="000464A4">
      <w:pPr>
        <w:pStyle w:val="Heading4"/>
        <w:spacing w:before="0" w:line="240" w:lineRule="auto"/>
        <w:jc w:val="both"/>
        <w:rPr>
          <w:rFonts w:ascii="Arial" w:hAnsi="Arial" w:cs="Arial"/>
          <w:i w:val="0"/>
          <w:color w:val="auto"/>
          <w:sz w:val="20"/>
          <w:szCs w:val="24"/>
          <w:u w:val="single"/>
        </w:rPr>
      </w:pPr>
      <w:r w:rsidRPr="00CD53CA">
        <w:rPr>
          <w:rFonts w:ascii="Arial" w:hAnsi="Arial" w:cs="Arial"/>
          <w:i w:val="0"/>
          <w:color w:val="auto"/>
          <w:sz w:val="20"/>
          <w:szCs w:val="24"/>
          <w:u w:val="single"/>
        </w:rPr>
        <w:t xml:space="preserve">2.5.4 </w:t>
      </w:r>
      <w:r w:rsidR="000464A4" w:rsidRPr="00CD53CA">
        <w:rPr>
          <w:rFonts w:ascii="Arial" w:hAnsi="Arial" w:cs="Arial"/>
          <w:i w:val="0"/>
          <w:color w:val="auto"/>
          <w:sz w:val="20"/>
          <w:szCs w:val="24"/>
          <w:u w:val="single"/>
        </w:rPr>
        <w:t>Multilingual and Multimodal Literacy Approaches</w:t>
      </w:r>
    </w:p>
    <w:p w14:paraId="777C01D8" w14:textId="77777777" w:rsidR="000464A4" w:rsidRPr="00CD53CA" w:rsidRDefault="000464A4" w:rsidP="000464A4">
      <w:pPr>
        <w:jc w:val="both"/>
        <w:rPr>
          <w:rFonts w:ascii="Arial" w:hAnsi="Arial" w:cs="Arial"/>
          <w:szCs w:val="24"/>
          <w:u w:val="single"/>
        </w:rPr>
      </w:pPr>
    </w:p>
    <w:p w14:paraId="6B5FAC15" w14:textId="77777777" w:rsidR="000464A4" w:rsidRPr="008F0C4E" w:rsidRDefault="000464A4" w:rsidP="0058152A">
      <w:pPr>
        <w:jc w:val="both"/>
        <w:rPr>
          <w:rFonts w:ascii="Arial" w:hAnsi="Arial" w:cs="Arial"/>
          <w:szCs w:val="24"/>
        </w:rPr>
      </w:pPr>
      <w:r w:rsidRPr="008F0C4E">
        <w:rPr>
          <w:rFonts w:ascii="Arial" w:hAnsi="Arial" w:cs="Arial"/>
          <w:szCs w:val="24"/>
        </w:rPr>
        <w:lastRenderedPageBreak/>
        <w:t xml:space="preserve">Incorporating multimodal and multilingual systems into literacy has displayed prospects of involving learners from varied linguistic backdrops in city educational environments. Cummins (2000) focuses on the significance of confirming the identities of the learners and utilizing their ethnic and linguistic knowledge as resources in the educational procedure. Such systems inspire learners to draw links between modalities and languages, improving their inclusive academic involvement and literacy.           </w:t>
      </w:r>
    </w:p>
    <w:p w14:paraId="5059A221" w14:textId="77777777" w:rsidR="000464A4" w:rsidRPr="00B10B40" w:rsidRDefault="0058152A" w:rsidP="0058152A">
      <w:pPr>
        <w:pStyle w:val="Heading3"/>
        <w:rPr>
          <w:rFonts w:ascii="Arial" w:hAnsi="Arial" w:cs="Arial"/>
          <w:color w:val="auto"/>
          <w:sz w:val="22"/>
          <w:szCs w:val="24"/>
        </w:rPr>
      </w:pPr>
      <w:r w:rsidRPr="00B10B40">
        <w:rPr>
          <w:rFonts w:ascii="Arial" w:hAnsi="Arial" w:cs="Arial"/>
          <w:color w:val="auto"/>
          <w:sz w:val="22"/>
          <w:szCs w:val="24"/>
        </w:rPr>
        <w:t xml:space="preserve">3. </w:t>
      </w:r>
      <w:r w:rsidR="000464A4" w:rsidRPr="00B10B40">
        <w:rPr>
          <w:rFonts w:ascii="Arial" w:hAnsi="Arial" w:cs="Arial"/>
          <w:color w:val="auto"/>
          <w:sz w:val="22"/>
          <w:szCs w:val="24"/>
        </w:rPr>
        <w:t>METHODOLOGY</w:t>
      </w:r>
    </w:p>
    <w:p w14:paraId="19ADB99C" w14:textId="77777777" w:rsidR="001D54C3" w:rsidRDefault="001D54C3" w:rsidP="000464A4">
      <w:pPr>
        <w:pStyle w:val="Heading4"/>
        <w:spacing w:before="0" w:line="240" w:lineRule="auto"/>
        <w:jc w:val="both"/>
        <w:rPr>
          <w:rFonts w:ascii="Arial" w:hAnsi="Arial" w:cs="Arial"/>
          <w:color w:val="auto"/>
          <w:sz w:val="24"/>
          <w:szCs w:val="24"/>
        </w:rPr>
      </w:pPr>
    </w:p>
    <w:p w14:paraId="38B6658C" w14:textId="77777777" w:rsidR="000464A4" w:rsidRPr="001D54C3" w:rsidRDefault="000464A4" w:rsidP="000464A4">
      <w:pPr>
        <w:pStyle w:val="Heading4"/>
        <w:spacing w:before="0" w:line="240" w:lineRule="auto"/>
        <w:jc w:val="both"/>
        <w:rPr>
          <w:rFonts w:ascii="Arial" w:hAnsi="Arial" w:cs="Arial"/>
          <w:i w:val="0"/>
          <w:color w:val="auto"/>
          <w:szCs w:val="24"/>
        </w:rPr>
      </w:pPr>
      <w:r w:rsidRPr="001D54C3">
        <w:rPr>
          <w:rFonts w:ascii="Arial" w:hAnsi="Arial" w:cs="Arial"/>
          <w:i w:val="0"/>
          <w:color w:val="auto"/>
          <w:szCs w:val="24"/>
        </w:rPr>
        <w:t>3.1 Research Design</w:t>
      </w:r>
    </w:p>
    <w:p w14:paraId="48627776" w14:textId="77777777" w:rsidR="000464A4" w:rsidRPr="00201125" w:rsidRDefault="000464A4" w:rsidP="000464A4">
      <w:pPr>
        <w:rPr>
          <w:rFonts w:ascii="Arial" w:hAnsi="Arial" w:cs="Arial"/>
          <w:sz w:val="24"/>
          <w:szCs w:val="24"/>
        </w:rPr>
      </w:pPr>
    </w:p>
    <w:p w14:paraId="048DCE46" w14:textId="77777777" w:rsidR="000464A4" w:rsidRPr="00B21274" w:rsidRDefault="000464A4" w:rsidP="00B21274">
      <w:pPr>
        <w:jc w:val="both"/>
        <w:rPr>
          <w:rFonts w:ascii="Arial" w:hAnsi="Arial" w:cs="Arial"/>
          <w:szCs w:val="24"/>
        </w:rPr>
      </w:pPr>
      <w:r w:rsidRPr="00B21274">
        <w:rPr>
          <w:rFonts w:ascii="Arial" w:hAnsi="Arial" w:cs="Arial"/>
          <w:szCs w:val="24"/>
        </w:rPr>
        <w:t xml:space="preserve">This section conceptually outlines a mixed-methods framework to demonstrate how future empirical research could be designed; no primary data were collected in this study. This study is designed to synthesize and interpret previous research on the cognitive, linguistic, and educational effects of bilingualism compared to monolingualism in primary school learners. A cross-sectional comparative logic is conceptually adopted here to discuss how bilingual and monolingual learner outcomes could be analyzed in future studies.             </w:t>
      </w:r>
    </w:p>
    <w:p w14:paraId="4F2F1631" w14:textId="77777777"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The framework integrates insights from prior quantitative and qualitative studies, including standardized cognitive assessments, parent interviews, and classroom observations, as reported in the literature. The triangulation improves the authenticity and dependability of outputs and recognizes educational performance and language acquisition’s multifarious nature.</w:t>
      </w:r>
    </w:p>
    <w:p w14:paraId="5C732992" w14:textId="77777777"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A comparative examination is involved by the research between two groups: monolingual learners attaining instruction entirely in their mother tongue and bilingual learners getting instruction in their mother tongue and a second language. Such a comparative system assists in recognizing forthcoming academic complications and cognitive benefits that bilingual students encounter in dissimilar learning environments (Bialystok, 2001).</w:t>
      </w:r>
    </w:p>
    <w:p w14:paraId="490EA2BA" w14:textId="77777777"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 xml:space="preserve">As the study relies on secondary data and literature synthesis, no ethical approval or informed consent was required. The design focuses on the prospective perplexing variables like the kind of schools (private vs. public), educational levels of parents, and socioeconomic stature which are regulated during the analysis of data by utilizing statistical modeling.        </w:t>
      </w:r>
    </w:p>
    <w:p w14:paraId="5185877F" w14:textId="77777777" w:rsidR="000464A4" w:rsidRPr="00C92272" w:rsidRDefault="000464A4" w:rsidP="000464A4">
      <w:pPr>
        <w:pStyle w:val="Heading3"/>
        <w:jc w:val="both"/>
        <w:rPr>
          <w:rFonts w:ascii="Arial" w:hAnsi="Arial" w:cs="Arial"/>
          <w:b w:val="0"/>
          <w:color w:val="auto"/>
          <w:sz w:val="22"/>
          <w:szCs w:val="24"/>
        </w:rPr>
      </w:pPr>
      <w:r w:rsidRPr="00C92272">
        <w:rPr>
          <w:rStyle w:val="Strong"/>
          <w:rFonts w:ascii="Arial" w:hAnsi="Arial" w:cs="Arial"/>
          <w:b/>
          <w:color w:val="auto"/>
          <w:sz w:val="22"/>
          <w:szCs w:val="24"/>
        </w:rPr>
        <w:t xml:space="preserve">3.2 Participants </w:t>
      </w:r>
    </w:p>
    <w:p w14:paraId="0AABE962" w14:textId="77777777" w:rsidR="000464A4" w:rsidRPr="00F62389" w:rsidRDefault="000464A4" w:rsidP="00E00EDF">
      <w:pPr>
        <w:spacing w:before="100" w:beforeAutospacing="1" w:after="100" w:afterAutospacing="1"/>
        <w:jc w:val="both"/>
        <w:rPr>
          <w:rFonts w:ascii="Arial" w:hAnsi="Arial" w:cs="Arial"/>
          <w:szCs w:val="24"/>
        </w:rPr>
      </w:pPr>
      <w:r w:rsidRPr="00F62389">
        <w:rPr>
          <w:rFonts w:ascii="Arial" w:hAnsi="Arial" w:cs="Arial"/>
          <w:szCs w:val="24"/>
        </w:rPr>
        <w:t xml:space="preserve">This paper does not include primary participants. Instead, it proposes a </w:t>
      </w:r>
      <w:r w:rsidRPr="00F62389">
        <w:rPr>
          <w:rFonts w:ascii="Arial" w:hAnsi="Arial" w:cs="Arial"/>
          <w:bCs/>
          <w:szCs w:val="24"/>
        </w:rPr>
        <w:t>hypothetical participant model</w:t>
      </w:r>
      <w:r w:rsidRPr="00F62389">
        <w:rPr>
          <w:rFonts w:ascii="Arial" w:hAnsi="Arial" w:cs="Arial"/>
          <w:szCs w:val="24"/>
        </w:rPr>
        <w:t xml:space="preserve"> to demonstrate how future empirical research could operationalize the mixed-methods framework. The proposed model would include 60 early learners (30 bilingual and 30 monolingual) aged 7–9 years, reflecting samples commonly used in prior bilingualism studies (Bialystok, 2011; Costa et al., 2008). These descriptions are entirely illustrative and serve to support the conceptual design.</w:t>
      </w:r>
    </w:p>
    <w:p w14:paraId="00250AB4" w14:textId="77777777" w:rsidR="000464A4" w:rsidRPr="00F62389" w:rsidRDefault="000464A4" w:rsidP="00E00EDF">
      <w:pPr>
        <w:spacing w:before="100" w:beforeAutospacing="1" w:after="100" w:afterAutospacing="1"/>
        <w:jc w:val="both"/>
        <w:rPr>
          <w:rFonts w:ascii="Arial" w:hAnsi="Arial" w:cs="Arial"/>
          <w:szCs w:val="24"/>
        </w:rPr>
      </w:pPr>
      <w:r w:rsidRPr="00F62389">
        <w:rPr>
          <w:rFonts w:ascii="Arial" w:hAnsi="Arial" w:cs="Arial"/>
          <w:szCs w:val="24"/>
        </w:rPr>
        <w:t>These parameters are used conceptually to illustrate research design feasibility rather than to report original data. Accordingly, no data collection, ethical approval, or participant consent was required.</w:t>
      </w:r>
    </w:p>
    <w:p w14:paraId="2818546A" w14:textId="77777777" w:rsidR="000464A4" w:rsidRPr="001B77E0" w:rsidRDefault="000464A4" w:rsidP="000464A4">
      <w:pPr>
        <w:spacing w:before="100" w:beforeAutospacing="1" w:after="100" w:afterAutospacing="1"/>
        <w:jc w:val="both"/>
        <w:rPr>
          <w:rFonts w:ascii="Arial" w:hAnsi="Arial" w:cs="Arial"/>
          <w:b/>
          <w:bCs/>
          <w:sz w:val="24"/>
          <w:szCs w:val="24"/>
        </w:rPr>
      </w:pPr>
      <w:r w:rsidRPr="001B77E0">
        <w:rPr>
          <w:rFonts w:ascii="Arial" w:hAnsi="Arial" w:cs="Arial"/>
          <w:b/>
          <w:bCs/>
          <w:sz w:val="24"/>
          <w:szCs w:val="24"/>
        </w:rPr>
        <w:t>3.3 Data Collection Instruments</w:t>
      </w:r>
    </w:p>
    <w:p w14:paraId="486B22C0" w14:textId="77777777" w:rsidR="000464A4" w:rsidRPr="00F47215" w:rsidRDefault="000464A4" w:rsidP="00F47215">
      <w:pPr>
        <w:spacing w:before="100" w:beforeAutospacing="1" w:after="100" w:afterAutospacing="1"/>
        <w:jc w:val="both"/>
        <w:rPr>
          <w:rFonts w:ascii="Arial" w:hAnsi="Arial" w:cs="Arial"/>
          <w:i/>
          <w:szCs w:val="24"/>
        </w:rPr>
      </w:pPr>
      <w:r w:rsidRPr="00F47215">
        <w:rPr>
          <w:rFonts w:ascii="Arial" w:hAnsi="Arial" w:cs="Arial"/>
          <w:szCs w:val="24"/>
        </w:rPr>
        <w:lastRenderedPageBreak/>
        <w:t>The following instruments are described as examples of tools that could be applied in future empirical studies; they were not used for data collection in the present conceptual research.</w:t>
      </w:r>
    </w:p>
    <w:p w14:paraId="51210979" w14:textId="77777777" w:rsidR="000464A4" w:rsidRPr="00461F19" w:rsidRDefault="000464A4" w:rsidP="000464A4">
      <w:pPr>
        <w:spacing w:before="100" w:beforeAutospacing="1" w:after="100" w:afterAutospacing="1"/>
        <w:jc w:val="both"/>
        <w:rPr>
          <w:rFonts w:ascii="Arial" w:hAnsi="Arial" w:cs="Arial"/>
          <w:szCs w:val="24"/>
        </w:rPr>
      </w:pPr>
      <w:r w:rsidRPr="00461F19">
        <w:rPr>
          <w:rFonts w:ascii="Arial" w:hAnsi="Arial" w:cs="Arial"/>
          <w:b/>
          <w:bCs/>
          <w:szCs w:val="24"/>
        </w:rPr>
        <w:t>• Cognitive Tests:</w:t>
      </w:r>
    </w:p>
    <w:p w14:paraId="7B754C1B" w14:textId="77777777" w:rsidR="000464A4" w:rsidRPr="00461F19" w:rsidRDefault="000464A4" w:rsidP="000464A4">
      <w:pPr>
        <w:spacing w:before="100" w:beforeAutospacing="1" w:after="100" w:afterAutospacing="1"/>
        <w:jc w:val="both"/>
        <w:rPr>
          <w:rFonts w:ascii="Arial" w:hAnsi="Arial" w:cs="Arial"/>
          <w:szCs w:val="24"/>
        </w:rPr>
      </w:pPr>
      <w:r w:rsidRPr="00461F19">
        <w:rPr>
          <w:rFonts w:ascii="Arial" w:hAnsi="Arial" w:cs="Arial"/>
          <w:b/>
          <w:bCs/>
          <w:szCs w:val="24"/>
        </w:rPr>
        <w:t>o Verbal Reasoning: Peabody Picture Vocabulary Test (PPVT)</w:t>
      </w:r>
    </w:p>
    <w:p w14:paraId="5DF5B040" w14:textId="77777777" w:rsidR="000464A4" w:rsidRPr="00461F19" w:rsidRDefault="000464A4" w:rsidP="00461F19">
      <w:pPr>
        <w:spacing w:before="100" w:beforeAutospacing="1" w:after="100" w:afterAutospacing="1"/>
        <w:jc w:val="both"/>
        <w:rPr>
          <w:rFonts w:ascii="Arial" w:hAnsi="Arial" w:cs="Arial"/>
          <w:szCs w:val="24"/>
        </w:rPr>
      </w:pPr>
      <w:r w:rsidRPr="00461F19">
        <w:rPr>
          <w:rFonts w:ascii="Arial" w:hAnsi="Arial" w:cs="Arial"/>
          <w:szCs w:val="24"/>
        </w:rPr>
        <w:t>To evaluate cognitive skills and receptive vocabulary associated with the understanding of language, the PPVT is utilized extensively. It has displayed solid psychometric pieces of stuff backing up its authenticity in assessing language abilities and verbal reasoning throughout different people. Besides, the test is ethnically unbiased, which makes it a perfect instrument for assessing cognitive skills in diverse educational contexts.</w:t>
      </w:r>
    </w:p>
    <w:p w14:paraId="35777E9D"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b/>
          <w:bCs/>
          <w:szCs w:val="24"/>
        </w:rPr>
        <w:t>o Non-verbal Reasoning: Raven’s Progressive Matrices (RPM)</w:t>
      </w:r>
    </w:p>
    <w:p w14:paraId="44410E13"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Raven’s Progressive Matrices is a widely recognized tool for assessing non-verbal reasoning and general intelligence. The test contains abstract outlines and needs respondents to recognize absent ingredients, providing perception into cognitive procedures linked with problem-solving and pattern acknowledgment. It is regarded as a dependable extent of fluid acumen and has been authenticated throughout numerous demographic and ethnic groups. The capacity of the RPM to diminish the language hurdles’ influence improves its applicability in various educational environments.</w:t>
      </w:r>
    </w:p>
    <w:p w14:paraId="0EC5BBDB"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 Observational Data:</w:t>
      </w:r>
    </w:p>
    <w:p w14:paraId="52C488F0"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Teacher observations are discussed here conceptually as a potential data source for subsequent field studies.</w:t>
      </w:r>
    </w:p>
    <w:p w14:paraId="58C64ADC"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o Weekly Classroom Observations by Teachers</w:t>
      </w:r>
    </w:p>
    <w:p w14:paraId="4A32B46F"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 xml:space="preserve">A valued, instant viewpoint on the conduct and involvement in the classroom is offered by the observational data. Teachers can methodically record the conduct of the learners, for example, academic performance, societal communications, and attention, which can be explored for trends and outlines with the passage of time. Earlier studies have illustrated that teacher observations provide exclusive perceptions of the advancement of the learners, especially regarding cognitive and socio-emotional development. The viewpoints of teachers, when mixed with other methods of data collection, pave the way towards a further meticulous comprehension of learner educational outputs.       </w:t>
      </w:r>
    </w:p>
    <w:p w14:paraId="1640F05A"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 Interviews:</w:t>
      </w:r>
    </w:p>
    <w:p w14:paraId="545160FF"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Parent interviews are included to illustrate how qualitative insights could enrich future empirical investigations.</w:t>
      </w:r>
    </w:p>
    <w:p w14:paraId="5102E83C"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o Semi-structured Interviews with Parents to Assess Socio-emotional Behavior</w:t>
      </w:r>
    </w:p>
    <w:p w14:paraId="77941837"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bCs/>
          <w:szCs w:val="24"/>
        </w:rPr>
        <w:t xml:space="preserve">A malleable system is offered by the semi-structured interviews to collect qualitative data from parents, allowing for the analysis of socio-emotive facets of the improvement of a child. These interviews allow the scholar to gather detailed information regarding the emotive regulation of the child, societal communications, and overall conduct at home. The system has been displayed to expedite the advancement of the relationship between the respondent </w:t>
      </w:r>
      <w:r w:rsidRPr="008217AA">
        <w:rPr>
          <w:rFonts w:ascii="Arial" w:hAnsi="Arial" w:cs="Arial"/>
          <w:bCs/>
          <w:szCs w:val="24"/>
        </w:rPr>
        <w:lastRenderedPageBreak/>
        <w:t>and interviewer, leading to further discerning feedback</w:t>
      </w:r>
      <w:r w:rsidRPr="008217AA">
        <w:rPr>
          <w:rFonts w:ascii="Arial" w:hAnsi="Arial" w:cs="Arial"/>
          <w:szCs w:val="24"/>
        </w:rPr>
        <w:t xml:space="preserve">. Besides, research has focused on the crucial role played by parents in assisting the socioeconomic growth of their children, with interviews serving as a helpful medium for analyzing these forces at work.               </w:t>
      </w:r>
    </w:p>
    <w:p w14:paraId="0771EEB2" w14:textId="77777777" w:rsidR="000464A4" w:rsidRPr="00D548D9" w:rsidRDefault="000464A4" w:rsidP="000464A4">
      <w:pPr>
        <w:pStyle w:val="Heading4"/>
        <w:jc w:val="both"/>
        <w:rPr>
          <w:rFonts w:ascii="Arial" w:hAnsi="Arial" w:cs="Arial"/>
          <w:i w:val="0"/>
          <w:color w:val="auto"/>
          <w:szCs w:val="24"/>
        </w:rPr>
      </w:pPr>
      <w:r w:rsidRPr="00D548D9">
        <w:rPr>
          <w:rFonts w:ascii="Arial" w:hAnsi="Arial" w:cs="Arial"/>
          <w:i w:val="0"/>
          <w:color w:val="auto"/>
          <w:szCs w:val="24"/>
        </w:rPr>
        <w:t>3.4 Data Analysis</w:t>
      </w:r>
    </w:p>
    <w:p w14:paraId="38DEC7C1"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In this study, the proposed data analysis framework outlines how qualitative and quantitative methods could be integrated in future empirical research. The quantitative exploration could use autonomous samples t-tests to draw a comparison of cognitive scores between diverse groups, paving the way towards an objective evaluation of any distinctions that are statistically vital. This system is usually proposed as part of the framework in educational studies so that the hypotheses regarding group distinctions can be tested. The autonomous samples t-test is especially effective when comparing the means of two different groups like learners obtaining diverse kinds of interventions.</w:t>
      </w:r>
    </w:p>
    <w:p w14:paraId="55A20D94"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The research could utilize thematic coding of teacher logs and parent interviews to recognize perceptions and patterns. This approach includes shaping qualitative data into subject matters that appear from the content naturally, allowing a profound comprehension of the subjective know-how of mentors and parents. NVivo software could be used to support coding and exploring the textual data since it permits scholars to methodically classify and explore qualitative data. For this sort of exploration, thematic coding is suitable as it allows scholars to analyze the basic themes that may not be instantly clear.</w:t>
      </w:r>
    </w:p>
    <w:p w14:paraId="44EFD822"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SPSS, quantitative data analysis could be applied to explore the statistical importance of cognitive score variances. SPSS is extensively applied in educational psychology for its proficiency in managing huge datasets and performing different statistical tests. Furthermore, qualitative data could be explored with the help of an arduous procedure of iterative coding, an approach that permits the scholar to polish classes as they recognize appearing patterns in the teacher logs and interviews.</w:t>
      </w:r>
    </w:p>
    <w:p w14:paraId="4043635F"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 xml:space="preserve">These approaches could offer a strong structure for scrutinizing the consequences of the intervention on cognitive growth, integrating subjective reports from parents and mentors and objective measures of cognitive performance.                     </w:t>
      </w:r>
    </w:p>
    <w:p w14:paraId="7448173D" w14:textId="77777777" w:rsidR="000464A4" w:rsidRPr="00C24A2B" w:rsidRDefault="00533A9F" w:rsidP="00533A9F">
      <w:pPr>
        <w:pStyle w:val="Heading3"/>
        <w:rPr>
          <w:rFonts w:ascii="Arial" w:hAnsi="Arial" w:cs="Arial"/>
          <w:color w:val="auto"/>
          <w:sz w:val="22"/>
          <w:szCs w:val="24"/>
        </w:rPr>
      </w:pPr>
      <w:r w:rsidRPr="00C24A2B">
        <w:rPr>
          <w:rFonts w:ascii="Arial" w:hAnsi="Arial" w:cs="Arial"/>
          <w:color w:val="auto"/>
          <w:sz w:val="22"/>
          <w:szCs w:val="24"/>
        </w:rPr>
        <w:t xml:space="preserve">4. </w:t>
      </w:r>
      <w:r w:rsidR="000464A4" w:rsidRPr="00C24A2B">
        <w:rPr>
          <w:rFonts w:ascii="Arial" w:hAnsi="Arial" w:cs="Arial"/>
          <w:color w:val="auto"/>
          <w:sz w:val="22"/>
          <w:szCs w:val="24"/>
        </w:rPr>
        <w:t>RESULTS</w:t>
      </w:r>
    </w:p>
    <w:p w14:paraId="0CB0764D" w14:textId="77777777" w:rsidR="00533A9F" w:rsidRPr="00C24A2B" w:rsidRDefault="00533A9F" w:rsidP="00533A9F">
      <w:pPr>
        <w:rPr>
          <w:sz w:val="18"/>
        </w:rPr>
      </w:pPr>
    </w:p>
    <w:p w14:paraId="68B71441" w14:textId="77777777" w:rsidR="000464A4" w:rsidRPr="00C24A2B" w:rsidRDefault="000464A4" w:rsidP="000464A4">
      <w:pPr>
        <w:pStyle w:val="Heading4"/>
        <w:spacing w:before="0" w:line="240" w:lineRule="auto"/>
        <w:jc w:val="both"/>
        <w:rPr>
          <w:rFonts w:ascii="Arial" w:hAnsi="Arial" w:cs="Arial"/>
          <w:i w:val="0"/>
          <w:color w:val="auto"/>
          <w:szCs w:val="24"/>
        </w:rPr>
      </w:pPr>
      <w:r w:rsidRPr="00C24A2B">
        <w:rPr>
          <w:rFonts w:ascii="Arial" w:hAnsi="Arial" w:cs="Arial"/>
          <w:i w:val="0"/>
          <w:color w:val="auto"/>
          <w:szCs w:val="24"/>
        </w:rPr>
        <w:t>4.1 Quantitative Findings</w:t>
      </w:r>
    </w:p>
    <w:p w14:paraId="5290E8DD" w14:textId="77777777" w:rsidR="000464A4" w:rsidRPr="00201125" w:rsidRDefault="000464A4" w:rsidP="000464A4">
      <w:pPr>
        <w:rPr>
          <w:rFonts w:ascii="Arial" w:hAnsi="Arial" w:cs="Arial"/>
          <w:sz w:val="24"/>
          <w:szCs w:val="24"/>
        </w:rPr>
      </w:pPr>
    </w:p>
    <w:p w14:paraId="1C424BAA" w14:textId="77777777" w:rsidR="000464A4" w:rsidRPr="00F323D2" w:rsidRDefault="000464A4" w:rsidP="00393EF9">
      <w:pPr>
        <w:jc w:val="both"/>
        <w:rPr>
          <w:rFonts w:ascii="Arial" w:hAnsi="Arial" w:cs="Arial"/>
          <w:szCs w:val="24"/>
        </w:rPr>
      </w:pPr>
      <w:r w:rsidRPr="00F323D2">
        <w:rPr>
          <w:rFonts w:ascii="Arial" w:hAnsi="Arial" w:cs="Arial"/>
          <w:szCs w:val="24"/>
        </w:rPr>
        <w:t xml:space="preserve">Previous empirical studies consistently report that bilingual learners outperform monolingual peers in both verbal and non-verbal reasoning tasks (Bialystok, 2011; Barac &amp; Bialystok, 2012). The following illustrative summary conceptually represents these general findings.         </w:t>
      </w:r>
    </w:p>
    <w:p w14:paraId="365D8962" w14:textId="77777777" w:rsidR="000464A4" w:rsidRPr="00F323D2" w:rsidRDefault="000464A4" w:rsidP="00393EF9">
      <w:pPr>
        <w:spacing w:before="100" w:beforeAutospacing="1" w:after="100" w:afterAutospacing="1"/>
        <w:jc w:val="both"/>
        <w:rPr>
          <w:rFonts w:ascii="Arial" w:hAnsi="Arial" w:cs="Arial"/>
          <w:szCs w:val="24"/>
        </w:rPr>
      </w:pPr>
      <w:r w:rsidRPr="00F323D2">
        <w:rPr>
          <w:rFonts w:ascii="Arial" w:hAnsi="Arial" w:cs="Arial"/>
          <w:szCs w:val="24"/>
        </w:rPr>
        <w:t xml:space="preserve">The following interpretations and statistical representations are hypothetical summaries based on synthesized patterns reported in prior literature rather than on primary data collection. Moreover, in the non-verbal reasoning tests, bilingual learners outdid their monolingual peers, which are often regarded as autonomous language abilities. The outcome indicates that bilingualism might also improve problem-solving skills and cognitive suppleness, as bilingual persons are usually needed to shift between languages, nurturing a better skill to adjust to fresh and thought-provoking circumstances. The bilingual benefit noticed in non-verbal reasoning is particularly worth mentioning, as it proposes that bilinguals may have a further enhanced ability for pattern recognition and abstract thinking.          </w:t>
      </w:r>
    </w:p>
    <w:p w14:paraId="3D6C3929" w14:textId="77777777" w:rsidR="000464A4" w:rsidRPr="00F323D2" w:rsidRDefault="000464A4" w:rsidP="00393EF9">
      <w:pPr>
        <w:spacing w:before="100" w:beforeAutospacing="1" w:after="100" w:afterAutospacing="1"/>
        <w:jc w:val="both"/>
        <w:rPr>
          <w:rFonts w:ascii="Arial" w:hAnsi="Arial" w:cs="Arial"/>
          <w:szCs w:val="24"/>
        </w:rPr>
      </w:pPr>
      <w:r w:rsidRPr="00F323D2">
        <w:rPr>
          <w:rFonts w:ascii="Arial" w:hAnsi="Arial" w:cs="Arial"/>
          <w:szCs w:val="24"/>
        </w:rPr>
        <w:lastRenderedPageBreak/>
        <w:t xml:space="preserve">The discrepancy in scores was vital statistically in both areas of reasoning, focusing on the prospective influence of bilingualism on cognitive performance. The performance gap between monolingual and bilingual learners remained steady throughout diverse age categories, hinting that bilingualism’s cognitive advantages may be sustained with the passage of time.  </w:t>
      </w:r>
    </w:p>
    <w:p w14:paraId="7BD9BB73" w14:textId="77777777" w:rsidR="000464A4" w:rsidRPr="00EA7EF3" w:rsidRDefault="000464A4" w:rsidP="0017748D">
      <w:pPr>
        <w:spacing w:before="100" w:beforeAutospacing="1" w:after="100" w:afterAutospacing="1"/>
        <w:jc w:val="center"/>
        <w:rPr>
          <w:rFonts w:ascii="Arial" w:hAnsi="Arial" w:cs="Arial"/>
          <w:b/>
          <w:szCs w:val="24"/>
        </w:rPr>
      </w:pPr>
      <w:r w:rsidRPr="0048520E">
        <w:rPr>
          <w:rFonts w:ascii="Arial" w:hAnsi="Arial" w:cs="Arial"/>
          <w:b/>
          <w:bCs/>
          <w:szCs w:val="24"/>
        </w:rPr>
        <w:t>Table 1</w:t>
      </w:r>
      <w:r w:rsidR="00EA7EF3">
        <w:rPr>
          <w:rFonts w:ascii="Arial" w:hAnsi="Arial" w:cs="Arial"/>
          <w:b/>
          <w:bCs/>
          <w:szCs w:val="24"/>
        </w:rPr>
        <w:t>.</w:t>
      </w:r>
      <w:r w:rsidR="00F57B41" w:rsidRPr="0048520E">
        <w:rPr>
          <w:rFonts w:ascii="Arial" w:hAnsi="Arial" w:cs="Arial"/>
          <w:b/>
          <w:bCs/>
          <w:szCs w:val="24"/>
        </w:rPr>
        <w:t xml:space="preserve"> </w:t>
      </w:r>
      <w:r w:rsidRPr="00EA7EF3">
        <w:rPr>
          <w:rFonts w:ascii="Arial" w:hAnsi="Arial" w:cs="Arial"/>
          <w:b/>
          <w:szCs w:val="24"/>
        </w:rPr>
        <w:t>Conceptual Summary of Average Cognitive Test Scores Based on Prior Research Findings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3"/>
        <w:gridCol w:w="2564"/>
        <w:gridCol w:w="2897"/>
        <w:gridCol w:w="774"/>
      </w:tblGrid>
      <w:tr w:rsidR="000464A4" w:rsidRPr="00B76E36" w14:paraId="5E67EF61" w14:textId="77777777" w:rsidTr="007F1941">
        <w:trPr>
          <w:tblHeader/>
          <w:tblCellSpacing w:w="15" w:type="dxa"/>
          <w:jc w:val="center"/>
        </w:trPr>
        <w:tc>
          <w:tcPr>
            <w:tcW w:w="0" w:type="auto"/>
            <w:vAlign w:val="center"/>
            <w:hideMark/>
          </w:tcPr>
          <w:p w14:paraId="6AF917A5" w14:textId="77777777" w:rsidR="000464A4" w:rsidRPr="00B76E36" w:rsidRDefault="000464A4" w:rsidP="007F1941">
            <w:pPr>
              <w:jc w:val="center"/>
              <w:rPr>
                <w:rFonts w:ascii="Arial" w:hAnsi="Arial" w:cs="Arial"/>
                <w:b/>
                <w:bCs/>
                <w:szCs w:val="24"/>
              </w:rPr>
            </w:pPr>
            <w:r w:rsidRPr="00B76E36">
              <w:rPr>
                <w:rFonts w:ascii="Arial" w:hAnsi="Arial" w:cs="Arial"/>
                <w:b/>
                <w:bCs/>
                <w:szCs w:val="24"/>
              </w:rPr>
              <w:t>Cognitive Domain</w:t>
            </w:r>
          </w:p>
        </w:tc>
        <w:tc>
          <w:tcPr>
            <w:tcW w:w="0" w:type="auto"/>
            <w:vAlign w:val="center"/>
            <w:hideMark/>
          </w:tcPr>
          <w:p w14:paraId="710D124B" w14:textId="77777777" w:rsidR="000464A4" w:rsidRPr="00B76E36" w:rsidRDefault="000464A4" w:rsidP="007F1941">
            <w:pPr>
              <w:jc w:val="center"/>
              <w:rPr>
                <w:rFonts w:ascii="Arial" w:hAnsi="Arial" w:cs="Arial"/>
                <w:b/>
                <w:bCs/>
                <w:szCs w:val="24"/>
              </w:rPr>
            </w:pPr>
            <w:r w:rsidRPr="00B76E36">
              <w:rPr>
                <w:rFonts w:ascii="Arial" w:hAnsi="Arial" w:cs="Arial"/>
                <w:b/>
                <w:bCs/>
                <w:szCs w:val="24"/>
              </w:rPr>
              <w:t>Bilingual Group (Mean ± SD)</w:t>
            </w:r>
          </w:p>
        </w:tc>
        <w:tc>
          <w:tcPr>
            <w:tcW w:w="0" w:type="auto"/>
            <w:vAlign w:val="center"/>
            <w:hideMark/>
          </w:tcPr>
          <w:p w14:paraId="1D83C31B" w14:textId="77777777" w:rsidR="000464A4" w:rsidRPr="00B76E36" w:rsidRDefault="000464A4" w:rsidP="007F1941">
            <w:pPr>
              <w:jc w:val="center"/>
              <w:rPr>
                <w:rFonts w:ascii="Arial" w:hAnsi="Arial" w:cs="Arial"/>
                <w:b/>
                <w:bCs/>
                <w:szCs w:val="24"/>
              </w:rPr>
            </w:pPr>
            <w:r w:rsidRPr="00B76E36">
              <w:rPr>
                <w:rFonts w:ascii="Arial" w:hAnsi="Arial" w:cs="Arial"/>
                <w:b/>
                <w:bCs/>
                <w:szCs w:val="24"/>
              </w:rPr>
              <w:t>Monolingual Group (Mean ± SD)</w:t>
            </w:r>
          </w:p>
        </w:tc>
        <w:tc>
          <w:tcPr>
            <w:tcW w:w="0" w:type="auto"/>
            <w:vAlign w:val="center"/>
            <w:hideMark/>
          </w:tcPr>
          <w:p w14:paraId="62E0A006" w14:textId="77777777" w:rsidR="000464A4" w:rsidRPr="00B76E36" w:rsidRDefault="000464A4" w:rsidP="007F1941">
            <w:pPr>
              <w:jc w:val="center"/>
              <w:rPr>
                <w:rFonts w:ascii="Arial" w:hAnsi="Arial" w:cs="Arial"/>
                <w:b/>
                <w:bCs/>
                <w:szCs w:val="24"/>
              </w:rPr>
            </w:pPr>
            <w:r w:rsidRPr="00B76E36">
              <w:rPr>
                <w:rFonts w:ascii="Arial" w:hAnsi="Arial" w:cs="Arial"/>
                <w:b/>
                <w:bCs/>
                <w:szCs w:val="24"/>
              </w:rPr>
              <w:t>p-value</w:t>
            </w:r>
          </w:p>
        </w:tc>
      </w:tr>
      <w:tr w:rsidR="000464A4" w:rsidRPr="00B76E36" w14:paraId="0E539975" w14:textId="77777777" w:rsidTr="007F1941">
        <w:trPr>
          <w:tblCellSpacing w:w="15" w:type="dxa"/>
          <w:jc w:val="center"/>
        </w:trPr>
        <w:tc>
          <w:tcPr>
            <w:tcW w:w="0" w:type="auto"/>
            <w:vAlign w:val="center"/>
            <w:hideMark/>
          </w:tcPr>
          <w:p w14:paraId="545736FA" w14:textId="77777777" w:rsidR="000464A4" w:rsidRPr="00B76E36" w:rsidRDefault="000464A4" w:rsidP="007F1941">
            <w:pPr>
              <w:jc w:val="center"/>
              <w:rPr>
                <w:rFonts w:ascii="Arial" w:hAnsi="Arial" w:cs="Arial"/>
                <w:szCs w:val="24"/>
              </w:rPr>
            </w:pPr>
            <w:r w:rsidRPr="00B76E36">
              <w:rPr>
                <w:rFonts w:ascii="Arial" w:hAnsi="Arial" w:cs="Arial"/>
                <w:szCs w:val="24"/>
              </w:rPr>
              <w:t>Verbal Reasoning</w:t>
            </w:r>
          </w:p>
        </w:tc>
        <w:tc>
          <w:tcPr>
            <w:tcW w:w="0" w:type="auto"/>
            <w:vAlign w:val="center"/>
            <w:hideMark/>
          </w:tcPr>
          <w:p w14:paraId="30E4ED63" w14:textId="77777777" w:rsidR="000464A4" w:rsidRPr="00B76E36" w:rsidRDefault="000464A4" w:rsidP="007F1941">
            <w:pPr>
              <w:jc w:val="center"/>
              <w:rPr>
                <w:rFonts w:ascii="Arial" w:hAnsi="Arial" w:cs="Arial"/>
                <w:szCs w:val="24"/>
              </w:rPr>
            </w:pPr>
            <w:r w:rsidRPr="00B76E36">
              <w:rPr>
                <w:rFonts w:ascii="Arial" w:hAnsi="Arial" w:cs="Arial"/>
                <w:szCs w:val="24"/>
              </w:rPr>
              <w:t>87.5 ± 6.2</w:t>
            </w:r>
          </w:p>
        </w:tc>
        <w:tc>
          <w:tcPr>
            <w:tcW w:w="0" w:type="auto"/>
            <w:vAlign w:val="center"/>
            <w:hideMark/>
          </w:tcPr>
          <w:p w14:paraId="5973BD44" w14:textId="77777777" w:rsidR="000464A4" w:rsidRPr="00B76E36" w:rsidRDefault="000464A4" w:rsidP="007F1941">
            <w:pPr>
              <w:jc w:val="center"/>
              <w:rPr>
                <w:rFonts w:ascii="Arial" w:hAnsi="Arial" w:cs="Arial"/>
                <w:szCs w:val="24"/>
              </w:rPr>
            </w:pPr>
            <w:r w:rsidRPr="00B76E36">
              <w:rPr>
                <w:rFonts w:ascii="Arial" w:hAnsi="Arial" w:cs="Arial"/>
                <w:szCs w:val="24"/>
              </w:rPr>
              <w:t>78.3 ± 5.9</w:t>
            </w:r>
          </w:p>
        </w:tc>
        <w:tc>
          <w:tcPr>
            <w:tcW w:w="0" w:type="auto"/>
            <w:vAlign w:val="center"/>
            <w:hideMark/>
          </w:tcPr>
          <w:p w14:paraId="4830AC6C" w14:textId="77777777" w:rsidR="000464A4" w:rsidRPr="00B76E36" w:rsidRDefault="000464A4" w:rsidP="007F1941">
            <w:pPr>
              <w:jc w:val="center"/>
              <w:rPr>
                <w:rFonts w:ascii="Arial" w:hAnsi="Arial" w:cs="Arial"/>
                <w:szCs w:val="24"/>
              </w:rPr>
            </w:pPr>
            <w:r w:rsidRPr="00B76E36">
              <w:rPr>
                <w:rFonts w:ascii="Arial" w:hAnsi="Arial" w:cs="Arial"/>
                <w:szCs w:val="24"/>
              </w:rPr>
              <w:t>&lt; 0.01</w:t>
            </w:r>
          </w:p>
        </w:tc>
      </w:tr>
      <w:tr w:rsidR="000464A4" w:rsidRPr="00B76E36" w14:paraId="28F93239" w14:textId="77777777" w:rsidTr="007F1941">
        <w:trPr>
          <w:tblCellSpacing w:w="15" w:type="dxa"/>
          <w:jc w:val="center"/>
        </w:trPr>
        <w:tc>
          <w:tcPr>
            <w:tcW w:w="0" w:type="auto"/>
            <w:vAlign w:val="center"/>
            <w:hideMark/>
          </w:tcPr>
          <w:p w14:paraId="3832D866" w14:textId="77777777" w:rsidR="000464A4" w:rsidRPr="00B76E36" w:rsidRDefault="000464A4" w:rsidP="007F1941">
            <w:pPr>
              <w:jc w:val="center"/>
              <w:rPr>
                <w:rFonts w:ascii="Arial" w:hAnsi="Arial" w:cs="Arial"/>
                <w:szCs w:val="24"/>
              </w:rPr>
            </w:pPr>
            <w:r w:rsidRPr="00B76E36">
              <w:rPr>
                <w:rFonts w:ascii="Arial" w:hAnsi="Arial" w:cs="Arial"/>
                <w:szCs w:val="24"/>
              </w:rPr>
              <w:t>Non-verbal Reasoning</w:t>
            </w:r>
          </w:p>
        </w:tc>
        <w:tc>
          <w:tcPr>
            <w:tcW w:w="0" w:type="auto"/>
            <w:vAlign w:val="center"/>
            <w:hideMark/>
          </w:tcPr>
          <w:p w14:paraId="11A4920E" w14:textId="77777777" w:rsidR="000464A4" w:rsidRPr="00B76E36" w:rsidRDefault="000464A4" w:rsidP="007F1941">
            <w:pPr>
              <w:jc w:val="center"/>
              <w:rPr>
                <w:rFonts w:ascii="Arial" w:hAnsi="Arial" w:cs="Arial"/>
                <w:szCs w:val="24"/>
              </w:rPr>
            </w:pPr>
            <w:r w:rsidRPr="00B76E36">
              <w:rPr>
                <w:rFonts w:ascii="Arial" w:hAnsi="Arial" w:cs="Arial"/>
                <w:szCs w:val="24"/>
              </w:rPr>
              <w:t>89.1 ± 5.6</w:t>
            </w:r>
          </w:p>
        </w:tc>
        <w:tc>
          <w:tcPr>
            <w:tcW w:w="0" w:type="auto"/>
            <w:vAlign w:val="center"/>
            <w:hideMark/>
          </w:tcPr>
          <w:p w14:paraId="7183E41F" w14:textId="77777777" w:rsidR="000464A4" w:rsidRPr="00B76E36" w:rsidRDefault="000464A4" w:rsidP="007F1941">
            <w:pPr>
              <w:jc w:val="center"/>
              <w:rPr>
                <w:rFonts w:ascii="Arial" w:hAnsi="Arial" w:cs="Arial"/>
                <w:szCs w:val="24"/>
              </w:rPr>
            </w:pPr>
            <w:r w:rsidRPr="00B76E36">
              <w:rPr>
                <w:rFonts w:ascii="Arial" w:hAnsi="Arial" w:cs="Arial"/>
                <w:szCs w:val="24"/>
              </w:rPr>
              <w:t>80.4 ± 6.1</w:t>
            </w:r>
          </w:p>
        </w:tc>
        <w:tc>
          <w:tcPr>
            <w:tcW w:w="0" w:type="auto"/>
            <w:vAlign w:val="center"/>
            <w:hideMark/>
          </w:tcPr>
          <w:p w14:paraId="6BD36C93" w14:textId="77777777" w:rsidR="000464A4" w:rsidRPr="00B76E36" w:rsidRDefault="000464A4" w:rsidP="007F1941">
            <w:pPr>
              <w:jc w:val="center"/>
              <w:rPr>
                <w:rFonts w:ascii="Arial" w:hAnsi="Arial" w:cs="Arial"/>
                <w:szCs w:val="24"/>
              </w:rPr>
            </w:pPr>
            <w:r w:rsidRPr="00B76E36">
              <w:rPr>
                <w:rFonts w:ascii="Arial" w:hAnsi="Arial" w:cs="Arial"/>
                <w:szCs w:val="24"/>
              </w:rPr>
              <w:t>&lt; 0.01</w:t>
            </w:r>
          </w:p>
        </w:tc>
      </w:tr>
      <w:tr w:rsidR="000464A4" w:rsidRPr="00B76E36" w14:paraId="6EA0685B" w14:textId="77777777" w:rsidTr="007F1941">
        <w:trPr>
          <w:tblCellSpacing w:w="15" w:type="dxa"/>
          <w:jc w:val="center"/>
        </w:trPr>
        <w:tc>
          <w:tcPr>
            <w:tcW w:w="0" w:type="auto"/>
            <w:vAlign w:val="center"/>
            <w:hideMark/>
          </w:tcPr>
          <w:p w14:paraId="7B08810E" w14:textId="77777777" w:rsidR="000464A4" w:rsidRPr="00B76E36" w:rsidRDefault="000464A4" w:rsidP="007F1941">
            <w:pPr>
              <w:jc w:val="center"/>
              <w:rPr>
                <w:rFonts w:ascii="Arial" w:hAnsi="Arial" w:cs="Arial"/>
                <w:szCs w:val="24"/>
              </w:rPr>
            </w:pPr>
            <w:r w:rsidRPr="00B76E36">
              <w:rPr>
                <w:rFonts w:ascii="Arial" w:hAnsi="Arial" w:cs="Arial"/>
                <w:szCs w:val="24"/>
              </w:rPr>
              <w:t>Memory Retention Task</w:t>
            </w:r>
          </w:p>
        </w:tc>
        <w:tc>
          <w:tcPr>
            <w:tcW w:w="0" w:type="auto"/>
            <w:vAlign w:val="center"/>
            <w:hideMark/>
          </w:tcPr>
          <w:p w14:paraId="104BF9D0" w14:textId="77777777" w:rsidR="000464A4" w:rsidRPr="00B76E36" w:rsidRDefault="000464A4" w:rsidP="007F1941">
            <w:pPr>
              <w:jc w:val="center"/>
              <w:rPr>
                <w:rFonts w:ascii="Arial" w:hAnsi="Arial" w:cs="Arial"/>
                <w:szCs w:val="24"/>
              </w:rPr>
            </w:pPr>
            <w:r w:rsidRPr="00B76E36">
              <w:rPr>
                <w:rFonts w:ascii="Arial" w:hAnsi="Arial" w:cs="Arial"/>
                <w:szCs w:val="24"/>
              </w:rPr>
              <w:t>82.4 ± 7.0</w:t>
            </w:r>
          </w:p>
        </w:tc>
        <w:tc>
          <w:tcPr>
            <w:tcW w:w="0" w:type="auto"/>
            <w:vAlign w:val="center"/>
            <w:hideMark/>
          </w:tcPr>
          <w:p w14:paraId="4DBB60A0" w14:textId="77777777" w:rsidR="000464A4" w:rsidRPr="00B76E36" w:rsidRDefault="000464A4" w:rsidP="007F1941">
            <w:pPr>
              <w:jc w:val="center"/>
              <w:rPr>
                <w:rFonts w:ascii="Arial" w:hAnsi="Arial" w:cs="Arial"/>
                <w:szCs w:val="24"/>
              </w:rPr>
            </w:pPr>
            <w:r w:rsidRPr="00B76E36">
              <w:rPr>
                <w:rFonts w:ascii="Arial" w:hAnsi="Arial" w:cs="Arial"/>
                <w:szCs w:val="24"/>
              </w:rPr>
              <w:t>76.0 ± 6.5</w:t>
            </w:r>
          </w:p>
        </w:tc>
        <w:tc>
          <w:tcPr>
            <w:tcW w:w="0" w:type="auto"/>
            <w:vAlign w:val="center"/>
            <w:hideMark/>
          </w:tcPr>
          <w:p w14:paraId="2876BF94" w14:textId="77777777" w:rsidR="000464A4" w:rsidRPr="00B76E36" w:rsidRDefault="000464A4" w:rsidP="007F1941">
            <w:pPr>
              <w:jc w:val="center"/>
              <w:rPr>
                <w:rFonts w:ascii="Arial" w:hAnsi="Arial" w:cs="Arial"/>
                <w:szCs w:val="24"/>
              </w:rPr>
            </w:pPr>
            <w:r w:rsidRPr="00B76E36">
              <w:rPr>
                <w:rFonts w:ascii="Arial" w:hAnsi="Arial" w:cs="Arial"/>
                <w:szCs w:val="24"/>
              </w:rPr>
              <w:t>&lt; 0.05</w:t>
            </w:r>
          </w:p>
        </w:tc>
      </w:tr>
    </w:tbl>
    <w:p w14:paraId="1AD051DD" w14:textId="77777777" w:rsidR="000464A4" w:rsidRPr="00885B86" w:rsidRDefault="000464A4" w:rsidP="005F4D7D">
      <w:pPr>
        <w:spacing w:before="100" w:beforeAutospacing="1" w:after="100" w:afterAutospacing="1"/>
        <w:jc w:val="both"/>
        <w:rPr>
          <w:rFonts w:ascii="Arial" w:hAnsi="Arial" w:cs="Arial"/>
          <w:szCs w:val="24"/>
        </w:rPr>
      </w:pPr>
      <w:r w:rsidRPr="00885B86">
        <w:rPr>
          <w:rFonts w:ascii="Arial" w:hAnsi="Arial" w:cs="Arial"/>
          <w:szCs w:val="24"/>
        </w:rPr>
        <w:t xml:space="preserve">The results presented in </w:t>
      </w:r>
      <w:r w:rsidRPr="00885B86">
        <w:rPr>
          <w:rFonts w:ascii="Arial" w:hAnsi="Arial" w:cs="Arial"/>
          <w:bCs/>
          <w:szCs w:val="24"/>
        </w:rPr>
        <w:t>Table 1</w:t>
      </w:r>
      <w:r w:rsidRPr="00885B86">
        <w:rPr>
          <w:rFonts w:ascii="Arial" w:hAnsi="Arial" w:cs="Arial"/>
          <w:szCs w:val="24"/>
        </w:rPr>
        <w:t xml:space="preserve"> show the average scores of cognitive tests for both bilingual and monolingual groups across three cognitive domains: verbal reasoning, non-verbal reasoning, and memory retention. In the verbal reasoning task, the bilingual group scored significantly higher with a mean of 87.5 (SD = 6.2) compared to the monolingual group, which had a mean of 78.3 (SD = 5.9). This difference was statistically significant (p &lt; 0.01), suggesting that bilinguals may have a cognitive advantage in tasks requiring verbal reasoning. Similarly, in non-verbal reasoning, the bilingual group again outperformed the monolingual group, with a mean score of 89.1 (SD = 5.6) compared to 80.4 (SD = 6.1) in the monolingual group, with the result being statistically significant (p &lt; 0.01). The difference in non-verbal reasoning performance suggests that bilingualism may also enhance cognitive flexibility, which is crucial for abstract problem-solving and pattern recognition. In the memory retention task, the bilingual group scored a mean of 82.4 (SD = 7.0), while the monolingual group scored a mean of 76.0 (SD = 6.5). The difference in memory retention was also statistically significant (p &lt; 0.05), indicating that bilinguals may have superior memory retention abilities compared to their monolingual peers. Overall, the findings presented in </w:t>
      </w:r>
      <w:r w:rsidRPr="00885B86">
        <w:rPr>
          <w:rFonts w:ascii="Arial" w:hAnsi="Arial" w:cs="Arial"/>
          <w:bCs/>
          <w:szCs w:val="24"/>
        </w:rPr>
        <w:t>Table 1</w:t>
      </w:r>
      <w:r w:rsidRPr="00885B86">
        <w:rPr>
          <w:rFonts w:ascii="Arial" w:hAnsi="Arial" w:cs="Arial"/>
          <w:szCs w:val="24"/>
        </w:rPr>
        <w:t xml:space="preserve"> highlight significant cognitive advantages for bilingual individuals across various cognitive domains, particularly in reasoning and memory tasks. The differences observed in all three tasks are statistically significant, emphasizing the potential benefits of bilingualism in cognitive processing.</w:t>
      </w:r>
    </w:p>
    <w:p w14:paraId="44E146DA" w14:textId="77777777" w:rsidR="000464A4" w:rsidRPr="00026D0D" w:rsidRDefault="00836BBA" w:rsidP="002232AD">
      <w:pPr>
        <w:pStyle w:val="Heading3"/>
        <w:jc w:val="center"/>
        <w:rPr>
          <w:rFonts w:ascii="Arial" w:hAnsi="Arial" w:cs="Arial"/>
          <w:color w:val="auto"/>
          <w:szCs w:val="24"/>
        </w:rPr>
      </w:pPr>
      <w:r>
        <w:rPr>
          <w:rStyle w:val="Strong"/>
          <w:rFonts w:ascii="Arial" w:hAnsi="Arial" w:cs="Arial"/>
          <w:b/>
          <w:color w:val="auto"/>
          <w:szCs w:val="24"/>
        </w:rPr>
        <w:lastRenderedPageBreak/>
        <w:t>Fig.</w:t>
      </w:r>
      <w:r w:rsidR="000464A4" w:rsidRPr="00026D0D">
        <w:rPr>
          <w:rStyle w:val="Strong"/>
          <w:rFonts w:ascii="Arial" w:hAnsi="Arial" w:cs="Arial"/>
          <w:b/>
          <w:color w:val="auto"/>
          <w:szCs w:val="24"/>
        </w:rPr>
        <w:t xml:space="preserve"> 1</w:t>
      </w:r>
      <w:r>
        <w:rPr>
          <w:rStyle w:val="Strong"/>
          <w:rFonts w:ascii="Arial" w:hAnsi="Arial" w:cs="Arial"/>
          <w:b/>
          <w:color w:val="auto"/>
          <w:szCs w:val="24"/>
        </w:rPr>
        <w:t xml:space="preserve">. </w:t>
      </w:r>
      <w:r w:rsidR="000464A4" w:rsidRPr="00026D0D">
        <w:rPr>
          <w:rFonts w:ascii="Arial" w:hAnsi="Arial" w:cs="Arial"/>
          <w:color w:val="auto"/>
          <w:szCs w:val="24"/>
        </w:rPr>
        <w:t>Illustrative Summary of Bilingual and Monolingual Performance in Verbal and Non-verbal Reasoning Tasks Based on Synthesized Literature Findings</w:t>
      </w:r>
    </w:p>
    <w:p w14:paraId="1168028C" w14:textId="77777777" w:rsidR="000464A4" w:rsidRPr="00201125" w:rsidRDefault="000464A4" w:rsidP="000464A4">
      <w:pPr>
        <w:pStyle w:val="Heading3"/>
        <w:jc w:val="center"/>
        <w:rPr>
          <w:rStyle w:val="Strong"/>
          <w:rFonts w:ascii="Arial" w:hAnsi="Arial" w:cs="Arial"/>
          <w:b/>
          <w:bCs/>
          <w:sz w:val="24"/>
          <w:szCs w:val="24"/>
        </w:rPr>
      </w:pPr>
      <w:r w:rsidRPr="00201125">
        <w:rPr>
          <w:rFonts w:ascii="Arial" w:eastAsiaTheme="minorHAnsi" w:hAnsi="Arial" w:cs="Arial"/>
          <w:noProof/>
          <w:sz w:val="24"/>
          <w:szCs w:val="24"/>
        </w:rPr>
        <w:drawing>
          <wp:inline distT="0" distB="0" distL="0" distR="0" wp14:anchorId="3DCD67AD" wp14:editId="0C0F2C25">
            <wp:extent cx="4013706" cy="2997934"/>
            <wp:effectExtent l="0" t="0" r="0" b="0"/>
            <wp:docPr id="3" name="Picture 3" descr="E:\Freelancing\Paperpedia\Written Articles\The Role of Multilingual Education in Cognitive Development A Study of Early Bilingual Learners\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Freelancing\Paperpedia\Written Articles\The Role of Multilingual Education in Cognitive Development A Study of Early Bilingual Learners\bar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23349" cy="3005137"/>
                    </a:xfrm>
                    <a:prstGeom prst="rect">
                      <a:avLst/>
                    </a:prstGeom>
                    <a:noFill/>
                    <a:ln>
                      <a:noFill/>
                    </a:ln>
                  </pic:spPr>
                </pic:pic>
              </a:graphicData>
            </a:graphic>
          </wp:inline>
        </w:drawing>
      </w:r>
    </w:p>
    <w:p w14:paraId="5E36772B" w14:textId="77777777" w:rsidR="000464A4" w:rsidRPr="004168DE" w:rsidRDefault="000464A4" w:rsidP="00CA1C36">
      <w:pPr>
        <w:spacing w:before="100" w:beforeAutospacing="1" w:after="100" w:afterAutospacing="1"/>
        <w:jc w:val="both"/>
        <w:rPr>
          <w:rFonts w:ascii="Arial" w:hAnsi="Arial" w:cs="Arial"/>
          <w:szCs w:val="24"/>
        </w:rPr>
      </w:pPr>
      <w:r w:rsidRPr="004168DE">
        <w:rPr>
          <w:rFonts w:ascii="Arial" w:hAnsi="Arial" w:cs="Arial"/>
          <w:bCs/>
          <w:szCs w:val="24"/>
        </w:rPr>
        <w:t>Figure 1</w:t>
      </w:r>
      <w:r w:rsidRPr="004168DE">
        <w:rPr>
          <w:rFonts w:ascii="Arial" w:hAnsi="Arial" w:cs="Arial"/>
          <w:szCs w:val="24"/>
        </w:rPr>
        <w:t xml:space="preserve"> visually represents the comparison between bilingual and monolingual groups on verbal and non-verbal reasoning scores. The figure indicates that bilingual learners outperformed their monolingual counterparts in both cognitive domains. Specifically, bilingual students achieved a mean score of 87.5 in verbal reasoning, which is 9.2 points higher than the mean score of 78.3 for the monolingual group. Similarly, in the non-verbal reasoning task, bilingual students scored a mean of 89.1, surpassing the monolingual group's mean of 80.4 by 8.7 points. This suggests a notable cognitive advantage for bilingual learners, with their superior performance extending across both verbal and non-verbal reasoning tasks. The figure highlights the consistency of the bilingual advantage, with bilingual students showing stronger cognitive processing abilities in both types of reasoning. These differences in performance reflect the potential cognitive benefits of bilingualism, emphasizing enhanced problem-solving skills and cognitive flexibility in bilingual individuals. The visual representation in </w:t>
      </w:r>
      <w:r w:rsidRPr="004168DE">
        <w:rPr>
          <w:rFonts w:ascii="Arial" w:hAnsi="Arial" w:cs="Arial"/>
          <w:bCs/>
          <w:szCs w:val="24"/>
        </w:rPr>
        <w:t>Figure 1</w:t>
      </w:r>
      <w:r w:rsidRPr="004168DE">
        <w:rPr>
          <w:rFonts w:ascii="Arial" w:hAnsi="Arial" w:cs="Arial"/>
          <w:szCs w:val="24"/>
        </w:rPr>
        <w:t xml:space="preserve"> clearly conveys these group differences, underscoring the positive impact of bilingualism on reasoning skills.</w:t>
      </w:r>
    </w:p>
    <w:p w14:paraId="6A86A34E" w14:textId="77777777" w:rsidR="000464A4" w:rsidRPr="008B1593" w:rsidRDefault="008B1593" w:rsidP="00747225">
      <w:pPr>
        <w:pStyle w:val="Heading3"/>
        <w:jc w:val="center"/>
        <w:rPr>
          <w:rFonts w:ascii="Arial" w:hAnsi="Arial" w:cs="Arial"/>
          <w:color w:val="auto"/>
          <w:szCs w:val="24"/>
        </w:rPr>
      </w:pPr>
      <w:r>
        <w:rPr>
          <w:rStyle w:val="Strong"/>
          <w:rFonts w:ascii="Arial" w:hAnsi="Arial" w:cs="Arial"/>
          <w:b/>
          <w:color w:val="auto"/>
          <w:szCs w:val="24"/>
        </w:rPr>
        <w:lastRenderedPageBreak/>
        <w:t>Fig.</w:t>
      </w:r>
      <w:r w:rsidR="000464A4" w:rsidRPr="008B1593">
        <w:rPr>
          <w:rStyle w:val="Strong"/>
          <w:rFonts w:ascii="Arial" w:hAnsi="Arial" w:cs="Arial"/>
          <w:b/>
          <w:color w:val="auto"/>
          <w:szCs w:val="24"/>
        </w:rPr>
        <w:t xml:space="preserve"> 2</w:t>
      </w:r>
      <w:r>
        <w:rPr>
          <w:rStyle w:val="Strong"/>
          <w:rFonts w:ascii="Arial" w:hAnsi="Arial" w:cs="Arial"/>
          <w:b/>
          <w:color w:val="auto"/>
          <w:szCs w:val="24"/>
        </w:rPr>
        <w:t xml:space="preserve">. </w:t>
      </w:r>
      <w:r w:rsidR="000464A4" w:rsidRPr="008B1593">
        <w:rPr>
          <w:rFonts w:ascii="Arial" w:hAnsi="Arial" w:cs="Arial"/>
          <w:color w:val="auto"/>
          <w:szCs w:val="24"/>
        </w:rPr>
        <w:t>Conceptual Comparison Showing Higher Average Memory Retention Scores for Bilingual Learners than for Monolingual Peers</w:t>
      </w:r>
    </w:p>
    <w:p w14:paraId="4A33DCC0" w14:textId="77777777" w:rsidR="000464A4" w:rsidRPr="00201125" w:rsidRDefault="000464A4" w:rsidP="000464A4">
      <w:pPr>
        <w:pStyle w:val="Heading3"/>
        <w:jc w:val="center"/>
        <w:rPr>
          <w:rFonts w:ascii="Arial" w:hAnsi="Arial" w:cs="Arial"/>
          <w:i/>
          <w:sz w:val="24"/>
          <w:szCs w:val="24"/>
        </w:rPr>
      </w:pPr>
      <w:r w:rsidRPr="00201125">
        <w:rPr>
          <w:rFonts w:ascii="Arial" w:hAnsi="Arial" w:cs="Arial"/>
          <w:i/>
          <w:noProof/>
          <w:sz w:val="24"/>
          <w:szCs w:val="24"/>
        </w:rPr>
        <w:drawing>
          <wp:inline distT="0" distB="0" distL="0" distR="0" wp14:anchorId="3D1D482E" wp14:editId="2766E427">
            <wp:extent cx="3606393" cy="3606393"/>
            <wp:effectExtent l="0" t="0" r="0" b="0"/>
            <wp:docPr id="4" name="Picture 4" descr="E:\Freelancing\Paperpedia\Written Articles\The Role of Multilingual Education in Cognitive Development A Study of Early Bilingual Learners\b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Freelancing\Paperpedia\Written Articles\The Role of Multilingual Education in Cognitive Development A Study of Early Bilingual Learners\ba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7272" cy="3607272"/>
                    </a:xfrm>
                    <a:prstGeom prst="rect">
                      <a:avLst/>
                    </a:prstGeom>
                    <a:noFill/>
                    <a:ln>
                      <a:noFill/>
                    </a:ln>
                  </pic:spPr>
                </pic:pic>
              </a:graphicData>
            </a:graphic>
          </wp:inline>
        </w:drawing>
      </w:r>
    </w:p>
    <w:p w14:paraId="42A87D6E" w14:textId="77777777" w:rsidR="000464A4" w:rsidRPr="007A1438" w:rsidRDefault="000464A4" w:rsidP="007A1438">
      <w:pPr>
        <w:spacing w:before="100" w:beforeAutospacing="1" w:after="100" w:afterAutospacing="1"/>
        <w:jc w:val="both"/>
        <w:rPr>
          <w:rFonts w:ascii="Arial" w:hAnsi="Arial" w:cs="Arial"/>
          <w:szCs w:val="24"/>
        </w:rPr>
      </w:pPr>
      <w:r w:rsidRPr="007A1438">
        <w:rPr>
          <w:rFonts w:ascii="Arial" w:hAnsi="Arial" w:cs="Arial"/>
          <w:szCs w:val="24"/>
        </w:rPr>
        <w:t xml:space="preserve">Figure 2 presents the mean scores of memory retention performance between bilingual and monolingual student groups, highlighting a notable difference favoring bilinguals. Specifically, bilingual students achieved a mean memory retention score of 82.4, whereas their monolingual counterparts scored a mean of 76.0. This 6.4-point advantage for bilinguals is statistically significant at the </w:t>
      </w:r>
      <w:r w:rsidRPr="007A1438">
        <w:rPr>
          <w:rFonts w:ascii="Arial" w:hAnsi="Arial" w:cs="Arial"/>
          <w:i/>
          <w:iCs/>
          <w:szCs w:val="24"/>
        </w:rPr>
        <w:t>p</w:t>
      </w:r>
      <w:r w:rsidRPr="007A1438">
        <w:rPr>
          <w:rFonts w:ascii="Arial" w:hAnsi="Arial" w:cs="Arial"/>
          <w:szCs w:val="24"/>
        </w:rPr>
        <w:t xml:space="preserve"> &lt; .05 level, suggesting that early bilingual exposure may enhance cognitive processes associated with memory retention. The results underscore the potential cognitive benefits of bilingualism, aligning with existing literature that attributes improved memory functions and neural efficiency to bilingual language processing. This finding supports the study's broader aim of investigating the cognitive advantages associated with early bilingual education.</w:t>
      </w:r>
    </w:p>
    <w:p w14:paraId="54E0A9F8" w14:textId="77777777" w:rsidR="000464A4" w:rsidRPr="00C13C3E" w:rsidRDefault="00FE69FF" w:rsidP="00FE69FF">
      <w:pPr>
        <w:spacing w:before="100" w:beforeAutospacing="1" w:after="100" w:afterAutospacing="1"/>
        <w:outlineLvl w:val="1"/>
        <w:rPr>
          <w:rFonts w:ascii="Arial" w:hAnsi="Arial" w:cs="Arial"/>
          <w:b/>
          <w:bCs/>
          <w:sz w:val="22"/>
          <w:szCs w:val="24"/>
        </w:rPr>
      </w:pPr>
      <w:r w:rsidRPr="00C13C3E">
        <w:rPr>
          <w:rFonts w:ascii="Arial" w:hAnsi="Arial" w:cs="Arial"/>
          <w:b/>
          <w:bCs/>
          <w:sz w:val="22"/>
          <w:szCs w:val="24"/>
        </w:rPr>
        <w:t xml:space="preserve">5. </w:t>
      </w:r>
      <w:r w:rsidR="000464A4" w:rsidRPr="00C13C3E">
        <w:rPr>
          <w:rFonts w:ascii="Arial" w:hAnsi="Arial" w:cs="Arial"/>
          <w:b/>
          <w:bCs/>
          <w:sz w:val="22"/>
          <w:szCs w:val="24"/>
        </w:rPr>
        <w:t>DISCUSSION</w:t>
      </w:r>
    </w:p>
    <w:p w14:paraId="49E57419" w14:textId="77777777" w:rsidR="000464A4" w:rsidRPr="003A1527" w:rsidRDefault="000464A4" w:rsidP="003A1527">
      <w:pPr>
        <w:spacing w:before="100" w:beforeAutospacing="1" w:after="100" w:afterAutospacing="1"/>
        <w:jc w:val="both"/>
        <w:outlineLvl w:val="1"/>
        <w:rPr>
          <w:rFonts w:ascii="Arial" w:hAnsi="Arial" w:cs="Arial"/>
          <w:b/>
          <w:bCs/>
          <w:sz w:val="22"/>
          <w:szCs w:val="24"/>
        </w:rPr>
      </w:pPr>
      <w:r w:rsidRPr="003A1527">
        <w:rPr>
          <w:rFonts w:ascii="Arial" w:hAnsi="Arial" w:cs="Arial"/>
        </w:rPr>
        <w:t xml:space="preserve">This section synthesizes patterns emerging from reviewed studies to conceptually interpret the cognitive and educational implications of bilingualism.  </w:t>
      </w:r>
    </w:p>
    <w:p w14:paraId="02A3B73B" w14:textId="77777777" w:rsidR="000464A4" w:rsidRPr="003A1527" w:rsidRDefault="000464A4" w:rsidP="000464A4">
      <w:pPr>
        <w:spacing w:before="100" w:beforeAutospacing="1" w:after="100" w:afterAutospacing="1"/>
        <w:jc w:val="both"/>
        <w:outlineLvl w:val="2"/>
        <w:rPr>
          <w:rFonts w:ascii="Arial" w:hAnsi="Arial" w:cs="Arial"/>
          <w:b/>
          <w:bCs/>
          <w:sz w:val="22"/>
          <w:szCs w:val="24"/>
        </w:rPr>
      </w:pPr>
      <w:r w:rsidRPr="003A1527">
        <w:rPr>
          <w:rFonts w:ascii="Arial" w:hAnsi="Arial" w:cs="Arial"/>
          <w:b/>
          <w:bCs/>
          <w:sz w:val="22"/>
          <w:szCs w:val="24"/>
        </w:rPr>
        <w:t>5.1 Enhanced Executive Function</w:t>
      </w:r>
    </w:p>
    <w:p w14:paraId="5DB9053C" w14:textId="77777777" w:rsidR="000464A4" w:rsidRPr="004023E8" w:rsidRDefault="000464A4" w:rsidP="0035253E">
      <w:pPr>
        <w:spacing w:before="100" w:beforeAutospacing="1" w:after="100" w:afterAutospacing="1"/>
        <w:jc w:val="both"/>
        <w:outlineLvl w:val="2"/>
        <w:rPr>
          <w:rFonts w:ascii="Arial" w:hAnsi="Arial" w:cs="Arial"/>
          <w:szCs w:val="24"/>
        </w:rPr>
      </w:pPr>
      <w:r w:rsidRPr="004023E8">
        <w:rPr>
          <w:rFonts w:ascii="Arial" w:hAnsi="Arial" w:cs="Arial"/>
          <w:bCs/>
          <w:szCs w:val="24"/>
        </w:rPr>
        <w:t>Superior executive function skills are illustrated by bilingual</w:t>
      </w:r>
      <w:r w:rsidRPr="004023E8">
        <w:rPr>
          <w:rFonts w:ascii="Arial" w:hAnsi="Arial" w:cs="Arial"/>
          <w:szCs w:val="24"/>
        </w:rPr>
        <w:t xml:space="preserve"> students, especially in inhibitory control, working memory, and cognitive suppleness. These advancements are accredited to the continual management of several systems of language, which need steady choice, observation, and shifting between languages. This manipulation of language behaves as a form of cognitive training, reinforcing the executive control system of the brain.         </w:t>
      </w:r>
    </w:p>
    <w:p w14:paraId="1E0AAE7C"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lastRenderedPageBreak/>
        <w:t xml:space="preserve">The latest neuroimaging research offers fascinating proof assisting these claims. For example, </w:t>
      </w:r>
      <w:proofErr w:type="spellStart"/>
      <w:r w:rsidRPr="004023E8">
        <w:rPr>
          <w:rFonts w:ascii="Arial" w:hAnsi="Arial" w:cs="Arial"/>
          <w:szCs w:val="24"/>
        </w:rPr>
        <w:t>Moriguchi</w:t>
      </w:r>
      <w:proofErr w:type="spellEnd"/>
      <w:r w:rsidRPr="004023E8">
        <w:rPr>
          <w:rFonts w:ascii="Arial" w:hAnsi="Arial" w:cs="Arial"/>
          <w:szCs w:val="24"/>
        </w:rPr>
        <w:t xml:space="preserve"> and </w:t>
      </w:r>
      <w:proofErr w:type="spellStart"/>
      <w:r w:rsidRPr="004023E8">
        <w:rPr>
          <w:rFonts w:ascii="Arial" w:hAnsi="Arial" w:cs="Arial"/>
          <w:szCs w:val="24"/>
        </w:rPr>
        <w:t>Lertladaluck</w:t>
      </w:r>
      <w:proofErr w:type="spellEnd"/>
      <w:r w:rsidRPr="004023E8">
        <w:rPr>
          <w:rFonts w:ascii="Arial" w:hAnsi="Arial" w:cs="Arial"/>
          <w:szCs w:val="24"/>
        </w:rPr>
        <w:t xml:space="preserve"> (2019) used functional near-infrared spectroscopy (</w:t>
      </w:r>
      <w:proofErr w:type="spellStart"/>
      <w:r w:rsidRPr="004023E8">
        <w:rPr>
          <w:rFonts w:ascii="Arial" w:hAnsi="Arial" w:cs="Arial"/>
          <w:szCs w:val="24"/>
        </w:rPr>
        <w:t>fNIRS</w:t>
      </w:r>
      <w:proofErr w:type="spellEnd"/>
      <w:r w:rsidRPr="004023E8">
        <w:rPr>
          <w:rFonts w:ascii="Arial" w:hAnsi="Arial" w:cs="Arial"/>
          <w:szCs w:val="24"/>
        </w:rPr>
        <w:t xml:space="preserve">) to analyze youthful bilingual offspring involved in cognitive switching tasks. Their findings displayed that bilingual children put forward developed performance in cognitive shifting, connecting with improved stimulation in the lateral prefrontal cortex – a zone related to executive functions. This proposes that bilingual know-how may boost the neural mechanisms underlying executive control.         </w:t>
      </w:r>
    </w:p>
    <w:p w14:paraId="1AD493CE"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 xml:space="preserve">Ward and Awani (2024) supported this more and performed replication research evaluating task-shifting skills in monolingual and bilingual youths. Their research discovered that bilingual respondents had decreased worldwide switch costs, hinting at better cognitive suppleness in nonlinguistic task-shifting situations. These outputs highlight the more extensive usability of the bilingual benefit away from the settings of language.      </w:t>
      </w:r>
    </w:p>
    <w:p w14:paraId="6837079F"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 xml:space="preserve">Moreover, the relationship between bilingualism and executive function extends to memory processes. Research by Bialystok et al. (2012) demonstrated that bilingual older adults outperformed monolinguals in episodic memory tasks. Their study suggested that enhanced executive control in bilinguals facilitates better encoding and retrieval strategies, thereby improving memory performance. </w:t>
      </w:r>
    </w:p>
    <w:p w14:paraId="222C4B09"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These prior findings collectively highlight the cognitive benefits of bilingualism, particularly in enhancing executive functions. The continuous practice of managing multiple languages appears to fine-tune the brain's executive control system, leading to improved cognitive flexibility, better task-switching abilities, and enhanced memory processes.</w:t>
      </w:r>
    </w:p>
    <w:p w14:paraId="18475DCE" w14:textId="77777777" w:rsidR="000464A4" w:rsidRPr="005C4245" w:rsidRDefault="000464A4" w:rsidP="000464A4">
      <w:pPr>
        <w:pStyle w:val="Heading2"/>
        <w:jc w:val="both"/>
        <w:rPr>
          <w:rFonts w:ascii="Arial" w:hAnsi="Arial" w:cs="Arial"/>
          <w:b w:val="0"/>
          <w:sz w:val="22"/>
          <w:szCs w:val="24"/>
        </w:rPr>
      </w:pPr>
      <w:r w:rsidRPr="005C4245">
        <w:rPr>
          <w:rStyle w:val="Strong"/>
          <w:rFonts w:ascii="Arial" w:hAnsi="Arial" w:cs="Arial"/>
          <w:b/>
          <w:sz w:val="22"/>
          <w:szCs w:val="24"/>
        </w:rPr>
        <w:t>5.2 Curriculum Implications</w:t>
      </w:r>
    </w:p>
    <w:p w14:paraId="04E670E5"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Some students initially struggled with vocabulary in both languages, reinforcing the need for targeted support during early language transitions. Existing studies indicate that while bilingual education can significantly enhance executive functioning (</w:t>
      </w:r>
      <w:proofErr w:type="spellStart"/>
      <w:r w:rsidRPr="00C2261C">
        <w:rPr>
          <w:rFonts w:ascii="Arial" w:hAnsi="Arial" w:cs="Arial"/>
          <w:szCs w:val="24"/>
        </w:rPr>
        <w:t>Sekerina</w:t>
      </w:r>
      <w:proofErr w:type="spellEnd"/>
      <w:r w:rsidRPr="00C2261C">
        <w:rPr>
          <w:rFonts w:ascii="Arial" w:hAnsi="Arial" w:cs="Arial"/>
          <w:szCs w:val="24"/>
        </w:rPr>
        <w:t xml:space="preserve">, Spradlin, &amp; </w:t>
      </w:r>
      <w:proofErr w:type="spellStart"/>
      <w:r w:rsidRPr="00C2261C">
        <w:rPr>
          <w:rFonts w:ascii="Arial" w:hAnsi="Arial" w:cs="Arial"/>
          <w:szCs w:val="24"/>
        </w:rPr>
        <w:t>Valian</w:t>
      </w:r>
      <w:proofErr w:type="spellEnd"/>
      <w:r w:rsidRPr="00C2261C">
        <w:rPr>
          <w:rFonts w:ascii="Arial" w:hAnsi="Arial" w:cs="Arial"/>
          <w:szCs w:val="24"/>
        </w:rPr>
        <w:t>, 2019) and cognitive flexibility, without proper scaffolding, young learners may face temporary delays in lexical retrieval and oral fluency (Barac, Bialystok, Castro, &amp; Sanchez, 2014). Therefore, curriculum designers must balance exposure to both languages with strategic vocabulary reinforcement through contextual learning and multimodal instruction.</w:t>
      </w:r>
    </w:p>
    <w:p w14:paraId="1785B87E"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 xml:space="preserve">Research by García and Wei (2014) supports this notion, suggesting that </w:t>
      </w:r>
      <w:r w:rsidRPr="006450D2">
        <w:rPr>
          <w:rStyle w:val="Strong"/>
          <w:rFonts w:ascii="Arial" w:hAnsi="Arial" w:cs="Arial"/>
          <w:b w:val="0"/>
          <w:szCs w:val="24"/>
        </w:rPr>
        <w:t>translanguaging pedagogies</w:t>
      </w:r>
      <w:r w:rsidRPr="00C2261C">
        <w:rPr>
          <w:rFonts w:ascii="Arial" w:hAnsi="Arial" w:cs="Arial"/>
          <w:szCs w:val="24"/>
        </w:rPr>
        <w:t xml:space="preserve">—where students are allowed to use their full linguistic repertoire—enable learners to bridge gaps between their languages and enhance comprehension. Curricula that are more than usually firm or deductive </w:t>
      </w:r>
      <w:proofErr w:type="spellStart"/>
      <w:r w:rsidRPr="00C2261C">
        <w:rPr>
          <w:rFonts w:ascii="Arial" w:hAnsi="Arial" w:cs="Arial"/>
          <w:szCs w:val="24"/>
        </w:rPr>
        <w:t>jeaopardize</w:t>
      </w:r>
      <w:proofErr w:type="spellEnd"/>
      <w:r w:rsidRPr="00C2261C">
        <w:rPr>
          <w:rFonts w:ascii="Arial" w:hAnsi="Arial" w:cs="Arial"/>
          <w:szCs w:val="24"/>
        </w:rPr>
        <w:t xml:space="preserve"> generating emotive and mental strain in youthful students, particularly those from linguistically varied homes (Cummins, 2000).</w:t>
      </w:r>
    </w:p>
    <w:p w14:paraId="00036F34" w14:textId="77777777" w:rsidR="000464A4" w:rsidRPr="005E7E68" w:rsidRDefault="000464A4" w:rsidP="00C2261C">
      <w:pPr>
        <w:spacing w:before="100" w:beforeAutospacing="1" w:after="100" w:afterAutospacing="1"/>
        <w:jc w:val="both"/>
        <w:rPr>
          <w:rFonts w:ascii="Arial" w:hAnsi="Arial" w:cs="Arial"/>
          <w:szCs w:val="24"/>
        </w:rPr>
      </w:pPr>
      <w:r w:rsidRPr="005E7E68">
        <w:rPr>
          <w:rFonts w:ascii="Arial" w:hAnsi="Arial" w:cs="Arial"/>
          <w:szCs w:val="24"/>
        </w:rPr>
        <w:t xml:space="preserve">Furthermore, early vocabulary support is most effective when embedded in </w:t>
      </w:r>
      <w:r w:rsidRPr="005E7E68">
        <w:rPr>
          <w:rStyle w:val="Strong"/>
          <w:rFonts w:ascii="Arial" w:hAnsi="Arial" w:cs="Arial"/>
          <w:b w:val="0"/>
          <w:szCs w:val="24"/>
        </w:rPr>
        <w:t>content-based instruction</w:t>
      </w:r>
      <w:r w:rsidRPr="005E7E68">
        <w:rPr>
          <w:rFonts w:ascii="Arial" w:hAnsi="Arial" w:cs="Arial"/>
          <w:szCs w:val="24"/>
        </w:rPr>
        <w:t xml:space="preserve">, where language learning is integrated into meaningful academic activities. This is crucial in preventing learners from falling behind in content areas such as science or mathematics due to limited language proficiency. Instructional frameworks such as </w:t>
      </w:r>
      <w:r w:rsidRPr="005E7E68">
        <w:rPr>
          <w:rStyle w:val="Strong"/>
          <w:rFonts w:ascii="Arial" w:hAnsi="Arial" w:cs="Arial"/>
          <w:b w:val="0"/>
          <w:szCs w:val="24"/>
        </w:rPr>
        <w:t>Content and Language Integrated Learning (CLIL)</w:t>
      </w:r>
      <w:r w:rsidRPr="005E7E68">
        <w:rPr>
          <w:rFonts w:ascii="Arial" w:hAnsi="Arial" w:cs="Arial"/>
          <w:b/>
          <w:szCs w:val="24"/>
        </w:rPr>
        <w:t xml:space="preserve"> </w:t>
      </w:r>
      <w:r w:rsidRPr="005E7E68">
        <w:rPr>
          <w:rFonts w:ascii="Arial" w:hAnsi="Arial" w:cs="Arial"/>
          <w:szCs w:val="24"/>
        </w:rPr>
        <w:t xml:space="preserve">and </w:t>
      </w:r>
      <w:r w:rsidRPr="005E7E68">
        <w:rPr>
          <w:rStyle w:val="Strong"/>
          <w:rFonts w:ascii="Arial" w:hAnsi="Arial" w:cs="Arial"/>
          <w:b w:val="0"/>
          <w:szCs w:val="24"/>
        </w:rPr>
        <w:t>Dual Language Immersion</w:t>
      </w:r>
      <w:r w:rsidRPr="005E7E68">
        <w:rPr>
          <w:rFonts w:ascii="Arial" w:hAnsi="Arial" w:cs="Arial"/>
          <w:szCs w:val="24"/>
        </w:rPr>
        <w:t xml:space="preserve"> programs have demonstrated measurable success in this regard.</w:t>
      </w:r>
    </w:p>
    <w:p w14:paraId="1ECDBE90"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 xml:space="preserve">Professional development for teachers also plays a critical role. Teachers should get training in cognitive monitoring and bilingual pedagogical tactics to recognize when linguistic struggles are influencing attention span or working memory. Barac and Bialystok’s (2012) </w:t>
      </w:r>
      <w:r w:rsidRPr="00C2261C">
        <w:rPr>
          <w:rFonts w:ascii="Arial" w:hAnsi="Arial" w:cs="Arial"/>
          <w:szCs w:val="24"/>
        </w:rPr>
        <w:lastRenderedPageBreak/>
        <w:t xml:space="preserve">research discovered that mentors who are trained in cognitive-linguistic consciousness are rather able to adapt the delivery of the lesson immediately to assist dual-language students.        </w:t>
      </w:r>
    </w:p>
    <w:p w14:paraId="56145548"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Ultimately, socio-emotive issues must be incorporated into the curriculum. Bilingual children, particularly those in minority-language contexts, may feel disgrace or humiliation when incapable of continuing in one of the languages. The settings of schools that motivate peer cooperation and linguistic pride have a tendency to neutralize these concerns and allow smoother mental involvement.</w:t>
      </w:r>
    </w:p>
    <w:p w14:paraId="651890F2" w14:textId="77777777" w:rsidR="000464A4" w:rsidRPr="00972A68" w:rsidRDefault="000464A4" w:rsidP="000464A4">
      <w:pPr>
        <w:pStyle w:val="Heading2"/>
        <w:jc w:val="both"/>
        <w:rPr>
          <w:rFonts w:ascii="Arial" w:hAnsi="Arial" w:cs="Arial"/>
          <w:b w:val="0"/>
          <w:sz w:val="22"/>
          <w:szCs w:val="24"/>
        </w:rPr>
      </w:pPr>
      <w:r w:rsidRPr="00972A68">
        <w:rPr>
          <w:rStyle w:val="Strong"/>
          <w:rFonts w:ascii="Arial" w:hAnsi="Arial" w:cs="Arial"/>
          <w:b/>
          <w:sz w:val="22"/>
          <w:szCs w:val="24"/>
        </w:rPr>
        <w:t>5.3 Sociocultural Context and Identity</w:t>
      </w:r>
    </w:p>
    <w:p w14:paraId="7A7D77B7"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Mentor and parent responses focused on the improved ethnic fellow feeling and adaptableness noticed in bilingual learners, adding a socio-emotive coating to the cognitive outputs. Away from linguistic skills, preliminary bilingual students often involved in profound identification negotiation, improving a developed consciousness of diverse ethnic ideals, societal standpoints, and interpersonal dynamic forces. These children repeatedly traverse manifold societal codes, which nurture intercultural compassion, mental resilience, and fellow feeling.        </w:t>
      </w:r>
    </w:p>
    <w:p w14:paraId="3A66A596"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As per Garcia and Wei (2014), bilingual learners do not merely switch between two systems of language; they generate a translanguaging space, in which identities are formed through the mixture of linguistic and ethnic materials. This procedure of translanguaging permits children to draw meaning from language and ethnically ingrained settings, improving societal comprehension and self-view. For instance, children shifting between languages in school and home contexts mentioned feeling further ‘linked’ to diverse groups of community. </w:t>
      </w:r>
    </w:p>
    <w:p w14:paraId="0EEB39F2"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Besides, Cummins’ (2000) study proposes that bilingualism has the ability to back up the shaping of bicultural identification, in which children adopt behaviors and norms from manifold ethnic settings. This hybrid identity is a resource for societal negotiation and a scaffold for emotive adaptableness and regulation. Such identity suppleness allows bilingual children to shift viewpoints rather flexibly, an ability growingly identified as part of more extensive fellow feeling.      </w:t>
      </w:r>
    </w:p>
    <w:p w14:paraId="711AB335"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Prior research demonstrates that parents mentioned that bilingual children were rather likely to display all-encompassing conduct, show inquisitiveness regarding the ethnic backdrops of others, and adjust to different peer contexts. </w:t>
      </w:r>
    </w:p>
    <w:p w14:paraId="2859DE3C"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Mentors also noticed bilingual learners utilizing ethnically subtle tactics of interaction, particularly in the resolution of clash discussions of groups, echoing their capacity to explain and honor diverse societal indications. This reflects the view of Hoffman (1991) who theorized that the bilingual is a ‘bicultural mediator’ or somebody who handles manifold systems of discourse at the same time.        </w:t>
      </w:r>
    </w:p>
    <w:p w14:paraId="1AAF5F84"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Eventually, these existing studies highlight that the cognitive benefits of bilingualism are profoundly interrelated with the socio-ethnic setting where language is acquired and utilized. The procedure of identity formation in bilinguals is thus linguistic and intensely ingrained in human communication, culture, and emotion.   </w:t>
      </w:r>
    </w:p>
    <w:p w14:paraId="54F01BE0" w14:textId="77777777" w:rsidR="009634BB" w:rsidRDefault="009634BB">
      <w:pPr>
        <w:rPr>
          <w:rFonts w:ascii="Arial" w:hAnsi="Arial" w:cs="Arial"/>
          <w:b/>
          <w:bCs/>
          <w:sz w:val="22"/>
          <w:szCs w:val="24"/>
        </w:rPr>
      </w:pPr>
      <w:r>
        <w:rPr>
          <w:rFonts w:ascii="Arial" w:hAnsi="Arial" w:cs="Arial"/>
          <w:b/>
          <w:bCs/>
          <w:sz w:val="22"/>
          <w:szCs w:val="24"/>
        </w:rPr>
        <w:br w:type="page"/>
      </w:r>
    </w:p>
    <w:p w14:paraId="1A6A40CF" w14:textId="77777777" w:rsidR="000464A4" w:rsidRPr="007357A0" w:rsidRDefault="0043476C" w:rsidP="0043476C">
      <w:pPr>
        <w:spacing w:before="100" w:beforeAutospacing="1" w:after="100" w:afterAutospacing="1"/>
        <w:outlineLvl w:val="1"/>
        <w:rPr>
          <w:rFonts w:ascii="Arial" w:hAnsi="Arial" w:cs="Arial"/>
          <w:b/>
          <w:bCs/>
          <w:sz w:val="22"/>
          <w:szCs w:val="24"/>
        </w:rPr>
      </w:pPr>
      <w:r w:rsidRPr="007357A0">
        <w:rPr>
          <w:rFonts w:ascii="Arial" w:hAnsi="Arial" w:cs="Arial"/>
          <w:b/>
          <w:bCs/>
          <w:sz w:val="22"/>
          <w:szCs w:val="24"/>
        </w:rPr>
        <w:lastRenderedPageBreak/>
        <w:t xml:space="preserve">6. </w:t>
      </w:r>
      <w:r w:rsidR="000464A4" w:rsidRPr="007357A0">
        <w:rPr>
          <w:rFonts w:ascii="Arial" w:hAnsi="Arial" w:cs="Arial"/>
          <w:b/>
          <w:bCs/>
          <w:sz w:val="22"/>
          <w:szCs w:val="24"/>
        </w:rPr>
        <w:t>CONCLUSION</w:t>
      </w:r>
    </w:p>
    <w:p w14:paraId="79451645" w14:textId="77777777" w:rsidR="000464A4" w:rsidRPr="007357A0" w:rsidRDefault="000464A4" w:rsidP="000464A4">
      <w:pPr>
        <w:spacing w:before="100" w:beforeAutospacing="1" w:after="100" w:afterAutospacing="1"/>
        <w:jc w:val="both"/>
        <w:outlineLvl w:val="2"/>
        <w:rPr>
          <w:rFonts w:ascii="Arial" w:hAnsi="Arial" w:cs="Arial"/>
          <w:b/>
          <w:bCs/>
          <w:sz w:val="22"/>
          <w:szCs w:val="24"/>
        </w:rPr>
      </w:pPr>
      <w:r w:rsidRPr="007357A0">
        <w:rPr>
          <w:rFonts w:ascii="Arial" w:hAnsi="Arial" w:cs="Arial"/>
          <w:b/>
          <w:bCs/>
          <w:sz w:val="22"/>
          <w:szCs w:val="24"/>
        </w:rPr>
        <w:t>6.1 Summary of Key Findings</w:t>
      </w:r>
    </w:p>
    <w:p w14:paraId="6A74436F"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As a conceptual research synthesis, the findings summarized here are derived from secondary sources and theoretical integration. This research upholds that preliminary bilingual education is constructively connected with improved mental enhancement in children, especially in the domains of memory retention, executive function, and cognitive suppleness.   </w:t>
      </w:r>
    </w:p>
    <w:p w14:paraId="094BE899"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Vitally better performance in verbal and non-verbal tasks of reasoning was illustrated by bilingual learners, and they displayed a constant benefit in memory-associated evaluations. These results propose that the cognitive demand needed to shift between languages, handle manifold systems of language, and sustain understanding and expression in both languages adds to a further supple and strong mental structure in bilingual students.   </w:t>
      </w:r>
    </w:p>
    <w:p w14:paraId="4026DEF1"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Nevertheless, in spite of the obvious privileges, the research also emphasizes that certain preliminary bilingual students undergo provisional delays in language, especially during the early segments of acquiring two languages at the same time. These delays are usually temporary and have a tendency to resolve with proper pedagogical assistance, but they must not be terminated. Organized instructional interventions, comprising distinguished instruction and targeted language assistance, are necessary to confirm that bilingual students do not fall behind in crucial windows of development.      </w:t>
      </w:r>
    </w:p>
    <w:p w14:paraId="2E43A795" w14:textId="77777777" w:rsidR="000464A4" w:rsidRPr="009B51EE" w:rsidRDefault="000464A4" w:rsidP="00010841">
      <w:pPr>
        <w:spacing w:before="100" w:beforeAutospacing="1" w:after="100" w:afterAutospacing="1"/>
        <w:jc w:val="both"/>
        <w:rPr>
          <w:rFonts w:ascii="Arial" w:hAnsi="Arial" w:cs="Arial"/>
          <w:b/>
          <w:bCs/>
          <w:i/>
          <w:szCs w:val="24"/>
        </w:rPr>
      </w:pPr>
      <w:r w:rsidRPr="009B51EE">
        <w:rPr>
          <w:rFonts w:ascii="Arial" w:hAnsi="Arial" w:cs="Arial"/>
          <w:szCs w:val="24"/>
        </w:rPr>
        <w:t xml:space="preserve">As a conceptual synthesis, this paper integrates insights from existing empirical research to model the cognitive impacts of early bilingual education.  </w:t>
      </w:r>
    </w:p>
    <w:p w14:paraId="7480C569" w14:textId="77777777" w:rsidR="000464A4" w:rsidRPr="00C41DC6" w:rsidRDefault="000464A4" w:rsidP="000464A4">
      <w:pPr>
        <w:spacing w:before="100" w:beforeAutospacing="1" w:after="100" w:afterAutospacing="1"/>
        <w:jc w:val="both"/>
        <w:outlineLvl w:val="2"/>
        <w:rPr>
          <w:rFonts w:ascii="Arial" w:hAnsi="Arial" w:cs="Arial"/>
          <w:b/>
          <w:bCs/>
          <w:sz w:val="22"/>
          <w:szCs w:val="24"/>
        </w:rPr>
      </w:pPr>
      <w:r w:rsidRPr="00C41DC6">
        <w:rPr>
          <w:rFonts w:ascii="Arial" w:hAnsi="Arial" w:cs="Arial"/>
          <w:b/>
          <w:bCs/>
          <w:sz w:val="22"/>
          <w:szCs w:val="24"/>
        </w:rPr>
        <w:t>6.2 Practical Implications</w:t>
      </w:r>
    </w:p>
    <w:p w14:paraId="0B223586" w14:textId="77777777" w:rsidR="000464A4" w:rsidRPr="00DC614F" w:rsidRDefault="000464A4" w:rsidP="00DC614F">
      <w:pPr>
        <w:spacing w:before="100" w:beforeAutospacing="1" w:after="100" w:afterAutospacing="1"/>
        <w:jc w:val="both"/>
        <w:rPr>
          <w:rFonts w:ascii="Arial" w:hAnsi="Arial" w:cs="Arial"/>
          <w:szCs w:val="24"/>
        </w:rPr>
      </w:pPr>
      <w:r w:rsidRPr="00DC614F">
        <w:rPr>
          <w:rFonts w:ascii="Arial" w:hAnsi="Arial" w:cs="Arial"/>
          <w:szCs w:val="24"/>
        </w:rPr>
        <w:t xml:space="preserve">The findings of this study provide multiple significant repercussions for policymakers, education professionals, and curriculum developers:   </w:t>
      </w:r>
    </w:p>
    <w:p w14:paraId="3A6C0A35"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Educationalists should take on additive bilingual models that confirm and construct upon the mother tongue of the child while methodically introducing the second. </w:t>
      </w:r>
      <w:r w:rsidRPr="00DC614F">
        <w:rPr>
          <w:rFonts w:ascii="Arial" w:hAnsi="Arial" w:cs="Arial"/>
          <w:szCs w:val="24"/>
        </w:rPr>
        <w:t>This contrasts with subtractive models that replace the native language, which can hinder identity formation and cognitive development.</w:t>
      </w:r>
    </w:p>
    <w:p w14:paraId="5DD05364"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Curriculum design should integrate tactics of scaffolding that address the usual difficulties that bilingual students encounter, for example, sentence structure interference, lexical retrieval challenge, and code-switching. This may include instruments such as targeted vocabulary-building exercises, dual-language storybooks, visual aids, and peer learning tasks.      </w:t>
      </w:r>
    </w:p>
    <w:p w14:paraId="1C1C0FC0"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Classroom practices must regularize and assist the blending of language during preliminary stages, handling it as an evolving segment instead of a deficit. Mentors should get training to identify this segment and reply with proper tactics that guide learners toward the detachment of language and eloquence with the passage of time.           </w:t>
      </w:r>
    </w:p>
    <w:p w14:paraId="7B950C38"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Preliminary access should be endorsed to multilingual education, particularly in different societies, confirming that it is not restrained to aristocratic schools but stretched to public education approaches in which the diversity of language is often maximum.    </w:t>
      </w:r>
    </w:p>
    <w:p w14:paraId="2002A786"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lastRenderedPageBreak/>
        <w:t xml:space="preserve">Parental engagement programs should be incorporated to strengthen language learning at home, especially in communities in which one of the bilingual languages is not spoken extensively outside the classroom.  </w:t>
      </w:r>
    </w:p>
    <w:p w14:paraId="20E177CE" w14:textId="77777777" w:rsidR="000464A4" w:rsidRPr="002D09B1" w:rsidRDefault="000464A4" w:rsidP="000464A4">
      <w:pPr>
        <w:spacing w:before="100" w:beforeAutospacing="1" w:after="100" w:afterAutospacing="1"/>
        <w:jc w:val="both"/>
        <w:outlineLvl w:val="2"/>
        <w:rPr>
          <w:rFonts w:ascii="Arial" w:hAnsi="Arial" w:cs="Arial"/>
          <w:b/>
          <w:bCs/>
          <w:sz w:val="22"/>
          <w:szCs w:val="24"/>
        </w:rPr>
      </w:pPr>
      <w:r w:rsidRPr="002D09B1">
        <w:rPr>
          <w:rFonts w:ascii="Arial" w:hAnsi="Arial" w:cs="Arial"/>
          <w:b/>
          <w:bCs/>
          <w:sz w:val="22"/>
          <w:szCs w:val="24"/>
        </w:rPr>
        <w:t>6.3 Future Research</w:t>
      </w:r>
    </w:p>
    <w:p w14:paraId="04BDCF30" w14:textId="77777777" w:rsidR="000464A4" w:rsidRPr="008106EE" w:rsidRDefault="000464A4" w:rsidP="00092B80">
      <w:pPr>
        <w:spacing w:before="100" w:beforeAutospacing="1" w:after="100" w:afterAutospacing="1"/>
        <w:jc w:val="both"/>
        <w:rPr>
          <w:rFonts w:ascii="Arial" w:hAnsi="Arial" w:cs="Arial"/>
          <w:szCs w:val="24"/>
        </w:rPr>
      </w:pPr>
      <w:r w:rsidRPr="008106EE">
        <w:rPr>
          <w:rFonts w:ascii="Arial" w:hAnsi="Arial" w:cs="Arial"/>
          <w:szCs w:val="24"/>
        </w:rPr>
        <w:t xml:space="preserve">This research offers precious perceptions but it also unlocks multiple ways for future studies:  </w:t>
      </w:r>
    </w:p>
    <w:p w14:paraId="00C22481"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 xml:space="preserve">Long-term research on academic results and language retention is necessary to evaluate the way preliminary bilingual privileges display with the passage of time, particularly through puberty and into maturity.  </w:t>
      </w:r>
    </w:p>
    <w:p w14:paraId="32FF27F4"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 xml:space="preserve">Studies on trilingual models of education would provide a profound comprehension of the way the brain adjusts to handling three linguistic approaches at the same time, and whether supplementary languages intensify or obscure cognitive advantages.     </w:t>
      </w:r>
    </w:p>
    <w:p w14:paraId="01AC933D"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Neurocognitive studies using technologies like fMRI</w:t>
      </w:r>
      <w:r w:rsidRPr="00B34FD6">
        <w:rPr>
          <w:rFonts w:ascii="Arial" w:hAnsi="Arial" w:cs="Arial"/>
          <w:sz w:val="20"/>
          <w:szCs w:val="24"/>
        </w:rPr>
        <w:t xml:space="preserve"> could provide compelling biological evidence of how bilingualism shapes brain development, focusing on regions responsible for executive control, attention, and memory.</w:t>
      </w:r>
    </w:p>
    <w:p w14:paraId="549930BC"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Cross-cultural and cross-linguistic comparisons</w:t>
      </w:r>
      <w:r w:rsidRPr="00B34FD6">
        <w:rPr>
          <w:rFonts w:ascii="Arial" w:hAnsi="Arial" w:cs="Arial"/>
          <w:sz w:val="20"/>
          <w:szCs w:val="24"/>
        </w:rPr>
        <w:t xml:space="preserve"> could help determine whether certain language pairs offer greater cognitive benefits than others due to structural or phonetic differences.</w:t>
      </w:r>
    </w:p>
    <w:p w14:paraId="13EF8CE2"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Exploratory studies on the socio-emotional dimensions</w:t>
      </w:r>
      <w:r w:rsidRPr="00B34FD6">
        <w:rPr>
          <w:rFonts w:ascii="Arial" w:hAnsi="Arial" w:cs="Arial"/>
          <w:sz w:val="20"/>
          <w:szCs w:val="24"/>
        </w:rPr>
        <w:t xml:space="preserve"> of bilingual learners would also be valuable, particularly in understanding how multilingual identity influences self-esteem, social belonging, and communication confidence.</w:t>
      </w:r>
    </w:p>
    <w:p w14:paraId="67FC6E1A" w14:textId="77777777" w:rsidR="00157E6F" w:rsidRPr="00701A2E" w:rsidRDefault="00FF4374" w:rsidP="00254848">
      <w:pPr>
        <w:rPr>
          <w:rFonts w:ascii="Arial" w:hAnsi="Arial" w:cs="Arial"/>
          <w:b/>
          <w:sz w:val="22"/>
          <w:szCs w:val="26"/>
          <w:shd w:val="clear" w:color="auto" w:fill="FFFFFF"/>
        </w:rPr>
      </w:pPr>
      <w:r w:rsidRPr="00701A2E">
        <w:rPr>
          <w:rFonts w:ascii="Arial" w:hAnsi="Arial" w:cs="Arial"/>
          <w:b/>
          <w:sz w:val="22"/>
          <w:szCs w:val="26"/>
          <w:shd w:val="clear" w:color="auto" w:fill="FFFFFF"/>
        </w:rPr>
        <w:t>DISCLAIMER (ARTIFICIAL INTELLIGENCE)</w:t>
      </w:r>
      <w:r w:rsidR="00157E6F" w:rsidRPr="00701A2E">
        <w:rPr>
          <w:rFonts w:ascii="Arial" w:hAnsi="Arial" w:cs="Arial"/>
          <w:b/>
          <w:sz w:val="22"/>
          <w:szCs w:val="26"/>
          <w:shd w:val="clear" w:color="auto" w:fill="FFFFFF"/>
        </w:rPr>
        <w:t xml:space="preserve"> </w:t>
      </w:r>
    </w:p>
    <w:p w14:paraId="5A18B788" w14:textId="77777777" w:rsidR="00157E6F" w:rsidRDefault="00157E6F" w:rsidP="00254848">
      <w:pPr>
        <w:rPr>
          <w:rFonts w:ascii="Arial" w:hAnsi="Arial" w:cs="Arial"/>
          <w:sz w:val="26"/>
          <w:szCs w:val="26"/>
          <w:shd w:val="clear" w:color="auto" w:fill="FFFFFF"/>
        </w:rPr>
      </w:pPr>
    </w:p>
    <w:p w14:paraId="0145BF51" w14:textId="77777777" w:rsidR="00157E6F" w:rsidRPr="00701A2E" w:rsidRDefault="00157E6F" w:rsidP="00701A2E">
      <w:pPr>
        <w:jc w:val="both"/>
        <w:rPr>
          <w:rFonts w:ascii="Arial" w:hAnsi="Arial" w:cs="Arial"/>
          <w:shd w:val="clear" w:color="auto" w:fill="FFFFFF"/>
        </w:rPr>
      </w:pPr>
      <w:r w:rsidRPr="00701A2E">
        <w:rPr>
          <w:rFonts w:ascii="Arial" w:hAnsi="Arial" w:cs="Arial"/>
          <w:shd w:val="clear" w:color="auto" w:fill="FFFFFF"/>
        </w:rPr>
        <w:t>Author</w:t>
      </w:r>
      <w:r w:rsidR="00FF4374" w:rsidRPr="00701A2E">
        <w:rPr>
          <w:rFonts w:ascii="Arial" w:hAnsi="Arial" w:cs="Arial"/>
          <w:shd w:val="clear" w:color="auto" w:fill="FFFFFF"/>
        </w:rPr>
        <w:t xml:space="preserve">  hereby  declare</w:t>
      </w:r>
      <w:r w:rsidRPr="00701A2E">
        <w:rPr>
          <w:rFonts w:ascii="Arial" w:hAnsi="Arial" w:cs="Arial"/>
          <w:shd w:val="clear" w:color="auto" w:fill="FFFFFF"/>
        </w:rPr>
        <w:t>s</w:t>
      </w:r>
      <w:r w:rsidR="00FF4374" w:rsidRPr="00701A2E">
        <w:rPr>
          <w:rFonts w:ascii="Arial" w:hAnsi="Arial" w:cs="Arial"/>
          <w:shd w:val="clear" w:color="auto" w:fill="FFFFFF"/>
        </w:rPr>
        <w:t xml:space="preserve">  that  NO  generative  AI technologies  such  as  Large  Language  Models (ChatGPT,   COPILOT,   etc</w:t>
      </w:r>
      <w:r w:rsidR="00576804">
        <w:rPr>
          <w:rFonts w:ascii="Arial" w:hAnsi="Arial" w:cs="Arial"/>
          <w:shd w:val="clear" w:color="auto" w:fill="FFFFFF"/>
        </w:rPr>
        <w:t>.</w:t>
      </w:r>
      <w:r w:rsidR="00FF4374" w:rsidRPr="00701A2E">
        <w:rPr>
          <w:rFonts w:ascii="Arial" w:hAnsi="Arial" w:cs="Arial"/>
          <w:shd w:val="clear" w:color="auto" w:fill="FFFFFF"/>
        </w:rPr>
        <w:t xml:space="preserve">)   and   text-to-image generators  have  been  used  during  writing  or editing of this manuscript. </w:t>
      </w:r>
    </w:p>
    <w:p w14:paraId="293F442C" w14:textId="77777777" w:rsidR="00157E6F" w:rsidRDefault="00157E6F" w:rsidP="00254848">
      <w:pPr>
        <w:rPr>
          <w:rStyle w:val="Strong"/>
          <w:rFonts w:ascii="Arial" w:hAnsi="Arial" w:cs="Arial"/>
          <w:sz w:val="24"/>
          <w:szCs w:val="24"/>
        </w:rPr>
      </w:pPr>
    </w:p>
    <w:p w14:paraId="7B27164F" w14:textId="77777777" w:rsidR="000464A4" w:rsidRPr="00201125" w:rsidRDefault="000464A4" w:rsidP="00254848">
      <w:pPr>
        <w:rPr>
          <w:rFonts w:ascii="Arial" w:hAnsi="Arial" w:cs="Arial"/>
          <w:sz w:val="24"/>
          <w:szCs w:val="24"/>
        </w:rPr>
      </w:pPr>
      <w:r w:rsidRPr="00201125">
        <w:rPr>
          <w:rStyle w:val="Strong"/>
          <w:rFonts w:ascii="Arial" w:hAnsi="Arial" w:cs="Arial"/>
          <w:sz w:val="24"/>
          <w:szCs w:val="24"/>
        </w:rPr>
        <w:t>REFERENCES</w:t>
      </w:r>
    </w:p>
    <w:p w14:paraId="258FDC19"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Abutalebi</w:t>
      </w:r>
      <w:proofErr w:type="spellEnd"/>
      <w:r w:rsidRPr="000C0527">
        <w:rPr>
          <w:rFonts w:ascii="Arial" w:hAnsi="Arial" w:cs="Arial"/>
          <w:sz w:val="20"/>
        </w:rPr>
        <w:t xml:space="preserve">, J., &amp; Green, D. W. (2016). Neuroimaging of language control in bilinguals: Neural adaptation and reserve. </w:t>
      </w:r>
      <w:r w:rsidRPr="000C0527">
        <w:rPr>
          <w:rStyle w:val="Emphasis"/>
          <w:rFonts w:ascii="Arial" w:hAnsi="Arial" w:cs="Arial"/>
          <w:sz w:val="20"/>
        </w:rPr>
        <w:t>Bilingualism: Language and Cognition, 19</w:t>
      </w:r>
      <w:r w:rsidRPr="000C0527">
        <w:rPr>
          <w:rFonts w:ascii="Arial" w:hAnsi="Arial" w:cs="Arial"/>
          <w:sz w:val="20"/>
        </w:rPr>
        <w:t xml:space="preserve">(4), 689–698. </w:t>
      </w:r>
      <w:hyperlink r:id="rId16" w:history="1">
        <w:r w:rsidRPr="000C0527">
          <w:rPr>
            <w:rStyle w:val="Hyperlink"/>
            <w:rFonts w:ascii="Arial" w:hAnsi="Arial" w:cs="Arial"/>
            <w:color w:val="auto"/>
            <w:sz w:val="20"/>
            <w:u w:val="none"/>
          </w:rPr>
          <w:t>https://doi.org/10.1017/S1366728916000225</w:t>
        </w:r>
      </w:hyperlink>
    </w:p>
    <w:p w14:paraId="1AFB6741"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Adesope</w:t>
      </w:r>
      <w:proofErr w:type="spellEnd"/>
      <w:r w:rsidRPr="000C0527">
        <w:rPr>
          <w:rFonts w:ascii="Arial" w:hAnsi="Arial" w:cs="Arial"/>
          <w:sz w:val="20"/>
        </w:rPr>
        <w:t xml:space="preserve">, O. O., Lavin, T., Thompson, T., &amp; Ungerleider, C. (2010). A systematic review and meta-analysis of the cognitive correlates of bilingualism. </w:t>
      </w:r>
      <w:r w:rsidRPr="000C0527">
        <w:rPr>
          <w:rStyle w:val="Emphasis"/>
          <w:rFonts w:ascii="Arial" w:hAnsi="Arial" w:cs="Arial"/>
          <w:sz w:val="20"/>
        </w:rPr>
        <w:t>Review of Educational Research, 80</w:t>
      </w:r>
      <w:r w:rsidRPr="000C0527">
        <w:rPr>
          <w:rFonts w:ascii="Arial" w:hAnsi="Arial" w:cs="Arial"/>
          <w:sz w:val="20"/>
        </w:rPr>
        <w:t xml:space="preserve">(2), 207–245. </w:t>
      </w:r>
      <w:hyperlink r:id="rId17" w:history="1">
        <w:r w:rsidRPr="000C0527">
          <w:rPr>
            <w:rStyle w:val="Hyperlink"/>
            <w:rFonts w:ascii="Arial" w:hAnsi="Arial" w:cs="Arial"/>
            <w:color w:val="auto"/>
            <w:sz w:val="20"/>
            <w:u w:val="none"/>
          </w:rPr>
          <w:t>https://doi.org/10.3102/0034654310368803</w:t>
        </w:r>
      </w:hyperlink>
    </w:p>
    <w:p w14:paraId="39B4D69F"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Atouf</w:t>
      </w:r>
      <w:proofErr w:type="spellEnd"/>
      <w:r w:rsidRPr="000C0527">
        <w:rPr>
          <w:rFonts w:ascii="Arial" w:hAnsi="Arial" w:cs="Arial"/>
          <w:sz w:val="20"/>
        </w:rPr>
        <w:t xml:space="preserve">, N., &amp; </w:t>
      </w:r>
      <w:proofErr w:type="spellStart"/>
      <w:r w:rsidRPr="000C0527">
        <w:rPr>
          <w:rFonts w:ascii="Arial" w:hAnsi="Arial" w:cs="Arial"/>
          <w:sz w:val="20"/>
        </w:rPr>
        <w:t>Harrizi</w:t>
      </w:r>
      <w:proofErr w:type="spellEnd"/>
      <w:r w:rsidRPr="000C0527">
        <w:rPr>
          <w:rFonts w:ascii="Arial" w:hAnsi="Arial" w:cs="Arial"/>
          <w:sz w:val="20"/>
        </w:rPr>
        <w:t xml:space="preserve">, M. (2023). Examining a reversed cross-language transfer of core metalinguistic awareness skills among Moroccan university students with reading difficulties: A longitudinal quasi-experimental study. </w:t>
      </w:r>
      <w:r w:rsidRPr="000C0527">
        <w:rPr>
          <w:rStyle w:val="Emphasis"/>
          <w:rFonts w:ascii="Arial" w:hAnsi="Arial" w:cs="Arial"/>
          <w:sz w:val="20"/>
        </w:rPr>
        <w:t>International Journal of Language and Education Research, 5</w:t>
      </w:r>
      <w:r w:rsidRPr="000C0527">
        <w:rPr>
          <w:rFonts w:ascii="Arial" w:hAnsi="Arial" w:cs="Arial"/>
          <w:sz w:val="20"/>
        </w:rPr>
        <w:t xml:space="preserve">(2), 78–97. </w:t>
      </w:r>
      <w:hyperlink r:id="rId18" w:history="1">
        <w:r w:rsidRPr="000C0527">
          <w:rPr>
            <w:rStyle w:val="Hyperlink"/>
            <w:rFonts w:ascii="Arial" w:hAnsi="Arial" w:cs="Arial"/>
            <w:color w:val="auto"/>
            <w:sz w:val="20"/>
            <w:u w:val="none"/>
          </w:rPr>
          <w:t>https://doi.org/10.29329/ijler.2023.591.4</w:t>
        </w:r>
      </w:hyperlink>
    </w:p>
    <w:p w14:paraId="699A5977"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lastRenderedPageBreak/>
        <w:t xml:space="preserve">Barac, R., &amp; Bialystok, E. (2012). Bilingual effects on cognitive and linguistic development: Role of language, cultural background, and education. </w:t>
      </w:r>
      <w:r w:rsidRPr="000C0527">
        <w:rPr>
          <w:rStyle w:val="Emphasis"/>
          <w:rFonts w:ascii="Arial" w:hAnsi="Arial" w:cs="Arial"/>
          <w:sz w:val="20"/>
        </w:rPr>
        <w:t>Child Development, 83</w:t>
      </w:r>
      <w:r w:rsidRPr="000C0527">
        <w:rPr>
          <w:rFonts w:ascii="Arial" w:hAnsi="Arial" w:cs="Arial"/>
          <w:sz w:val="20"/>
        </w:rPr>
        <w:t xml:space="preserve">(2), 413–422. </w:t>
      </w:r>
      <w:hyperlink r:id="rId19" w:history="1">
        <w:r w:rsidRPr="000C0527">
          <w:rPr>
            <w:rStyle w:val="Hyperlink"/>
            <w:rFonts w:ascii="Arial" w:hAnsi="Arial" w:cs="Arial"/>
            <w:color w:val="auto"/>
            <w:sz w:val="20"/>
            <w:u w:val="none"/>
          </w:rPr>
          <w:t>https://doi.org/10.1111/j.1467-8624.2011.01707.x</w:t>
        </w:r>
      </w:hyperlink>
    </w:p>
    <w:p w14:paraId="616723E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Barac, R., Bialystok, E., Castro, D. C., &amp; Sanchez, M. (2014). The cognitive development of young dual language learners: A critical review. </w:t>
      </w:r>
      <w:r w:rsidRPr="000C0527">
        <w:rPr>
          <w:rStyle w:val="Emphasis"/>
          <w:rFonts w:ascii="Arial" w:hAnsi="Arial" w:cs="Arial"/>
          <w:sz w:val="20"/>
        </w:rPr>
        <w:t>Early Childhood Research Quarterly, 29</w:t>
      </w:r>
      <w:r w:rsidRPr="000C0527">
        <w:rPr>
          <w:rFonts w:ascii="Arial" w:hAnsi="Arial" w:cs="Arial"/>
          <w:sz w:val="20"/>
        </w:rPr>
        <w:t xml:space="preserve">(4), 699–714. </w:t>
      </w:r>
      <w:hyperlink r:id="rId20" w:tgtFrame="_new" w:history="1">
        <w:r w:rsidRPr="000C0527">
          <w:rPr>
            <w:rStyle w:val="Hyperlink"/>
            <w:rFonts w:ascii="Arial" w:hAnsi="Arial" w:cs="Arial"/>
            <w:color w:val="auto"/>
            <w:sz w:val="20"/>
            <w:u w:val="none"/>
          </w:rPr>
          <w:t>https://doi.org/10.1016/j.ecresq.2014.02.003</w:t>
        </w:r>
      </w:hyperlink>
    </w:p>
    <w:p w14:paraId="4CD9A13F"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Benson, J. B., &amp; Haith, M. M. (Eds.). (2010). </w:t>
      </w:r>
      <w:r w:rsidRPr="000C0527">
        <w:rPr>
          <w:rStyle w:val="Emphasis"/>
          <w:rFonts w:ascii="Arial" w:hAnsi="Arial" w:cs="Arial"/>
          <w:sz w:val="20"/>
        </w:rPr>
        <w:t>Language, memory, and cognition in infancy and early childhood</w:t>
      </w:r>
      <w:r w:rsidRPr="000C0527">
        <w:rPr>
          <w:rFonts w:ascii="Arial" w:hAnsi="Arial" w:cs="Arial"/>
          <w:sz w:val="20"/>
        </w:rPr>
        <w:t>. Academic Press.</w:t>
      </w:r>
    </w:p>
    <w:p w14:paraId="540BD48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Bialystok, E. (2011). Reshaping the mind: The benefits of bilingualism. </w:t>
      </w:r>
      <w:r w:rsidRPr="000C0527">
        <w:rPr>
          <w:rStyle w:val="Emphasis"/>
          <w:rFonts w:ascii="Arial" w:hAnsi="Arial" w:cs="Arial"/>
          <w:sz w:val="20"/>
        </w:rPr>
        <w:t>Canadian Journal of Experimental Psychology, 65</w:t>
      </w:r>
      <w:r w:rsidRPr="000C0527">
        <w:rPr>
          <w:rFonts w:ascii="Arial" w:hAnsi="Arial" w:cs="Arial"/>
          <w:sz w:val="20"/>
        </w:rPr>
        <w:t xml:space="preserve">(4), 229–235. </w:t>
      </w:r>
      <w:hyperlink r:id="rId21" w:history="1">
        <w:r w:rsidRPr="000C0527">
          <w:rPr>
            <w:rStyle w:val="Hyperlink"/>
            <w:rFonts w:ascii="Arial" w:hAnsi="Arial" w:cs="Arial"/>
            <w:color w:val="auto"/>
            <w:sz w:val="20"/>
            <w:u w:val="none"/>
          </w:rPr>
          <w:t>https://doi.org/10.1037/a0025406</w:t>
        </w:r>
      </w:hyperlink>
    </w:p>
    <w:p w14:paraId="64E58620"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Bialystok, E., Craik, F. I. M., &amp; Luk, G. (2012). Bilingualism: Consequences for mind and brain. </w:t>
      </w:r>
      <w:r w:rsidRPr="000C0527">
        <w:rPr>
          <w:rStyle w:val="Emphasis"/>
          <w:rFonts w:ascii="Arial" w:hAnsi="Arial" w:cs="Arial"/>
          <w:sz w:val="20"/>
        </w:rPr>
        <w:t>Trends in Cognitive Sciences, 16</w:t>
      </w:r>
      <w:r w:rsidRPr="000C0527">
        <w:rPr>
          <w:rFonts w:ascii="Arial" w:hAnsi="Arial" w:cs="Arial"/>
          <w:sz w:val="20"/>
        </w:rPr>
        <w:t xml:space="preserve">(4), 240–250. </w:t>
      </w:r>
      <w:hyperlink r:id="rId22" w:history="1">
        <w:r w:rsidRPr="000C0527">
          <w:rPr>
            <w:rStyle w:val="Hyperlink"/>
            <w:rFonts w:ascii="Arial" w:hAnsi="Arial" w:cs="Arial"/>
            <w:color w:val="auto"/>
            <w:sz w:val="20"/>
            <w:u w:val="none"/>
          </w:rPr>
          <w:t>https://doi.org/10.1016/j.tics.2012.03.001</w:t>
        </w:r>
      </w:hyperlink>
    </w:p>
    <w:p w14:paraId="54576B37"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Costa, A., Hernández, M., &amp; Sebastián-</w:t>
      </w:r>
      <w:proofErr w:type="spellStart"/>
      <w:r w:rsidRPr="000C0527">
        <w:rPr>
          <w:rFonts w:ascii="Arial" w:hAnsi="Arial" w:cs="Arial"/>
          <w:sz w:val="20"/>
        </w:rPr>
        <w:t>Gallés</w:t>
      </w:r>
      <w:proofErr w:type="spellEnd"/>
      <w:r w:rsidRPr="000C0527">
        <w:rPr>
          <w:rFonts w:ascii="Arial" w:hAnsi="Arial" w:cs="Arial"/>
          <w:sz w:val="20"/>
        </w:rPr>
        <w:t xml:space="preserve">, N. (2008). Bilingualism aids conflict resolution: Evidence from the ANT task. </w:t>
      </w:r>
      <w:r w:rsidRPr="000C0527">
        <w:rPr>
          <w:rStyle w:val="Emphasis"/>
          <w:rFonts w:ascii="Arial" w:hAnsi="Arial" w:cs="Arial"/>
          <w:sz w:val="20"/>
        </w:rPr>
        <w:t>Cognition, 106</w:t>
      </w:r>
      <w:r w:rsidRPr="000C0527">
        <w:rPr>
          <w:rFonts w:ascii="Arial" w:hAnsi="Arial" w:cs="Arial"/>
          <w:sz w:val="20"/>
        </w:rPr>
        <w:t xml:space="preserve">(1), 59–86. </w:t>
      </w:r>
      <w:hyperlink r:id="rId23" w:history="1">
        <w:r w:rsidRPr="000C0527">
          <w:rPr>
            <w:rStyle w:val="Hyperlink"/>
            <w:rFonts w:ascii="Arial" w:hAnsi="Arial" w:cs="Arial"/>
            <w:color w:val="auto"/>
            <w:sz w:val="20"/>
            <w:u w:val="none"/>
          </w:rPr>
          <w:t>https://doi.org/10.1016/j.cognition.2006.12.013</w:t>
        </w:r>
      </w:hyperlink>
    </w:p>
    <w:p w14:paraId="38B904E8"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Cummins, J. (2000). </w:t>
      </w:r>
      <w:r w:rsidRPr="000C0527">
        <w:rPr>
          <w:rStyle w:val="Emphasis"/>
          <w:rFonts w:ascii="Arial" w:hAnsi="Arial" w:cs="Arial"/>
          <w:sz w:val="20"/>
        </w:rPr>
        <w:t>Language, power and pedagogy: Bilingual children in the crossfire</w:t>
      </w:r>
      <w:r w:rsidRPr="000C0527">
        <w:rPr>
          <w:rFonts w:ascii="Arial" w:hAnsi="Arial" w:cs="Arial"/>
          <w:sz w:val="20"/>
        </w:rPr>
        <w:t xml:space="preserve">. Multilingual Matters. </w:t>
      </w:r>
      <w:hyperlink r:id="rId24" w:history="1">
        <w:r w:rsidRPr="000C0527">
          <w:rPr>
            <w:rStyle w:val="Hyperlink"/>
            <w:rFonts w:ascii="Arial" w:hAnsi="Arial" w:cs="Arial"/>
            <w:color w:val="auto"/>
            <w:sz w:val="20"/>
            <w:u w:val="none"/>
          </w:rPr>
          <w:t>https://www.multilingual-matters.com/page/detail/?k=9781853594731</w:t>
        </w:r>
      </w:hyperlink>
    </w:p>
    <w:p w14:paraId="2CFE0FA6"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Forbes, K. (2020). </w:t>
      </w:r>
      <w:r w:rsidRPr="000C0527">
        <w:rPr>
          <w:rStyle w:val="Emphasis"/>
          <w:rFonts w:ascii="Arial" w:hAnsi="Arial" w:cs="Arial"/>
          <w:sz w:val="20"/>
        </w:rPr>
        <w:t>Cross-linguistic transfer of writing strategies: Interactions between foreign language and first language classrooms</w:t>
      </w:r>
      <w:r w:rsidRPr="000C0527">
        <w:rPr>
          <w:rFonts w:ascii="Arial" w:hAnsi="Arial" w:cs="Arial"/>
          <w:sz w:val="20"/>
        </w:rPr>
        <w:t>. Channel View Publications.</w:t>
      </w:r>
    </w:p>
    <w:p w14:paraId="29AB253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García, O., &amp; Wei, L. (2014). </w:t>
      </w:r>
      <w:r w:rsidRPr="000C0527">
        <w:rPr>
          <w:rStyle w:val="Emphasis"/>
          <w:rFonts w:ascii="Arial" w:hAnsi="Arial" w:cs="Arial"/>
          <w:sz w:val="20"/>
        </w:rPr>
        <w:t>Translanguaging: Language, bilingualism and education</w:t>
      </w:r>
      <w:r w:rsidRPr="000C0527">
        <w:rPr>
          <w:rFonts w:ascii="Arial" w:hAnsi="Arial" w:cs="Arial"/>
          <w:sz w:val="20"/>
        </w:rPr>
        <w:t xml:space="preserve">. Palgrave Macmillan. </w:t>
      </w:r>
      <w:hyperlink r:id="rId25" w:history="1">
        <w:r w:rsidRPr="000C0527">
          <w:rPr>
            <w:rStyle w:val="Hyperlink"/>
            <w:rFonts w:ascii="Arial" w:hAnsi="Arial" w:cs="Arial"/>
            <w:color w:val="auto"/>
            <w:sz w:val="20"/>
            <w:u w:val="none"/>
          </w:rPr>
          <w:t>https://doi.org/10.1057/9781137385765</w:t>
        </w:r>
      </w:hyperlink>
    </w:p>
    <w:p w14:paraId="25BF03D3"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Grote, K. S., Scott, R. M., &amp; Gilger, J. (2021). Bilingual advantages in executive functioning: Evidence from a low-income sample. </w:t>
      </w:r>
      <w:r w:rsidRPr="000C0527">
        <w:rPr>
          <w:rStyle w:val="Emphasis"/>
          <w:rFonts w:ascii="Arial" w:hAnsi="Arial" w:cs="Arial"/>
          <w:sz w:val="20"/>
        </w:rPr>
        <w:t>First Language, 41</w:t>
      </w:r>
      <w:r w:rsidRPr="000C0527">
        <w:rPr>
          <w:rFonts w:ascii="Arial" w:hAnsi="Arial" w:cs="Arial"/>
          <w:sz w:val="20"/>
        </w:rPr>
        <w:t xml:space="preserve">(3), 275–295. </w:t>
      </w:r>
      <w:hyperlink r:id="rId26" w:history="1">
        <w:r w:rsidRPr="000C0527">
          <w:rPr>
            <w:rStyle w:val="Hyperlink"/>
            <w:rFonts w:ascii="Arial" w:hAnsi="Arial" w:cs="Arial"/>
            <w:color w:val="auto"/>
            <w:sz w:val="20"/>
            <w:u w:val="none"/>
          </w:rPr>
          <w:t>https://doi.org/10.1177/01427237211024220</w:t>
        </w:r>
      </w:hyperlink>
    </w:p>
    <w:p w14:paraId="2C027784"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t xml:space="preserve">Hamers, J. F., &amp; Blanc, M. (2000). </w:t>
      </w:r>
      <w:proofErr w:type="spellStart"/>
      <w:r w:rsidRPr="000C0527">
        <w:rPr>
          <w:rStyle w:val="Emphasis"/>
          <w:rFonts w:ascii="Arial" w:hAnsi="Arial" w:cs="Arial"/>
          <w:szCs w:val="24"/>
        </w:rPr>
        <w:t>Bilinguality</w:t>
      </w:r>
      <w:proofErr w:type="spellEnd"/>
      <w:r w:rsidRPr="000C0527">
        <w:rPr>
          <w:rStyle w:val="Emphasis"/>
          <w:rFonts w:ascii="Arial" w:hAnsi="Arial" w:cs="Arial"/>
          <w:szCs w:val="24"/>
        </w:rPr>
        <w:t xml:space="preserve"> and bilingualism</w:t>
      </w:r>
      <w:r w:rsidRPr="000C0527">
        <w:rPr>
          <w:rFonts w:ascii="Arial" w:hAnsi="Arial" w:cs="Arial"/>
          <w:szCs w:val="24"/>
        </w:rPr>
        <w:t xml:space="preserve"> (2</w:t>
      </w:r>
      <w:r w:rsidRPr="000C0527">
        <w:rPr>
          <w:rFonts w:ascii="Arial" w:hAnsi="Arial" w:cs="Arial"/>
          <w:szCs w:val="24"/>
          <w:vertAlign w:val="superscript"/>
        </w:rPr>
        <w:t>nd</w:t>
      </w:r>
      <w:r w:rsidRPr="000C0527">
        <w:rPr>
          <w:rFonts w:ascii="Arial" w:hAnsi="Arial" w:cs="Arial"/>
          <w:szCs w:val="24"/>
        </w:rPr>
        <w:t xml:space="preserve"> ed.). Cambridge University Press.</w:t>
      </w:r>
    </w:p>
    <w:p w14:paraId="75AFCFD4" w14:textId="77777777" w:rsidR="00CB3BD4" w:rsidRDefault="00CB3BD4" w:rsidP="00A914B8">
      <w:pPr>
        <w:ind w:left="1080" w:hanging="720"/>
        <w:jc w:val="both"/>
        <w:rPr>
          <w:rFonts w:ascii="Arial" w:hAnsi="Arial" w:cs="Arial"/>
          <w:szCs w:val="24"/>
        </w:rPr>
      </w:pPr>
    </w:p>
    <w:p w14:paraId="74C4DFCA"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t xml:space="preserve">Hansen, E., </w:t>
      </w:r>
      <w:proofErr w:type="spellStart"/>
      <w:r w:rsidRPr="000C0527">
        <w:rPr>
          <w:rFonts w:ascii="Arial" w:hAnsi="Arial" w:cs="Arial"/>
          <w:szCs w:val="24"/>
        </w:rPr>
        <w:t>Slawny</w:t>
      </w:r>
      <w:proofErr w:type="spellEnd"/>
      <w:r w:rsidRPr="000C0527">
        <w:rPr>
          <w:rFonts w:ascii="Arial" w:hAnsi="Arial" w:cs="Arial"/>
          <w:szCs w:val="24"/>
        </w:rPr>
        <w:t xml:space="preserve">, C., &amp; </w:t>
      </w:r>
      <w:proofErr w:type="spellStart"/>
      <w:r w:rsidRPr="000C0527">
        <w:rPr>
          <w:rFonts w:ascii="Arial" w:hAnsi="Arial" w:cs="Arial"/>
          <w:szCs w:val="24"/>
        </w:rPr>
        <w:t>Kaushanskaya</w:t>
      </w:r>
      <w:proofErr w:type="spellEnd"/>
      <w:r w:rsidRPr="000C0527">
        <w:rPr>
          <w:rFonts w:ascii="Arial" w:hAnsi="Arial" w:cs="Arial"/>
          <w:szCs w:val="24"/>
        </w:rPr>
        <w:t xml:space="preserve">, M. (2025). The influence of cross-speaker code-switching and language ability on inhibitory control in bilingual children. </w:t>
      </w:r>
      <w:r w:rsidRPr="000C0527">
        <w:rPr>
          <w:rStyle w:val="Emphasis"/>
          <w:rFonts w:ascii="Arial" w:hAnsi="Arial" w:cs="Arial"/>
          <w:szCs w:val="24"/>
        </w:rPr>
        <w:t>Bilingualism: Language and Cognition</w:t>
      </w:r>
      <w:r w:rsidRPr="000C0527">
        <w:rPr>
          <w:rFonts w:ascii="Arial" w:hAnsi="Arial" w:cs="Arial"/>
          <w:szCs w:val="24"/>
        </w:rPr>
        <w:t xml:space="preserve">, </w:t>
      </w:r>
      <w:r w:rsidRPr="000C0527">
        <w:rPr>
          <w:rStyle w:val="Emphasis"/>
          <w:rFonts w:ascii="Arial" w:hAnsi="Arial" w:cs="Arial"/>
          <w:szCs w:val="24"/>
        </w:rPr>
        <w:t>1</w:t>
      </w:r>
      <w:r w:rsidRPr="000C0527">
        <w:rPr>
          <w:rFonts w:ascii="Arial" w:hAnsi="Arial" w:cs="Arial"/>
          <w:szCs w:val="24"/>
        </w:rPr>
        <w:t>–</w:t>
      </w:r>
      <w:r w:rsidRPr="000C0527">
        <w:rPr>
          <w:rStyle w:val="Emphasis"/>
          <w:rFonts w:ascii="Arial" w:hAnsi="Arial" w:cs="Arial"/>
          <w:szCs w:val="24"/>
        </w:rPr>
        <w:t>9</w:t>
      </w:r>
      <w:r w:rsidRPr="000C0527">
        <w:rPr>
          <w:rFonts w:ascii="Arial" w:hAnsi="Arial" w:cs="Arial"/>
          <w:szCs w:val="24"/>
        </w:rPr>
        <w:t>. https://doi.org/10.1017/S1366728924000804</w:t>
      </w:r>
    </w:p>
    <w:p w14:paraId="3FCA3840" w14:textId="77777777" w:rsidR="000464A4" w:rsidRPr="000C0527" w:rsidRDefault="000464A4" w:rsidP="00A914B8">
      <w:pPr>
        <w:spacing w:beforeAutospacing="1" w:after="100" w:afterAutospacing="1"/>
        <w:ind w:left="1080" w:hanging="720"/>
        <w:jc w:val="both"/>
        <w:rPr>
          <w:rFonts w:ascii="Arial" w:hAnsi="Arial" w:cs="Arial"/>
          <w:szCs w:val="24"/>
        </w:rPr>
      </w:pPr>
      <w:r w:rsidRPr="000C0527">
        <w:rPr>
          <w:rFonts w:ascii="Arial" w:hAnsi="Arial" w:cs="Arial"/>
          <w:bCs/>
          <w:szCs w:val="24"/>
        </w:rPr>
        <w:t xml:space="preserve">Hoffman, E. (1991). </w:t>
      </w:r>
      <w:r w:rsidRPr="000C0527">
        <w:rPr>
          <w:rFonts w:ascii="Arial" w:hAnsi="Arial" w:cs="Arial"/>
          <w:bCs/>
          <w:i/>
          <w:iCs/>
          <w:szCs w:val="24"/>
        </w:rPr>
        <w:t>Lost in translation: A life in a new language.</w:t>
      </w:r>
      <w:r w:rsidRPr="000C0527">
        <w:rPr>
          <w:rFonts w:ascii="Arial" w:hAnsi="Arial" w:cs="Arial"/>
          <w:bCs/>
          <w:szCs w:val="24"/>
        </w:rPr>
        <w:t xml:space="preserve"> Penguin Books.</w:t>
      </w:r>
    </w:p>
    <w:p w14:paraId="4BDCD06E"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t xml:space="preserve">Jansen, S., Higuera del Moral, S., </w:t>
      </w:r>
      <w:proofErr w:type="spellStart"/>
      <w:r w:rsidRPr="000C0527">
        <w:rPr>
          <w:rFonts w:ascii="Arial" w:hAnsi="Arial" w:cs="Arial"/>
          <w:szCs w:val="24"/>
        </w:rPr>
        <w:t>Barzen</w:t>
      </w:r>
      <w:proofErr w:type="spellEnd"/>
      <w:r w:rsidRPr="000C0527">
        <w:rPr>
          <w:rFonts w:ascii="Arial" w:hAnsi="Arial" w:cs="Arial"/>
          <w:szCs w:val="24"/>
        </w:rPr>
        <w:t xml:space="preserve">, J. S., Reimann, P., &amp; Opolka, M. (2021). </w:t>
      </w:r>
      <w:r w:rsidRPr="000C0527">
        <w:rPr>
          <w:rStyle w:val="Emphasis"/>
          <w:rFonts w:ascii="Arial" w:hAnsi="Arial" w:cs="Arial"/>
          <w:szCs w:val="24"/>
        </w:rPr>
        <w:t>Demystifying bilingualism: How metaphor guides research towards mythification</w:t>
      </w:r>
      <w:r w:rsidRPr="000C0527">
        <w:rPr>
          <w:rFonts w:ascii="Arial" w:hAnsi="Arial" w:cs="Arial"/>
          <w:szCs w:val="24"/>
        </w:rPr>
        <w:t>. Springer International Publishing.</w:t>
      </w:r>
    </w:p>
    <w:p w14:paraId="7134FC5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shd w:val="clear" w:color="auto" w:fill="FFFFFF"/>
        </w:rPr>
        <w:lastRenderedPageBreak/>
        <w:t>Jette, G., Hansen Edwards, J. G., &amp; Zampini, M. L. (Eds.). (2008). </w:t>
      </w:r>
      <w:r w:rsidRPr="000C0527">
        <w:rPr>
          <w:rStyle w:val="Emphasis"/>
          <w:rFonts w:ascii="Arial" w:hAnsi="Arial" w:cs="Arial"/>
          <w:sz w:val="20"/>
          <w:shd w:val="clear" w:color="auto" w:fill="FFFFFF"/>
        </w:rPr>
        <w:t>Phonology and second language acquisition</w:t>
      </w:r>
      <w:r w:rsidRPr="000C0527">
        <w:rPr>
          <w:rFonts w:ascii="Arial" w:hAnsi="Arial" w:cs="Arial"/>
          <w:sz w:val="20"/>
          <w:shd w:val="clear" w:color="auto" w:fill="FFFFFF"/>
        </w:rPr>
        <w:t>. John Benjamins Publishing Company.</w:t>
      </w:r>
    </w:p>
    <w:p w14:paraId="18C1F438"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Kroll, J. F., &amp; Bialystok, E. (2013). Understanding the consequences of bilingualism for language processing and cognition. </w:t>
      </w:r>
      <w:r w:rsidRPr="000C0527">
        <w:rPr>
          <w:rStyle w:val="Emphasis"/>
          <w:rFonts w:ascii="Arial" w:hAnsi="Arial" w:cs="Arial"/>
          <w:sz w:val="20"/>
        </w:rPr>
        <w:t>Journal of Cognitive Psychology, 25</w:t>
      </w:r>
      <w:r w:rsidRPr="000C0527">
        <w:rPr>
          <w:rFonts w:ascii="Arial" w:hAnsi="Arial" w:cs="Arial"/>
          <w:sz w:val="20"/>
        </w:rPr>
        <w:t xml:space="preserve">(5), 497–514. </w:t>
      </w:r>
      <w:hyperlink r:id="rId27" w:history="1">
        <w:r w:rsidRPr="000C0527">
          <w:rPr>
            <w:rStyle w:val="Hyperlink"/>
            <w:rFonts w:ascii="Arial" w:hAnsi="Arial" w:cs="Arial"/>
            <w:color w:val="auto"/>
            <w:sz w:val="20"/>
            <w:u w:val="none"/>
          </w:rPr>
          <w:t>https://doi.org/10.1080/20445911.2013.799170</w:t>
        </w:r>
      </w:hyperlink>
    </w:p>
    <w:p w14:paraId="63C2D4FE"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Kuhl, P. K. (2011). Early language learning and literacy: Neuroscience implications for education. </w:t>
      </w:r>
      <w:r w:rsidRPr="000C0527">
        <w:rPr>
          <w:rStyle w:val="Emphasis"/>
          <w:rFonts w:ascii="Arial" w:hAnsi="Arial" w:cs="Arial"/>
          <w:sz w:val="20"/>
        </w:rPr>
        <w:t>Mind, Brain, and Education, 5</w:t>
      </w:r>
      <w:r w:rsidRPr="000C0527">
        <w:rPr>
          <w:rFonts w:ascii="Arial" w:hAnsi="Arial" w:cs="Arial"/>
          <w:sz w:val="20"/>
        </w:rPr>
        <w:t xml:space="preserve">(3), 128–142. </w:t>
      </w:r>
      <w:hyperlink r:id="rId28" w:history="1">
        <w:r w:rsidRPr="000C0527">
          <w:rPr>
            <w:rStyle w:val="Hyperlink"/>
            <w:rFonts w:ascii="Arial" w:hAnsi="Arial" w:cs="Arial"/>
            <w:color w:val="auto"/>
            <w:sz w:val="20"/>
            <w:u w:val="none"/>
          </w:rPr>
          <w:t>https://doi.org/10.1111/j.1751-228X.2011.01121.x</w:t>
        </w:r>
      </w:hyperlink>
    </w:p>
    <w:p w14:paraId="44720D82"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Luk, G., &amp; Bialystok, E. (2013). Bilingualism is not a categorical variable: Interaction between language proficiency and usage. </w:t>
      </w:r>
      <w:r w:rsidRPr="000C0527">
        <w:rPr>
          <w:rStyle w:val="Emphasis"/>
          <w:rFonts w:ascii="Arial" w:hAnsi="Arial" w:cs="Arial"/>
          <w:sz w:val="20"/>
        </w:rPr>
        <w:t>Journal of Cognitive Psychology, 25</w:t>
      </w:r>
      <w:r w:rsidRPr="000C0527">
        <w:rPr>
          <w:rFonts w:ascii="Arial" w:hAnsi="Arial" w:cs="Arial"/>
          <w:sz w:val="20"/>
        </w:rPr>
        <w:t xml:space="preserve">(5), 605–621. </w:t>
      </w:r>
      <w:hyperlink r:id="rId29" w:history="1">
        <w:r w:rsidRPr="000C0527">
          <w:rPr>
            <w:rStyle w:val="Hyperlink"/>
            <w:rFonts w:ascii="Arial" w:hAnsi="Arial" w:cs="Arial"/>
            <w:color w:val="auto"/>
            <w:sz w:val="20"/>
            <w:u w:val="none"/>
          </w:rPr>
          <w:t>https://doi.org/10.1080/20445911.2013.795574</w:t>
        </w:r>
      </w:hyperlink>
    </w:p>
    <w:p w14:paraId="667D0A04"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Mechelli</w:t>
      </w:r>
      <w:proofErr w:type="spellEnd"/>
      <w:r w:rsidRPr="000C0527">
        <w:rPr>
          <w:rFonts w:ascii="Arial" w:hAnsi="Arial" w:cs="Arial"/>
          <w:sz w:val="20"/>
        </w:rPr>
        <w:t xml:space="preserve">, A., et al. (2004). Neurolinguistics: Structural plasticity in the bilingual brain. </w:t>
      </w:r>
      <w:r w:rsidRPr="000C0527">
        <w:rPr>
          <w:rStyle w:val="Emphasis"/>
          <w:rFonts w:ascii="Arial" w:hAnsi="Arial" w:cs="Arial"/>
          <w:sz w:val="20"/>
        </w:rPr>
        <w:t>Nature, 431</w:t>
      </w:r>
      <w:r w:rsidRPr="000C0527">
        <w:rPr>
          <w:rFonts w:ascii="Arial" w:hAnsi="Arial" w:cs="Arial"/>
          <w:sz w:val="20"/>
        </w:rPr>
        <w:t xml:space="preserve">(7010), 757. </w:t>
      </w:r>
      <w:hyperlink r:id="rId30" w:history="1">
        <w:r w:rsidRPr="000C0527">
          <w:rPr>
            <w:rStyle w:val="Hyperlink"/>
            <w:rFonts w:ascii="Arial" w:hAnsi="Arial" w:cs="Arial"/>
            <w:color w:val="auto"/>
            <w:sz w:val="20"/>
            <w:u w:val="none"/>
          </w:rPr>
          <w:t>https://doi.org/10.1038/431757a</w:t>
        </w:r>
      </w:hyperlink>
    </w:p>
    <w:p w14:paraId="65F63AD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Mohamed, A. M. T. (2024). Bilingualism’s influence on cognitive development. </w:t>
      </w:r>
      <w:r w:rsidRPr="000C0527">
        <w:rPr>
          <w:rStyle w:val="Emphasis"/>
          <w:rFonts w:ascii="Arial" w:hAnsi="Arial" w:cs="Arial"/>
          <w:sz w:val="20"/>
        </w:rPr>
        <w:t>Advances in Social Sciences Research Journal, 11</w:t>
      </w:r>
      <w:r w:rsidRPr="000C0527">
        <w:rPr>
          <w:rFonts w:ascii="Arial" w:hAnsi="Arial" w:cs="Arial"/>
          <w:sz w:val="20"/>
        </w:rPr>
        <w:t xml:space="preserve">(9), 234–241. </w:t>
      </w:r>
      <w:hyperlink r:id="rId31" w:history="1">
        <w:r w:rsidRPr="000C0527">
          <w:rPr>
            <w:rStyle w:val="Hyperlink"/>
            <w:rFonts w:ascii="Arial" w:hAnsi="Arial" w:cs="Arial"/>
            <w:color w:val="auto"/>
            <w:sz w:val="20"/>
            <w:u w:val="none"/>
          </w:rPr>
          <w:t>https://doi.org/10.14738/assrj.119.17608</w:t>
        </w:r>
      </w:hyperlink>
    </w:p>
    <w:p w14:paraId="323BCF20"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Moriguchi, Y., &amp; </w:t>
      </w:r>
      <w:proofErr w:type="spellStart"/>
      <w:r w:rsidRPr="000C0527">
        <w:rPr>
          <w:rFonts w:ascii="Arial" w:hAnsi="Arial" w:cs="Arial"/>
          <w:sz w:val="20"/>
        </w:rPr>
        <w:t>Lertladaluck</w:t>
      </w:r>
      <w:proofErr w:type="spellEnd"/>
      <w:r w:rsidRPr="000C0527">
        <w:rPr>
          <w:rFonts w:ascii="Arial" w:hAnsi="Arial" w:cs="Arial"/>
          <w:sz w:val="20"/>
        </w:rPr>
        <w:t xml:space="preserve">, K. (2019). Bilingual effects on cognitive shifting and prefrontal activations in young children. </w:t>
      </w:r>
      <w:r w:rsidRPr="000C0527">
        <w:rPr>
          <w:rStyle w:val="Emphasis"/>
          <w:rFonts w:ascii="Arial" w:hAnsi="Arial" w:cs="Arial"/>
          <w:sz w:val="20"/>
        </w:rPr>
        <w:t>International Journal of Bilingualism, 24</w:t>
      </w:r>
      <w:r w:rsidRPr="000C0527">
        <w:rPr>
          <w:rFonts w:ascii="Arial" w:hAnsi="Arial" w:cs="Arial"/>
          <w:sz w:val="20"/>
        </w:rPr>
        <w:t xml:space="preserve">(1), 3–17. </w:t>
      </w:r>
      <w:hyperlink r:id="rId32" w:history="1">
        <w:r w:rsidRPr="000C0527">
          <w:rPr>
            <w:rStyle w:val="Hyperlink"/>
            <w:rFonts w:ascii="Arial" w:hAnsi="Arial" w:cs="Arial"/>
            <w:color w:val="auto"/>
            <w:sz w:val="20"/>
            <w:u w:val="none"/>
          </w:rPr>
          <w:t>https://doi.org/10.1177/1367006919880274</w:t>
        </w:r>
      </w:hyperlink>
    </w:p>
    <w:p w14:paraId="3B85DEFC"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Paap, K. (2022). </w:t>
      </w:r>
      <w:r w:rsidRPr="000C0527">
        <w:rPr>
          <w:rStyle w:val="Emphasis"/>
          <w:rFonts w:ascii="Arial" w:hAnsi="Arial" w:cs="Arial"/>
          <w:sz w:val="20"/>
        </w:rPr>
        <w:t>The bilingual advantage in executive functioning hypothesis: How the debate provides insight into psychology’s replication crisis</w:t>
      </w:r>
      <w:r w:rsidRPr="000C0527">
        <w:rPr>
          <w:rFonts w:ascii="Arial" w:hAnsi="Arial" w:cs="Arial"/>
          <w:sz w:val="20"/>
        </w:rPr>
        <w:t>. Taylor &amp; Francis.</w:t>
      </w:r>
    </w:p>
    <w:p w14:paraId="19C833A7"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Perani</w:t>
      </w:r>
      <w:proofErr w:type="spellEnd"/>
      <w:r w:rsidRPr="000C0527">
        <w:rPr>
          <w:rFonts w:ascii="Arial" w:hAnsi="Arial" w:cs="Arial"/>
          <w:sz w:val="20"/>
        </w:rPr>
        <w:t xml:space="preserve">, D., &amp; </w:t>
      </w:r>
      <w:proofErr w:type="spellStart"/>
      <w:r w:rsidRPr="000C0527">
        <w:rPr>
          <w:rFonts w:ascii="Arial" w:hAnsi="Arial" w:cs="Arial"/>
          <w:sz w:val="20"/>
        </w:rPr>
        <w:t>Abutalebi</w:t>
      </w:r>
      <w:proofErr w:type="spellEnd"/>
      <w:r w:rsidRPr="000C0527">
        <w:rPr>
          <w:rFonts w:ascii="Arial" w:hAnsi="Arial" w:cs="Arial"/>
          <w:sz w:val="20"/>
        </w:rPr>
        <w:t xml:space="preserve">, J. (2015). Bilingualism, dementia, cognitive and neural reserve. </w:t>
      </w:r>
      <w:r w:rsidRPr="000C0527">
        <w:rPr>
          <w:rStyle w:val="Emphasis"/>
          <w:rFonts w:ascii="Arial" w:hAnsi="Arial" w:cs="Arial"/>
          <w:sz w:val="20"/>
        </w:rPr>
        <w:t>Current Opinion in Neurology, 28</w:t>
      </w:r>
      <w:r w:rsidRPr="000C0527">
        <w:rPr>
          <w:rFonts w:ascii="Arial" w:hAnsi="Arial" w:cs="Arial"/>
          <w:sz w:val="20"/>
        </w:rPr>
        <w:t xml:space="preserve">(6), 618–625. </w:t>
      </w:r>
      <w:hyperlink r:id="rId33" w:history="1">
        <w:r w:rsidRPr="000C0527">
          <w:rPr>
            <w:rStyle w:val="Hyperlink"/>
            <w:rFonts w:ascii="Arial" w:hAnsi="Arial" w:cs="Arial"/>
            <w:color w:val="auto"/>
            <w:sz w:val="20"/>
            <w:u w:val="none"/>
          </w:rPr>
          <w:t>https://doi.org/10.1097/WCO.0000000000000267</w:t>
        </w:r>
      </w:hyperlink>
    </w:p>
    <w:p w14:paraId="307259CC"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Sekerina, I. A., Spradlin, L., &amp; Valian, V. (Eds.). (2019). </w:t>
      </w:r>
      <w:r w:rsidRPr="000C0527">
        <w:rPr>
          <w:rStyle w:val="Emphasis"/>
          <w:rFonts w:ascii="Arial" w:hAnsi="Arial" w:cs="Arial"/>
          <w:sz w:val="20"/>
        </w:rPr>
        <w:t>Bilingualism, executive function, and beyond: Questions and insights</w:t>
      </w:r>
      <w:r w:rsidRPr="000C0527">
        <w:rPr>
          <w:rFonts w:ascii="Arial" w:hAnsi="Arial" w:cs="Arial"/>
          <w:sz w:val="20"/>
        </w:rPr>
        <w:t>. John Benjamins Publishing Company.</w:t>
      </w:r>
    </w:p>
    <w:p w14:paraId="2DEBAF91"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Wright, W. E., Baker, C. (2025). Foundations of Bilingual Education and Bilingualism. Channel View Publications.</w:t>
      </w:r>
    </w:p>
    <w:p w14:paraId="45BB19F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Yang, M., </w:t>
      </w:r>
      <w:proofErr w:type="spellStart"/>
      <w:r w:rsidRPr="000C0527">
        <w:rPr>
          <w:rFonts w:ascii="Arial" w:hAnsi="Arial" w:cs="Arial"/>
          <w:sz w:val="20"/>
        </w:rPr>
        <w:t>Cooc</w:t>
      </w:r>
      <w:proofErr w:type="spellEnd"/>
      <w:r w:rsidRPr="000C0527">
        <w:rPr>
          <w:rFonts w:ascii="Arial" w:hAnsi="Arial" w:cs="Arial"/>
          <w:sz w:val="20"/>
        </w:rPr>
        <w:t xml:space="preserve">, N., &amp; Sheng, L. (2017). An investigation of cross-linguistic transfer between Chinese and English: A meta-analysis. </w:t>
      </w:r>
      <w:r w:rsidRPr="000C0527">
        <w:rPr>
          <w:rStyle w:val="Emphasis"/>
          <w:rFonts w:ascii="Arial" w:hAnsi="Arial" w:cs="Arial"/>
          <w:sz w:val="20"/>
        </w:rPr>
        <w:t>Asian Journal of Second and Foreign Language Education, 2</w:t>
      </w:r>
      <w:r w:rsidRPr="000C0527">
        <w:rPr>
          <w:rFonts w:ascii="Arial" w:hAnsi="Arial" w:cs="Arial"/>
          <w:sz w:val="20"/>
        </w:rPr>
        <w:t xml:space="preserve">(15). </w:t>
      </w:r>
      <w:hyperlink r:id="rId34" w:tgtFrame="_new" w:history="1">
        <w:r w:rsidRPr="000C0527">
          <w:rPr>
            <w:rStyle w:val="Hyperlink"/>
            <w:rFonts w:ascii="Arial" w:hAnsi="Arial" w:cs="Arial"/>
            <w:color w:val="auto"/>
            <w:sz w:val="20"/>
            <w:u w:val="none"/>
          </w:rPr>
          <w:t>https://doi.org/10.1186/s40862-017-0036-9</w:t>
        </w:r>
      </w:hyperlink>
    </w:p>
    <w:p w14:paraId="35DF7C09" w14:textId="77777777" w:rsidR="00790ADA" w:rsidRPr="00201125" w:rsidRDefault="000464A4" w:rsidP="00CB3BD4">
      <w:pPr>
        <w:pStyle w:val="NormalWeb"/>
        <w:ind w:left="1080" w:hanging="720"/>
        <w:jc w:val="both"/>
        <w:rPr>
          <w:rFonts w:ascii="Arial" w:hAnsi="Arial" w:cs="Arial"/>
        </w:rPr>
      </w:pPr>
      <w:r w:rsidRPr="000C0527">
        <w:rPr>
          <w:rFonts w:ascii="Arial" w:hAnsi="Arial" w:cs="Arial"/>
          <w:sz w:val="20"/>
        </w:rPr>
        <w:t xml:space="preserve">Zhang, D., Chin, C.-F., &amp; Li, L. (2017). Metalinguistic awareness in bilingual children's word reading: A cross-lagged panel study on cross-linguistic transfer facilitation. </w:t>
      </w:r>
      <w:r w:rsidRPr="000C0527">
        <w:rPr>
          <w:rStyle w:val="Emphasis"/>
          <w:rFonts w:ascii="Arial" w:hAnsi="Arial" w:cs="Arial"/>
          <w:sz w:val="20"/>
        </w:rPr>
        <w:t>Applied Psycholinguistics, 38</w:t>
      </w:r>
      <w:r w:rsidRPr="000C0527">
        <w:rPr>
          <w:rFonts w:ascii="Arial" w:hAnsi="Arial" w:cs="Arial"/>
          <w:sz w:val="20"/>
        </w:rPr>
        <w:t xml:space="preserve">(2), 395–426. </w:t>
      </w:r>
      <w:hyperlink r:id="rId35" w:history="1">
        <w:r w:rsidRPr="000C0527">
          <w:rPr>
            <w:rStyle w:val="Hyperlink"/>
            <w:rFonts w:ascii="Arial" w:hAnsi="Arial" w:cs="Arial"/>
            <w:color w:val="auto"/>
            <w:sz w:val="20"/>
            <w:u w:val="none"/>
          </w:rPr>
          <w:t>https://doi.org/10.1017/S0142716416000278</w:t>
        </w:r>
      </w:hyperlink>
    </w:p>
    <w:sectPr w:rsidR="00790ADA" w:rsidRPr="00201125" w:rsidSect="00B561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C57B5" w14:textId="77777777" w:rsidR="00DA01E4" w:rsidRDefault="00DA01E4" w:rsidP="00C37E61">
      <w:r>
        <w:separator/>
      </w:r>
    </w:p>
  </w:endnote>
  <w:endnote w:type="continuationSeparator" w:id="0">
    <w:p w14:paraId="2DEDB924" w14:textId="77777777" w:rsidR="00DA01E4" w:rsidRDefault="00DA01E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397B6" w14:textId="77777777" w:rsidR="0090671F" w:rsidRDefault="0090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4CDAF" w14:textId="77777777" w:rsidR="0090671F" w:rsidRDefault="0090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DB4D"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9CFBB" w14:textId="77777777" w:rsidR="00DA01E4" w:rsidRDefault="00DA01E4" w:rsidP="00C37E61">
      <w:r>
        <w:separator/>
      </w:r>
    </w:p>
  </w:footnote>
  <w:footnote w:type="continuationSeparator" w:id="0">
    <w:p w14:paraId="319AE7A9" w14:textId="77777777" w:rsidR="00DA01E4" w:rsidRDefault="00DA01E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2B99" w14:textId="42732877" w:rsidR="0090671F" w:rsidRDefault="0090671F">
    <w:pPr>
      <w:pStyle w:val="Header"/>
    </w:pPr>
    <w:r>
      <w:rPr>
        <w:noProof/>
      </w:rPr>
      <w:pict w14:anchorId="56EC4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1D2D7" w14:textId="6808D32A" w:rsidR="0090671F" w:rsidRDefault="0090671F">
    <w:pPr>
      <w:pStyle w:val="Header"/>
    </w:pPr>
    <w:r>
      <w:rPr>
        <w:noProof/>
      </w:rPr>
      <w:pict w14:anchorId="7D274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9F58A" w14:textId="47C5D72F" w:rsidR="00296529" w:rsidRPr="00296529" w:rsidRDefault="0090671F" w:rsidP="00296529">
    <w:pPr>
      <w:ind w:left="2160"/>
      <w:jc w:val="center"/>
      <w:rPr>
        <w:rFonts w:ascii="Times New Roman" w:eastAsia="Calibri" w:hAnsi="Times New Roman"/>
        <w:i/>
        <w:sz w:val="18"/>
        <w:szCs w:val="22"/>
      </w:rPr>
    </w:pPr>
    <w:r>
      <w:rPr>
        <w:noProof/>
      </w:rPr>
      <w:pict w14:anchorId="3E61C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2CDA4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36FA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2762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06AB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F56E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AB95D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B4A65"/>
    <w:multiLevelType w:val="multilevel"/>
    <w:tmpl w:val="93D8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01538D"/>
    <w:multiLevelType w:val="hybridMultilevel"/>
    <w:tmpl w:val="1CBC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42C4"/>
    <w:multiLevelType w:val="multilevel"/>
    <w:tmpl w:val="493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173C97"/>
    <w:multiLevelType w:val="multilevel"/>
    <w:tmpl w:val="663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F761FF"/>
    <w:multiLevelType w:val="multilevel"/>
    <w:tmpl w:val="5B9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AF751F"/>
    <w:multiLevelType w:val="multilevel"/>
    <w:tmpl w:val="D948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3EB69B1"/>
    <w:multiLevelType w:val="multilevel"/>
    <w:tmpl w:val="D0BE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40EE3"/>
    <w:multiLevelType w:val="multilevel"/>
    <w:tmpl w:val="BEA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D2DCB"/>
    <w:multiLevelType w:val="multilevel"/>
    <w:tmpl w:val="041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50443"/>
    <w:multiLevelType w:val="multilevel"/>
    <w:tmpl w:val="6DD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CFB7C4E"/>
    <w:multiLevelType w:val="multilevel"/>
    <w:tmpl w:val="2AD218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F6C5F"/>
    <w:multiLevelType w:val="hybridMultilevel"/>
    <w:tmpl w:val="9F2C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0B66FB"/>
    <w:multiLevelType w:val="multilevel"/>
    <w:tmpl w:val="0002B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360B5"/>
    <w:multiLevelType w:val="multilevel"/>
    <w:tmpl w:val="A902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7"/>
  </w:num>
  <w:num w:numId="9">
    <w:abstractNumId w:val="37"/>
  </w:num>
  <w:num w:numId="10">
    <w:abstractNumId w:val="2"/>
  </w:num>
  <w:num w:numId="11">
    <w:abstractNumId w:val="30"/>
  </w:num>
  <w:num w:numId="12">
    <w:abstractNumId w:val="3"/>
  </w:num>
  <w:num w:numId="13">
    <w:abstractNumId w:val="29"/>
  </w:num>
  <w:num w:numId="14">
    <w:abstractNumId w:val="11"/>
  </w:num>
  <w:num w:numId="15">
    <w:abstractNumId w:val="33"/>
  </w:num>
  <w:num w:numId="16">
    <w:abstractNumId w:val="5"/>
  </w:num>
  <w:num w:numId="17">
    <w:abstractNumId w:val="34"/>
  </w:num>
  <w:num w:numId="18">
    <w:abstractNumId w:val="20"/>
  </w:num>
  <w:num w:numId="19">
    <w:abstractNumId w:val="42"/>
  </w:num>
  <w:num w:numId="20">
    <w:abstractNumId w:val="15"/>
  </w:num>
  <w:num w:numId="21">
    <w:abstractNumId w:val="13"/>
  </w:num>
  <w:num w:numId="22">
    <w:abstractNumId w:val="18"/>
  </w:num>
  <w:num w:numId="23">
    <w:abstractNumId w:val="31"/>
  </w:num>
  <w:num w:numId="24">
    <w:abstractNumId w:val="39"/>
  </w:num>
  <w:num w:numId="25">
    <w:abstractNumId w:val="4"/>
  </w:num>
  <w:num w:numId="26">
    <w:abstractNumId w:val="28"/>
  </w:num>
  <w:num w:numId="27">
    <w:abstractNumId w:val="32"/>
  </w:num>
  <w:num w:numId="28">
    <w:abstractNumId w:val="41"/>
  </w:num>
  <w:num w:numId="29">
    <w:abstractNumId w:val="36"/>
  </w:num>
  <w:num w:numId="30">
    <w:abstractNumId w:val="14"/>
  </w:num>
  <w:num w:numId="31">
    <w:abstractNumId w:val="6"/>
  </w:num>
  <w:num w:numId="32">
    <w:abstractNumId w:val="9"/>
  </w:num>
  <w:num w:numId="33">
    <w:abstractNumId w:val="22"/>
  </w:num>
  <w:num w:numId="34">
    <w:abstractNumId w:val="16"/>
  </w:num>
  <w:num w:numId="35">
    <w:abstractNumId w:val="24"/>
  </w:num>
  <w:num w:numId="36">
    <w:abstractNumId w:val="38"/>
  </w:num>
  <w:num w:numId="37">
    <w:abstractNumId w:val="19"/>
  </w:num>
  <w:num w:numId="38">
    <w:abstractNumId w:val="12"/>
  </w:num>
  <w:num w:numId="39">
    <w:abstractNumId w:val="21"/>
  </w:num>
  <w:num w:numId="40">
    <w:abstractNumId w:val="40"/>
  </w:num>
  <w:num w:numId="41">
    <w:abstractNumId w:val="26"/>
  </w:num>
  <w:num w:numId="42">
    <w:abstractNumId w:val="23"/>
  </w:num>
  <w:num w:numId="43">
    <w:abstractNumId w:val="27"/>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841"/>
    <w:rsid w:val="000163E1"/>
    <w:rsid w:val="00026D0D"/>
    <w:rsid w:val="00030174"/>
    <w:rsid w:val="0004579C"/>
    <w:rsid w:val="000464A4"/>
    <w:rsid w:val="00092B80"/>
    <w:rsid w:val="000A47FA"/>
    <w:rsid w:val="000A65D3"/>
    <w:rsid w:val="000B1E33"/>
    <w:rsid w:val="000C0527"/>
    <w:rsid w:val="000D689F"/>
    <w:rsid w:val="000E7B7B"/>
    <w:rsid w:val="000E7D62"/>
    <w:rsid w:val="00103357"/>
    <w:rsid w:val="00123C9F"/>
    <w:rsid w:val="00126190"/>
    <w:rsid w:val="00130F17"/>
    <w:rsid w:val="001320BF"/>
    <w:rsid w:val="00157E6F"/>
    <w:rsid w:val="00163BC4"/>
    <w:rsid w:val="0017748D"/>
    <w:rsid w:val="001813E3"/>
    <w:rsid w:val="00191062"/>
    <w:rsid w:val="00192B72"/>
    <w:rsid w:val="001A0B27"/>
    <w:rsid w:val="001A29D8"/>
    <w:rsid w:val="001A5CAA"/>
    <w:rsid w:val="001B0427"/>
    <w:rsid w:val="001B77E0"/>
    <w:rsid w:val="001D3A51"/>
    <w:rsid w:val="001D54C3"/>
    <w:rsid w:val="001E10D2"/>
    <w:rsid w:val="001E25B4"/>
    <w:rsid w:val="001E44FE"/>
    <w:rsid w:val="001F1CFA"/>
    <w:rsid w:val="00200595"/>
    <w:rsid w:val="00201125"/>
    <w:rsid w:val="00204835"/>
    <w:rsid w:val="002232AD"/>
    <w:rsid w:val="00231920"/>
    <w:rsid w:val="0023195C"/>
    <w:rsid w:val="0024282C"/>
    <w:rsid w:val="002460DC"/>
    <w:rsid w:val="00250985"/>
    <w:rsid w:val="00254848"/>
    <w:rsid w:val="002556F6"/>
    <w:rsid w:val="00261226"/>
    <w:rsid w:val="00262490"/>
    <w:rsid w:val="00283105"/>
    <w:rsid w:val="00284C4C"/>
    <w:rsid w:val="00287A57"/>
    <w:rsid w:val="00287E68"/>
    <w:rsid w:val="00293BB8"/>
    <w:rsid w:val="00296529"/>
    <w:rsid w:val="002B27FB"/>
    <w:rsid w:val="002B3C74"/>
    <w:rsid w:val="002B685A"/>
    <w:rsid w:val="002C4ED8"/>
    <w:rsid w:val="002C57D2"/>
    <w:rsid w:val="002C6A8D"/>
    <w:rsid w:val="002D09B1"/>
    <w:rsid w:val="002E0D56"/>
    <w:rsid w:val="002E2E0A"/>
    <w:rsid w:val="00315186"/>
    <w:rsid w:val="003169D7"/>
    <w:rsid w:val="0033343E"/>
    <w:rsid w:val="003504FF"/>
    <w:rsid w:val="00350CB2"/>
    <w:rsid w:val="003512C2"/>
    <w:rsid w:val="0035253E"/>
    <w:rsid w:val="00371FB6"/>
    <w:rsid w:val="003763C1"/>
    <w:rsid w:val="00376BBE"/>
    <w:rsid w:val="0039224F"/>
    <w:rsid w:val="0039383A"/>
    <w:rsid w:val="00393EF9"/>
    <w:rsid w:val="003A1527"/>
    <w:rsid w:val="003A43A4"/>
    <w:rsid w:val="003A5F10"/>
    <w:rsid w:val="003A7E18"/>
    <w:rsid w:val="003C4C86"/>
    <w:rsid w:val="003C6258"/>
    <w:rsid w:val="003E06A8"/>
    <w:rsid w:val="003E2904"/>
    <w:rsid w:val="00401927"/>
    <w:rsid w:val="004023E8"/>
    <w:rsid w:val="0041027F"/>
    <w:rsid w:val="00412475"/>
    <w:rsid w:val="004168DE"/>
    <w:rsid w:val="004236F8"/>
    <w:rsid w:val="00423789"/>
    <w:rsid w:val="0043476C"/>
    <w:rsid w:val="00440F43"/>
    <w:rsid w:val="00441B6F"/>
    <w:rsid w:val="00446221"/>
    <w:rsid w:val="00450E62"/>
    <w:rsid w:val="004539DB"/>
    <w:rsid w:val="00461F19"/>
    <w:rsid w:val="00470791"/>
    <w:rsid w:val="00471A80"/>
    <w:rsid w:val="0048520E"/>
    <w:rsid w:val="004D305E"/>
    <w:rsid w:val="004D4277"/>
    <w:rsid w:val="00502516"/>
    <w:rsid w:val="00505F06"/>
    <w:rsid w:val="00506828"/>
    <w:rsid w:val="0053056E"/>
    <w:rsid w:val="00533A9F"/>
    <w:rsid w:val="00554FDA"/>
    <w:rsid w:val="005674DB"/>
    <w:rsid w:val="00576804"/>
    <w:rsid w:val="0058152A"/>
    <w:rsid w:val="005A1BFC"/>
    <w:rsid w:val="005C0616"/>
    <w:rsid w:val="005C4245"/>
    <w:rsid w:val="005C5BA8"/>
    <w:rsid w:val="005C784C"/>
    <w:rsid w:val="005D17F6"/>
    <w:rsid w:val="005D2E2D"/>
    <w:rsid w:val="005E5539"/>
    <w:rsid w:val="005E7E68"/>
    <w:rsid w:val="005F4D7D"/>
    <w:rsid w:val="00602BF5"/>
    <w:rsid w:val="006150B2"/>
    <w:rsid w:val="00617FDD"/>
    <w:rsid w:val="00633614"/>
    <w:rsid w:val="00633F68"/>
    <w:rsid w:val="00636EB2"/>
    <w:rsid w:val="006375B8"/>
    <w:rsid w:val="006450D2"/>
    <w:rsid w:val="00650179"/>
    <w:rsid w:val="00650721"/>
    <w:rsid w:val="00657737"/>
    <w:rsid w:val="0066510A"/>
    <w:rsid w:val="00673F9F"/>
    <w:rsid w:val="00686953"/>
    <w:rsid w:val="00687DEA"/>
    <w:rsid w:val="00687E67"/>
    <w:rsid w:val="006967F7"/>
    <w:rsid w:val="006A250C"/>
    <w:rsid w:val="006B21D3"/>
    <w:rsid w:val="006B57D0"/>
    <w:rsid w:val="006D30FF"/>
    <w:rsid w:val="006D6940"/>
    <w:rsid w:val="006E513C"/>
    <w:rsid w:val="006F11EC"/>
    <w:rsid w:val="0070082C"/>
    <w:rsid w:val="00701A2E"/>
    <w:rsid w:val="00703560"/>
    <w:rsid w:val="0071647C"/>
    <w:rsid w:val="007357A0"/>
    <w:rsid w:val="007369E6"/>
    <w:rsid w:val="00746E59"/>
    <w:rsid w:val="00747225"/>
    <w:rsid w:val="00754C9A"/>
    <w:rsid w:val="0075599A"/>
    <w:rsid w:val="00761D52"/>
    <w:rsid w:val="0077749E"/>
    <w:rsid w:val="00790ADA"/>
    <w:rsid w:val="0079297E"/>
    <w:rsid w:val="007A1438"/>
    <w:rsid w:val="007D2288"/>
    <w:rsid w:val="007E088F"/>
    <w:rsid w:val="007F7B32"/>
    <w:rsid w:val="00800B51"/>
    <w:rsid w:val="00804BC2"/>
    <w:rsid w:val="008106EE"/>
    <w:rsid w:val="00812AAE"/>
    <w:rsid w:val="0081431A"/>
    <w:rsid w:val="008217AA"/>
    <w:rsid w:val="0083216F"/>
    <w:rsid w:val="00836BBA"/>
    <w:rsid w:val="00860000"/>
    <w:rsid w:val="008637C7"/>
    <w:rsid w:val="00863BD3"/>
    <w:rsid w:val="008641ED"/>
    <w:rsid w:val="00866D66"/>
    <w:rsid w:val="008671C6"/>
    <w:rsid w:val="00875803"/>
    <w:rsid w:val="0088081C"/>
    <w:rsid w:val="00885B86"/>
    <w:rsid w:val="008B1593"/>
    <w:rsid w:val="008B459E"/>
    <w:rsid w:val="008E13AE"/>
    <w:rsid w:val="008E1506"/>
    <w:rsid w:val="008E710C"/>
    <w:rsid w:val="008F0C4E"/>
    <w:rsid w:val="008F69D6"/>
    <w:rsid w:val="00902823"/>
    <w:rsid w:val="0090671F"/>
    <w:rsid w:val="00915CA6"/>
    <w:rsid w:val="00927834"/>
    <w:rsid w:val="009500A6"/>
    <w:rsid w:val="00957C18"/>
    <w:rsid w:val="009634BB"/>
    <w:rsid w:val="009659BA"/>
    <w:rsid w:val="009722A2"/>
    <w:rsid w:val="00972A68"/>
    <w:rsid w:val="00983040"/>
    <w:rsid w:val="009B3FB9"/>
    <w:rsid w:val="009B51EE"/>
    <w:rsid w:val="009C2465"/>
    <w:rsid w:val="009D35A0"/>
    <w:rsid w:val="009D7EB7"/>
    <w:rsid w:val="009E048A"/>
    <w:rsid w:val="009E08E9"/>
    <w:rsid w:val="009E3DB9"/>
    <w:rsid w:val="009E6E35"/>
    <w:rsid w:val="009F0EDA"/>
    <w:rsid w:val="00A03B96"/>
    <w:rsid w:val="00A0446D"/>
    <w:rsid w:val="00A05B19"/>
    <w:rsid w:val="00A1134E"/>
    <w:rsid w:val="00A24E7E"/>
    <w:rsid w:val="00A258C3"/>
    <w:rsid w:val="00A32893"/>
    <w:rsid w:val="00A347C0"/>
    <w:rsid w:val="00A51431"/>
    <w:rsid w:val="00A539AD"/>
    <w:rsid w:val="00A914B8"/>
    <w:rsid w:val="00A94063"/>
    <w:rsid w:val="00AA6219"/>
    <w:rsid w:val="00AA74E0"/>
    <w:rsid w:val="00AA78B9"/>
    <w:rsid w:val="00AB5C82"/>
    <w:rsid w:val="00AB703F"/>
    <w:rsid w:val="00AC6BB8"/>
    <w:rsid w:val="00AC789A"/>
    <w:rsid w:val="00AE008F"/>
    <w:rsid w:val="00B01FCD"/>
    <w:rsid w:val="00B10B40"/>
    <w:rsid w:val="00B11CAA"/>
    <w:rsid w:val="00B1776C"/>
    <w:rsid w:val="00B21274"/>
    <w:rsid w:val="00B329B4"/>
    <w:rsid w:val="00B34FD6"/>
    <w:rsid w:val="00B470FA"/>
    <w:rsid w:val="00B50114"/>
    <w:rsid w:val="00B52583"/>
    <w:rsid w:val="00B52896"/>
    <w:rsid w:val="00B56153"/>
    <w:rsid w:val="00B76E36"/>
    <w:rsid w:val="00B8157B"/>
    <w:rsid w:val="00B95236"/>
    <w:rsid w:val="00B96BD9"/>
    <w:rsid w:val="00BA1B01"/>
    <w:rsid w:val="00BA2641"/>
    <w:rsid w:val="00BB37AA"/>
    <w:rsid w:val="00BC53A0"/>
    <w:rsid w:val="00BE568E"/>
    <w:rsid w:val="00BE62AD"/>
    <w:rsid w:val="00BF121F"/>
    <w:rsid w:val="00BF1F80"/>
    <w:rsid w:val="00C13C3E"/>
    <w:rsid w:val="00C166EF"/>
    <w:rsid w:val="00C17EB0"/>
    <w:rsid w:val="00C2261C"/>
    <w:rsid w:val="00C24A2B"/>
    <w:rsid w:val="00C27F5F"/>
    <w:rsid w:val="00C30A0F"/>
    <w:rsid w:val="00C37E61"/>
    <w:rsid w:val="00C41DC6"/>
    <w:rsid w:val="00C70F1B"/>
    <w:rsid w:val="00C71A47"/>
    <w:rsid w:val="00C7464C"/>
    <w:rsid w:val="00C808A8"/>
    <w:rsid w:val="00C85588"/>
    <w:rsid w:val="00C92272"/>
    <w:rsid w:val="00CA1C36"/>
    <w:rsid w:val="00CB1101"/>
    <w:rsid w:val="00CB135E"/>
    <w:rsid w:val="00CB3BD4"/>
    <w:rsid w:val="00CC6A2E"/>
    <w:rsid w:val="00CD53CA"/>
    <w:rsid w:val="00CD6755"/>
    <w:rsid w:val="00CD6856"/>
    <w:rsid w:val="00CD7D6F"/>
    <w:rsid w:val="00CE0089"/>
    <w:rsid w:val="00CE793C"/>
    <w:rsid w:val="00CF193C"/>
    <w:rsid w:val="00D14B39"/>
    <w:rsid w:val="00D173F1"/>
    <w:rsid w:val="00D3034A"/>
    <w:rsid w:val="00D30779"/>
    <w:rsid w:val="00D436BC"/>
    <w:rsid w:val="00D458E3"/>
    <w:rsid w:val="00D548D9"/>
    <w:rsid w:val="00D6628C"/>
    <w:rsid w:val="00D74CB0"/>
    <w:rsid w:val="00D8295D"/>
    <w:rsid w:val="00DA01E4"/>
    <w:rsid w:val="00DC2A65"/>
    <w:rsid w:val="00DC614F"/>
    <w:rsid w:val="00DE15F0"/>
    <w:rsid w:val="00DE5663"/>
    <w:rsid w:val="00DE6285"/>
    <w:rsid w:val="00DE78AA"/>
    <w:rsid w:val="00DF5F30"/>
    <w:rsid w:val="00E00EDF"/>
    <w:rsid w:val="00E053D0"/>
    <w:rsid w:val="00E15994"/>
    <w:rsid w:val="00E3114E"/>
    <w:rsid w:val="00E31A70"/>
    <w:rsid w:val="00E35B02"/>
    <w:rsid w:val="00E41DC1"/>
    <w:rsid w:val="00E66496"/>
    <w:rsid w:val="00E66B35"/>
    <w:rsid w:val="00E66E10"/>
    <w:rsid w:val="00E769F6"/>
    <w:rsid w:val="00E8407C"/>
    <w:rsid w:val="00E84F3C"/>
    <w:rsid w:val="00EA012C"/>
    <w:rsid w:val="00EA7EF3"/>
    <w:rsid w:val="00EC6A55"/>
    <w:rsid w:val="00ED0288"/>
    <w:rsid w:val="00EE0558"/>
    <w:rsid w:val="00EE52CB"/>
    <w:rsid w:val="00EF581D"/>
    <w:rsid w:val="00EF7FD8"/>
    <w:rsid w:val="00F06F59"/>
    <w:rsid w:val="00F15861"/>
    <w:rsid w:val="00F17988"/>
    <w:rsid w:val="00F323D2"/>
    <w:rsid w:val="00F469F0"/>
    <w:rsid w:val="00F47215"/>
    <w:rsid w:val="00F53273"/>
    <w:rsid w:val="00F57B41"/>
    <w:rsid w:val="00F62389"/>
    <w:rsid w:val="00F755E4"/>
    <w:rsid w:val="00F77D02"/>
    <w:rsid w:val="00FB3A86"/>
    <w:rsid w:val="00FD36C8"/>
    <w:rsid w:val="00FE69FF"/>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F0CDBC"/>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qFormat/>
    <w:rsid w:val="000464A4"/>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B470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64A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470F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0464A4"/>
    <w:rPr>
      <w:b/>
      <w:bCs/>
      <w:sz w:val="36"/>
      <w:szCs w:val="36"/>
    </w:rPr>
  </w:style>
  <w:style w:type="character" w:customStyle="1" w:styleId="Heading4Char">
    <w:name w:val="Heading 4 Char"/>
    <w:basedOn w:val="DefaultParagraphFont"/>
    <w:link w:val="Heading4"/>
    <w:uiPriority w:val="9"/>
    <w:semiHidden/>
    <w:rsid w:val="000464A4"/>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0464A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464A4"/>
    <w:rPr>
      <w:b/>
      <w:bCs/>
    </w:rPr>
  </w:style>
  <w:style w:type="character" w:customStyle="1" w:styleId="relative">
    <w:name w:val="relative"/>
    <w:basedOn w:val="DefaultParagraphFont"/>
    <w:rsid w:val="000464A4"/>
  </w:style>
  <w:style w:type="character" w:customStyle="1" w:styleId="ms-1">
    <w:name w:val="ms-1"/>
    <w:basedOn w:val="DefaultParagraphFont"/>
    <w:rsid w:val="000464A4"/>
  </w:style>
  <w:style w:type="character" w:customStyle="1" w:styleId="max-w-full">
    <w:name w:val="max-w-full"/>
    <w:basedOn w:val="DefaultParagraphFont"/>
    <w:rsid w:val="000464A4"/>
  </w:style>
  <w:style w:type="character" w:customStyle="1" w:styleId="-me-1">
    <w:name w:val="-me-1"/>
    <w:basedOn w:val="DefaultParagraphFont"/>
    <w:rsid w:val="000464A4"/>
  </w:style>
  <w:style w:type="paragraph" w:styleId="ListParagraph">
    <w:name w:val="List Paragraph"/>
    <w:basedOn w:val="Normal"/>
    <w:uiPriority w:val="34"/>
    <w:qFormat/>
    <w:rsid w:val="000464A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64A4"/>
    <w:rPr>
      <w:rFonts w:ascii="Helvetica" w:hAnsi="Helvetica"/>
    </w:rPr>
  </w:style>
  <w:style w:type="character" w:customStyle="1" w:styleId="FooterChar">
    <w:name w:val="Footer Char"/>
    <w:basedOn w:val="DefaultParagraphFont"/>
    <w:link w:val="Footer"/>
    <w:uiPriority w:val="99"/>
    <w:rsid w:val="000464A4"/>
    <w:rPr>
      <w:rFonts w:ascii="Helvetica" w:hAnsi="Helvetica"/>
    </w:rPr>
  </w:style>
  <w:style w:type="character" w:styleId="UnresolvedMention">
    <w:name w:val="Unresolved Mention"/>
    <w:basedOn w:val="DefaultParagraphFont"/>
    <w:uiPriority w:val="99"/>
    <w:semiHidden/>
    <w:unhideWhenUsed/>
    <w:rsid w:val="005C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9329/ijler.2023.591.4" TargetMode="External"/><Relationship Id="rId26" Type="http://schemas.openxmlformats.org/officeDocument/2006/relationships/hyperlink" Target="https://doi.org/10.1177/01427237211024220" TargetMode="External"/><Relationship Id="rId21" Type="http://schemas.openxmlformats.org/officeDocument/2006/relationships/hyperlink" Target="https://doi.org/10.1037/a0025406" TargetMode="External"/><Relationship Id="rId34" Type="http://schemas.openxmlformats.org/officeDocument/2006/relationships/hyperlink" Target="https://doi.org/10.1186/s40862-017-0036-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02/0034654310368803" TargetMode="External"/><Relationship Id="rId25" Type="http://schemas.openxmlformats.org/officeDocument/2006/relationships/hyperlink" Target="https://doi.org/10.1057/9781137385765" TargetMode="External"/><Relationship Id="rId33" Type="http://schemas.openxmlformats.org/officeDocument/2006/relationships/hyperlink" Target="https://doi.org/10.1097/WCO.0000000000000267" TargetMode="External"/><Relationship Id="rId2" Type="http://schemas.openxmlformats.org/officeDocument/2006/relationships/numbering" Target="numbering.xml"/><Relationship Id="rId16" Type="http://schemas.openxmlformats.org/officeDocument/2006/relationships/hyperlink" Target="https://doi.org/10.1017/S1366728916000225" TargetMode="External"/><Relationship Id="rId20" Type="http://schemas.openxmlformats.org/officeDocument/2006/relationships/hyperlink" Target="https://doi.org/10.1016/j.ecresq.2014.02.003" TargetMode="External"/><Relationship Id="rId29" Type="http://schemas.openxmlformats.org/officeDocument/2006/relationships/hyperlink" Target="https://doi.org/10.1080/20445911.2013.7955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ultilingual-matters.com/page/detail/?k=9781853594731" TargetMode="External"/><Relationship Id="rId32" Type="http://schemas.openxmlformats.org/officeDocument/2006/relationships/hyperlink" Target="https://doi.org/10.1177/136700691988027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cognition.2006.12.013" TargetMode="External"/><Relationship Id="rId28" Type="http://schemas.openxmlformats.org/officeDocument/2006/relationships/hyperlink" Target="https://doi.org/10.1111/j.1751-228X.2011.01121.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111/j.1467-8624.2011.01707.x" TargetMode="External"/><Relationship Id="rId31" Type="http://schemas.openxmlformats.org/officeDocument/2006/relationships/hyperlink" Target="https://doi.org/10.14738/assrj.119.176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tics.2012.03.001" TargetMode="External"/><Relationship Id="rId27" Type="http://schemas.openxmlformats.org/officeDocument/2006/relationships/hyperlink" Target="https://doi.org/10.1080/20445911.2013.799170" TargetMode="External"/><Relationship Id="rId30" Type="http://schemas.openxmlformats.org/officeDocument/2006/relationships/hyperlink" Target="https://doi.org/10.1038/431757a" TargetMode="External"/><Relationship Id="rId35" Type="http://schemas.openxmlformats.org/officeDocument/2006/relationships/hyperlink" Target="https://doi.org/10.1017/S0142716416000278"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8D465-BE6B-4940-8A9F-7FC9044D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18</Pages>
  <Words>7880</Words>
  <Characters>44917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130</cp:revision>
  <cp:lastPrinted>1999-07-06T11:00:00Z</cp:lastPrinted>
  <dcterms:created xsi:type="dcterms:W3CDTF">2014-10-25T14:34:00Z</dcterms:created>
  <dcterms:modified xsi:type="dcterms:W3CDTF">2025-11-06T12:18:00Z</dcterms:modified>
</cp:coreProperties>
</file>