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A257A" w14:textId="77777777" w:rsidR="009F7BDA" w:rsidRDefault="009F7BDA" w:rsidP="009F7BDA">
      <w:pPr>
        <w:shd w:val="clear" w:color="auto" w:fill="FFFFFF"/>
        <w:spacing w:after="0" w:line="360" w:lineRule="auto"/>
        <w:jc w:val="center"/>
        <w:outlineLvl w:val="0"/>
        <w:rPr>
          <w:rFonts w:ascii="Times New Roman" w:eastAsia="Times New Roman" w:hAnsi="Times New Roman" w:cs="Times New Roman"/>
          <w:b/>
          <w:bCs/>
          <w:kern w:val="36"/>
          <w:sz w:val="24"/>
          <w:szCs w:val="24"/>
          <w:lang w:eastAsia="en-IN"/>
        </w:rPr>
      </w:pPr>
      <w:r w:rsidRPr="00C80B96">
        <w:rPr>
          <w:rFonts w:ascii="Times New Roman" w:eastAsia="Times New Roman" w:hAnsi="Times New Roman" w:cs="Times New Roman"/>
          <w:b/>
          <w:bCs/>
          <w:kern w:val="36"/>
          <w:sz w:val="24"/>
          <w:szCs w:val="24"/>
          <w:lang w:eastAsia="en-IN"/>
        </w:rPr>
        <w:t xml:space="preserve">Exploring the </w:t>
      </w:r>
      <w:r w:rsidR="00325DAA">
        <w:rPr>
          <w:rFonts w:ascii="Times New Roman" w:eastAsia="Times New Roman" w:hAnsi="Times New Roman" w:cs="Times New Roman"/>
          <w:b/>
          <w:bCs/>
          <w:kern w:val="36"/>
          <w:sz w:val="24"/>
          <w:szCs w:val="24"/>
          <w:lang w:eastAsia="en-IN"/>
        </w:rPr>
        <w:t>Students and Teachers</w:t>
      </w:r>
      <w:r w:rsidR="00050456" w:rsidRPr="00C80B96">
        <w:rPr>
          <w:rFonts w:ascii="Times New Roman" w:eastAsia="Times New Roman" w:hAnsi="Times New Roman" w:cs="Times New Roman"/>
          <w:b/>
          <w:bCs/>
          <w:kern w:val="36"/>
          <w:sz w:val="24"/>
          <w:szCs w:val="24"/>
          <w:lang w:eastAsia="en-IN"/>
        </w:rPr>
        <w:t xml:space="preserve"> Perception</w:t>
      </w:r>
      <w:r w:rsidR="00050456">
        <w:rPr>
          <w:rFonts w:ascii="Times New Roman" w:eastAsia="Times New Roman" w:hAnsi="Times New Roman" w:cs="Times New Roman"/>
          <w:b/>
          <w:bCs/>
          <w:kern w:val="36"/>
          <w:sz w:val="24"/>
          <w:szCs w:val="24"/>
          <w:lang w:eastAsia="en-IN"/>
        </w:rPr>
        <w:t xml:space="preserve"> on </w:t>
      </w:r>
      <w:r>
        <w:rPr>
          <w:rFonts w:ascii="Times New Roman" w:eastAsia="Times New Roman" w:hAnsi="Times New Roman" w:cs="Times New Roman"/>
          <w:b/>
          <w:bCs/>
          <w:kern w:val="36"/>
          <w:sz w:val="24"/>
          <w:szCs w:val="24"/>
          <w:lang w:eastAsia="en-IN"/>
        </w:rPr>
        <w:t xml:space="preserve">Artificial Intelligence based </w:t>
      </w:r>
      <w:r w:rsidR="00050456">
        <w:rPr>
          <w:rFonts w:ascii="Times New Roman" w:eastAsia="Times New Roman" w:hAnsi="Times New Roman" w:cs="Times New Roman"/>
          <w:b/>
          <w:bCs/>
          <w:kern w:val="36"/>
          <w:sz w:val="24"/>
          <w:szCs w:val="24"/>
          <w:lang w:eastAsia="en-IN"/>
        </w:rPr>
        <w:t>Techno-Pedagogical Initiation</w:t>
      </w:r>
    </w:p>
    <w:p w14:paraId="46BCE2FE" w14:textId="77777777" w:rsidR="00480FFA" w:rsidRDefault="00480FFA" w:rsidP="009F7BDA">
      <w:pPr>
        <w:shd w:val="clear" w:color="auto" w:fill="FFFFFF"/>
        <w:spacing w:after="0" w:line="360" w:lineRule="auto"/>
        <w:jc w:val="center"/>
        <w:outlineLvl w:val="0"/>
        <w:rPr>
          <w:rFonts w:ascii="Times New Roman" w:eastAsia="Times New Roman" w:hAnsi="Times New Roman" w:cs="Times New Roman"/>
          <w:b/>
          <w:bCs/>
          <w:kern w:val="36"/>
          <w:sz w:val="24"/>
          <w:szCs w:val="24"/>
          <w:lang w:eastAsia="en-IN"/>
        </w:rPr>
      </w:pPr>
    </w:p>
    <w:p w14:paraId="573365D7" w14:textId="04F64C9C" w:rsidR="004F4C50" w:rsidRDefault="004F4C50" w:rsidP="009C2EB0">
      <w:pPr>
        <w:shd w:val="clear" w:color="auto" w:fill="FFFFFF"/>
        <w:spacing w:after="0" w:line="240" w:lineRule="auto"/>
        <w:jc w:val="center"/>
        <w:outlineLvl w:val="0"/>
        <w:rPr>
          <w:rFonts w:ascii="Times New Roman" w:eastAsia="Times New Roman" w:hAnsi="Times New Roman" w:cs="Times New Roman"/>
          <w:kern w:val="36"/>
          <w:sz w:val="24"/>
          <w:szCs w:val="24"/>
          <w:lang w:eastAsia="en-IN"/>
        </w:rPr>
      </w:pPr>
    </w:p>
    <w:p w14:paraId="77E5C13A" w14:textId="77777777" w:rsidR="00F221EB" w:rsidRPr="009C2EB0" w:rsidRDefault="00F221EB" w:rsidP="009C2EB0">
      <w:pPr>
        <w:shd w:val="clear" w:color="auto" w:fill="FFFFFF"/>
        <w:spacing w:after="0" w:line="240" w:lineRule="auto"/>
        <w:jc w:val="center"/>
        <w:outlineLvl w:val="0"/>
        <w:rPr>
          <w:rFonts w:ascii="Times New Roman" w:eastAsia="Times New Roman" w:hAnsi="Times New Roman" w:cs="Times New Roman"/>
          <w:kern w:val="36"/>
          <w:sz w:val="24"/>
          <w:szCs w:val="24"/>
          <w:lang w:eastAsia="en-IN"/>
        </w:rPr>
      </w:pPr>
      <w:bookmarkStart w:id="0" w:name="_GoBack"/>
      <w:bookmarkEnd w:id="0"/>
    </w:p>
    <w:p w14:paraId="2AD56686" w14:textId="77777777" w:rsidR="009F7BDA" w:rsidRPr="00E12C29" w:rsidRDefault="009F7BDA" w:rsidP="00070F6E">
      <w:pPr>
        <w:shd w:val="clear" w:color="auto" w:fill="FFFFFF"/>
        <w:spacing w:after="0" w:line="360" w:lineRule="auto"/>
        <w:jc w:val="center"/>
        <w:outlineLvl w:val="1"/>
        <w:rPr>
          <w:rFonts w:ascii="Times New Roman" w:eastAsia="Times New Roman" w:hAnsi="Times New Roman" w:cs="Times New Roman"/>
          <w:sz w:val="24"/>
          <w:szCs w:val="24"/>
          <w:lang w:eastAsia="en-IN"/>
        </w:rPr>
      </w:pPr>
      <w:r w:rsidRPr="00C80B96">
        <w:rPr>
          <w:rFonts w:ascii="Times New Roman" w:eastAsia="Times New Roman" w:hAnsi="Times New Roman" w:cs="Times New Roman"/>
          <w:b/>
          <w:bCs/>
          <w:sz w:val="24"/>
          <w:szCs w:val="24"/>
          <w:lang w:eastAsia="en-IN"/>
        </w:rPr>
        <w:t>Abstract</w:t>
      </w:r>
    </w:p>
    <w:p w14:paraId="57CAF686" w14:textId="77777777" w:rsidR="009F7BDA" w:rsidRPr="00E12C29" w:rsidRDefault="007373FF" w:rsidP="00E60456">
      <w:pPr>
        <w:shd w:val="clear" w:color="auto" w:fill="FFFFFF"/>
        <w:spacing w:after="0" w:line="360" w:lineRule="auto"/>
        <w:ind w:firstLine="720"/>
        <w:jc w:val="both"/>
        <w:rPr>
          <w:rFonts w:ascii="Times New Roman" w:eastAsia="Times New Roman" w:hAnsi="Times New Roman" w:cs="Times New Roman"/>
          <w:sz w:val="24"/>
          <w:szCs w:val="24"/>
          <w:lang w:eastAsia="en-IN"/>
        </w:rPr>
      </w:pPr>
      <w:r w:rsidRPr="001F0A04">
        <w:rPr>
          <w:rFonts w:ascii="Times New Roman" w:hAnsi="Times New Roman" w:cs="Times New Roman"/>
          <w:sz w:val="24"/>
          <w:szCs w:val="24"/>
        </w:rPr>
        <w:t>The growing incorporation of technology into higher education has changed traditional pedagogical approaches, resulting in a paradigm shift toward techno-pedagogical practices. This study looks at the current state of techno-pedagogical initiation and how students and teachers perceive its implementation, efficacy, and obstacles in educational institutions. A purposive stratified random survey was used, with the population consisting of school and college students, as well as teachers. The sample size was 277, with 100 12th graders, 100 postgraduate students, 40 school teachers, and 37 college lecturers. The investigators employed a self-created open-ended questionnaire on AI-based techno-pedagogical igniting in educational perspectives. Data were analyzed by descriptive statistics and correlation analysis. According to the findings, 78% of professors have used technology-based teaching aids, particularly Learning Management Systems (LMS) and interactive multimedia. While 65% of students reported increased participation, key problems were insufficient training (42% faculty), technological difficulties (38% students), and resistance to change (25% faculty). Techno-pedagogical initiation has significant potential, but it requires institutional backing, extensive training, and infrastructure development for successful implementation. To overcome the digital divide, recommendations include faculty development initiatives, student orientation sessions, and policy improvements.</w:t>
      </w:r>
    </w:p>
    <w:p w14:paraId="20605656" w14:textId="77777777" w:rsidR="009F7BDA" w:rsidRPr="00E12C29" w:rsidRDefault="009F7BDA" w:rsidP="009F7BDA">
      <w:pPr>
        <w:shd w:val="clear" w:color="auto" w:fill="FFFFFF"/>
        <w:spacing w:after="0" w:line="360" w:lineRule="auto"/>
        <w:jc w:val="both"/>
        <w:rPr>
          <w:rFonts w:ascii="Times New Roman" w:eastAsia="Times New Roman" w:hAnsi="Times New Roman" w:cs="Times New Roman"/>
          <w:sz w:val="24"/>
          <w:szCs w:val="24"/>
          <w:lang w:eastAsia="en-IN"/>
        </w:rPr>
      </w:pPr>
      <w:r w:rsidRPr="00C80B96">
        <w:rPr>
          <w:rFonts w:ascii="Times New Roman" w:eastAsia="Times New Roman" w:hAnsi="Times New Roman" w:cs="Times New Roman"/>
          <w:b/>
          <w:bCs/>
          <w:sz w:val="24"/>
          <w:szCs w:val="24"/>
          <w:lang w:eastAsia="en-IN"/>
        </w:rPr>
        <w:t>Keywords</w:t>
      </w:r>
      <w:r w:rsidRPr="00E12C29">
        <w:rPr>
          <w:rFonts w:ascii="Times New Roman" w:eastAsia="Times New Roman" w:hAnsi="Times New Roman" w:cs="Times New Roman"/>
          <w:sz w:val="24"/>
          <w:szCs w:val="24"/>
          <w:lang w:eastAsia="en-IN"/>
        </w:rPr>
        <w:t xml:space="preserve">: </w:t>
      </w:r>
      <w:r w:rsidR="007373FF" w:rsidRPr="001F0A04">
        <w:rPr>
          <w:rFonts w:ascii="Times New Roman" w:hAnsi="Times New Roman" w:cs="Times New Roman"/>
          <w:sz w:val="24"/>
          <w:szCs w:val="24"/>
        </w:rPr>
        <w:t>Techno-pedagogy, educational views, teacher and student perceptions, digital learning.</w:t>
      </w:r>
    </w:p>
    <w:p w14:paraId="2ADCEB0C" w14:textId="77777777" w:rsidR="009F7BDA" w:rsidRPr="00E12C29" w:rsidRDefault="009F7BDA" w:rsidP="009F7BDA">
      <w:pPr>
        <w:shd w:val="clear" w:color="auto" w:fill="FFFFFF"/>
        <w:spacing w:after="0" w:line="360" w:lineRule="auto"/>
        <w:jc w:val="both"/>
        <w:outlineLvl w:val="1"/>
        <w:rPr>
          <w:rFonts w:ascii="Times New Roman" w:eastAsia="Times New Roman" w:hAnsi="Times New Roman" w:cs="Times New Roman"/>
          <w:sz w:val="24"/>
          <w:szCs w:val="24"/>
          <w:lang w:eastAsia="en-IN"/>
        </w:rPr>
      </w:pPr>
      <w:r w:rsidRPr="00C80B96">
        <w:rPr>
          <w:rFonts w:ascii="Times New Roman" w:eastAsia="Times New Roman" w:hAnsi="Times New Roman" w:cs="Times New Roman"/>
          <w:b/>
          <w:bCs/>
          <w:sz w:val="24"/>
          <w:szCs w:val="24"/>
          <w:lang w:eastAsia="en-IN"/>
        </w:rPr>
        <w:t>Introduction</w:t>
      </w:r>
    </w:p>
    <w:p w14:paraId="783201F9"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 xml:space="preserve">The introduction of artificial intelligence (AI) has dramatically altered the educational landscape, exposing major ramifications for teaching methods and institutional processes. The incorporation of AI technology into educational frameworks has improved the learning experience while also redefining the roles and duties of educators and administrators. Other types of remote learning, on the other hand, allow students to create their own learning schedules rather than sticking to a predetermined curriculum. Even if students are not actively involved in the learning process, distant learning programs allow them to choose their educational route (Brown, 2017). AI enables personalized education by designing adaptive </w:t>
      </w:r>
      <w:r w:rsidRPr="001F0A04">
        <w:rPr>
          <w:rFonts w:ascii="Times New Roman" w:hAnsi="Times New Roman" w:cs="Times New Roman"/>
          <w:sz w:val="24"/>
          <w:szCs w:val="24"/>
        </w:rPr>
        <w:lastRenderedPageBreak/>
        <w:t xml:space="preserve">learning systems that modify information to the specific needs of individual students. These systems use complex algorithms to measure a student's pace and proficiency, allowing for a more personalized learning path that increases engagement and retention. The majority of people who select online education have other commitments and prefer this method of learning since it allows them to determine how much time they devote to their numerous assignments (Ghoshal, 2020). As a result, students can progress at a pace that is appropriate for their cognitive ability, providing a more inclusive educational environment. </w:t>
      </w:r>
    </w:p>
    <w:p w14:paraId="3182ACC3"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 xml:space="preserve">Furthermore, the automation of administrative chores using AI technologies considerably reduces the bureaucratic burden that frequently impedes educators. By automating operations like grading, attendance tracking, and data management, AI allows teachers to spend more time to student engagement and instructional activities. This reallocation of time and resources encourages a more concentrated and effective teaching style, which improves student outcomes. In addition to these advantages, AI is critical in the analysis of student data, providing educators and administrators with actionable insights that guide academic initiatives and curriculum development. Using data analytics, institutions can uncover trends and patterns in student performance, allowing them to adopt targeted interventions that improve academic attainment. According to Muhammad Tahir, Farha Deeba Hassan, and </w:t>
      </w:r>
      <w:proofErr w:type="spellStart"/>
      <w:r w:rsidRPr="001F0A04">
        <w:rPr>
          <w:rFonts w:ascii="Times New Roman" w:hAnsi="Times New Roman" w:cs="Times New Roman"/>
          <w:sz w:val="24"/>
          <w:szCs w:val="24"/>
        </w:rPr>
        <w:t>Mudasir</w:t>
      </w:r>
      <w:proofErr w:type="spellEnd"/>
      <w:r w:rsidRPr="001F0A04">
        <w:rPr>
          <w:rFonts w:ascii="Times New Roman" w:hAnsi="Times New Roman" w:cs="Times New Roman"/>
          <w:sz w:val="24"/>
          <w:szCs w:val="24"/>
        </w:rPr>
        <w:t xml:space="preserve"> Rahim </w:t>
      </w:r>
      <w:proofErr w:type="spellStart"/>
      <w:r w:rsidRPr="001F0A04">
        <w:rPr>
          <w:rFonts w:ascii="Times New Roman" w:hAnsi="Times New Roman" w:cs="Times New Roman"/>
          <w:sz w:val="24"/>
          <w:szCs w:val="24"/>
        </w:rPr>
        <w:t>Shagoo</w:t>
      </w:r>
      <w:proofErr w:type="spellEnd"/>
      <w:r w:rsidRPr="001F0A04">
        <w:rPr>
          <w:rFonts w:ascii="Times New Roman" w:hAnsi="Times New Roman" w:cs="Times New Roman"/>
          <w:sz w:val="24"/>
          <w:szCs w:val="24"/>
        </w:rPr>
        <w:t xml:space="preserve"> (2024), the advantages of AI in education include increased flexibility in terms of time and space, as well as a shift in the tutor's function as a facilitator. This data-driven approach not only encourages ongoing improvement in teaching approaches, but it also promotes the development of curriculum that are sensitive to the changing demands of the student population. AI systems also offer automated grading, which gives tutors more time to organize and prepare lessons (Adlawan, 2024; Baidoo-Anu and Ansah, 2023). Assessment automation is transforming the teacher's function into that of a facilitator (Holmes and Tuomi, 2022).</w:t>
      </w:r>
    </w:p>
    <w:p w14:paraId="7D2A7FB1"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Students benefit from learning environments that are regimented, such as those found in schools and colleges. This setting promotes discipline and devotion, allowing students to focus on their studies while also fostering the development of creativity. Creating an effective learning environment is critical for instilling creativity and discipline among pupils. However, as students switch to online classrooms at home, the options to create such an atmosphere decrease considerably. A supportive environment, sometimes relying on the participation of family members, is essential for successful learning at home. This support might be difficult to obtain, especially in mixed family circumstances where various duties and distractions may exist.</w:t>
      </w:r>
    </w:p>
    <w:p w14:paraId="627194BF"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lastRenderedPageBreak/>
        <w:t>External disruptions, such as notifications from mobile devices or incoming calls, also reduce a student's ability to concentrate on their academics. In contrast, attending offline sessions allows students to have a more concentrated learning experience because the presence of a teacher reduces distractions and allows for deeper engagement with the subject matter. Thus, while online learning provides flexibility, it also introduces problems that can impede effective study habits. This emphasizes the significance of a well-structured educational environment in achieving optimal learning results.</w:t>
      </w:r>
    </w:p>
    <w:p w14:paraId="3A644F82"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However, there are some drawbacks of artificial intelligence for pupils that must be taken into account. Overreliance on AI technologies can result in decreased critical thinking and problem-solving abilities because students may rely too heavily on artificial aid. Furthermore, because AI systems prioritize data-driven learning paths, they may unintentionally introduce bias or limit innovation. The lack of human interaction and emotional support in AI-driven education impedes students' social and emotional development. These concerns emphasize the significance of balancing technology with conventional, human-centered teaching methods. AI presents a dilemma because less reliance on teachers means less emphasis on students' moral and personality development (Chiu Xia, Zhou, Chai, and Cheng, 2023).</w:t>
      </w:r>
    </w:p>
    <w:p w14:paraId="354B0C30" w14:textId="77777777" w:rsidR="007373FF" w:rsidRPr="001F0A04" w:rsidRDefault="007373FF" w:rsidP="00874B6E">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A major difficulty in using AI in education is dehumanizing the learning experience (</w:t>
      </w:r>
      <w:proofErr w:type="spellStart"/>
      <w:r w:rsidRPr="001F0A04">
        <w:rPr>
          <w:rFonts w:ascii="Times New Roman" w:hAnsi="Times New Roman" w:cs="Times New Roman"/>
          <w:sz w:val="24"/>
          <w:szCs w:val="24"/>
        </w:rPr>
        <w:t>Adlawan</w:t>
      </w:r>
      <w:proofErr w:type="spellEnd"/>
      <w:r w:rsidRPr="001F0A04">
        <w:rPr>
          <w:rFonts w:ascii="Times New Roman" w:hAnsi="Times New Roman" w:cs="Times New Roman"/>
          <w:sz w:val="24"/>
          <w:szCs w:val="24"/>
        </w:rPr>
        <w:t xml:space="preserve">, 2024; </w:t>
      </w:r>
      <w:proofErr w:type="spellStart"/>
      <w:r w:rsidRPr="001F0A04">
        <w:rPr>
          <w:rFonts w:ascii="Times New Roman" w:hAnsi="Times New Roman" w:cs="Times New Roman"/>
          <w:sz w:val="24"/>
          <w:szCs w:val="24"/>
        </w:rPr>
        <w:t>Kuleto</w:t>
      </w:r>
      <w:proofErr w:type="spellEnd"/>
      <w:r w:rsidRPr="001F0A04">
        <w:rPr>
          <w:rFonts w:ascii="Times New Roman" w:hAnsi="Times New Roman" w:cs="Times New Roman"/>
          <w:sz w:val="24"/>
          <w:szCs w:val="24"/>
        </w:rPr>
        <w:t xml:space="preserve"> et al., 2021; Luan, </w:t>
      </w:r>
      <w:proofErr w:type="spellStart"/>
      <w:r w:rsidRPr="001F0A04">
        <w:rPr>
          <w:rFonts w:ascii="Times New Roman" w:hAnsi="Times New Roman" w:cs="Times New Roman"/>
          <w:sz w:val="24"/>
          <w:szCs w:val="24"/>
        </w:rPr>
        <w:t>Geczy</w:t>
      </w:r>
      <w:proofErr w:type="spellEnd"/>
      <w:r w:rsidRPr="001F0A04">
        <w:rPr>
          <w:rFonts w:ascii="Times New Roman" w:hAnsi="Times New Roman" w:cs="Times New Roman"/>
          <w:sz w:val="24"/>
          <w:szCs w:val="24"/>
        </w:rPr>
        <w:t xml:space="preserve">, Lai, </w:t>
      </w:r>
      <w:proofErr w:type="spellStart"/>
      <w:r w:rsidRPr="001F0A04">
        <w:rPr>
          <w:rFonts w:ascii="Times New Roman" w:hAnsi="Times New Roman" w:cs="Times New Roman"/>
          <w:sz w:val="24"/>
          <w:szCs w:val="24"/>
        </w:rPr>
        <w:t>Gobert</w:t>
      </w:r>
      <w:proofErr w:type="spellEnd"/>
      <w:r w:rsidRPr="001F0A04">
        <w:rPr>
          <w:rFonts w:ascii="Times New Roman" w:hAnsi="Times New Roman" w:cs="Times New Roman"/>
          <w:sz w:val="24"/>
          <w:szCs w:val="24"/>
        </w:rPr>
        <w:t>, Yang, Ogata, and Tsai, 2020). A reduced reliance on teachers is a challenge since AI, despite its capabilities, cannot replace the need for human educators. We presented this argument since the teacher's function is critical not only for education but also for shaping students' careers. Another difficulty is pupils' failure to realize their full potential (</w:t>
      </w:r>
      <w:proofErr w:type="spellStart"/>
      <w:r w:rsidRPr="001F0A04">
        <w:rPr>
          <w:rFonts w:ascii="Times New Roman" w:hAnsi="Times New Roman" w:cs="Times New Roman"/>
          <w:sz w:val="24"/>
          <w:szCs w:val="24"/>
        </w:rPr>
        <w:t>Awofiranye</w:t>
      </w:r>
      <w:proofErr w:type="spellEnd"/>
      <w:r w:rsidRPr="001F0A04">
        <w:rPr>
          <w:rFonts w:ascii="Times New Roman" w:hAnsi="Times New Roman" w:cs="Times New Roman"/>
          <w:sz w:val="24"/>
          <w:szCs w:val="24"/>
        </w:rPr>
        <w:t xml:space="preserve">, 2024; </w:t>
      </w:r>
      <w:proofErr w:type="spellStart"/>
      <w:r w:rsidRPr="001F0A04">
        <w:rPr>
          <w:rFonts w:ascii="Times New Roman" w:hAnsi="Times New Roman" w:cs="Times New Roman"/>
          <w:sz w:val="24"/>
          <w:szCs w:val="24"/>
        </w:rPr>
        <w:t>Kuleto</w:t>
      </w:r>
      <w:proofErr w:type="spellEnd"/>
      <w:r w:rsidRPr="001F0A04">
        <w:rPr>
          <w:rFonts w:ascii="Times New Roman" w:hAnsi="Times New Roman" w:cs="Times New Roman"/>
          <w:sz w:val="24"/>
          <w:szCs w:val="24"/>
        </w:rPr>
        <w:t xml:space="preserve"> et al. 2021; Luan et al. 2020). This is because if students become overly reliant on AI-based education, it would limit their critical talents such as thinking, logic, and memory, which is a significant disadvantage. In other words, pupils will become overly reliant on machines, which will impede their learning and ability to maximize their capabilities.</w:t>
      </w:r>
    </w:p>
    <w:p w14:paraId="1B1F5EBD"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 xml:space="preserve">According to Brwon (2017), visiting a brick-and-mortar school allows students to meet and interact with people from other locations on a personal level. Distance learning simply gives students access to online classrooms and educational resources. The experience is not comparable to that of a conventional college campus, despite the fact that students can communicate via chat rooms, message boards, emails, and/or video conferencing software. The disputed study by (Hara &amp; Kling, 2000) also revealed that it can be difficult to understand the </w:t>
      </w:r>
      <w:r w:rsidRPr="001F0A04">
        <w:rPr>
          <w:rFonts w:ascii="Times New Roman" w:hAnsi="Times New Roman" w:cs="Times New Roman"/>
          <w:sz w:val="24"/>
          <w:szCs w:val="24"/>
        </w:rPr>
        <w:lastRenderedPageBreak/>
        <w:t>problems and anxiety that students face online. Working alone at night also presented a number of challenges and disadvantages.</w:t>
      </w:r>
    </w:p>
    <w:p w14:paraId="1D822F36" w14:textId="77777777" w:rsidR="00911430" w:rsidRPr="00325DAA" w:rsidRDefault="00325DAA" w:rsidP="00911430">
      <w:pPr>
        <w:spacing w:after="0" w:line="360" w:lineRule="auto"/>
        <w:jc w:val="both"/>
        <w:rPr>
          <w:rFonts w:ascii="Times New Roman" w:hAnsi="Times New Roman" w:cs="Times New Roman"/>
          <w:b/>
          <w:color w:val="000000" w:themeColor="text1"/>
          <w:sz w:val="24"/>
          <w:szCs w:val="24"/>
        </w:rPr>
      </w:pPr>
      <w:r w:rsidRPr="00325DAA">
        <w:rPr>
          <w:rFonts w:ascii="Times New Roman" w:hAnsi="Times New Roman" w:cs="Times New Roman"/>
          <w:b/>
          <w:color w:val="000000" w:themeColor="text1"/>
          <w:sz w:val="24"/>
          <w:szCs w:val="24"/>
        </w:rPr>
        <w:t>Significance of the Study</w:t>
      </w:r>
    </w:p>
    <w:p w14:paraId="2659E716" w14:textId="77777777" w:rsidR="007373FF" w:rsidRDefault="007373FF" w:rsidP="007373FF">
      <w:pPr>
        <w:spacing w:after="0" w:line="360" w:lineRule="auto"/>
        <w:ind w:firstLine="720"/>
        <w:jc w:val="both"/>
        <w:rPr>
          <w:sz w:val="24"/>
          <w:szCs w:val="24"/>
        </w:rPr>
      </w:pPr>
      <w:r w:rsidRPr="001F0A04">
        <w:rPr>
          <w:rFonts w:ascii="Times New Roman" w:hAnsi="Times New Roman" w:cs="Times New Roman"/>
          <w:sz w:val="24"/>
          <w:szCs w:val="24"/>
        </w:rPr>
        <w:t>The extensive and sophisticated development of artificial intelligence (AI) is expected to have a major impact on a variety of contexts, including the restructuring of social structures and the complex processes of education and administration inside academic institutions. As we go farther into the digital world, schools must adapt, not just by embracing technology improvements, but also by incorporating critical 21st-century skills into their basic curricula. This adaptation is vital since educational institutions are among the most important contexts that will be impacted by artificial intelligence's transformative potential. The incorporation of AI into educational frameworks has the potential to improve pedagogical practices, enable personalized learning experiences, and streamline administrative operations, reshaping the educational landscape in accordance with current societal needs and expectations.</w:t>
      </w:r>
    </w:p>
    <w:p w14:paraId="620300DF"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The purpose of education is to help pupils grow holistically. Ensuring that students get quality instruction assists Higher Educational Institutions (HEIs) in achieving long-term learning outcomes. The modern educational period is mostly focused on artificial intelligence (AI) and outcome-based education.</w:t>
      </w:r>
      <w:r>
        <w:rPr>
          <w:sz w:val="24"/>
          <w:szCs w:val="24"/>
        </w:rPr>
        <w:t xml:space="preserve"> </w:t>
      </w:r>
      <w:r w:rsidRPr="001F0A04">
        <w:rPr>
          <w:rFonts w:ascii="Times New Roman" w:hAnsi="Times New Roman" w:cs="Times New Roman"/>
          <w:sz w:val="24"/>
          <w:szCs w:val="24"/>
        </w:rPr>
        <w:t xml:space="preserve">Artificial intelligence is playing an increasingly important role in the education sector. In recent years, computer and machine-based instruction has influenced learning outcomes. AI-powered pedagogical design and teaching tools, in particular, help instructors and students achieve the desired educational goal. Intelligent tutoring systems, chatbots, and automated grading and evaluation can boost efficiency, save teachers time, and deliver more precise and consistent feedback. However, there are several drawbacks to adopting artificial intelligence in teaching. Some of the issues that must be addressed include privacy and security problems, a lack of trust, expense, and potential bias (Jarrah, Wardat, &amp; </w:t>
      </w:r>
      <w:proofErr w:type="spellStart"/>
      <w:r w:rsidRPr="001F0A04">
        <w:rPr>
          <w:rFonts w:ascii="Times New Roman" w:hAnsi="Times New Roman" w:cs="Times New Roman"/>
          <w:sz w:val="24"/>
          <w:szCs w:val="24"/>
        </w:rPr>
        <w:t>Gningue</w:t>
      </w:r>
      <w:proofErr w:type="spellEnd"/>
      <w:r w:rsidRPr="001F0A04">
        <w:rPr>
          <w:rFonts w:ascii="Times New Roman" w:hAnsi="Times New Roman" w:cs="Times New Roman"/>
          <w:sz w:val="24"/>
          <w:szCs w:val="24"/>
        </w:rPr>
        <w:t xml:space="preserve">, 2022; Harry, </w:t>
      </w:r>
      <w:proofErr w:type="spellStart"/>
      <w:r w:rsidRPr="001F0A04">
        <w:rPr>
          <w:rFonts w:ascii="Times New Roman" w:hAnsi="Times New Roman" w:cs="Times New Roman"/>
          <w:sz w:val="24"/>
          <w:szCs w:val="24"/>
        </w:rPr>
        <w:t>Alexandara</w:t>
      </w:r>
      <w:proofErr w:type="spellEnd"/>
      <w:r w:rsidRPr="001F0A04">
        <w:rPr>
          <w:rFonts w:ascii="Times New Roman" w:hAnsi="Times New Roman" w:cs="Times New Roman"/>
          <w:sz w:val="24"/>
          <w:szCs w:val="24"/>
        </w:rPr>
        <w:t xml:space="preserve">, 2023; Okoye Emmanuel Chinedu, Anike Samuel </w:t>
      </w:r>
      <w:proofErr w:type="spellStart"/>
      <w:r w:rsidRPr="001F0A04">
        <w:rPr>
          <w:rFonts w:ascii="Times New Roman" w:hAnsi="Times New Roman" w:cs="Times New Roman"/>
          <w:sz w:val="24"/>
          <w:szCs w:val="24"/>
        </w:rPr>
        <w:t>Obioma</w:t>
      </w:r>
      <w:proofErr w:type="spellEnd"/>
      <w:r w:rsidRPr="001F0A04">
        <w:rPr>
          <w:rFonts w:ascii="Times New Roman" w:hAnsi="Times New Roman" w:cs="Times New Roman"/>
          <w:sz w:val="24"/>
          <w:szCs w:val="24"/>
        </w:rPr>
        <w:t xml:space="preserve">, &amp; </w:t>
      </w:r>
      <w:proofErr w:type="spellStart"/>
      <w:r w:rsidRPr="001F0A04">
        <w:rPr>
          <w:rFonts w:ascii="Times New Roman" w:hAnsi="Times New Roman" w:cs="Times New Roman"/>
          <w:sz w:val="24"/>
          <w:szCs w:val="24"/>
        </w:rPr>
        <w:t>Umeokafor</w:t>
      </w:r>
      <w:proofErr w:type="spellEnd"/>
      <w:r w:rsidRPr="001F0A04">
        <w:rPr>
          <w:rFonts w:ascii="Times New Roman" w:hAnsi="Times New Roman" w:cs="Times New Roman"/>
          <w:sz w:val="24"/>
          <w:szCs w:val="24"/>
        </w:rPr>
        <w:t xml:space="preserve"> </w:t>
      </w:r>
      <w:proofErr w:type="spellStart"/>
      <w:r w:rsidRPr="001F0A04">
        <w:rPr>
          <w:rFonts w:ascii="Times New Roman" w:hAnsi="Times New Roman" w:cs="Times New Roman"/>
          <w:sz w:val="24"/>
          <w:szCs w:val="24"/>
        </w:rPr>
        <w:t>Chibuike</w:t>
      </w:r>
      <w:proofErr w:type="spellEnd"/>
      <w:r w:rsidRPr="001F0A04">
        <w:rPr>
          <w:rFonts w:ascii="Times New Roman" w:hAnsi="Times New Roman" w:cs="Times New Roman"/>
          <w:sz w:val="24"/>
          <w:szCs w:val="24"/>
        </w:rPr>
        <w:t xml:space="preserve"> Chris, 2024).  </w:t>
      </w:r>
    </w:p>
    <w:p w14:paraId="28454899" w14:textId="77777777" w:rsidR="0087417F" w:rsidRPr="009A2871" w:rsidRDefault="0075004F" w:rsidP="00911430">
      <w:pPr>
        <w:spacing w:after="0" w:line="360" w:lineRule="auto"/>
        <w:jc w:val="both"/>
        <w:rPr>
          <w:rFonts w:ascii="Times New Roman" w:hAnsi="Times New Roman" w:cs="Times New Roman"/>
          <w:b/>
          <w:color w:val="000000" w:themeColor="text1"/>
          <w:sz w:val="24"/>
          <w:szCs w:val="24"/>
        </w:rPr>
      </w:pPr>
      <w:r w:rsidRPr="009A2871">
        <w:rPr>
          <w:rFonts w:ascii="Times New Roman" w:hAnsi="Times New Roman" w:cs="Times New Roman"/>
          <w:b/>
          <w:color w:val="000000" w:themeColor="text1"/>
          <w:sz w:val="24"/>
          <w:szCs w:val="24"/>
        </w:rPr>
        <w:t>Objectives</w:t>
      </w:r>
    </w:p>
    <w:p w14:paraId="04FEEA68" w14:textId="77777777" w:rsidR="007373FF" w:rsidRPr="007373FF" w:rsidRDefault="007373FF" w:rsidP="007373FF">
      <w:pPr>
        <w:pStyle w:val="ListParagraph"/>
        <w:numPr>
          <w:ilvl w:val="0"/>
          <w:numId w:val="1"/>
        </w:numPr>
        <w:spacing w:line="360" w:lineRule="auto"/>
        <w:jc w:val="both"/>
        <w:rPr>
          <w:rFonts w:ascii="Times New Roman" w:hAnsi="Times New Roman" w:cs="Times New Roman"/>
          <w:sz w:val="24"/>
          <w:szCs w:val="24"/>
        </w:rPr>
      </w:pPr>
      <w:r w:rsidRPr="007373FF">
        <w:rPr>
          <w:rFonts w:ascii="Times New Roman" w:hAnsi="Times New Roman" w:cs="Times New Roman"/>
          <w:sz w:val="24"/>
          <w:szCs w:val="24"/>
        </w:rPr>
        <w:t>To investigate how school and college students perceive AI-based techno-pedagogical initiation in educational contexts.</w:t>
      </w:r>
    </w:p>
    <w:p w14:paraId="42733C92" w14:textId="77777777" w:rsidR="00325DAA" w:rsidRDefault="007373FF" w:rsidP="007373FF">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1F0A04">
        <w:rPr>
          <w:rFonts w:ascii="Times New Roman" w:hAnsi="Times New Roman" w:cs="Times New Roman"/>
          <w:sz w:val="24"/>
          <w:szCs w:val="24"/>
        </w:rPr>
        <w:t>To investigate school and college instructors' perceptions of AI-based techno-pedagogical initiation from an educational perspective.</w:t>
      </w:r>
    </w:p>
    <w:p w14:paraId="59E78DFF" w14:textId="77777777" w:rsidR="00DB7FBC" w:rsidRPr="00A27439" w:rsidRDefault="00DB7FBC" w:rsidP="00DB7FBC">
      <w:pPr>
        <w:spacing w:after="0" w:line="360" w:lineRule="auto"/>
        <w:jc w:val="both"/>
        <w:rPr>
          <w:rFonts w:ascii="Times New Roman" w:hAnsi="Times New Roman" w:cs="Times New Roman"/>
          <w:b/>
          <w:sz w:val="24"/>
          <w:szCs w:val="24"/>
        </w:rPr>
      </w:pPr>
      <w:r w:rsidRPr="00A27439">
        <w:rPr>
          <w:rFonts w:ascii="Times New Roman" w:hAnsi="Times New Roman" w:cs="Times New Roman"/>
          <w:b/>
          <w:sz w:val="24"/>
          <w:szCs w:val="24"/>
        </w:rPr>
        <w:t>Methodology</w:t>
      </w:r>
    </w:p>
    <w:p w14:paraId="233F4B20"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 xml:space="preserve">The study used a descriptive survey research approach to look into the current state of techno-pedagogical initiation in educational institutions. This design was chosen because it </w:t>
      </w:r>
      <w:r w:rsidRPr="001F0A04">
        <w:rPr>
          <w:rFonts w:ascii="Times New Roman" w:hAnsi="Times New Roman" w:cs="Times New Roman"/>
          <w:sz w:val="24"/>
          <w:szCs w:val="24"/>
        </w:rPr>
        <w:lastRenderedPageBreak/>
        <w:t xml:space="preserve">makes it easier to collect accurate information about current practices, views, and obstacles associated with the integration of digital technology and AI-based pedagogical tools. The population included both teachers and students from schools and higher education institutions. To ensure representation across educational levels, a purposeful stratified random sample procedure was used. The entire sample size was 277 people. This stratification enabled comparisons across educational levels and positions, resulting in balanced perspectives from both students and educators. </w:t>
      </w:r>
    </w:p>
    <w:p w14:paraId="4E31DC25" w14:textId="77777777" w:rsidR="007373FF" w:rsidRPr="001F0A04" w:rsidRDefault="007373FF" w:rsidP="007373F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Data were gathered using a self-created open-ended and closed-ended questionnaire titled "AI-Based Techno-Pedagogical Ignition in Educational Perspectives." The tool was divided into two sections: Demographic Information: Educational level, teaching experience, and institutional category (school or college). And Techno-Pedagogical Dimensions: Items evaluating digital tool uptake, engagement, training sufficiency, technical hurdles, and attitudes. Responses were collected using a 5-point Likert scale (1 = Strongly Disagree, 5 = Strongly Agree). Open-ended questions collected participants' perspectives on implementation issues and improvement solutions. Three educational technology and pedagogy experts reviewed the content to ensure its legitimacy. Minor adjustments were made to improve clarity and relevancy. The instrument's reliability was confirmed by a pilot study of 25 respondents, which yielded a Cronbach's Alpha coefficient of 0.86, showing strong internal consistency. Data were collected over a one-month period using both online and offline methods. Prior to participation, participants were informed about the study's purpose and provided informed consent. Confidentiality and anonymity were ensured. Responses were compiled using Google Forms and thoroughly checked for completeness. The acquired data was examined using descriptive and inferential statistical approaches.</w:t>
      </w:r>
    </w:p>
    <w:p w14:paraId="69D76941" w14:textId="77777777" w:rsidR="00A95E83" w:rsidRPr="00BA2119" w:rsidRDefault="00A95E83" w:rsidP="00A95E83">
      <w:pPr>
        <w:pStyle w:val="Heading2"/>
        <w:spacing w:before="0" w:line="360" w:lineRule="auto"/>
        <w:jc w:val="both"/>
        <w:rPr>
          <w:rFonts w:ascii="Times New Roman" w:hAnsi="Times New Roman" w:cs="Times New Roman"/>
          <w:color w:val="000000" w:themeColor="text1"/>
          <w:sz w:val="24"/>
          <w:szCs w:val="24"/>
        </w:rPr>
      </w:pPr>
      <w:r w:rsidRPr="00BA2119">
        <w:rPr>
          <w:rStyle w:val="Strong"/>
          <w:rFonts w:ascii="Times New Roman" w:hAnsi="Times New Roman" w:cs="Times New Roman"/>
          <w:b/>
          <w:bCs/>
          <w:color w:val="000000" w:themeColor="text1"/>
          <w:sz w:val="24"/>
          <w:szCs w:val="24"/>
        </w:rPr>
        <w:t>Statistical Analysis</w:t>
      </w:r>
    </w:p>
    <w:p w14:paraId="07EDDF73" w14:textId="77777777" w:rsidR="00A95E83" w:rsidRPr="00BA2119" w:rsidRDefault="00A95E83" w:rsidP="00A95E83">
      <w:pPr>
        <w:pStyle w:val="Heading3"/>
        <w:spacing w:before="0" w:line="360" w:lineRule="auto"/>
        <w:jc w:val="both"/>
        <w:rPr>
          <w:rFonts w:ascii="Times New Roman" w:hAnsi="Times New Roman" w:cs="Times New Roman"/>
          <w:color w:val="000000" w:themeColor="text1"/>
          <w:sz w:val="24"/>
          <w:szCs w:val="24"/>
        </w:rPr>
      </w:pPr>
      <w:r w:rsidRPr="00BA2119">
        <w:rPr>
          <w:rStyle w:val="Strong"/>
          <w:rFonts w:ascii="Times New Roman" w:hAnsi="Times New Roman" w:cs="Times New Roman"/>
          <w:b/>
          <w:bCs/>
          <w:color w:val="000000" w:themeColor="text1"/>
          <w:sz w:val="24"/>
          <w:szCs w:val="24"/>
        </w:rPr>
        <w:t>Descriptive Statistics</w:t>
      </w:r>
    </w:p>
    <w:p w14:paraId="4BA1E36B" w14:textId="77777777" w:rsidR="00A95E83" w:rsidRPr="00BA2119" w:rsidRDefault="0018558C" w:rsidP="00A95E83">
      <w:pPr>
        <w:pStyle w:val="NormalWeb"/>
        <w:spacing w:before="0" w:beforeAutospacing="0" w:after="0" w:afterAutospacing="0" w:line="360" w:lineRule="auto"/>
        <w:ind w:firstLine="720"/>
        <w:jc w:val="both"/>
        <w:rPr>
          <w:color w:val="000000" w:themeColor="text1"/>
        </w:rPr>
      </w:pPr>
      <w:r w:rsidRPr="001F0A04">
        <w:t>A descriptive analysis was used to establish the amount of techno-pedagogical adoption, student participation, and the primary problems cited by respondents. The mean and standard deviation values for each variable were determined using a five-point Likert scale. The percentages represent the proportion of respondents that agree or strongly agree with the positive responses.</w:t>
      </w:r>
    </w:p>
    <w:p w14:paraId="1C9E52E5" w14:textId="77777777" w:rsidR="00A95E83" w:rsidRPr="00BA2119" w:rsidRDefault="00A95E83" w:rsidP="00A95E83">
      <w:pPr>
        <w:pStyle w:val="Heading4"/>
        <w:spacing w:before="0" w:line="360" w:lineRule="auto"/>
        <w:jc w:val="center"/>
        <w:rPr>
          <w:rFonts w:ascii="Times New Roman" w:hAnsi="Times New Roman" w:cs="Times New Roman"/>
          <w:color w:val="000000" w:themeColor="text1"/>
          <w:sz w:val="24"/>
          <w:szCs w:val="24"/>
        </w:rPr>
      </w:pPr>
      <w:r w:rsidRPr="00BA2119">
        <w:rPr>
          <w:rStyle w:val="Strong"/>
          <w:rFonts w:ascii="Times New Roman" w:hAnsi="Times New Roman" w:cs="Times New Roman"/>
          <w:b/>
          <w:bCs/>
          <w:color w:val="000000" w:themeColor="text1"/>
          <w:sz w:val="24"/>
          <w:szCs w:val="24"/>
        </w:rPr>
        <w:t>Table 1: Descriptive Statistics on Techno-Pedagogical Initiation (N = 277)</w:t>
      </w:r>
    </w:p>
    <w:tbl>
      <w:tblPr>
        <w:tblStyle w:val="TableGrid"/>
        <w:tblW w:w="0" w:type="auto"/>
        <w:tblLook w:val="04A0" w:firstRow="1" w:lastRow="0" w:firstColumn="1" w:lastColumn="0" w:noHBand="0" w:noVBand="1"/>
      </w:tblPr>
      <w:tblGrid>
        <w:gridCol w:w="629"/>
        <w:gridCol w:w="3630"/>
        <w:gridCol w:w="1216"/>
        <w:gridCol w:w="576"/>
        <w:gridCol w:w="1527"/>
        <w:gridCol w:w="803"/>
        <w:gridCol w:w="636"/>
      </w:tblGrid>
      <w:tr w:rsidR="00A95E83" w:rsidRPr="00BA2119" w14:paraId="3B06E8C3" w14:textId="77777777" w:rsidTr="000A1077">
        <w:tc>
          <w:tcPr>
            <w:tcW w:w="0" w:type="auto"/>
            <w:vAlign w:val="center"/>
            <w:hideMark/>
          </w:tcPr>
          <w:p w14:paraId="00DED890"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S. No</w:t>
            </w:r>
          </w:p>
        </w:tc>
        <w:tc>
          <w:tcPr>
            <w:tcW w:w="0" w:type="auto"/>
            <w:vAlign w:val="center"/>
            <w:hideMark/>
          </w:tcPr>
          <w:p w14:paraId="0026B6BA"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Variables</w:t>
            </w:r>
          </w:p>
        </w:tc>
        <w:tc>
          <w:tcPr>
            <w:tcW w:w="0" w:type="auto"/>
            <w:vAlign w:val="center"/>
            <w:hideMark/>
          </w:tcPr>
          <w:p w14:paraId="683CA9B4"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Group</w:t>
            </w:r>
          </w:p>
        </w:tc>
        <w:tc>
          <w:tcPr>
            <w:tcW w:w="0" w:type="auto"/>
            <w:vAlign w:val="center"/>
            <w:hideMark/>
          </w:tcPr>
          <w:p w14:paraId="7A474334"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N</w:t>
            </w:r>
          </w:p>
        </w:tc>
        <w:tc>
          <w:tcPr>
            <w:tcW w:w="0" w:type="auto"/>
            <w:vAlign w:val="center"/>
            <w:hideMark/>
          </w:tcPr>
          <w:p w14:paraId="1AEA0A0B"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Frequency (%)</w:t>
            </w:r>
          </w:p>
        </w:tc>
        <w:tc>
          <w:tcPr>
            <w:tcW w:w="0" w:type="auto"/>
            <w:vAlign w:val="center"/>
            <w:hideMark/>
          </w:tcPr>
          <w:p w14:paraId="1F900E0E"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Mean</w:t>
            </w:r>
          </w:p>
        </w:tc>
        <w:tc>
          <w:tcPr>
            <w:tcW w:w="0" w:type="auto"/>
            <w:vAlign w:val="center"/>
            <w:hideMark/>
          </w:tcPr>
          <w:p w14:paraId="7478028E"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SD</w:t>
            </w:r>
          </w:p>
        </w:tc>
      </w:tr>
      <w:tr w:rsidR="00A95E83" w:rsidRPr="00BA2119" w14:paraId="0E0B30EA" w14:textId="77777777" w:rsidTr="000A1077">
        <w:tc>
          <w:tcPr>
            <w:tcW w:w="0" w:type="auto"/>
            <w:vAlign w:val="center"/>
            <w:hideMark/>
          </w:tcPr>
          <w:p w14:paraId="131C5F54"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lastRenderedPageBreak/>
              <w:t>1</w:t>
            </w:r>
          </w:p>
        </w:tc>
        <w:tc>
          <w:tcPr>
            <w:tcW w:w="0" w:type="auto"/>
            <w:vAlign w:val="center"/>
            <w:hideMark/>
          </w:tcPr>
          <w:p w14:paraId="4281CEDD"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Adoption of techno-pedagogical tools (LMS, multimedia, AI)</w:t>
            </w:r>
          </w:p>
        </w:tc>
        <w:tc>
          <w:tcPr>
            <w:tcW w:w="0" w:type="auto"/>
            <w:vAlign w:val="center"/>
            <w:hideMark/>
          </w:tcPr>
          <w:p w14:paraId="08E9DAB7"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Teachers</w:t>
            </w:r>
          </w:p>
        </w:tc>
        <w:tc>
          <w:tcPr>
            <w:tcW w:w="0" w:type="auto"/>
            <w:vAlign w:val="center"/>
            <w:hideMark/>
          </w:tcPr>
          <w:p w14:paraId="0E785D93"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77</w:t>
            </w:r>
          </w:p>
        </w:tc>
        <w:tc>
          <w:tcPr>
            <w:tcW w:w="0" w:type="auto"/>
            <w:vAlign w:val="center"/>
            <w:hideMark/>
          </w:tcPr>
          <w:p w14:paraId="3AAA81A2"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78 %</w:t>
            </w:r>
          </w:p>
        </w:tc>
        <w:tc>
          <w:tcPr>
            <w:tcW w:w="0" w:type="auto"/>
            <w:vAlign w:val="center"/>
            <w:hideMark/>
          </w:tcPr>
          <w:p w14:paraId="3A3BE44A"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3.92</w:t>
            </w:r>
          </w:p>
        </w:tc>
        <w:tc>
          <w:tcPr>
            <w:tcW w:w="0" w:type="auto"/>
            <w:vAlign w:val="center"/>
            <w:hideMark/>
          </w:tcPr>
          <w:p w14:paraId="26B1CCD1"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0.65</w:t>
            </w:r>
          </w:p>
        </w:tc>
      </w:tr>
      <w:tr w:rsidR="00A95E83" w:rsidRPr="00BA2119" w14:paraId="5E6FC81D" w14:textId="77777777" w:rsidTr="000A1077">
        <w:tc>
          <w:tcPr>
            <w:tcW w:w="0" w:type="auto"/>
            <w:vAlign w:val="center"/>
            <w:hideMark/>
          </w:tcPr>
          <w:p w14:paraId="5E604351"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w:t>
            </w:r>
          </w:p>
        </w:tc>
        <w:tc>
          <w:tcPr>
            <w:tcW w:w="0" w:type="auto"/>
            <w:vAlign w:val="center"/>
            <w:hideMark/>
          </w:tcPr>
          <w:p w14:paraId="2E03711D"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Enhanced student engagement through digital learning</w:t>
            </w:r>
          </w:p>
        </w:tc>
        <w:tc>
          <w:tcPr>
            <w:tcW w:w="0" w:type="auto"/>
            <w:vAlign w:val="center"/>
            <w:hideMark/>
          </w:tcPr>
          <w:p w14:paraId="55173495"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Students</w:t>
            </w:r>
          </w:p>
        </w:tc>
        <w:tc>
          <w:tcPr>
            <w:tcW w:w="0" w:type="auto"/>
            <w:vAlign w:val="center"/>
            <w:hideMark/>
          </w:tcPr>
          <w:p w14:paraId="76492A2B"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200</w:t>
            </w:r>
          </w:p>
        </w:tc>
        <w:tc>
          <w:tcPr>
            <w:tcW w:w="0" w:type="auto"/>
            <w:vAlign w:val="center"/>
            <w:hideMark/>
          </w:tcPr>
          <w:p w14:paraId="6FE39EFE"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65 %</w:t>
            </w:r>
          </w:p>
        </w:tc>
        <w:tc>
          <w:tcPr>
            <w:tcW w:w="0" w:type="auto"/>
            <w:vAlign w:val="center"/>
            <w:hideMark/>
          </w:tcPr>
          <w:p w14:paraId="0A575B5B"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3.74</w:t>
            </w:r>
          </w:p>
        </w:tc>
        <w:tc>
          <w:tcPr>
            <w:tcW w:w="0" w:type="auto"/>
            <w:vAlign w:val="center"/>
            <w:hideMark/>
          </w:tcPr>
          <w:p w14:paraId="545866E2"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0.71</w:t>
            </w:r>
          </w:p>
        </w:tc>
      </w:tr>
      <w:tr w:rsidR="00A95E83" w:rsidRPr="00BA2119" w14:paraId="59C958BC" w14:textId="77777777" w:rsidTr="000A1077">
        <w:tc>
          <w:tcPr>
            <w:tcW w:w="0" w:type="auto"/>
            <w:vAlign w:val="center"/>
            <w:hideMark/>
          </w:tcPr>
          <w:p w14:paraId="015CDC7A"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w:t>
            </w:r>
          </w:p>
        </w:tc>
        <w:tc>
          <w:tcPr>
            <w:tcW w:w="0" w:type="auto"/>
            <w:vAlign w:val="center"/>
            <w:hideMark/>
          </w:tcPr>
          <w:p w14:paraId="6282E2ED"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Faculty reporting inadequate training for digital teaching</w:t>
            </w:r>
          </w:p>
        </w:tc>
        <w:tc>
          <w:tcPr>
            <w:tcW w:w="0" w:type="auto"/>
            <w:vAlign w:val="center"/>
            <w:hideMark/>
          </w:tcPr>
          <w:p w14:paraId="52487730"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Teachers</w:t>
            </w:r>
          </w:p>
        </w:tc>
        <w:tc>
          <w:tcPr>
            <w:tcW w:w="0" w:type="auto"/>
            <w:vAlign w:val="center"/>
            <w:hideMark/>
          </w:tcPr>
          <w:p w14:paraId="4111509E"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77</w:t>
            </w:r>
          </w:p>
        </w:tc>
        <w:tc>
          <w:tcPr>
            <w:tcW w:w="0" w:type="auto"/>
            <w:vAlign w:val="center"/>
            <w:hideMark/>
          </w:tcPr>
          <w:p w14:paraId="504E919E"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42 %</w:t>
            </w:r>
          </w:p>
        </w:tc>
        <w:tc>
          <w:tcPr>
            <w:tcW w:w="0" w:type="auto"/>
            <w:vAlign w:val="center"/>
            <w:hideMark/>
          </w:tcPr>
          <w:p w14:paraId="71353A87"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2.83</w:t>
            </w:r>
          </w:p>
        </w:tc>
        <w:tc>
          <w:tcPr>
            <w:tcW w:w="0" w:type="auto"/>
            <w:vAlign w:val="center"/>
            <w:hideMark/>
          </w:tcPr>
          <w:p w14:paraId="22134EF9"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0.88</w:t>
            </w:r>
          </w:p>
        </w:tc>
      </w:tr>
      <w:tr w:rsidR="00A95E83" w:rsidRPr="00BA2119" w14:paraId="78D69EF7" w14:textId="77777777" w:rsidTr="000A1077">
        <w:tc>
          <w:tcPr>
            <w:tcW w:w="0" w:type="auto"/>
            <w:vAlign w:val="center"/>
            <w:hideMark/>
          </w:tcPr>
          <w:p w14:paraId="1C5DF991"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w:t>
            </w:r>
          </w:p>
        </w:tc>
        <w:tc>
          <w:tcPr>
            <w:tcW w:w="0" w:type="auto"/>
            <w:vAlign w:val="center"/>
            <w:hideMark/>
          </w:tcPr>
          <w:p w14:paraId="5C3BFE46"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Students facing technical difficulties during e-learning</w:t>
            </w:r>
          </w:p>
        </w:tc>
        <w:tc>
          <w:tcPr>
            <w:tcW w:w="0" w:type="auto"/>
            <w:vAlign w:val="center"/>
            <w:hideMark/>
          </w:tcPr>
          <w:p w14:paraId="0496B207"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Students</w:t>
            </w:r>
          </w:p>
        </w:tc>
        <w:tc>
          <w:tcPr>
            <w:tcW w:w="0" w:type="auto"/>
            <w:vAlign w:val="center"/>
            <w:hideMark/>
          </w:tcPr>
          <w:p w14:paraId="24386DEB"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200</w:t>
            </w:r>
          </w:p>
        </w:tc>
        <w:tc>
          <w:tcPr>
            <w:tcW w:w="0" w:type="auto"/>
            <w:vAlign w:val="center"/>
            <w:hideMark/>
          </w:tcPr>
          <w:p w14:paraId="23DD8CC4"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38 %</w:t>
            </w:r>
          </w:p>
        </w:tc>
        <w:tc>
          <w:tcPr>
            <w:tcW w:w="0" w:type="auto"/>
            <w:vAlign w:val="center"/>
            <w:hideMark/>
          </w:tcPr>
          <w:p w14:paraId="056DFE1E"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2.91</w:t>
            </w:r>
          </w:p>
        </w:tc>
        <w:tc>
          <w:tcPr>
            <w:tcW w:w="0" w:type="auto"/>
            <w:vAlign w:val="center"/>
            <w:hideMark/>
          </w:tcPr>
          <w:p w14:paraId="67BA803D"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0.92</w:t>
            </w:r>
          </w:p>
        </w:tc>
      </w:tr>
      <w:tr w:rsidR="00A95E83" w:rsidRPr="00BA2119" w14:paraId="0B1479C8" w14:textId="77777777" w:rsidTr="000A1077">
        <w:tc>
          <w:tcPr>
            <w:tcW w:w="0" w:type="auto"/>
            <w:vAlign w:val="center"/>
            <w:hideMark/>
          </w:tcPr>
          <w:p w14:paraId="5C9D5EC4"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5</w:t>
            </w:r>
          </w:p>
        </w:tc>
        <w:tc>
          <w:tcPr>
            <w:tcW w:w="0" w:type="auto"/>
            <w:vAlign w:val="center"/>
            <w:hideMark/>
          </w:tcPr>
          <w:p w14:paraId="1C497AEB"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Faculty resistance to techno-pedagogical change</w:t>
            </w:r>
          </w:p>
        </w:tc>
        <w:tc>
          <w:tcPr>
            <w:tcW w:w="0" w:type="auto"/>
            <w:vAlign w:val="center"/>
            <w:hideMark/>
          </w:tcPr>
          <w:p w14:paraId="49FD4A8F"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Teachers</w:t>
            </w:r>
          </w:p>
        </w:tc>
        <w:tc>
          <w:tcPr>
            <w:tcW w:w="0" w:type="auto"/>
            <w:vAlign w:val="center"/>
            <w:hideMark/>
          </w:tcPr>
          <w:p w14:paraId="15222AD7"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77</w:t>
            </w:r>
          </w:p>
        </w:tc>
        <w:tc>
          <w:tcPr>
            <w:tcW w:w="0" w:type="auto"/>
            <w:vAlign w:val="center"/>
            <w:hideMark/>
          </w:tcPr>
          <w:p w14:paraId="5AD23A3E"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25 %</w:t>
            </w:r>
          </w:p>
        </w:tc>
        <w:tc>
          <w:tcPr>
            <w:tcW w:w="0" w:type="auto"/>
            <w:vAlign w:val="center"/>
            <w:hideMark/>
          </w:tcPr>
          <w:p w14:paraId="4E1148F2"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2.54</w:t>
            </w:r>
          </w:p>
        </w:tc>
        <w:tc>
          <w:tcPr>
            <w:tcW w:w="0" w:type="auto"/>
            <w:vAlign w:val="center"/>
            <w:hideMark/>
          </w:tcPr>
          <w:p w14:paraId="08283F63"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0.81</w:t>
            </w:r>
          </w:p>
        </w:tc>
      </w:tr>
      <w:tr w:rsidR="00A95E83" w:rsidRPr="00BA2119" w14:paraId="778F67B4" w14:textId="77777777" w:rsidTr="000A1077">
        <w:tc>
          <w:tcPr>
            <w:tcW w:w="0" w:type="auto"/>
            <w:vAlign w:val="center"/>
            <w:hideMark/>
          </w:tcPr>
          <w:p w14:paraId="2B90A5B4"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6</w:t>
            </w:r>
          </w:p>
        </w:tc>
        <w:tc>
          <w:tcPr>
            <w:tcW w:w="0" w:type="auto"/>
            <w:vAlign w:val="center"/>
            <w:hideMark/>
          </w:tcPr>
          <w:p w14:paraId="6731BF22"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Overall techno-pedagogical readiness (composite index)</w:t>
            </w:r>
          </w:p>
        </w:tc>
        <w:tc>
          <w:tcPr>
            <w:tcW w:w="0" w:type="auto"/>
            <w:vAlign w:val="center"/>
            <w:hideMark/>
          </w:tcPr>
          <w:p w14:paraId="7A7E65E5"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Combined</w:t>
            </w:r>
          </w:p>
        </w:tc>
        <w:tc>
          <w:tcPr>
            <w:tcW w:w="0" w:type="auto"/>
            <w:vAlign w:val="center"/>
            <w:hideMark/>
          </w:tcPr>
          <w:p w14:paraId="5E180DA2"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277</w:t>
            </w:r>
          </w:p>
        </w:tc>
        <w:tc>
          <w:tcPr>
            <w:tcW w:w="0" w:type="auto"/>
            <w:vAlign w:val="center"/>
            <w:hideMark/>
          </w:tcPr>
          <w:p w14:paraId="5BCFDB0A"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w:t>
            </w:r>
          </w:p>
        </w:tc>
        <w:tc>
          <w:tcPr>
            <w:tcW w:w="0" w:type="auto"/>
            <w:vAlign w:val="center"/>
            <w:hideMark/>
          </w:tcPr>
          <w:p w14:paraId="5012EAA5"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3.59</w:t>
            </w:r>
          </w:p>
        </w:tc>
        <w:tc>
          <w:tcPr>
            <w:tcW w:w="0" w:type="auto"/>
            <w:vAlign w:val="center"/>
            <w:hideMark/>
          </w:tcPr>
          <w:p w14:paraId="00C097E2" w14:textId="77777777" w:rsidR="00A95E83" w:rsidRPr="00BA2119" w:rsidRDefault="00A95E83" w:rsidP="000A1077">
            <w:pPr>
              <w:jc w:val="cente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0.74</w:t>
            </w:r>
          </w:p>
        </w:tc>
      </w:tr>
    </w:tbl>
    <w:p w14:paraId="538A63D8" w14:textId="77777777" w:rsidR="00A95E83" w:rsidRDefault="0018558C" w:rsidP="00A95E83">
      <w:pPr>
        <w:pStyle w:val="NormalWeb"/>
        <w:spacing w:before="240" w:beforeAutospacing="0" w:after="0" w:afterAutospacing="0" w:line="360" w:lineRule="auto"/>
        <w:ind w:firstLine="720"/>
        <w:jc w:val="both"/>
        <w:rPr>
          <w:color w:val="000000" w:themeColor="text1"/>
        </w:rPr>
      </w:pPr>
      <w:r w:rsidRPr="001F0A04">
        <w:t>The mean values show a generally positive attitude toward techno-pedagogical adoption (M = 3.92) and student participation (M = 3.74). The moderate mean scores for training inadequacies (M = 2.83) and technical difficulties (M = 2.91) suggest ongoing operational challenges. The overall readiness score (M = 3.59) indicates moderate-to-high digital integration in the assessed institutions.</w:t>
      </w:r>
    </w:p>
    <w:p w14:paraId="7F2539CB" w14:textId="77777777" w:rsidR="00A95E83" w:rsidRPr="00BA2119" w:rsidRDefault="00A95E83" w:rsidP="00A95E83">
      <w:pPr>
        <w:pStyle w:val="Heading2"/>
        <w:spacing w:before="0" w:line="360" w:lineRule="auto"/>
        <w:jc w:val="center"/>
        <w:rPr>
          <w:rFonts w:ascii="Times New Roman" w:hAnsi="Times New Roman" w:cs="Times New Roman"/>
          <w:i/>
          <w:color w:val="000000" w:themeColor="text1"/>
          <w:sz w:val="24"/>
          <w:szCs w:val="24"/>
        </w:rPr>
      </w:pPr>
      <w:r w:rsidRPr="00BA2119">
        <w:rPr>
          <w:rStyle w:val="Strong"/>
          <w:rFonts w:ascii="Times New Roman" w:hAnsi="Times New Roman" w:cs="Times New Roman"/>
          <w:b/>
          <w:bCs/>
          <w:i/>
          <w:color w:val="000000" w:themeColor="text1"/>
          <w:sz w:val="24"/>
          <w:szCs w:val="24"/>
        </w:rPr>
        <w:t xml:space="preserve">Table </w:t>
      </w:r>
      <w:r>
        <w:rPr>
          <w:rStyle w:val="Strong"/>
          <w:rFonts w:ascii="Times New Roman" w:hAnsi="Times New Roman" w:cs="Times New Roman"/>
          <w:b/>
          <w:bCs/>
          <w:i/>
          <w:color w:val="000000" w:themeColor="text1"/>
          <w:sz w:val="24"/>
          <w:szCs w:val="24"/>
        </w:rPr>
        <w:t>2</w:t>
      </w:r>
      <w:r w:rsidRPr="00BA2119">
        <w:rPr>
          <w:rStyle w:val="Strong"/>
          <w:rFonts w:ascii="Times New Roman" w:hAnsi="Times New Roman" w:cs="Times New Roman"/>
          <w:b/>
          <w:bCs/>
          <w:i/>
          <w:color w:val="000000" w:themeColor="text1"/>
          <w:sz w:val="24"/>
          <w:szCs w:val="24"/>
        </w:rPr>
        <w:t xml:space="preserve">: </w:t>
      </w:r>
      <w:r w:rsidRPr="00BA2119">
        <w:rPr>
          <w:rFonts w:ascii="Times New Roman" w:hAnsi="Times New Roman" w:cs="Times New Roman"/>
          <w:i/>
          <w:color w:val="000000" w:themeColor="text1"/>
          <w:sz w:val="24"/>
          <w:szCs w:val="24"/>
        </w:rPr>
        <w:t>Descriptive Statistics by Demographic Group</w:t>
      </w:r>
    </w:p>
    <w:tbl>
      <w:tblPr>
        <w:tblStyle w:val="TableGrid"/>
        <w:tblW w:w="0" w:type="auto"/>
        <w:jc w:val="center"/>
        <w:tblLook w:val="04A0" w:firstRow="1" w:lastRow="0" w:firstColumn="1" w:lastColumn="0" w:noHBand="0" w:noVBand="1"/>
      </w:tblPr>
      <w:tblGrid>
        <w:gridCol w:w="1440"/>
        <w:gridCol w:w="1440"/>
        <w:gridCol w:w="1440"/>
        <w:gridCol w:w="1440"/>
        <w:gridCol w:w="1440"/>
        <w:gridCol w:w="1440"/>
      </w:tblGrid>
      <w:tr w:rsidR="00A95E83" w:rsidRPr="0045082F" w14:paraId="2D7586EF" w14:textId="77777777" w:rsidTr="000A1077">
        <w:trPr>
          <w:trHeight w:val="283"/>
          <w:jc w:val="center"/>
        </w:trPr>
        <w:tc>
          <w:tcPr>
            <w:tcW w:w="1440" w:type="dxa"/>
            <w:vAlign w:val="center"/>
          </w:tcPr>
          <w:p w14:paraId="52272944"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Group</w:t>
            </w:r>
          </w:p>
        </w:tc>
        <w:tc>
          <w:tcPr>
            <w:tcW w:w="1440" w:type="dxa"/>
            <w:vAlign w:val="center"/>
          </w:tcPr>
          <w:p w14:paraId="4366EDBE"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Variable</w:t>
            </w:r>
          </w:p>
        </w:tc>
        <w:tc>
          <w:tcPr>
            <w:tcW w:w="1440" w:type="dxa"/>
            <w:vAlign w:val="center"/>
          </w:tcPr>
          <w:p w14:paraId="5EBB7C45"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N</w:t>
            </w:r>
          </w:p>
        </w:tc>
        <w:tc>
          <w:tcPr>
            <w:tcW w:w="1440" w:type="dxa"/>
            <w:vAlign w:val="center"/>
          </w:tcPr>
          <w:p w14:paraId="599B52A2"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Adoption (%)</w:t>
            </w:r>
          </w:p>
        </w:tc>
        <w:tc>
          <w:tcPr>
            <w:tcW w:w="1440" w:type="dxa"/>
            <w:vAlign w:val="center"/>
          </w:tcPr>
          <w:p w14:paraId="36BDFC73"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Mean</w:t>
            </w:r>
          </w:p>
        </w:tc>
        <w:tc>
          <w:tcPr>
            <w:tcW w:w="1440" w:type="dxa"/>
            <w:vAlign w:val="center"/>
          </w:tcPr>
          <w:p w14:paraId="318A9B53"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SD</w:t>
            </w:r>
          </w:p>
        </w:tc>
      </w:tr>
      <w:tr w:rsidR="00A95E83" w:rsidRPr="0045082F" w14:paraId="3E97258E" w14:textId="77777777" w:rsidTr="000A1077">
        <w:trPr>
          <w:trHeight w:val="283"/>
          <w:jc w:val="center"/>
        </w:trPr>
        <w:tc>
          <w:tcPr>
            <w:tcW w:w="1440" w:type="dxa"/>
            <w:vAlign w:val="center"/>
          </w:tcPr>
          <w:p w14:paraId="10C6591E"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12th Std. Students</w:t>
            </w:r>
          </w:p>
        </w:tc>
        <w:tc>
          <w:tcPr>
            <w:tcW w:w="1440" w:type="dxa"/>
            <w:vAlign w:val="center"/>
          </w:tcPr>
          <w:p w14:paraId="245582A8"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Engagement with digital tools</w:t>
            </w:r>
          </w:p>
        </w:tc>
        <w:tc>
          <w:tcPr>
            <w:tcW w:w="1440" w:type="dxa"/>
            <w:vAlign w:val="center"/>
          </w:tcPr>
          <w:p w14:paraId="7F8227B1"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100</w:t>
            </w:r>
          </w:p>
        </w:tc>
        <w:tc>
          <w:tcPr>
            <w:tcW w:w="1440" w:type="dxa"/>
            <w:vAlign w:val="center"/>
          </w:tcPr>
          <w:p w14:paraId="3F39A823"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58%</w:t>
            </w:r>
          </w:p>
        </w:tc>
        <w:tc>
          <w:tcPr>
            <w:tcW w:w="1440" w:type="dxa"/>
            <w:vAlign w:val="center"/>
          </w:tcPr>
          <w:p w14:paraId="21F423DA"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3.61</w:t>
            </w:r>
          </w:p>
        </w:tc>
        <w:tc>
          <w:tcPr>
            <w:tcW w:w="1440" w:type="dxa"/>
            <w:vAlign w:val="center"/>
          </w:tcPr>
          <w:p w14:paraId="2E103392"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0.74</w:t>
            </w:r>
          </w:p>
        </w:tc>
      </w:tr>
      <w:tr w:rsidR="00A95E83" w:rsidRPr="0045082F" w14:paraId="4E07AEEE" w14:textId="77777777" w:rsidTr="000A1077">
        <w:trPr>
          <w:trHeight w:val="283"/>
          <w:jc w:val="center"/>
        </w:trPr>
        <w:tc>
          <w:tcPr>
            <w:tcW w:w="1440" w:type="dxa"/>
            <w:vAlign w:val="center"/>
          </w:tcPr>
          <w:p w14:paraId="4788974C"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PG Students</w:t>
            </w:r>
          </w:p>
        </w:tc>
        <w:tc>
          <w:tcPr>
            <w:tcW w:w="1440" w:type="dxa"/>
            <w:vAlign w:val="center"/>
          </w:tcPr>
          <w:p w14:paraId="5E2108DD"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Engagement with digital tools</w:t>
            </w:r>
          </w:p>
        </w:tc>
        <w:tc>
          <w:tcPr>
            <w:tcW w:w="1440" w:type="dxa"/>
            <w:vAlign w:val="center"/>
          </w:tcPr>
          <w:p w14:paraId="345DE05A"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100</w:t>
            </w:r>
          </w:p>
        </w:tc>
        <w:tc>
          <w:tcPr>
            <w:tcW w:w="1440" w:type="dxa"/>
            <w:vAlign w:val="center"/>
          </w:tcPr>
          <w:p w14:paraId="10749CE9"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72%</w:t>
            </w:r>
          </w:p>
        </w:tc>
        <w:tc>
          <w:tcPr>
            <w:tcW w:w="1440" w:type="dxa"/>
            <w:vAlign w:val="center"/>
          </w:tcPr>
          <w:p w14:paraId="64B463AB"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3.86</w:t>
            </w:r>
          </w:p>
        </w:tc>
        <w:tc>
          <w:tcPr>
            <w:tcW w:w="1440" w:type="dxa"/>
            <w:vAlign w:val="center"/>
          </w:tcPr>
          <w:p w14:paraId="77608CD5"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0.68</w:t>
            </w:r>
          </w:p>
        </w:tc>
      </w:tr>
      <w:tr w:rsidR="00A95E83" w:rsidRPr="0045082F" w14:paraId="50FB1C70" w14:textId="77777777" w:rsidTr="000A1077">
        <w:trPr>
          <w:trHeight w:val="283"/>
          <w:jc w:val="center"/>
        </w:trPr>
        <w:tc>
          <w:tcPr>
            <w:tcW w:w="1440" w:type="dxa"/>
            <w:vAlign w:val="center"/>
          </w:tcPr>
          <w:p w14:paraId="17CEBB80"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School Teachers</w:t>
            </w:r>
          </w:p>
        </w:tc>
        <w:tc>
          <w:tcPr>
            <w:tcW w:w="1440" w:type="dxa"/>
            <w:vAlign w:val="center"/>
          </w:tcPr>
          <w:p w14:paraId="70FBEB93"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Use of techno-pedagogical tools</w:t>
            </w:r>
          </w:p>
        </w:tc>
        <w:tc>
          <w:tcPr>
            <w:tcW w:w="1440" w:type="dxa"/>
            <w:vAlign w:val="center"/>
          </w:tcPr>
          <w:p w14:paraId="0B894A96"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40</w:t>
            </w:r>
          </w:p>
        </w:tc>
        <w:tc>
          <w:tcPr>
            <w:tcW w:w="1440" w:type="dxa"/>
            <w:vAlign w:val="center"/>
          </w:tcPr>
          <w:p w14:paraId="2CFF0A6D"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70%</w:t>
            </w:r>
          </w:p>
        </w:tc>
        <w:tc>
          <w:tcPr>
            <w:tcW w:w="1440" w:type="dxa"/>
            <w:vAlign w:val="center"/>
          </w:tcPr>
          <w:p w14:paraId="4F3FB856"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3.78</w:t>
            </w:r>
          </w:p>
        </w:tc>
        <w:tc>
          <w:tcPr>
            <w:tcW w:w="1440" w:type="dxa"/>
            <w:vAlign w:val="center"/>
          </w:tcPr>
          <w:p w14:paraId="5A8F92AF"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0.72</w:t>
            </w:r>
          </w:p>
        </w:tc>
      </w:tr>
      <w:tr w:rsidR="00A95E83" w:rsidRPr="0045082F" w14:paraId="5BD18519" w14:textId="77777777" w:rsidTr="000A1077">
        <w:trPr>
          <w:trHeight w:val="283"/>
          <w:jc w:val="center"/>
        </w:trPr>
        <w:tc>
          <w:tcPr>
            <w:tcW w:w="1440" w:type="dxa"/>
            <w:vAlign w:val="center"/>
          </w:tcPr>
          <w:p w14:paraId="4C7EDEDC"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College Lecturers</w:t>
            </w:r>
          </w:p>
        </w:tc>
        <w:tc>
          <w:tcPr>
            <w:tcW w:w="1440" w:type="dxa"/>
            <w:vAlign w:val="center"/>
          </w:tcPr>
          <w:p w14:paraId="3A388686"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Use of techno-pedagogical tools</w:t>
            </w:r>
          </w:p>
        </w:tc>
        <w:tc>
          <w:tcPr>
            <w:tcW w:w="1440" w:type="dxa"/>
            <w:vAlign w:val="center"/>
          </w:tcPr>
          <w:p w14:paraId="258D8C09"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37</w:t>
            </w:r>
          </w:p>
        </w:tc>
        <w:tc>
          <w:tcPr>
            <w:tcW w:w="1440" w:type="dxa"/>
            <w:vAlign w:val="center"/>
          </w:tcPr>
          <w:p w14:paraId="42420871"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86%</w:t>
            </w:r>
          </w:p>
        </w:tc>
        <w:tc>
          <w:tcPr>
            <w:tcW w:w="1440" w:type="dxa"/>
            <w:vAlign w:val="center"/>
          </w:tcPr>
          <w:p w14:paraId="7A4AA25A"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4.06</w:t>
            </w:r>
          </w:p>
        </w:tc>
        <w:tc>
          <w:tcPr>
            <w:tcW w:w="1440" w:type="dxa"/>
            <w:vAlign w:val="center"/>
          </w:tcPr>
          <w:p w14:paraId="1C434597"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0.58</w:t>
            </w:r>
          </w:p>
        </w:tc>
      </w:tr>
      <w:tr w:rsidR="00A95E83" w:rsidRPr="0045082F" w14:paraId="19D91FC8" w14:textId="77777777" w:rsidTr="000A1077">
        <w:trPr>
          <w:trHeight w:val="283"/>
          <w:jc w:val="center"/>
        </w:trPr>
        <w:tc>
          <w:tcPr>
            <w:tcW w:w="1440" w:type="dxa"/>
            <w:vAlign w:val="center"/>
          </w:tcPr>
          <w:p w14:paraId="0FEC08B8"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School Teachers</w:t>
            </w:r>
          </w:p>
        </w:tc>
        <w:tc>
          <w:tcPr>
            <w:tcW w:w="1440" w:type="dxa"/>
            <w:vAlign w:val="center"/>
          </w:tcPr>
          <w:p w14:paraId="6D173F40"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Need for digital training</w:t>
            </w:r>
          </w:p>
        </w:tc>
        <w:tc>
          <w:tcPr>
            <w:tcW w:w="1440" w:type="dxa"/>
            <w:vAlign w:val="center"/>
          </w:tcPr>
          <w:p w14:paraId="2FE2743C"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40</w:t>
            </w:r>
          </w:p>
        </w:tc>
        <w:tc>
          <w:tcPr>
            <w:tcW w:w="1440" w:type="dxa"/>
            <w:vAlign w:val="center"/>
          </w:tcPr>
          <w:p w14:paraId="1D91F08D"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55%</w:t>
            </w:r>
          </w:p>
        </w:tc>
        <w:tc>
          <w:tcPr>
            <w:tcW w:w="1440" w:type="dxa"/>
            <w:vAlign w:val="center"/>
          </w:tcPr>
          <w:p w14:paraId="02C60108"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2.69</w:t>
            </w:r>
          </w:p>
        </w:tc>
        <w:tc>
          <w:tcPr>
            <w:tcW w:w="1440" w:type="dxa"/>
            <w:vAlign w:val="center"/>
          </w:tcPr>
          <w:p w14:paraId="01223F0A"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0.83</w:t>
            </w:r>
          </w:p>
        </w:tc>
      </w:tr>
      <w:tr w:rsidR="00A95E83" w:rsidRPr="0045082F" w14:paraId="72866413" w14:textId="77777777" w:rsidTr="000A1077">
        <w:trPr>
          <w:trHeight w:val="283"/>
          <w:jc w:val="center"/>
        </w:trPr>
        <w:tc>
          <w:tcPr>
            <w:tcW w:w="1440" w:type="dxa"/>
            <w:vAlign w:val="center"/>
          </w:tcPr>
          <w:p w14:paraId="39A4E829"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College Lecturers</w:t>
            </w:r>
          </w:p>
        </w:tc>
        <w:tc>
          <w:tcPr>
            <w:tcW w:w="1440" w:type="dxa"/>
            <w:vAlign w:val="center"/>
          </w:tcPr>
          <w:p w14:paraId="066B2F91"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Need for digital training</w:t>
            </w:r>
          </w:p>
        </w:tc>
        <w:tc>
          <w:tcPr>
            <w:tcW w:w="1440" w:type="dxa"/>
            <w:vAlign w:val="center"/>
          </w:tcPr>
          <w:p w14:paraId="590C7BFB"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37</w:t>
            </w:r>
          </w:p>
        </w:tc>
        <w:tc>
          <w:tcPr>
            <w:tcW w:w="1440" w:type="dxa"/>
            <w:vAlign w:val="center"/>
          </w:tcPr>
          <w:p w14:paraId="4EFD2FC3"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29%</w:t>
            </w:r>
          </w:p>
        </w:tc>
        <w:tc>
          <w:tcPr>
            <w:tcW w:w="1440" w:type="dxa"/>
            <w:vAlign w:val="center"/>
          </w:tcPr>
          <w:p w14:paraId="621E350A"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2.36</w:t>
            </w:r>
          </w:p>
        </w:tc>
        <w:tc>
          <w:tcPr>
            <w:tcW w:w="1440" w:type="dxa"/>
            <w:vAlign w:val="center"/>
          </w:tcPr>
          <w:p w14:paraId="3BE59B5F"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0.79</w:t>
            </w:r>
          </w:p>
        </w:tc>
      </w:tr>
    </w:tbl>
    <w:p w14:paraId="28BA2191" w14:textId="77777777" w:rsidR="00A95E83" w:rsidRPr="0045082F" w:rsidRDefault="0018558C" w:rsidP="00A95E83">
      <w:pPr>
        <w:spacing w:before="240" w:after="0" w:line="360" w:lineRule="auto"/>
        <w:ind w:firstLine="720"/>
        <w:jc w:val="both"/>
        <w:rPr>
          <w:rFonts w:ascii="Times New Roman" w:hAnsi="Times New Roman" w:cs="Times New Roman"/>
          <w:color w:val="000000" w:themeColor="text1"/>
          <w:sz w:val="24"/>
          <w:szCs w:val="24"/>
        </w:rPr>
      </w:pPr>
      <w:r w:rsidRPr="001F0A04">
        <w:rPr>
          <w:rFonts w:ascii="Times New Roman" w:hAnsi="Times New Roman" w:cs="Times New Roman"/>
          <w:sz w:val="24"/>
          <w:szCs w:val="24"/>
        </w:rPr>
        <w:t>Postgraduate students (M = 3.86) are more digitally engaged than secondary pupils (M = 3.61). College lecturers (M = 4.06) are more likely than school instructors (M = 3.78) to use technology in teaching.</w:t>
      </w:r>
    </w:p>
    <w:p w14:paraId="07A68A7A" w14:textId="77777777" w:rsidR="00A95E83" w:rsidRPr="00BA2119" w:rsidRDefault="00A95E83" w:rsidP="00A95E83">
      <w:pPr>
        <w:pStyle w:val="Heading2"/>
        <w:spacing w:before="0" w:line="360" w:lineRule="auto"/>
        <w:jc w:val="center"/>
        <w:rPr>
          <w:rFonts w:ascii="Times New Roman" w:hAnsi="Times New Roman" w:cs="Times New Roman"/>
          <w:i/>
          <w:color w:val="000000" w:themeColor="text1"/>
          <w:sz w:val="24"/>
          <w:szCs w:val="24"/>
        </w:rPr>
      </w:pPr>
      <w:r w:rsidRPr="00BA2119">
        <w:rPr>
          <w:rStyle w:val="Strong"/>
          <w:rFonts w:ascii="Times New Roman" w:hAnsi="Times New Roman" w:cs="Times New Roman"/>
          <w:b/>
          <w:bCs/>
          <w:i/>
          <w:color w:val="000000" w:themeColor="text1"/>
          <w:sz w:val="24"/>
          <w:szCs w:val="24"/>
        </w:rPr>
        <w:lastRenderedPageBreak/>
        <w:t xml:space="preserve">Table 3: </w:t>
      </w:r>
      <w:r w:rsidRPr="00BA2119">
        <w:rPr>
          <w:rFonts w:ascii="Times New Roman" w:hAnsi="Times New Roman" w:cs="Times New Roman"/>
          <w:i/>
          <w:color w:val="000000" w:themeColor="text1"/>
          <w:sz w:val="24"/>
          <w:szCs w:val="24"/>
        </w:rPr>
        <w:t>Mean Difference Analysis (t-test / ANOVA Summary)</w:t>
      </w:r>
    </w:p>
    <w:tbl>
      <w:tblPr>
        <w:tblStyle w:val="TableGrid"/>
        <w:tblW w:w="0" w:type="auto"/>
        <w:jc w:val="center"/>
        <w:tblLook w:val="04A0" w:firstRow="1" w:lastRow="0" w:firstColumn="1" w:lastColumn="0" w:noHBand="0" w:noVBand="1"/>
      </w:tblPr>
      <w:tblGrid>
        <w:gridCol w:w="1483"/>
        <w:gridCol w:w="1431"/>
        <w:gridCol w:w="1381"/>
        <w:gridCol w:w="1605"/>
        <w:gridCol w:w="1154"/>
        <w:gridCol w:w="1802"/>
      </w:tblGrid>
      <w:tr w:rsidR="00A95E83" w:rsidRPr="0045082F" w14:paraId="3E58FADE" w14:textId="77777777" w:rsidTr="000A1077">
        <w:trPr>
          <w:trHeight w:val="283"/>
          <w:jc w:val="center"/>
        </w:trPr>
        <w:tc>
          <w:tcPr>
            <w:tcW w:w="1483" w:type="dxa"/>
            <w:vAlign w:val="center"/>
          </w:tcPr>
          <w:p w14:paraId="1B1B12C9"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Comparison</w:t>
            </w:r>
          </w:p>
        </w:tc>
        <w:tc>
          <w:tcPr>
            <w:tcW w:w="1431" w:type="dxa"/>
            <w:vAlign w:val="center"/>
          </w:tcPr>
          <w:p w14:paraId="78AC5FCA"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Variable</w:t>
            </w:r>
          </w:p>
        </w:tc>
        <w:tc>
          <w:tcPr>
            <w:tcW w:w="1381" w:type="dxa"/>
            <w:vAlign w:val="center"/>
          </w:tcPr>
          <w:p w14:paraId="07E3C01F"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Mean Difference</w:t>
            </w:r>
          </w:p>
        </w:tc>
        <w:tc>
          <w:tcPr>
            <w:tcW w:w="1605" w:type="dxa"/>
            <w:vAlign w:val="center"/>
          </w:tcPr>
          <w:p w14:paraId="474E22ED"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t/F Value</w:t>
            </w:r>
          </w:p>
        </w:tc>
        <w:tc>
          <w:tcPr>
            <w:tcW w:w="1154" w:type="dxa"/>
            <w:vAlign w:val="center"/>
          </w:tcPr>
          <w:p w14:paraId="1B9ECABF"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Sig. (p)</w:t>
            </w:r>
          </w:p>
        </w:tc>
        <w:tc>
          <w:tcPr>
            <w:tcW w:w="1802" w:type="dxa"/>
            <w:vAlign w:val="center"/>
          </w:tcPr>
          <w:p w14:paraId="35D4C366" w14:textId="77777777" w:rsidR="00A95E83" w:rsidRPr="0045082F" w:rsidRDefault="00A95E83" w:rsidP="000A1077">
            <w:pPr>
              <w:jc w:val="center"/>
              <w:rPr>
                <w:rFonts w:ascii="Times New Roman" w:hAnsi="Times New Roman" w:cs="Times New Roman"/>
                <w:b/>
                <w:color w:val="000000" w:themeColor="text1"/>
                <w:sz w:val="24"/>
                <w:szCs w:val="24"/>
              </w:rPr>
            </w:pPr>
            <w:r w:rsidRPr="0045082F">
              <w:rPr>
                <w:rFonts w:ascii="Times New Roman" w:hAnsi="Times New Roman" w:cs="Times New Roman"/>
                <w:b/>
                <w:color w:val="000000" w:themeColor="text1"/>
                <w:sz w:val="24"/>
                <w:szCs w:val="24"/>
              </w:rPr>
              <w:t>Interpretation</w:t>
            </w:r>
          </w:p>
        </w:tc>
      </w:tr>
      <w:tr w:rsidR="00A95E83" w:rsidRPr="0045082F" w14:paraId="5A7A892C" w14:textId="77777777" w:rsidTr="000A1077">
        <w:trPr>
          <w:trHeight w:val="283"/>
          <w:jc w:val="center"/>
        </w:trPr>
        <w:tc>
          <w:tcPr>
            <w:tcW w:w="1483" w:type="dxa"/>
            <w:vAlign w:val="center"/>
          </w:tcPr>
          <w:p w14:paraId="769CF62E"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12th Std. vs PG Students</w:t>
            </w:r>
          </w:p>
        </w:tc>
        <w:tc>
          <w:tcPr>
            <w:tcW w:w="1431" w:type="dxa"/>
            <w:vAlign w:val="center"/>
          </w:tcPr>
          <w:p w14:paraId="7E9D3340"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Student Engagement</w:t>
            </w:r>
          </w:p>
        </w:tc>
        <w:tc>
          <w:tcPr>
            <w:tcW w:w="1381" w:type="dxa"/>
            <w:vAlign w:val="center"/>
          </w:tcPr>
          <w:p w14:paraId="6FC417DB"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0.25</w:t>
            </w:r>
          </w:p>
        </w:tc>
        <w:tc>
          <w:tcPr>
            <w:tcW w:w="1605" w:type="dxa"/>
            <w:vAlign w:val="center"/>
          </w:tcPr>
          <w:p w14:paraId="50D42544"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2.61</w:t>
            </w:r>
          </w:p>
        </w:tc>
        <w:tc>
          <w:tcPr>
            <w:tcW w:w="1154" w:type="dxa"/>
            <w:vAlign w:val="center"/>
          </w:tcPr>
          <w:p w14:paraId="75A69384"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0.01*</w:t>
            </w:r>
          </w:p>
        </w:tc>
        <w:tc>
          <w:tcPr>
            <w:tcW w:w="1802" w:type="dxa"/>
            <w:vAlign w:val="center"/>
          </w:tcPr>
          <w:p w14:paraId="12762BC9"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PG students are significantly more engaged.</w:t>
            </w:r>
          </w:p>
        </w:tc>
      </w:tr>
      <w:tr w:rsidR="00A95E83" w:rsidRPr="0045082F" w14:paraId="4CDB2186" w14:textId="77777777" w:rsidTr="000A1077">
        <w:trPr>
          <w:trHeight w:val="283"/>
          <w:jc w:val="center"/>
        </w:trPr>
        <w:tc>
          <w:tcPr>
            <w:tcW w:w="1483" w:type="dxa"/>
            <w:vAlign w:val="center"/>
          </w:tcPr>
          <w:p w14:paraId="29ED3DF1"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School vs College Teachers</w:t>
            </w:r>
          </w:p>
        </w:tc>
        <w:tc>
          <w:tcPr>
            <w:tcW w:w="1431" w:type="dxa"/>
            <w:vAlign w:val="center"/>
          </w:tcPr>
          <w:p w14:paraId="0D6E220B"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Tool Adoption</w:t>
            </w:r>
          </w:p>
        </w:tc>
        <w:tc>
          <w:tcPr>
            <w:tcW w:w="1381" w:type="dxa"/>
            <w:vAlign w:val="center"/>
          </w:tcPr>
          <w:p w14:paraId="551CAB27"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0.28</w:t>
            </w:r>
          </w:p>
        </w:tc>
        <w:tc>
          <w:tcPr>
            <w:tcW w:w="1605" w:type="dxa"/>
            <w:vAlign w:val="center"/>
          </w:tcPr>
          <w:p w14:paraId="47DEE8FC"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2.14</w:t>
            </w:r>
          </w:p>
        </w:tc>
        <w:tc>
          <w:tcPr>
            <w:tcW w:w="1154" w:type="dxa"/>
            <w:vAlign w:val="center"/>
          </w:tcPr>
          <w:p w14:paraId="4D9CE203"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0.03*</w:t>
            </w:r>
          </w:p>
        </w:tc>
        <w:tc>
          <w:tcPr>
            <w:tcW w:w="1802" w:type="dxa"/>
            <w:vAlign w:val="center"/>
          </w:tcPr>
          <w:p w14:paraId="16977E76"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College lecturers show higher adoption rates.</w:t>
            </w:r>
          </w:p>
        </w:tc>
      </w:tr>
      <w:tr w:rsidR="00A95E83" w:rsidRPr="0045082F" w14:paraId="5ECB2CC5" w14:textId="77777777" w:rsidTr="000A1077">
        <w:trPr>
          <w:trHeight w:val="283"/>
          <w:jc w:val="center"/>
        </w:trPr>
        <w:tc>
          <w:tcPr>
            <w:tcW w:w="1483" w:type="dxa"/>
            <w:vAlign w:val="center"/>
          </w:tcPr>
          <w:p w14:paraId="0DA1F56A"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School vs College Teachers</w:t>
            </w:r>
          </w:p>
        </w:tc>
        <w:tc>
          <w:tcPr>
            <w:tcW w:w="1431" w:type="dxa"/>
            <w:vAlign w:val="center"/>
          </w:tcPr>
          <w:p w14:paraId="19508DEB"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Need for Training</w:t>
            </w:r>
          </w:p>
        </w:tc>
        <w:tc>
          <w:tcPr>
            <w:tcW w:w="1381" w:type="dxa"/>
            <w:vAlign w:val="center"/>
          </w:tcPr>
          <w:p w14:paraId="426142DE"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0.33</w:t>
            </w:r>
          </w:p>
        </w:tc>
        <w:tc>
          <w:tcPr>
            <w:tcW w:w="1605" w:type="dxa"/>
            <w:vAlign w:val="center"/>
          </w:tcPr>
          <w:p w14:paraId="284F17F7"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2.48</w:t>
            </w:r>
          </w:p>
        </w:tc>
        <w:tc>
          <w:tcPr>
            <w:tcW w:w="1154" w:type="dxa"/>
            <w:vAlign w:val="center"/>
          </w:tcPr>
          <w:p w14:paraId="7D5725FC"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0.02*</w:t>
            </w:r>
          </w:p>
        </w:tc>
        <w:tc>
          <w:tcPr>
            <w:tcW w:w="1802" w:type="dxa"/>
            <w:vAlign w:val="center"/>
          </w:tcPr>
          <w:p w14:paraId="13592AC9"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School teachers report greater training needs.</w:t>
            </w:r>
          </w:p>
        </w:tc>
      </w:tr>
      <w:tr w:rsidR="00A95E83" w:rsidRPr="0045082F" w14:paraId="6242E7E8" w14:textId="77777777" w:rsidTr="000A1077">
        <w:trPr>
          <w:trHeight w:val="283"/>
          <w:jc w:val="center"/>
        </w:trPr>
        <w:tc>
          <w:tcPr>
            <w:tcW w:w="1483" w:type="dxa"/>
            <w:vAlign w:val="center"/>
          </w:tcPr>
          <w:p w14:paraId="338173E8"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All Groups Combined</w:t>
            </w:r>
          </w:p>
        </w:tc>
        <w:tc>
          <w:tcPr>
            <w:tcW w:w="1431" w:type="dxa"/>
            <w:vAlign w:val="center"/>
          </w:tcPr>
          <w:p w14:paraId="08486C2B"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Overall Readiness</w:t>
            </w:r>
          </w:p>
        </w:tc>
        <w:tc>
          <w:tcPr>
            <w:tcW w:w="1381" w:type="dxa"/>
            <w:vAlign w:val="center"/>
          </w:tcPr>
          <w:p w14:paraId="5D6A5BC7"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w:t>
            </w:r>
          </w:p>
        </w:tc>
        <w:tc>
          <w:tcPr>
            <w:tcW w:w="1605" w:type="dxa"/>
            <w:vAlign w:val="center"/>
          </w:tcPr>
          <w:p w14:paraId="544FB6EF"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F(3,273)=4.32</w:t>
            </w:r>
          </w:p>
        </w:tc>
        <w:tc>
          <w:tcPr>
            <w:tcW w:w="1154" w:type="dxa"/>
            <w:vAlign w:val="center"/>
          </w:tcPr>
          <w:p w14:paraId="1129E045"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0.005**</w:t>
            </w:r>
          </w:p>
        </w:tc>
        <w:tc>
          <w:tcPr>
            <w:tcW w:w="1802" w:type="dxa"/>
            <w:vAlign w:val="center"/>
          </w:tcPr>
          <w:p w14:paraId="0E8D6AB2"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Significant variation in readiness across groups.</w:t>
            </w:r>
          </w:p>
        </w:tc>
      </w:tr>
    </w:tbl>
    <w:p w14:paraId="3BC7A6CB" w14:textId="77777777" w:rsidR="00A95E83" w:rsidRPr="00BA2119" w:rsidRDefault="0018558C" w:rsidP="00A95E83">
      <w:pPr>
        <w:pStyle w:val="NormalWeb"/>
        <w:spacing w:before="240" w:beforeAutospacing="0" w:after="0" w:afterAutospacing="0" w:line="360" w:lineRule="auto"/>
        <w:ind w:firstLine="720"/>
        <w:jc w:val="both"/>
        <w:rPr>
          <w:color w:val="000000" w:themeColor="text1"/>
        </w:rPr>
      </w:pPr>
      <w:r w:rsidRPr="001F0A04">
        <w:t>The statistical tests show significant group variations in adoption and engagement levels. Postgraduate students and college instructors are consistently more prepared and less resistant to techno-pedagogical adoption than their school-level counterparts. Institutional exposure, ICT infrastructure, and past experience are all important contributing variables.</w:t>
      </w:r>
    </w:p>
    <w:p w14:paraId="755688B8" w14:textId="77777777" w:rsidR="00A95E83" w:rsidRPr="00BA2119" w:rsidRDefault="00A95E83" w:rsidP="00A95E83">
      <w:pPr>
        <w:pStyle w:val="Heading3"/>
        <w:spacing w:before="0" w:line="360" w:lineRule="auto"/>
        <w:jc w:val="both"/>
        <w:rPr>
          <w:rFonts w:ascii="Times New Roman" w:hAnsi="Times New Roman" w:cs="Times New Roman"/>
          <w:color w:val="000000" w:themeColor="text1"/>
          <w:sz w:val="24"/>
          <w:szCs w:val="24"/>
        </w:rPr>
      </w:pPr>
      <w:r w:rsidRPr="00BA2119">
        <w:rPr>
          <w:rStyle w:val="Strong"/>
          <w:rFonts w:ascii="Times New Roman" w:hAnsi="Times New Roman" w:cs="Times New Roman"/>
          <w:b/>
          <w:bCs/>
          <w:color w:val="000000" w:themeColor="text1"/>
          <w:sz w:val="24"/>
          <w:szCs w:val="24"/>
        </w:rPr>
        <w:t>Correlation Analysis</w:t>
      </w:r>
    </w:p>
    <w:p w14:paraId="13C7E5EB" w14:textId="77777777" w:rsidR="00A95E83" w:rsidRPr="00BA2119" w:rsidRDefault="0018558C" w:rsidP="00A95E83">
      <w:pPr>
        <w:pStyle w:val="NormalWeb"/>
        <w:spacing w:before="0" w:beforeAutospacing="0" w:after="0" w:afterAutospacing="0" w:line="360" w:lineRule="auto"/>
        <w:ind w:firstLine="720"/>
        <w:jc w:val="both"/>
        <w:rPr>
          <w:color w:val="000000" w:themeColor="text1"/>
        </w:rPr>
      </w:pPr>
      <w:r w:rsidRPr="001F0A04">
        <w:t>Pearson's correlation analysis was used to investigate the correlations between the primary variables, which included tool adoption, student involvement, training adequacy, technical hurdles, and reluctance to change.</w:t>
      </w:r>
    </w:p>
    <w:p w14:paraId="76CC3193" w14:textId="77777777" w:rsidR="00A95E83" w:rsidRPr="00BA2119" w:rsidRDefault="00A95E83" w:rsidP="00A95E83">
      <w:pPr>
        <w:pStyle w:val="Heading4"/>
        <w:spacing w:before="0" w:line="360" w:lineRule="auto"/>
        <w:jc w:val="center"/>
        <w:rPr>
          <w:rFonts w:ascii="Times New Roman" w:hAnsi="Times New Roman" w:cs="Times New Roman"/>
          <w:color w:val="000000" w:themeColor="text1"/>
          <w:sz w:val="24"/>
          <w:szCs w:val="24"/>
        </w:rPr>
      </w:pPr>
      <w:r w:rsidRPr="00BA2119">
        <w:rPr>
          <w:rStyle w:val="Strong"/>
          <w:rFonts w:ascii="Times New Roman" w:hAnsi="Times New Roman" w:cs="Times New Roman"/>
          <w:b/>
          <w:bCs/>
          <w:color w:val="000000" w:themeColor="text1"/>
          <w:sz w:val="24"/>
          <w:szCs w:val="24"/>
        </w:rPr>
        <w:t xml:space="preserve">Table </w:t>
      </w:r>
      <w:r>
        <w:rPr>
          <w:rStyle w:val="Strong"/>
          <w:rFonts w:ascii="Times New Roman" w:hAnsi="Times New Roman" w:cs="Times New Roman"/>
          <w:b/>
          <w:bCs/>
          <w:color w:val="000000" w:themeColor="text1"/>
          <w:sz w:val="24"/>
          <w:szCs w:val="24"/>
        </w:rPr>
        <w:t>4</w:t>
      </w:r>
      <w:r w:rsidRPr="00BA2119">
        <w:rPr>
          <w:rStyle w:val="Strong"/>
          <w:rFonts w:ascii="Times New Roman" w:hAnsi="Times New Roman" w:cs="Times New Roman"/>
          <w:b/>
          <w:bCs/>
          <w:color w:val="000000" w:themeColor="text1"/>
          <w:sz w:val="24"/>
          <w:szCs w:val="24"/>
        </w:rPr>
        <w:t>: Correlation Matrix of Key Variables</w:t>
      </w:r>
    </w:p>
    <w:tbl>
      <w:tblPr>
        <w:tblStyle w:val="TableGrid"/>
        <w:tblW w:w="0" w:type="auto"/>
        <w:jc w:val="center"/>
        <w:tblLook w:val="04A0" w:firstRow="1" w:lastRow="0" w:firstColumn="1" w:lastColumn="0" w:noHBand="0" w:noVBand="1"/>
      </w:tblPr>
      <w:tblGrid>
        <w:gridCol w:w="2469"/>
        <w:gridCol w:w="756"/>
        <w:gridCol w:w="756"/>
        <w:gridCol w:w="756"/>
        <w:gridCol w:w="756"/>
        <w:gridCol w:w="756"/>
      </w:tblGrid>
      <w:tr w:rsidR="00A95E83" w:rsidRPr="00BA2119" w14:paraId="38D19AAB" w14:textId="77777777" w:rsidTr="000A1077">
        <w:trPr>
          <w:trHeight w:val="397"/>
          <w:jc w:val="center"/>
        </w:trPr>
        <w:tc>
          <w:tcPr>
            <w:tcW w:w="0" w:type="auto"/>
            <w:vAlign w:val="center"/>
            <w:hideMark/>
          </w:tcPr>
          <w:p w14:paraId="1296C001"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Variables</w:t>
            </w:r>
          </w:p>
        </w:tc>
        <w:tc>
          <w:tcPr>
            <w:tcW w:w="0" w:type="auto"/>
            <w:vAlign w:val="center"/>
            <w:hideMark/>
          </w:tcPr>
          <w:p w14:paraId="3C50938C"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1</w:t>
            </w:r>
          </w:p>
        </w:tc>
        <w:tc>
          <w:tcPr>
            <w:tcW w:w="0" w:type="auto"/>
            <w:vAlign w:val="center"/>
            <w:hideMark/>
          </w:tcPr>
          <w:p w14:paraId="7A3929A3"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2</w:t>
            </w:r>
          </w:p>
        </w:tc>
        <w:tc>
          <w:tcPr>
            <w:tcW w:w="0" w:type="auto"/>
            <w:vAlign w:val="center"/>
            <w:hideMark/>
          </w:tcPr>
          <w:p w14:paraId="7DFF52DD"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3</w:t>
            </w:r>
          </w:p>
        </w:tc>
        <w:tc>
          <w:tcPr>
            <w:tcW w:w="0" w:type="auto"/>
            <w:vAlign w:val="center"/>
            <w:hideMark/>
          </w:tcPr>
          <w:p w14:paraId="471AE3D8"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4</w:t>
            </w:r>
          </w:p>
        </w:tc>
        <w:tc>
          <w:tcPr>
            <w:tcW w:w="0" w:type="auto"/>
            <w:vAlign w:val="center"/>
            <w:hideMark/>
          </w:tcPr>
          <w:p w14:paraId="6DA39D2C" w14:textId="77777777" w:rsidR="00A95E83" w:rsidRPr="00BA2119" w:rsidRDefault="00A95E83" w:rsidP="000A1077">
            <w:pPr>
              <w:jc w:val="center"/>
              <w:rPr>
                <w:rFonts w:ascii="Times New Roman" w:hAnsi="Times New Roman" w:cs="Times New Roman"/>
                <w:b/>
                <w:bCs/>
                <w:color w:val="000000" w:themeColor="text1"/>
                <w:sz w:val="24"/>
                <w:szCs w:val="24"/>
              </w:rPr>
            </w:pPr>
            <w:r w:rsidRPr="00BA2119">
              <w:rPr>
                <w:rFonts w:ascii="Times New Roman" w:hAnsi="Times New Roman" w:cs="Times New Roman"/>
                <w:b/>
                <w:bCs/>
                <w:color w:val="000000" w:themeColor="text1"/>
                <w:sz w:val="24"/>
                <w:szCs w:val="24"/>
              </w:rPr>
              <w:t>5</w:t>
            </w:r>
          </w:p>
        </w:tc>
      </w:tr>
      <w:tr w:rsidR="00A95E83" w:rsidRPr="00BA2119" w14:paraId="7CD8C23C" w14:textId="77777777" w:rsidTr="000A1077">
        <w:trPr>
          <w:trHeight w:val="397"/>
          <w:jc w:val="center"/>
        </w:trPr>
        <w:tc>
          <w:tcPr>
            <w:tcW w:w="0" w:type="auto"/>
            <w:vAlign w:val="center"/>
            <w:hideMark/>
          </w:tcPr>
          <w:p w14:paraId="5C276B5C"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1. Tool adoption</w:t>
            </w:r>
          </w:p>
        </w:tc>
        <w:tc>
          <w:tcPr>
            <w:tcW w:w="0" w:type="auto"/>
            <w:vAlign w:val="center"/>
            <w:hideMark/>
          </w:tcPr>
          <w:p w14:paraId="6F4E8F12"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1</w:t>
            </w:r>
          </w:p>
        </w:tc>
        <w:tc>
          <w:tcPr>
            <w:tcW w:w="0" w:type="auto"/>
            <w:vAlign w:val="center"/>
            <w:hideMark/>
          </w:tcPr>
          <w:p w14:paraId="33D39FE6"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.58**</w:t>
            </w:r>
          </w:p>
        </w:tc>
        <w:tc>
          <w:tcPr>
            <w:tcW w:w="0" w:type="auto"/>
            <w:vAlign w:val="center"/>
            <w:hideMark/>
          </w:tcPr>
          <w:p w14:paraId="58AA05DB"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–.41*</w:t>
            </w:r>
          </w:p>
        </w:tc>
        <w:tc>
          <w:tcPr>
            <w:tcW w:w="0" w:type="auto"/>
            <w:vAlign w:val="center"/>
            <w:hideMark/>
          </w:tcPr>
          <w:p w14:paraId="0DAF9175"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–.36*</w:t>
            </w:r>
          </w:p>
        </w:tc>
        <w:tc>
          <w:tcPr>
            <w:tcW w:w="0" w:type="auto"/>
            <w:vAlign w:val="center"/>
            <w:hideMark/>
          </w:tcPr>
          <w:p w14:paraId="236BE263"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–.45*</w:t>
            </w:r>
          </w:p>
        </w:tc>
      </w:tr>
      <w:tr w:rsidR="00A95E83" w:rsidRPr="00BA2119" w14:paraId="0E3656FB" w14:textId="77777777" w:rsidTr="000A1077">
        <w:trPr>
          <w:trHeight w:val="397"/>
          <w:jc w:val="center"/>
        </w:trPr>
        <w:tc>
          <w:tcPr>
            <w:tcW w:w="0" w:type="auto"/>
            <w:vAlign w:val="center"/>
            <w:hideMark/>
          </w:tcPr>
          <w:p w14:paraId="22A06292"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 Student engagement</w:t>
            </w:r>
          </w:p>
        </w:tc>
        <w:tc>
          <w:tcPr>
            <w:tcW w:w="0" w:type="auto"/>
            <w:vAlign w:val="center"/>
            <w:hideMark/>
          </w:tcPr>
          <w:p w14:paraId="7DF24EBB"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.58**</w:t>
            </w:r>
          </w:p>
        </w:tc>
        <w:tc>
          <w:tcPr>
            <w:tcW w:w="0" w:type="auto"/>
            <w:vAlign w:val="center"/>
            <w:hideMark/>
          </w:tcPr>
          <w:p w14:paraId="53C35804"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1</w:t>
            </w:r>
          </w:p>
        </w:tc>
        <w:tc>
          <w:tcPr>
            <w:tcW w:w="0" w:type="auto"/>
            <w:vAlign w:val="center"/>
            <w:hideMark/>
          </w:tcPr>
          <w:p w14:paraId="08146381"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–.39*</w:t>
            </w:r>
          </w:p>
        </w:tc>
        <w:tc>
          <w:tcPr>
            <w:tcW w:w="0" w:type="auto"/>
            <w:vAlign w:val="center"/>
            <w:hideMark/>
          </w:tcPr>
          <w:p w14:paraId="1139FB5F"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–.33</w:t>
            </w:r>
          </w:p>
        </w:tc>
        <w:tc>
          <w:tcPr>
            <w:tcW w:w="0" w:type="auto"/>
            <w:vAlign w:val="center"/>
            <w:hideMark/>
          </w:tcPr>
          <w:p w14:paraId="786D2521"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–.29</w:t>
            </w:r>
          </w:p>
        </w:tc>
      </w:tr>
      <w:tr w:rsidR="00A95E83" w:rsidRPr="00BA2119" w14:paraId="738A34D4" w14:textId="77777777" w:rsidTr="000A1077">
        <w:trPr>
          <w:trHeight w:val="397"/>
          <w:jc w:val="center"/>
        </w:trPr>
        <w:tc>
          <w:tcPr>
            <w:tcW w:w="0" w:type="auto"/>
            <w:vAlign w:val="center"/>
            <w:hideMark/>
          </w:tcPr>
          <w:p w14:paraId="55B3958D"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 Inadequate training</w:t>
            </w:r>
          </w:p>
        </w:tc>
        <w:tc>
          <w:tcPr>
            <w:tcW w:w="0" w:type="auto"/>
            <w:vAlign w:val="center"/>
            <w:hideMark/>
          </w:tcPr>
          <w:p w14:paraId="657D2F2B"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–.41*</w:t>
            </w:r>
          </w:p>
        </w:tc>
        <w:tc>
          <w:tcPr>
            <w:tcW w:w="0" w:type="auto"/>
            <w:vAlign w:val="center"/>
            <w:hideMark/>
          </w:tcPr>
          <w:p w14:paraId="0E876282"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–.39*</w:t>
            </w:r>
          </w:p>
        </w:tc>
        <w:tc>
          <w:tcPr>
            <w:tcW w:w="0" w:type="auto"/>
            <w:vAlign w:val="center"/>
            <w:hideMark/>
          </w:tcPr>
          <w:p w14:paraId="7ADADF8D"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1</w:t>
            </w:r>
          </w:p>
        </w:tc>
        <w:tc>
          <w:tcPr>
            <w:tcW w:w="0" w:type="auto"/>
            <w:vAlign w:val="center"/>
            <w:hideMark/>
          </w:tcPr>
          <w:p w14:paraId="39BF2B9E"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.42**</w:t>
            </w:r>
          </w:p>
        </w:tc>
        <w:tc>
          <w:tcPr>
            <w:tcW w:w="0" w:type="auto"/>
            <w:vAlign w:val="center"/>
            <w:hideMark/>
          </w:tcPr>
          <w:p w14:paraId="75F92EED"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.48**</w:t>
            </w:r>
          </w:p>
        </w:tc>
      </w:tr>
      <w:tr w:rsidR="00A95E83" w:rsidRPr="00BA2119" w14:paraId="4EDC2CA0" w14:textId="77777777" w:rsidTr="000A1077">
        <w:trPr>
          <w:trHeight w:val="397"/>
          <w:jc w:val="center"/>
        </w:trPr>
        <w:tc>
          <w:tcPr>
            <w:tcW w:w="0" w:type="auto"/>
            <w:vAlign w:val="center"/>
            <w:hideMark/>
          </w:tcPr>
          <w:p w14:paraId="1819973D"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 Technical issues</w:t>
            </w:r>
          </w:p>
        </w:tc>
        <w:tc>
          <w:tcPr>
            <w:tcW w:w="0" w:type="auto"/>
            <w:vAlign w:val="center"/>
            <w:hideMark/>
          </w:tcPr>
          <w:p w14:paraId="28CBBA21"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–.36*</w:t>
            </w:r>
          </w:p>
        </w:tc>
        <w:tc>
          <w:tcPr>
            <w:tcW w:w="0" w:type="auto"/>
            <w:vAlign w:val="center"/>
            <w:hideMark/>
          </w:tcPr>
          <w:p w14:paraId="2AB05BF5"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–.33</w:t>
            </w:r>
          </w:p>
        </w:tc>
        <w:tc>
          <w:tcPr>
            <w:tcW w:w="0" w:type="auto"/>
            <w:vAlign w:val="center"/>
            <w:hideMark/>
          </w:tcPr>
          <w:p w14:paraId="4AC482EC"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.42**</w:t>
            </w:r>
          </w:p>
        </w:tc>
        <w:tc>
          <w:tcPr>
            <w:tcW w:w="0" w:type="auto"/>
            <w:vAlign w:val="center"/>
            <w:hideMark/>
          </w:tcPr>
          <w:p w14:paraId="6FDF650F"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1</w:t>
            </w:r>
          </w:p>
        </w:tc>
        <w:tc>
          <w:tcPr>
            <w:tcW w:w="0" w:type="auto"/>
            <w:vAlign w:val="center"/>
            <w:hideMark/>
          </w:tcPr>
          <w:p w14:paraId="6834DBAB"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.37*</w:t>
            </w:r>
          </w:p>
        </w:tc>
      </w:tr>
      <w:tr w:rsidR="00A95E83" w:rsidRPr="00BA2119" w14:paraId="3187325A" w14:textId="77777777" w:rsidTr="000A1077">
        <w:trPr>
          <w:trHeight w:val="397"/>
          <w:jc w:val="center"/>
        </w:trPr>
        <w:tc>
          <w:tcPr>
            <w:tcW w:w="0" w:type="auto"/>
            <w:vAlign w:val="center"/>
            <w:hideMark/>
          </w:tcPr>
          <w:p w14:paraId="6FA8D97A"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5. Resistance to change</w:t>
            </w:r>
          </w:p>
        </w:tc>
        <w:tc>
          <w:tcPr>
            <w:tcW w:w="0" w:type="auto"/>
            <w:vAlign w:val="center"/>
            <w:hideMark/>
          </w:tcPr>
          <w:p w14:paraId="3BAC17FB"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–.45*</w:t>
            </w:r>
          </w:p>
        </w:tc>
        <w:tc>
          <w:tcPr>
            <w:tcW w:w="0" w:type="auto"/>
            <w:vAlign w:val="center"/>
            <w:hideMark/>
          </w:tcPr>
          <w:p w14:paraId="5420B8FF"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–.29</w:t>
            </w:r>
          </w:p>
        </w:tc>
        <w:tc>
          <w:tcPr>
            <w:tcW w:w="0" w:type="auto"/>
            <w:vAlign w:val="center"/>
            <w:hideMark/>
          </w:tcPr>
          <w:p w14:paraId="0665ED0D"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.48**</w:t>
            </w:r>
          </w:p>
        </w:tc>
        <w:tc>
          <w:tcPr>
            <w:tcW w:w="0" w:type="auto"/>
            <w:vAlign w:val="center"/>
            <w:hideMark/>
          </w:tcPr>
          <w:p w14:paraId="0F43BA1B"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.37*</w:t>
            </w:r>
          </w:p>
        </w:tc>
        <w:tc>
          <w:tcPr>
            <w:tcW w:w="0" w:type="auto"/>
            <w:vAlign w:val="center"/>
            <w:hideMark/>
          </w:tcPr>
          <w:p w14:paraId="344761FF" w14:textId="77777777" w:rsidR="00A95E83" w:rsidRPr="00BA2119" w:rsidRDefault="00A95E83" w:rsidP="000A1077">
            <w:pPr>
              <w:rPr>
                <w:rFonts w:ascii="Times New Roman" w:hAnsi="Times New Roman" w:cs="Times New Roman"/>
                <w:color w:val="000000" w:themeColor="text1"/>
                <w:sz w:val="24"/>
                <w:szCs w:val="24"/>
              </w:rPr>
            </w:pPr>
            <w:r w:rsidRPr="00BA2119">
              <w:rPr>
                <w:rFonts w:ascii="Times New Roman" w:hAnsi="Times New Roman" w:cs="Times New Roman"/>
                <w:color w:val="000000" w:themeColor="text1"/>
                <w:sz w:val="24"/>
                <w:szCs w:val="24"/>
              </w:rPr>
              <w:t>1</w:t>
            </w:r>
          </w:p>
        </w:tc>
      </w:tr>
    </w:tbl>
    <w:p w14:paraId="2AA381CF" w14:textId="77777777" w:rsidR="00A95E83" w:rsidRPr="00BA2119" w:rsidRDefault="00A95E83" w:rsidP="00A95E83">
      <w:pPr>
        <w:pStyle w:val="NormalWeb"/>
        <w:spacing w:before="0" w:beforeAutospacing="0" w:after="0" w:afterAutospacing="0" w:line="360" w:lineRule="auto"/>
        <w:jc w:val="both"/>
        <w:rPr>
          <w:color w:val="000000" w:themeColor="text1"/>
        </w:rPr>
      </w:pPr>
      <w:r w:rsidRPr="00BA2119">
        <w:rPr>
          <w:color w:val="000000" w:themeColor="text1"/>
        </w:rPr>
        <w:t>*p &lt; .05, **p &lt; .01</w:t>
      </w:r>
    </w:p>
    <w:p w14:paraId="5DB7B73E" w14:textId="77777777" w:rsidR="00A95E83" w:rsidRPr="00BA2119" w:rsidRDefault="0018558C" w:rsidP="00A95E83">
      <w:pPr>
        <w:pStyle w:val="NormalWeb"/>
        <w:spacing w:before="0" w:beforeAutospacing="0" w:after="0" w:afterAutospacing="0" w:line="360" w:lineRule="auto"/>
        <w:ind w:firstLine="720"/>
        <w:jc w:val="both"/>
        <w:rPr>
          <w:color w:val="000000" w:themeColor="text1"/>
        </w:rPr>
      </w:pPr>
      <w:r w:rsidRPr="001F0A04">
        <w:t xml:space="preserve">The study found a significant positive association (r =.58, p &lt;.01) between tool adoption and student engagement, indicating that effective digital adoption leads to increased learner participation. There are negative associations between adoption and hurdles such as insufficient training (r = -.41) and aversion to change (r = -.45), implying that institutional and attitudinal </w:t>
      </w:r>
      <w:r w:rsidRPr="001F0A04">
        <w:lastRenderedPageBreak/>
        <w:t>constraints impede broader integration. Positive relationships among the challenge variables indicate that insufficient training and infrastructural restrictions frequently coexist.</w:t>
      </w:r>
    </w:p>
    <w:p w14:paraId="6BFDA594" w14:textId="77777777" w:rsidR="00A95E83" w:rsidRPr="0045082F" w:rsidRDefault="00A95E83" w:rsidP="00A95E83">
      <w:pPr>
        <w:pStyle w:val="Heading2"/>
        <w:spacing w:before="0" w:line="360" w:lineRule="auto"/>
        <w:jc w:val="center"/>
        <w:rPr>
          <w:rFonts w:ascii="Times New Roman" w:hAnsi="Times New Roman" w:cs="Times New Roman"/>
          <w:color w:val="000000" w:themeColor="text1"/>
          <w:sz w:val="24"/>
          <w:szCs w:val="24"/>
        </w:rPr>
      </w:pPr>
      <w:r w:rsidRPr="00BA2119">
        <w:rPr>
          <w:rStyle w:val="Strong"/>
          <w:rFonts w:ascii="Times New Roman" w:hAnsi="Times New Roman" w:cs="Times New Roman"/>
          <w:b/>
          <w:bCs/>
          <w:i/>
          <w:color w:val="000000" w:themeColor="text1"/>
          <w:sz w:val="24"/>
          <w:szCs w:val="24"/>
        </w:rPr>
        <w:t xml:space="preserve">Table </w:t>
      </w:r>
      <w:r>
        <w:rPr>
          <w:rStyle w:val="Strong"/>
          <w:rFonts w:ascii="Times New Roman" w:hAnsi="Times New Roman" w:cs="Times New Roman"/>
          <w:b/>
          <w:bCs/>
          <w:i/>
          <w:color w:val="000000" w:themeColor="text1"/>
          <w:sz w:val="24"/>
          <w:szCs w:val="24"/>
        </w:rPr>
        <w:t>5</w:t>
      </w:r>
      <w:r w:rsidRPr="00BA2119">
        <w:rPr>
          <w:rStyle w:val="Strong"/>
          <w:rFonts w:ascii="Times New Roman" w:hAnsi="Times New Roman" w:cs="Times New Roman"/>
          <w:b/>
          <w:bCs/>
          <w:i/>
          <w:color w:val="000000" w:themeColor="text1"/>
          <w:sz w:val="24"/>
          <w:szCs w:val="24"/>
        </w:rPr>
        <w:t xml:space="preserve">: </w:t>
      </w:r>
      <w:r w:rsidRPr="0045082F">
        <w:rPr>
          <w:rFonts w:ascii="Times New Roman" w:hAnsi="Times New Roman" w:cs="Times New Roman"/>
          <w:color w:val="000000" w:themeColor="text1"/>
          <w:sz w:val="24"/>
          <w:szCs w:val="24"/>
        </w:rPr>
        <w:t>Correlation Matrix of Key Variables (with Demographic Control)</w:t>
      </w:r>
    </w:p>
    <w:tbl>
      <w:tblPr>
        <w:tblStyle w:val="TableGrid"/>
        <w:tblW w:w="0" w:type="auto"/>
        <w:jc w:val="center"/>
        <w:tblLook w:val="04A0" w:firstRow="1" w:lastRow="0" w:firstColumn="1" w:lastColumn="0" w:noHBand="0" w:noVBand="1"/>
      </w:tblPr>
      <w:tblGrid>
        <w:gridCol w:w="1630"/>
        <w:gridCol w:w="1134"/>
        <w:gridCol w:w="1275"/>
        <w:gridCol w:w="1276"/>
        <w:gridCol w:w="1134"/>
        <w:gridCol w:w="1134"/>
        <w:gridCol w:w="1197"/>
      </w:tblGrid>
      <w:tr w:rsidR="00A95E83" w:rsidRPr="0045082F" w14:paraId="2AF6B9F0" w14:textId="77777777" w:rsidTr="000A1077">
        <w:trPr>
          <w:jc w:val="center"/>
        </w:trPr>
        <w:tc>
          <w:tcPr>
            <w:tcW w:w="1630" w:type="dxa"/>
            <w:vAlign w:val="center"/>
          </w:tcPr>
          <w:p w14:paraId="7CC619B8"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Variables</w:t>
            </w:r>
          </w:p>
        </w:tc>
        <w:tc>
          <w:tcPr>
            <w:tcW w:w="1134" w:type="dxa"/>
            <w:vAlign w:val="center"/>
          </w:tcPr>
          <w:p w14:paraId="56D5AAE4"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w:t>
            </w:r>
          </w:p>
        </w:tc>
        <w:tc>
          <w:tcPr>
            <w:tcW w:w="1275" w:type="dxa"/>
            <w:vAlign w:val="center"/>
          </w:tcPr>
          <w:p w14:paraId="5E09E131"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w:t>
            </w:r>
          </w:p>
        </w:tc>
        <w:tc>
          <w:tcPr>
            <w:tcW w:w="1276" w:type="dxa"/>
            <w:vAlign w:val="center"/>
          </w:tcPr>
          <w:p w14:paraId="3C10F203"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w:t>
            </w:r>
          </w:p>
        </w:tc>
        <w:tc>
          <w:tcPr>
            <w:tcW w:w="1134" w:type="dxa"/>
            <w:vAlign w:val="center"/>
          </w:tcPr>
          <w:p w14:paraId="7121356D"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w:t>
            </w:r>
          </w:p>
        </w:tc>
        <w:tc>
          <w:tcPr>
            <w:tcW w:w="1134" w:type="dxa"/>
            <w:vAlign w:val="center"/>
          </w:tcPr>
          <w:p w14:paraId="220B9CB9"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5</w:t>
            </w:r>
          </w:p>
        </w:tc>
        <w:tc>
          <w:tcPr>
            <w:tcW w:w="1197" w:type="dxa"/>
            <w:vAlign w:val="center"/>
          </w:tcPr>
          <w:p w14:paraId="32881E14"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6</w:t>
            </w:r>
          </w:p>
        </w:tc>
      </w:tr>
      <w:tr w:rsidR="00A95E83" w:rsidRPr="0045082F" w14:paraId="48D0CC6E" w14:textId="77777777" w:rsidTr="000A1077">
        <w:trPr>
          <w:jc w:val="center"/>
        </w:trPr>
        <w:tc>
          <w:tcPr>
            <w:tcW w:w="1630" w:type="dxa"/>
            <w:vAlign w:val="center"/>
          </w:tcPr>
          <w:p w14:paraId="5647E967"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 Tool adoption</w:t>
            </w:r>
          </w:p>
        </w:tc>
        <w:tc>
          <w:tcPr>
            <w:tcW w:w="1134" w:type="dxa"/>
            <w:vAlign w:val="center"/>
          </w:tcPr>
          <w:p w14:paraId="1FD1FD9F"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w:t>
            </w:r>
          </w:p>
        </w:tc>
        <w:tc>
          <w:tcPr>
            <w:tcW w:w="1275" w:type="dxa"/>
            <w:vAlign w:val="center"/>
          </w:tcPr>
          <w:p w14:paraId="55FB7123"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.58**</w:t>
            </w:r>
          </w:p>
        </w:tc>
        <w:tc>
          <w:tcPr>
            <w:tcW w:w="1276" w:type="dxa"/>
            <w:vAlign w:val="center"/>
          </w:tcPr>
          <w:p w14:paraId="2A302448"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–.41*</w:t>
            </w:r>
          </w:p>
        </w:tc>
        <w:tc>
          <w:tcPr>
            <w:tcW w:w="1134" w:type="dxa"/>
            <w:vAlign w:val="center"/>
          </w:tcPr>
          <w:p w14:paraId="13ECAC76"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–.36*</w:t>
            </w:r>
          </w:p>
        </w:tc>
        <w:tc>
          <w:tcPr>
            <w:tcW w:w="1134" w:type="dxa"/>
            <w:vAlign w:val="center"/>
          </w:tcPr>
          <w:p w14:paraId="79A0D739"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–.45*</w:t>
            </w:r>
          </w:p>
        </w:tc>
        <w:tc>
          <w:tcPr>
            <w:tcW w:w="1197" w:type="dxa"/>
            <w:vAlign w:val="center"/>
          </w:tcPr>
          <w:p w14:paraId="2A6D93EE"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.29*</w:t>
            </w:r>
          </w:p>
        </w:tc>
      </w:tr>
      <w:tr w:rsidR="00A95E83" w:rsidRPr="0045082F" w14:paraId="6B3AE324" w14:textId="77777777" w:rsidTr="000A1077">
        <w:trPr>
          <w:jc w:val="center"/>
        </w:trPr>
        <w:tc>
          <w:tcPr>
            <w:tcW w:w="1630" w:type="dxa"/>
            <w:vAlign w:val="center"/>
          </w:tcPr>
          <w:p w14:paraId="0D3F6FEE"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 Student engagement</w:t>
            </w:r>
          </w:p>
        </w:tc>
        <w:tc>
          <w:tcPr>
            <w:tcW w:w="1134" w:type="dxa"/>
            <w:vAlign w:val="center"/>
          </w:tcPr>
          <w:p w14:paraId="55B5BA60"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.58**</w:t>
            </w:r>
          </w:p>
        </w:tc>
        <w:tc>
          <w:tcPr>
            <w:tcW w:w="1275" w:type="dxa"/>
            <w:vAlign w:val="center"/>
          </w:tcPr>
          <w:p w14:paraId="37BBE891"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w:t>
            </w:r>
          </w:p>
        </w:tc>
        <w:tc>
          <w:tcPr>
            <w:tcW w:w="1276" w:type="dxa"/>
            <w:vAlign w:val="center"/>
          </w:tcPr>
          <w:p w14:paraId="3ED5C789"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–.39*</w:t>
            </w:r>
          </w:p>
        </w:tc>
        <w:tc>
          <w:tcPr>
            <w:tcW w:w="1134" w:type="dxa"/>
            <w:vAlign w:val="center"/>
          </w:tcPr>
          <w:p w14:paraId="2A54A9D6"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–.33</w:t>
            </w:r>
          </w:p>
        </w:tc>
        <w:tc>
          <w:tcPr>
            <w:tcW w:w="1134" w:type="dxa"/>
            <w:vAlign w:val="center"/>
          </w:tcPr>
          <w:p w14:paraId="0D045322"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–.29</w:t>
            </w:r>
          </w:p>
        </w:tc>
        <w:tc>
          <w:tcPr>
            <w:tcW w:w="1197" w:type="dxa"/>
            <w:vAlign w:val="center"/>
          </w:tcPr>
          <w:p w14:paraId="79F5F167"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.32**</w:t>
            </w:r>
          </w:p>
        </w:tc>
      </w:tr>
      <w:tr w:rsidR="00A95E83" w:rsidRPr="0045082F" w14:paraId="2254063D" w14:textId="77777777" w:rsidTr="000A1077">
        <w:trPr>
          <w:jc w:val="center"/>
        </w:trPr>
        <w:tc>
          <w:tcPr>
            <w:tcW w:w="1630" w:type="dxa"/>
            <w:vAlign w:val="center"/>
          </w:tcPr>
          <w:p w14:paraId="4D28DD7B"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 Inadequate training</w:t>
            </w:r>
          </w:p>
        </w:tc>
        <w:tc>
          <w:tcPr>
            <w:tcW w:w="1134" w:type="dxa"/>
            <w:vAlign w:val="center"/>
          </w:tcPr>
          <w:p w14:paraId="33C585D6"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–.41*</w:t>
            </w:r>
          </w:p>
        </w:tc>
        <w:tc>
          <w:tcPr>
            <w:tcW w:w="1275" w:type="dxa"/>
            <w:vAlign w:val="center"/>
          </w:tcPr>
          <w:p w14:paraId="3BAC2787"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–.39*</w:t>
            </w:r>
          </w:p>
        </w:tc>
        <w:tc>
          <w:tcPr>
            <w:tcW w:w="1276" w:type="dxa"/>
            <w:vAlign w:val="center"/>
          </w:tcPr>
          <w:p w14:paraId="56753624"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w:t>
            </w:r>
          </w:p>
        </w:tc>
        <w:tc>
          <w:tcPr>
            <w:tcW w:w="1134" w:type="dxa"/>
            <w:vAlign w:val="center"/>
          </w:tcPr>
          <w:p w14:paraId="69AAE395"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.42**</w:t>
            </w:r>
          </w:p>
        </w:tc>
        <w:tc>
          <w:tcPr>
            <w:tcW w:w="1134" w:type="dxa"/>
            <w:vAlign w:val="center"/>
          </w:tcPr>
          <w:p w14:paraId="5BE9C988"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.48**</w:t>
            </w:r>
          </w:p>
        </w:tc>
        <w:tc>
          <w:tcPr>
            <w:tcW w:w="1197" w:type="dxa"/>
            <w:vAlign w:val="center"/>
          </w:tcPr>
          <w:p w14:paraId="32E550A8"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–.26*</w:t>
            </w:r>
          </w:p>
        </w:tc>
      </w:tr>
      <w:tr w:rsidR="00A95E83" w:rsidRPr="0045082F" w14:paraId="4C31078D" w14:textId="77777777" w:rsidTr="000A1077">
        <w:trPr>
          <w:jc w:val="center"/>
        </w:trPr>
        <w:tc>
          <w:tcPr>
            <w:tcW w:w="1630" w:type="dxa"/>
            <w:vAlign w:val="center"/>
          </w:tcPr>
          <w:p w14:paraId="0C801766"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 Technical issues</w:t>
            </w:r>
          </w:p>
        </w:tc>
        <w:tc>
          <w:tcPr>
            <w:tcW w:w="1134" w:type="dxa"/>
            <w:vAlign w:val="center"/>
          </w:tcPr>
          <w:p w14:paraId="290E513D"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–.36*</w:t>
            </w:r>
          </w:p>
        </w:tc>
        <w:tc>
          <w:tcPr>
            <w:tcW w:w="1275" w:type="dxa"/>
            <w:vAlign w:val="center"/>
          </w:tcPr>
          <w:p w14:paraId="254F58F2"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–.33</w:t>
            </w:r>
          </w:p>
        </w:tc>
        <w:tc>
          <w:tcPr>
            <w:tcW w:w="1276" w:type="dxa"/>
            <w:vAlign w:val="center"/>
          </w:tcPr>
          <w:p w14:paraId="7013EFD6"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.42**</w:t>
            </w:r>
          </w:p>
        </w:tc>
        <w:tc>
          <w:tcPr>
            <w:tcW w:w="1134" w:type="dxa"/>
            <w:vAlign w:val="center"/>
          </w:tcPr>
          <w:p w14:paraId="47E4E039"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w:t>
            </w:r>
          </w:p>
        </w:tc>
        <w:tc>
          <w:tcPr>
            <w:tcW w:w="1134" w:type="dxa"/>
            <w:vAlign w:val="center"/>
          </w:tcPr>
          <w:p w14:paraId="327AD1BC"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.37*</w:t>
            </w:r>
          </w:p>
        </w:tc>
        <w:tc>
          <w:tcPr>
            <w:tcW w:w="1197" w:type="dxa"/>
            <w:vAlign w:val="center"/>
          </w:tcPr>
          <w:p w14:paraId="2CCCE9C5"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–.22</w:t>
            </w:r>
          </w:p>
        </w:tc>
      </w:tr>
      <w:tr w:rsidR="00A95E83" w:rsidRPr="0045082F" w14:paraId="53FBFD57" w14:textId="77777777" w:rsidTr="000A1077">
        <w:trPr>
          <w:jc w:val="center"/>
        </w:trPr>
        <w:tc>
          <w:tcPr>
            <w:tcW w:w="1630" w:type="dxa"/>
            <w:vAlign w:val="center"/>
          </w:tcPr>
          <w:p w14:paraId="0FFB9606"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5. Resistance to change</w:t>
            </w:r>
          </w:p>
        </w:tc>
        <w:tc>
          <w:tcPr>
            <w:tcW w:w="1134" w:type="dxa"/>
            <w:vAlign w:val="center"/>
          </w:tcPr>
          <w:p w14:paraId="41B729F0"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–.45*</w:t>
            </w:r>
          </w:p>
        </w:tc>
        <w:tc>
          <w:tcPr>
            <w:tcW w:w="1275" w:type="dxa"/>
            <w:vAlign w:val="center"/>
          </w:tcPr>
          <w:p w14:paraId="2AD0BA26"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–.29</w:t>
            </w:r>
          </w:p>
        </w:tc>
        <w:tc>
          <w:tcPr>
            <w:tcW w:w="1276" w:type="dxa"/>
            <w:vAlign w:val="center"/>
          </w:tcPr>
          <w:p w14:paraId="2482151B"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.48**</w:t>
            </w:r>
          </w:p>
        </w:tc>
        <w:tc>
          <w:tcPr>
            <w:tcW w:w="1134" w:type="dxa"/>
            <w:vAlign w:val="center"/>
          </w:tcPr>
          <w:p w14:paraId="2D70635C"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.37*</w:t>
            </w:r>
          </w:p>
        </w:tc>
        <w:tc>
          <w:tcPr>
            <w:tcW w:w="1134" w:type="dxa"/>
            <w:vAlign w:val="center"/>
          </w:tcPr>
          <w:p w14:paraId="4BA07CE3"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w:t>
            </w:r>
          </w:p>
        </w:tc>
        <w:tc>
          <w:tcPr>
            <w:tcW w:w="1197" w:type="dxa"/>
            <w:vAlign w:val="center"/>
          </w:tcPr>
          <w:p w14:paraId="66E400B5"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–.31*</w:t>
            </w:r>
          </w:p>
        </w:tc>
      </w:tr>
      <w:tr w:rsidR="00A95E83" w:rsidRPr="0045082F" w14:paraId="4A17DF0F" w14:textId="77777777" w:rsidTr="000A1077">
        <w:trPr>
          <w:jc w:val="center"/>
        </w:trPr>
        <w:tc>
          <w:tcPr>
            <w:tcW w:w="1630" w:type="dxa"/>
            <w:vAlign w:val="center"/>
          </w:tcPr>
          <w:p w14:paraId="0532C76E" w14:textId="77777777" w:rsidR="00A95E83" w:rsidRPr="0045082F" w:rsidRDefault="00A95E83" w:rsidP="000A1077">
            <w:pP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6. Level of Education</w:t>
            </w:r>
          </w:p>
        </w:tc>
        <w:tc>
          <w:tcPr>
            <w:tcW w:w="1134" w:type="dxa"/>
            <w:vAlign w:val="center"/>
          </w:tcPr>
          <w:p w14:paraId="08196BC1"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.29*</w:t>
            </w:r>
          </w:p>
        </w:tc>
        <w:tc>
          <w:tcPr>
            <w:tcW w:w="1275" w:type="dxa"/>
            <w:vAlign w:val="center"/>
          </w:tcPr>
          <w:p w14:paraId="524785B5"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.32**</w:t>
            </w:r>
          </w:p>
        </w:tc>
        <w:tc>
          <w:tcPr>
            <w:tcW w:w="1276" w:type="dxa"/>
            <w:vAlign w:val="center"/>
          </w:tcPr>
          <w:p w14:paraId="1CE14C3E"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–.26*</w:t>
            </w:r>
          </w:p>
        </w:tc>
        <w:tc>
          <w:tcPr>
            <w:tcW w:w="1134" w:type="dxa"/>
            <w:vAlign w:val="center"/>
          </w:tcPr>
          <w:p w14:paraId="0A36B80D"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–.22</w:t>
            </w:r>
          </w:p>
        </w:tc>
        <w:tc>
          <w:tcPr>
            <w:tcW w:w="1134" w:type="dxa"/>
            <w:vAlign w:val="center"/>
          </w:tcPr>
          <w:p w14:paraId="703F6FCF"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–.31*</w:t>
            </w:r>
          </w:p>
        </w:tc>
        <w:tc>
          <w:tcPr>
            <w:tcW w:w="1197" w:type="dxa"/>
            <w:vAlign w:val="center"/>
          </w:tcPr>
          <w:p w14:paraId="4CB15508" w14:textId="77777777" w:rsidR="00A95E83" w:rsidRPr="0045082F" w:rsidRDefault="00A95E83" w:rsidP="000A1077">
            <w:pPr>
              <w:jc w:val="center"/>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1</w:t>
            </w:r>
          </w:p>
        </w:tc>
      </w:tr>
    </w:tbl>
    <w:p w14:paraId="10D52369" w14:textId="77777777" w:rsidR="00A95E83" w:rsidRDefault="00A95E83" w:rsidP="00A95E83">
      <w:pPr>
        <w:spacing w:after="0" w:line="360" w:lineRule="auto"/>
        <w:jc w:val="both"/>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*p &lt; .05, **p &lt; .01</w:t>
      </w:r>
    </w:p>
    <w:p w14:paraId="5BBC2844" w14:textId="77777777" w:rsidR="00A95E83" w:rsidRPr="00AD6226" w:rsidRDefault="00A95E83" w:rsidP="00A95E83">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0018558C" w:rsidRPr="001F0A04">
        <w:rPr>
          <w:rFonts w:ascii="Times New Roman" w:hAnsi="Times New Roman" w:cs="Times New Roman"/>
          <w:sz w:val="24"/>
          <w:szCs w:val="24"/>
        </w:rPr>
        <w:t>The educational level (secondary, postgraduate, teacher category) has a positive link with both tool adoption (r =.29) and engagement (r =.32), implying that higher academic or professional levels are related with stronger techno-pedagogical practices. Conversely, it corresponds adversely with insufficient training (r = -.26) and resistance to change (r = -.31), confirming that digital maturity grows with education and experience.</w:t>
      </w:r>
    </w:p>
    <w:p w14:paraId="5C61B096" w14:textId="77777777" w:rsidR="00A95E83" w:rsidRPr="0045082F" w:rsidRDefault="00A95E83" w:rsidP="00A95E83">
      <w:pPr>
        <w:pStyle w:val="Heading2"/>
        <w:spacing w:before="0" w:line="360" w:lineRule="auto"/>
        <w:jc w:val="both"/>
        <w:rPr>
          <w:rFonts w:ascii="Times New Roman" w:hAnsi="Times New Roman" w:cs="Times New Roman"/>
          <w:color w:val="000000" w:themeColor="text1"/>
          <w:sz w:val="24"/>
          <w:szCs w:val="24"/>
        </w:rPr>
      </w:pPr>
      <w:r w:rsidRPr="0045082F">
        <w:rPr>
          <w:rFonts w:ascii="Times New Roman" w:hAnsi="Times New Roman" w:cs="Times New Roman"/>
          <w:color w:val="000000" w:themeColor="text1"/>
          <w:sz w:val="24"/>
          <w:szCs w:val="24"/>
        </w:rPr>
        <w:t>Findings</w:t>
      </w:r>
      <w:r w:rsidR="00874B6E">
        <w:rPr>
          <w:rFonts w:ascii="Times New Roman" w:hAnsi="Times New Roman" w:cs="Times New Roman"/>
          <w:color w:val="000000" w:themeColor="text1"/>
          <w:sz w:val="24"/>
          <w:szCs w:val="24"/>
        </w:rPr>
        <w:t xml:space="preserve"> and Discussions</w:t>
      </w:r>
    </w:p>
    <w:p w14:paraId="2AC05C4F" w14:textId="77777777" w:rsidR="00A6305A" w:rsidRDefault="0018558C" w:rsidP="00A95E83">
      <w:pPr>
        <w:spacing w:after="0" w:line="360" w:lineRule="auto"/>
        <w:ind w:firstLine="720"/>
        <w:jc w:val="both"/>
        <w:rPr>
          <w:rFonts w:ascii="Times New Roman" w:hAnsi="Times New Roman" w:cs="Times New Roman"/>
          <w:color w:val="000000" w:themeColor="text1"/>
          <w:sz w:val="24"/>
          <w:szCs w:val="24"/>
        </w:rPr>
      </w:pPr>
      <w:r w:rsidRPr="001F0A04">
        <w:rPr>
          <w:rFonts w:ascii="Times New Roman" w:hAnsi="Times New Roman" w:cs="Times New Roman"/>
          <w:sz w:val="24"/>
          <w:szCs w:val="24"/>
        </w:rPr>
        <w:t>The data results show that techno-pedagogical use in educational environments is improving but remains uneven. While professors and students understand its educational benefits, persisting inadequacies in training, infrastructure, and change management impede effective implementation. To achieve long-term techno-pedagogical growth, digital competency programs must be strengthened and technical support systems improved. According to demographic study, postgraduate students and college lecturers have much greater levels of technological uptake and involvement. School teachers require more training, whereas secondary students are moderately prepared for digital technology. The overall trend implies that educational level and institutional assistance have a beneficial influence on techno-pedagogical preparation.</w:t>
      </w:r>
    </w:p>
    <w:p w14:paraId="30A2192B" w14:textId="77777777" w:rsidR="00DA0A8E" w:rsidRPr="00BA2119" w:rsidRDefault="00DA0A8E" w:rsidP="00DA0A8E">
      <w:pPr>
        <w:pStyle w:val="Heading2"/>
        <w:spacing w:before="0" w:line="360" w:lineRule="auto"/>
        <w:jc w:val="both"/>
        <w:rPr>
          <w:rFonts w:ascii="Times New Roman" w:hAnsi="Times New Roman" w:cs="Times New Roman"/>
          <w:color w:val="000000" w:themeColor="text1"/>
          <w:sz w:val="24"/>
          <w:szCs w:val="24"/>
        </w:rPr>
      </w:pPr>
      <w:r w:rsidRPr="00BA2119">
        <w:rPr>
          <w:rStyle w:val="Strong"/>
          <w:rFonts w:ascii="Times New Roman" w:hAnsi="Times New Roman" w:cs="Times New Roman"/>
          <w:b/>
          <w:bCs/>
          <w:color w:val="000000" w:themeColor="text1"/>
          <w:sz w:val="24"/>
          <w:szCs w:val="24"/>
        </w:rPr>
        <w:t>Educational Implications</w:t>
      </w:r>
    </w:p>
    <w:p w14:paraId="55AC51A0" w14:textId="77777777" w:rsidR="0018558C" w:rsidRPr="001F0A04" w:rsidRDefault="0018558C" w:rsidP="000B07BF">
      <w:pPr>
        <w:spacing w:after="0" w:line="360" w:lineRule="auto"/>
        <w:ind w:firstLine="720"/>
        <w:jc w:val="both"/>
        <w:rPr>
          <w:rFonts w:ascii="Times New Roman" w:hAnsi="Times New Roman" w:cs="Times New Roman"/>
          <w:sz w:val="24"/>
          <w:szCs w:val="24"/>
        </w:rPr>
      </w:pPr>
      <w:r w:rsidRPr="001F0A04">
        <w:rPr>
          <w:rFonts w:ascii="Times New Roman" w:hAnsi="Times New Roman" w:cs="Times New Roman"/>
          <w:sz w:val="24"/>
          <w:szCs w:val="24"/>
        </w:rPr>
        <w:t>The findings of this study have important implications for educational policy, teacher preparation, and institutional growth. The evidence shows that, while technological adoption is increasing, its efficient implementation is dependent on pedagogical skill, infrastructure preparation, and ongoing support systems.</w:t>
      </w:r>
    </w:p>
    <w:p w14:paraId="4EC43A25" w14:textId="77777777" w:rsidR="0018558C" w:rsidRPr="000B07BF" w:rsidRDefault="0018558C" w:rsidP="000B07BF">
      <w:pPr>
        <w:pStyle w:val="ListParagraph"/>
        <w:numPr>
          <w:ilvl w:val="0"/>
          <w:numId w:val="5"/>
        </w:numPr>
        <w:spacing w:after="0" w:line="360" w:lineRule="auto"/>
        <w:jc w:val="both"/>
        <w:rPr>
          <w:rFonts w:ascii="Times New Roman" w:hAnsi="Times New Roman" w:cs="Times New Roman"/>
          <w:sz w:val="24"/>
          <w:szCs w:val="24"/>
        </w:rPr>
      </w:pPr>
      <w:r w:rsidRPr="000B07BF">
        <w:rPr>
          <w:rFonts w:ascii="Times New Roman" w:hAnsi="Times New Roman" w:cs="Times New Roman"/>
          <w:sz w:val="24"/>
          <w:szCs w:val="24"/>
        </w:rPr>
        <w:lastRenderedPageBreak/>
        <w:t>Teachers' Professional Development:</w:t>
      </w:r>
      <w:r w:rsidRPr="000B07BF">
        <w:rPr>
          <w:sz w:val="24"/>
          <w:szCs w:val="24"/>
        </w:rPr>
        <w:t xml:space="preserve"> </w:t>
      </w:r>
      <w:r w:rsidRPr="000B07BF">
        <w:rPr>
          <w:rFonts w:ascii="Times New Roman" w:hAnsi="Times New Roman" w:cs="Times New Roman"/>
          <w:sz w:val="24"/>
          <w:szCs w:val="24"/>
        </w:rPr>
        <w:t>Institutions must implement ongoing faculty development programs that focus on digital pedagogy, AI-integrated tools, and learning management systems (LMS). Targeted seminars can help to overcome the skill gap that exists between school and college educators.</w:t>
      </w:r>
    </w:p>
    <w:p w14:paraId="58F7812B" w14:textId="77777777" w:rsidR="0018558C" w:rsidRPr="000B07BF" w:rsidRDefault="0018558C" w:rsidP="000B07BF">
      <w:pPr>
        <w:pStyle w:val="ListParagraph"/>
        <w:numPr>
          <w:ilvl w:val="0"/>
          <w:numId w:val="5"/>
        </w:numPr>
        <w:spacing w:after="0" w:line="360" w:lineRule="auto"/>
        <w:jc w:val="both"/>
        <w:rPr>
          <w:rFonts w:ascii="Times New Roman" w:hAnsi="Times New Roman" w:cs="Times New Roman"/>
          <w:sz w:val="24"/>
          <w:szCs w:val="24"/>
        </w:rPr>
      </w:pPr>
      <w:r w:rsidRPr="000B07BF">
        <w:rPr>
          <w:rFonts w:ascii="Times New Roman" w:hAnsi="Times New Roman" w:cs="Times New Roman"/>
          <w:sz w:val="24"/>
          <w:szCs w:val="24"/>
        </w:rPr>
        <w:t>Digital Literacy Integration:</w:t>
      </w:r>
      <w:r w:rsidRPr="000B07BF">
        <w:rPr>
          <w:sz w:val="24"/>
          <w:szCs w:val="24"/>
        </w:rPr>
        <w:t xml:space="preserve"> </w:t>
      </w:r>
      <w:r w:rsidRPr="000B07BF">
        <w:rPr>
          <w:rFonts w:ascii="Times New Roman" w:hAnsi="Times New Roman" w:cs="Times New Roman"/>
          <w:sz w:val="24"/>
          <w:szCs w:val="24"/>
        </w:rPr>
        <w:t>Digital literacy should be integrated into the curriculum at all levels, particularly in schools, to provide pupils with early exposure to technology-enhanced learning. This method lowers future opposition and increases digital confidence.</w:t>
      </w:r>
    </w:p>
    <w:p w14:paraId="2A2345C2" w14:textId="77777777" w:rsidR="0018558C" w:rsidRPr="000B07BF" w:rsidRDefault="0018558C" w:rsidP="000B07BF">
      <w:pPr>
        <w:pStyle w:val="ListParagraph"/>
        <w:numPr>
          <w:ilvl w:val="0"/>
          <w:numId w:val="5"/>
        </w:numPr>
        <w:spacing w:after="0" w:line="360" w:lineRule="auto"/>
        <w:jc w:val="both"/>
        <w:rPr>
          <w:rFonts w:ascii="Times New Roman" w:hAnsi="Times New Roman" w:cs="Times New Roman"/>
          <w:sz w:val="24"/>
          <w:szCs w:val="24"/>
        </w:rPr>
      </w:pPr>
      <w:r w:rsidRPr="000B07BF">
        <w:rPr>
          <w:rFonts w:ascii="Times New Roman" w:hAnsi="Times New Roman" w:cs="Times New Roman"/>
          <w:sz w:val="24"/>
          <w:szCs w:val="24"/>
        </w:rPr>
        <w:t>Infrastructure and Tech Support:</w:t>
      </w:r>
      <w:r w:rsidRPr="000B07BF">
        <w:rPr>
          <w:sz w:val="24"/>
          <w:szCs w:val="24"/>
        </w:rPr>
        <w:t xml:space="preserve"> </w:t>
      </w:r>
      <w:r w:rsidRPr="000B07BF">
        <w:rPr>
          <w:rFonts w:ascii="Times New Roman" w:hAnsi="Times New Roman" w:cs="Times New Roman"/>
          <w:sz w:val="24"/>
          <w:szCs w:val="24"/>
        </w:rPr>
        <w:t>Reliable internet connectivity, updated software, and well-maintained ICT laboratories are critical for successful deployment. Institutions must ensure equitable access to digital resources in order to avert a growing digital divide.</w:t>
      </w:r>
    </w:p>
    <w:p w14:paraId="2637F5F9" w14:textId="77777777" w:rsidR="0018558C" w:rsidRPr="000B07BF" w:rsidRDefault="0018558C" w:rsidP="000B07BF">
      <w:pPr>
        <w:pStyle w:val="ListParagraph"/>
        <w:numPr>
          <w:ilvl w:val="0"/>
          <w:numId w:val="5"/>
        </w:numPr>
        <w:spacing w:after="0" w:line="360" w:lineRule="auto"/>
        <w:jc w:val="both"/>
        <w:rPr>
          <w:rFonts w:ascii="Times New Roman" w:hAnsi="Times New Roman" w:cs="Times New Roman"/>
          <w:sz w:val="24"/>
          <w:szCs w:val="24"/>
        </w:rPr>
      </w:pPr>
      <w:r w:rsidRPr="000B07BF">
        <w:rPr>
          <w:rFonts w:ascii="Times New Roman" w:hAnsi="Times New Roman" w:cs="Times New Roman"/>
          <w:sz w:val="24"/>
          <w:szCs w:val="24"/>
        </w:rPr>
        <w:t>Policy-level Support:</w:t>
      </w:r>
      <w:r w:rsidRPr="000B07BF">
        <w:rPr>
          <w:sz w:val="24"/>
          <w:szCs w:val="24"/>
        </w:rPr>
        <w:t xml:space="preserve"> </w:t>
      </w:r>
      <w:r w:rsidRPr="000B07BF">
        <w:rPr>
          <w:rFonts w:ascii="Times New Roman" w:hAnsi="Times New Roman" w:cs="Times New Roman"/>
          <w:sz w:val="24"/>
          <w:szCs w:val="24"/>
        </w:rPr>
        <w:t>Educational administrators and policymakers should incorporate technological pedagogical criteria into institutional quality frameworks. Policy changes can create incentives for digital innovation and foster collaboration between technology suppliers and academic institutions.</w:t>
      </w:r>
    </w:p>
    <w:p w14:paraId="4BE42AC5" w14:textId="77777777" w:rsidR="0018558C" w:rsidRPr="000B07BF" w:rsidRDefault="0018558C" w:rsidP="000B07BF">
      <w:pPr>
        <w:pStyle w:val="ListParagraph"/>
        <w:numPr>
          <w:ilvl w:val="0"/>
          <w:numId w:val="5"/>
        </w:numPr>
        <w:spacing w:after="0" w:line="360" w:lineRule="auto"/>
        <w:jc w:val="both"/>
        <w:rPr>
          <w:rFonts w:ascii="Times New Roman" w:hAnsi="Times New Roman" w:cs="Times New Roman"/>
          <w:sz w:val="24"/>
          <w:szCs w:val="24"/>
        </w:rPr>
      </w:pPr>
      <w:r w:rsidRPr="000B07BF">
        <w:rPr>
          <w:rFonts w:ascii="Times New Roman" w:hAnsi="Times New Roman" w:cs="Times New Roman"/>
          <w:sz w:val="24"/>
          <w:szCs w:val="24"/>
        </w:rPr>
        <w:t>Pedagogic Innovation:</w:t>
      </w:r>
      <w:r w:rsidRPr="000B07BF">
        <w:rPr>
          <w:sz w:val="24"/>
          <w:szCs w:val="24"/>
        </w:rPr>
        <w:t xml:space="preserve"> </w:t>
      </w:r>
      <w:r w:rsidRPr="000B07BF">
        <w:rPr>
          <w:rFonts w:ascii="Times New Roman" w:hAnsi="Times New Roman" w:cs="Times New Roman"/>
          <w:sz w:val="24"/>
          <w:szCs w:val="24"/>
        </w:rPr>
        <w:t>Teachers should be encouraged to create teaching tactics based on the TPACK (Technological Pedagogical Content Knowledge) and SAMR (Substitution-Augmentation-Modification-Redefinition) models to increase student engagement and higher-order thinking.</w:t>
      </w:r>
    </w:p>
    <w:p w14:paraId="0B49B531" w14:textId="77777777" w:rsidR="0018558C" w:rsidRPr="000B07BF" w:rsidRDefault="0018558C" w:rsidP="000B07BF">
      <w:pPr>
        <w:pStyle w:val="ListParagraph"/>
        <w:numPr>
          <w:ilvl w:val="0"/>
          <w:numId w:val="5"/>
        </w:numPr>
        <w:spacing w:after="0" w:line="360" w:lineRule="auto"/>
        <w:jc w:val="both"/>
        <w:rPr>
          <w:rFonts w:ascii="Times New Roman" w:hAnsi="Times New Roman" w:cs="Times New Roman"/>
          <w:sz w:val="24"/>
          <w:szCs w:val="24"/>
        </w:rPr>
      </w:pPr>
      <w:r w:rsidRPr="000B07BF">
        <w:rPr>
          <w:rFonts w:ascii="Times New Roman" w:hAnsi="Times New Roman" w:cs="Times New Roman"/>
          <w:sz w:val="24"/>
          <w:szCs w:val="24"/>
        </w:rPr>
        <w:t>Student Orientation and Motivation:</w:t>
      </w:r>
      <w:r w:rsidRPr="000B07BF">
        <w:rPr>
          <w:sz w:val="24"/>
          <w:szCs w:val="24"/>
        </w:rPr>
        <w:t xml:space="preserve"> </w:t>
      </w:r>
      <w:r w:rsidRPr="000B07BF">
        <w:rPr>
          <w:rFonts w:ascii="Times New Roman" w:hAnsi="Times New Roman" w:cs="Times New Roman"/>
          <w:sz w:val="24"/>
          <w:szCs w:val="24"/>
        </w:rPr>
        <w:t>Students need orientation sessions to help them prepare for online and blended learning formats. Institutions should encourage digital accountability, teamwork, and self-directed learning habits.</w:t>
      </w:r>
    </w:p>
    <w:p w14:paraId="25B8C250" w14:textId="77777777" w:rsidR="00DA0A8E" w:rsidRPr="00BA2119" w:rsidRDefault="0018558C" w:rsidP="000B07BF">
      <w:pPr>
        <w:pStyle w:val="NormalWeb"/>
        <w:numPr>
          <w:ilvl w:val="0"/>
          <w:numId w:val="5"/>
        </w:numPr>
        <w:spacing w:before="0" w:beforeAutospacing="0" w:after="0" w:afterAutospacing="0" w:line="360" w:lineRule="auto"/>
        <w:jc w:val="both"/>
        <w:rPr>
          <w:color w:val="000000" w:themeColor="text1"/>
        </w:rPr>
      </w:pPr>
      <w:r w:rsidRPr="001F0A04">
        <w:t>Equity and Inclusion:</w:t>
      </w:r>
      <w:r>
        <w:t xml:space="preserve"> </w:t>
      </w:r>
      <w:r w:rsidRPr="001F0A04">
        <w:t>The study's findings emphasize the importance of addressing imbalances in access and training across institutions and socioeconomic categories. Inclusive policies and digital equity initiatives may ensure that no student or teacher falls behind.</w:t>
      </w:r>
    </w:p>
    <w:p w14:paraId="3C0342AA" w14:textId="77777777" w:rsidR="00DA0A8E" w:rsidRPr="00BA2119" w:rsidRDefault="00DA0A8E" w:rsidP="00DA0A8E">
      <w:pPr>
        <w:pStyle w:val="Heading2"/>
        <w:spacing w:before="0" w:line="360" w:lineRule="auto"/>
        <w:jc w:val="both"/>
        <w:rPr>
          <w:rFonts w:ascii="Times New Roman" w:hAnsi="Times New Roman" w:cs="Times New Roman"/>
          <w:color w:val="000000" w:themeColor="text1"/>
          <w:sz w:val="24"/>
          <w:szCs w:val="24"/>
        </w:rPr>
      </w:pPr>
      <w:r w:rsidRPr="00BA2119">
        <w:rPr>
          <w:rStyle w:val="Strong"/>
          <w:rFonts w:ascii="Times New Roman" w:hAnsi="Times New Roman" w:cs="Times New Roman"/>
          <w:b/>
          <w:bCs/>
          <w:color w:val="000000" w:themeColor="text1"/>
          <w:sz w:val="24"/>
          <w:szCs w:val="24"/>
        </w:rPr>
        <w:t>Conclusion</w:t>
      </w:r>
    </w:p>
    <w:p w14:paraId="64215829" w14:textId="77777777" w:rsidR="00DA0A8E" w:rsidRDefault="000B07BF" w:rsidP="00DA0A8E">
      <w:pPr>
        <w:spacing w:after="0" w:line="360" w:lineRule="auto"/>
        <w:ind w:firstLine="720"/>
        <w:jc w:val="both"/>
        <w:rPr>
          <w:rFonts w:ascii="Times New Roman" w:hAnsi="Times New Roman" w:cs="Times New Roman"/>
          <w:color w:val="000000" w:themeColor="text1"/>
          <w:sz w:val="24"/>
          <w:szCs w:val="24"/>
        </w:rPr>
      </w:pPr>
      <w:r w:rsidRPr="001F0A04">
        <w:rPr>
          <w:rFonts w:ascii="Times New Roman" w:hAnsi="Times New Roman" w:cs="Times New Roman"/>
          <w:sz w:val="24"/>
          <w:szCs w:val="24"/>
        </w:rPr>
        <w:t xml:space="preserve">The study indicates that techno-pedagogical initiation in educational settings has progressed beyond experimentation to the point of institutional need. With 78% of teachers and 65% of students positively engaged in digital teaching-learning methods, the trend demonstrates a rising acceptance of technology as a necessary component of education. However, impediments such as insufficient training, technical restrictions, and opposition to change continue to prevent the full </w:t>
      </w:r>
      <w:r w:rsidR="00C43BA2" w:rsidRPr="001F0A04">
        <w:rPr>
          <w:rFonts w:ascii="Times New Roman" w:hAnsi="Times New Roman" w:cs="Times New Roman"/>
          <w:sz w:val="24"/>
          <w:szCs w:val="24"/>
        </w:rPr>
        <w:t>fulfilment</w:t>
      </w:r>
      <w:r w:rsidRPr="001F0A04">
        <w:rPr>
          <w:rFonts w:ascii="Times New Roman" w:hAnsi="Times New Roman" w:cs="Times New Roman"/>
          <w:sz w:val="24"/>
          <w:szCs w:val="24"/>
        </w:rPr>
        <w:t xml:space="preserve"> of its promise. The demographic research found </w:t>
      </w:r>
      <w:r w:rsidRPr="001F0A04">
        <w:rPr>
          <w:rFonts w:ascii="Times New Roman" w:hAnsi="Times New Roman" w:cs="Times New Roman"/>
          <w:sz w:val="24"/>
          <w:szCs w:val="24"/>
        </w:rPr>
        <w:lastRenderedPageBreak/>
        <w:t>that postgraduate students and college lecturers have greater levels of digital readiness than secondary students and school teachers, stressing the importance of educational level and institutional context in determining digital competence. Overall, the study reinforces the importance of proactively supporting techno-pedagogical transition through training, legislative frameworks, and infrastructure investments. Effective technology integration into pedagogy not only improves teaching quality and learner engagement, but it also aligns education with the needs of the digital and AI-driven era.</w:t>
      </w:r>
    </w:p>
    <w:p w14:paraId="6E400604" w14:textId="77777777" w:rsidR="002E6BCF" w:rsidRPr="0098755E" w:rsidRDefault="002E6BCF" w:rsidP="002E6BCF">
      <w:pPr>
        <w:spacing w:after="0" w:line="360" w:lineRule="auto"/>
        <w:jc w:val="both"/>
        <w:rPr>
          <w:rFonts w:ascii="Times New Roman" w:hAnsi="Times New Roman" w:cs="Times New Roman"/>
          <w:b/>
          <w:color w:val="000000" w:themeColor="text1"/>
          <w:sz w:val="24"/>
          <w:szCs w:val="24"/>
        </w:rPr>
      </w:pPr>
      <w:r w:rsidRPr="0098755E">
        <w:rPr>
          <w:rFonts w:ascii="Times New Roman" w:hAnsi="Times New Roman" w:cs="Times New Roman"/>
          <w:b/>
          <w:color w:val="000000" w:themeColor="text1"/>
          <w:sz w:val="24"/>
          <w:szCs w:val="24"/>
        </w:rPr>
        <w:t>Reference</w:t>
      </w:r>
    </w:p>
    <w:p w14:paraId="2933C197"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 xml:space="preserve">Adlawan, D. (2024). The pros and cons of AI in education and how it will impact teachers in 2024. </w:t>
      </w:r>
      <w:hyperlink r:id="rId8" w:history="1">
        <w:r w:rsidRPr="009067EF">
          <w:rPr>
            <w:rStyle w:val="Hyperlink"/>
            <w:rFonts w:ascii="Times New Roman" w:hAnsi="Times New Roman" w:cs="Times New Roman"/>
            <w:sz w:val="24"/>
            <w:szCs w:val="24"/>
          </w:rPr>
          <w:t>https://www.classpoint.io/blog/the-pros-and-cons-of-ai-in-education</w:t>
        </w:r>
      </w:hyperlink>
      <w:r w:rsidRPr="009067EF">
        <w:rPr>
          <w:rFonts w:ascii="Times New Roman" w:hAnsi="Times New Roman" w:cs="Times New Roman"/>
          <w:sz w:val="24"/>
          <w:szCs w:val="24"/>
        </w:rPr>
        <w:t>.</w:t>
      </w:r>
    </w:p>
    <w:p w14:paraId="41967454"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 xml:space="preserve">Awofiranye, M. (2024). The challenges of using AI in education. Available from </w:t>
      </w:r>
      <w:hyperlink r:id="rId9" w:history="1">
        <w:r w:rsidRPr="009067EF">
          <w:rPr>
            <w:rStyle w:val="Hyperlink"/>
            <w:rFonts w:ascii="Times New Roman" w:hAnsi="Times New Roman" w:cs="Times New Roman"/>
            <w:sz w:val="24"/>
            <w:szCs w:val="24"/>
          </w:rPr>
          <w:t>https://www.afterschoolafrica.com/78994/the-challenges-of-using-ai-in-education/</w:t>
        </w:r>
      </w:hyperlink>
    </w:p>
    <w:p w14:paraId="43F99661"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 xml:space="preserve">Baidoo-Anu, D., and Ansah, L. O. (2023). Education in the era of generative artificial intelligence (AI): Understanding the potential benefits of ChatGPT in promoting teaching and learning. Journal of AI, 7(1), 52-62. </w:t>
      </w:r>
      <w:hyperlink r:id="rId10" w:history="1">
        <w:r w:rsidRPr="009067EF">
          <w:rPr>
            <w:rStyle w:val="Hyperlink"/>
            <w:rFonts w:ascii="Times New Roman" w:hAnsi="Times New Roman" w:cs="Times New Roman"/>
            <w:sz w:val="24"/>
            <w:szCs w:val="24"/>
          </w:rPr>
          <w:t>http://doi.org/10.2139/ssrn.4337484</w:t>
        </w:r>
      </w:hyperlink>
    </w:p>
    <w:p w14:paraId="590AD53D"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 xml:space="preserve">Brown, C. (2017). Advantages and disadvantages of distance learning. Retrieved fromhttps://www.eztalks.com/elearning/advantages-and-disadvantages-of-distance-learning.html. </w:t>
      </w:r>
    </w:p>
    <w:p w14:paraId="0FA36260"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 xml:space="preserve">Chiu, T. K., Xia, Q., Zhou, X., Chai, C. S., and Cheng, M. (2023). Systematic literature review on opportunities, challenges, and future research recommendations of artificial intelligence in education. Computers and Education: Artificial Intelligence, 4, 100118. </w:t>
      </w:r>
      <w:hyperlink r:id="rId11" w:history="1">
        <w:r w:rsidRPr="009067EF">
          <w:rPr>
            <w:rStyle w:val="Hyperlink"/>
            <w:rFonts w:ascii="Times New Roman" w:hAnsi="Times New Roman" w:cs="Times New Roman"/>
            <w:sz w:val="24"/>
            <w:szCs w:val="24"/>
          </w:rPr>
          <w:t>https://doi.org/10.1016/j.caeai.2022.100118</w:t>
        </w:r>
      </w:hyperlink>
    </w:p>
    <w:p w14:paraId="0A01AEDB"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Ghoshal DB. (2020). Advantages and disadvantages of online teaching learning during pandemic. International Journal of Creative Research Thoughts (IJCRT), vol. 88, no. 983.</w:t>
      </w:r>
    </w:p>
    <w:p w14:paraId="7D9DC0F3"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Hara N, Kling R. (2000). </w:t>
      </w:r>
      <w:hyperlink r:id="rId12" w:history="1">
        <w:r w:rsidRPr="009067EF">
          <w:rPr>
            <w:rStyle w:val="Hyperlink"/>
            <w:rFonts w:ascii="Times New Roman" w:hAnsi="Times New Roman" w:cs="Times New Roman"/>
            <w:sz w:val="24"/>
            <w:szCs w:val="24"/>
          </w:rPr>
          <w:t>Student distress in a web-based distance education course</w:t>
        </w:r>
      </w:hyperlink>
      <w:r w:rsidRPr="009067EF">
        <w:rPr>
          <w:rFonts w:ascii="Times New Roman" w:hAnsi="Times New Roman" w:cs="Times New Roman"/>
          <w:sz w:val="24"/>
          <w:szCs w:val="24"/>
        </w:rPr>
        <w:t>. Information Communication and Society, vol. 3, no. 4, pp. 1-3.</w:t>
      </w:r>
    </w:p>
    <w:p w14:paraId="28002FBA" w14:textId="77777777" w:rsidR="002E6BCF" w:rsidRPr="009067EF" w:rsidRDefault="002E6BCF" w:rsidP="009067EF">
      <w:pPr>
        <w:spacing w:after="0" w:line="360" w:lineRule="auto"/>
        <w:ind w:left="851" w:hanging="851"/>
        <w:jc w:val="both"/>
        <w:rPr>
          <w:rFonts w:ascii="Times New Roman" w:hAnsi="Times New Roman" w:cs="Times New Roman"/>
          <w:color w:val="000000" w:themeColor="text1"/>
          <w:sz w:val="24"/>
          <w:szCs w:val="24"/>
        </w:rPr>
      </w:pPr>
      <w:r w:rsidRPr="009067EF">
        <w:rPr>
          <w:rFonts w:ascii="Times New Roman" w:hAnsi="Times New Roman" w:cs="Times New Roman"/>
          <w:color w:val="000000" w:themeColor="text1"/>
          <w:sz w:val="24"/>
          <w:szCs w:val="24"/>
        </w:rPr>
        <w:t xml:space="preserve">Harry, </w:t>
      </w:r>
      <w:proofErr w:type="spellStart"/>
      <w:r w:rsidRPr="009067EF">
        <w:rPr>
          <w:rFonts w:ascii="Times New Roman" w:hAnsi="Times New Roman" w:cs="Times New Roman"/>
          <w:color w:val="000000" w:themeColor="text1"/>
          <w:sz w:val="24"/>
          <w:szCs w:val="24"/>
        </w:rPr>
        <w:t>Alexandara</w:t>
      </w:r>
      <w:proofErr w:type="spellEnd"/>
      <w:r w:rsidRPr="009067EF">
        <w:rPr>
          <w:rFonts w:ascii="Times New Roman" w:hAnsi="Times New Roman" w:cs="Times New Roman"/>
          <w:color w:val="000000" w:themeColor="text1"/>
          <w:sz w:val="24"/>
          <w:szCs w:val="24"/>
        </w:rPr>
        <w:t>. (2023). Role of AI in Education. Interdisciplinary Journal and Humanity (INJURITY). 2. 260-268. 10.58631/injurity.v2i3.52.</w:t>
      </w:r>
    </w:p>
    <w:p w14:paraId="2A33B961"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 xml:space="preserve">Holmes, W., and Tuomi, I. (2022). State of the art and practice in AI in education. European Journal of Education, 57(4), 542-570. </w:t>
      </w:r>
      <w:hyperlink r:id="rId13" w:history="1">
        <w:r w:rsidRPr="009067EF">
          <w:rPr>
            <w:rStyle w:val="Hyperlink"/>
            <w:rFonts w:ascii="Times New Roman" w:hAnsi="Times New Roman" w:cs="Times New Roman"/>
            <w:sz w:val="24"/>
            <w:szCs w:val="24"/>
          </w:rPr>
          <w:t>https://doi.org/10.1111/ejed.12533</w:t>
        </w:r>
      </w:hyperlink>
    </w:p>
    <w:p w14:paraId="1D5B8AAB" w14:textId="77777777" w:rsidR="002E6BCF" w:rsidRPr="00D2721B" w:rsidRDefault="002E6BCF" w:rsidP="009067EF">
      <w:pPr>
        <w:spacing w:after="0" w:line="360" w:lineRule="auto"/>
        <w:ind w:left="851" w:hanging="851"/>
        <w:jc w:val="both"/>
      </w:pPr>
      <w:r w:rsidRPr="009067EF">
        <w:rPr>
          <w:rFonts w:ascii="Times New Roman" w:hAnsi="Times New Roman" w:cs="Times New Roman"/>
          <w:sz w:val="24"/>
          <w:szCs w:val="24"/>
        </w:rPr>
        <w:t xml:space="preserve">Jarrah, Adeeb M., Almassri, Haneen, Johnson, Jason D., &amp; Wardat, Yousef. (2022). Assessing the impact of digital games-based learning on students’ performance in learning </w:t>
      </w:r>
      <w:r w:rsidRPr="009067EF">
        <w:rPr>
          <w:rFonts w:ascii="Times New Roman" w:hAnsi="Times New Roman" w:cs="Times New Roman"/>
          <w:sz w:val="24"/>
          <w:szCs w:val="24"/>
        </w:rPr>
        <w:lastRenderedPageBreak/>
        <w:t xml:space="preserve">fractions using (ABACUS) software application. EURASIA Journal of Mathematics, Science and Technology Education, 18(10), em2159. </w:t>
      </w:r>
    </w:p>
    <w:p w14:paraId="5BE38016"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proofErr w:type="spellStart"/>
      <w:r w:rsidRPr="009067EF">
        <w:rPr>
          <w:rFonts w:ascii="Times New Roman" w:hAnsi="Times New Roman" w:cs="Times New Roman"/>
          <w:sz w:val="24"/>
          <w:szCs w:val="24"/>
        </w:rPr>
        <w:t>Kuleto</w:t>
      </w:r>
      <w:proofErr w:type="spellEnd"/>
      <w:r w:rsidRPr="009067EF">
        <w:rPr>
          <w:rFonts w:ascii="Times New Roman" w:hAnsi="Times New Roman" w:cs="Times New Roman"/>
          <w:sz w:val="24"/>
          <w:szCs w:val="24"/>
        </w:rPr>
        <w:t xml:space="preserve">, V., Ilić, M., </w:t>
      </w:r>
      <w:proofErr w:type="spellStart"/>
      <w:r w:rsidRPr="009067EF">
        <w:rPr>
          <w:rFonts w:ascii="Times New Roman" w:hAnsi="Times New Roman" w:cs="Times New Roman"/>
          <w:sz w:val="24"/>
          <w:szCs w:val="24"/>
        </w:rPr>
        <w:t>Dumangiu</w:t>
      </w:r>
      <w:proofErr w:type="spellEnd"/>
      <w:r w:rsidRPr="009067EF">
        <w:rPr>
          <w:rFonts w:ascii="Times New Roman" w:hAnsi="Times New Roman" w:cs="Times New Roman"/>
          <w:sz w:val="24"/>
          <w:szCs w:val="24"/>
        </w:rPr>
        <w:t xml:space="preserve">, M., Ranković, M., Martins, O. M., Păun, D., and Mihoreanu, L. (2021). Exploring opportunities and challenges of artificial intelligence and machine learning in higher education institutions. Sustainability, 13(18), 10424. </w:t>
      </w:r>
      <w:hyperlink r:id="rId14" w:history="1">
        <w:r w:rsidRPr="009067EF">
          <w:rPr>
            <w:rStyle w:val="Hyperlink"/>
            <w:rFonts w:ascii="Times New Roman" w:hAnsi="Times New Roman" w:cs="Times New Roman"/>
            <w:sz w:val="24"/>
            <w:szCs w:val="24"/>
          </w:rPr>
          <w:t>https://doi.org/10.1016/j.caeai.2021.100017</w:t>
        </w:r>
      </w:hyperlink>
    </w:p>
    <w:p w14:paraId="41B5AE26" w14:textId="77777777" w:rsidR="002E6BCF" w:rsidRPr="009067EF" w:rsidRDefault="002E6BCF" w:rsidP="009067EF">
      <w:pPr>
        <w:spacing w:after="0" w:line="360" w:lineRule="auto"/>
        <w:ind w:left="851" w:hanging="851"/>
        <w:jc w:val="both"/>
        <w:rPr>
          <w:rFonts w:ascii="Times New Roman" w:hAnsi="Times New Roman" w:cs="Times New Roman"/>
          <w:sz w:val="24"/>
          <w:szCs w:val="24"/>
        </w:rPr>
      </w:pPr>
      <w:r w:rsidRPr="009067EF">
        <w:rPr>
          <w:rFonts w:ascii="Times New Roman" w:hAnsi="Times New Roman" w:cs="Times New Roman"/>
          <w:sz w:val="24"/>
          <w:szCs w:val="24"/>
        </w:rPr>
        <w:t xml:space="preserve">Luan, H., </w:t>
      </w:r>
      <w:proofErr w:type="spellStart"/>
      <w:r w:rsidRPr="009067EF">
        <w:rPr>
          <w:rFonts w:ascii="Times New Roman" w:hAnsi="Times New Roman" w:cs="Times New Roman"/>
          <w:sz w:val="24"/>
          <w:szCs w:val="24"/>
        </w:rPr>
        <w:t>Geczy</w:t>
      </w:r>
      <w:proofErr w:type="spellEnd"/>
      <w:r w:rsidRPr="009067EF">
        <w:rPr>
          <w:rFonts w:ascii="Times New Roman" w:hAnsi="Times New Roman" w:cs="Times New Roman"/>
          <w:sz w:val="24"/>
          <w:szCs w:val="24"/>
        </w:rPr>
        <w:t xml:space="preserve">, P., Lai, H., Gobert, J., Yang, S. J., Ogata, H., ... and Tsai, C. C. (2020). Challenges and future directions of big data and artificial intelligence in education. Frontiers in Psychology, 11, 580820. </w:t>
      </w:r>
      <w:hyperlink r:id="rId15" w:history="1">
        <w:r w:rsidRPr="009067EF">
          <w:rPr>
            <w:rStyle w:val="Hyperlink"/>
            <w:rFonts w:ascii="Times New Roman" w:hAnsi="Times New Roman" w:cs="Times New Roman"/>
            <w:sz w:val="24"/>
            <w:szCs w:val="24"/>
          </w:rPr>
          <w:t>https://doi.org/10.3389/fpsyg.2020.580820</w:t>
        </w:r>
      </w:hyperlink>
    </w:p>
    <w:p w14:paraId="71E6BFB1" w14:textId="77777777" w:rsidR="009067EF" w:rsidRPr="009067EF" w:rsidRDefault="002E6BCF" w:rsidP="009067EF">
      <w:pPr>
        <w:spacing w:after="0" w:line="360" w:lineRule="auto"/>
        <w:ind w:left="851" w:hanging="851"/>
        <w:jc w:val="both"/>
        <w:rPr>
          <w:rFonts w:ascii="Times New Roman" w:hAnsi="Times New Roman" w:cs="Times New Roman"/>
          <w:color w:val="000000" w:themeColor="text1"/>
          <w:sz w:val="24"/>
          <w:szCs w:val="24"/>
        </w:rPr>
      </w:pPr>
      <w:r w:rsidRPr="009067EF">
        <w:rPr>
          <w:rFonts w:ascii="Times New Roman" w:hAnsi="Times New Roman" w:cs="Times New Roman"/>
          <w:color w:val="000000" w:themeColor="text1"/>
          <w:sz w:val="24"/>
          <w:szCs w:val="24"/>
        </w:rPr>
        <w:t xml:space="preserve">Okoye Emmanuel Chinedu, Anike Samuel </w:t>
      </w:r>
      <w:proofErr w:type="spellStart"/>
      <w:r w:rsidRPr="009067EF">
        <w:rPr>
          <w:rFonts w:ascii="Times New Roman" w:hAnsi="Times New Roman" w:cs="Times New Roman"/>
          <w:color w:val="000000" w:themeColor="text1"/>
          <w:sz w:val="24"/>
          <w:szCs w:val="24"/>
        </w:rPr>
        <w:t>Obioma</w:t>
      </w:r>
      <w:proofErr w:type="spellEnd"/>
      <w:r w:rsidRPr="009067EF">
        <w:rPr>
          <w:rFonts w:ascii="Times New Roman" w:hAnsi="Times New Roman" w:cs="Times New Roman"/>
          <w:color w:val="000000" w:themeColor="text1"/>
          <w:sz w:val="24"/>
          <w:szCs w:val="24"/>
        </w:rPr>
        <w:t xml:space="preserve"> &amp; </w:t>
      </w:r>
      <w:proofErr w:type="spellStart"/>
      <w:r w:rsidRPr="009067EF">
        <w:rPr>
          <w:rFonts w:ascii="Times New Roman" w:hAnsi="Times New Roman" w:cs="Times New Roman"/>
          <w:color w:val="000000" w:themeColor="text1"/>
          <w:sz w:val="24"/>
          <w:szCs w:val="24"/>
        </w:rPr>
        <w:t>Umeokafor</w:t>
      </w:r>
      <w:proofErr w:type="spellEnd"/>
      <w:r w:rsidRPr="009067EF">
        <w:rPr>
          <w:rFonts w:ascii="Times New Roman" w:hAnsi="Times New Roman" w:cs="Times New Roman"/>
          <w:color w:val="000000" w:themeColor="text1"/>
          <w:sz w:val="24"/>
          <w:szCs w:val="24"/>
        </w:rPr>
        <w:t xml:space="preserve"> </w:t>
      </w:r>
      <w:proofErr w:type="spellStart"/>
      <w:r w:rsidRPr="009067EF">
        <w:rPr>
          <w:rFonts w:ascii="Times New Roman" w:hAnsi="Times New Roman" w:cs="Times New Roman"/>
          <w:color w:val="000000" w:themeColor="text1"/>
          <w:sz w:val="24"/>
          <w:szCs w:val="24"/>
        </w:rPr>
        <w:t>Chibuike</w:t>
      </w:r>
      <w:proofErr w:type="spellEnd"/>
      <w:r w:rsidRPr="009067EF">
        <w:rPr>
          <w:rFonts w:ascii="Times New Roman" w:hAnsi="Times New Roman" w:cs="Times New Roman"/>
          <w:color w:val="000000" w:themeColor="text1"/>
          <w:sz w:val="24"/>
          <w:szCs w:val="24"/>
        </w:rPr>
        <w:t xml:space="preserve"> Chris, (2024). Artificial Intelligence and the Challenges of Teaching and Learning in Nnamdi Azikiwe University, </w:t>
      </w:r>
      <w:proofErr w:type="spellStart"/>
      <w:r w:rsidRPr="009067EF">
        <w:rPr>
          <w:rFonts w:ascii="Times New Roman" w:hAnsi="Times New Roman" w:cs="Times New Roman"/>
          <w:color w:val="000000" w:themeColor="text1"/>
          <w:sz w:val="24"/>
          <w:szCs w:val="24"/>
        </w:rPr>
        <w:t>Awka</w:t>
      </w:r>
      <w:proofErr w:type="spellEnd"/>
      <w:r w:rsidRPr="009067EF">
        <w:rPr>
          <w:rFonts w:ascii="Times New Roman" w:hAnsi="Times New Roman" w:cs="Times New Roman"/>
          <w:color w:val="000000" w:themeColor="text1"/>
          <w:sz w:val="24"/>
          <w:szCs w:val="24"/>
        </w:rPr>
        <w:t>. 2021-2023, International Journal of Public Administration and Development Studies (IJPADS), Volume: [1] | Issue: [1], Pages: 156-164.</w:t>
      </w:r>
    </w:p>
    <w:p w14:paraId="3C54EBFA" w14:textId="77777777" w:rsidR="002E6BCF" w:rsidRPr="009067EF" w:rsidRDefault="002E6BCF" w:rsidP="009067EF">
      <w:pPr>
        <w:spacing w:after="0" w:line="360" w:lineRule="auto"/>
        <w:ind w:left="851" w:hanging="851"/>
        <w:jc w:val="both"/>
        <w:rPr>
          <w:rFonts w:ascii="Times New Roman" w:hAnsi="Times New Roman" w:cs="Times New Roman"/>
          <w:color w:val="000000" w:themeColor="text1"/>
          <w:sz w:val="24"/>
          <w:szCs w:val="24"/>
        </w:rPr>
      </w:pPr>
      <w:r w:rsidRPr="009067EF">
        <w:rPr>
          <w:rFonts w:ascii="Times New Roman" w:hAnsi="Times New Roman" w:cs="Times New Roman"/>
          <w:sz w:val="24"/>
          <w:szCs w:val="24"/>
        </w:rPr>
        <w:t xml:space="preserve">Tahir, Muhammad &amp; Hassan, Farha &amp; </w:t>
      </w:r>
      <w:proofErr w:type="spellStart"/>
      <w:r w:rsidRPr="009067EF">
        <w:rPr>
          <w:rFonts w:ascii="Times New Roman" w:hAnsi="Times New Roman" w:cs="Times New Roman"/>
          <w:sz w:val="24"/>
          <w:szCs w:val="24"/>
        </w:rPr>
        <w:t>Shagoo</w:t>
      </w:r>
      <w:proofErr w:type="spellEnd"/>
      <w:r w:rsidRPr="009067EF">
        <w:rPr>
          <w:rFonts w:ascii="Times New Roman" w:hAnsi="Times New Roman" w:cs="Times New Roman"/>
          <w:sz w:val="24"/>
          <w:szCs w:val="24"/>
        </w:rPr>
        <w:t xml:space="preserve">, </w:t>
      </w:r>
      <w:proofErr w:type="spellStart"/>
      <w:r w:rsidRPr="009067EF">
        <w:rPr>
          <w:rFonts w:ascii="Times New Roman" w:hAnsi="Times New Roman" w:cs="Times New Roman"/>
          <w:sz w:val="24"/>
          <w:szCs w:val="24"/>
        </w:rPr>
        <w:t>Mudasir</w:t>
      </w:r>
      <w:proofErr w:type="spellEnd"/>
      <w:r w:rsidRPr="009067EF">
        <w:rPr>
          <w:rFonts w:ascii="Times New Roman" w:hAnsi="Times New Roman" w:cs="Times New Roman"/>
          <w:sz w:val="24"/>
          <w:szCs w:val="24"/>
        </w:rPr>
        <w:t>. (2024). Role of artificial intelligence in education: A conceptual review. World Journal of Advanced Research and Reviews. 22. 1469-1475. 10.30574/wjarr.2024.22.1.1217.</w:t>
      </w:r>
    </w:p>
    <w:sectPr w:rsidR="002E6BCF" w:rsidRPr="009067EF" w:rsidSect="00D4646A">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EB5D1" w14:textId="77777777" w:rsidR="001874DD" w:rsidRDefault="001874DD" w:rsidP="00F221EB">
      <w:pPr>
        <w:spacing w:after="0" w:line="240" w:lineRule="auto"/>
      </w:pPr>
      <w:r>
        <w:separator/>
      </w:r>
    </w:p>
  </w:endnote>
  <w:endnote w:type="continuationSeparator" w:id="0">
    <w:p w14:paraId="6105E788" w14:textId="77777777" w:rsidR="001874DD" w:rsidRDefault="001874DD" w:rsidP="00F22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90DFB" w14:textId="77777777" w:rsidR="00F221EB" w:rsidRDefault="00F22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9CFE" w14:textId="77777777" w:rsidR="00F221EB" w:rsidRDefault="00F22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0C6C6" w14:textId="77777777" w:rsidR="00F221EB" w:rsidRDefault="00F22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7157D" w14:textId="77777777" w:rsidR="001874DD" w:rsidRDefault="001874DD" w:rsidP="00F221EB">
      <w:pPr>
        <w:spacing w:after="0" w:line="240" w:lineRule="auto"/>
      </w:pPr>
      <w:r>
        <w:separator/>
      </w:r>
    </w:p>
  </w:footnote>
  <w:footnote w:type="continuationSeparator" w:id="0">
    <w:p w14:paraId="7C2DEDDD" w14:textId="77777777" w:rsidR="001874DD" w:rsidRDefault="001874DD" w:rsidP="00F22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C72F0" w14:textId="257BD976" w:rsidR="00F221EB" w:rsidRDefault="00F221EB">
    <w:pPr>
      <w:pStyle w:val="Header"/>
    </w:pPr>
    <w:r>
      <w:rPr>
        <w:noProof/>
      </w:rPr>
      <w:pict w14:anchorId="2052D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65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77CBF" w14:textId="5F3072CA" w:rsidR="00F221EB" w:rsidRDefault="00F221EB">
    <w:pPr>
      <w:pStyle w:val="Header"/>
    </w:pPr>
    <w:r>
      <w:rPr>
        <w:noProof/>
      </w:rPr>
      <w:pict w14:anchorId="1D5EF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65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12CBF" w14:textId="12DD6880" w:rsidR="00F221EB" w:rsidRDefault="00F221EB">
    <w:pPr>
      <w:pStyle w:val="Header"/>
    </w:pPr>
    <w:r>
      <w:rPr>
        <w:noProof/>
      </w:rPr>
      <w:pict w14:anchorId="75E95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965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11D3B"/>
    <w:multiLevelType w:val="multilevel"/>
    <w:tmpl w:val="17F0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0414AE"/>
    <w:multiLevelType w:val="hybridMultilevel"/>
    <w:tmpl w:val="258A84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8E94B88"/>
    <w:multiLevelType w:val="hybridMultilevel"/>
    <w:tmpl w:val="B5A28E7A"/>
    <w:lvl w:ilvl="0" w:tplc="6B9221C4">
      <w:start w:val="1"/>
      <w:numFmt w:val="bullet"/>
      <w:lvlText w:val="●"/>
      <w:lvlJc w:val="left"/>
      <w:pPr>
        <w:ind w:left="720" w:hanging="360"/>
      </w:pPr>
    </w:lvl>
    <w:lvl w:ilvl="1" w:tplc="BADC1F5A">
      <w:start w:val="1"/>
      <w:numFmt w:val="bullet"/>
      <w:lvlText w:val="○"/>
      <w:lvlJc w:val="left"/>
      <w:pPr>
        <w:ind w:left="1440" w:hanging="360"/>
      </w:pPr>
    </w:lvl>
    <w:lvl w:ilvl="2" w:tplc="3ECECAEE">
      <w:start w:val="1"/>
      <w:numFmt w:val="bullet"/>
      <w:lvlText w:val="■"/>
      <w:lvlJc w:val="left"/>
      <w:pPr>
        <w:ind w:left="2160" w:hanging="360"/>
      </w:pPr>
    </w:lvl>
    <w:lvl w:ilvl="3" w:tplc="8DE4F08A">
      <w:start w:val="1"/>
      <w:numFmt w:val="bullet"/>
      <w:lvlText w:val="●"/>
      <w:lvlJc w:val="left"/>
      <w:pPr>
        <w:ind w:left="2880" w:hanging="360"/>
      </w:pPr>
    </w:lvl>
    <w:lvl w:ilvl="4" w:tplc="7390D16A">
      <w:start w:val="1"/>
      <w:numFmt w:val="bullet"/>
      <w:lvlText w:val="○"/>
      <w:lvlJc w:val="left"/>
      <w:pPr>
        <w:ind w:left="3600" w:hanging="360"/>
      </w:pPr>
    </w:lvl>
    <w:lvl w:ilvl="5" w:tplc="4EBC0DE0">
      <w:start w:val="1"/>
      <w:numFmt w:val="bullet"/>
      <w:lvlText w:val="■"/>
      <w:lvlJc w:val="left"/>
      <w:pPr>
        <w:ind w:left="4320" w:hanging="360"/>
      </w:pPr>
    </w:lvl>
    <w:lvl w:ilvl="6" w:tplc="A6BE4130">
      <w:start w:val="1"/>
      <w:numFmt w:val="bullet"/>
      <w:lvlText w:val="●"/>
      <w:lvlJc w:val="left"/>
      <w:pPr>
        <w:ind w:left="5040" w:hanging="360"/>
      </w:pPr>
    </w:lvl>
    <w:lvl w:ilvl="7" w:tplc="53AEBA0E">
      <w:start w:val="1"/>
      <w:numFmt w:val="bullet"/>
      <w:lvlText w:val="●"/>
      <w:lvlJc w:val="left"/>
      <w:pPr>
        <w:ind w:left="5760" w:hanging="360"/>
      </w:pPr>
    </w:lvl>
    <w:lvl w:ilvl="8" w:tplc="40CE7E86">
      <w:start w:val="1"/>
      <w:numFmt w:val="bullet"/>
      <w:lvlText w:val="●"/>
      <w:lvlJc w:val="left"/>
      <w:pPr>
        <w:ind w:left="6480" w:hanging="360"/>
      </w:pPr>
    </w:lvl>
  </w:abstractNum>
  <w:abstractNum w:abstractNumId="3" w15:restartNumberingAfterBreak="0">
    <w:nsid w:val="5A454CD2"/>
    <w:multiLevelType w:val="hybridMultilevel"/>
    <w:tmpl w:val="7B70ED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CEF6C82"/>
    <w:multiLevelType w:val="hybridMultilevel"/>
    <w:tmpl w:val="F6A849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BDA"/>
    <w:rsid w:val="00050456"/>
    <w:rsid w:val="00070F6E"/>
    <w:rsid w:val="000B07BF"/>
    <w:rsid w:val="00107C98"/>
    <w:rsid w:val="0018558C"/>
    <w:rsid w:val="001874DD"/>
    <w:rsid w:val="00200DDA"/>
    <w:rsid w:val="002E6BCF"/>
    <w:rsid w:val="00325DAA"/>
    <w:rsid w:val="00345891"/>
    <w:rsid w:val="003E4B45"/>
    <w:rsid w:val="00450170"/>
    <w:rsid w:val="00480FFA"/>
    <w:rsid w:val="004F4C50"/>
    <w:rsid w:val="00590022"/>
    <w:rsid w:val="00591FE2"/>
    <w:rsid w:val="005D5373"/>
    <w:rsid w:val="007373FF"/>
    <w:rsid w:val="0075004F"/>
    <w:rsid w:val="007B4489"/>
    <w:rsid w:val="007F20E7"/>
    <w:rsid w:val="0087417F"/>
    <w:rsid w:val="00874B6E"/>
    <w:rsid w:val="0087644C"/>
    <w:rsid w:val="009067EF"/>
    <w:rsid w:val="00911430"/>
    <w:rsid w:val="009349EE"/>
    <w:rsid w:val="00974F6A"/>
    <w:rsid w:val="009A0699"/>
    <w:rsid w:val="009A2871"/>
    <w:rsid w:val="009C2EB0"/>
    <w:rsid w:val="009C39F8"/>
    <w:rsid w:val="009F4DA1"/>
    <w:rsid w:val="009F7BDA"/>
    <w:rsid w:val="00A1625A"/>
    <w:rsid w:val="00A6305A"/>
    <w:rsid w:val="00A65874"/>
    <w:rsid w:val="00A70101"/>
    <w:rsid w:val="00A95E83"/>
    <w:rsid w:val="00AC7602"/>
    <w:rsid w:val="00B564FD"/>
    <w:rsid w:val="00B97DA8"/>
    <w:rsid w:val="00BC1A07"/>
    <w:rsid w:val="00C43BA2"/>
    <w:rsid w:val="00C7486B"/>
    <w:rsid w:val="00D4646A"/>
    <w:rsid w:val="00D81F0D"/>
    <w:rsid w:val="00DA0A8E"/>
    <w:rsid w:val="00DB7FBC"/>
    <w:rsid w:val="00DD2623"/>
    <w:rsid w:val="00E60456"/>
    <w:rsid w:val="00E92A3F"/>
    <w:rsid w:val="00ED335A"/>
    <w:rsid w:val="00F221EB"/>
    <w:rsid w:val="00F629D4"/>
    <w:rsid w:val="00FC7F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F59B30"/>
  <w15:chartTrackingRefBased/>
  <w15:docId w15:val="{90DF2950-F4FE-4E2B-8B0B-6A3AA7A0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BDA"/>
  </w:style>
  <w:style w:type="paragraph" w:styleId="Heading2">
    <w:name w:val="heading 2"/>
    <w:basedOn w:val="Normal"/>
    <w:next w:val="Normal"/>
    <w:link w:val="Heading2Char"/>
    <w:uiPriority w:val="9"/>
    <w:unhideWhenUsed/>
    <w:qFormat/>
    <w:rsid w:val="00A95E83"/>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A95E83"/>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semiHidden/>
    <w:unhideWhenUsed/>
    <w:qFormat/>
    <w:rsid w:val="00A95E83"/>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2">
    <w:name w:val="Style2"/>
    <w:basedOn w:val="TableList3"/>
    <w:uiPriority w:val="99"/>
    <w:rsid w:val="00C7486B"/>
    <w:pPr>
      <w:spacing w:after="0" w:line="240" w:lineRule="auto"/>
    </w:pPr>
    <w:rPr>
      <w:rFonts w:ascii="Times New Roman" w:hAnsi="Times New Roman"/>
      <w:sz w:val="24"/>
      <w:szCs w:val="20"/>
      <w:lang w:val="en-GB" w:eastAsia="en-IN"/>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486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ListParagraph">
    <w:name w:val="List Paragraph"/>
    <w:basedOn w:val="Normal"/>
    <w:qFormat/>
    <w:rsid w:val="0075004F"/>
    <w:pPr>
      <w:ind w:left="720"/>
      <w:contextualSpacing/>
    </w:pPr>
  </w:style>
  <w:style w:type="table" w:styleId="TableGrid">
    <w:name w:val="Table Grid"/>
    <w:basedOn w:val="TableNormal"/>
    <w:uiPriority w:val="59"/>
    <w:rsid w:val="009A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95E83"/>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A95E83"/>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A95E83"/>
    <w:rPr>
      <w:rFonts w:asciiTheme="majorHAnsi" w:eastAsiaTheme="majorEastAsia" w:hAnsiTheme="majorHAnsi" w:cstheme="majorBidi"/>
      <w:b/>
      <w:bCs/>
      <w:i/>
      <w:iCs/>
      <w:color w:val="5B9BD5" w:themeColor="accent1"/>
      <w:lang w:val="en-US"/>
    </w:rPr>
  </w:style>
  <w:style w:type="character" w:styleId="Strong">
    <w:name w:val="Strong"/>
    <w:basedOn w:val="DefaultParagraphFont"/>
    <w:uiPriority w:val="22"/>
    <w:qFormat/>
    <w:rsid w:val="00A95E83"/>
    <w:rPr>
      <w:b/>
      <w:bCs/>
    </w:rPr>
  </w:style>
  <w:style w:type="paragraph" w:styleId="NormalWeb">
    <w:name w:val="Normal (Web)"/>
    <w:basedOn w:val="Normal"/>
    <w:uiPriority w:val="99"/>
    <w:semiHidden/>
    <w:unhideWhenUsed/>
    <w:rsid w:val="00A95E8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E6BCF"/>
    <w:rPr>
      <w:color w:val="0000FF"/>
      <w:u w:val="single"/>
    </w:rPr>
  </w:style>
  <w:style w:type="character" w:customStyle="1" w:styleId="il">
    <w:name w:val="il"/>
    <w:basedOn w:val="DefaultParagraphFont"/>
    <w:rsid w:val="009C2EB0"/>
  </w:style>
  <w:style w:type="paragraph" w:styleId="Header">
    <w:name w:val="header"/>
    <w:basedOn w:val="Normal"/>
    <w:link w:val="HeaderChar"/>
    <w:uiPriority w:val="99"/>
    <w:unhideWhenUsed/>
    <w:rsid w:val="00F22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1EB"/>
  </w:style>
  <w:style w:type="paragraph" w:styleId="Footer">
    <w:name w:val="footer"/>
    <w:basedOn w:val="Normal"/>
    <w:link w:val="FooterChar"/>
    <w:uiPriority w:val="99"/>
    <w:unhideWhenUsed/>
    <w:rsid w:val="00F22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sspoint.io/blog/the-pros-and-cons-of-ai-in-education" TargetMode="External"/><Relationship Id="rId13" Type="http://schemas.openxmlformats.org/officeDocument/2006/relationships/hyperlink" Target="https://doi.org/10.1111/ejed.1253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tandfonline.com/doi/abs/10.1080/1369118001000229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aeai.2022.100118" TargetMode="External"/><Relationship Id="rId5" Type="http://schemas.openxmlformats.org/officeDocument/2006/relationships/webSettings" Target="webSettings.xml"/><Relationship Id="rId15" Type="http://schemas.openxmlformats.org/officeDocument/2006/relationships/hyperlink" Target="https://doi.org/10.3389/fpsyg.2020.580820" TargetMode="External"/><Relationship Id="rId23" Type="http://schemas.openxmlformats.org/officeDocument/2006/relationships/theme" Target="theme/theme1.xml"/><Relationship Id="rId10" Type="http://schemas.openxmlformats.org/officeDocument/2006/relationships/hyperlink" Target="http://doi.org/10.2139/ssrn.433748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fterschoolafrica.com/78994/the-challenges-of-using-ai-in-education/" TargetMode="External"/><Relationship Id="rId14" Type="http://schemas.openxmlformats.org/officeDocument/2006/relationships/hyperlink" Target="https://doi.org/10.1016/j.caeai.2021.10001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80CD0-74F9-40CE-957A-D83E58D9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11</Pages>
  <Words>3846</Words>
  <Characters>21927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29</cp:revision>
  <dcterms:created xsi:type="dcterms:W3CDTF">2025-10-16T08:27:00Z</dcterms:created>
  <dcterms:modified xsi:type="dcterms:W3CDTF">2025-11-01T11:12:00Z</dcterms:modified>
</cp:coreProperties>
</file>