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DC6F04" w:rsidRDefault="00DC6F04" w:rsidP="00DC6F04">
      <w:r>
        <w:t xml:space="preserve">This case report highlights the importance of early intervention in acute </w:t>
      </w:r>
      <w:proofErr w:type="spellStart"/>
      <w:r>
        <w:t>Glufosinate</w:t>
      </w:r>
      <w:proofErr w:type="spellEnd"/>
      <w:r>
        <w:t xml:space="preserve"> Ammonium poisoning in a young dog and provides a valuable reference for veterinary practitioners. It deserves to be published. However, to enhance the scientific depth and educational value of the report, the references should be properly cited and integrated at appropriate points in the text. Specifically, the following sources should be cited where relevant before publication:</w:t>
      </w:r>
    </w:p>
    <w:p w:rsidR="00DC6F04" w:rsidRDefault="00DC6F04" w:rsidP="00DC6F04">
      <w:proofErr w:type="spellStart"/>
      <w:r>
        <w:t>Hoerlein</w:t>
      </w:r>
      <w:proofErr w:type="spellEnd"/>
      <w:r>
        <w:t xml:space="preserve">, G. (1994). </w:t>
      </w:r>
      <w:proofErr w:type="spellStart"/>
      <w:r>
        <w:t>Glufosinate</w:t>
      </w:r>
      <w:proofErr w:type="spellEnd"/>
      <w:r>
        <w:t xml:space="preserve"> (</w:t>
      </w:r>
      <w:proofErr w:type="spellStart"/>
      <w:r>
        <w:t>phosphinothricin</w:t>
      </w:r>
      <w:proofErr w:type="spellEnd"/>
      <w:r>
        <w:t>), a natural amino acid with unexpected herbicidal properties. Reviews of Environmental Contamination and Toxicology, 138, 73–145.</w:t>
      </w:r>
    </w:p>
    <w:p w:rsidR="00DC6F04" w:rsidRDefault="00DC6F04" w:rsidP="00DC6F04">
      <w:r>
        <w:t>S. EPA. (1984). Acute oral toxicity of HOE 39866 to the male and female dog. (In press, Sept. 24)</w:t>
      </w:r>
      <w:proofErr w:type="gramStart"/>
      <w:r>
        <w:t>. ?????</w:t>
      </w:r>
      <w:proofErr w:type="gramEnd"/>
    </w:p>
    <w:p w:rsidR="00DC6F04" w:rsidRDefault="00DC6F04" w:rsidP="00DC6F04">
      <w:r>
        <w:t xml:space="preserve">Matsumura, N., Takeuchi, C., </w:t>
      </w:r>
      <w:proofErr w:type="spellStart"/>
      <w:r>
        <w:t>Hishikawa</w:t>
      </w:r>
      <w:proofErr w:type="spellEnd"/>
      <w:r>
        <w:t xml:space="preserve">, K., </w:t>
      </w:r>
      <w:proofErr w:type="spellStart"/>
      <w:r>
        <w:t>Fujii</w:t>
      </w:r>
      <w:proofErr w:type="spellEnd"/>
      <w:r>
        <w:t xml:space="preserve">, T., &amp; </w:t>
      </w:r>
      <w:proofErr w:type="spellStart"/>
      <w:r>
        <w:t>Nakaki</w:t>
      </w:r>
      <w:proofErr w:type="spellEnd"/>
      <w:r>
        <w:t xml:space="preserve">, T. (2001). </w:t>
      </w:r>
      <w:proofErr w:type="spellStart"/>
      <w:r>
        <w:t>Glufosinate</w:t>
      </w:r>
      <w:proofErr w:type="spellEnd"/>
      <w:r>
        <w:t xml:space="preserve"> ammonium induces convulsion through N-methyl-D-aspartate receptors in mice. Neuroscience Letters, 304(1–2), 123–125.</w:t>
      </w:r>
    </w:p>
    <w:p w:rsidR="009344FF" w:rsidRDefault="00DC6F04" w:rsidP="00DC6F04">
      <w:bookmarkStart w:id="0" w:name="_Hlk212801185"/>
      <w:proofErr w:type="spellStart"/>
      <w:r>
        <w:t>Lluís</w:t>
      </w:r>
      <w:bookmarkEnd w:id="0"/>
      <w:proofErr w:type="spellEnd"/>
      <w:r>
        <w:t xml:space="preserve">, M., </w:t>
      </w:r>
      <w:proofErr w:type="spellStart"/>
      <w:r>
        <w:t>Nogué</w:t>
      </w:r>
      <w:proofErr w:type="spellEnd"/>
      <w:r>
        <w:t xml:space="preserve">, S., &amp; Miró, M. (2008). Severe acute poisoning due to a </w:t>
      </w:r>
      <w:proofErr w:type="spellStart"/>
      <w:r>
        <w:t>glufosinate</w:t>
      </w:r>
      <w:proofErr w:type="spellEnd"/>
      <w:r>
        <w:t>-containing preparation without mitochondrial involvement. Human &amp; Experimental Toxicology, 27, 519–524.</w:t>
      </w:r>
    </w:p>
    <w:p w:rsidR="000F2F46" w:rsidRDefault="009344FF" w:rsidP="009344FF">
      <w:pPr>
        <w:rPr>
          <w:b/>
          <w:u w:val="single"/>
        </w:rPr>
      </w:pPr>
      <w:r w:rsidRPr="009344FF">
        <w:rPr>
          <w:b/>
          <w:u w:val="single"/>
        </w:rPr>
        <w:t>Editor’s Details:</w:t>
      </w:r>
    </w:p>
    <w:p w:rsidR="008A4980" w:rsidRPr="008A4980" w:rsidRDefault="008A4980" w:rsidP="008A4980">
      <w:pPr>
        <w:pStyle w:val="NoSpacing"/>
        <w:rPr>
          <w:rFonts w:asciiTheme="majorHAnsi" w:hAnsiTheme="majorHAnsi" w:cs="Arial"/>
          <w:sz w:val="24"/>
          <w:szCs w:val="24"/>
        </w:rPr>
      </w:pPr>
      <w:bookmarkStart w:id="1" w:name="_Hlk212801094"/>
      <w:proofErr w:type="spellStart"/>
      <w:r w:rsidRPr="008A4980">
        <w:rPr>
          <w:rFonts w:asciiTheme="majorHAnsi" w:hAnsiTheme="majorHAnsi" w:cs="Arial"/>
          <w:sz w:val="24"/>
          <w:szCs w:val="24"/>
        </w:rPr>
        <w:t>Dr.</w:t>
      </w:r>
      <w:proofErr w:type="spellEnd"/>
      <w:r w:rsidRPr="008A4980">
        <w:rPr>
          <w:rFonts w:asciiTheme="majorHAnsi" w:hAnsiTheme="majorHAnsi" w:cs="Arial"/>
          <w:sz w:val="24"/>
          <w:szCs w:val="24"/>
        </w:rPr>
        <w:t xml:space="preserve"> Yi-Ren Hong</w:t>
      </w:r>
    </w:p>
    <w:p w:rsidR="008A4980" w:rsidRPr="008A4980" w:rsidRDefault="008A4980" w:rsidP="008A4980">
      <w:pPr>
        <w:pStyle w:val="NoSpacing"/>
        <w:rPr>
          <w:rFonts w:asciiTheme="majorHAnsi" w:hAnsiTheme="majorHAnsi" w:cs="Arial"/>
          <w:sz w:val="24"/>
          <w:szCs w:val="24"/>
        </w:rPr>
      </w:pPr>
      <w:r w:rsidRPr="008A4980">
        <w:rPr>
          <w:rFonts w:asciiTheme="majorHAnsi" w:hAnsiTheme="majorHAnsi" w:cs="Arial"/>
          <w:sz w:val="24"/>
          <w:szCs w:val="24"/>
        </w:rPr>
        <w:t>Kaohsiung Medical University, Taiwan</w:t>
      </w:r>
    </w:p>
    <w:p w:rsidR="008A4980" w:rsidRPr="009344FF" w:rsidRDefault="008A4980" w:rsidP="009344FF">
      <w:pPr>
        <w:rPr>
          <w:b/>
          <w:u w:val="single"/>
        </w:rPr>
      </w:pPr>
      <w:bookmarkStart w:id="2" w:name="_GoBack"/>
      <w:bookmarkEnd w:id="1"/>
      <w:bookmarkEnd w:id="2"/>
    </w:p>
    <w:sectPr w:rsidR="008A4980"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2MzK2MLc0NDIzMTFS0lEKTi0uzszPAykwrAUAUGVfQywAAAA="/>
  </w:docVars>
  <w:rsids>
    <w:rsidRoot w:val="00A72896"/>
    <w:rsid w:val="002C0B2C"/>
    <w:rsid w:val="008A4980"/>
    <w:rsid w:val="009344FF"/>
    <w:rsid w:val="009F328F"/>
    <w:rsid w:val="00A72896"/>
    <w:rsid w:val="00DC6F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EB0D"/>
  <w15:docId w15:val="{20380E0A-1049-4CE7-9263-B69C0FBA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980"/>
    <w:pPr>
      <w:spacing w:after="0" w:line="240" w:lineRule="auto"/>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3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PC New 16</cp:lastModifiedBy>
  <cp:revision>4</cp:revision>
  <dcterms:created xsi:type="dcterms:W3CDTF">2025-02-19T08:37:00Z</dcterms:created>
  <dcterms:modified xsi:type="dcterms:W3CDTF">2025-10-31T05:36:00Z</dcterms:modified>
</cp:coreProperties>
</file>