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DE892" w14:textId="069DA0C3" w:rsidR="00493B7D" w:rsidRPr="00493B7D" w:rsidRDefault="00493B7D" w:rsidP="00F1379E">
      <w:pPr>
        <w:pStyle w:val="NoSpacing"/>
        <w:jc w:val="both"/>
        <w:rPr>
          <w:b/>
          <w:bCs/>
          <w:sz w:val="24"/>
          <w:szCs w:val="24"/>
        </w:rPr>
      </w:pPr>
      <w:r w:rsidRPr="00493B7D">
        <w:rPr>
          <w:b/>
          <w:bCs/>
          <w:i/>
          <w:iCs/>
          <w:sz w:val="36"/>
          <w:szCs w:val="36"/>
        </w:rPr>
        <w:t>Original Research Article</w:t>
      </w:r>
    </w:p>
    <w:p w14:paraId="07B35A58" w14:textId="77777777" w:rsidR="00493B7D" w:rsidRDefault="00493B7D" w:rsidP="00F1379E">
      <w:pPr>
        <w:pStyle w:val="NoSpacing"/>
        <w:jc w:val="both"/>
        <w:rPr>
          <w:b/>
          <w:sz w:val="24"/>
          <w:szCs w:val="24"/>
        </w:rPr>
      </w:pPr>
    </w:p>
    <w:p w14:paraId="53D27A72" w14:textId="5F602D36" w:rsidR="00676E10" w:rsidRPr="007908F0" w:rsidRDefault="00676E10" w:rsidP="00F1379E">
      <w:pPr>
        <w:pStyle w:val="NoSpacing"/>
        <w:jc w:val="both"/>
        <w:rPr>
          <w:b/>
          <w:sz w:val="24"/>
          <w:szCs w:val="24"/>
        </w:rPr>
      </w:pPr>
      <w:r w:rsidRPr="00676E10">
        <w:rPr>
          <w:b/>
          <w:sz w:val="24"/>
          <w:szCs w:val="24"/>
        </w:rPr>
        <w:t xml:space="preserve">Dietary Protein Supplementation Reverses Spinal Cord Neurodegeneration in a Rat Model of </w:t>
      </w:r>
      <w:r w:rsidR="00DC129B">
        <w:rPr>
          <w:b/>
          <w:sz w:val="24"/>
          <w:szCs w:val="24"/>
        </w:rPr>
        <w:t>Bitter</w:t>
      </w:r>
      <w:r w:rsidRPr="00676E10">
        <w:rPr>
          <w:b/>
          <w:sz w:val="24"/>
          <w:szCs w:val="24"/>
        </w:rPr>
        <w:t xml:space="preserve"> </w:t>
      </w:r>
      <w:r w:rsidR="00DC129B">
        <w:rPr>
          <w:b/>
          <w:sz w:val="24"/>
          <w:szCs w:val="24"/>
        </w:rPr>
        <w:t>Cassava</w:t>
      </w:r>
      <w:r w:rsidRPr="00676E10">
        <w:rPr>
          <w:b/>
          <w:sz w:val="24"/>
          <w:szCs w:val="24"/>
        </w:rPr>
        <w:t>-Induced Konzo</w:t>
      </w:r>
      <w:r>
        <w:rPr>
          <w:b/>
          <w:sz w:val="24"/>
          <w:szCs w:val="24"/>
        </w:rPr>
        <w:t xml:space="preserve"> </w:t>
      </w:r>
    </w:p>
    <w:p w14:paraId="437BF2F9" w14:textId="77777777" w:rsidR="00A90A92" w:rsidRDefault="00A90A92" w:rsidP="00240C10">
      <w:pPr>
        <w:spacing w:line="276" w:lineRule="auto"/>
        <w:jc w:val="both"/>
        <w:rPr>
          <w:b/>
          <w:sz w:val="24"/>
          <w:szCs w:val="24"/>
        </w:rPr>
      </w:pPr>
    </w:p>
    <w:p w14:paraId="544EAE98" w14:textId="714D7484" w:rsidR="002C3D88" w:rsidRDefault="002C3D88" w:rsidP="00240C10">
      <w:pPr>
        <w:spacing w:line="276" w:lineRule="auto"/>
        <w:jc w:val="both"/>
        <w:rPr>
          <w:b/>
          <w:sz w:val="24"/>
          <w:szCs w:val="24"/>
        </w:rPr>
      </w:pPr>
      <w:r w:rsidRPr="000D31BB">
        <w:rPr>
          <w:b/>
          <w:sz w:val="24"/>
          <w:szCs w:val="24"/>
        </w:rPr>
        <w:t>ABSTRACT</w:t>
      </w:r>
    </w:p>
    <w:p w14:paraId="642D8587" w14:textId="2B41CE7B" w:rsidR="00D56244" w:rsidRDefault="00240C10" w:rsidP="00D56244">
      <w:pPr>
        <w:spacing w:after="240" w:line="276" w:lineRule="auto"/>
        <w:jc w:val="both"/>
        <w:rPr>
          <w:bCs/>
          <w:sz w:val="24"/>
          <w:szCs w:val="24"/>
        </w:rPr>
      </w:pPr>
      <w:r w:rsidRPr="00240C10">
        <w:rPr>
          <w:b/>
          <w:sz w:val="24"/>
          <w:szCs w:val="24"/>
        </w:rPr>
        <w:t>Background:</w:t>
      </w:r>
      <w:r>
        <w:rPr>
          <w:bCs/>
          <w:sz w:val="24"/>
          <w:szCs w:val="24"/>
        </w:rPr>
        <w:t xml:space="preserve"> </w:t>
      </w:r>
      <w:r w:rsidRPr="00240C10">
        <w:rPr>
          <w:bCs/>
          <w:sz w:val="24"/>
          <w:szCs w:val="24"/>
        </w:rPr>
        <w:t xml:space="preserve">Konzo, a neurological disorder linked to consumption of improperly processed </w:t>
      </w:r>
      <w:r w:rsidR="00DC129B">
        <w:rPr>
          <w:bCs/>
          <w:sz w:val="24"/>
          <w:szCs w:val="24"/>
        </w:rPr>
        <w:t>Bitter</w:t>
      </w:r>
      <w:r w:rsidR="00DC129B" w:rsidRPr="00240C10">
        <w:rPr>
          <w:bCs/>
          <w:sz w:val="24"/>
          <w:szCs w:val="24"/>
        </w:rPr>
        <w:t xml:space="preserve"> </w:t>
      </w:r>
      <w:r w:rsidR="00DC129B">
        <w:rPr>
          <w:bCs/>
          <w:sz w:val="24"/>
          <w:szCs w:val="24"/>
        </w:rPr>
        <w:t>Cassava</w:t>
      </w:r>
      <w:r w:rsidRPr="00240C10">
        <w:rPr>
          <w:bCs/>
          <w:sz w:val="24"/>
          <w:szCs w:val="24"/>
        </w:rPr>
        <w:t>, is characterized by motor neuron damage and paralysis, yet effective dietary interventions remain poorly understood. This study investigated the potential protective and rehabilitative effects of an eggshell and brown bean protein supplement on spinal cord histoarchitecture in a rat model of Konzo.</w:t>
      </w:r>
      <w:r>
        <w:rPr>
          <w:bCs/>
          <w:sz w:val="24"/>
          <w:szCs w:val="24"/>
        </w:rPr>
        <w:t xml:space="preserve"> </w:t>
      </w:r>
      <w:r w:rsidRPr="00240C10">
        <w:rPr>
          <w:b/>
          <w:sz w:val="24"/>
          <w:szCs w:val="24"/>
        </w:rPr>
        <w:t>Methods:</w:t>
      </w:r>
      <w:r>
        <w:rPr>
          <w:bCs/>
          <w:sz w:val="24"/>
          <w:szCs w:val="24"/>
        </w:rPr>
        <w:t xml:space="preserve"> </w:t>
      </w:r>
      <w:r w:rsidR="00D56244" w:rsidRPr="00D56244">
        <w:rPr>
          <w:bCs/>
          <w:sz w:val="24"/>
          <w:szCs w:val="24"/>
        </w:rPr>
        <w:t xml:space="preserve">Twenty-five female Wistar rats (200–250 g) were randomly assigned into five groups (n=5). Group 1 received standard feed, while Group 2 was fed </w:t>
      </w:r>
      <w:r w:rsidR="00DC129B">
        <w:rPr>
          <w:bCs/>
          <w:sz w:val="24"/>
          <w:szCs w:val="24"/>
        </w:rPr>
        <w:t>Bitter</w:t>
      </w:r>
      <w:r w:rsidR="00D56244" w:rsidRPr="00D56244">
        <w:rPr>
          <w:bCs/>
          <w:sz w:val="24"/>
          <w:szCs w:val="24"/>
        </w:rPr>
        <w:t xml:space="preserve"> </w:t>
      </w:r>
      <w:r w:rsidR="00DC129B">
        <w:rPr>
          <w:bCs/>
          <w:sz w:val="24"/>
          <w:szCs w:val="24"/>
        </w:rPr>
        <w:t>Cassava</w:t>
      </w:r>
      <w:r w:rsidR="00D56244" w:rsidRPr="00D56244">
        <w:rPr>
          <w:bCs/>
          <w:sz w:val="24"/>
          <w:szCs w:val="24"/>
        </w:rPr>
        <w:t xml:space="preserve"> chow to induce Konzo. Group 3 received </w:t>
      </w:r>
      <w:r w:rsidR="00DC129B">
        <w:rPr>
          <w:bCs/>
          <w:sz w:val="24"/>
          <w:szCs w:val="24"/>
        </w:rPr>
        <w:t>Cassava</w:t>
      </w:r>
      <w:r w:rsidR="00D56244" w:rsidRPr="00D56244">
        <w:rPr>
          <w:bCs/>
          <w:sz w:val="24"/>
          <w:szCs w:val="24"/>
        </w:rPr>
        <w:t xml:space="preserve"> plus standard feed, Group 4 received </w:t>
      </w:r>
      <w:r w:rsidR="00DC129B">
        <w:rPr>
          <w:bCs/>
          <w:sz w:val="24"/>
          <w:szCs w:val="24"/>
        </w:rPr>
        <w:t>Cassava</w:t>
      </w:r>
      <w:r w:rsidR="00D56244" w:rsidRPr="00D56244">
        <w:rPr>
          <w:bCs/>
          <w:sz w:val="24"/>
          <w:szCs w:val="24"/>
        </w:rPr>
        <w:t xml:space="preserve"> plus eggshell and brown bean supplement, and Group 5 received the supplement alone. Feeding lasted four weeks. After sacrifice, spinal cords were harvested at the C4–C6 level and examined using qualitative histological assessment with Nissl staining to evaluate neuronal integrity.</w:t>
      </w:r>
      <w:r w:rsidR="00D56244">
        <w:rPr>
          <w:bCs/>
          <w:sz w:val="24"/>
          <w:szCs w:val="24"/>
        </w:rPr>
        <w:t xml:space="preserve"> </w:t>
      </w:r>
      <w:r w:rsidRPr="00240C10">
        <w:rPr>
          <w:b/>
          <w:sz w:val="24"/>
          <w:szCs w:val="24"/>
        </w:rPr>
        <w:t>Results:</w:t>
      </w:r>
      <w:r>
        <w:rPr>
          <w:bCs/>
          <w:sz w:val="24"/>
          <w:szCs w:val="24"/>
        </w:rPr>
        <w:t xml:space="preserve"> </w:t>
      </w:r>
      <w:r w:rsidR="00D56244" w:rsidRPr="00D56244">
        <w:rPr>
          <w:bCs/>
          <w:sz w:val="24"/>
          <w:szCs w:val="24"/>
        </w:rPr>
        <w:t xml:space="preserve">Histological analysis revealed preserved cytoarchitecture in the control group, with intact anterior horn motor neurons containing abundant Nissl substances. </w:t>
      </w:r>
      <w:r w:rsidR="00DC129B">
        <w:rPr>
          <w:bCs/>
          <w:sz w:val="24"/>
          <w:szCs w:val="24"/>
        </w:rPr>
        <w:t>Cassava</w:t>
      </w:r>
      <w:r w:rsidR="00D56244" w:rsidRPr="00D56244">
        <w:rPr>
          <w:bCs/>
          <w:sz w:val="24"/>
          <w:szCs w:val="24"/>
        </w:rPr>
        <w:t xml:space="preserve">-only rats displayed marked neurodegeneration, including distorted spinal cord structure, chromatolysis, and gliosis. In the </w:t>
      </w:r>
      <w:r w:rsidR="00DC129B">
        <w:rPr>
          <w:bCs/>
          <w:sz w:val="24"/>
          <w:szCs w:val="24"/>
        </w:rPr>
        <w:t>Cassava</w:t>
      </w:r>
      <w:r w:rsidR="00D56244" w:rsidRPr="00D56244">
        <w:rPr>
          <w:bCs/>
          <w:sz w:val="24"/>
          <w:szCs w:val="24"/>
        </w:rPr>
        <w:t xml:space="preserve"> plus standard feed group, partial preservation was observed, with some neurons retaining normal morphology alongside degenerative changes. The </w:t>
      </w:r>
      <w:r w:rsidR="00DC129B">
        <w:rPr>
          <w:bCs/>
          <w:sz w:val="24"/>
          <w:szCs w:val="24"/>
        </w:rPr>
        <w:t>Cassava</w:t>
      </w:r>
      <w:r w:rsidR="00D56244" w:rsidRPr="00D56244">
        <w:rPr>
          <w:bCs/>
          <w:sz w:val="24"/>
          <w:szCs w:val="24"/>
        </w:rPr>
        <w:t xml:space="preserve"> plus supplement group showed improved preservation, with well-organized grey and white matter, reduced degeneration, and restoration of motor neurons. Supplement-only rats exhibited generally normal spinal cord structure, with mild gliosis and occasional neuronal degeneration.</w:t>
      </w:r>
      <w:r w:rsidR="00D56244">
        <w:rPr>
          <w:bCs/>
          <w:sz w:val="24"/>
          <w:szCs w:val="24"/>
        </w:rPr>
        <w:t xml:space="preserve"> </w:t>
      </w:r>
      <w:r w:rsidRPr="00240C10">
        <w:rPr>
          <w:b/>
          <w:sz w:val="24"/>
          <w:szCs w:val="24"/>
        </w:rPr>
        <w:t>Conclusion:</w:t>
      </w:r>
      <w:r w:rsidRPr="00240C10">
        <w:rPr>
          <w:bCs/>
          <w:sz w:val="24"/>
          <w:szCs w:val="24"/>
        </w:rPr>
        <w:t xml:space="preserve"> </w:t>
      </w:r>
      <w:r w:rsidR="00D56244" w:rsidRPr="00D56244">
        <w:rPr>
          <w:bCs/>
          <w:sz w:val="24"/>
          <w:szCs w:val="24"/>
        </w:rPr>
        <w:t xml:space="preserve">Supplementation with eggshell </w:t>
      </w:r>
      <w:r w:rsidR="00F434B5">
        <w:rPr>
          <w:bCs/>
          <w:sz w:val="24"/>
          <w:szCs w:val="24"/>
        </w:rPr>
        <w:t>+</w:t>
      </w:r>
      <w:r w:rsidR="00D56244" w:rsidRPr="00D56244">
        <w:rPr>
          <w:bCs/>
          <w:sz w:val="24"/>
          <w:szCs w:val="24"/>
        </w:rPr>
        <w:t xml:space="preserve"> brown beans conferred notable neuroprotective and rehabilitative effects against </w:t>
      </w:r>
      <w:r w:rsidR="00DC129B">
        <w:rPr>
          <w:bCs/>
          <w:sz w:val="24"/>
          <w:szCs w:val="24"/>
        </w:rPr>
        <w:t>Cassava</w:t>
      </w:r>
      <w:r w:rsidR="00D56244" w:rsidRPr="00D56244">
        <w:rPr>
          <w:bCs/>
          <w:sz w:val="24"/>
          <w:szCs w:val="24"/>
        </w:rPr>
        <w:t>-induced spinal cord damage. These findings suggest that simple dietary interventions may have practical translational value in populations at risk of Konzo and highlight the potential of nutritional neuroprotection as a low-cost strategy for mitigating Konzo-related neurotoxicity.</w:t>
      </w:r>
    </w:p>
    <w:p w14:paraId="5AFDCDCD" w14:textId="6AB33AF4" w:rsidR="00492466" w:rsidRDefault="00676E10" w:rsidP="00D56244">
      <w:pPr>
        <w:spacing w:after="240" w:line="276" w:lineRule="auto"/>
        <w:jc w:val="both"/>
        <w:rPr>
          <w:bCs/>
          <w:sz w:val="24"/>
          <w:szCs w:val="24"/>
        </w:rPr>
      </w:pPr>
      <w:r w:rsidRPr="00676E10">
        <w:rPr>
          <w:b/>
          <w:sz w:val="24"/>
          <w:szCs w:val="24"/>
        </w:rPr>
        <w:t>Key words:</w:t>
      </w:r>
      <w:r>
        <w:rPr>
          <w:bCs/>
          <w:sz w:val="24"/>
          <w:szCs w:val="24"/>
        </w:rPr>
        <w:t xml:space="preserve"> </w:t>
      </w:r>
      <w:r w:rsidRPr="00676E10">
        <w:rPr>
          <w:bCs/>
          <w:sz w:val="24"/>
          <w:szCs w:val="24"/>
        </w:rPr>
        <w:t>Konzo</w:t>
      </w:r>
      <w:r>
        <w:rPr>
          <w:bCs/>
          <w:sz w:val="24"/>
          <w:szCs w:val="24"/>
        </w:rPr>
        <w:t xml:space="preserve">, </w:t>
      </w:r>
      <w:r w:rsidR="00DC129B">
        <w:rPr>
          <w:bCs/>
          <w:sz w:val="24"/>
          <w:szCs w:val="24"/>
        </w:rPr>
        <w:t>Bitter</w:t>
      </w:r>
      <w:r w:rsidRPr="00676E10">
        <w:rPr>
          <w:bCs/>
          <w:sz w:val="24"/>
          <w:szCs w:val="24"/>
        </w:rPr>
        <w:t xml:space="preserve"> </w:t>
      </w:r>
      <w:r w:rsidR="00DC129B">
        <w:rPr>
          <w:bCs/>
          <w:sz w:val="24"/>
          <w:szCs w:val="24"/>
        </w:rPr>
        <w:t>Cassava</w:t>
      </w:r>
      <w:r>
        <w:rPr>
          <w:bCs/>
          <w:sz w:val="24"/>
          <w:szCs w:val="24"/>
        </w:rPr>
        <w:t xml:space="preserve">, </w:t>
      </w:r>
      <w:r w:rsidR="00D56244" w:rsidRPr="00D56244">
        <w:rPr>
          <w:bCs/>
          <w:sz w:val="24"/>
          <w:szCs w:val="24"/>
        </w:rPr>
        <w:t>Dietary intervention</w:t>
      </w:r>
      <w:r w:rsidR="00D56244">
        <w:rPr>
          <w:bCs/>
          <w:sz w:val="24"/>
          <w:szCs w:val="24"/>
        </w:rPr>
        <w:t xml:space="preserve">, </w:t>
      </w:r>
      <w:r w:rsidR="00D56244" w:rsidRPr="00D56244">
        <w:rPr>
          <w:bCs/>
          <w:sz w:val="24"/>
          <w:szCs w:val="24"/>
        </w:rPr>
        <w:t xml:space="preserve">Nutritional </w:t>
      </w:r>
      <w:r w:rsidRPr="00676E10">
        <w:rPr>
          <w:bCs/>
          <w:sz w:val="24"/>
          <w:szCs w:val="24"/>
        </w:rPr>
        <w:t>Neuroprotection</w:t>
      </w:r>
      <w:r>
        <w:rPr>
          <w:bCs/>
          <w:sz w:val="24"/>
          <w:szCs w:val="24"/>
        </w:rPr>
        <w:t xml:space="preserve">, </w:t>
      </w:r>
      <w:r w:rsidRPr="00676E10">
        <w:rPr>
          <w:bCs/>
          <w:sz w:val="24"/>
          <w:szCs w:val="24"/>
        </w:rPr>
        <w:t>Spinal cord histology</w:t>
      </w:r>
      <w:r>
        <w:rPr>
          <w:bCs/>
          <w:sz w:val="24"/>
          <w:szCs w:val="24"/>
        </w:rPr>
        <w:t xml:space="preserve">, </w:t>
      </w:r>
      <w:r w:rsidRPr="00676E10">
        <w:rPr>
          <w:bCs/>
          <w:sz w:val="24"/>
          <w:szCs w:val="24"/>
        </w:rPr>
        <w:t>Eggshell–brown bean supplement</w:t>
      </w:r>
      <w:r>
        <w:rPr>
          <w:bCs/>
          <w:sz w:val="24"/>
          <w:szCs w:val="24"/>
        </w:rPr>
        <w:t xml:space="preserve">, Sulphur-rich diet, </w:t>
      </w:r>
      <w:r w:rsidRPr="00676E10">
        <w:rPr>
          <w:bCs/>
          <w:sz w:val="24"/>
          <w:szCs w:val="24"/>
        </w:rPr>
        <w:t>Wistar rats</w:t>
      </w:r>
    </w:p>
    <w:p w14:paraId="72A7E1FF" w14:textId="77777777" w:rsidR="00676E10" w:rsidRPr="00676E10" w:rsidRDefault="00676E10" w:rsidP="00676E10">
      <w:pPr>
        <w:jc w:val="both"/>
        <w:rPr>
          <w:bCs/>
          <w:sz w:val="24"/>
          <w:szCs w:val="24"/>
        </w:rPr>
      </w:pPr>
    </w:p>
    <w:p w14:paraId="17928A82" w14:textId="77777777" w:rsidR="006D779D" w:rsidRDefault="00492466" w:rsidP="006D779D">
      <w:pPr>
        <w:spacing w:line="480" w:lineRule="auto"/>
        <w:jc w:val="both"/>
        <w:rPr>
          <w:b/>
          <w:spacing w:val="2"/>
          <w:sz w:val="24"/>
          <w:szCs w:val="24"/>
        </w:rPr>
      </w:pPr>
      <w:r w:rsidRPr="000D31BB">
        <w:rPr>
          <w:b/>
          <w:spacing w:val="2"/>
          <w:sz w:val="24"/>
          <w:szCs w:val="24"/>
        </w:rPr>
        <w:t>INTRODUCTION</w:t>
      </w:r>
    </w:p>
    <w:p w14:paraId="5B7C60DA" w14:textId="319E1DBE" w:rsidR="00D929AE" w:rsidRPr="00D929AE" w:rsidRDefault="00D929AE" w:rsidP="00D929AE">
      <w:pPr>
        <w:spacing w:line="480" w:lineRule="auto"/>
        <w:jc w:val="both"/>
        <w:rPr>
          <w:sz w:val="24"/>
          <w:szCs w:val="24"/>
        </w:rPr>
      </w:pPr>
      <w:r w:rsidRPr="00D929AE">
        <w:rPr>
          <w:sz w:val="24"/>
          <w:szCs w:val="24"/>
        </w:rPr>
        <w:t>Konzo is an irreversible, non-progressive motor neuron disorder characterized by sudden-onset spastic paraparesis, predominantly affecting children and women of childbearing age in sub-Saharan Africa during periods of food insecurity </w:t>
      </w:r>
      <w:r w:rsidR="001E157A" w:rsidRPr="00826533">
        <w:rPr>
          <w:sz w:val="24"/>
          <w:szCs w:val="24"/>
        </w:rPr>
        <w:t>(Kashala-</w:t>
      </w:r>
      <w:proofErr w:type="spellStart"/>
      <w:r w:rsidR="001E157A" w:rsidRPr="00826533">
        <w:rPr>
          <w:sz w:val="24"/>
          <w:szCs w:val="24"/>
        </w:rPr>
        <w:t>Abotnes</w:t>
      </w:r>
      <w:proofErr w:type="spellEnd"/>
      <w:r w:rsidR="001E157A" w:rsidRPr="00826533">
        <w:rPr>
          <w:sz w:val="24"/>
          <w:szCs w:val="24"/>
        </w:rPr>
        <w:t xml:space="preserve"> et al., 2019; David et al., 2022; </w:t>
      </w:r>
      <w:r w:rsidR="001E157A" w:rsidRPr="00826533">
        <w:rPr>
          <w:sz w:val="24"/>
          <w:szCs w:val="24"/>
        </w:rPr>
        <w:lastRenderedPageBreak/>
        <w:t>Okpaku et al., 2024)</w:t>
      </w:r>
      <w:r w:rsidRPr="00D929AE">
        <w:rPr>
          <w:sz w:val="24"/>
          <w:szCs w:val="24"/>
        </w:rPr>
        <w:t xml:space="preserve">. The disease is intrinsically linked to chronic dietary reliance on insufficiently processed </w:t>
      </w:r>
      <w:r w:rsidR="00DC129B">
        <w:rPr>
          <w:sz w:val="24"/>
          <w:szCs w:val="24"/>
        </w:rPr>
        <w:t>Bitter</w:t>
      </w:r>
      <w:r w:rsidRPr="00D929AE">
        <w:rPr>
          <w:sz w:val="24"/>
          <w:szCs w:val="24"/>
        </w:rPr>
        <w:t xml:space="preserve"> </w:t>
      </w:r>
      <w:r w:rsidR="00DC129B">
        <w:rPr>
          <w:sz w:val="24"/>
          <w:szCs w:val="24"/>
        </w:rPr>
        <w:t>Cassava</w:t>
      </w:r>
      <w:r w:rsidRPr="00D929AE">
        <w:rPr>
          <w:sz w:val="24"/>
          <w:szCs w:val="24"/>
        </w:rPr>
        <w:t xml:space="preserve"> (</w:t>
      </w:r>
      <w:r w:rsidRPr="00D929AE">
        <w:rPr>
          <w:i/>
          <w:iCs/>
          <w:sz w:val="24"/>
          <w:szCs w:val="24"/>
        </w:rPr>
        <w:t>Manihot esculenta</w:t>
      </w:r>
      <w:r w:rsidRPr="00D929AE">
        <w:rPr>
          <w:sz w:val="24"/>
          <w:szCs w:val="24"/>
        </w:rPr>
        <w:t xml:space="preserve"> Crantz), which contains high levels of cyanogenic glycosides, primarily linamarin and </w:t>
      </w:r>
      <w:proofErr w:type="spellStart"/>
      <w:r w:rsidRPr="00D929AE">
        <w:rPr>
          <w:sz w:val="24"/>
          <w:szCs w:val="24"/>
        </w:rPr>
        <w:t>lotaustralin</w:t>
      </w:r>
      <w:proofErr w:type="spellEnd"/>
      <w:r w:rsidR="001E157A" w:rsidRPr="00826533">
        <w:rPr>
          <w:sz w:val="24"/>
          <w:szCs w:val="24"/>
        </w:rPr>
        <w:t xml:space="preserve"> (Newton, 2017; Kashala-</w:t>
      </w:r>
      <w:proofErr w:type="spellStart"/>
      <w:r w:rsidR="001E157A" w:rsidRPr="00826533">
        <w:rPr>
          <w:sz w:val="24"/>
          <w:szCs w:val="24"/>
        </w:rPr>
        <w:t>Abotnes</w:t>
      </w:r>
      <w:proofErr w:type="spellEnd"/>
      <w:r w:rsidR="001E157A" w:rsidRPr="00826533">
        <w:rPr>
          <w:sz w:val="24"/>
          <w:szCs w:val="24"/>
        </w:rPr>
        <w:t xml:space="preserve"> et al., 2019)</w:t>
      </w:r>
      <w:r w:rsidRPr="00D929AE">
        <w:rPr>
          <w:sz w:val="24"/>
          <w:szCs w:val="24"/>
        </w:rPr>
        <w:t xml:space="preserve">. Under conditions of protein malnutrition, particularly deficiencies in </w:t>
      </w:r>
      <w:r w:rsidR="001E157A" w:rsidRPr="00826533">
        <w:rPr>
          <w:sz w:val="24"/>
          <w:szCs w:val="24"/>
        </w:rPr>
        <w:t>sulphur</w:t>
      </w:r>
      <w:r w:rsidRPr="00D929AE">
        <w:rPr>
          <w:sz w:val="24"/>
          <w:szCs w:val="24"/>
        </w:rPr>
        <w:t>-containing amino acids, the detoxification of cyanide to thiocyanate is impaired, leading to the accumulation of neurotoxic metabolites such as cyanate and thiocyanate </w:t>
      </w:r>
      <w:r w:rsidR="001E157A" w:rsidRPr="00826533">
        <w:rPr>
          <w:sz w:val="24"/>
          <w:szCs w:val="24"/>
        </w:rPr>
        <w:t>(</w:t>
      </w:r>
      <w:proofErr w:type="spellStart"/>
      <w:r w:rsidR="001E157A" w:rsidRPr="00826533">
        <w:rPr>
          <w:sz w:val="24"/>
          <w:szCs w:val="24"/>
        </w:rPr>
        <w:t>Mohidin</w:t>
      </w:r>
      <w:proofErr w:type="spellEnd"/>
      <w:r w:rsidR="001E157A" w:rsidRPr="00826533">
        <w:rPr>
          <w:sz w:val="24"/>
          <w:szCs w:val="24"/>
        </w:rPr>
        <w:t xml:space="preserve"> et al., 2023)</w:t>
      </w:r>
      <w:r w:rsidRPr="00D929AE">
        <w:rPr>
          <w:sz w:val="24"/>
          <w:szCs w:val="24"/>
        </w:rPr>
        <w:t>. These compounds disrupt mitochondrial function, induce oxidative stress, and cause selective damage to upper motor neurons, particularly in the corticospinal tracts </w:t>
      </w:r>
      <w:r w:rsidR="001E157A" w:rsidRPr="00826533">
        <w:rPr>
          <w:sz w:val="24"/>
          <w:szCs w:val="24"/>
        </w:rPr>
        <w:t>(</w:t>
      </w:r>
      <w:proofErr w:type="spellStart"/>
      <w:r w:rsidR="001E157A" w:rsidRPr="00826533">
        <w:rPr>
          <w:sz w:val="24"/>
          <w:szCs w:val="24"/>
        </w:rPr>
        <w:t>Tylleskär</w:t>
      </w:r>
      <w:proofErr w:type="spellEnd"/>
      <w:r w:rsidR="001E157A" w:rsidRPr="00826533">
        <w:rPr>
          <w:sz w:val="24"/>
          <w:szCs w:val="24"/>
        </w:rPr>
        <w:t xml:space="preserve"> et al., 1993; </w:t>
      </w:r>
      <w:proofErr w:type="spellStart"/>
      <w:r w:rsidR="001E157A" w:rsidRPr="00826533">
        <w:rPr>
          <w:sz w:val="24"/>
          <w:szCs w:val="24"/>
        </w:rPr>
        <w:t>Enefa</w:t>
      </w:r>
      <w:proofErr w:type="spellEnd"/>
      <w:r w:rsidR="001E157A" w:rsidRPr="00826533">
        <w:rPr>
          <w:sz w:val="24"/>
          <w:szCs w:val="24"/>
        </w:rPr>
        <w:t xml:space="preserve"> </w:t>
      </w:r>
      <w:r w:rsidR="001E157A" w:rsidRPr="00826533">
        <w:rPr>
          <w:i/>
          <w:sz w:val="24"/>
          <w:szCs w:val="24"/>
        </w:rPr>
        <w:t>et al.,</w:t>
      </w:r>
      <w:r w:rsidR="001E157A" w:rsidRPr="00826533">
        <w:rPr>
          <w:sz w:val="24"/>
          <w:szCs w:val="24"/>
        </w:rPr>
        <w:t xml:space="preserve"> 2020; Okpaku et al., 2024)</w:t>
      </w:r>
      <w:r w:rsidRPr="00D929AE">
        <w:rPr>
          <w:sz w:val="24"/>
          <w:szCs w:val="24"/>
        </w:rPr>
        <w:t>.</w:t>
      </w:r>
    </w:p>
    <w:p w14:paraId="4D9C6DE0" w14:textId="7B33D324" w:rsidR="00D929AE" w:rsidRPr="00D929AE" w:rsidRDefault="00D929AE" w:rsidP="00D929AE">
      <w:pPr>
        <w:spacing w:line="480" w:lineRule="auto"/>
        <w:jc w:val="both"/>
        <w:rPr>
          <w:sz w:val="24"/>
          <w:szCs w:val="24"/>
        </w:rPr>
      </w:pPr>
      <w:r w:rsidRPr="00D929AE">
        <w:rPr>
          <w:sz w:val="24"/>
          <w:szCs w:val="24"/>
        </w:rPr>
        <w:t xml:space="preserve">Epidemiological studies have consistently associated konzo outbreaks with agro-ecological collapse, drought, and conflict, where traditional </w:t>
      </w:r>
      <w:r w:rsidR="00DC129B">
        <w:rPr>
          <w:sz w:val="24"/>
          <w:szCs w:val="24"/>
        </w:rPr>
        <w:t>Cassava</w:t>
      </w:r>
      <w:r w:rsidRPr="00D929AE">
        <w:rPr>
          <w:sz w:val="24"/>
          <w:szCs w:val="24"/>
        </w:rPr>
        <w:t xml:space="preserve"> processing methods are compromised </w:t>
      </w:r>
      <w:r w:rsidR="001E157A" w:rsidRPr="00826533">
        <w:rPr>
          <w:sz w:val="24"/>
          <w:szCs w:val="24"/>
        </w:rPr>
        <w:t>(Newton, 2017; Kashala-</w:t>
      </w:r>
      <w:proofErr w:type="spellStart"/>
      <w:r w:rsidR="001E157A" w:rsidRPr="00826533">
        <w:rPr>
          <w:sz w:val="24"/>
          <w:szCs w:val="24"/>
        </w:rPr>
        <w:t>Abotnes</w:t>
      </w:r>
      <w:proofErr w:type="spellEnd"/>
      <w:r w:rsidR="001E157A" w:rsidRPr="00826533">
        <w:rPr>
          <w:sz w:val="24"/>
          <w:szCs w:val="24"/>
        </w:rPr>
        <w:t xml:space="preserve"> et al., 2019)</w:t>
      </w:r>
      <w:r w:rsidRPr="00D929AE">
        <w:rPr>
          <w:sz w:val="24"/>
          <w:szCs w:val="24"/>
        </w:rPr>
        <w:t>. Neuropathologically, konzo presents with symmetrical degeneration of motor neurons in the spinal cord and brainstem, accompanied by gliosis and chromatolysis, as observed in histological and neurophysiological studies </w:t>
      </w:r>
      <w:r w:rsidR="001E157A" w:rsidRPr="00826533">
        <w:rPr>
          <w:sz w:val="24"/>
          <w:szCs w:val="24"/>
        </w:rPr>
        <w:t>(Amadi et al., 2022; David et al., 2023)</w:t>
      </w:r>
      <w:r w:rsidRPr="00D929AE">
        <w:rPr>
          <w:sz w:val="24"/>
          <w:szCs w:val="24"/>
        </w:rPr>
        <w:t>. Despite the well-characterized clinical presentation, the exact molecular mechanisms underlying neuronal damage remain incompletely elucidated, and no curative or rehabilitative interventions exist.</w:t>
      </w:r>
    </w:p>
    <w:p w14:paraId="05300CAF" w14:textId="6E1008C9" w:rsidR="00D929AE" w:rsidRPr="00D929AE" w:rsidRDefault="00D929AE" w:rsidP="00D929AE">
      <w:pPr>
        <w:spacing w:line="480" w:lineRule="auto"/>
        <w:jc w:val="both"/>
        <w:rPr>
          <w:sz w:val="24"/>
          <w:szCs w:val="24"/>
        </w:rPr>
      </w:pPr>
      <w:r w:rsidRPr="00D929AE">
        <w:rPr>
          <w:sz w:val="24"/>
          <w:szCs w:val="24"/>
        </w:rPr>
        <w:t xml:space="preserve">Animal models have been critical in replicating konzo’s neuropathological features, with studies demonstrating that prolonged exposure to cyanogenic glycosides from </w:t>
      </w:r>
      <w:r w:rsidR="00DC129B">
        <w:rPr>
          <w:sz w:val="24"/>
          <w:szCs w:val="24"/>
        </w:rPr>
        <w:t>Bitter</w:t>
      </w:r>
      <w:r w:rsidRPr="00D929AE">
        <w:rPr>
          <w:sz w:val="24"/>
          <w:szCs w:val="24"/>
        </w:rPr>
        <w:t xml:space="preserve"> </w:t>
      </w:r>
      <w:r w:rsidR="00DC129B">
        <w:rPr>
          <w:sz w:val="24"/>
          <w:szCs w:val="24"/>
        </w:rPr>
        <w:t>Cassava</w:t>
      </w:r>
      <w:r w:rsidRPr="00D929AE">
        <w:rPr>
          <w:sz w:val="24"/>
          <w:szCs w:val="24"/>
        </w:rPr>
        <w:t xml:space="preserve"> induces motor deficits and neuronal degeneration in rodents. However, these models have primarily focused on disease induction rather than rehabilitation strategies. Recent evidence suggests that nutritional supplementation with </w:t>
      </w:r>
      <w:r w:rsidR="001E157A" w:rsidRPr="00826533">
        <w:rPr>
          <w:sz w:val="24"/>
          <w:szCs w:val="24"/>
        </w:rPr>
        <w:t>sulphur</w:t>
      </w:r>
      <w:r w:rsidRPr="00D929AE">
        <w:rPr>
          <w:sz w:val="24"/>
          <w:szCs w:val="24"/>
        </w:rPr>
        <w:t xml:space="preserve">-rich proteins may mitigate cyanide toxicity by enhancing detoxification pathways. For instance, protein supplements providing methionine and cysteine </w:t>
      </w:r>
      <w:r w:rsidRPr="00D929AE">
        <w:rPr>
          <w:sz w:val="24"/>
          <w:szCs w:val="24"/>
        </w:rPr>
        <w:lastRenderedPageBreak/>
        <w:t>could potentially support the rhodanese-mediated conversion of cyanide to less toxic thiocyanate </w:t>
      </w:r>
      <w:r w:rsidR="001E157A" w:rsidRPr="00826533">
        <w:rPr>
          <w:sz w:val="24"/>
          <w:szCs w:val="24"/>
        </w:rPr>
        <w:t xml:space="preserve">(Newton, 2017; </w:t>
      </w:r>
      <w:proofErr w:type="spellStart"/>
      <w:r w:rsidR="001E157A" w:rsidRPr="00826533">
        <w:rPr>
          <w:sz w:val="24"/>
          <w:szCs w:val="24"/>
        </w:rPr>
        <w:t>Mohidin</w:t>
      </w:r>
      <w:proofErr w:type="spellEnd"/>
      <w:r w:rsidR="001E157A" w:rsidRPr="00826533">
        <w:rPr>
          <w:sz w:val="24"/>
          <w:szCs w:val="24"/>
        </w:rPr>
        <w:t xml:space="preserve"> et al., 2023)</w:t>
      </w:r>
      <w:r w:rsidRPr="00D929AE">
        <w:rPr>
          <w:sz w:val="24"/>
          <w:szCs w:val="24"/>
        </w:rPr>
        <w:t>.</w:t>
      </w:r>
    </w:p>
    <w:p w14:paraId="68BCA166" w14:textId="37E30263" w:rsidR="00D929AE" w:rsidRPr="00826533" w:rsidRDefault="00D929AE" w:rsidP="006D779D">
      <w:pPr>
        <w:spacing w:line="480" w:lineRule="auto"/>
        <w:jc w:val="both"/>
        <w:rPr>
          <w:sz w:val="24"/>
          <w:szCs w:val="24"/>
        </w:rPr>
      </w:pPr>
      <w:r w:rsidRPr="00D929AE">
        <w:rPr>
          <w:sz w:val="24"/>
          <w:szCs w:val="24"/>
        </w:rPr>
        <w:t xml:space="preserve">This study investigates the neuroprotective and rehabilitative potential of a protein-rich supplement comprising eggshell and brown beans in a rat model of konzo. Using histopathological analyses of the spinal cord, we evaluated whether supplementation could reverse or attenuate </w:t>
      </w:r>
      <w:r w:rsidR="00DC129B">
        <w:rPr>
          <w:sz w:val="24"/>
          <w:szCs w:val="24"/>
        </w:rPr>
        <w:t>Cassava</w:t>
      </w:r>
      <w:r w:rsidRPr="00D929AE">
        <w:rPr>
          <w:sz w:val="24"/>
          <w:szCs w:val="24"/>
        </w:rPr>
        <w:t xml:space="preserve">-induced neuronal damage. The findings aim to inform nutritional interventions for populations at risk of konzo and contribute to understanding the role of protein supplementation in mitigating neurotoxicity associated with cyanogenic </w:t>
      </w:r>
      <w:r w:rsidR="00DC129B">
        <w:rPr>
          <w:sz w:val="24"/>
          <w:szCs w:val="24"/>
        </w:rPr>
        <w:t>Cassava</w:t>
      </w:r>
      <w:r w:rsidRPr="00D929AE">
        <w:rPr>
          <w:sz w:val="24"/>
          <w:szCs w:val="24"/>
        </w:rPr>
        <w:t xml:space="preserve"> consumption.</w:t>
      </w:r>
    </w:p>
    <w:p w14:paraId="1B4876B3" w14:textId="44C17BE5" w:rsidR="00F1379E" w:rsidRPr="00C34073" w:rsidRDefault="00F1379E" w:rsidP="00F1379E">
      <w:pPr>
        <w:spacing w:line="480" w:lineRule="auto"/>
        <w:jc w:val="both"/>
        <w:rPr>
          <w:sz w:val="24"/>
          <w:szCs w:val="24"/>
        </w:rPr>
      </w:pPr>
      <w:r w:rsidRPr="00C34073">
        <w:rPr>
          <w:b/>
          <w:color w:val="212121"/>
          <w:sz w:val="24"/>
          <w:szCs w:val="24"/>
        </w:rPr>
        <w:t>METHO</w:t>
      </w:r>
      <w:r w:rsidR="00D929AE">
        <w:rPr>
          <w:b/>
          <w:color w:val="212121"/>
          <w:sz w:val="24"/>
          <w:szCs w:val="24"/>
        </w:rPr>
        <w:t>DS</w:t>
      </w:r>
    </w:p>
    <w:p w14:paraId="45FE69D3" w14:textId="77777777" w:rsidR="00F1379E" w:rsidRPr="00C34073" w:rsidRDefault="00F1379E" w:rsidP="00F1379E">
      <w:pPr>
        <w:spacing w:line="480" w:lineRule="auto"/>
        <w:jc w:val="both"/>
        <w:rPr>
          <w:b/>
          <w:bCs/>
          <w:sz w:val="24"/>
          <w:szCs w:val="24"/>
        </w:rPr>
      </w:pPr>
      <w:r w:rsidRPr="00C34073">
        <w:rPr>
          <w:b/>
          <w:bCs/>
          <w:sz w:val="24"/>
          <w:szCs w:val="24"/>
        </w:rPr>
        <w:t>Experimental Animals</w:t>
      </w:r>
    </w:p>
    <w:p w14:paraId="4C2E915A" w14:textId="77777777" w:rsidR="00F1379E" w:rsidRPr="00C34073" w:rsidRDefault="00F1379E" w:rsidP="00F1379E">
      <w:pPr>
        <w:spacing w:after="240" w:line="480" w:lineRule="auto"/>
        <w:jc w:val="both"/>
        <w:rPr>
          <w:sz w:val="24"/>
          <w:szCs w:val="24"/>
        </w:rPr>
      </w:pPr>
      <w:r w:rsidRPr="00C34073">
        <w:rPr>
          <w:sz w:val="24"/>
          <w:szCs w:val="24"/>
        </w:rPr>
        <w:t>Twenty-five female Wistar rats, weighing between 200-250 g, were procured from the Animal House of the Department of Pharmacology, Faculty of Basic Clinical Sciences, University of Port Harcourt. The animals were housed in clean, disinfected wooden cages lined with sawdust bedding and maintained under controlled environmental conditions: a 12-hour light/dark cycle, relative humidity of 50–60%, and a temperature of approximately 30 °C. Prior to the commencement of the experiment, the rats were acclimatized for two weeks with free access to clean water and standard animal feed.</w:t>
      </w:r>
    </w:p>
    <w:p w14:paraId="318B1166" w14:textId="77777777" w:rsidR="00F1379E" w:rsidRPr="00C43C73" w:rsidRDefault="00F1379E" w:rsidP="00F1379E">
      <w:pPr>
        <w:spacing w:line="480" w:lineRule="auto"/>
        <w:jc w:val="both"/>
        <w:rPr>
          <w:b/>
          <w:bCs/>
          <w:sz w:val="24"/>
          <w:szCs w:val="24"/>
        </w:rPr>
      </w:pPr>
      <w:r w:rsidRPr="00C43C73">
        <w:rPr>
          <w:b/>
          <w:bCs/>
          <w:sz w:val="24"/>
          <w:szCs w:val="24"/>
        </w:rPr>
        <w:t>Plant Collection, Identification, and Processing</w:t>
      </w:r>
    </w:p>
    <w:p w14:paraId="3F273884" w14:textId="13F85F96" w:rsidR="00F1379E" w:rsidRPr="00C43C73" w:rsidRDefault="00DC129B" w:rsidP="00F1379E">
      <w:pPr>
        <w:spacing w:line="480" w:lineRule="auto"/>
        <w:jc w:val="both"/>
        <w:rPr>
          <w:sz w:val="24"/>
          <w:szCs w:val="24"/>
        </w:rPr>
      </w:pPr>
      <w:r>
        <w:rPr>
          <w:sz w:val="24"/>
          <w:szCs w:val="24"/>
        </w:rPr>
        <w:t>Bitter</w:t>
      </w:r>
      <w:r w:rsidR="00F1379E" w:rsidRPr="00C43C73">
        <w:rPr>
          <w:sz w:val="24"/>
          <w:szCs w:val="24"/>
        </w:rPr>
        <w:t xml:space="preserve"> </w:t>
      </w:r>
      <w:r>
        <w:rPr>
          <w:sz w:val="24"/>
          <w:szCs w:val="24"/>
        </w:rPr>
        <w:t>Cassava</w:t>
      </w:r>
      <w:r w:rsidR="00F1379E" w:rsidRPr="00C43C73">
        <w:rPr>
          <w:sz w:val="24"/>
          <w:szCs w:val="24"/>
        </w:rPr>
        <w:t xml:space="preserve"> roots were collected from the Ministry of Agriculture, Agricultural Development Programme, and identified at the Faculty of Agricultural Science, University of Port Harcourt, Rivers State, Nigeria. Freshly harvested roots were immediately peeled with a knife to remove the brownish outer layer and expose the white inner portion. The peeled roots were then sliced into chips and sun-dried for three consecutive days, after which the dried pieces were ground into a </w:t>
      </w:r>
      <w:r w:rsidR="00F1379E" w:rsidRPr="00C43C73">
        <w:rPr>
          <w:sz w:val="24"/>
          <w:szCs w:val="24"/>
        </w:rPr>
        <w:lastRenderedPageBreak/>
        <w:t xml:space="preserve">fine powder using a grinding machine and administered to the experimental animals as </w:t>
      </w:r>
      <w:r>
        <w:rPr>
          <w:sz w:val="24"/>
          <w:szCs w:val="24"/>
        </w:rPr>
        <w:t>Cassava</w:t>
      </w:r>
      <w:r w:rsidR="00F1379E" w:rsidRPr="00C43C73">
        <w:rPr>
          <w:sz w:val="24"/>
          <w:szCs w:val="24"/>
        </w:rPr>
        <w:t xml:space="preserve"> chow.</w:t>
      </w:r>
    </w:p>
    <w:p w14:paraId="5EAFFE36" w14:textId="77777777" w:rsidR="00F1379E" w:rsidRPr="00C34073" w:rsidRDefault="00F1379E" w:rsidP="00F1379E">
      <w:pPr>
        <w:spacing w:after="240" w:line="480" w:lineRule="auto"/>
        <w:jc w:val="both"/>
        <w:rPr>
          <w:sz w:val="24"/>
          <w:szCs w:val="24"/>
        </w:rPr>
      </w:pPr>
      <w:r w:rsidRPr="00C43C73">
        <w:rPr>
          <w:sz w:val="24"/>
          <w:szCs w:val="24"/>
        </w:rPr>
        <w:t xml:space="preserve">For the preparation of the protein food supplement, a mixture of eggshells and brown beans was used. The eggshells were washed, broken into small pieces, and sun-dried for 24 hours. Both the dried eggshells and brown beans were subsequently ground together into a fine powder using a grinding machine. This powder, serving as a sulphur amino acid protein supplement, was administered exclusively to </w:t>
      </w:r>
      <w:r w:rsidRPr="00C34073">
        <w:rPr>
          <w:sz w:val="24"/>
          <w:szCs w:val="24"/>
        </w:rPr>
        <w:t>group 4</w:t>
      </w:r>
      <w:r w:rsidRPr="00C43C73">
        <w:rPr>
          <w:sz w:val="24"/>
          <w:szCs w:val="24"/>
        </w:rPr>
        <w:t xml:space="preserve"> and the </w:t>
      </w:r>
      <w:r w:rsidRPr="00C34073">
        <w:rPr>
          <w:sz w:val="24"/>
          <w:szCs w:val="24"/>
        </w:rPr>
        <w:t xml:space="preserve">group </w:t>
      </w:r>
      <w:r w:rsidRPr="00C43C73">
        <w:rPr>
          <w:sz w:val="24"/>
          <w:szCs w:val="24"/>
        </w:rPr>
        <w:t>5 rats</w:t>
      </w:r>
      <w:r w:rsidRPr="00C34073">
        <w:rPr>
          <w:sz w:val="24"/>
          <w:szCs w:val="24"/>
        </w:rPr>
        <w:t xml:space="preserve"> in the experimental design</w:t>
      </w:r>
      <w:r w:rsidRPr="00C43C73">
        <w:rPr>
          <w:sz w:val="24"/>
          <w:szCs w:val="24"/>
        </w:rPr>
        <w:t>.</w:t>
      </w:r>
    </w:p>
    <w:p w14:paraId="20B84ACA" w14:textId="77777777" w:rsidR="00F1379E" w:rsidRPr="00C26EF1" w:rsidRDefault="00F1379E" w:rsidP="00F1379E">
      <w:pPr>
        <w:spacing w:line="480" w:lineRule="auto"/>
        <w:jc w:val="both"/>
        <w:rPr>
          <w:b/>
          <w:bCs/>
          <w:sz w:val="24"/>
          <w:szCs w:val="24"/>
        </w:rPr>
      </w:pPr>
      <w:r w:rsidRPr="00C26EF1">
        <w:rPr>
          <w:b/>
          <w:bCs/>
          <w:sz w:val="24"/>
          <w:szCs w:val="24"/>
        </w:rPr>
        <w:t>Process of Inducing Konzo Disease in Rats</w:t>
      </w:r>
    </w:p>
    <w:p w14:paraId="5919F3CF" w14:textId="1B9C397A" w:rsidR="00F1379E" w:rsidRPr="00C26EF1" w:rsidRDefault="00F1379E" w:rsidP="00F1379E">
      <w:pPr>
        <w:spacing w:after="240" w:line="480" w:lineRule="auto"/>
        <w:jc w:val="both"/>
        <w:rPr>
          <w:sz w:val="24"/>
          <w:szCs w:val="24"/>
        </w:rPr>
      </w:pPr>
      <w:r w:rsidRPr="00C26EF1">
        <w:rPr>
          <w:sz w:val="24"/>
          <w:szCs w:val="24"/>
        </w:rPr>
        <w:t>After a two-week acclimatization period</w:t>
      </w:r>
      <w:r w:rsidRPr="00C34073">
        <w:rPr>
          <w:sz w:val="24"/>
          <w:szCs w:val="24"/>
        </w:rPr>
        <w:t xml:space="preserve"> of the Wistar rats</w:t>
      </w:r>
      <w:r w:rsidRPr="00C26EF1">
        <w:rPr>
          <w:sz w:val="24"/>
          <w:szCs w:val="24"/>
        </w:rPr>
        <w:t xml:space="preserve">, fifteen Wistar rats were exclusively and continuously fed with inappropriately processed </w:t>
      </w:r>
      <w:r w:rsidR="00DC129B">
        <w:rPr>
          <w:sz w:val="24"/>
          <w:szCs w:val="24"/>
        </w:rPr>
        <w:t>Bitter</w:t>
      </w:r>
      <w:r w:rsidRPr="00C26EF1">
        <w:rPr>
          <w:sz w:val="24"/>
          <w:szCs w:val="24"/>
        </w:rPr>
        <w:t xml:space="preserve"> </w:t>
      </w:r>
      <w:r w:rsidR="00DC129B">
        <w:rPr>
          <w:sz w:val="24"/>
          <w:szCs w:val="24"/>
        </w:rPr>
        <w:t>Cassava</w:t>
      </w:r>
      <w:r w:rsidRPr="00C26EF1">
        <w:rPr>
          <w:sz w:val="24"/>
          <w:szCs w:val="24"/>
        </w:rPr>
        <w:t xml:space="preserve"> flour for four weeks to induce Konzo disease and its associated manifestations</w:t>
      </w:r>
      <w:r w:rsidRPr="00C34073">
        <w:rPr>
          <w:sz w:val="24"/>
          <w:szCs w:val="24"/>
        </w:rPr>
        <w:t xml:space="preserve"> (</w:t>
      </w:r>
      <w:r w:rsidRPr="00C34073">
        <w:rPr>
          <w:bCs/>
          <w:sz w:val="24"/>
          <w:szCs w:val="24"/>
        </w:rPr>
        <w:t>Amadi et al., 2022; David et al., 2022</w:t>
      </w:r>
      <w:r w:rsidRPr="00C34073">
        <w:rPr>
          <w:sz w:val="24"/>
          <w:szCs w:val="24"/>
        </w:rPr>
        <w:t>)</w:t>
      </w:r>
      <w:r w:rsidRPr="00C26EF1">
        <w:rPr>
          <w:sz w:val="24"/>
          <w:szCs w:val="24"/>
        </w:rPr>
        <w:t xml:space="preserve">. The oral feeding method was adopted to closely mimic real-world consumption patterns, whereby the ingested </w:t>
      </w:r>
      <w:r w:rsidR="00DC129B">
        <w:rPr>
          <w:sz w:val="24"/>
          <w:szCs w:val="24"/>
        </w:rPr>
        <w:t>Cassava</w:t>
      </w:r>
      <w:r w:rsidRPr="00C26EF1">
        <w:rPr>
          <w:sz w:val="24"/>
          <w:szCs w:val="24"/>
        </w:rPr>
        <w:t xml:space="preserve"> flour passed through the alimentary canal</w:t>
      </w:r>
      <w:r w:rsidRPr="00C34073">
        <w:rPr>
          <w:sz w:val="24"/>
          <w:szCs w:val="24"/>
        </w:rPr>
        <w:t xml:space="preserve">, </w:t>
      </w:r>
      <w:r w:rsidRPr="00C26EF1">
        <w:rPr>
          <w:sz w:val="24"/>
          <w:szCs w:val="24"/>
        </w:rPr>
        <w:t xml:space="preserve">beginning from the mouth, through the </w:t>
      </w:r>
      <w:r w:rsidRPr="00C34073">
        <w:rPr>
          <w:sz w:val="24"/>
          <w:szCs w:val="24"/>
        </w:rPr>
        <w:t>oesophagus</w:t>
      </w:r>
      <w:r w:rsidRPr="00C26EF1">
        <w:rPr>
          <w:sz w:val="24"/>
          <w:szCs w:val="24"/>
        </w:rPr>
        <w:t>, and into the stomach</w:t>
      </w:r>
      <w:r w:rsidRPr="00C34073">
        <w:rPr>
          <w:sz w:val="24"/>
          <w:szCs w:val="24"/>
        </w:rPr>
        <w:t xml:space="preserve">, </w:t>
      </w:r>
      <w:r w:rsidRPr="00C26EF1">
        <w:rPr>
          <w:sz w:val="24"/>
          <w:szCs w:val="24"/>
        </w:rPr>
        <w:t>thus coming in contact with relevant visceral organs and digestive secretions, including saliva, gastric juices, and potential sublingual or buccal absorption sites.</w:t>
      </w:r>
    </w:p>
    <w:p w14:paraId="53AB3087" w14:textId="77777777" w:rsidR="00F1379E" w:rsidRPr="00C26EF1" w:rsidRDefault="00F1379E" w:rsidP="00F1379E">
      <w:pPr>
        <w:spacing w:line="480" w:lineRule="auto"/>
        <w:jc w:val="both"/>
        <w:rPr>
          <w:b/>
          <w:bCs/>
          <w:sz w:val="24"/>
          <w:szCs w:val="24"/>
        </w:rPr>
      </w:pPr>
      <w:r w:rsidRPr="00C26EF1">
        <w:rPr>
          <w:b/>
          <w:bCs/>
          <w:sz w:val="24"/>
          <w:szCs w:val="24"/>
        </w:rPr>
        <w:t>Rehabilitation of Rats</w:t>
      </w:r>
    </w:p>
    <w:p w14:paraId="69718D32" w14:textId="1B943AF4" w:rsidR="00F1379E" w:rsidRPr="00C43C73" w:rsidRDefault="00F1379E" w:rsidP="00F1379E">
      <w:pPr>
        <w:spacing w:after="240" w:line="480" w:lineRule="auto"/>
        <w:jc w:val="both"/>
        <w:rPr>
          <w:sz w:val="24"/>
          <w:szCs w:val="24"/>
        </w:rPr>
      </w:pPr>
      <w:r w:rsidRPr="00C26EF1">
        <w:rPr>
          <w:sz w:val="24"/>
          <w:szCs w:val="24"/>
        </w:rPr>
        <w:t xml:space="preserve">Following the induction period, the rehabilitation groups (Groups 3 and 4) were withdrawn completely from </w:t>
      </w:r>
      <w:r w:rsidR="00DC129B">
        <w:rPr>
          <w:sz w:val="24"/>
          <w:szCs w:val="24"/>
        </w:rPr>
        <w:t>Bitter</w:t>
      </w:r>
      <w:r w:rsidRPr="00C26EF1">
        <w:rPr>
          <w:sz w:val="24"/>
          <w:szCs w:val="24"/>
        </w:rPr>
        <w:t xml:space="preserve"> </w:t>
      </w:r>
      <w:r w:rsidR="00DC129B">
        <w:rPr>
          <w:sz w:val="24"/>
          <w:szCs w:val="24"/>
        </w:rPr>
        <w:t>Cassava</w:t>
      </w:r>
      <w:r w:rsidRPr="00C26EF1">
        <w:rPr>
          <w:sz w:val="24"/>
          <w:szCs w:val="24"/>
        </w:rPr>
        <w:t xml:space="preserve"> consumption. Group </w:t>
      </w:r>
      <w:r w:rsidRPr="00C34073">
        <w:rPr>
          <w:sz w:val="24"/>
          <w:szCs w:val="24"/>
        </w:rPr>
        <w:t>3</w:t>
      </w:r>
      <w:r w:rsidRPr="00C26EF1">
        <w:rPr>
          <w:sz w:val="24"/>
          <w:szCs w:val="24"/>
        </w:rPr>
        <w:t xml:space="preserve"> received standard animal feed</w:t>
      </w:r>
      <w:r w:rsidRPr="00C34073">
        <w:rPr>
          <w:sz w:val="24"/>
          <w:szCs w:val="24"/>
        </w:rPr>
        <w:t xml:space="preserve">, </w:t>
      </w:r>
      <w:r w:rsidRPr="00C26EF1">
        <w:rPr>
          <w:sz w:val="24"/>
          <w:szCs w:val="24"/>
        </w:rPr>
        <w:t>while</w:t>
      </w:r>
      <w:r w:rsidRPr="00C34073">
        <w:rPr>
          <w:sz w:val="24"/>
          <w:szCs w:val="24"/>
        </w:rPr>
        <w:t xml:space="preserve"> </w:t>
      </w:r>
      <w:r w:rsidRPr="00C26EF1">
        <w:rPr>
          <w:sz w:val="24"/>
          <w:szCs w:val="24"/>
        </w:rPr>
        <w:t xml:space="preserve">Group </w:t>
      </w:r>
      <w:r w:rsidRPr="00C34073">
        <w:rPr>
          <w:sz w:val="24"/>
          <w:szCs w:val="24"/>
        </w:rPr>
        <w:t>4</w:t>
      </w:r>
      <w:r w:rsidRPr="00C26EF1">
        <w:rPr>
          <w:sz w:val="24"/>
          <w:szCs w:val="24"/>
        </w:rPr>
        <w:t xml:space="preserve"> was subsequently fed with eggshell and brown bean supplement. Feeding in both groups was carried out exclusively via oral ingestion.</w:t>
      </w:r>
    </w:p>
    <w:p w14:paraId="4442B56B" w14:textId="77777777" w:rsidR="00F1379E" w:rsidRPr="00C34073" w:rsidRDefault="00F1379E" w:rsidP="00F1379E">
      <w:pPr>
        <w:spacing w:line="480" w:lineRule="auto"/>
        <w:jc w:val="both"/>
        <w:rPr>
          <w:b/>
          <w:color w:val="212121"/>
          <w:spacing w:val="1"/>
          <w:sz w:val="24"/>
          <w:szCs w:val="24"/>
        </w:rPr>
      </w:pPr>
      <w:r w:rsidRPr="00C34073">
        <w:rPr>
          <w:b/>
          <w:color w:val="212121"/>
          <w:sz w:val="24"/>
          <w:szCs w:val="24"/>
        </w:rPr>
        <w:t xml:space="preserve">Experimental </w:t>
      </w:r>
      <w:r w:rsidRPr="00C34073">
        <w:rPr>
          <w:b/>
          <w:color w:val="212121"/>
          <w:spacing w:val="1"/>
          <w:sz w:val="24"/>
          <w:szCs w:val="24"/>
        </w:rPr>
        <w:t>design</w:t>
      </w:r>
    </w:p>
    <w:p w14:paraId="4E36A62F" w14:textId="40E7AF17" w:rsidR="00F1379E" w:rsidRPr="00C34073" w:rsidRDefault="00F1379E" w:rsidP="00F1379E">
      <w:pPr>
        <w:spacing w:line="480" w:lineRule="auto"/>
        <w:jc w:val="both"/>
        <w:rPr>
          <w:sz w:val="24"/>
          <w:szCs w:val="24"/>
        </w:rPr>
      </w:pPr>
      <w:r w:rsidRPr="00C34073">
        <w:rPr>
          <w:sz w:val="24"/>
          <w:szCs w:val="24"/>
        </w:rPr>
        <w:lastRenderedPageBreak/>
        <w:t xml:space="preserve">Twenty-five </w:t>
      </w:r>
      <w:proofErr w:type="gramStart"/>
      <w:r w:rsidRPr="00C34073">
        <w:rPr>
          <w:sz w:val="24"/>
          <w:szCs w:val="24"/>
        </w:rPr>
        <w:t>adult</w:t>
      </w:r>
      <w:proofErr w:type="gramEnd"/>
      <w:r w:rsidRPr="00C34073">
        <w:rPr>
          <w:sz w:val="24"/>
          <w:szCs w:val="24"/>
        </w:rPr>
        <w:t xml:space="preserve"> female Wistar rats were randomly assigned into five experimental groups of 5 rats each (n=5) and treatments administered as shown in Table 1.</w:t>
      </w:r>
    </w:p>
    <w:p w14:paraId="21922A86" w14:textId="77777777" w:rsidR="00F1379E" w:rsidRPr="00C26EF1" w:rsidRDefault="00F1379E" w:rsidP="00F1379E">
      <w:pPr>
        <w:spacing w:line="480" w:lineRule="auto"/>
        <w:jc w:val="both"/>
        <w:rPr>
          <w:b/>
          <w:bCs/>
          <w:sz w:val="24"/>
          <w:szCs w:val="24"/>
        </w:rPr>
      </w:pPr>
      <w:r w:rsidRPr="00C26EF1">
        <w:rPr>
          <w:b/>
          <w:bCs/>
          <w:sz w:val="24"/>
          <w:szCs w:val="24"/>
        </w:rPr>
        <w:t>Table 1. Experimental design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742"/>
        <w:gridCol w:w="5613"/>
      </w:tblGrid>
      <w:tr w:rsidR="00F1379E" w:rsidRPr="00C43C73" w14:paraId="3710AC5B" w14:textId="77777777" w:rsidTr="00251623">
        <w:tc>
          <w:tcPr>
            <w:tcW w:w="897" w:type="dxa"/>
            <w:tcBorders>
              <w:top w:val="single" w:sz="4" w:space="0" w:color="auto"/>
              <w:bottom w:val="single" w:sz="4" w:space="0" w:color="auto"/>
            </w:tcBorders>
            <w:hideMark/>
          </w:tcPr>
          <w:p w14:paraId="7F761B29" w14:textId="77777777" w:rsidR="00F1379E" w:rsidRPr="00C43C73" w:rsidRDefault="00F1379E" w:rsidP="00251623">
            <w:pPr>
              <w:spacing w:line="276" w:lineRule="auto"/>
              <w:jc w:val="center"/>
              <w:rPr>
                <w:b/>
                <w:bCs/>
                <w:sz w:val="24"/>
                <w:szCs w:val="24"/>
              </w:rPr>
            </w:pPr>
            <w:r w:rsidRPr="00C43C73">
              <w:rPr>
                <w:b/>
                <w:bCs/>
                <w:sz w:val="24"/>
                <w:szCs w:val="24"/>
              </w:rPr>
              <w:t>Group</w:t>
            </w:r>
          </w:p>
        </w:tc>
        <w:tc>
          <w:tcPr>
            <w:tcW w:w="2789" w:type="dxa"/>
            <w:tcBorders>
              <w:top w:val="single" w:sz="4" w:space="0" w:color="auto"/>
              <w:bottom w:val="single" w:sz="4" w:space="0" w:color="auto"/>
            </w:tcBorders>
            <w:hideMark/>
          </w:tcPr>
          <w:p w14:paraId="70FCF4D8" w14:textId="77777777" w:rsidR="00F1379E" w:rsidRPr="00C43C73" w:rsidRDefault="00F1379E" w:rsidP="00251623">
            <w:pPr>
              <w:spacing w:line="276" w:lineRule="auto"/>
              <w:rPr>
                <w:b/>
                <w:bCs/>
                <w:sz w:val="24"/>
                <w:szCs w:val="24"/>
              </w:rPr>
            </w:pPr>
            <w:r>
              <w:rPr>
                <w:b/>
                <w:bCs/>
                <w:sz w:val="24"/>
                <w:szCs w:val="24"/>
              </w:rPr>
              <w:t>Identification</w:t>
            </w:r>
          </w:p>
        </w:tc>
        <w:tc>
          <w:tcPr>
            <w:tcW w:w="5782" w:type="dxa"/>
            <w:tcBorders>
              <w:top w:val="single" w:sz="4" w:space="0" w:color="auto"/>
              <w:bottom w:val="single" w:sz="4" w:space="0" w:color="auto"/>
            </w:tcBorders>
          </w:tcPr>
          <w:p w14:paraId="3349F389" w14:textId="77777777" w:rsidR="00F1379E" w:rsidRPr="00C43C73" w:rsidRDefault="00F1379E" w:rsidP="00251623">
            <w:pPr>
              <w:spacing w:line="276" w:lineRule="auto"/>
              <w:jc w:val="both"/>
              <w:rPr>
                <w:b/>
                <w:bCs/>
                <w:sz w:val="24"/>
                <w:szCs w:val="24"/>
              </w:rPr>
            </w:pPr>
            <w:r w:rsidRPr="00C43C73">
              <w:rPr>
                <w:b/>
                <w:bCs/>
                <w:sz w:val="24"/>
                <w:szCs w:val="24"/>
              </w:rPr>
              <w:t>Treatment Description</w:t>
            </w:r>
          </w:p>
        </w:tc>
      </w:tr>
      <w:tr w:rsidR="00F1379E" w:rsidRPr="00C43C73" w14:paraId="15AECA83" w14:textId="77777777" w:rsidTr="00251623">
        <w:tc>
          <w:tcPr>
            <w:tcW w:w="897" w:type="dxa"/>
            <w:tcBorders>
              <w:top w:val="single" w:sz="4" w:space="0" w:color="auto"/>
            </w:tcBorders>
            <w:hideMark/>
          </w:tcPr>
          <w:p w14:paraId="15B0F3E1" w14:textId="77777777" w:rsidR="00F1379E" w:rsidRPr="00C43C73" w:rsidRDefault="00F1379E" w:rsidP="00251623">
            <w:pPr>
              <w:spacing w:line="276" w:lineRule="auto"/>
              <w:jc w:val="center"/>
              <w:rPr>
                <w:sz w:val="24"/>
                <w:szCs w:val="24"/>
              </w:rPr>
            </w:pPr>
            <w:r>
              <w:rPr>
                <w:sz w:val="24"/>
                <w:szCs w:val="24"/>
              </w:rPr>
              <w:t>1</w:t>
            </w:r>
          </w:p>
        </w:tc>
        <w:tc>
          <w:tcPr>
            <w:tcW w:w="2789" w:type="dxa"/>
            <w:tcBorders>
              <w:top w:val="single" w:sz="4" w:space="0" w:color="auto"/>
            </w:tcBorders>
            <w:hideMark/>
          </w:tcPr>
          <w:p w14:paraId="4088C9E4" w14:textId="77777777" w:rsidR="00F1379E" w:rsidRPr="00C43C73" w:rsidRDefault="00F1379E" w:rsidP="00251623">
            <w:pPr>
              <w:spacing w:line="276" w:lineRule="auto"/>
              <w:rPr>
                <w:sz w:val="24"/>
                <w:szCs w:val="24"/>
              </w:rPr>
            </w:pPr>
            <w:r w:rsidRPr="00C43C73">
              <w:rPr>
                <w:sz w:val="24"/>
                <w:szCs w:val="24"/>
              </w:rPr>
              <w:t>Contro</w:t>
            </w:r>
            <w:r>
              <w:rPr>
                <w:sz w:val="24"/>
                <w:szCs w:val="24"/>
              </w:rPr>
              <w:t>l</w:t>
            </w:r>
          </w:p>
        </w:tc>
        <w:tc>
          <w:tcPr>
            <w:tcW w:w="5782" w:type="dxa"/>
            <w:tcBorders>
              <w:top w:val="single" w:sz="4" w:space="0" w:color="auto"/>
            </w:tcBorders>
          </w:tcPr>
          <w:p w14:paraId="5AB610C9" w14:textId="77777777" w:rsidR="00F1379E" w:rsidRPr="00C43C73" w:rsidRDefault="00F1379E" w:rsidP="00251623">
            <w:pPr>
              <w:spacing w:line="276" w:lineRule="auto"/>
              <w:jc w:val="both"/>
              <w:rPr>
                <w:sz w:val="24"/>
                <w:szCs w:val="24"/>
              </w:rPr>
            </w:pPr>
            <w:r>
              <w:rPr>
                <w:sz w:val="24"/>
                <w:szCs w:val="24"/>
              </w:rPr>
              <w:t>Administered s</w:t>
            </w:r>
            <w:r w:rsidRPr="00C43C73">
              <w:rPr>
                <w:sz w:val="24"/>
                <w:szCs w:val="24"/>
              </w:rPr>
              <w:t>tandard rat feed only</w:t>
            </w:r>
            <w:r>
              <w:rPr>
                <w:sz w:val="24"/>
                <w:szCs w:val="24"/>
              </w:rPr>
              <w:t xml:space="preserve"> for 4 weeks</w:t>
            </w:r>
          </w:p>
        </w:tc>
      </w:tr>
      <w:tr w:rsidR="00F1379E" w:rsidRPr="00C43C73" w14:paraId="622C304B" w14:textId="77777777" w:rsidTr="00251623">
        <w:tc>
          <w:tcPr>
            <w:tcW w:w="897" w:type="dxa"/>
            <w:hideMark/>
          </w:tcPr>
          <w:p w14:paraId="6D9BAEBF" w14:textId="77777777" w:rsidR="00F1379E" w:rsidRPr="00C43C73" w:rsidRDefault="00F1379E" w:rsidP="00251623">
            <w:pPr>
              <w:spacing w:line="276" w:lineRule="auto"/>
              <w:jc w:val="center"/>
              <w:rPr>
                <w:sz w:val="24"/>
                <w:szCs w:val="24"/>
              </w:rPr>
            </w:pPr>
            <w:r>
              <w:rPr>
                <w:sz w:val="24"/>
                <w:szCs w:val="24"/>
              </w:rPr>
              <w:t>2</w:t>
            </w:r>
          </w:p>
        </w:tc>
        <w:tc>
          <w:tcPr>
            <w:tcW w:w="2789" w:type="dxa"/>
            <w:hideMark/>
          </w:tcPr>
          <w:p w14:paraId="088BC735" w14:textId="7287D07A" w:rsidR="00F1379E" w:rsidRPr="00C43C73" w:rsidRDefault="00DC129B" w:rsidP="00251623">
            <w:pPr>
              <w:spacing w:line="276" w:lineRule="auto"/>
              <w:rPr>
                <w:sz w:val="24"/>
                <w:szCs w:val="24"/>
              </w:rPr>
            </w:pPr>
            <w:r>
              <w:rPr>
                <w:sz w:val="24"/>
                <w:szCs w:val="24"/>
              </w:rPr>
              <w:t>Cassava</w:t>
            </w:r>
            <w:r w:rsidR="00F1379E" w:rsidRPr="00AE519A">
              <w:rPr>
                <w:sz w:val="24"/>
                <w:szCs w:val="24"/>
              </w:rPr>
              <w:t xml:space="preserve"> only</w:t>
            </w:r>
          </w:p>
        </w:tc>
        <w:tc>
          <w:tcPr>
            <w:tcW w:w="5782" w:type="dxa"/>
          </w:tcPr>
          <w:p w14:paraId="7565EC6E" w14:textId="2A593684" w:rsidR="00F1379E" w:rsidRPr="00C43C73" w:rsidRDefault="00F1379E" w:rsidP="00251623">
            <w:pPr>
              <w:spacing w:line="276" w:lineRule="auto"/>
              <w:jc w:val="both"/>
              <w:rPr>
                <w:sz w:val="24"/>
                <w:szCs w:val="24"/>
              </w:rPr>
            </w:pPr>
            <w:r>
              <w:rPr>
                <w:sz w:val="24"/>
                <w:szCs w:val="24"/>
              </w:rPr>
              <w:t xml:space="preserve">Administered </w:t>
            </w:r>
            <w:r w:rsidR="00DC129B">
              <w:rPr>
                <w:sz w:val="24"/>
                <w:szCs w:val="24"/>
              </w:rPr>
              <w:t>Bitter</w:t>
            </w:r>
            <w:r w:rsidRPr="00C43C73">
              <w:rPr>
                <w:sz w:val="24"/>
                <w:szCs w:val="24"/>
              </w:rPr>
              <w:t xml:space="preserve"> </w:t>
            </w:r>
            <w:r w:rsidR="00DC129B">
              <w:rPr>
                <w:sz w:val="24"/>
                <w:szCs w:val="24"/>
              </w:rPr>
              <w:t>Cassava</w:t>
            </w:r>
            <w:r w:rsidRPr="00C43C73">
              <w:rPr>
                <w:sz w:val="24"/>
                <w:szCs w:val="24"/>
              </w:rPr>
              <w:t xml:space="preserve"> chow (to induce Konzo disease) only</w:t>
            </w:r>
            <w:r>
              <w:rPr>
                <w:sz w:val="24"/>
                <w:szCs w:val="24"/>
              </w:rPr>
              <w:t xml:space="preserve"> for 4 weeks</w:t>
            </w:r>
          </w:p>
        </w:tc>
      </w:tr>
      <w:tr w:rsidR="00F1379E" w:rsidRPr="00C43C73" w14:paraId="69E759A5" w14:textId="77777777" w:rsidTr="00251623">
        <w:tc>
          <w:tcPr>
            <w:tcW w:w="897" w:type="dxa"/>
            <w:hideMark/>
          </w:tcPr>
          <w:p w14:paraId="5445A2A8" w14:textId="77777777" w:rsidR="00F1379E" w:rsidRPr="00C43C73" w:rsidRDefault="00F1379E" w:rsidP="00251623">
            <w:pPr>
              <w:spacing w:line="276" w:lineRule="auto"/>
              <w:jc w:val="center"/>
              <w:rPr>
                <w:sz w:val="24"/>
                <w:szCs w:val="24"/>
              </w:rPr>
            </w:pPr>
            <w:r>
              <w:rPr>
                <w:sz w:val="24"/>
                <w:szCs w:val="24"/>
              </w:rPr>
              <w:t>3</w:t>
            </w:r>
          </w:p>
        </w:tc>
        <w:tc>
          <w:tcPr>
            <w:tcW w:w="2789" w:type="dxa"/>
            <w:hideMark/>
          </w:tcPr>
          <w:p w14:paraId="0E7DF913" w14:textId="330845A4" w:rsidR="00F1379E" w:rsidRPr="00C43C73" w:rsidRDefault="00DC129B" w:rsidP="00251623">
            <w:pPr>
              <w:spacing w:line="276" w:lineRule="auto"/>
              <w:rPr>
                <w:sz w:val="24"/>
                <w:szCs w:val="24"/>
              </w:rPr>
            </w:pPr>
            <w:r>
              <w:rPr>
                <w:sz w:val="24"/>
                <w:szCs w:val="24"/>
              </w:rPr>
              <w:t>Cassava</w:t>
            </w:r>
            <w:r w:rsidR="00F1379E">
              <w:rPr>
                <w:sz w:val="24"/>
                <w:szCs w:val="24"/>
              </w:rPr>
              <w:t xml:space="preserve"> </w:t>
            </w:r>
            <w:r w:rsidR="00F1379E" w:rsidRPr="00AE519A">
              <w:rPr>
                <w:sz w:val="24"/>
                <w:szCs w:val="24"/>
              </w:rPr>
              <w:t>+</w:t>
            </w:r>
            <w:r w:rsidR="00F1379E">
              <w:rPr>
                <w:sz w:val="24"/>
                <w:szCs w:val="24"/>
              </w:rPr>
              <w:t xml:space="preserve"> </w:t>
            </w:r>
            <w:r w:rsidR="00F1379E" w:rsidRPr="00AE519A">
              <w:rPr>
                <w:sz w:val="24"/>
                <w:szCs w:val="24"/>
              </w:rPr>
              <w:t xml:space="preserve">Animal feed                       </w:t>
            </w:r>
          </w:p>
        </w:tc>
        <w:tc>
          <w:tcPr>
            <w:tcW w:w="5782" w:type="dxa"/>
          </w:tcPr>
          <w:p w14:paraId="11C912EA" w14:textId="34E09FE7" w:rsidR="00F1379E" w:rsidRPr="00C43C73" w:rsidRDefault="00F1379E" w:rsidP="00251623">
            <w:pPr>
              <w:spacing w:line="276" w:lineRule="auto"/>
              <w:jc w:val="both"/>
              <w:rPr>
                <w:sz w:val="24"/>
                <w:szCs w:val="24"/>
              </w:rPr>
            </w:pPr>
            <w:r>
              <w:rPr>
                <w:sz w:val="24"/>
                <w:szCs w:val="24"/>
              </w:rPr>
              <w:t xml:space="preserve">Administered </w:t>
            </w:r>
            <w:r w:rsidR="00DC129B">
              <w:rPr>
                <w:sz w:val="24"/>
                <w:szCs w:val="24"/>
              </w:rPr>
              <w:t>Bitter</w:t>
            </w:r>
            <w:r w:rsidRPr="00C43C73">
              <w:rPr>
                <w:sz w:val="24"/>
                <w:szCs w:val="24"/>
              </w:rPr>
              <w:t xml:space="preserve"> </w:t>
            </w:r>
            <w:r w:rsidR="00DC129B">
              <w:rPr>
                <w:sz w:val="24"/>
                <w:szCs w:val="24"/>
              </w:rPr>
              <w:t>Cassava</w:t>
            </w:r>
            <w:r w:rsidRPr="00C43C73">
              <w:rPr>
                <w:sz w:val="24"/>
                <w:szCs w:val="24"/>
              </w:rPr>
              <w:t xml:space="preserve"> chow (to induce Konzo disease) + standard rat feed</w:t>
            </w:r>
            <w:r>
              <w:rPr>
                <w:sz w:val="24"/>
                <w:szCs w:val="24"/>
              </w:rPr>
              <w:t xml:space="preserve"> for 4 weeks</w:t>
            </w:r>
          </w:p>
        </w:tc>
      </w:tr>
      <w:tr w:rsidR="00F1379E" w:rsidRPr="00C43C73" w14:paraId="2FE25FBB" w14:textId="77777777" w:rsidTr="00251623">
        <w:tc>
          <w:tcPr>
            <w:tcW w:w="897" w:type="dxa"/>
            <w:hideMark/>
          </w:tcPr>
          <w:p w14:paraId="6B670972" w14:textId="77777777" w:rsidR="00F1379E" w:rsidRPr="00C43C73" w:rsidRDefault="00F1379E" w:rsidP="00251623">
            <w:pPr>
              <w:spacing w:line="276" w:lineRule="auto"/>
              <w:jc w:val="center"/>
              <w:rPr>
                <w:sz w:val="24"/>
                <w:szCs w:val="24"/>
              </w:rPr>
            </w:pPr>
            <w:r>
              <w:rPr>
                <w:sz w:val="24"/>
                <w:szCs w:val="24"/>
              </w:rPr>
              <w:t>4</w:t>
            </w:r>
          </w:p>
        </w:tc>
        <w:tc>
          <w:tcPr>
            <w:tcW w:w="2789" w:type="dxa"/>
            <w:hideMark/>
          </w:tcPr>
          <w:p w14:paraId="6AE259F1" w14:textId="049A2598" w:rsidR="00F1379E" w:rsidRPr="00C43C73" w:rsidRDefault="00DC129B" w:rsidP="00251623">
            <w:pPr>
              <w:spacing w:line="276" w:lineRule="auto"/>
              <w:rPr>
                <w:sz w:val="24"/>
                <w:szCs w:val="24"/>
              </w:rPr>
            </w:pPr>
            <w:r>
              <w:rPr>
                <w:sz w:val="24"/>
                <w:szCs w:val="24"/>
              </w:rPr>
              <w:t>Cassava</w:t>
            </w:r>
            <w:r w:rsidR="00F1379E">
              <w:rPr>
                <w:sz w:val="24"/>
                <w:szCs w:val="24"/>
              </w:rPr>
              <w:t xml:space="preserve"> </w:t>
            </w:r>
            <w:r w:rsidR="00F1379E" w:rsidRPr="00AE519A">
              <w:rPr>
                <w:sz w:val="24"/>
                <w:szCs w:val="24"/>
              </w:rPr>
              <w:t>+</w:t>
            </w:r>
            <w:r w:rsidR="00F1379E">
              <w:rPr>
                <w:sz w:val="24"/>
                <w:szCs w:val="24"/>
              </w:rPr>
              <w:t xml:space="preserve"> </w:t>
            </w:r>
            <w:r w:rsidR="00F1379E" w:rsidRPr="00AE519A">
              <w:rPr>
                <w:sz w:val="24"/>
                <w:szCs w:val="24"/>
              </w:rPr>
              <w:t>Eggshell and Brown</w:t>
            </w:r>
            <w:r w:rsidR="00F1379E">
              <w:rPr>
                <w:sz w:val="24"/>
                <w:szCs w:val="24"/>
              </w:rPr>
              <w:t xml:space="preserve"> </w:t>
            </w:r>
            <w:r w:rsidR="00F1379E" w:rsidRPr="00AE519A">
              <w:rPr>
                <w:sz w:val="24"/>
                <w:szCs w:val="24"/>
              </w:rPr>
              <w:t xml:space="preserve">beans                                                   </w:t>
            </w:r>
          </w:p>
        </w:tc>
        <w:tc>
          <w:tcPr>
            <w:tcW w:w="5782" w:type="dxa"/>
          </w:tcPr>
          <w:p w14:paraId="08A15263" w14:textId="7F48535F" w:rsidR="00F1379E" w:rsidRPr="00C43C73" w:rsidRDefault="00F1379E" w:rsidP="00251623">
            <w:pPr>
              <w:spacing w:line="276" w:lineRule="auto"/>
              <w:jc w:val="both"/>
              <w:rPr>
                <w:sz w:val="24"/>
                <w:szCs w:val="24"/>
              </w:rPr>
            </w:pPr>
            <w:r>
              <w:rPr>
                <w:sz w:val="24"/>
                <w:szCs w:val="24"/>
              </w:rPr>
              <w:t xml:space="preserve">Administered </w:t>
            </w:r>
            <w:r w:rsidR="00DC129B">
              <w:rPr>
                <w:sz w:val="24"/>
                <w:szCs w:val="24"/>
              </w:rPr>
              <w:t>Bitter</w:t>
            </w:r>
            <w:r w:rsidRPr="00C43C73">
              <w:rPr>
                <w:sz w:val="24"/>
                <w:szCs w:val="24"/>
              </w:rPr>
              <w:t xml:space="preserve"> </w:t>
            </w:r>
            <w:r w:rsidR="00DC129B">
              <w:rPr>
                <w:sz w:val="24"/>
                <w:szCs w:val="24"/>
              </w:rPr>
              <w:t>Cassava</w:t>
            </w:r>
            <w:r w:rsidRPr="00C43C73">
              <w:rPr>
                <w:sz w:val="24"/>
                <w:szCs w:val="24"/>
              </w:rPr>
              <w:t xml:space="preserve"> chow (to induce Konzo disease) + eggshell and brown beans supplement</w:t>
            </w:r>
            <w:r>
              <w:rPr>
                <w:sz w:val="24"/>
                <w:szCs w:val="24"/>
              </w:rPr>
              <w:t xml:space="preserve"> for 4 weeks</w:t>
            </w:r>
          </w:p>
        </w:tc>
      </w:tr>
      <w:tr w:rsidR="00F1379E" w:rsidRPr="00C43C73" w14:paraId="4556DD78" w14:textId="77777777" w:rsidTr="00251623">
        <w:tc>
          <w:tcPr>
            <w:tcW w:w="897" w:type="dxa"/>
            <w:hideMark/>
          </w:tcPr>
          <w:p w14:paraId="1A7F5284" w14:textId="77777777" w:rsidR="00F1379E" w:rsidRPr="00C43C73" w:rsidRDefault="00F1379E" w:rsidP="00251623">
            <w:pPr>
              <w:spacing w:line="276" w:lineRule="auto"/>
              <w:jc w:val="center"/>
              <w:rPr>
                <w:sz w:val="24"/>
                <w:szCs w:val="24"/>
              </w:rPr>
            </w:pPr>
            <w:r>
              <w:rPr>
                <w:sz w:val="24"/>
                <w:szCs w:val="24"/>
              </w:rPr>
              <w:t>5</w:t>
            </w:r>
          </w:p>
        </w:tc>
        <w:tc>
          <w:tcPr>
            <w:tcW w:w="2789" w:type="dxa"/>
            <w:hideMark/>
          </w:tcPr>
          <w:p w14:paraId="218D53AB" w14:textId="77777777" w:rsidR="00F1379E" w:rsidRPr="00C43C73" w:rsidRDefault="00F1379E" w:rsidP="00251623">
            <w:pPr>
              <w:spacing w:line="276" w:lineRule="auto"/>
              <w:rPr>
                <w:sz w:val="24"/>
                <w:szCs w:val="24"/>
              </w:rPr>
            </w:pPr>
            <w:r>
              <w:rPr>
                <w:sz w:val="24"/>
                <w:szCs w:val="24"/>
              </w:rPr>
              <w:t>Eggshell and Brown beans only</w:t>
            </w:r>
          </w:p>
        </w:tc>
        <w:tc>
          <w:tcPr>
            <w:tcW w:w="5782" w:type="dxa"/>
          </w:tcPr>
          <w:p w14:paraId="45CF8610" w14:textId="77777777" w:rsidR="00F1379E" w:rsidRPr="00C43C73" w:rsidRDefault="00F1379E" w:rsidP="00251623">
            <w:pPr>
              <w:spacing w:line="276" w:lineRule="auto"/>
              <w:jc w:val="both"/>
              <w:rPr>
                <w:sz w:val="24"/>
                <w:szCs w:val="24"/>
              </w:rPr>
            </w:pPr>
            <w:r>
              <w:rPr>
                <w:sz w:val="24"/>
                <w:szCs w:val="24"/>
              </w:rPr>
              <w:t xml:space="preserve">Administered </w:t>
            </w:r>
            <w:r w:rsidRPr="00C43C73">
              <w:rPr>
                <w:sz w:val="24"/>
                <w:szCs w:val="24"/>
              </w:rPr>
              <w:t>Eggshell and brown beans supplement only</w:t>
            </w:r>
            <w:r>
              <w:rPr>
                <w:sz w:val="24"/>
                <w:szCs w:val="24"/>
              </w:rPr>
              <w:t xml:space="preserve"> for 4 weeks</w:t>
            </w:r>
          </w:p>
        </w:tc>
      </w:tr>
    </w:tbl>
    <w:p w14:paraId="307B0D47" w14:textId="77777777" w:rsidR="00F1379E" w:rsidRDefault="00F1379E" w:rsidP="00F1379E">
      <w:pPr>
        <w:spacing w:line="480" w:lineRule="auto"/>
        <w:jc w:val="both"/>
        <w:rPr>
          <w:sz w:val="24"/>
          <w:szCs w:val="24"/>
        </w:rPr>
      </w:pPr>
    </w:p>
    <w:p w14:paraId="7BB9179C" w14:textId="428C23A4" w:rsidR="00F1379E" w:rsidRDefault="00DC129B" w:rsidP="00F1379E">
      <w:pPr>
        <w:spacing w:after="240" w:line="480" w:lineRule="auto"/>
        <w:jc w:val="both"/>
        <w:rPr>
          <w:sz w:val="24"/>
          <w:szCs w:val="24"/>
        </w:rPr>
      </w:pPr>
      <w:r>
        <w:rPr>
          <w:sz w:val="24"/>
          <w:szCs w:val="24"/>
        </w:rPr>
        <w:t>Bitter</w:t>
      </w:r>
      <w:r w:rsidR="00F1379E" w:rsidRPr="00C34073">
        <w:rPr>
          <w:sz w:val="24"/>
          <w:szCs w:val="24"/>
        </w:rPr>
        <w:t xml:space="preserve"> </w:t>
      </w:r>
      <w:r>
        <w:rPr>
          <w:sz w:val="24"/>
          <w:szCs w:val="24"/>
        </w:rPr>
        <w:t>Cassava</w:t>
      </w:r>
      <w:r w:rsidR="00F1379E" w:rsidRPr="00C34073">
        <w:rPr>
          <w:sz w:val="24"/>
          <w:szCs w:val="24"/>
        </w:rPr>
        <w:t xml:space="preserve"> chow and protein supplements were administered by oral ingestion for four weeks.</w:t>
      </w:r>
      <w:r w:rsidR="00F1379E">
        <w:rPr>
          <w:sz w:val="24"/>
          <w:szCs w:val="24"/>
        </w:rPr>
        <w:t xml:space="preserve"> </w:t>
      </w:r>
      <w:r w:rsidR="00F1379E" w:rsidRPr="00C26EF1">
        <w:rPr>
          <w:sz w:val="24"/>
          <w:szCs w:val="24"/>
        </w:rPr>
        <w:t>The experiment lasted for a total duration of four weeks.</w:t>
      </w:r>
    </w:p>
    <w:p w14:paraId="07A40089" w14:textId="77777777" w:rsidR="00F1379E" w:rsidRPr="005D7F27" w:rsidRDefault="00F1379E" w:rsidP="00F1379E">
      <w:pPr>
        <w:spacing w:before="62" w:line="480" w:lineRule="auto"/>
        <w:ind w:right="20"/>
        <w:jc w:val="both"/>
        <w:rPr>
          <w:b/>
          <w:bCs/>
          <w:sz w:val="24"/>
        </w:rPr>
      </w:pPr>
      <w:r w:rsidRPr="005D7F27">
        <w:rPr>
          <w:b/>
          <w:bCs/>
          <w:sz w:val="24"/>
        </w:rPr>
        <w:t>Histological Tissue Processing</w:t>
      </w:r>
    </w:p>
    <w:p w14:paraId="469699A0" w14:textId="77777777" w:rsidR="00D929AE" w:rsidRDefault="00D929AE" w:rsidP="00492466">
      <w:pPr>
        <w:spacing w:before="77" w:line="480" w:lineRule="auto"/>
        <w:ind w:right="76"/>
        <w:jc w:val="both"/>
        <w:rPr>
          <w:bCs/>
          <w:sz w:val="24"/>
        </w:rPr>
      </w:pPr>
      <w:bookmarkStart w:id="0" w:name="_Hlk209366052"/>
      <w:r w:rsidRPr="00D929AE">
        <w:rPr>
          <w:bCs/>
          <w:sz w:val="24"/>
        </w:rPr>
        <w:t>The animals in each group were anesthetized by inhalation of chloroform in a desiccator, after which incisions were made to expose the thoracic and abdominal regions. Once fully exposed, transcardiac perfusion was performed using 10% formal saline, which was injected into the ventricular chamber of the heart. The spinal cord was then carefully harvested and further fixed by immersion in 10% formal saline solution. Coronal sections were taken at the spinal cord level C4–C6, a region that contains motor neurons critical for forelimb innervation and voluntary motor control, making it highly relevant for evaluating motor deficits such as those observed in Konzo. The tissue samples were fixed for 48 hours, processed using standard histological techniques, and subsequently stained with Nissl stain to visualize neuronal cell bodies and assess structural alterations.</w:t>
      </w:r>
    </w:p>
    <w:p w14:paraId="64AFE2C4" w14:textId="4D22D639" w:rsidR="00240C10" w:rsidRPr="005D7F27" w:rsidRDefault="00240C10" w:rsidP="00240C10">
      <w:pPr>
        <w:spacing w:before="62" w:line="480" w:lineRule="auto"/>
        <w:ind w:right="20"/>
        <w:jc w:val="both"/>
        <w:rPr>
          <w:b/>
          <w:bCs/>
          <w:sz w:val="24"/>
          <w:szCs w:val="24"/>
        </w:rPr>
      </w:pPr>
      <w:r w:rsidRPr="005D7F27">
        <w:rPr>
          <w:b/>
          <w:bCs/>
          <w:sz w:val="24"/>
          <w:szCs w:val="24"/>
        </w:rPr>
        <w:lastRenderedPageBreak/>
        <w:t xml:space="preserve">Method of </w:t>
      </w:r>
      <w:r>
        <w:rPr>
          <w:b/>
          <w:bCs/>
          <w:sz w:val="24"/>
          <w:szCs w:val="24"/>
        </w:rPr>
        <w:t xml:space="preserve">Data </w:t>
      </w:r>
      <w:r w:rsidRPr="005D7F27">
        <w:rPr>
          <w:b/>
          <w:bCs/>
          <w:sz w:val="24"/>
          <w:szCs w:val="24"/>
        </w:rPr>
        <w:t>Analysis</w:t>
      </w:r>
    </w:p>
    <w:p w14:paraId="28FCF721" w14:textId="3A82871A" w:rsidR="00240C10" w:rsidRDefault="00240C10" w:rsidP="00240C10">
      <w:pPr>
        <w:spacing w:before="62" w:line="480" w:lineRule="auto"/>
        <w:ind w:right="20"/>
        <w:jc w:val="both"/>
        <w:rPr>
          <w:bCs/>
          <w:sz w:val="24"/>
          <w:szCs w:val="24"/>
        </w:rPr>
      </w:pPr>
      <w:r w:rsidRPr="00240C10">
        <w:rPr>
          <w:bCs/>
          <w:sz w:val="24"/>
          <w:szCs w:val="24"/>
        </w:rPr>
        <w:t xml:space="preserve">No quantitative data were generated in this study. Instead, histological examination of spinal cord tissues was conducted using qualitative descriptive analysis. The stained sections were examined under a light microscope, and photomicrographs were captured to document structural and cellular features. Comparative assessment was carried out across experimental groups, focusing on neuronal morphology, cytoarchitecture of grey and white matter, presence of Nissl substances, and evidence of degenerative changes such as chromatolysis, gliosis, and neuronal loss. Observed patterns were described narratively, with emphasis on differences in degree of preservation or damage between control, </w:t>
      </w:r>
      <w:r w:rsidR="00DC129B">
        <w:rPr>
          <w:bCs/>
          <w:sz w:val="24"/>
          <w:szCs w:val="24"/>
        </w:rPr>
        <w:t>Cassava</w:t>
      </w:r>
      <w:r w:rsidRPr="00240C10">
        <w:rPr>
          <w:bCs/>
          <w:sz w:val="24"/>
          <w:szCs w:val="24"/>
        </w:rPr>
        <w:t>-fed, and supplement-treated groups. The findings were interpreted in relation to established histopathological markers of neurodegeneration and motor neuron integrity.</w:t>
      </w:r>
    </w:p>
    <w:p w14:paraId="44351A03" w14:textId="1754BDAB" w:rsidR="00240C10" w:rsidRDefault="00240C10" w:rsidP="00240C10">
      <w:pPr>
        <w:spacing w:before="62" w:line="480" w:lineRule="auto"/>
        <w:ind w:right="20"/>
        <w:jc w:val="both"/>
        <w:rPr>
          <w:bCs/>
          <w:sz w:val="24"/>
          <w:szCs w:val="24"/>
        </w:rPr>
      </w:pPr>
      <w:r w:rsidRPr="005D7F27">
        <w:rPr>
          <w:b/>
          <w:bCs/>
          <w:sz w:val="24"/>
          <w:szCs w:val="24"/>
        </w:rPr>
        <w:t>Ethical Clearance</w:t>
      </w:r>
    </w:p>
    <w:p w14:paraId="6BAE0EA6" w14:textId="7A829990" w:rsidR="00240C10" w:rsidRPr="00240C10" w:rsidRDefault="00240C10" w:rsidP="00240C10">
      <w:pPr>
        <w:spacing w:before="62" w:line="480" w:lineRule="auto"/>
        <w:ind w:right="20"/>
        <w:jc w:val="both"/>
        <w:rPr>
          <w:bCs/>
          <w:sz w:val="24"/>
          <w:szCs w:val="24"/>
        </w:rPr>
      </w:pPr>
      <w:r w:rsidRPr="005D7F27">
        <w:rPr>
          <w:bCs/>
          <w:sz w:val="24"/>
          <w:szCs w:val="24"/>
        </w:rPr>
        <w:t>The experimental animals were sourced from the Animal House of the Department of Pharmacology, Faculty of Basic Clinical Sciences, University of Port Harcourt. All experimental procedures were conducted in compliance with the guiding principles for research involving animals, as approved by the Research Ethics Committee of the University of Port Harcourt (Approval Reference No.: UPH/CEREMAD/REC/MM80/023). Animals were housed under standard laboratory conditions in metal cages at normal room temperature, with appropriate care provided throughout the study.</w:t>
      </w:r>
    </w:p>
    <w:p w14:paraId="7AA1AADA" w14:textId="4D581125" w:rsidR="00492466" w:rsidRPr="00492466" w:rsidRDefault="00492466" w:rsidP="00492466">
      <w:pPr>
        <w:spacing w:before="77" w:line="480" w:lineRule="auto"/>
        <w:ind w:right="76"/>
        <w:jc w:val="both"/>
        <w:rPr>
          <w:b/>
          <w:color w:val="212121"/>
          <w:spacing w:val="-1"/>
          <w:sz w:val="24"/>
          <w:szCs w:val="24"/>
        </w:rPr>
      </w:pPr>
      <w:r>
        <w:rPr>
          <w:b/>
          <w:color w:val="212121"/>
          <w:spacing w:val="-1"/>
          <w:sz w:val="24"/>
          <w:szCs w:val="24"/>
        </w:rPr>
        <w:t>RESULTS</w:t>
      </w:r>
    </w:p>
    <w:p w14:paraId="79219D63" w14:textId="21408991" w:rsidR="00CE38AE" w:rsidRPr="00CE38AE" w:rsidRDefault="00CE38AE" w:rsidP="00CE38AE">
      <w:pPr>
        <w:spacing w:before="29" w:line="480" w:lineRule="auto"/>
        <w:jc w:val="both"/>
        <w:rPr>
          <w:b/>
          <w:bCs/>
          <w:sz w:val="24"/>
        </w:rPr>
      </w:pPr>
      <w:r w:rsidRPr="00CE38AE">
        <w:rPr>
          <w:b/>
          <w:bCs/>
          <w:sz w:val="24"/>
        </w:rPr>
        <w:t>Histological Findings of the Spinal Cord</w:t>
      </w:r>
    </w:p>
    <w:p w14:paraId="22C32315" w14:textId="748B7A3B" w:rsidR="00CE38AE" w:rsidRPr="00CE38AE" w:rsidRDefault="00CE38AE" w:rsidP="00CE38AE">
      <w:pPr>
        <w:spacing w:before="29" w:line="480" w:lineRule="auto"/>
        <w:jc w:val="both"/>
        <w:rPr>
          <w:bCs/>
          <w:sz w:val="24"/>
        </w:rPr>
      </w:pPr>
      <w:r w:rsidRPr="00CE38AE">
        <w:rPr>
          <w:bCs/>
          <w:sz w:val="24"/>
        </w:rPr>
        <w:t xml:space="preserve">Histological examination of the spinal cord using Nissl staining revealed distinct structural and cellular alterations across experimental groups. In the control group (Figures 1A–B), the spinal </w:t>
      </w:r>
      <w:r w:rsidRPr="00CE38AE">
        <w:rPr>
          <w:bCs/>
          <w:sz w:val="24"/>
        </w:rPr>
        <w:lastRenderedPageBreak/>
        <w:t>cord architecture was well preserved, showing clearly demarcated anterior and posterior horns, with normal grey and white matter organization. The anterior horn contained motor neurons exhibiting intact morphology and abundant Nissl substances, indicating preserved neuronal integrity.</w:t>
      </w:r>
      <w:r>
        <w:rPr>
          <w:bCs/>
          <w:sz w:val="24"/>
        </w:rPr>
        <w:t xml:space="preserve"> </w:t>
      </w:r>
      <w:r w:rsidRPr="00CE38AE">
        <w:rPr>
          <w:bCs/>
          <w:sz w:val="24"/>
        </w:rPr>
        <w:t xml:space="preserve">Conversely, spinal cords from rats treated with </w:t>
      </w:r>
      <w:r w:rsidR="00DC129B">
        <w:rPr>
          <w:bCs/>
          <w:sz w:val="24"/>
        </w:rPr>
        <w:t>Cassava</w:t>
      </w:r>
      <w:r w:rsidRPr="00CE38AE">
        <w:rPr>
          <w:bCs/>
          <w:sz w:val="24"/>
        </w:rPr>
        <w:t xml:space="preserve"> alone (Figures 2A–B) demonstrated marked pathological changes characterized by distorted and disorganized architecture in both anterior and posterior horns. The anterior horn exhibited pronounced neuronal degeneration, chromatolysis, and cellular gliosis, reflecting substantial neurotoxic injury.</w:t>
      </w:r>
    </w:p>
    <w:p w14:paraId="25555A17" w14:textId="10CEFE37" w:rsidR="00CE38AE" w:rsidRPr="00CE38AE" w:rsidRDefault="00CE38AE" w:rsidP="00CE38AE">
      <w:pPr>
        <w:spacing w:before="29" w:after="240" w:line="480" w:lineRule="auto"/>
        <w:jc w:val="both"/>
        <w:rPr>
          <w:bCs/>
          <w:sz w:val="24"/>
        </w:rPr>
      </w:pPr>
      <w:r w:rsidRPr="00CE38AE">
        <w:rPr>
          <w:bCs/>
          <w:sz w:val="24"/>
        </w:rPr>
        <w:t xml:space="preserve">Rats treated with </w:t>
      </w:r>
      <w:r w:rsidR="00DC129B">
        <w:rPr>
          <w:bCs/>
          <w:sz w:val="24"/>
        </w:rPr>
        <w:t>Cassava</w:t>
      </w:r>
      <w:r w:rsidRPr="00CE38AE">
        <w:rPr>
          <w:bCs/>
          <w:sz w:val="24"/>
        </w:rPr>
        <w:t xml:space="preserve"> supplemented with standard animal feed (Figures 3A–B) showed partial improvement. While disorganized regions were still evident, some motor neurons retained normal morphology with visible Nissl substances, although degenerative features and gliotic changes persisted, suggesting incomplete neuroprotection.</w:t>
      </w:r>
      <w:r>
        <w:rPr>
          <w:bCs/>
          <w:sz w:val="24"/>
        </w:rPr>
        <w:t xml:space="preserve"> </w:t>
      </w:r>
      <w:r w:rsidRPr="00CE38AE">
        <w:rPr>
          <w:bCs/>
          <w:sz w:val="24"/>
        </w:rPr>
        <w:t xml:space="preserve">Notably, rats treated with </w:t>
      </w:r>
      <w:r w:rsidR="00DC129B">
        <w:rPr>
          <w:bCs/>
          <w:sz w:val="24"/>
        </w:rPr>
        <w:t>Cassava</w:t>
      </w:r>
      <w:r w:rsidRPr="00CE38AE">
        <w:rPr>
          <w:bCs/>
          <w:sz w:val="24"/>
        </w:rPr>
        <w:t xml:space="preserve"> plus eggshell </w:t>
      </w:r>
      <w:r w:rsidR="00F434B5">
        <w:rPr>
          <w:bCs/>
          <w:sz w:val="24"/>
        </w:rPr>
        <w:t>+</w:t>
      </w:r>
      <w:r w:rsidRPr="00CE38AE">
        <w:rPr>
          <w:bCs/>
          <w:sz w:val="24"/>
        </w:rPr>
        <w:t xml:space="preserve"> brown beans (Figures 4A–B) displayed substantial recovery of spinal cord cytoarchitecture. The grey and white matter compartments were well organized, particularly in the anterior horn, where motor neurons appeared largely restored, exhibiting abundant Nissl substances and reduced signs of degeneration.</w:t>
      </w:r>
      <w:r>
        <w:rPr>
          <w:bCs/>
          <w:sz w:val="24"/>
        </w:rPr>
        <w:t xml:space="preserve"> </w:t>
      </w:r>
      <w:r w:rsidRPr="00CE38AE">
        <w:rPr>
          <w:bCs/>
          <w:sz w:val="24"/>
        </w:rPr>
        <w:t xml:space="preserve">Finally, in the group fed only eggshell </w:t>
      </w:r>
      <w:r w:rsidR="00F434B5">
        <w:rPr>
          <w:bCs/>
          <w:sz w:val="24"/>
        </w:rPr>
        <w:t>+</w:t>
      </w:r>
      <w:r w:rsidRPr="00CE38AE">
        <w:rPr>
          <w:bCs/>
          <w:sz w:val="24"/>
        </w:rPr>
        <w:t xml:space="preserve"> brown beans (Figures 5A–B), the spinal cord generally retained normal structure, though mild disruptions were noted, including few disorganized regions, increased perineural spaces, and evidence of astrogliosis alongside occasional degenerated neurons. These changes, though present, were less severe compared to the </w:t>
      </w:r>
      <w:r w:rsidR="00DC129B">
        <w:rPr>
          <w:bCs/>
          <w:sz w:val="24"/>
        </w:rPr>
        <w:t>Cassava</w:t>
      </w:r>
      <w:r w:rsidRPr="00CE38AE">
        <w:rPr>
          <w:bCs/>
          <w:sz w:val="24"/>
        </w:rPr>
        <w:t>-only group, highlighting the protective effects of amino acid supplementation.</w:t>
      </w:r>
    </w:p>
    <w:p w14:paraId="69EA3F1E" w14:textId="065910D3" w:rsidR="00562235" w:rsidRPr="00562235" w:rsidRDefault="00562235" w:rsidP="00562235">
      <w:pPr>
        <w:spacing w:before="29" w:line="480" w:lineRule="auto"/>
        <w:rPr>
          <w:b/>
          <w:sz w:val="24"/>
        </w:rPr>
      </w:pPr>
      <w:r w:rsidRPr="00562235">
        <w:rPr>
          <w:b/>
          <w:noProof/>
          <w:sz w:val="24"/>
        </w:rPr>
        <w:lastRenderedPageBreak/>
        <w:drawing>
          <wp:inline distT="0" distB="0" distL="0" distR="0" wp14:anchorId="7B363709" wp14:editId="7DF4AB52">
            <wp:extent cx="5873750" cy="4415801"/>
            <wp:effectExtent l="0" t="0" r="0" b="3810"/>
            <wp:docPr id="1407118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111" t="15741" r="26787" b="51774"/>
                    <a:stretch>
                      <a:fillRect/>
                    </a:stretch>
                  </pic:blipFill>
                  <pic:spPr bwMode="auto">
                    <a:xfrm>
                      <a:off x="0" y="0"/>
                      <a:ext cx="5889354" cy="4427532"/>
                    </a:xfrm>
                    <a:prstGeom prst="rect">
                      <a:avLst/>
                    </a:prstGeom>
                    <a:noFill/>
                    <a:ln>
                      <a:noFill/>
                    </a:ln>
                    <a:extLst>
                      <a:ext uri="{53640926-AAD7-44D8-BBD7-CCE9431645EC}">
                        <a14:shadowObscured xmlns:a14="http://schemas.microsoft.com/office/drawing/2010/main"/>
                      </a:ext>
                    </a:extLst>
                  </pic:spPr>
                </pic:pic>
              </a:graphicData>
            </a:graphic>
          </wp:inline>
        </w:drawing>
      </w:r>
    </w:p>
    <w:p w14:paraId="5F08F356" w14:textId="462A0C49" w:rsidR="00492466" w:rsidRDefault="00F922F3" w:rsidP="00492466">
      <w:pPr>
        <w:pStyle w:val="BodyText"/>
        <w:spacing w:line="480" w:lineRule="auto"/>
        <w:jc w:val="both"/>
      </w:pPr>
      <w:r>
        <w:rPr>
          <w:b/>
        </w:rPr>
        <w:t>Figure 1</w:t>
      </w:r>
      <w:r w:rsidR="00492466">
        <w:rPr>
          <w:b/>
        </w:rPr>
        <w:t xml:space="preserve">A: </w:t>
      </w:r>
      <w:r w:rsidR="00492466">
        <w:t xml:space="preserve">Photomicrographs section of spinal cord tissue of </w:t>
      </w:r>
      <w:r w:rsidR="00F1379E">
        <w:t>Wistar</w:t>
      </w:r>
      <w:r w:rsidR="00492466">
        <w:t xml:space="preserve"> rat from control group</w:t>
      </w:r>
      <w:r w:rsidR="00492466">
        <w:rPr>
          <w:spacing w:val="1"/>
        </w:rPr>
        <w:t xml:space="preserve"> </w:t>
      </w:r>
      <w:r w:rsidR="00492466">
        <w:t>showing the different area of the spinal cord with anterior horn (AH), posterior horns (PH), white</w:t>
      </w:r>
      <w:r w:rsidR="00492466">
        <w:rPr>
          <w:spacing w:val="-57"/>
        </w:rPr>
        <w:t xml:space="preserve"> </w:t>
      </w:r>
      <w:r w:rsidR="00492466">
        <w:t>matter</w:t>
      </w:r>
      <w:r w:rsidR="00492466">
        <w:rPr>
          <w:spacing w:val="-2"/>
        </w:rPr>
        <w:t xml:space="preserve"> </w:t>
      </w:r>
      <w:r w:rsidR="00492466">
        <w:t>((WM)</w:t>
      </w:r>
      <w:r w:rsidR="00492466">
        <w:rPr>
          <w:spacing w:val="3"/>
        </w:rPr>
        <w:t xml:space="preserve"> </w:t>
      </w:r>
      <w:r w:rsidR="00492466">
        <w:t>and</w:t>
      </w:r>
      <w:r w:rsidR="00492466">
        <w:rPr>
          <w:spacing w:val="2"/>
        </w:rPr>
        <w:t xml:space="preserve"> </w:t>
      </w:r>
      <w:r w:rsidR="00CE38AE">
        <w:t>grey</w:t>
      </w:r>
      <w:r w:rsidR="00492466">
        <w:rPr>
          <w:spacing w:val="-4"/>
        </w:rPr>
        <w:t xml:space="preserve"> </w:t>
      </w:r>
      <w:r w:rsidR="00492466">
        <w:t>matter</w:t>
      </w:r>
      <w:r w:rsidR="00492466">
        <w:rPr>
          <w:spacing w:val="-1"/>
        </w:rPr>
        <w:t xml:space="preserve"> </w:t>
      </w:r>
      <w:r w:rsidR="00492466">
        <w:t>(GM).</w:t>
      </w:r>
      <w:r w:rsidR="00492466">
        <w:rPr>
          <w:spacing w:val="5"/>
        </w:rPr>
        <w:t xml:space="preserve"> </w:t>
      </w:r>
      <w:r w:rsidR="00492466">
        <w:t>Nissl</w:t>
      </w:r>
      <w:r w:rsidR="00492466">
        <w:rPr>
          <w:spacing w:val="-4"/>
        </w:rPr>
        <w:t xml:space="preserve"> </w:t>
      </w:r>
      <w:r w:rsidR="00492466">
        <w:t>stain:</w:t>
      </w:r>
      <w:r w:rsidR="00492466">
        <w:rPr>
          <w:spacing w:val="7"/>
        </w:rPr>
        <w:t xml:space="preserve"> </w:t>
      </w:r>
      <w:r w:rsidR="00492466">
        <w:t>×100.</w:t>
      </w:r>
    </w:p>
    <w:p w14:paraId="12B6E586" w14:textId="77777777" w:rsidR="00562235" w:rsidRDefault="00562235" w:rsidP="00492466">
      <w:pPr>
        <w:pStyle w:val="BodyText"/>
        <w:spacing w:line="480" w:lineRule="auto"/>
        <w:jc w:val="both"/>
      </w:pPr>
    </w:p>
    <w:p w14:paraId="62CEAC09" w14:textId="3339CF4B" w:rsidR="00492466" w:rsidRPr="00562235" w:rsidRDefault="00562235" w:rsidP="00562235">
      <w:pPr>
        <w:pStyle w:val="BodyText"/>
        <w:spacing w:line="480" w:lineRule="auto"/>
        <w:jc w:val="both"/>
        <w:rPr>
          <w:b/>
        </w:rPr>
      </w:pPr>
      <w:r>
        <w:rPr>
          <w:noProof/>
        </w:rPr>
        <w:lastRenderedPageBreak/>
        <w:drawing>
          <wp:inline distT="0" distB="0" distL="0" distR="0" wp14:anchorId="61496FA1" wp14:editId="06120FCC">
            <wp:extent cx="5949950" cy="4104881"/>
            <wp:effectExtent l="0" t="0" r="0" b="0"/>
            <wp:docPr id="976619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90" t="8564" r="26969" b="61652"/>
                    <a:stretch>
                      <a:fillRect/>
                    </a:stretch>
                  </pic:blipFill>
                  <pic:spPr bwMode="auto">
                    <a:xfrm>
                      <a:off x="0" y="0"/>
                      <a:ext cx="5962039" cy="4113221"/>
                    </a:xfrm>
                    <a:prstGeom prst="rect">
                      <a:avLst/>
                    </a:prstGeom>
                    <a:noFill/>
                    <a:ln>
                      <a:noFill/>
                    </a:ln>
                    <a:extLst>
                      <a:ext uri="{53640926-AAD7-44D8-BBD7-CCE9431645EC}">
                        <a14:shadowObscured xmlns:a14="http://schemas.microsoft.com/office/drawing/2010/main"/>
                      </a:ext>
                    </a:extLst>
                  </pic:spPr>
                </pic:pic>
              </a:graphicData>
            </a:graphic>
          </wp:inline>
        </w:drawing>
      </w:r>
    </w:p>
    <w:p w14:paraId="2DAABB2C" w14:textId="64F18122" w:rsidR="00492466" w:rsidRPr="00CF00E2" w:rsidRDefault="00F922F3" w:rsidP="00492466">
      <w:pPr>
        <w:pStyle w:val="BodyText"/>
        <w:spacing w:line="480" w:lineRule="auto"/>
        <w:jc w:val="both"/>
        <w:rPr>
          <w:sz w:val="20"/>
        </w:rPr>
      </w:pPr>
      <w:r>
        <w:rPr>
          <w:b/>
        </w:rPr>
        <w:t>Figure 1</w:t>
      </w:r>
      <w:r w:rsidR="00492466">
        <w:rPr>
          <w:b/>
        </w:rPr>
        <w:t xml:space="preserve">B: </w:t>
      </w:r>
      <w:r w:rsidR="00492466">
        <w:t xml:space="preserve">Photomicrographs section of spinal cord tissue of </w:t>
      </w:r>
      <w:r w:rsidR="00F1379E">
        <w:t xml:space="preserve">Wistar </w:t>
      </w:r>
      <w:r w:rsidR="00492466">
        <w:t>rat from control group</w:t>
      </w:r>
      <w:r w:rsidR="00492466">
        <w:rPr>
          <w:spacing w:val="1"/>
        </w:rPr>
        <w:t xml:space="preserve"> </w:t>
      </w:r>
      <w:r w:rsidR="00492466">
        <w:t>displaying</w:t>
      </w:r>
      <w:r w:rsidR="00492466">
        <w:rPr>
          <w:spacing w:val="-5"/>
        </w:rPr>
        <w:t xml:space="preserve"> </w:t>
      </w:r>
      <w:r w:rsidR="00492466">
        <w:t>grey</w:t>
      </w:r>
      <w:r w:rsidR="00492466">
        <w:rPr>
          <w:spacing w:val="-8"/>
        </w:rPr>
        <w:t xml:space="preserve"> </w:t>
      </w:r>
      <w:r w:rsidR="00492466">
        <w:t>matter areas</w:t>
      </w:r>
      <w:r w:rsidR="00492466">
        <w:rPr>
          <w:spacing w:val="-10"/>
        </w:rPr>
        <w:t xml:space="preserve"> </w:t>
      </w:r>
      <w:r w:rsidR="00492466">
        <w:t>of</w:t>
      </w:r>
      <w:r w:rsidR="00492466">
        <w:rPr>
          <w:spacing w:val="-12"/>
        </w:rPr>
        <w:t xml:space="preserve"> </w:t>
      </w:r>
      <w:r w:rsidR="00492466">
        <w:t>the</w:t>
      </w:r>
      <w:r w:rsidR="00492466">
        <w:rPr>
          <w:spacing w:val="-5"/>
        </w:rPr>
        <w:t xml:space="preserve"> </w:t>
      </w:r>
      <w:r w:rsidR="00492466">
        <w:t>anterior</w:t>
      </w:r>
      <w:r w:rsidR="00492466">
        <w:rPr>
          <w:spacing w:val="-2"/>
        </w:rPr>
        <w:t xml:space="preserve"> </w:t>
      </w:r>
      <w:r w:rsidR="00492466">
        <w:t>horn</w:t>
      </w:r>
      <w:r w:rsidR="00492466">
        <w:rPr>
          <w:spacing w:val="-9"/>
        </w:rPr>
        <w:t xml:space="preserve"> </w:t>
      </w:r>
      <w:r w:rsidR="00492466">
        <w:t>of</w:t>
      </w:r>
      <w:r w:rsidR="00492466">
        <w:rPr>
          <w:spacing w:val="-12"/>
        </w:rPr>
        <w:t xml:space="preserve"> </w:t>
      </w:r>
      <w:r w:rsidR="00492466">
        <w:t>the</w:t>
      </w:r>
      <w:r w:rsidR="00492466">
        <w:rPr>
          <w:spacing w:val="-5"/>
        </w:rPr>
        <w:t xml:space="preserve"> </w:t>
      </w:r>
      <w:r w:rsidR="00492466">
        <w:t>spinal</w:t>
      </w:r>
      <w:r w:rsidR="00492466">
        <w:rPr>
          <w:spacing w:val="-8"/>
        </w:rPr>
        <w:t xml:space="preserve"> </w:t>
      </w:r>
      <w:r w:rsidR="00492466">
        <w:t>cord</w:t>
      </w:r>
      <w:r w:rsidR="00492466">
        <w:rPr>
          <w:spacing w:val="-4"/>
        </w:rPr>
        <w:t xml:space="preserve"> </w:t>
      </w:r>
      <w:r w:rsidR="00492466">
        <w:t>with</w:t>
      </w:r>
      <w:r w:rsidR="00492466">
        <w:rPr>
          <w:spacing w:val="-9"/>
        </w:rPr>
        <w:t xml:space="preserve"> </w:t>
      </w:r>
      <w:r w:rsidR="00492466">
        <w:t>Motor</w:t>
      </w:r>
      <w:r w:rsidR="00492466">
        <w:rPr>
          <w:spacing w:val="-2"/>
        </w:rPr>
        <w:t xml:space="preserve"> </w:t>
      </w:r>
      <w:r w:rsidR="00492466">
        <w:t>neurons</w:t>
      </w:r>
      <w:r w:rsidR="00492466">
        <w:rPr>
          <w:spacing w:val="-6"/>
        </w:rPr>
        <w:t xml:space="preserve"> </w:t>
      </w:r>
      <w:r w:rsidR="00492466">
        <w:t>(MN)</w:t>
      </w:r>
      <w:r w:rsidR="00492466">
        <w:rPr>
          <w:spacing w:val="-3"/>
        </w:rPr>
        <w:t xml:space="preserve"> </w:t>
      </w:r>
      <w:r w:rsidR="00492466">
        <w:t>with</w:t>
      </w:r>
      <w:r w:rsidR="00492466">
        <w:rPr>
          <w:spacing w:val="-58"/>
        </w:rPr>
        <w:t xml:space="preserve"> </w:t>
      </w:r>
      <w:r w:rsidR="00492466">
        <w:t>abundance of</w:t>
      </w:r>
      <w:r w:rsidR="00492466">
        <w:rPr>
          <w:spacing w:val="-7"/>
        </w:rPr>
        <w:t xml:space="preserve"> </w:t>
      </w:r>
      <w:r w:rsidR="00492466">
        <w:t>Nissl</w:t>
      </w:r>
      <w:r w:rsidR="00492466">
        <w:rPr>
          <w:spacing w:val="-4"/>
        </w:rPr>
        <w:t xml:space="preserve"> </w:t>
      </w:r>
      <w:r w:rsidR="00492466">
        <w:t>substance</w:t>
      </w:r>
      <w:r w:rsidR="00492466">
        <w:rPr>
          <w:spacing w:val="2"/>
        </w:rPr>
        <w:t xml:space="preserve"> </w:t>
      </w:r>
      <w:r w:rsidR="00492466">
        <w:t>(NS)</w:t>
      </w:r>
      <w:r w:rsidR="00492466">
        <w:rPr>
          <w:spacing w:val="3"/>
        </w:rPr>
        <w:t xml:space="preserve"> </w:t>
      </w:r>
      <w:r w:rsidR="00492466">
        <w:t>in</w:t>
      </w:r>
      <w:r w:rsidR="00492466">
        <w:rPr>
          <w:spacing w:val="-4"/>
        </w:rPr>
        <w:t xml:space="preserve"> </w:t>
      </w:r>
      <w:r w:rsidR="00492466">
        <w:t>the anterior</w:t>
      </w:r>
      <w:r w:rsidR="00492466">
        <w:rPr>
          <w:spacing w:val="2"/>
        </w:rPr>
        <w:t xml:space="preserve"> </w:t>
      </w:r>
      <w:r w:rsidR="00492466">
        <w:t>horn</w:t>
      </w:r>
      <w:r w:rsidR="00492466">
        <w:rPr>
          <w:spacing w:val="-4"/>
        </w:rPr>
        <w:t xml:space="preserve"> </w:t>
      </w:r>
      <w:r w:rsidR="00492466">
        <w:t>of</w:t>
      </w:r>
      <w:r w:rsidR="00492466">
        <w:rPr>
          <w:spacing w:val="-7"/>
        </w:rPr>
        <w:t xml:space="preserve"> </w:t>
      </w:r>
      <w:r w:rsidR="00492466">
        <w:t>the spinal</w:t>
      </w:r>
      <w:r w:rsidR="00492466">
        <w:rPr>
          <w:spacing w:val="-4"/>
        </w:rPr>
        <w:t xml:space="preserve"> </w:t>
      </w:r>
      <w:r w:rsidR="00492466">
        <w:t>cord.</w:t>
      </w:r>
      <w:r w:rsidR="00492466">
        <w:rPr>
          <w:spacing w:val="3"/>
        </w:rPr>
        <w:t xml:space="preserve"> </w:t>
      </w:r>
      <w:r w:rsidR="00492466">
        <w:t>Nissl</w:t>
      </w:r>
      <w:r w:rsidR="00492466">
        <w:rPr>
          <w:spacing w:val="-4"/>
        </w:rPr>
        <w:t xml:space="preserve"> </w:t>
      </w:r>
      <w:r w:rsidR="00492466">
        <w:t>stain:</w:t>
      </w:r>
      <w:r w:rsidR="00492466">
        <w:rPr>
          <w:spacing w:val="6"/>
        </w:rPr>
        <w:t xml:space="preserve"> </w:t>
      </w:r>
      <w:r w:rsidR="00492466">
        <w:t>x400.</w:t>
      </w:r>
    </w:p>
    <w:p w14:paraId="09DB6207" w14:textId="77777777" w:rsidR="00492466" w:rsidRDefault="00492466" w:rsidP="00492466">
      <w:pPr>
        <w:pStyle w:val="BodyText"/>
        <w:spacing w:line="480" w:lineRule="auto"/>
        <w:rPr>
          <w:b/>
        </w:rPr>
      </w:pPr>
    </w:p>
    <w:p w14:paraId="404C4E41" w14:textId="77777777" w:rsidR="00492466" w:rsidRDefault="00492466" w:rsidP="00492466">
      <w:pPr>
        <w:pStyle w:val="BodyText"/>
        <w:spacing w:line="480" w:lineRule="auto"/>
        <w:rPr>
          <w:b/>
        </w:rPr>
      </w:pPr>
    </w:p>
    <w:p w14:paraId="4A62F7CB" w14:textId="77777777" w:rsidR="00492466" w:rsidRDefault="00492466" w:rsidP="00492466">
      <w:pPr>
        <w:pStyle w:val="BodyText"/>
        <w:spacing w:line="480" w:lineRule="auto"/>
        <w:rPr>
          <w:b/>
        </w:rPr>
      </w:pPr>
    </w:p>
    <w:p w14:paraId="51C8FAF7" w14:textId="77777777" w:rsidR="00492466" w:rsidRDefault="00492466" w:rsidP="00492466">
      <w:pPr>
        <w:pStyle w:val="BodyText"/>
        <w:spacing w:line="480" w:lineRule="auto"/>
        <w:rPr>
          <w:b/>
        </w:rPr>
      </w:pPr>
    </w:p>
    <w:p w14:paraId="2650B5DE" w14:textId="77777777" w:rsidR="00492466" w:rsidRDefault="00492466" w:rsidP="00492466">
      <w:pPr>
        <w:pStyle w:val="BodyText"/>
        <w:spacing w:line="480" w:lineRule="auto"/>
        <w:rPr>
          <w:b/>
        </w:rPr>
      </w:pPr>
    </w:p>
    <w:p w14:paraId="015DBADA" w14:textId="77777777" w:rsidR="00492466" w:rsidRDefault="00492466" w:rsidP="00492466">
      <w:pPr>
        <w:pStyle w:val="BodyText"/>
        <w:spacing w:line="480" w:lineRule="auto"/>
        <w:rPr>
          <w:b/>
        </w:rPr>
      </w:pPr>
    </w:p>
    <w:p w14:paraId="03D5EF54" w14:textId="77777777" w:rsidR="00492466" w:rsidRDefault="00492466" w:rsidP="00492466">
      <w:pPr>
        <w:pStyle w:val="BodyText"/>
        <w:spacing w:line="480" w:lineRule="auto"/>
        <w:rPr>
          <w:b/>
        </w:rPr>
      </w:pPr>
    </w:p>
    <w:p w14:paraId="13912BD2" w14:textId="77777777" w:rsidR="00562235" w:rsidRDefault="00562235" w:rsidP="00492466">
      <w:pPr>
        <w:pStyle w:val="BodyText"/>
        <w:spacing w:line="480" w:lineRule="auto"/>
        <w:jc w:val="both"/>
        <w:rPr>
          <w:sz w:val="20"/>
        </w:rPr>
      </w:pPr>
    </w:p>
    <w:p w14:paraId="29907903" w14:textId="6964928A" w:rsidR="00562235" w:rsidRDefault="00562235" w:rsidP="00492466">
      <w:pPr>
        <w:pStyle w:val="BodyText"/>
        <w:spacing w:line="480" w:lineRule="auto"/>
        <w:jc w:val="both"/>
        <w:rPr>
          <w:sz w:val="20"/>
        </w:rPr>
      </w:pPr>
      <w:r>
        <w:rPr>
          <w:noProof/>
        </w:rPr>
        <w:lastRenderedPageBreak/>
        <w:drawing>
          <wp:inline distT="0" distB="0" distL="0" distR="0" wp14:anchorId="3B9DE1D2" wp14:editId="1BE0470A">
            <wp:extent cx="5918200" cy="4433270"/>
            <wp:effectExtent l="0" t="0" r="6350" b="5715"/>
            <wp:docPr id="305693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10" t="8642" r="27886" b="59568"/>
                    <a:stretch>
                      <a:fillRect/>
                    </a:stretch>
                  </pic:blipFill>
                  <pic:spPr bwMode="auto">
                    <a:xfrm>
                      <a:off x="0" y="0"/>
                      <a:ext cx="5933000" cy="4444357"/>
                    </a:xfrm>
                    <a:prstGeom prst="rect">
                      <a:avLst/>
                    </a:prstGeom>
                    <a:noFill/>
                    <a:ln>
                      <a:noFill/>
                    </a:ln>
                    <a:extLst>
                      <a:ext uri="{53640926-AAD7-44D8-BBD7-CCE9431645EC}">
                        <a14:shadowObscured xmlns:a14="http://schemas.microsoft.com/office/drawing/2010/main"/>
                      </a:ext>
                    </a:extLst>
                  </pic:spPr>
                </pic:pic>
              </a:graphicData>
            </a:graphic>
          </wp:inline>
        </w:drawing>
      </w:r>
    </w:p>
    <w:p w14:paraId="2338B503" w14:textId="13B6733D" w:rsidR="00492466" w:rsidRPr="00CF00E2" w:rsidRDefault="00492466" w:rsidP="00492466">
      <w:pPr>
        <w:pStyle w:val="BodyText"/>
        <w:spacing w:line="480" w:lineRule="auto"/>
        <w:jc w:val="both"/>
        <w:rPr>
          <w:sz w:val="20"/>
        </w:rPr>
      </w:pPr>
      <w:r>
        <w:rPr>
          <w:b/>
        </w:rPr>
        <w:t>Figure</w:t>
      </w:r>
      <w:r>
        <w:rPr>
          <w:b/>
          <w:spacing w:val="-5"/>
        </w:rPr>
        <w:t xml:space="preserve"> </w:t>
      </w:r>
      <w:r w:rsidR="00CE38AE">
        <w:rPr>
          <w:b/>
        </w:rPr>
        <w:t>2</w:t>
      </w:r>
      <w:r>
        <w:rPr>
          <w:b/>
        </w:rPr>
        <w:t>A:</w:t>
      </w:r>
      <w:r>
        <w:rPr>
          <w:b/>
          <w:spacing w:val="-7"/>
        </w:rPr>
        <w:t xml:space="preserve"> </w:t>
      </w:r>
      <w:r>
        <w:t>Photomicrographs</w:t>
      </w:r>
      <w:r>
        <w:rPr>
          <w:spacing w:val="-7"/>
        </w:rPr>
        <w:t xml:space="preserve"> </w:t>
      </w:r>
      <w:r>
        <w:t>section</w:t>
      </w:r>
      <w:r>
        <w:rPr>
          <w:spacing w:val="-9"/>
        </w:rPr>
        <w:t xml:space="preserve"> </w:t>
      </w:r>
      <w:r>
        <w:t>of</w:t>
      </w:r>
      <w:r>
        <w:rPr>
          <w:spacing w:val="-12"/>
        </w:rPr>
        <w:t xml:space="preserve"> </w:t>
      </w:r>
      <w:r>
        <w:t>spinal</w:t>
      </w:r>
      <w:r>
        <w:rPr>
          <w:spacing w:val="-9"/>
        </w:rPr>
        <w:t xml:space="preserve"> </w:t>
      </w:r>
      <w:r>
        <w:t>cord</w:t>
      </w:r>
      <w:r>
        <w:rPr>
          <w:spacing w:val="-9"/>
        </w:rPr>
        <w:t xml:space="preserve"> </w:t>
      </w:r>
      <w:r>
        <w:t>tissue from</w:t>
      </w:r>
      <w:r>
        <w:rPr>
          <w:spacing w:val="-14"/>
        </w:rPr>
        <w:t xml:space="preserve"> </w:t>
      </w:r>
      <w:r w:rsidR="00F1379E">
        <w:t xml:space="preserve">Wistar </w:t>
      </w:r>
      <w:r>
        <w:t>rat</w:t>
      </w:r>
      <w:r>
        <w:rPr>
          <w:spacing w:val="-8"/>
        </w:rPr>
        <w:t xml:space="preserve"> </w:t>
      </w:r>
      <w:r>
        <w:t>treated</w:t>
      </w:r>
      <w:r>
        <w:rPr>
          <w:spacing w:val="-9"/>
        </w:rPr>
        <w:t xml:space="preserve"> </w:t>
      </w:r>
      <w:r>
        <w:t>with</w:t>
      </w:r>
      <w:r>
        <w:rPr>
          <w:spacing w:val="-10"/>
        </w:rPr>
        <w:t xml:space="preserve"> </w:t>
      </w:r>
      <w:r w:rsidR="00DC129B">
        <w:t>Cassava</w:t>
      </w:r>
      <w:r>
        <w:rPr>
          <w:spacing w:val="-5"/>
        </w:rPr>
        <w:t xml:space="preserve"> </w:t>
      </w:r>
      <w:r>
        <w:t>alone.</w:t>
      </w:r>
      <w:r>
        <w:rPr>
          <w:spacing w:val="-58"/>
        </w:rPr>
        <w:t xml:space="preserve"> </w:t>
      </w:r>
      <w:r w:rsidR="00CE38AE">
        <w:rPr>
          <w:spacing w:val="-58"/>
        </w:rPr>
        <w:t xml:space="preserve"> </w:t>
      </w:r>
      <w:r>
        <w:t>Fig</w:t>
      </w:r>
      <w:r w:rsidR="00CE38AE">
        <w:t>ure</w:t>
      </w:r>
      <w:r>
        <w:t xml:space="preserve"> </w:t>
      </w:r>
      <w:r w:rsidR="00CE38AE">
        <w:t>2</w:t>
      </w:r>
      <w:r>
        <w:t>A showed distorted and disorganized areas and cells in the anterior (AH) and posterior</w:t>
      </w:r>
      <w:r>
        <w:rPr>
          <w:spacing w:val="1"/>
        </w:rPr>
        <w:t xml:space="preserve"> </w:t>
      </w:r>
      <w:r>
        <w:t>horns</w:t>
      </w:r>
      <w:r>
        <w:rPr>
          <w:spacing w:val="1"/>
        </w:rPr>
        <w:t xml:space="preserve"> </w:t>
      </w:r>
      <w:r>
        <w:t>(PH)</w:t>
      </w:r>
      <w:r>
        <w:rPr>
          <w:spacing w:val="-2"/>
        </w:rPr>
        <w:t xml:space="preserve"> </w:t>
      </w:r>
      <w:r>
        <w:t>of</w:t>
      </w:r>
      <w:r>
        <w:rPr>
          <w:spacing w:val="-6"/>
        </w:rPr>
        <w:t xml:space="preserve"> </w:t>
      </w:r>
      <w:r>
        <w:t>the</w:t>
      </w:r>
      <w:r>
        <w:rPr>
          <w:spacing w:val="1"/>
        </w:rPr>
        <w:t xml:space="preserve"> </w:t>
      </w:r>
      <w:r>
        <w:t>spinal</w:t>
      </w:r>
      <w:r>
        <w:rPr>
          <w:spacing w:val="-7"/>
        </w:rPr>
        <w:t xml:space="preserve"> </w:t>
      </w:r>
      <w:r>
        <w:t>cord.</w:t>
      </w:r>
    </w:p>
    <w:p w14:paraId="5184EB29" w14:textId="77777777" w:rsidR="00492466" w:rsidRDefault="00492466" w:rsidP="00492466">
      <w:pPr>
        <w:pStyle w:val="BodyText"/>
        <w:spacing w:line="480" w:lineRule="auto"/>
        <w:jc w:val="both"/>
        <w:rPr>
          <w:b/>
        </w:rPr>
      </w:pPr>
    </w:p>
    <w:p w14:paraId="733E7123" w14:textId="77777777" w:rsidR="00492466" w:rsidRDefault="00492466" w:rsidP="00492466">
      <w:pPr>
        <w:pStyle w:val="BodyText"/>
        <w:spacing w:line="480" w:lineRule="auto"/>
        <w:jc w:val="both"/>
        <w:rPr>
          <w:b/>
        </w:rPr>
      </w:pPr>
    </w:p>
    <w:p w14:paraId="3D874579" w14:textId="77777777" w:rsidR="00492466" w:rsidRDefault="00492466" w:rsidP="00492466">
      <w:pPr>
        <w:pStyle w:val="BodyText"/>
        <w:spacing w:line="480" w:lineRule="auto"/>
        <w:jc w:val="both"/>
        <w:rPr>
          <w:b/>
        </w:rPr>
      </w:pPr>
    </w:p>
    <w:p w14:paraId="0981133E" w14:textId="77777777" w:rsidR="00492466" w:rsidRDefault="00492466" w:rsidP="00492466">
      <w:pPr>
        <w:pStyle w:val="BodyText"/>
        <w:spacing w:line="480" w:lineRule="auto"/>
        <w:jc w:val="both"/>
        <w:rPr>
          <w:b/>
        </w:rPr>
      </w:pPr>
    </w:p>
    <w:p w14:paraId="37CBF4A9" w14:textId="77777777" w:rsidR="00492466" w:rsidRDefault="00492466" w:rsidP="00492466">
      <w:pPr>
        <w:pStyle w:val="BodyText"/>
        <w:spacing w:line="480" w:lineRule="auto"/>
        <w:jc w:val="both"/>
        <w:rPr>
          <w:b/>
        </w:rPr>
      </w:pPr>
    </w:p>
    <w:p w14:paraId="2675C7A5" w14:textId="77777777" w:rsidR="00492466" w:rsidRDefault="00492466" w:rsidP="00492466">
      <w:pPr>
        <w:pStyle w:val="BodyText"/>
        <w:spacing w:line="480" w:lineRule="auto"/>
        <w:jc w:val="both"/>
        <w:rPr>
          <w:b/>
        </w:rPr>
      </w:pPr>
    </w:p>
    <w:p w14:paraId="3DBD4587" w14:textId="73C69D85" w:rsidR="00492466" w:rsidRDefault="00492466" w:rsidP="00492466">
      <w:pPr>
        <w:pStyle w:val="BodyText"/>
        <w:spacing w:line="480" w:lineRule="auto"/>
        <w:jc w:val="both"/>
        <w:rPr>
          <w:sz w:val="20"/>
        </w:rPr>
      </w:pPr>
    </w:p>
    <w:p w14:paraId="7061F690" w14:textId="38C1898C" w:rsidR="00562235" w:rsidRDefault="00562235" w:rsidP="00492466">
      <w:pPr>
        <w:pStyle w:val="BodyText"/>
        <w:spacing w:line="480" w:lineRule="auto"/>
        <w:jc w:val="both"/>
        <w:rPr>
          <w:sz w:val="20"/>
        </w:rPr>
      </w:pPr>
      <w:r>
        <w:rPr>
          <w:noProof/>
        </w:rPr>
        <w:lastRenderedPageBreak/>
        <w:drawing>
          <wp:inline distT="0" distB="0" distL="0" distR="0" wp14:anchorId="6AD06EA6" wp14:editId="62135CE9">
            <wp:extent cx="5899150" cy="4437893"/>
            <wp:effectExtent l="0" t="0" r="6350" b="1270"/>
            <wp:docPr id="1487973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10" t="8487" r="28431" b="59877"/>
                    <a:stretch>
                      <a:fillRect/>
                    </a:stretch>
                  </pic:blipFill>
                  <pic:spPr bwMode="auto">
                    <a:xfrm>
                      <a:off x="0" y="0"/>
                      <a:ext cx="5912782" cy="4448148"/>
                    </a:xfrm>
                    <a:prstGeom prst="rect">
                      <a:avLst/>
                    </a:prstGeom>
                    <a:noFill/>
                    <a:ln>
                      <a:noFill/>
                    </a:ln>
                    <a:extLst>
                      <a:ext uri="{53640926-AAD7-44D8-BBD7-CCE9431645EC}">
                        <a14:shadowObscured xmlns:a14="http://schemas.microsoft.com/office/drawing/2010/main"/>
                      </a:ext>
                    </a:extLst>
                  </pic:spPr>
                </pic:pic>
              </a:graphicData>
            </a:graphic>
          </wp:inline>
        </w:drawing>
      </w:r>
    </w:p>
    <w:p w14:paraId="45882478" w14:textId="2C534BCD" w:rsidR="00492466" w:rsidRPr="002F2B4B" w:rsidRDefault="00492466" w:rsidP="00492466">
      <w:pPr>
        <w:pStyle w:val="BodyText"/>
        <w:spacing w:line="480" w:lineRule="auto"/>
        <w:jc w:val="both"/>
        <w:rPr>
          <w:sz w:val="20"/>
        </w:rPr>
      </w:pPr>
      <w:r>
        <w:rPr>
          <w:b/>
        </w:rPr>
        <w:t>Figure</w:t>
      </w:r>
      <w:r>
        <w:rPr>
          <w:b/>
          <w:spacing w:val="-1"/>
        </w:rPr>
        <w:t xml:space="preserve"> </w:t>
      </w:r>
      <w:r w:rsidR="00CE38AE">
        <w:rPr>
          <w:b/>
        </w:rPr>
        <w:t>2</w:t>
      </w:r>
      <w:r>
        <w:rPr>
          <w:b/>
        </w:rPr>
        <w:t>B:</w:t>
      </w:r>
      <w:r>
        <w:rPr>
          <w:b/>
          <w:spacing w:val="-3"/>
        </w:rPr>
        <w:t xml:space="preserve"> </w:t>
      </w:r>
      <w:r>
        <w:t>Photomicrographs</w:t>
      </w:r>
      <w:r>
        <w:rPr>
          <w:spacing w:val="-2"/>
        </w:rPr>
        <w:t xml:space="preserve"> </w:t>
      </w:r>
      <w:r>
        <w:t>section</w:t>
      </w:r>
      <w:r>
        <w:rPr>
          <w:spacing w:val="-5"/>
        </w:rPr>
        <w:t xml:space="preserve"> </w:t>
      </w:r>
      <w:r>
        <w:t>of</w:t>
      </w:r>
      <w:r>
        <w:rPr>
          <w:spacing w:val="-7"/>
        </w:rPr>
        <w:t xml:space="preserve"> </w:t>
      </w:r>
      <w:r>
        <w:t>spinal</w:t>
      </w:r>
      <w:r>
        <w:rPr>
          <w:spacing w:val="4"/>
        </w:rPr>
        <w:t xml:space="preserve"> </w:t>
      </w:r>
      <w:r>
        <w:t>cord</w:t>
      </w:r>
      <w:r>
        <w:rPr>
          <w:spacing w:val="-5"/>
        </w:rPr>
        <w:t xml:space="preserve"> </w:t>
      </w:r>
      <w:r>
        <w:t>tissue</w:t>
      </w:r>
      <w:r>
        <w:rPr>
          <w:spacing w:val="4"/>
        </w:rPr>
        <w:t xml:space="preserve"> </w:t>
      </w:r>
      <w:r>
        <w:t>from</w:t>
      </w:r>
      <w:r>
        <w:rPr>
          <w:spacing w:val="-9"/>
        </w:rPr>
        <w:t xml:space="preserve"> </w:t>
      </w:r>
      <w:r w:rsidR="00F1379E">
        <w:t xml:space="preserve">Wistar </w:t>
      </w:r>
      <w:r>
        <w:t>rat treated with</w:t>
      </w:r>
      <w:r>
        <w:rPr>
          <w:spacing w:val="-5"/>
        </w:rPr>
        <w:t xml:space="preserve"> </w:t>
      </w:r>
      <w:r w:rsidR="00DC129B">
        <w:t>Cassava</w:t>
      </w:r>
      <w:r>
        <w:rPr>
          <w:spacing w:val="-1"/>
        </w:rPr>
        <w:t xml:space="preserve"> </w:t>
      </w:r>
      <w:r>
        <w:t>alone</w:t>
      </w:r>
      <w:r>
        <w:rPr>
          <w:spacing w:val="-57"/>
        </w:rPr>
        <w:t xml:space="preserve"> </w:t>
      </w:r>
      <w:r>
        <w:t>displaying</w:t>
      </w:r>
      <w:r>
        <w:rPr>
          <w:spacing w:val="-2"/>
        </w:rPr>
        <w:t xml:space="preserve"> </w:t>
      </w:r>
      <w:r>
        <w:t>areas</w:t>
      </w:r>
      <w:r>
        <w:rPr>
          <w:spacing w:val="-4"/>
        </w:rPr>
        <w:t xml:space="preserve"> </w:t>
      </w:r>
      <w:r>
        <w:t>of</w:t>
      </w:r>
      <w:r>
        <w:rPr>
          <w:spacing w:val="-10"/>
        </w:rPr>
        <w:t xml:space="preserve"> </w:t>
      </w:r>
      <w:r>
        <w:t>the</w:t>
      </w:r>
      <w:r>
        <w:rPr>
          <w:spacing w:val="-3"/>
        </w:rPr>
        <w:t xml:space="preserve"> </w:t>
      </w:r>
      <w:r>
        <w:t>anterior</w:t>
      </w:r>
      <w:r>
        <w:rPr>
          <w:spacing w:val="-2"/>
        </w:rPr>
        <w:t xml:space="preserve"> </w:t>
      </w:r>
      <w:r>
        <w:t>horn</w:t>
      </w:r>
      <w:r>
        <w:rPr>
          <w:spacing w:val="-6"/>
        </w:rPr>
        <w:t xml:space="preserve"> </w:t>
      </w:r>
      <w:r>
        <w:t>with</w:t>
      </w:r>
      <w:r>
        <w:rPr>
          <w:spacing w:val="-7"/>
        </w:rPr>
        <w:t xml:space="preserve"> </w:t>
      </w:r>
      <w:r>
        <w:t>Motor</w:t>
      </w:r>
      <w:r>
        <w:rPr>
          <w:spacing w:val="-6"/>
        </w:rPr>
        <w:t xml:space="preserve"> </w:t>
      </w:r>
      <w:r>
        <w:t>neurons</w:t>
      </w:r>
      <w:r>
        <w:rPr>
          <w:spacing w:val="-4"/>
        </w:rPr>
        <w:t xml:space="preserve"> </w:t>
      </w:r>
      <w:r>
        <w:t>degeneration</w:t>
      </w:r>
      <w:r>
        <w:rPr>
          <w:spacing w:val="-7"/>
        </w:rPr>
        <w:t xml:space="preserve"> </w:t>
      </w:r>
      <w:r>
        <w:t>(DN), Chromatolysis</w:t>
      </w:r>
      <w:r>
        <w:rPr>
          <w:spacing w:val="-4"/>
        </w:rPr>
        <w:t xml:space="preserve"> </w:t>
      </w:r>
      <w:r>
        <w:t>(CH)</w:t>
      </w:r>
      <w:r>
        <w:rPr>
          <w:spacing w:val="-58"/>
        </w:rPr>
        <w:t xml:space="preserve"> </w:t>
      </w:r>
      <w:r>
        <w:t>and</w:t>
      </w:r>
      <w:r>
        <w:rPr>
          <w:spacing w:val="1"/>
        </w:rPr>
        <w:t xml:space="preserve"> </w:t>
      </w:r>
      <w:r>
        <w:t>cellular</w:t>
      </w:r>
      <w:r>
        <w:rPr>
          <w:spacing w:val="3"/>
        </w:rPr>
        <w:t xml:space="preserve"> </w:t>
      </w:r>
      <w:r>
        <w:t>gliosis (CG),</w:t>
      </w:r>
      <w:r>
        <w:rPr>
          <w:spacing w:val="3"/>
        </w:rPr>
        <w:t xml:space="preserve"> </w:t>
      </w:r>
      <w:r>
        <w:t>Nissl</w:t>
      </w:r>
      <w:r>
        <w:rPr>
          <w:spacing w:val="-3"/>
        </w:rPr>
        <w:t xml:space="preserve"> </w:t>
      </w:r>
      <w:r>
        <w:t>stain:</w:t>
      </w:r>
      <w:r>
        <w:rPr>
          <w:spacing w:val="2"/>
        </w:rPr>
        <w:t xml:space="preserve"> </w:t>
      </w:r>
      <w:r>
        <w:t>x400.</w:t>
      </w:r>
    </w:p>
    <w:p w14:paraId="12EBE59D" w14:textId="04F3C742" w:rsidR="00492466" w:rsidRDefault="00562235" w:rsidP="00492466">
      <w:pPr>
        <w:pStyle w:val="BodyText"/>
        <w:spacing w:line="480" w:lineRule="auto"/>
        <w:jc w:val="both"/>
        <w:rPr>
          <w:sz w:val="20"/>
        </w:rPr>
      </w:pPr>
      <w:r>
        <w:rPr>
          <w:noProof/>
        </w:rPr>
        <w:lastRenderedPageBreak/>
        <w:drawing>
          <wp:inline distT="0" distB="0" distL="0" distR="0" wp14:anchorId="1BD8904A" wp14:editId="4AAEB73F">
            <wp:extent cx="5937250" cy="5285602"/>
            <wp:effectExtent l="0" t="0" r="6350" b="0"/>
            <wp:docPr id="152781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6" t="8642" r="33667" b="57562"/>
                    <a:stretch>
                      <a:fillRect/>
                    </a:stretch>
                  </pic:blipFill>
                  <pic:spPr bwMode="auto">
                    <a:xfrm>
                      <a:off x="0" y="0"/>
                      <a:ext cx="5952931" cy="5299562"/>
                    </a:xfrm>
                    <a:prstGeom prst="rect">
                      <a:avLst/>
                    </a:prstGeom>
                    <a:noFill/>
                    <a:ln>
                      <a:noFill/>
                    </a:ln>
                    <a:extLst>
                      <a:ext uri="{53640926-AAD7-44D8-BBD7-CCE9431645EC}">
                        <a14:shadowObscured xmlns:a14="http://schemas.microsoft.com/office/drawing/2010/main"/>
                      </a:ext>
                    </a:extLst>
                  </pic:spPr>
                </pic:pic>
              </a:graphicData>
            </a:graphic>
          </wp:inline>
        </w:drawing>
      </w:r>
    </w:p>
    <w:p w14:paraId="7ED47F97" w14:textId="2D78741F" w:rsidR="00492466" w:rsidRPr="00CF00E2" w:rsidRDefault="00F922F3" w:rsidP="00492466">
      <w:pPr>
        <w:pStyle w:val="BodyText"/>
        <w:spacing w:line="480" w:lineRule="auto"/>
        <w:jc w:val="both"/>
        <w:rPr>
          <w:sz w:val="20"/>
        </w:rPr>
      </w:pPr>
      <w:r>
        <w:rPr>
          <w:b/>
        </w:rPr>
        <w:t xml:space="preserve">Figure </w:t>
      </w:r>
      <w:r w:rsidR="00CE38AE">
        <w:rPr>
          <w:b/>
        </w:rPr>
        <w:t>3</w:t>
      </w:r>
      <w:r w:rsidR="00492466">
        <w:rPr>
          <w:b/>
        </w:rPr>
        <w:t xml:space="preserve">A: </w:t>
      </w:r>
      <w:r w:rsidR="00492466">
        <w:t xml:space="preserve">Photomicrographs section of spinal cord tissue from rat treated with </w:t>
      </w:r>
      <w:r w:rsidR="00DC129B">
        <w:t>Cassava</w:t>
      </w:r>
      <w:r w:rsidR="00492466">
        <w:t xml:space="preserve"> and</w:t>
      </w:r>
      <w:r w:rsidR="00492466">
        <w:rPr>
          <w:spacing w:val="1"/>
        </w:rPr>
        <w:t xml:space="preserve"> </w:t>
      </w:r>
      <w:r w:rsidR="00492466">
        <w:rPr>
          <w:spacing w:val="-1"/>
        </w:rPr>
        <w:t>animal</w:t>
      </w:r>
      <w:r w:rsidR="00492466">
        <w:rPr>
          <w:spacing w:val="-14"/>
        </w:rPr>
        <w:t xml:space="preserve"> </w:t>
      </w:r>
      <w:r w:rsidR="00492466">
        <w:rPr>
          <w:spacing w:val="-1"/>
        </w:rPr>
        <w:t>feed.</w:t>
      </w:r>
      <w:r w:rsidR="00492466">
        <w:rPr>
          <w:spacing w:val="-8"/>
        </w:rPr>
        <w:t xml:space="preserve"> </w:t>
      </w:r>
      <w:r w:rsidR="00492466">
        <w:rPr>
          <w:spacing w:val="-1"/>
        </w:rPr>
        <w:t>It</w:t>
      </w:r>
      <w:r w:rsidR="00492466">
        <w:rPr>
          <w:spacing w:val="-5"/>
        </w:rPr>
        <w:t xml:space="preserve"> </w:t>
      </w:r>
      <w:r w:rsidR="00492466">
        <w:rPr>
          <w:spacing w:val="-1"/>
        </w:rPr>
        <w:t>showed</w:t>
      </w:r>
      <w:r w:rsidR="00492466">
        <w:rPr>
          <w:spacing w:val="-14"/>
        </w:rPr>
        <w:t xml:space="preserve"> </w:t>
      </w:r>
      <w:r w:rsidR="00492466">
        <w:rPr>
          <w:spacing w:val="-1"/>
        </w:rPr>
        <w:t>distorted</w:t>
      </w:r>
      <w:r w:rsidR="00492466">
        <w:rPr>
          <w:spacing w:val="-13"/>
        </w:rPr>
        <w:t xml:space="preserve"> </w:t>
      </w:r>
      <w:r w:rsidR="00492466">
        <w:rPr>
          <w:spacing w:val="-1"/>
        </w:rPr>
        <w:t>and</w:t>
      </w:r>
      <w:r w:rsidR="00492466">
        <w:rPr>
          <w:spacing w:val="-10"/>
        </w:rPr>
        <w:t xml:space="preserve"> </w:t>
      </w:r>
      <w:r w:rsidR="00492466">
        <w:rPr>
          <w:spacing w:val="-1"/>
        </w:rPr>
        <w:t>disorganized</w:t>
      </w:r>
      <w:r w:rsidR="00492466">
        <w:rPr>
          <w:spacing w:val="-11"/>
        </w:rPr>
        <w:t xml:space="preserve"> </w:t>
      </w:r>
      <w:r w:rsidR="00492466">
        <w:t>areas</w:t>
      </w:r>
      <w:r w:rsidR="00492466">
        <w:rPr>
          <w:spacing w:val="-11"/>
        </w:rPr>
        <w:t xml:space="preserve"> </w:t>
      </w:r>
      <w:r w:rsidR="00492466">
        <w:t>and</w:t>
      </w:r>
      <w:r w:rsidR="00492466">
        <w:rPr>
          <w:spacing w:val="-10"/>
        </w:rPr>
        <w:t xml:space="preserve"> </w:t>
      </w:r>
      <w:r w:rsidR="00492466">
        <w:t>cells</w:t>
      </w:r>
      <w:r w:rsidR="00492466">
        <w:rPr>
          <w:spacing w:val="-8"/>
        </w:rPr>
        <w:t xml:space="preserve"> </w:t>
      </w:r>
      <w:r w:rsidR="00492466">
        <w:t>in</w:t>
      </w:r>
      <w:r w:rsidR="00492466">
        <w:rPr>
          <w:spacing w:val="-13"/>
        </w:rPr>
        <w:t xml:space="preserve"> </w:t>
      </w:r>
      <w:r w:rsidR="00492466">
        <w:t>the</w:t>
      </w:r>
      <w:r w:rsidR="00492466">
        <w:rPr>
          <w:spacing w:val="-11"/>
        </w:rPr>
        <w:t xml:space="preserve"> </w:t>
      </w:r>
      <w:r w:rsidR="00492466">
        <w:t>anterior</w:t>
      </w:r>
      <w:r w:rsidR="00492466">
        <w:rPr>
          <w:spacing w:val="-13"/>
        </w:rPr>
        <w:t xml:space="preserve"> </w:t>
      </w:r>
      <w:r w:rsidR="00492466">
        <w:t>(AH)</w:t>
      </w:r>
      <w:r w:rsidR="00492466">
        <w:rPr>
          <w:spacing w:val="-9"/>
        </w:rPr>
        <w:t xml:space="preserve"> </w:t>
      </w:r>
      <w:r w:rsidR="00492466">
        <w:t>and</w:t>
      </w:r>
      <w:r w:rsidR="00492466">
        <w:rPr>
          <w:spacing w:val="-10"/>
        </w:rPr>
        <w:t xml:space="preserve"> </w:t>
      </w:r>
      <w:r w:rsidR="00492466">
        <w:t>posterior</w:t>
      </w:r>
      <w:r w:rsidR="00492466">
        <w:rPr>
          <w:spacing w:val="-58"/>
        </w:rPr>
        <w:t xml:space="preserve"> </w:t>
      </w:r>
      <w:r w:rsidR="00492466">
        <w:t>horns</w:t>
      </w:r>
      <w:r w:rsidR="00492466">
        <w:rPr>
          <w:spacing w:val="-1"/>
        </w:rPr>
        <w:t xml:space="preserve"> </w:t>
      </w:r>
      <w:r w:rsidR="00492466">
        <w:t>(PH)</w:t>
      </w:r>
      <w:r w:rsidR="00492466">
        <w:rPr>
          <w:spacing w:val="-2"/>
        </w:rPr>
        <w:t xml:space="preserve"> </w:t>
      </w:r>
      <w:r w:rsidR="00492466">
        <w:t>of</w:t>
      </w:r>
      <w:r w:rsidR="00492466">
        <w:rPr>
          <w:spacing w:val="-6"/>
        </w:rPr>
        <w:t xml:space="preserve"> </w:t>
      </w:r>
      <w:r w:rsidR="00492466">
        <w:t>the</w:t>
      </w:r>
      <w:r w:rsidR="00492466">
        <w:rPr>
          <w:spacing w:val="1"/>
        </w:rPr>
        <w:t xml:space="preserve"> </w:t>
      </w:r>
      <w:r w:rsidR="00492466">
        <w:t>spinal</w:t>
      </w:r>
      <w:r w:rsidR="00492466">
        <w:rPr>
          <w:spacing w:val="-7"/>
        </w:rPr>
        <w:t xml:space="preserve"> </w:t>
      </w:r>
      <w:r w:rsidR="00492466">
        <w:t>cord.</w:t>
      </w:r>
      <w:r w:rsidR="00492466">
        <w:rPr>
          <w:spacing w:val="9"/>
        </w:rPr>
        <w:t xml:space="preserve"> </w:t>
      </w:r>
      <w:r w:rsidR="00492466">
        <w:t>Nissl</w:t>
      </w:r>
      <w:r w:rsidR="00492466">
        <w:rPr>
          <w:spacing w:val="-7"/>
        </w:rPr>
        <w:t xml:space="preserve"> </w:t>
      </w:r>
      <w:r w:rsidR="00492466">
        <w:t>stain: ×40.</w:t>
      </w:r>
    </w:p>
    <w:p w14:paraId="392FAF9A" w14:textId="77777777" w:rsidR="00492466" w:rsidRDefault="00492466" w:rsidP="00492466">
      <w:pPr>
        <w:pStyle w:val="BodyText"/>
        <w:spacing w:line="480" w:lineRule="auto"/>
        <w:jc w:val="both"/>
        <w:rPr>
          <w:b/>
        </w:rPr>
      </w:pPr>
    </w:p>
    <w:p w14:paraId="75708893" w14:textId="77777777" w:rsidR="00492466" w:rsidRDefault="00492466" w:rsidP="00492466">
      <w:pPr>
        <w:pStyle w:val="BodyText"/>
        <w:spacing w:line="480" w:lineRule="auto"/>
        <w:jc w:val="both"/>
        <w:rPr>
          <w:b/>
        </w:rPr>
      </w:pPr>
    </w:p>
    <w:p w14:paraId="7934633D" w14:textId="77777777" w:rsidR="00492466" w:rsidRDefault="00492466" w:rsidP="00492466">
      <w:pPr>
        <w:pStyle w:val="BodyText"/>
        <w:spacing w:line="480" w:lineRule="auto"/>
        <w:jc w:val="both"/>
        <w:rPr>
          <w:b/>
        </w:rPr>
      </w:pPr>
    </w:p>
    <w:p w14:paraId="69D01478" w14:textId="77777777" w:rsidR="00492466" w:rsidRDefault="00492466" w:rsidP="00492466">
      <w:pPr>
        <w:pStyle w:val="BodyText"/>
        <w:spacing w:line="480" w:lineRule="auto"/>
        <w:jc w:val="both"/>
        <w:rPr>
          <w:b/>
        </w:rPr>
      </w:pPr>
    </w:p>
    <w:p w14:paraId="7E3C196D" w14:textId="77777777" w:rsidR="00492466" w:rsidRDefault="00492466" w:rsidP="00492466">
      <w:pPr>
        <w:pStyle w:val="BodyText"/>
        <w:spacing w:line="480" w:lineRule="auto"/>
        <w:jc w:val="both"/>
        <w:rPr>
          <w:b/>
        </w:rPr>
      </w:pPr>
    </w:p>
    <w:p w14:paraId="62A86900" w14:textId="510008D7" w:rsidR="00492466" w:rsidRDefault="00562235" w:rsidP="00492466">
      <w:pPr>
        <w:pStyle w:val="BodyText"/>
        <w:spacing w:line="480" w:lineRule="auto"/>
        <w:jc w:val="both"/>
        <w:rPr>
          <w:sz w:val="20"/>
        </w:rPr>
      </w:pPr>
      <w:r>
        <w:rPr>
          <w:noProof/>
        </w:rPr>
        <w:lastRenderedPageBreak/>
        <w:drawing>
          <wp:inline distT="0" distB="0" distL="0" distR="0" wp14:anchorId="18A0EB17" wp14:editId="4A7E85A3">
            <wp:extent cx="5937250" cy="4664982"/>
            <wp:effectExtent l="0" t="0" r="6350" b="2540"/>
            <wp:docPr id="1334283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19" t="8718" r="32795" b="60726"/>
                    <a:stretch>
                      <a:fillRect/>
                    </a:stretch>
                  </pic:blipFill>
                  <pic:spPr bwMode="auto">
                    <a:xfrm>
                      <a:off x="0" y="0"/>
                      <a:ext cx="5946904" cy="4672567"/>
                    </a:xfrm>
                    <a:prstGeom prst="rect">
                      <a:avLst/>
                    </a:prstGeom>
                    <a:noFill/>
                    <a:ln>
                      <a:noFill/>
                    </a:ln>
                    <a:extLst>
                      <a:ext uri="{53640926-AAD7-44D8-BBD7-CCE9431645EC}">
                        <a14:shadowObscured xmlns:a14="http://schemas.microsoft.com/office/drawing/2010/main"/>
                      </a:ext>
                    </a:extLst>
                  </pic:spPr>
                </pic:pic>
              </a:graphicData>
            </a:graphic>
          </wp:inline>
        </w:drawing>
      </w:r>
    </w:p>
    <w:p w14:paraId="6FA78DF8" w14:textId="357A39C2" w:rsidR="00492466" w:rsidRPr="002F2B4B" w:rsidRDefault="00F922F3" w:rsidP="00492466">
      <w:pPr>
        <w:pStyle w:val="BodyText"/>
        <w:spacing w:line="480" w:lineRule="auto"/>
        <w:jc w:val="both"/>
        <w:rPr>
          <w:sz w:val="20"/>
        </w:rPr>
      </w:pPr>
      <w:r>
        <w:rPr>
          <w:b/>
        </w:rPr>
        <w:t xml:space="preserve">Figure </w:t>
      </w:r>
      <w:r w:rsidR="00CE38AE">
        <w:rPr>
          <w:b/>
        </w:rPr>
        <w:t>3</w:t>
      </w:r>
      <w:r w:rsidR="00492466">
        <w:rPr>
          <w:b/>
        </w:rPr>
        <w:t xml:space="preserve">B: </w:t>
      </w:r>
      <w:r w:rsidR="00492466">
        <w:t xml:space="preserve">Photomicrographs section of spinal cord tissue from </w:t>
      </w:r>
      <w:r w:rsidR="00F1379E">
        <w:t xml:space="preserve">Wistar </w:t>
      </w:r>
      <w:r w:rsidR="00492466">
        <w:t xml:space="preserve">rat treated with </w:t>
      </w:r>
      <w:r w:rsidR="00DC129B">
        <w:t>Cassava</w:t>
      </w:r>
      <w:r w:rsidR="00492466">
        <w:t xml:space="preserve"> and</w:t>
      </w:r>
      <w:r w:rsidR="00492466">
        <w:rPr>
          <w:spacing w:val="1"/>
        </w:rPr>
        <w:t xml:space="preserve"> </w:t>
      </w:r>
      <w:r w:rsidR="00492466">
        <w:t xml:space="preserve">animal feed displaying </w:t>
      </w:r>
      <w:r w:rsidR="00CE38AE">
        <w:t>grey</w:t>
      </w:r>
      <w:r w:rsidR="00492466">
        <w:t xml:space="preserve"> matter areas with Normal Motor neurons (MN), degenerated motor</w:t>
      </w:r>
      <w:r w:rsidR="00492466">
        <w:rPr>
          <w:spacing w:val="1"/>
        </w:rPr>
        <w:t xml:space="preserve"> </w:t>
      </w:r>
      <w:r w:rsidR="00492466">
        <w:t>neuron</w:t>
      </w:r>
      <w:r w:rsidR="00492466">
        <w:rPr>
          <w:spacing w:val="-4"/>
        </w:rPr>
        <w:t xml:space="preserve"> </w:t>
      </w:r>
      <w:r w:rsidR="00492466">
        <w:t>(DN)</w:t>
      </w:r>
      <w:r w:rsidR="00492466">
        <w:rPr>
          <w:spacing w:val="3"/>
        </w:rPr>
        <w:t xml:space="preserve"> </w:t>
      </w:r>
      <w:r w:rsidR="00492466">
        <w:t>and</w:t>
      </w:r>
      <w:r w:rsidR="00492466">
        <w:rPr>
          <w:spacing w:val="1"/>
        </w:rPr>
        <w:t xml:space="preserve"> </w:t>
      </w:r>
      <w:r w:rsidR="00492466">
        <w:t>connective</w:t>
      </w:r>
      <w:r w:rsidR="00492466">
        <w:rPr>
          <w:spacing w:val="1"/>
        </w:rPr>
        <w:t xml:space="preserve"> </w:t>
      </w:r>
      <w:r w:rsidR="00492466">
        <w:t>cells</w:t>
      </w:r>
      <w:r w:rsidR="00492466">
        <w:rPr>
          <w:spacing w:val="-1"/>
        </w:rPr>
        <w:t xml:space="preserve"> </w:t>
      </w:r>
      <w:r w:rsidR="00492466">
        <w:t>gliosis (CH),</w:t>
      </w:r>
      <w:r w:rsidR="00492466">
        <w:rPr>
          <w:spacing w:val="3"/>
        </w:rPr>
        <w:t xml:space="preserve"> </w:t>
      </w:r>
      <w:r w:rsidR="00492466">
        <w:t>Nissl</w:t>
      </w:r>
      <w:r w:rsidR="00492466">
        <w:rPr>
          <w:spacing w:val="-3"/>
        </w:rPr>
        <w:t xml:space="preserve"> </w:t>
      </w:r>
      <w:r w:rsidR="00492466">
        <w:t>stain:</w:t>
      </w:r>
      <w:r w:rsidR="00492466">
        <w:rPr>
          <w:spacing w:val="1"/>
        </w:rPr>
        <w:t xml:space="preserve"> </w:t>
      </w:r>
      <w:r w:rsidR="00492466">
        <w:t>x400.</w:t>
      </w:r>
    </w:p>
    <w:p w14:paraId="09FE62A0" w14:textId="21137ABC" w:rsidR="00492466" w:rsidRDefault="00562235" w:rsidP="00492466">
      <w:pPr>
        <w:pStyle w:val="BodyText"/>
        <w:spacing w:line="480" w:lineRule="auto"/>
        <w:jc w:val="both"/>
        <w:rPr>
          <w:sz w:val="20"/>
        </w:rPr>
      </w:pPr>
      <w:r>
        <w:rPr>
          <w:noProof/>
        </w:rPr>
        <w:lastRenderedPageBreak/>
        <w:drawing>
          <wp:inline distT="0" distB="0" distL="0" distR="0" wp14:anchorId="68F9D400" wp14:editId="4E5E7433">
            <wp:extent cx="5929121" cy="4502150"/>
            <wp:effectExtent l="0" t="0" r="0" b="0"/>
            <wp:docPr id="1724418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19" t="8488" r="29304" b="60108"/>
                    <a:stretch>
                      <a:fillRect/>
                    </a:stretch>
                  </pic:blipFill>
                  <pic:spPr bwMode="auto">
                    <a:xfrm>
                      <a:off x="0" y="0"/>
                      <a:ext cx="5938247" cy="4509080"/>
                    </a:xfrm>
                    <a:prstGeom prst="rect">
                      <a:avLst/>
                    </a:prstGeom>
                    <a:noFill/>
                    <a:ln>
                      <a:noFill/>
                    </a:ln>
                    <a:extLst>
                      <a:ext uri="{53640926-AAD7-44D8-BBD7-CCE9431645EC}">
                        <a14:shadowObscured xmlns:a14="http://schemas.microsoft.com/office/drawing/2010/main"/>
                      </a:ext>
                    </a:extLst>
                  </pic:spPr>
                </pic:pic>
              </a:graphicData>
            </a:graphic>
          </wp:inline>
        </w:drawing>
      </w:r>
    </w:p>
    <w:p w14:paraId="34F8BB26" w14:textId="706D9452" w:rsidR="00492466" w:rsidRDefault="00F922F3" w:rsidP="00492466">
      <w:pPr>
        <w:pStyle w:val="BodyText"/>
        <w:spacing w:line="480" w:lineRule="auto"/>
        <w:jc w:val="both"/>
      </w:pPr>
      <w:r>
        <w:rPr>
          <w:b/>
        </w:rPr>
        <w:t xml:space="preserve">Figure </w:t>
      </w:r>
      <w:r w:rsidR="00CE38AE">
        <w:rPr>
          <w:b/>
        </w:rPr>
        <w:t>4</w:t>
      </w:r>
      <w:r w:rsidR="00492466">
        <w:rPr>
          <w:b/>
        </w:rPr>
        <w:t xml:space="preserve">A: </w:t>
      </w:r>
      <w:r w:rsidR="00492466">
        <w:t xml:space="preserve">Photomicrographs section of spinal cord tissue from </w:t>
      </w:r>
      <w:r w:rsidR="00F1379E">
        <w:t xml:space="preserve">Wistar </w:t>
      </w:r>
      <w:r w:rsidR="00492466">
        <w:t xml:space="preserve">rat treated with </w:t>
      </w:r>
      <w:r w:rsidR="00DC129B">
        <w:t>Cassava</w:t>
      </w:r>
      <w:r w:rsidR="00492466">
        <w:t xml:space="preserve"> plus</w:t>
      </w:r>
      <w:r w:rsidR="00492466">
        <w:rPr>
          <w:spacing w:val="1"/>
        </w:rPr>
        <w:t xml:space="preserve"> </w:t>
      </w:r>
      <w:r w:rsidR="00492466">
        <w:t xml:space="preserve">eggshell </w:t>
      </w:r>
      <w:r w:rsidR="00F434B5">
        <w:t>+</w:t>
      </w:r>
      <w:r w:rsidR="00492466">
        <w:rPr>
          <w:spacing w:val="1"/>
        </w:rPr>
        <w:t xml:space="preserve"> </w:t>
      </w:r>
      <w:r w:rsidR="00492466">
        <w:t>brown</w:t>
      </w:r>
      <w:r w:rsidR="00492466">
        <w:rPr>
          <w:spacing w:val="1"/>
        </w:rPr>
        <w:t xml:space="preserve"> </w:t>
      </w:r>
      <w:r w:rsidR="00492466">
        <w:t>Beans.</w:t>
      </w:r>
      <w:r w:rsidR="00492466">
        <w:rPr>
          <w:spacing w:val="1"/>
        </w:rPr>
        <w:t xml:space="preserve"> </w:t>
      </w:r>
      <w:r w:rsidR="00CE38AE">
        <w:t>The Figure</w:t>
      </w:r>
      <w:r w:rsidR="00492466">
        <w:rPr>
          <w:spacing w:val="1"/>
        </w:rPr>
        <w:t xml:space="preserve"> </w:t>
      </w:r>
      <w:r w:rsidR="00492466">
        <w:t>showed</w:t>
      </w:r>
      <w:r w:rsidR="00492466">
        <w:rPr>
          <w:spacing w:val="1"/>
        </w:rPr>
        <w:t xml:space="preserve"> </w:t>
      </w:r>
      <w:r w:rsidR="00492466">
        <w:t>organized</w:t>
      </w:r>
      <w:r w:rsidR="00492466">
        <w:rPr>
          <w:spacing w:val="1"/>
        </w:rPr>
        <w:t xml:space="preserve"> </w:t>
      </w:r>
      <w:r w:rsidR="00492466">
        <w:t>different</w:t>
      </w:r>
      <w:r w:rsidR="00492466">
        <w:rPr>
          <w:spacing w:val="1"/>
        </w:rPr>
        <w:t xml:space="preserve"> </w:t>
      </w:r>
      <w:r w:rsidR="00492466">
        <w:t>area of the</w:t>
      </w:r>
      <w:r w:rsidR="00492466">
        <w:rPr>
          <w:spacing w:val="1"/>
        </w:rPr>
        <w:t xml:space="preserve"> </w:t>
      </w:r>
      <w:r w:rsidR="00492466">
        <w:t>spinal cord</w:t>
      </w:r>
      <w:r w:rsidR="00492466">
        <w:rPr>
          <w:spacing w:val="1"/>
        </w:rPr>
        <w:t xml:space="preserve"> </w:t>
      </w:r>
      <w:r w:rsidR="00492466">
        <w:rPr>
          <w:spacing w:val="-1"/>
        </w:rPr>
        <w:t>especially</w:t>
      </w:r>
      <w:r w:rsidR="00492466">
        <w:rPr>
          <w:spacing w:val="-17"/>
        </w:rPr>
        <w:t xml:space="preserve"> </w:t>
      </w:r>
      <w:r w:rsidR="00492466">
        <w:rPr>
          <w:spacing w:val="-1"/>
        </w:rPr>
        <w:t>the</w:t>
      </w:r>
      <w:r w:rsidR="00492466">
        <w:rPr>
          <w:spacing w:val="-9"/>
        </w:rPr>
        <w:t xml:space="preserve"> </w:t>
      </w:r>
      <w:r w:rsidR="00492466">
        <w:rPr>
          <w:spacing w:val="-1"/>
        </w:rPr>
        <w:t>anterior</w:t>
      </w:r>
      <w:r w:rsidR="00492466">
        <w:rPr>
          <w:spacing w:val="-6"/>
        </w:rPr>
        <w:t xml:space="preserve"> </w:t>
      </w:r>
      <w:r w:rsidR="00492466">
        <w:rPr>
          <w:spacing w:val="-1"/>
        </w:rPr>
        <w:t>horn</w:t>
      </w:r>
      <w:r w:rsidR="00492466">
        <w:rPr>
          <w:spacing w:val="-12"/>
        </w:rPr>
        <w:t xml:space="preserve"> </w:t>
      </w:r>
      <w:r w:rsidR="00492466">
        <w:rPr>
          <w:spacing w:val="-1"/>
        </w:rPr>
        <w:t>(AH),</w:t>
      </w:r>
      <w:r w:rsidR="00492466">
        <w:rPr>
          <w:spacing w:val="-6"/>
        </w:rPr>
        <w:t xml:space="preserve"> </w:t>
      </w:r>
      <w:r w:rsidR="00492466">
        <w:rPr>
          <w:spacing w:val="-1"/>
        </w:rPr>
        <w:t>white</w:t>
      </w:r>
      <w:r w:rsidR="00492466">
        <w:rPr>
          <w:spacing w:val="-9"/>
        </w:rPr>
        <w:t xml:space="preserve"> </w:t>
      </w:r>
      <w:r w:rsidR="00492466">
        <w:rPr>
          <w:spacing w:val="-1"/>
        </w:rPr>
        <w:t>matter</w:t>
      </w:r>
      <w:r w:rsidR="00492466">
        <w:rPr>
          <w:spacing w:val="-16"/>
        </w:rPr>
        <w:t xml:space="preserve"> </w:t>
      </w:r>
      <w:r w:rsidR="00492466">
        <w:rPr>
          <w:spacing w:val="-1"/>
        </w:rPr>
        <w:t>((WM)</w:t>
      </w:r>
      <w:r w:rsidR="00492466">
        <w:rPr>
          <w:spacing w:val="-5"/>
        </w:rPr>
        <w:t xml:space="preserve"> </w:t>
      </w:r>
      <w:r w:rsidR="00492466">
        <w:rPr>
          <w:spacing w:val="-1"/>
        </w:rPr>
        <w:t>and</w:t>
      </w:r>
      <w:r w:rsidR="00492466">
        <w:rPr>
          <w:spacing w:val="-8"/>
        </w:rPr>
        <w:t xml:space="preserve"> </w:t>
      </w:r>
      <w:r w:rsidR="00CE38AE">
        <w:t>grey</w:t>
      </w:r>
      <w:r w:rsidR="00492466">
        <w:rPr>
          <w:spacing w:val="-12"/>
        </w:rPr>
        <w:t xml:space="preserve"> </w:t>
      </w:r>
      <w:r w:rsidR="00492466">
        <w:t>matter</w:t>
      </w:r>
      <w:r w:rsidR="00492466">
        <w:rPr>
          <w:spacing w:val="-11"/>
        </w:rPr>
        <w:t xml:space="preserve"> </w:t>
      </w:r>
      <w:r w:rsidR="00492466">
        <w:t>(GM).</w:t>
      </w:r>
      <w:r w:rsidR="00492466">
        <w:rPr>
          <w:spacing w:val="-10"/>
        </w:rPr>
        <w:t xml:space="preserve"> </w:t>
      </w:r>
      <w:r w:rsidR="00492466">
        <w:t>Magnification: X40.</w:t>
      </w:r>
    </w:p>
    <w:p w14:paraId="45308090" w14:textId="77777777" w:rsidR="00492466" w:rsidRDefault="00492466" w:rsidP="00492466">
      <w:pPr>
        <w:pStyle w:val="BodyText"/>
        <w:spacing w:line="480" w:lineRule="auto"/>
        <w:jc w:val="both"/>
      </w:pPr>
    </w:p>
    <w:p w14:paraId="70C0F365" w14:textId="5D2274A2" w:rsidR="00492466" w:rsidRDefault="00562235" w:rsidP="00492466">
      <w:pPr>
        <w:pStyle w:val="BodyText"/>
        <w:spacing w:line="480" w:lineRule="auto"/>
        <w:jc w:val="both"/>
        <w:rPr>
          <w:sz w:val="20"/>
        </w:rPr>
      </w:pPr>
      <w:r>
        <w:rPr>
          <w:noProof/>
        </w:rPr>
        <w:lastRenderedPageBreak/>
        <w:drawing>
          <wp:inline distT="0" distB="0" distL="0" distR="0" wp14:anchorId="309B7CBD" wp14:editId="0353F613">
            <wp:extent cx="5864736" cy="4387850"/>
            <wp:effectExtent l="0" t="0" r="3175" b="0"/>
            <wp:docPr id="420469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28" t="8719" r="27886" b="59645"/>
                    <a:stretch>
                      <a:fillRect/>
                    </a:stretch>
                  </pic:blipFill>
                  <pic:spPr bwMode="auto">
                    <a:xfrm>
                      <a:off x="0" y="0"/>
                      <a:ext cx="5874305" cy="4395009"/>
                    </a:xfrm>
                    <a:prstGeom prst="rect">
                      <a:avLst/>
                    </a:prstGeom>
                    <a:noFill/>
                    <a:ln>
                      <a:noFill/>
                    </a:ln>
                    <a:extLst>
                      <a:ext uri="{53640926-AAD7-44D8-BBD7-CCE9431645EC}">
                        <a14:shadowObscured xmlns:a14="http://schemas.microsoft.com/office/drawing/2010/main"/>
                      </a:ext>
                    </a:extLst>
                  </pic:spPr>
                </pic:pic>
              </a:graphicData>
            </a:graphic>
          </wp:inline>
        </w:drawing>
      </w:r>
    </w:p>
    <w:p w14:paraId="7B5E0104" w14:textId="4AB6CFEB" w:rsidR="00492466" w:rsidRPr="002F2B4B" w:rsidRDefault="002C3D88" w:rsidP="00492466">
      <w:pPr>
        <w:pStyle w:val="BodyText"/>
        <w:spacing w:line="480" w:lineRule="auto"/>
        <w:jc w:val="both"/>
        <w:rPr>
          <w:sz w:val="20"/>
        </w:rPr>
      </w:pPr>
      <w:r>
        <w:rPr>
          <w:b/>
        </w:rPr>
        <w:t>Figure</w:t>
      </w:r>
      <w:r w:rsidR="00F922F3">
        <w:rPr>
          <w:b/>
        </w:rPr>
        <w:t xml:space="preserve"> </w:t>
      </w:r>
      <w:r w:rsidR="00CE38AE">
        <w:rPr>
          <w:b/>
        </w:rPr>
        <w:t>4</w:t>
      </w:r>
      <w:r w:rsidR="00492466">
        <w:rPr>
          <w:b/>
        </w:rPr>
        <w:t xml:space="preserve">B: </w:t>
      </w:r>
      <w:r w:rsidR="00492466">
        <w:t>Photomicrographs section of spinal cord tissue from</w:t>
      </w:r>
      <w:r w:rsidR="00F1379E">
        <w:t xml:space="preserve"> Wistar</w:t>
      </w:r>
      <w:r w:rsidR="00492466">
        <w:t xml:space="preserve"> rat treated with </w:t>
      </w:r>
      <w:r w:rsidR="00DC129B">
        <w:t>Cassava</w:t>
      </w:r>
      <w:r w:rsidR="00492466">
        <w:t xml:space="preserve"> plus</w:t>
      </w:r>
      <w:r w:rsidR="00492466">
        <w:rPr>
          <w:spacing w:val="1"/>
        </w:rPr>
        <w:t xml:space="preserve"> </w:t>
      </w:r>
      <w:r w:rsidR="00492466">
        <w:t>eggshell</w:t>
      </w:r>
      <w:r w:rsidR="00492466">
        <w:rPr>
          <w:spacing w:val="-9"/>
        </w:rPr>
        <w:t xml:space="preserve"> </w:t>
      </w:r>
      <w:r w:rsidR="00F434B5">
        <w:t>+</w:t>
      </w:r>
      <w:r w:rsidR="00492466">
        <w:rPr>
          <w:spacing w:val="1"/>
        </w:rPr>
        <w:t xml:space="preserve"> </w:t>
      </w:r>
      <w:r w:rsidR="00492466">
        <w:t>brown</w:t>
      </w:r>
      <w:r w:rsidR="00492466">
        <w:rPr>
          <w:spacing w:val="-6"/>
        </w:rPr>
        <w:t xml:space="preserve"> </w:t>
      </w:r>
      <w:r w:rsidR="00492466">
        <w:t>beans</w:t>
      </w:r>
      <w:r w:rsidR="00492466">
        <w:rPr>
          <w:spacing w:val="-1"/>
        </w:rPr>
        <w:t xml:space="preserve"> </w:t>
      </w:r>
      <w:r w:rsidR="00492466">
        <w:t>displaying grey</w:t>
      </w:r>
      <w:r w:rsidR="00492466">
        <w:rPr>
          <w:spacing w:val="-9"/>
        </w:rPr>
        <w:t xml:space="preserve"> </w:t>
      </w:r>
      <w:r w:rsidR="00492466">
        <w:t>matter</w:t>
      </w:r>
      <w:r w:rsidR="00492466">
        <w:rPr>
          <w:spacing w:val="-2"/>
        </w:rPr>
        <w:t xml:space="preserve"> </w:t>
      </w:r>
      <w:r w:rsidR="00492466">
        <w:t>areas</w:t>
      </w:r>
      <w:r w:rsidR="00492466">
        <w:rPr>
          <w:spacing w:val="-7"/>
        </w:rPr>
        <w:t xml:space="preserve"> </w:t>
      </w:r>
      <w:r w:rsidR="00492466">
        <w:t>of</w:t>
      </w:r>
      <w:r w:rsidR="00492466">
        <w:rPr>
          <w:spacing w:val="-7"/>
        </w:rPr>
        <w:t xml:space="preserve"> </w:t>
      </w:r>
      <w:r w:rsidR="00492466">
        <w:t>the</w:t>
      </w:r>
      <w:r w:rsidR="00492466">
        <w:rPr>
          <w:spacing w:val="-1"/>
        </w:rPr>
        <w:t xml:space="preserve"> </w:t>
      </w:r>
      <w:r w:rsidR="00492466">
        <w:t>anterior</w:t>
      </w:r>
      <w:r w:rsidR="00492466">
        <w:rPr>
          <w:spacing w:val="2"/>
        </w:rPr>
        <w:t xml:space="preserve"> </w:t>
      </w:r>
      <w:r w:rsidR="00492466">
        <w:t>horn</w:t>
      </w:r>
      <w:r w:rsidR="00492466">
        <w:rPr>
          <w:spacing w:val="-9"/>
        </w:rPr>
        <w:t xml:space="preserve"> </w:t>
      </w:r>
      <w:r w:rsidR="00492466">
        <w:t>of</w:t>
      </w:r>
      <w:r w:rsidR="00492466">
        <w:rPr>
          <w:spacing w:val="-8"/>
        </w:rPr>
        <w:t xml:space="preserve"> </w:t>
      </w:r>
      <w:r w:rsidR="00492466">
        <w:t>the spinal</w:t>
      </w:r>
      <w:r w:rsidR="00492466">
        <w:rPr>
          <w:spacing w:val="-9"/>
        </w:rPr>
        <w:t xml:space="preserve"> </w:t>
      </w:r>
      <w:r w:rsidR="00492466">
        <w:t>cord</w:t>
      </w:r>
      <w:r w:rsidR="00492466">
        <w:rPr>
          <w:spacing w:val="-4"/>
        </w:rPr>
        <w:t xml:space="preserve"> </w:t>
      </w:r>
      <w:r w:rsidR="00492466">
        <w:t>with</w:t>
      </w:r>
      <w:r w:rsidR="00492466">
        <w:rPr>
          <w:spacing w:val="-58"/>
        </w:rPr>
        <w:t xml:space="preserve"> </w:t>
      </w:r>
      <w:r w:rsidR="00492466">
        <w:t>recovered</w:t>
      </w:r>
      <w:r w:rsidR="00492466">
        <w:rPr>
          <w:spacing w:val="-1"/>
        </w:rPr>
        <w:t xml:space="preserve"> </w:t>
      </w:r>
      <w:r w:rsidR="00492466">
        <w:t>Motor</w:t>
      </w:r>
      <w:r w:rsidR="00492466">
        <w:rPr>
          <w:spacing w:val="-3"/>
        </w:rPr>
        <w:t xml:space="preserve"> </w:t>
      </w:r>
      <w:r w:rsidR="00492466">
        <w:t>neurons</w:t>
      </w:r>
      <w:r w:rsidR="00492466">
        <w:rPr>
          <w:spacing w:val="-2"/>
        </w:rPr>
        <w:t xml:space="preserve"> </w:t>
      </w:r>
      <w:r w:rsidR="00492466">
        <w:t>(MN)</w:t>
      </w:r>
      <w:r w:rsidR="00492466">
        <w:rPr>
          <w:spacing w:val="1"/>
        </w:rPr>
        <w:t xml:space="preserve"> </w:t>
      </w:r>
      <w:r w:rsidR="00492466">
        <w:t>with</w:t>
      </w:r>
      <w:r w:rsidR="00492466">
        <w:rPr>
          <w:spacing w:val="-5"/>
        </w:rPr>
        <w:t xml:space="preserve"> </w:t>
      </w:r>
      <w:r w:rsidR="00492466">
        <w:t>abundance</w:t>
      </w:r>
      <w:r w:rsidR="00492466">
        <w:rPr>
          <w:spacing w:val="-1"/>
        </w:rPr>
        <w:t xml:space="preserve"> </w:t>
      </w:r>
      <w:r w:rsidR="00492466">
        <w:t>of</w:t>
      </w:r>
      <w:r w:rsidR="00492466">
        <w:rPr>
          <w:spacing w:val="-3"/>
        </w:rPr>
        <w:t xml:space="preserve"> </w:t>
      </w:r>
      <w:r w:rsidR="00492466">
        <w:t>Nissl</w:t>
      </w:r>
      <w:r w:rsidR="00492466">
        <w:rPr>
          <w:spacing w:val="-5"/>
        </w:rPr>
        <w:t xml:space="preserve"> </w:t>
      </w:r>
      <w:r w:rsidR="00492466">
        <w:t>substances</w:t>
      </w:r>
      <w:r w:rsidR="00492466">
        <w:rPr>
          <w:spacing w:val="8"/>
        </w:rPr>
        <w:t xml:space="preserve"> </w:t>
      </w:r>
      <w:r w:rsidR="00492466">
        <w:t>(NS).</w:t>
      </w:r>
      <w:r w:rsidR="00492466">
        <w:rPr>
          <w:spacing w:val="2"/>
        </w:rPr>
        <w:t xml:space="preserve"> </w:t>
      </w:r>
      <w:r w:rsidR="00492466">
        <w:t>Nissl</w:t>
      </w:r>
      <w:r w:rsidR="00492466">
        <w:rPr>
          <w:spacing w:val="-5"/>
        </w:rPr>
        <w:t xml:space="preserve"> </w:t>
      </w:r>
      <w:r w:rsidR="00492466">
        <w:t>stain:</w:t>
      </w:r>
      <w:r w:rsidR="00492466">
        <w:rPr>
          <w:spacing w:val="5"/>
        </w:rPr>
        <w:t xml:space="preserve"> </w:t>
      </w:r>
      <w:r w:rsidR="00492466">
        <w:t>x400.</w:t>
      </w:r>
    </w:p>
    <w:p w14:paraId="6059E7AB" w14:textId="08AE21CA" w:rsidR="00492466" w:rsidRDefault="00562235" w:rsidP="00492466">
      <w:pPr>
        <w:pStyle w:val="BodyText"/>
        <w:spacing w:line="480" w:lineRule="auto"/>
        <w:jc w:val="both"/>
        <w:rPr>
          <w:sz w:val="20"/>
        </w:rPr>
      </w:pPr>
      <w:r>
        <w:rPr>
          <w:noProof/>
        </w:rPr>
        <w:lastRenderedPageBreak/>
        <w:drawing>
          <wp:inline distT="0" distB="0" distL="0" distR="0" wp14:anchorId="6CEB6B10" wp14:editId="19238938">
            <wp:extent cx="5908428" cy="4425950"/>
            <wp:effectExtent l="0" t="0" r="0" b="0"/>
            <wp:docPr id="1579215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10" t="8565" r="27886" b="59644"/>
                    <a:stretch>
                      <a:fillRect/>
                    </a:stretch>
                  </pic:blipFill>
                  <pic:spPr bwMode="auto">
                    <a:xfrm>
                      <a:off x="0" y="0"/>
                      <a:ext cx="5924023" cy="4437632"/>
                    </a:xfrm>
                    <a:prstGeom prst="rect">
                      <a:avLst/>
                    </a:prstGeom>
                    <a:noFill/>
                    <a:ln>
                      <a:noFill/>
                    </a:ln>
                    <a:extLst>
                      <a:ext uri="{53640926-AAD7-44D8-BBD7-CCE9431645EC}">
                        <a14:shadowObscured xmlns:a14="http://schemas.microsoft.com/office/drawing/2010/main"/>
                      </a:ext>
                    </a:extLst>
                  </pic:spPr>
                </pic:pic>
              </a:graphicData>
            </a:graphic>
          </wp:inline>
        </w:drawing>
      </w:r>
    </w:p>
    <w:p w14:paraId="2E5ADCCF" w14:textId="649D4495" w:rsidR="00492466" w:rsidRPr="002F2B4B" w:rsidRDefault="00F922F3" w:rsidP="00492466">
      <w:pPr>
        <w:pStyle w:val="BodyText"/>
        <w:spacing w:line="480" w:lineRule="auto"/>
        <w:jc w:val="both"/>
        <w:rPr>
          <w:sz w:val="20"/>
        </w:rPr>
      </w:pPr>
      <w:r>
        <w:rPr>
          <w:b/>
        </w:rPr>
        <w:t xml:space="preserve">Figure </w:t>
      </w:r>
      <w:r w:rsidR="00CE38AE">
        <w:rPr>
          <w:b/>
        </w:rPr>
        <w:t>5</w:t>
      </w:r>
      <w:r w:rsidR="00492466">
        <w:rPr>
          <w:b/>
        </w:rPr>
        <w:t xml:space="preserve">A: </w:t>
      </w:r>
      <w:r w:rsidR="00492466">
        <w:t xml:space="preserve">Photomicrographs section of spinal cord tissue from </w:t>
      </w:r>
      <w:r w:rsidR="00F1379E">
        <w:t xml:space="preserve">Wistar </w:t>
      </w:r>
      <w:r w:rsidR="00492466">
        <w:t xml:space="preserve">rat treated with eggshell </w:t>
      </w:r>
      <w:r w:rsidR="00F434B5">
        <w:t>+</w:t>
      </w:r>
      <w:r w:rsidR="00492466">
        <w:rPr>
          <w:spacing w:val="1"/>
        </w:rPr>
        <w:t xml:space="preserve"> </w:t>
      </w:r>
      <w:r w:rsidR="00492466">
        <w:t>brown beans only showing few disorganized areas and cells in the anterior (AH) and posterior</w:t>
      </w:r>
      <w:r w:rsidR="00492466">
        <w:rPr>
          <w:spacing w:val="1"/>
        </w:rPr>
        <w:t xml:space="preserve"> </w:t>
      </w:r>
      <w:r w:rsidR="00492466">
        <w:t>horns (PH)</w:t>
      </w:r>
      <w:r w:rsidR="00492466">
        <w:rPr>
          <w:spacing w:val="-2"/>
        </w:rPr>
        <w:t xml:space="preserve"> </w:t>
      </w:r>
      <w:r w:rsidR="00492466">
        <w:t>of</w:t>
      </w:r>
      <w:r w:rsidR="00492466">
        <w:rPr>
          <w:spacing w:val="-6"/>
        </w:rPr>
        <w:t xml:space="preserve"> </w:t>
      </w:r>
      <w:r w:rsidR="00492466">
        <w:t>the</w:t>
      </w:r>
      <w:r w:rsidR="00492466">
        <w:rPr>
          <w:spacing w:val="1"/>
        </w:rPr>
        <w:t xml:space="preserve"> </w:t>
      </w:r>
      <w:r w:rsidR="00492466">
        <w:t>spinal</w:t>
      </w:r>
      <w:r w:rsidR="00492466">
        <w:rPr>
          <w:spacing w:val="-7"/>
        </w:rPr>
        <w:t xml:space="preserve"> </w:t>
      </w:r>
      <w:r w:rsidR="00492466">
        <w:t>cord.</w:t>
      </w:r>
    </w:p>
    <w:p w14:paraId="6ED5B5FB" w14:textId="1083AA0A" w:rsidR="00492466" w:rsidRDefault="00562235" w:rsidP="00492466">
      <w:pPr>
        <w:pStyle w:val="BodyText"/>
        <w:spacing w:line="480" w:lineRule="auto"/>
        <w:jc w:val="both"/>
        <w:rPr>
          <w:sz w:val="20"/>
        </w:rPr>
      </w:pPr>
      <w:r>
        <w:rPr>
          <w:noProof/>
        </w:rPr>
        <w:lastRenderedPageBreak/>
        <w:drawing>
          <wp:inline distT="0" distB="0" distL="0" distR="0" wp14:anchorId="55CDAE78" wp14:editId="1C4188A3">
            <wp:extent cx="5869703" cy="4394200"/>
            <wp:effectExtent l="0" t="0" r="0" b="6350"/>
            <wp:docPr id="533360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28" t="8641" r="28213" b="59878"/>
                    <a:stretch>
                      <a:fillRect/>
                    </a:stretch>
                  </pic:blipFill>
                  <pic:spPr bwMode="auto">
                    <a:xfrm>
                      <a:off x="0" y="0"/>
                      <a:ext cx="5884978" cy="4405635"/>
                    </a:xfrm>
                    <a:prstGeom prst="rect">
                      <a:avLst/>
                    </a:prstGeom>
                    <a:noFill/>
                    <a:ln>
                      <a:noFill/>
                    </a:ln>
                    <a:extLst>
                      <a:ext uri="{53640926-AAD7-44D8-BBD7-CCE9431645EC}">
                        <a14:shadowObscured xmlns:a14="http://schemas.microsoft.com/office/drawing/2010/main"/>
                      </a:ext>
                    </a:extLst>
                  </pic:spPr>
                </pic:pic>
              </a:graphicData>
            </a:graphic>
          </wp:inline>
        </w:drawing>
      </w:r>
    </w:p>
    <w:p w14:paraId="17B354A6" w14:textId="450F0E20" w:rsidR="00492466" w:rsidRPr="00CF00E2" w:rsidRDefault="00F922F3" w:rsidP="00492466">
      <w:pPr>
        <w:pStyle w:val="BodyText"/>
        <w:spacing w:line="480" w:lineRule="auto"/>
        <w:jc w:val="both"/>
        <w:rPr>
          <w:sz w:val="20"/>
        </w:rPr>
      </w:pPr>
      <w:r>
        <w:rPr>
          <w:b/>
        </w:rPr>
        <w:t xml:space="preserve">Figure </w:t>
      </w:r>
      <w:r w:rsidR="00CE38AE">
        <w:rPr>
          <w:b/>
        </w:rPr>
        <w:t>5</w:t>
      </w:r>
      <w:r w:rsidR="00492466">
        <w:rPr>
          <w:b/>
        </w:rPr>
        <w:t xml:space="preserve">B: </w:t>
      </w:r>
      <w:r w:rsidR="00492466">
        <w:t xml:space="preserve">Photomicrographs section of spinal cord tissue from </w:t>
      </w:r>
      <w:r w:rsidR="00F1379E">
        <w:t xml:space="preserve">Wistar </w:t>
      </w:r>
      <w:r w:rsidR="00492466">
        <w:t xml:space="preserve">rat treated with eggshell </w:t>
      </w:r>
      <w:r w:rsidR="00F434B5">
        <w:t>+</w:t>
      </w:r>
      <w:r w:rsidR="00492466">
        <w:rPr>
          <w:spacing w:val="1"/>
        </w:rPr>
        <w:t xml:space="preserve"> </w:t>
      </w:r>
      <w:r w:rsidR="00492466">
        <w:rPr>
          <w:spacing w:val="-1"/>
        </w:rPr>
        <w:t>brown</w:t>
      </w:r>
      <w:r w:rsidR="00492466">
        <w:rPr>
          <w:spacing w:val="-18"/>
        </w:rPr>
        <w:t xml:space="preserve"> </w:t>
      </w:r>
      <w:r w:rsidR="00492466">
        <w:rPr>
          <w:spacing w:val="-1"/>
        </w:rPr>
        <w:t>beans</w:t>
      </w:r>
      <w:r w:rsidR="00492466">
        <w:rPr>
          <w:spacing w:val="-13"/>
        </w:rPr>
        <w:t xml:space="preserve"> </w:t>
      </w:r>
      <w:r w:rsidR="00492466">
        <w:t>only</w:t>
      </w:r>
      <w:r w:rsidR="00492466">
        <w:rPr>
          <w:spacing w:val="-17"/>
        </w:rPr>
        <w:t xml:space="preserve"> </w:t>
      </w:r>
      <w:r w:rsidR="00492466">
        <w:t>displaying</w:t>
      </w:r>
      <w:r w:rsidR="00492466">
        <w:rPr>
          <w:spacing w:val="-11"/>
        </w:rPr>
        <w:t xml:space="preserve"> </w:t>
      </w:r>
      <w:r w:rsidR="00492466">
        <w:t>grey</w:t>
      </w:r>
      <w:r w:rsidR="00492466">
        <w:rPr>
          <w:spacing w:val="-17"/>
        </w:rPr>
        <w:t xml:space="preserve"> </w:t>
      </w:r>
      <w:r w:rsidR="00492466">
        <w:t>matter</w:t>
      </w:r>
      <w:r w:rsidR="00492466">
        <w:rPr>
          <w:spacing w:val="-11"/>
        </w:rPr>
        <w:t xml:space="preserve"> </w:t>
      </w:r>
      <w:r w:rsidR="00492466">
        <w:t>areas</w:t>
      </w:r>
      <w:r w:rsidR="00492466">
        <w:rPr>
          <w:spacing w:val="-17"/>
        </w:rPr>
        <w:t xml:space="preserve"> </w:t>
      </w:r>
      <w:r w:rsidR="00492466">
        <w:t>of</w:t>
      </w:r>
      <w:r w:rsidR="00492466">
        <w:rPr>
          <w:spacing w:val="-19"/>
        </w:rPr>
        <w:t xml:space="preserve"> </w:t>
      </w:r>
      <w:r w:rsidR="00492466">
        <w:t>Normal</w:t>
      </w:r>
      <w:r w:rsidR="00492466">
        <w:rPr>
          <w:spacing w:val="-17"/>
        </w:rPr>
        <w:t xml:space="preserve"> </w:t>
      </w:r>
      <w:r w:rsidR="00492466">
        <w:t>Motor</w:t>
      </w:r>
      <w:r w:rsidR="00492466">
        <w:rPr>
          <w:spacing w:val="-11"/>
        </w:rPr>
        <w:t xml:space="preserve"> </w:t>
      </w:r>
      <w:r w:rsidR="00492466">
        <w:t>neurons</w:t>
      </w:r>
      <w:r w:rsidR="00492466">
        <w:rPr>
          <w:spacing w:val="-15"/>
        </w:rPr>
        <w:t xml:space="preserve"> </w:t>
      </w:r>
      <w:r w:rsidR="00492466">
        <w:t>(MN),</w:t>
      </w:r>
      <w:r w:rsidR="00492466">
        <w:rPr>
          <w:spacing w:val="-9"/>
        </w:rPr>
        <w:t xml:space="preserve"> </w:t>
      </w:r>
      <w:r w:rsidR="00492466">
        <w:t>degenerated</w:t>
      </w:r>
      <w:r w:rsidR="00492466">
        <w:rPr>
          <w:spacing w:val="-12"/>
        </w:rPr>
        <w:t xml:space="preserve"> </w:t>
      </w:r>
      <w:r w:rsidR="00492466">
        <w:t>motor</w:t>
      </w:r>
      <w:r w:rsidR="00492466">
        <w:rPr>
          <w:spacing w:val="-58"/>
        </w:rPr>
        <w:t xml:space="preserve"> </w:t>
      </w:r>
      <w:r w:rsidR="00492466">
        <w:t>neuron</w:t>
      </w:r>
      <w:r w:rsidR="00492466">
        <w:rPr>
          <w:spacing w:val="-4"/>
        </w:rPr>
        <w:t xml:space="preserve"> </w:t>
      </w:r>
      <w:r w:rsidR="00492466">
        <w:t>(DN),</w:t>
      </w:r>
      <w:r w:rsidR="00492466">
        <w:rPr>
          <w:spacing w:val="2"/>
        </w:rPr>
        <w:t xml:space="preserve"> </w:t>
      </w:r>
      <w:r w:rsidR="00492466">
        <w:t>increase perineural</w:t>
      </w:r>
      <w:r w:rsidR="00492466">
        <w:rPr>
          <w:spacing w:val="-4"/>
        </w:rPr>
        <w:t xml:space="preserve"> </w:t>
      </w:r>
      <w:r w:rsidR="00492466">
        <w:t>spaces</w:t>
      </w:r>
      <w:r w:rsidR="00492466">
        <w:rPr>
          <w:spacing w:val="-1"/>
        </w:rPr>
        <w:t xml:space="preserve"> </w:t>
      </w:r>
      <w:r w:rsidR="00492466">
        <w:t>(PNS)</w:t>
      </w:r>
      <w:r w:rsidR="00492466">
        <w:rPr>
          <w:spacing w:val="3"/>
        </w:rPr>
        <w:t xml:space="preserve"> </w:t>
      </w:r>
      <w:r w:rsidR="00492466">
        <w:t>and</w:t>
      </w:r>
      <w:r w:rsidR="00492466">
        <w:rPr>
          <w:spacing w:val="1"/>
        </w:rPr>
        <w:t xml:space="preserve"> </w:t>
      </w:r>
      <w:r w:rsidR="00492466">
        <w:t>astrogliosis,</w:t>
      </w:r>
      <w:r w:rsidR="00492466">
        <w:rPr>
          <w:spacing w:val="3"/>
        </w:rPr>
        <w:t xml:space="preserve"> </w:t>
      </w:r>
      <w:r w:rsidR="00492466">
        <w:t>Nissl</w:t>
      </w:r>
      <w:r w:rsidR="00492466">
        <w:rPr>
          <w:spacing w:val="-4"/>
        </w:rPr>
        <w:t xml:space="preserve"> </w:t>
      </w:r>
      <w:r w:rsidR="00492466">
        <w:t>stain:</w:t>
      </w:r>
      <w:r w:rsidR="00492466">
        <w:rPr>
          <w:spacing w:val="1"/>
        </w:rPr>
        <w:t xml:space="preserve"> </w:t>
      </w:r>
      <w:r w:rsidR="00492466">
        <w:t>x400.</w:t>
      </w:r>
    </w:p>
    <w:bookmarkEnd w:id="0"/>
    <w:p w14:paraId="02BCB392" w14:textId="77777777" w:rsidR="002F2B4B" w:rsidRDefault="002F2B4B" w:rsidP="0099733A">
      <w:pPr>
        <w:pStyle w:val="BodyText"/>
        <w:spacing w:line="480" w:lineRule="auto"/>
        <w:jc w:val="both"/>
        <w:rPr>
          <w:b/>
        </w:rPr>
      </w:pPr>
    </w:p>
    <w:p w14:paraId="16A078A3" w14:textId="6D236A94" w:rsidR="00CA06F6" w:rsidRDefault="00492466" w:rsidP="0099733A">
      <w:pPr>
        <w:pStyle w:val="BodyText"/>
        <w:spacing w:line="480" w:lineRule="auto"/>
        <w:jc w:val="both"/>
        <w:rPr>
          <w:b/>
        </w:rPr>
      </w:pPr>
      <w:r w:rsidRPr="008D45DB">
        <w:rPr>
          <w:b/>
        </w:rPr>
        <w:t>DISCUSSION</w:t>
      </w:r>
    </w:p>
    <w:p w14:paraId="02BED863" w14:textId="563B2BA4" w:rsidR="00A96C20" w:rsidRPr="00A96C20" w:rsidRDefault="00A96C20" w:rsidP="00A96C20">
      <w:pPr>
        <w:pStyle w:val="BodyText"/>
        <w:spacing w:line="480" w:lineRule="auto"/>
        <w:jc w:val="both"/>
        <w:rPr>
          <w:bCs/>
        </w:rPr>
      </w:pPr>
      <w:r w:rsidRPr="00A96C20">
        <w:rPr>
          <w:bCs/>
        </w:rPr>
        <w:t xml:space="preserve">In this experimental model, chronic consumption of </w:t>
      </w:r>
      <w:r w:rsidR="00DC129B">
        <w:rPr>
          <w:bCs/>
        </w:rPr>
        <w:t>Bitter</w:t>
      </w:r>
      <w:r w:rsidRPr="00A96C20">
        <w:rPr>
          <w:bCs/>
        </w:rPr>
        <w:t xml:space="preserve"> </w:t>
      </w:r>
      <w:r w:rsidR="00DC129B">
        <w:rPr>
          <w:bCs/>
        </w:rPr>
        <w:t>Cassava</w:t>
      </w:r>
      <w:r w:rsidRPr="00A96C20">
        <w:rPr>
          <w:bCs/>
        </w:rPr>
        <w:t xml:space="preserve"> induced signs of neurodegeneration and systemic toxicity consistent with Konzo. Rats fed only on improperly processed </w:t>
      </w:r>
      <w:r w:rsidR="00DC129B">
        <w:rPr>
          <w:bCs/>
        </w:rPr>
        <w:t>Cassava</w:t>
      </w:r>
      <w:r w:rsidRPr="00A96C20">
        <w:rPr>
          <w:bCs/>
        </w:rPr>
        <w:t xml:space="preserve"> showed significant neurological impairment – such as motor incoordination – and physiological stress. For example, Amadi et al. (2022) reported that </w:t>
      </w:r>
      <w:r w:rsidR="00DC129B">
        <w:rPr>
          <w:bCs/>
        </w:rPr>
        <w:t>Cassava</w:t>
      </w:r>
      <w:r w:rsidRPr="00A96C20">
        <w:rPr>
          <w:bCs/>
        </w:rPr>
        <w:t xml:space="preserve">-fed rats had significantly reduced body weight and elevated blood </w:t>
      </w:r>
      <w:proofErr w:type="spellStart"/>
      <w:r w:rsidRPr="00A96C20">
        <w:rPr>
          <w:bCs/>
        </w:rPr>
        <w:t>cyanid</w:t>
      </w:r>
      <w:r w:rsidR="001B72F3">
        <w:rPr>
          <w:bCs/>
        </w:rPr>
        <w:t>f</w:t>
      </w:r>
      <w:r w:rsidRPr="00A96C20">
        <w:rPr>
          <w:bCs/>
        </w:rPr>
        <w:t>e</w:t>
      </w:r>
      <w:proofErr w:type="spellEnd"/>
      <w:r w:rsidRPr="00A96C20">
        <w:rPr>
          <w:bCs/>
        </w:rPr>
        <w:t xml:space="preserve"> levels compared to controls. </w:t>
      </w:r>
      <w:r w:rsidRPr="00A96C20">
        <w:rPr>
          <w:bCs/>
        </w:rPr>
        <w:lastRenderedPageBreak/>
        <w:t xml:space="preserve">Likewise, Rivadeneyra-Domínguez et al. (2020) found that chronic </w:t>
      </w:r>
      <w:r w:rsidR="00DC129B">
        <w:rPr>
          <w:bCs/>
        </w:rPr>
        <w:t>Cassava</w:t>
      </w:r>
      <w:r w:rsidRPr="00A96C20">
        <w:rPr>
          <w:bCs/>
        </w:rPr>
        <w:t xml:space="preserve"> ingestion produced motor coordination deficits and correlated neuronal damage in rats. Histologically, our Nissl-stained spinal cord sections from the </w:t>
      </w:r>
      <w:r w:rsidR="00DC129B">
        <w:rPr>
          <w:bCs/>
        </w:rPr>
        <w:t>Cassava</w:t>
      </w:r>
      <w:r w:rsidRPr="00A96C20">
        <w:rPr>
          <w:bCs/>
        </w:rPr>
        <w:t xml:space="preserve">-only group revealed neuronal loss and degeneration (e.g. pyknotic or chromatolytic motor neurons), whereas control rats showed normal neuronal architecture. This is in line with evidence that </w:t>
      </w:r>
      <w:r w:rsidR="00DC129B">
        <w:rPr>
          <w:bCs/>
        </w:rPr>
        <w:t>Cassava</w:t>
      </w:r>
      <w:r w:rsidRPr="00A96C20">
        <w:rPr>
          <w:bCs/>
        </w:rPr>
        <w:t xml:space="preserve"> toxins target neurons: Sreeja et al. (2003) demonstrated that linamarin (the cyanogenic glycoside in </w:t>
      </w:r>
      <w:r w:rsidR="00DC129B">
        <w:rPr>
          <w:bCs/>
        </w:rPr>
        <w:t>Cassava</w:t>
      </w:r>
      <w:r w:rsidRPr="00A96C20">
        <w:rPr>
          <w:bCs/>
        </w:rPr>
        <w:t xml:space="preserve">) can directly kill neural cells via uptake through glucose transporters. In contrast, rats that received protein supplementation after </w:t>
      </w:r>
      <w:r w:rsidR="00DC129B">
        <w:rPr>
          <w:bCs/>
        </w:rPr>
        <w:t>Cassava</w:t>
      </w:r>
      <w:r w:rsidRPr="00A96C20">
        <w:rPr>
          <w:bCs/>
        </w:rPr>
        <w:t xml:space="preserve"> exposure showed markedly preserved spinal neurons. Both the </w:t>
      </w:r>
      <w:r w:rsidR="00DC129B">
        <w:rPr>
          <w:bCs/>
        </w:rPr>
        <w:t>Cassava</w:t>
      </w:r>
      <w:r>
        <w:rPr>
          <w:bCs/>
        </w:rPr>
        <w:t xml:space="preserve"> </w:t>
      </w:r>
      <w:r w:rsidRPr="00A96C20">
        <w:rPr>
          <w:bCs/>
        </w:rPr>
        <w:t>+</w:t>
      </w:r>
      <w:r>
        <w:rPr>
          <w:bCs/>
        </w:rPr>
        <w:t xml:space="preserve"> </w:t>
      </w:r>
      <w:r w:rsidRPr="00A96C20">
        <w:rPr>
          <w:bCs/>
        </w:rPr>
        <w:t xml:space="preserve">animal-feed and </w:t>
      </w:r>
      <w:r w:rsidR="00DC129B">
        <w:rPr>
          <w:bCs/>
        </w:rPr>
        <w:t>Cassava</w:t>
      </w:r>
      <w:r>
        <w:rPr>
          <w:bCs/>
        </w:rPr>
        <w:t xml:space="preserve"> </w:t>
      </w:r>
      <w:r w:rsidRPr="00A96C20">
        <w:rPr>
          <w:bCs/>
        </w:rPr>
        <w:t>+</w:t>
      </w:r>
      <w:r>
        <w:rPr>
          <w:bCs/>
        </w:rPr>
        <w:t xml:space="preserve"> </w:t>
      </w:r>
      <w:r w:rsidRPr="00A96C20">
        <w:rPr>
          <w:bCs/>
        </w:rPr>
        <w:t>eggshell</w:t>
      </w:r>
      <w:r w:rsidRPr="00A96C20">
        <w:rPr>
          <w:bCs/>
        </w:rPr>
        <w:noBreakHyphen/>
        <w:t xml:space="preserve">bean groups exhibited substantially less neuronal loss than the </w:t>
      </w:r>
      <w:r w:rsidR="00DC129B">
        <w:rPr>
          <w:bCs/>
        </w:rPr>
        <w:t>Cassava</w:t>
      </w:r>
      <w:r w:rsidRPr="00A96C20">
        <w:rPr>
          <w:bCs/>
        </w:rPr>
        <w:t>-only rats. These histological findings mirror Okakpu et al.</w:t>
      </w:r>
      <w:r>
        <w:rPr>
          <w:bCs/>
        </w:rPr>
        <w:t xml:space="preserve"> (2023)</w:t>
      </w:r>
      <w:r w:rsidRPr="00A96C20">
        <w:rPr>
          <w:bCs/>
        </w:rPr>
        <w:t xml:space="preserve">’s report that protein-rich supplements (soya and brown beans) ameliorated </w:t>
      </w:r>
      <w:r w:rsidR="00DC129B">
        <w:rPr>
          <w:bCs/>
        </w:rPr>
        <w:t>Cassava</w:t>
      </w:r>
      <w:r w:rsidRPr="00A96C20">
        <w:rPr>
          <w:bCs/>
        </w:rPr>
        <w:t>-induced neuronal loss in the rat cortex. Similarly, Amadi et al. (2022) observed that rats fed eggshell</w:t>
      </w:r>
      <w:r>
        <w:rPr>
          <w:bCs/>
        </w:rPr>
        <w:t xml:space="preserve"> </w:t>
      </w:r>
      <w:r w:rsidRPr="00A96C20">
        <w:rPr>
          <w:bCs/>
        </w:rPr>
        <w:t>+</w:t>
      </w:r>
      <w:r>
        <w:rPr>
          <w:bCs/>
        </w:rPr>
        <w:t xml:space="preserve"> </w:t>
      </w:r>
      <w:r w:rsidRPr="00A96C20">
        <w:rPr>
          <w:bCs/>
        </w:rPr>
        <w:t xml:space="preserve">brown bean supplement had elevated blood methionine and cysteine, suggesting enhanced cyanide detoxification, whereas </w:t>
      </w:r>
      <w:r w:rsidR="00DC129B">
        <w:rPr>
          <w:bCs/>
        </w:rPr>
        <w:t>Cassava</w:t>
      </w:r>
      <w:r w:rsidRPr="00A96C20">
        <w:rPr>
          <w:bCs/>
        </w:rPr>
        <w:t>-only rats had excess blood cyanide. In our study, the eggshell</w:t>
      </w:r>
      <w:r>
        <w:rPr>
          <w:bCs/>
        </w:rPr>
        <w:t xml:space="preserve"> </w:t>
      </w:r>
      <w:r w:rsidRPr="00A96C20">
        <w:rPr>
          <w:bCs/>
        </w:rPr>
        <w:t>+</w:t>
      </w:r>
      <w:r>
        <w:rPr>
          <w:bCs/>
        </w:rPr>
        <w:t xml:space="preserve"> </w:t>
      </w:r>
      <w:r w:rsidRPr="00A96C20">
        <w:rPr>
          <w:bCs/>
        </w:rPr>
        <w:t xml:space="preserve">bean group (and the standard-feed rehabilitation group) recovered more normal spinal cord structure, supporting the idea that dietary protein/sulphur amino acids counteract </w:t>
      </w:r>
      <w:r w:rsidR="00DC129B">
        <w:rPr>
          <w:bCs/>
        </w:rPr>
        <w:t>Cassava</w:t>
      </w:r>
      <w:r w:rsidRPr="00A96C20">
        <w:rPr>
          <w:bCs/>
        </w:rPr>
        <w:t xml:space="preserve"> neurotoxicity.</w:t>
      </w:r>
    </w:p>
    <w:p w14:paraId="6E800AA7" w14:textId="3FC66803" w:rsidR="00A96C20" w:rsidRPr="00A96C20" w:rsidRDefault="00A96C20" w:rsidP="00A96C20">
      <w:pPr>
        <w:pStyle w:val="BodyText"/>
        <w:spacing w:line="480" w:lineRule="auto"/>
        <w:jc w:val="both"/>
        <w:rPr>
          <w:bCs/>
        </w:rPr>
      </w:pPr>
      <w:r w:rsidRPr="00A96C20">
        <w:rPr>
          <w:bCs/>
        </w:rPr>
        <w:t xml:space="preserve">Our results are broadly consistent with prior research on </w:t>
      </w:r>
      <w:r w:rsidR="00DC129B">
        <w:rPr>
          <w:bCs/>
        </w:rPr>
        <w:t>Cassava</w:t>
      </w:r>
      <w:r w:rsidRPr="00A96C20">
        <w:rPr>
          <w:bCs/>
        </w:rPr>
        <w:t>-induced neurotoxicity but also highlight some differences. The degeneration of spinal motor neurons we observed agrees with Konzo’s known pathology as a selective upper motor neuron disease</w:t>
      </w:r>
      <w:r>
        <w:rPr>
          <w:bCs/>
        </w:rPr>
        <w:t xml:space="preserve"> (</w:t>
      </w:r>
      <w:r w:rsidRPr="00610CAA">
        <w:t>Baguma</w:t>
      </w:r>
      <w:r>
        <w:rPr>
          <w:bCs/>
        </w:rPr>
        <w:t xml:space="preserve"> et al., 2021; </w:t>
      </w:r>
      <w:r w:rsidR="00240C10" w:rsidRPr="00610CAA">
        <w:t>Baguma</w:t>
      </w:r>
      <w:r w:rsidR="00240C10">
        <w:rPr>
          <w:bCs/>
        </w:rPr>
        <w:t xml:space="preserve"> et al., 2024</w:t>
      </w:r>
      <w:r>
        <w:rPr>
          <w:bCs/>
        </w:rPr>
        <w:t>)</w:t>
      </w:r>
      <w:r w:rsidRPr="00A96C20">
        <w:rPr>
          <w:bCs/>
        </w:rPr>
        <w:t xml:space="preserve">. Baguma et al. (2024) showed that cyanate – a cyanide metabolite – triggers oxidative stress, apoptosis and excitotoxicity in spinal neurons, which would produce the kind of neuronal loss seen here. The fact that we saw structural neuronal damage parallels findings from other models: for example, Rivadeneyra-Domínguez et al. (2020) linked </w:t>
      </w:r>
      <w:r w:rsidR="00DC129B">
        <w:rPr>
          <w:bCs/>
        </w:rPr>
        <w:t>Cassava</w:t>
      </w:r>
      <w:r w:rsidRPr="00A96C20">
        <w:rPr>
          <w:bCs/>
        </w:rPr>
        <w:t xml:space="preserve"> and linamarin </w:t>
      </w:r>
      <w:r w:rsidRPr="00A96C20">
        <w:rPr>
          <w:bCs/>
        </w:rPr>
        <w:lastRenderedPageBreak/>
        <w:t xml:space="preserve">intake to neuronal damage in motor-control brain regions. By contrast, Okakpu et al. (2023) reported that </w:t>
      </w:r>
      <w:r w:rsidR="00DC129B">
        <w:rPr>
          <w:bCs/>
        </w:rPr>
        <w:t>Cassava</w:t>
      </w:r>
      <w:r w:rsidRPr="00A96C20">
        <w:rPr>
          <w:bCs/>
        </w:rPr>
        <w:t xml:space="preserve"> reduced NeuN-positive neuron counts in motor cortex, even though H&amp;E histology appeared intact. This difference may reflect tissue or marker specificity: we used Nissl staining in spinal cord, which may reveal early chromatolytic changes that immunostaining could miss, whereas Okakpu’s cortical NeuN data shows protein changes in surviving neurons. Moreover, Okakpu used male rats and soya beans, while our model used female rats and eggshell</w:t>
      </w:r>
      <w:r w:rsidR="00D8054A">
        <w:rPr>
          <w:bCs/>
        </w:rPr>
        <w:t xml:space="preserve"> </w:t>
      </w:r>
      <w:r w:rsidRPr="00A96C20">
        <w:rPr>
          <w:bCs/>
        </w:rPr>
        <w:t>+</w:t>
      </w:r>
      <w:r w:rsidR="00D8054A">
        <w:rPr>
          <w:bCs/>
        </w:rPr>
        <w:t xml:space="preserve"> </w:t>
      </w:r>
      <w:r w:rsidRPr="00A96C20">
        <w:rPr>
          <w:bCs/>
        </w:rPr>
        <w:t>bean supplement; sex and the exact supplement composition might affect vulnerability</w:t>
      </w:r>
      <w:r w:rsidR="00D8054A">
        <w:rPr>
          <w:bCs/>
        </w:rPr>
        <w:t xml:space="preserve"> (</w:t>
      </w:r>
      <w:r w:rsidR="00D8054A" w:rsidRPr="00A96C20">
        <w:rPr>
          <w:bCs/>
        </w:rPr>
        <w:t>Okakpu</w:t>
      </w:r>
      <w:r w:rsidR="00D8054A">
        <w:rPr>
          <w:bCs/>
        </w:rPr>
        <w:t xml:space="preserve"> et al., 2023)</w:t>
      </w:r>
      <w:r w:rsidRPr="00A96C20">
        <w:rPr>
          <w:bCs/>
        </w:rPr>
        <w:t xml:space="preserve">. Nevertheless, both studies found that protein supplements mitigate neuronal loss, </w:t>
      </w:r>
      <w:r w:rsidR="00AF184E">
        <w:rPr>
          <w:bCs/>
        </w:rPr>
        <w:t>indicating</w:t>
      </w:r>
      <w:r w:rsidRPr="00A96C20">
        <w:rPr>
          <w:bCs/>
        </w:rPr>
        <w:t xml:space="preserve"> a common theme that nutritional support can rescue </w:t>
      </w:r>
      <w:r w:rsidR="00DC129B">
        <w:rPr>
          <w:bCs/>
        </w:rPr>
        <w:t>Cassava</w:t>
      </w:r>
      <w:r w:rsidRPr="00A96C20">
        <w:rPr>
          <w:bCs/>
        </w:rPr>
        <w:t>-induced damage.</w:t>
      </w:r>
    </w:p>
    <w:p w14:paraId="4125ADD1" w14:textId="6A50D1DA" w:rsidR="00A96C20" w:rsidRPr="00A96C20" w:rsidRDefault="00A96C20" w:rsidP="00A96C20">
      <w:pPr>
        <w:pStyle w:val="BodyText"/>
        <w:spacing w:line="480" w:lineRule="auto"/>
        <w:jc w:val="both"/>
        <w:rPr>
          <w:bCs/>
        </w:rPr>
      </w:pPr>
      <w:r w:rsidRPr="00A96C20">
        <w:rPr>
          <w:bCs/>
        </w:rPr>
        <w:t xml:space="preserve">Our data also align with the well-established concept that </w:t>
      </w:r>
      <w:r w:rsidR="00DC129B">
        <w:rPr>
          <w:bCs/>
        </w:rPr>
        <w:t>Cassava</w:t>
      </w:r>
      <w:r w:rsidRPr="00A96C20">
        <w:rPr>
          <w:bCs/>
        </w:rPr>
        <w:t xml:space="preserve"> neurotoxicity requires both cyanide exposure and poor nutrition. The </w:t>
      </w:r>
      <w:r w:rsidR="00DC129B">
        <w:rPr>
          <w:bCs/>
        </w:rPr>
        <w:t>Cassava</w:t>
      </w:r>
      <w:r w:rsidRPr="00A96C20">
        <w:rPr>
          <w:bCs/>
        </w:rPr>
        <w:t xml:space="preserve">-only group’s severe pathology accords with reviews noting </w:t>
      </w:r>
      <w:r w:rsidR="00DC129B">
        <w:rPr>
          <w:bCs/>
        </w:rPr>
        <w:t>Cassava</w:t>
      </w:r>
      <w:r w:rsidRPr="00A96C20">
        <w:rPr>
          <w:bCs/>
        </w:rPr>
        <w:t>-derived cyanide poisoning as a key Konzo risk factor</w:t>
      </w:r>
      <w:r w:rsidR="00D8054A">
        <w:rPr>
          <w:bCs/>
        </w:rPr>
        <w:t xml:space="preserve"> (</w:t>
      </w:r>
      <w:r w:rsidR="00D8054A" w:rsidRPr="00D8054A">
        <w:rPr>
          <w:bCs/>
        </w:rPr>
        <w:t>Baguma</w:t>
      </w:r>
      <w:r w:rsidR="00D8054A">
        <w:rPr>
          <w:bCs/>
        </w:rPr>
        <w:t xml:space="preserve"> et al., 2021)</w:t>
      </w:r>
      <w:r w:rsidRPr="00A96C20">
        <w:rPr>
          <w:bCs/>
        </w:rPr>
        <w:t xml:space="preserve">. At the same time, the preservation of neurons in protein-replete groups highlights protein malnutrition’s role in Konzo. Indeed, Baguma et al. (2021) emphasize that protein deficiency exacerbates Konzo risk because it limits cyanide detoxification. In our study, eggshells and brown beans provided </w:t>
      </w:r>
      <w:r w:rsidR="00AF184E" w:rsidRPr="00A96C20">
        <w:rPr>
          <w:bCs/>
        </w:rPr>
        <w:t>sulphur</w:t>
      </w:r>
      <w:r w:rsidRPr="00A96C20">
        <w:rPr>
          <w:bCs/>
        </w:rPr>
        <w:t xml:space="preserve"> amino acids</w:t>
      </w:r>
      <w:r w:rsidR="00AF184E">
        <w:rPr>
          <w:bCs/>
        </w:rPr>
        <w:t xml:space="preserve"> (</w:t>
      </w:r>
      <w:r w:rsidR="00AF184E" w:rsidRPr="00AF184E">
        <w:rPr>
          <w:bCs/>
        </w:rPr>
        <w:t>S</w:t>
      </w:r>
      <w:r w:rsidR="00AF184E">
        <w:rPr>
          <w:bCs/>
        </w:rPr>
        <w:t>AAs)</w:t>
      </w:r>
      <w:r w:rsidRPr="00A96C20">
        <w:rPr>
          <w:bCs/>
        </w:rPr>
        <w:t xml:space="preserve"> </w:t>
      </w:r>
      <w:r w:rsidR="00AF184E">
        <w:rPr>
          <w:bCs/>
        </w:rPr>
        <w:t xml:space="preserve">such as </w:t>
      </w:r>
      <w:r w:rsidRPr="00A96C20">
        <w:rPr>
          <w:bCs/>
        </w:rPr>
        <w:t>methionine and cysteine</w:t>
      </w:r>
      <w:r w:rsidR="00AF184E">
        <w:rPr>
          <w:bCs/>
        </w:rPr>
        <w:t>,</w:t>
      </w:r>
      <w:r w:rsidRPr="00A96C20">
        <w:rPr>
          <w:bCs/>
        </w:rPr>
        <w:t xml:space="preserve"> that likely bolstered detox pathways. Amadi et al. (2022) concluded that SAA such as methionine and cysteine “are essential for detoxification of the residual </w:t>
      </w:r>
      <w:proofErr w:type="spellStart"/>
      <w:r w:rsidRPr="00A96C20">
        <w:rPr>
          <w:bCs/>
        </w:rPr>
        <w:t>cyanogens</w:t>
      </w:r>
      <w:proofErr w:type="spellEnd"/>
      <w:r w:rsidRPr="00A96C20">
        <w:rPr>
          <w:bCs/>
        </w:rPr>
        <w:t xml:space="preserve">” from </w:t>
      </w:r>
      <w:r w:rsidR="00DC129B">
        <w:rPr>
          <w:bCs/>
        </w:rPr>
        <w:t>Cassava</w:t>
      </w:r>
      <w:r w:rsidRPr="00A96C20">
        <w:rPr>
          <w:bCs/>
        </w:rPr>
        <w:t xml:space="preserve">. Biochemically, cysteine is a glutathione precursor and methionine participates in cyanide conversion to thiocyanate, so their dietary provision helps neutralize </w:t>
      </w:r>
      <w:r w:rsidR="00DC129B">
        <w:rPr>
          <w:bCs/>
        </w:rPr>
        <w:t>Cassava</w:t>
      </w:r>
      <w:r w:rsidRPr="00A96C20">
        <w:rPr>
          <w:bCs/>
        </w:rPr>
        <w:t>’s toxins</w:t>
      </w:r>
      <w:r w:rsidR="00D8054A">
        <w:rPr>
          <w:bCs/>
        </w:rPr>
        <w:t xml:space="preserve"> (</w:t>
      </w:r>
      <w:r w:rsidR="00D8054A" w:rsidRPr="00A96C20">
        <w:rPr>
          <w:bCs/>
        </w:rPr>
        <w:t>Amadi et al.</w:t>
      </w:r>
      <w:r w:rsidR="00D8054A">
        <w:rPr>
          <w:bCs/>
        </w:rPr>
        <w:t xml:space="preserve">, </w:t>
      </w:r>
      <w:r w:rsidR="00D8054A" w:rsidRPr="00A96C20">
        <w:rPr>
          <w:bCs/>
        </w:rPr>
        <w:t>2022)</w:t>
      </w:r>
      <w:r w:rsidRPr="00A96C20">
        <w:rPr>
          <w:bCs/>
        </w:rPr>
        <w:t>. Thus</w:t>
      </w:r>
      <w:r w:rsidR="00D8054A">
        <w:rPr>
          <w:bCs/>
        </w:rPr>
        <w:t>,</w:t>
      </w:r>
      <w:r w:rsidRPr="00A96C20">
        <w:rPr>
          <w:bCs/>
        </w:rPr>
        <w:t xml:space="preserve"> our finding that SAA supplementation prevents neuronal loss supports the model that Konzo arises when cyanide overwhelms an SAA-deficient metabolism.</w:t>
      </w:r>
    </w:p>
    <w:p w14:paraId="5D8A1326" w14:textId="44EC5C24" w:rsidR="00A96C20" w:rsidRPr="00A96C20" w:rsidRDefault="00A96C20" w:rsidP="00A96C20">
      <w:pPr>
        <w:pStyle w:val="BodyText"/>
        <w:spacing w:line="480" w:lineRule="auto"/>
        <w:jc w:val="both"/>
        <w:rPr>
          <w:bCs/>
        </w:rPr>
      </w:pPr>
      <w:r w:rsidRPr="00A96C20">
        <w:rPr>
          <w:bCs/>
        </w:rPr>
        <w:t xml:space="preserve">Mechanistically, our results suggest that </w:t>
      </w:r>
      <w:r w:rsidR="00DC129B">
        <w:rPr>
          <w:bCs/>
        </w:rPr>
        <w:t>Cassava</w:t>
      </w:r>
      <w:r w:rsidRPr="00A96C20">
        <w:rPr>
          <w:bCs/>
        </w:rPr>
        <w:t xml:space="preserve">’s neurotoxicity involves oxidative stress and </w:t>
      </w:r>
      <w:r w:rsidRPr="00A96C20">
        <w:rPr>
          <w:bCs/>
        </w:rPr>
        <w:lastRenderedPageBreak/>
        <w:t xml:space="preserve">excitotoxic damage to motor neurons. Baguma et al. (2024) found that cyanate (a stable cyanide metabolite) increases reactive oxygen species and caspase activity in cultured neurons, indicating apoptosis and oxidative injury. This provides a plausible explanation for the neuronal degeneration we observed: insufficient detoxification of </w:t>
      </w:r>
      <w:r w:rsidR="00DC129B">
        <w:rPr>
          <w:bCs/>
        </w:rPr>
        <w:t>Cassava</w:t>
      </w:r>
      <w:r w:rsidRPr="00A96C20">
        <w:rPr>
          <w:bCs/>
        </w:rPr>
        <w:t xml:space="preserve"> </w:t>
      </w:r>
      <w:proofErr w:type="spellStart"/>
      <w:r w:rsidRPr="00A96C20">
        <w:rPr>
          <w:bCs/>
        </w:rPr>
        <w:t>cyanogens</w:t>
      </w:r>
      <w:proofErr w:type="spellEnd"/>
      <w:r w:rsidRPr="00A96C20">
        <w:rPr>
          <w:bCs/>
        </w:rPr>
        <w:t xml:space="preserve"> may allow accumulation of cyanate or other reactive metabolites that injure motor neurons. The improved neuronal survival in supplemented rats implies that enhanced detoxification prevented these downstream effects. Overall, our findings imply that consumption of high-protein, </w:t>
      </w:r>
      <w:r w:rsidR="00D8054A" w:rsidRPr="00A96C20">
        <w:rPr>
          <w:bCs/>
        </w:rPr>
        <w:t>sulphur</w:t>
      </w:r>
      <w:r w:rsidRPr="00A96C20">
        <w:rPr>
          <w:bCs/>
        </w:rPr>
        <w:t xml:space="preserve">-rich foods can reverse or prevent the neuropathological sequelae of inadequately processed </w:t>
      </w:r>
      <w:r w:rsidR="00DC129B">
        <w:rPr>
          <w:bCs/>
        </w:rPr>
        <w:t>Cassava</w:t>
      </w:r>
      <w:r w:rsidRPr="00A96C20">
        <w:rPr>
          <w:bCs/>
        </w:rPr>
        <w:t>.</w:t>
      </w:r>
    </w:p>
    <w:p w14:paraId="505A41C4" w14:textId="77777777" w:rsidR="00E63E67" w:rsidRDefault="00E63E67" w:rsidP="00A96C20">
      <w:pPr>
        <w:pStyle w:val="BodyText"/>
        <w:spacing w:line="480" w:lineRule="auto"/>
        <w:jc w:val="both"/>
        <w:rPr>
          <w:b/>
          <w:bCs/>
        </w:rPr>
      </w:pPr>
    </w:p>
    <w:p w14:paraId="3152BB6E" w14:textId="5714B46B" w:rsidR="00A96C20" w:rsidRDefault="00E63E67" w:rsidP="00A96C20">
      <w:pPr>
        <w:pStyle w:val="BodyText"/>
        <w:spacing w:line="480" w:lineRule="auto"/>
        <w:jc w:val="both"/>
        <w:rPr>
          <w:b/>
          <w:bCs/>
        </w:rPr>
      </w:pPr>
      <w:r w:rsidRPr="00A96C20">
        <w:rPr>
          <w:b/>
          <w:bCs/>
        </w:rPr>
        <w:t>CONCLUSION</w:t>
      </w:r>
    </w:p>
    <w:p w14:paraId="268BDA08" w14:textId="7F000C10" w:rsidR="000E36D8" w:rsidRDefault="00E63E67" w:rsidP="000E36D8">
      <w:pPr>
        <w:pStyle w:val="BodyText"/>
        <w:spacing w:line="480" w:lineRule="auto"/>
        <w:jc w:val="both"/>
        <w:rPr>
          <w:bCs/>
        </w:rPr>
      </w:pPr>
      <w:r w:rsidRPr="00A96C20">
        <w:rPr>
          <w:bCs/>
        </w:rPr>
        <w:t xml:space="preserve">Chronic </w:t>
      </w:r>
      <w:r w:rsidR="00DC129B">
        <w:rPr>
          <w:bCs/>
        </w:rPr>
        <w:t>Bitter</w:t>
      </w:r>
      <w:r w:rsidR="00A96C20" w:rsidRPr="00A96C20">
        <w:rPr>
          <w:bCs/>
        </w:rPr>
        <w:t xml:space="preserve"> </w:t>
      </w:r>
      <w:r w:rsidR="00DC129B">
        <w:rPr>
          <w:bCs/>
        </w:rPr>
        <w:t>Cassava</w:t>
      </w:r>
      <w:r w:rsidR="00A96C20" w:rsidRPr="00A96C20">
        <w:rPr>
          <w:bCs/>
        </w:rPr>
        <w:t xml:space="preserve"> feeding in rats caused selective upper motor neuron degeneration, recapitulating key features of Konzo. These effects were largely prevented by providing dietary protein and </w:t>
      </w:r>
      <w:r w:rsidRPr="00A96C20">
        <w:rPr>
          <w:bCs/>
        </w:rPr>
        <w:t>sulphur</w:t>
      </w:r>
      <w:r w:rsidR="00A96C20" w:rsidRPr="00A96C20">
        <w:rPr>
          <w:bCs/>
        </w:rPr>
        <w:t xml:space="preserve"> amino acids (from standard feed or eggshell</w:t>
      </w:r>
      <w:r>
        <w:rPr>
          <w:bCs/>
        </w:rPr>
        <w:t xml:space="preserve"> </w:t>
      </w:r>
      <w:r w:rsidR="00A96C20" w:rsidRPr="00A96C20">
        <w:rPr>
          <w:bCs/>
        </w:rPr>
        <w:t>+</w:t>
      </w:r>
      <w:r>
        <w:rPr>
          <w:bCs/>
        </w:rPr>
        <w:t xml:space="preserve"> </w:t>
      </w:r>
      <w:r w:rsidR="00A96C20" w:rsidRPr="00A96C20">
        <w:rPr>
          <w:bCs/>
        </w:rPr>
        <w:t xml:space="preserve">bean supplement), consistent with prior observations that such nutrition enhances cyanide detoxification. Our data reinforce the concept that Konzo is a </w:t>
      </w:r>
      <w:proofErr w:type="spellStart"/>
      <w:r w:rsidR="00A96C20" w:rsidRPr="00A96C20">
        <w:rPr>
          <w:bCs/>
        </w:rPr>
        <w:t>toxico</w:t>
      </w:r>
      <w:proofErr w:type="spellEnd"/>
      <w:r w:rsidR="00A96C20" w:rsidRPr="00A96C20">
        <w:rPr>
          <w:bCs/>
        </w:rPr>
        <w:t xml:space="preserve">-nutritional condition wherein </w:t>
      </w:r>
      <w:r w:rsidR="00DC129B">
        <w:rPr>
          <w:bCs/>
        </w:rPr>
        <w:t>Cassava</w:t>
      </w:r>
      <w:r w:rsidR="00A96C20" w:rsidRPr="00A96C20">
        <w:rPr>
          <w:bCs/>
        </w:rPr>
        <w:t xml:space="preserve"> </w:t>
      </w:r>
      <w:proofErr w:type="spellStart"/>
      <w:r w:rsidR="00A96C20" w:rsidRPr="00A96C20">
        <w:rPr>
          <w:bCs/>
        </w:rPr>
        <w:t>cyanogens</w:t>
      </w:r>
      <w:proofErr w:type="spellEnd"/>
      <w:r w:rsidR="00A96C20" w:rsidRPr="00A96C20">
        <w:rPr>
          <w:bCs/>
        </w:rPr>
        <w:t xml:space="preserve"> inflict neural injury only when dietary SAA are scarce. This </w:t>
      </w:r>
      <w:r>
        <w:rPr>
          <w:bCs/>
        </w:rPr>
        <w:t xml:space="preserve">study highlights </w:t>
      </w:r>
      <w:r w:rsidR="00A96C20" w:rsidRPr="00A96C20">
        <w:rPr>
          <w:bCs/>
        </w:rPr>
        <w:t xml:space="preserve">the potential of simple dietary interventions in mitigating </w:t>
      </w:r>
      <w:r w:rsidR="00DC129B">
        <w:rPr>
          <w:bCs/>
        </w:rPr>
        <w:t>Cassava</w:t>
      </w:r>
      <w:r w:rsidR="00A96C20" w:rsidRPr="00A96C20">
        <w:rPr>
          <w:bCs/>
        </w:rPr>
        <w:t xml:space="preserve"> neurotoxicity.</w:t>
      </w:r>
    </w:p>
    <w:p w14:paraId="5F803C0B" w14:textId="77777777" w:rsidR="00AF184E" w:rsidRPr="00A96C20" w:rsidRDefault="00AF184E" w:rsidP="000E36D8">
      <w:pPr>
        <w:pStyle w:val="BodyText"/>
        <w:spacing w:line="480" w:lineRule="auto"/>
        <w:jc w:val="both"/>
        <w:rPr>
          <w:bCs/>
        </w:rPr>
      </w:pPr>
    </w:p>
    <w:p w14:paraId="3BF4CB38" w14:textId="77777777" w:rsidR="00240C10" w:rsidRPr="00D27D82" w:rsidRDefault="00240C10" w:rsidP="00240C10">
      <w:pPr>
        <w:pStyle w:val="BodyText"/>
        <w:spacing w:line="480" w:lineRule="auto"/>
        <w:jc w:val="both"/>
        <w:rPr>
          <w:b/>
          <w:bCs/>
        </w:rPr>
      </w:pPr>
      <w:r w:rsidRPr="00D27D82">
        <w:rPr>
          <w:b/>
          <w:bCs/>
        </w:rPr>
        <w:t>DISCLAIMER (ARTIFICIAL INTELLIGENCE)</w:t>
      </w:r>
    </w:p>
    <w:p w14:paraId="3924F5FE" w14:textId="77777777" w:rsidR="00240C10" w:rsidRDefault="00240C10" w:rsidP="00240C10">
      <w:pPr>
        <w:pStyle w:val="BodyText"/>
        <w:spacing w:after="240" w:line="480" w:lineRule="auto"/>
        <w:jc w:val="both"/>
      </w:pPr>
      <w:r w:rsidRPr="006B784B">
        <w:t>Author</w:t>
      </w:r>
      <w:r>
        <w:t xml:space="preserve"> </w:t>
      </w:r>
      <w:r w:rsidRPr="006B784B">
        <w:t>hereby</w:t>
      </w:r>
      <w:r>
        <w:t xml:space="preserve"> </w:t>
      </w:r>
      <w:r w:rsidRPr="006B784B">
        <w:t>declares</w:t>
      </w:r>
      <w:r>
        <w:t xml:space="preserve"> </w:t>
      </w:r>
      <w:r w:rsidRPr="006B784B">
        <w:t>that</w:t>
      </w:r>
      <w:r>
        <w:t xml:space="preserve"> </w:t>
      </w:r>
      <w:r w:rsidRPr="006B784B">
        <w:t>NO</w:t>
      </w:r>
      <w:r>
        <w:t xml:space="preserve"> </w:t>
      </w:r>
      <w:r w:rsidRPr="006B784B">
        <w:t>generative</w:t>
      </w:r>
      <w:r>
        <w:t xml:space="preserve"> </w:t>
      </w:r>
      <w:r w:rsidRPr="006B784B">
        <w:t>AI</w:t>
      </w:r>
      <w:r>
        <w:t xml:space="preserve"> </w:t>
      </w:r>
      <w:r w:rsidRPr="006B784B">
        <w:t xml:space="preserve">technologies such as Large Language Models (ChatGPT, COPILOT, etc.) and text-to-image generators have been used during the writing or editing of this manuscript. </w:t>
      </w:r>
    </w:p>
    <w:p w14:paraId="0390B38C" w14:textId="77777777" w:rsidR="00AF184E" w:rsidRDefault="00AF184E" w:rsidP="00240C10">
      <w:pPr>
        <w:pStyle w:val="BodyText"/>
        <w:spacing w:after="240" w:line="480" w:lineRule="auto"/>
        <w:jc w:val="both"/>
      </w:pPr>
    </w:p>
    <w:p w14:paraId="64D6FBBC" w14:textId="77777777" w:rsidR="000E36D8" w:rsidRPr="000E36D8" w:rsidRDefault="000E36D8" w:rsidP="000E36D8">
      <w:pPr>
        <w:pStyle w:val="BodyText"/>
        <w:spacing w:line="480" w:lineRule="auto"/>
        <w:jc w:val="both"/>
      </w:pPr>
      <w:r w:rsidRPr="00803640">
        <w:rPr>
          <w:b/>
        </w:rPr>
        <w:lastRenderedPageBreak/>
        <w:t>REFERENCES</w:t>
      </w:r>
    </w:p>
    <w:p w14:paraId="101CACFE" w14:textId="15B51EDC" w:rsidR="00AF184E" w:rsidRPr="00AF184E" w:rsidRDefault="00AF184E" w:rsidP="00AF184E">
      <w:pPr>
        <w:spacing w:line="360" w:lineRule="auto"/>
        <w:ind w:left="567" w:hanging="567"/>
        <w:jc w:val="both"/>
        <w:rPr>
          <w:sz w:val="24"/>
          <w:szCs w:val="24"/>
        </w:rPr>
      </w:pPr>
      <w:r w:rsidRPr="00AF184E">
        <w:rPr>
          <w:sz w:val="24"/>
          <w:szCs w:val="24"/>
        </w:rPr>
        <w:t xml:space="preserve">Amadi, H., David, L. K., &amp; </w:t>
      </w:r>
      <w:proofErr w:type="spellStart"/>
      <w:r w:rsidRPr="00AF184E">
        <w:rPr>
          <w:sz w:val="24"/>
          <w:szCs w:val="24"/>
        </w:rPr>
        <w:t>Oghenemavwe</w:t>
      </w:r>
      <w:proofErr w:type="spellEnd"/>
      <w:r w:rsidRPr="00AF184E">
        <w:rPr>
          <w:sz w:val="24"/>
          <w:szCs w:val="24"/>
        </w:rPr>
        <w:t xml:space="preserve">, L. E. (2022). Compensatory mechanism of diet containing </w:t>
      </w:r>
      <w:proofErr w:type="spellStart"/>
      <w:r w:rsidRPr="00AF184E">
        <w:rPr>
          <w:sz w:val="24"/>
          <w:szCs w:val="24"/>
        </w:rPr>
        <w:t>sulphur</w:t>
      </w:r>
      <w:proofErr w:type="spellEnd"/>
      <w:r w:rsidRPr="00AF184E">
        <w:rPr>
          <w:sz w:val="24"/>
          <w:szCs w:val="24"/>
        </w:rPr>
        <w:t xml:space="preserve">-rich amino acids in restoring </w:t>
      </w:r>
      <w:proofErr w:type="spellStart"/>
      <w:r w:rsidRPr="00AF184E">
        <w:rPr>
          <w:sz w:val="24"/>
          <w:szCs w:val="24"/>
        </w:rPr>
        <w:t>neurotoxico</w:t>
      </w:r>
      <w:proofErr w:type="spellEnd"/>
      <w:r w:rsidRPr="00AF184E">
        <w:rPr>
          <w:sz w:val="24"/>
          <w:szCs w:val="24"/>
        </w:rPr>
        <w:t xml:space="preserve">-nutritional deficits in Konzo disease rat model. International Neuropsychiatric Disease Journal, 17(2), 22–31. </w:t>
      </w:r>
      <w:hyperlink r:id="rId17" w:history="1">
        <w:r w:rsidRPr="00F94E69">
          <w:rPr>
            <w:rStyle w:val="Hyperlink"/>
            <w:sz w:val="24"/>
            <w:szCs w:val="24"/>
          </w:rPr>
          <w:t>https://doi.org/10.9734/indj/2022/v17i230197</w:t>
        </w:r>
      </w:hyperlink>
      <w:r>
        <w:rPr>
          <w:sz w:val="24"/>
          <w:szCs w:val="24"/>
        </w:rPr>
        <w:t xml:space="preserve"> </w:t>
      </w:r>
    </w:p>
    <w:p w14:paraId="3725496A" w14:textId="3558252E" w:rsidR="00AF184E" w:rsidRPr="00AF184E" w:rsidRDefault="00AF184E" w:rsidP="00AF184E">
      <w:pPr>
        <w:spacing w:line="360" w:lineRule="auto"/>
        <w:ind w:left="567" w:hanging="567"/>
        <w:jc w:val="both"/>
        <w:rPr>
          <w:sz w:val="24"/>
          <w:szCs w:val="24"/>
        </w:rPr>
      </w:pPr>
      <w:r w:rsidRPr="00AF184E">
        <w:rPr>
          <w:sz w:val="24"/>
          <w:szCs w:val="24"/>
        </w:rPr>
        <w:t xml:space="preserve">Baguma, M., Kessels, S., Bito, V., Brône, B., Triller, A., Maynard, S., Legendre, P., Rigo, J. M., Le </w:t>
      </w:r>
      <w:proofErr w:type="spellStart"/>
      <w:r w:rsidRPr="00AF184E">
        <w:rPr>
          <w:sz w:val="24"/>
          <w:szCs w:val="24"/>
        </w:rPr>
        <w:t>Corronc</w:t>
      </w:r>
      <w:proofErr w:type="spellEnd"/>
      <w:r w:rsidRPr="00AF184E">
        <w:rPr>
          <w:sz w:val="24"/>
          <w:szCs w:val="24"/>
        </w:rPr>
        <w:t xml:space="preserve">, H., &amp; </w:t>
      </w:r>
      <w:proofErr w:type="spellStart"/>
      <w:r w:rsidRPr="00AF184E">
        <w:rPr>
          <w:sz w:val="24"/>
          <w:szCs w:val="24"/>
        </w:rPr>
        <w:t>Chabwine</w:t>
      </w:r>
      <w:proofErr w:type="spellEnd"/>
      <w:r w:rsidRPr="00AF184E">
        <w:rPr>
          <w:sz w:val="24"/>
          <w:szCs w:val="24"/>
        </w:rPr>
        <w:t xml:space="preserve">, J. N. (2024). New insight into the molecular etiopathogenesis of konzo: Cyanate could be a plausible neurotoxin contributing to konzo, contrary to thiocyanate. Neurotoxicology, 105, 323–333. </w:t>
      </w:r>
      <w:hyperlink r:id="rId18" w:history="1">
        <w:r w:rsidR="00D82C23" w:rsidRPr="00F94E69">
          <w:rPr>
            <w:rStyle w:val="Hyperlink"/>
            <w:sz w:val="24"/>
            <w:szCs w:val="24"/>
          </w:rPr>
          <w:t>https://doi.org/10.1016/j.neuro.2024.11.004</w:t>
        </w:r>
      </w:hyperlink>
      <w:r w:rsidR="00D82C23">
        <w:rPr>
          <w:sz w:val="24"/>
          <w:szCs w:val="24"/>
        </w:rPr>
        <w:t xml:space="preserve"> </w:t>
      </w:r>
    </w:p>
    <w:p w14:paraId="2C7E49BE" w14:textId="5215D8CD" w:rsidR="00AF184E" w:rsidRPr="00AF184E" w:rsidRDefault="00AF184E" w:rsidP="00AF184E">
      <w:pPr>
        <w:spacing w:line="360" w:lineRule="auto"/>
        <w:ind w:left="567" w:hanging="567"/>
        <w:jc w:val="both"/>
        <w:rPr>
          <w:sz w:val="24"/>
          <w:szCs w:val="24"/>
        </w:rPr>
      </w:pPr>
      <w:r w:rsidRPr="00AF184E">
        <w:rPr>
          <w:sz w:val="24"/>
          <w:szCs w:val="24"/>
        </w:rPr>
        <w:t xml:space="preserve">Baguma, M., Nzabara, F., </w:t>
      </w:r>
      <w:proofErr w:type="spellStart"/>
      <w:r w:rsidRPr="00AF184E">
        <w:rPr>
          <w:sz w:val="24"/>
          <w:szCs w:val="24"/>
        </w:rPr>
        <w:t>Maheshe</w:t>
      </w:r>
      <w:proofErr w:type="spellEnd"/>
      <w:r w:rsidRPr="00AF184E">
        <w:rPr>
          <w:sz w:val="24"/>
          <w:szCs w:val="24"/>
        </w:rPr>
        <w:t xml:space="preserve"> Balemba, G., </w:t>
      </w:r>
      <w:proofErr w:type="spellStart"/>
      <w:r w:rsidRPr="00AF184E">
        <w:rPr>
          <w:sz w:val="24"/>
          <w:szCs w:val="24"/>
        </w:rPr>
        <w:t>Malembaka</w:t>
      </w:r>
      <w:proofErr w:type="spellEnd"/>
      <w:r w:rsidRPr="00AF184E">
        <w:rPr>
          <w:sz w:val="24"/>
          <w:szCs w:val="24"/>
        </w:rPr>
        <w:t xml:space="preserve">, E. B., </w:t>
      </w:r>
      <w:proofErr w:type="spellStart"/>
      <w:r w:rsidRPr="00AF184E">
        <w:rPr>
          <w:sz w:val="24"/>
          <w:szCs w:val="24"/>
        </w:rPr>
        <w:t>Migabo</w:t>
      </w:r>
      <w:proofErr w:type="spellEnd"/>
      <w:r w:rsidRPr="00AF184E">
        <w:rPr>
          <w:sz w:val="24"/>
          <w:szCs w:val="24"/>
        </w:rPr>
        <w:t xml:space="preserve">, C., </w:t>
      </w:r>
      <w:proofErr w:type="spellStart"/>
      <w:r w:rsidRPr="00AF184E">
        <w:rPr>
          <w:sz w:val="24"/>
          <w:szCs w:val="24"/>
        </w:rPr>
        <w:t>Mudumbi</w:t>
      </w:r>
      <w:proofErr w:type="spellEnd"/>
      <w:r w:rsidRPr="00AF184E">
        <w:rPr>
          <w:sz w:val="24"/>
          <w:szCs w:val="24"/>
        </w:rPr>
        <w:t xml:space="preserve">, G., Bito, V., Cliff, J., Rigo, J. M., &amp; </w:t>
      </w:r>
      <w:proofErr w:type="spellStart"/>
      <w:r w:rsidRPr="00AF184E">
        <w:rPr>
          <w:sz w:val="24"/>
          <w:szCs w:val="24"/>
        </w:rPr>
        <w:t>Chabwine</w:t>
      </w:r>
      <w:proofErr w:type="spellEnd"/>
      <w:r w:rsidRPr="00AF184E">
        <w:rPr>
          <w:sz w:val="24"/>
          <w:szCs w:val="24"/>
        </w:rPr>
        <w:t xml:space="preserve">, J. N. (2021). Konzo risk factors, determinants and etiopathogenesis: What is new? A systematic review. Neurotoxicology, 85, 54–67. </w:t>
      </w:r>
      <w:hyperlink r:id="rId19" w:history="1">
        <w:r w:rsidR="00D82C23" w:rsidRPr="00F94E69">
          <w:rPr>
            <w:rStyle w:val="Hyperlink"/>
            <w:sz w:val="24"/>
            <w:szCs w:val="24"/>
          </w:rPr>
          <w:t>https://doi.org/10.1016/j.neuro.2021.05.001</w:t>
        </w:r>
      </w:hyperlink>
      <w:r w:rsidR="00D82C23">
        <w:rPr>
          <w:sz w:val="24"/>
          <w:szCs w:val="24"/>
        </w:rPr>
        <w:t xml:space="preserve"> </w:t>
      </w:r>
    </w:p>
    <w:p w14:paraId="3869E482" w14:textId="6409D351" w:rsidR="00AF184E" w:rsidRPr="00AF184E" w:rsidRDefault="00AF184E" w:rsidP="00AF184E">
      <w:pPr>
        <w:spacing w:line="360" w:lineRule="auto"/>
        <w:ind w:left="567" w:hanging="567"/>
        <w:jc w:val="both"/>
        <w:rPr>
          <w:sz w:val="24"/>
          <w:szCs w:val="24"/>
        </w:rPr>
      </w:pPr>
      <w:r w:rsidRPr="00AF184E">
        <w:rPr>
          <w:sz w:val="24"/>
          <w:szCs w:val="24"/>
        </w:rPr>
        <w:t xml:space="preserve">C., Brubaker, G. R., &amp; Rosling, H. (1993). Konzo: a distinct disease entity with selective upper motor neuron damage. Journal of neurology, neurosurgery, and psychiatry, 56(6), 638–643. </w:t>
      </w:r>
      <w:hyperlink r:id="rId20" w:history="1">
        <w:r w:rsidR="00D82C23" w:rsidRPr="00F94E69">
          <w:rPr>
            <w:rStyle w:val="Hyperlink"/>
            <w:sz w:val="24"/>
            <w:szCs w:val="24"/>
          </w:rPr>
          <w:t>https://doi.org/10.1136/jnnp.56.6.638</w:t>
        </w:r>
      </w:hyperlink>
      <w:r w:rsidR="00D82C23">
        <w:rPr>
          <w:sz w:val="24"/>
          <w:szCs w:val="24"/>
        </w:rPr>
        <w:t xml:space="preserve"> </w:t>
      </w:r>
    </w:p>
    <w:p w14:paraId="5170210C" w14:textId="6E557243" w:rsidR="00AF184E" w:rsidRPr="00AF184E" w:rsidRDefault="00AF184E" w:rsidP="00AF184E">
      <w:pPr>
        <w:spacing w:line="360" w:lineRule="auto"/>
        <w:ind w:left="567" w:hanging="567"/>
        <w:jc w:val="both"/>
        <w:rPr>
          <w:sz w:val="24"/>
          <w:szCs w:val="24"/>
        </w:rPr>
      </w:pPr>
      <w:r w:rsidRPr="00AF184E">
        <w:rPr>
          <w:sz w:val="24"/>
          <w:szCs w:val="24"/>
        </w:rPr>
        <w:t xml:space="preserve">David, L. K., </w:t>
      </w:r>
      <w:proofErr w:type="spellStart"/>
      <w:r w:rsidRPr="00AF184E">
        <w:rPr>
          <w:sz w:val="24"/>
          <w:szCs w:val="24"/>
        </w:rPr>
        <w:t>Idung</w:t>
      </w:r>
      <w:proofErr w:type="spellEnd"/>
      <w:r w:rsidRPr="00AF184E">
        <w:rPr>
          <w:sz w:val="24"/>
          <w:szCs w:val="24"/>
        </w:rPr>
        <w:t xml:space="preserve">, V. H., &amp; Uahomo, P. O. (2022). Neurobehavioral and ameliorative effect of </w:t>
      </w:r>
      <w:proofErr w:type="spellStart"/>
      <w:r w:rsidRPr="00AF184E">
        <w:rPr>
          <w:sz w:val="24"/>
          <w:szCs w:val="24"/>
        </w:rPr>
        <w:t>Complan</w:t>
      </w:r>
      <w:proofErr w:type="spellEnd"/>
      <w:r w:rsidRPr="00AF184E">
        <w:rPr>
          <w:sz w:val="24"/>
          <w:szCs w:val="24"/>
        </w:rPr>
        <w:t xml:space="preserve"> milk and Bambara nut on rats fed with </w:t>
      </w:r>
      <w:r w:rsidR="00DC129B">
        <w:rPr>
          <w:sz w:val="24"/>
          <w:szCs w:val="24"/>
        </w:rPr>
        <w:t>Bitter</w:t>
      </w:r>
      <w:r w:rsidRPr="00AF184E">
        <w:rPr>
          <w:sz w:val="24"/>
          <w:szCs w:val="24"/>
        </w:rPr>
        <w:t xml:space="preserve"> </w:t>
      </w:r>
      <w:r w:rsidR="00DC129B">
        <w:rPr>
          <w:sz w:val="24"/>
          <w:szCs w:val="24"/>
        </w:rPr>
        <w:t>Cassava</w:t>
      </w:r>
      <w:r w:rsidRPr="00AF184E">
        <w:rPr>
          <w:sz w:val="24"/>
          <w:szCs w:val="24"/>
        </w:rPr>
        <w:t xml:space="preserve"> – A nutritional approach. International Neuropsychiatric Disease Journal, 17(1), 7–17. </w:t>
      </w:r>
      <w:hyperlink r:id="rId21" w:history="1">
        <w:r w:rsidR="00D82C23" w:rsidRPr="00F94E69">
          <w:rPr>
            <w:rStyle w:val="Hyperlink"/>
            <w:sz w:val="24"/>
            <w:szCs w:val="24"/>
          </w:rPr>
          <w:t>https://doi.org/10.9734/indj/2022/v17i130190</w:t>
        </w:r>
      </w:hyperlink>
      <w:r w:rsidR="00D82C23">
        <w:rPr>
          <w:sz w:val="24"/>
          <w:szCs w:val="24"/>
        </w:rPr>
        <w:t xml:space="preserve"> </w:t>
      </w:r>
    </w:p>
    <w:p w14:paraId="55B0B0AF" w14:textId="3101EFCC" w:rsidR="00AF184E" w:rsidRPr="00AF184E" w:rsidRDefault="00AF184E" w:rsidP="00AF184E">
      <w:pPr>
        <w:spacing w:line="360" w:lineRule="auto"/>
        <w:ind w:left="567" w:hanging="567"/>
        <w:jc w:val="both"/>
        <w:rPr>
          <w:sz w:val="24"/>
          <w:szCs w:val="24"/>
        </w:rPr>
      </w:pPr>
      <w:r w:rsidRPr="00AF184E">
        <w:rPr>
          <w:sz w:val="24"/>
          <w:szCs w:val="24"/>
        </w:rPr>
        <w:t xml:space="preserve">David, L. K., Uahomo, P. O., </w:t>
      </w:r>
      <w:proofErr w:type="spellStart"/>
      <w:r w:rsidRPr="00AF184E">
        <w:rPr>
          <w:sz w:val="24"/>
          <w:szCs w:val="24"/>
        </w:rPr>
        <w:t>Idung</w:t>
      </w:r>
      <w:proofErr w:type="spellEnd"/>
      <w:r w:rsidRPr="00AF184E">
        <w:rPr>
          <w:sz w:val="24"/>
          <w:szCs w:val="24"/>
        </w:rPr>
        <w:t xml:space="preserve">, V. H., &amp; </w:t>
      </w:r>
      <w:proofErr w:type="spellStart"/>
      <w:r w:rsidRPr="00AF184E">
        <w:rPr>
          <w:sz w:val="24"/>
          <w:szCs w:val="24"/>
        </w:rPr>
        <w:t>Dakoru</w:t>
      </w:r>
      <w:proofErr w:type="spellEnd"/>
      <w:r w:rsidRPr="00AF184E">
        <w:rPr>
          <w:sz w:val="24"/>
          <w:szCs w:val="24"/>
        </w:rPr>
        <w:t xml:space="preserve">, R. D. (2023). Assessment of sensorimotor </w:t>
      </w:r>
      <w:proofErr w:type="spellStart"/>
      <w:r w:rsidRPr="00AF184E">
        <w:rPr>
          <w:sz w:val="24"/>
          <w:szCs w:val="24"/>
        </w:rPr>
        <w:t>behaviour</w:t>
      </w:r>
      <w:proofErr w:type="spellEnd"/>
      <w:r w:rsidRPr="00AF184E">
        <w:rPr>
          <w:sz w:val="24"/>
          <w:szCs w:val="24"/>
        </w:rPr>
        <w:t xml:space="preserve"> in Konzo-induced rats using the Irvine, Beattie, Bresnahan forelimb scale. Biology, Medicine and Natural Product Chemistry, 12(2), 431–435. </w:t>
      </w:r>
      <w:hyperlink r:id="rId22" w:history="1">
        <w:r w:rsidR="00D82C23" w:rsidRPr="00F94E69">
          <w:rPr>
            <w:rStyle w:val="Hyperlink"/>
            <w:sz w:val="24"/>
            <w:szCs w:val="24"/>
          </w:rPr>
          <w:t>https://doi.org/10.14421/biomedich.2023.122.431-435</w:t>
        </w:r>
      </w:hyperlink>
      <w:r w:rsidR="00D82C23">
        <w:rPr>
          <w:sz w:val="24"/>
          <w:szCs w:val="24"/>
        </w:rPr>
        <w:t xml:space="preserve"> </w:t>
      </w:r>
    </w:p>
    <w:p w14:paraId="767715EB" w14:textId="1FB6076B" w:rsidR="00AF184E" w:rsidRPr="00AF184E" w:rsidRDefault="00AF184E" w:rsidP="00AF184E">
      <w:pPr>
        <w:spacing w:line="360" w:lineRule="auto"/>
        <w:ind w:left="567" w:hanging="567"/>
        <w:jc w:val="both"/>
        <w:rPr>
          <w:sz w:val="24"/>
          <w:szCs w:val="24"/>
        </w:rPr>
      </w:pPr>
      <w:proofErr w:type="spellStart"/>
      <w:r w:rsidRPr="00AF184E">
        <w:rPr>
          <w:sz w:val="24"/>
          <w:szCs w:val="24"/>
        </w:rPr>
        <w:t>Enefa</w:t>
      </w:r>
      <w:proofErr w:type="spellEnd"/>
      <w:r w:rsidRPr="00AF184E">
        <w:rPr>
          <w:sz w:val="24"/>
          <w:szCs w:val="24"/>
        </w:rPr>
        <w:t xml:space="preserve">, S., </w:t>
      </w:r>
      <w:proofErr w:type="spellStart"/>
      <w:r w:rsidRPr="00AF184E">
        <w:rPr>
          <w:sz w:val="24"/>
          <w:szCs w:val="24"/>
        </w:rPr>
        <w:t>Chikwuogwo</w:t>
      </w:r>
      <w:proofErr w:type="spellEnd"/>
      <w:r w:rsidRPr="00AF184E">
        <w:rPr>
          <w:sz w:val="24"/>
          <w:szCs w:val="24"/>
        </w:rPr>
        <w:t xml:space="preserve">, W. P., &amp; David, L. K. (2020). Model of Konzo disease: Reviewing the effect of </w:t>
      </w:r>
      <w:r w:rsidR="00DC129B">
        <w:rPr>
          <w:sz w:val="24"/>
          <w:szCs w:val="24"/>
        </w:rPr>
        <w:t>Bitter</w:t>
      </w:r>
      <w:r w:rsidRPr="00AF184E">
        <w:rPr>
          <w:sz w:val="24"/>
          <w:szCs w:val="24"/>
        </w:rPr>
        <w:t xml:space="preserve"> </w:t>
      </w:r>
      <w:r w:rsidR="00DC129B">
        <w:rPr>
          <w:sz w:val="24"/>
          <w:szCs w:val="24"/>
        </w:rPr>
        <w:t>Cassava</w:t>
      </w:r>
      <w:r w:rsidRPr="00AF184E">
        <w:rPr>
          <w:sz w:val="24"/>
          <w:szCs w:val="24"/>
        </w:rPr>
        <w:t xml:space="preserve"> neurotoxicity on the motor neurons of </w:t>
      </w:r>
      <w:r w:rsidR="00DC129B">
        <w:rPr>
          <w:sz w:val="24"/>
          <w:szCs w:val="24"/>
        </w:rPr>
        <w:t>Cassava</w:t>
      </w:r>
      <w:r w:rsidRPr="00AF184E">
        <w:rPr>
          <w:sz w:val="24"/>
          <w:szCs w:val="24"/>
        </w:rPr>
        <w:t>-induced Konzo disease in Wistar rats. Saudi Journal of Medicine, 5(11), 336–348</w:t>
      </w:r>
      <w:r w:rsidR="00D82C23">
        <w:rPr>
          <w:sz w:val="24"/>
          <w:szCs w:val="24"/>
        </w:rPr>
        <w:t xml:space="preserve"> </w:t>
      </w:r>
    </w:p>
    <w:p w14:paraId="5190CB3C" w14:textId="05CAC2C0" w:rsidR="00AF184E" w:rsidRDefault="00AF184E" w:rsidP="00AF184E">
      <w:pPr>
        <w:spacing w:line="360" w:lineRule="auto"/>
        <w:ind w:left="567" w:hanging="567"/>
        <w:jc w:val="both"/>
        <w:rPr>
          <w:sz w:val="24"/>
          <w:szCs w:val="24"/>
        </w:rPr>
      </w:pPr>
      <w:bookmarkStart w:id="1" w:name="_Hlk209377631"/>
      <w:bookmarkStart w:id="2" w:name="_Hlk209370239"/>
      <w:r w:rsidRPr="00AF184E">
        <w:rPr>
          <w:sz w:val="24"/>
          <w:szCs w:val="24"/>
        </w:rPr>
        <w:t>Kashala-</w:t>
      </w:r>
      <w:proofErr w:type="spellStart"/>
      <w:r w:rsidRPr="00AF184E">
        <w:rPr>
          <w:sz w:val="24"/>
          <w:szCs w:val="24"/>
        </w:rPr>
        <w:t>Abotnes</w:t>
      </w:r>
      <w:bookmarkEnd w:id="1"/>
      <w:proofErr w:type="spellEnd"/>
      <w:r w:rsidRPr="00AF184E">
        <w:rPr>
          <w:sz w:val="24"/>
          <w:szCs w:val="24"/>
        </w:rPr>
        <w:t xml:space="preserve">, E., </w:t>
      </w:r>
      <w:proofErr w:type="spellStart"/>
      <w:r w:rsidRPr="00AF184E">
        <w:rPr>
          <w:sz w:val="24"/>
          <w:szCs w:val="24"/>
        </w:rPr>
        <w:t>Okitundu</w:t>
      </w:r>
      <w:proofErr w:type="spellEnd"/>
      <w:r w:rsidRPr="00AF184E">
        <w:rPr>
          <w:sz w:val="24"/>
          <w:szCs w:val="24"/>
        </w:rPr>
        <w:t xml:space="preserve">, D., Mumba, D., Boivin, M. J., </w:t>
      </w:r>
      <w:proofErr w:type="spellStart"/>
      <w:r w:rsidRPr="00AF184E">
        <w:rPr>
          <w:sz w:val="24"/>
          <w:szCs w:val="24"/>
        </w:rPr>
        <w:t>Tylleskär</w:t>
      </w:r>
      <w:proofErr w:type="spellEnd"/>
      <w:r w:rsidRPr="00AF184E">
        <w:rPr>
          <w:sz w:val="24"/>
          <w:szCs w:val="24"/>
        </w:rPr>
        <w:t>, T., &amp; Tshala-</w:t>
      </w:r>
      <w:proofErr w:type="spellStart"/>
      <w:r w:rsidRPr="00AF184E">
        <w:rPr>
          <w:sz w:val="24"/>
          <w:szCs w:val="24"/>
        </w:rPr>
        <w:t>Katumbay</w:t>
      </w:r>
      <w:proofErr w:type="spellEnd"/>
      <w:r w:rsidRPr="00AF184E">
        <w:rPr>
          <w:sz w:val="24"/>
          <w:szCs w:val="24"/>
        </w:rPr>
        <w:t>, D. (2019). Konzo: a distinct neurological disease associated with food (</w:t>
      </w:r>
      <w:r w:rsidR="00DC129B">
        <w:rPr>
          <w:sz w:val="24"/>
          <w:szCs w:val="24"/>
        </w:rPr>
        <w:t>Cassava</w:t>
      </w:r>
      <w:r w:rsidRPr="00AF184E">
        <w:rPr>
          <w:sz w:val="24"/>
          <w:szCs w:val="24"/>
        </w:rPr>
        <w:t>) cyanogenic poisoning. </w:t>
      </w:r>
      <w:r w:rsidRPr="00AF184E">
        <w:rPr>
          <w:i/>
          <w:iCs/>
          <w:sz w:val="24"/>
          <w:szCs w:val="24"/>
        </w:rPr>
        <w:t>Brain research bulletin</w:t>
      </w:r>
      <w:r w:rsidRPr="00AF184E">
        <w:rPr>
          <w:sz w:val="24"/>
          <w:szCs w:val="24"/>
        </w:rPr>
        <w:t>, </w:t>
      </w:r>
      <w:r w:rsidRPr="00AF184E">
        <w:rPr>
          <w:i/>
          <w:iCs/>
          <w:sz w:val="24"/>
          <w:szCs w:val="24"/>
        </w:rPr>
        <w:t>145</w:t>
      </w:r>
      <w:r w:rsidRPr="00AF184E">
        <w:rPr>
          <w:sz w:val="24"/>
          <w:szCs w:val="24"/>
        </w:rPr>
        <w:t xml:space="preserve">, 87–91. </w:t>
      </w:r>
      <w:hyperlink r:id="rId23" w:history="1">
        <w:r w:rsidRPr="00AF184E">
          <w:rPr>
            <w:rStyle w:val="Hyperlink"/>
            <w:sz w:val="24"/>
            <w:szCs w:val="24"/>
          </w:rPr>
          <w:t>https://doi.org/10.1016/j.brainresbull.2018.07.001</w:t>
        </w:r>
      </w:hyperlink>
      <w:bookmarkEnd w:id="2"/>
    </w:p>
    <w:p w14:paraId="3AD1A82B" w14:textId="2D423551" w:rsidR="00AF184E" w:rsidRPr="00AF184E" w:rsidRDefault="00AF184E" w:rsidP="00AF184E">
      <w:pPr>
        <w:spacing w:line="360" w:lineRule="auto"/>
        <w:ind w:left="567" w:hanging="567"/>
        <w:jc w:val="both"/>
        <w:rPr>
          <w:sz w:val="24"/>
          <w:szCs w:val="24"/>
        </w:rPr>
      </w:pPr>
      <w:proofErr w:type="spellStart"/>
      <w:r w:rsidRPr="00AF184E">
        <w:rPr>
          <w:sz w:val="24"/>
          <w:szCs w:val="24"/>
        </w:rPr>
        <w:lastRenderedPageBreak/>
        <w:t>Mohidin</w:t>
      </w:r>
      <w:proofErr w:type="spellEnd"/>
      <w:r w:rsidRPr="00AF184E">
        <w:rPr>
          <w:sz w:val="24"/>
          <w:szCs w:val="24"/>
        </w:rPr>
        <w:t xml:space="preserve">, S. R. N. S. P., </w:t>
      </w:r>
      <w:proofErr w:type="spellStart"/>
      <w:r w:rsidRPr="00AF184E">
        <w:rPr>
          <w:sz w:val="24"/>
          <w:szCs w:val="24"/>
        </w:rPr>
        <w:t>Moshawih</w:t>
      </w:r>
      <w:proofErr w:type="spellEnd"/>
      <w:r w:rsidRPr="00AF184E">
        <w:rPr>
          <w:sz w:val="24"/>
          <w:szCs w:val="24"/>
        </w:rPr>
        <w:t xml:space="preserve">, S., Hermansyah, A., </w:t>
      </w:r>
      <w:proofErr w:type="spellStart"/>
      <w:r w:rsidRPr="00AF184E">
        <w:rPr>
          <w:sz w:val="24"/>
          <w:szCs w:val="24"/>
        </w:rPr>
        <w:t>Asmuni</w:t>
      </w:r>
      <w:proofErr w:type="spellEnd"/>
      <w:r w:rsidRPr="00AF184E">
        <w:rPr>
          <w:sz w:val="24"/>
          <w:szCs w:val="24"/>
        </w:rPr>
        <w:t xml:space="preserve">, M. I., Shafqat, N., &amp; Ming, L. C. (2023). </w:t>
      </w:r>
      <w:r w:rsidR="00DC129B">
        <w:rPr>
          <w:sz w:val="24"/>
          <w:szCs w:val="24"/>
        </w:rPr>
        <w:t>Cassava</w:t>
      </w:r>
      <w:r w:rsidRPr="00AF184E">
        <w:rPr>
          <w:sz w:val="24"/>
          <w:szCs w:val="24"/>
        </w:rPr>
        <w:t xml:space="preserve"> (Manihot esculenta Crantz): A Systematic Review for the Pharmacological Activities, Traditional Uses, Nutritional Values, and Phytochemistry. Journal of evidence-based integrative medicine, 28, 2515690X231206227. </w:t>
      </w:r>
      <w:hyperlink r:id="rId24" w:history="1">
        <w:r w:rsidR="00D82C23" w:rsidRPr="00F94E69">
          <w:rPr>
            <w:rStyle w:val="Hyperlink"/>
            <w:sz w:val="24"/>
            <w:szCs w:val="24"/>
          </w:rPr>
          <w:t>https://doi.org/10.1177/2515690X231206227</w:t>
        </w:r>
      </w:hyperlink>
      <w:r w:rsidR="00D82C23">
        <w:rPr>
          <w:sz w:val="24"/>
          <w:szCs w:val="24"/>
        </w:rPr>
        <w:t xml:space="preserve"> </w:t>
      </w:r>
    </w:p>
    <w:p w14:paraId="182D5EA1" w14:textId="1BCD3FC9" w:rsidR="00AF184E" w:rsidRPr="00493B7D" w:rsidRDefault="00AF184E" w:rsidP="00AF184E">
      <w:pPr>
        <w:spacing w:line="360" w:lineRule="auto"/>
        <w:ind w:left="567" w:hanging="567"/>
        <w:jc w:val="both"/>
        <w:rPr>
          <w:sz w:val="24"/>
          <w:szCs w:val="24"/>
          <w:lang w:val="nl-BE"/>
        </w:rPr>
      </w:pPr>
      <w:r w:rsidRPr="00AF184E">
        <w:rPr>
          <w:sz w:val="24"/>
          <w:szCs w:val="24"/>
        </w:rPr>
        <w:t xml:space="preserve">Newton C. R. (2017). </w:t>
      </w:r>
      <w:r w:rsidR="00DC129B">
        <w:rPr>
          <w:sz w:val="24"/>
          <w:szCs w:val="24"/>
        </w:rPr>
        <w:t>Cassava</w:t>
      </w:r>
      <w:r w:rsidRPr="00AF184E">
        <w:rPr>
          <w:sz w:val="24"/>
          <w:szCs w:val="24"/>
        </w:rPr>
        <w:t xml:space="preserve">, konzo, and neurotoxicity. The Lancet. Global health, 5(9), e853–e854. </w:t>
      </w:r>
      <w:hyperlink r:id="rId25" w:history="1">
        <w:r w:rsidR="00D82C23" w:rsidRPr="00493B7D">
          <w:rPr>
            <w:rStyle w:val="Hyperlink"/>
            <w:sz w:val="24"/>
            <w:szCs w:val="24"/>
            <w:lang w:val="nl-BE"/>
          </w:rPr>
          <w:t>https://doi.org/10.1016/S2214-109X(17)30306-6</w:t>
        </w:r>
      </w:hyperlink>
      <w:r w:rsidR="00D82C23" w:rsidRPr="00493B7D">
        <w:rPr>
          <w:sz w:val="24"/>
          <w:szCs w:val="24"/>
          <w:lang w:val="nl-BE"/>
        </w:rPr>
        <w:t xml:space="preserve"> </w:t>
      </w:r>
    </w:p>
    <w:p w14:paraId="1F93F446" w14:textId="33FEDE3B" w:rsidR="00AF184E" w:rsidRPr="00AF184E" w:rsidRDefault="00AF184E" w:rsidP="00AF184E">
      <w:pPr>
        <w:spacing w:line="360" w:lineRule="auto"/>
        <w:ind w:left="567" w:hanging="567"/>
        <w:jc w:val="both"/>
        <w:rPr>
          <w:sz w:val="24"/>
          <w:szCs w:val="24"/>
        </w:rPr>
      </w:pPr>
      <w:r w:rsidRPr="00493B7D">
        <w:rPr>
          <w:sz w:val="24"/>
          <w:szCs w:val="24"/>
          <w:lang w:val="nl-BE"/>
        </w:rPr>
        <w:t xml:space="preserve">Okakpu, E. E., David, L. K., &amp; Okoseimiema, S. C. (2023). </w:t>
      </w:r>
      <w:r w:rsidRPr="00AF184E">
        <w:rPr>
          <w:sz w:val="24"/>
          <w:szCs w:val="24"/>
        </w:rPr>
        <w:t xml:space="preserve">Effects of soya beans and brown beans in degenerative changes expressed in cortical NeuN immunoreactivity in a </w:t>
      </w:r>
      <w:r w:rsidR="00DC129B">
        <w:rPr>
          <w:sz w:val="24"/>
          <w:szCs w:val="24"/>
        </w:rPr>
        <w:t>Cassava</w:t>
      </w:r>
      <w:r w:rsidRPr="00AF184E">
        <w:rPr>
          <w:sz w:val="24"/>
          <w:szCs w:val="24"/>
        </w:rPr>
        <w:t xml:space="preserve">-induced Konzo disease rat model. Scholars International Journal of Anatomy and Physiology, 6(7), 100–104. </w:t>
      </w:r>
      <w:hyperlink r:id="rId26" w:history="1">
        <w:r w:rsidR="00D82C23" w:rsidRPr="00F94E69">
          <w:rPr>
            <w:rStyle w:val="Hyperlink"/>
            <w:sz w:val="24"/>
            <w:szCs w:val="24"/>
          </w:rPr>
          <w:t>https://doi.org/10.36348/sijap.2023.v06i07.003</w:t>
        </w:r>
      </w:hyperlink>
      <w:r w:rsidR="00D82C23">
        <w:rPr>
          <w:sz w:val="24"/>
          <w:szCs w:val="24"/>
        </w:rPr>
        <w:t xml:space="preserve"> </w:t>
      </w:r>
    </w:p>
    <w:p w14:paraId="0A0ED43C" w14:textId="463B1916" w:rsidR="00AF184E" w:rsidRPr="00AF184E" w:rsidRDefault="00AF184E" w:rsidP="00AF184E">
      <w:pPr>
        <w:spacing w:line="360" w:lineRule="auto"/>
        <w:ind w:left="567" w:hanging="567"/>
        <w:jc w:val="both"/>
        <w:rPr>
          <w:sz w:val="24"/>
          <w:szCs w:val="24"/>
        </w:rPr>
      </w:pPr>
      <w:r w:rsidRPr="00493B7D">
        <w:rPr>
          <w:sz w:val="24"/>
          <w:szCs w:val="24"/>
          <w:lang w:val="nl-BE"/>
        </w:rPr>
        <w:t xml:space="preserve">Okakpu, E. E., David, L. K., Okoseimiema, S. C., &amp; Uahomo, P. O. (2024). </w:t>
      </w:r>
      <w:r w:rsidRPr="00AF184E">
        <w:rPr>
          <w:sz w:val="24"/>
          <w:szCs w:val="24"/>
        </w:rPr>
        <w:t xml:space="preserve">Nutritional approach to ameliorate demyelinating changes expressed in spinal Olig2 immunoreactivity in a Konzo disease rat model. SAR Journal of Psychiatry and Neuroscience, 5(2), 23–31. </w:t>
      </w:r>
      <w:hyperlink r:id="rId27" w:history="1">
        <w:r w:rsidR="00D82C23" w:rsidRPr="00F94E69">
          <w:rPr>
            <w:rStyle w:val="Hyperlink"/>
            <w:sz w:val="24"/>
            <w:szCs w:val="24"/>
          </w:rPr>
          <w:t>https://doi.org/10.36346/sarjpn.2024.v05i02.001</w:t>
        </w:r>
      </w:hyperlink>
      <w:r w:rsidR="00D82C23">
        <w:rPr>
          <w:sz w:val="24"/>
          <w:szCs w:val="24"/>
        </w:rPr>
        <w:t xml:space="preserve"> </w:t>
      </w:r>
    </w:p>
    <w:p w14:paraId="75F0BB1D" w14:textId="44EE3BE4" w:rsidR="00AF184E" w:rsidRPr="00AF184E" w:rsidRDefault="00AF184E" w:rsidP="00AF184E">
      <w:pPr>
        <w:spacing w:line="360" w:lineRule="auto"/>
        <w:ind w:left="567" w:hanging="567"/>
        <w:jc w:val="both"/>
        <w:rPr>
          <w:sz w:val="24"/>
          <w:szCs w:val="24"/>
        </w:rPr>
      </w:pPr>
      <w:r w:rsidRPr="00AF184E">
        <w:rPr>
          <w:sz w:val="24"/>
          <w:szCs w:val="24"/>
        </w:rPr>
        <w:t xml:space="preserve">Rivadeneyra-Domínguez, E., Pérez-Pérez, J. E., Vázquez-Luna, A., Díaz-Sobac, R., &amp; Rodríguez-Landa, J. F. (2020). Effects of </w:t>
      </w:r>
      <w:r w:rsidR="00DC129B">
        <w:rPr>
          <w:sz w:val="24"/>
          <w:szCs w:val="24"/>
        </w:rPr>
        <w:t>Cassava</w:t>
      </w:r>
      <w:r w:rsidRPr="00AF184E">
        <w:rPr>
          <w:sz w:val="24"/>
          <w:szCs w:val="24"/>
        </w:rPr>
        <w:t xml:space="preserve"> Juice (Manihot esculenta Crantz) on Renal and Hepatic Function and Motor Impairments in Male Rats. Toxins, 12(11), 708. </w:t>
      </w:r>
      <w:hyperlink r:id="rId28" w:history="1">
        <w:r w:rsidR="00D82C23" w:rsidRPr="00F94E69">
          <w:rPr>
            <w:rStyle w:val="Hyperlink"/>
            <w:sz w:val="24"/>
            <w:szCs w:val="24"/>
          </w:rPr>
          <w:t>https://doi.org/10.3390/toxins12110708</w:t>
        </w:r>
      </w:hyperlink>
      <w:r w:rsidR="00D82C23">
        <w:rPr>
          <w:sz w:val="24"/>
          <w:szCs w:val="24"/>
        </w:rPr>
        <w:t xml:space="preserve"> </w:t>
      </w:r>
    </w:p>
    <w:p w14:paraId="2F474604" w14:textId="7D6B01E6" w:rsidR="00AF184E" w:rsidRPr="00AF184E" w:rsidRDefault="00AF184E" w:rsidP="00AF184E">
      <w:pPr>
        <w:spacing w:line="360" w:lineRule="auto"/>
        <w:ind w:left="567" w:hanging="567"/>
        <w:jc w:val="both"/>
        <w:rPr>
          <w:sz w:val="24"/>
          <w:szCs w:val="24"/>
        </w:rPr>
      </w:pPr>
      <w:r w:rsidRPr="00AF184E">
        <w:rPr>
          <w:sz w:val="24"/>
          <w:szCs w:val="24"/>
        </w:rPr>
        <w:t xml:space="preserve">Sreeja, V. G., Nagahara, N., Li, Q., &amp; Minami, M. (2003). New aspects in pathogenesis of konzo: neural cell damage directly caused by linamarin contained in </w:t>
      </w:r>
      <w:r w:rsidR="00DC129B">
        <w:rPr>
          <w:sz w:val="24"/>
          <w:szCs w:val="24"/>
        </w:rPr>
        <w:t>Cassava</w:t>
      </w:r>
      <w:r w:rsidRPr="00AF184E">
        <w:rPr>
          <w:sz w:val="24"/>
          <w:szCs w:val="24"/>
        </w:rPr>
        <w:t xml:space="preserve"> (Manihot esculenta Crantz). The British journal of nutrition, 90(2), 467–472. </w:t>
      </w:r>
      <w:hyperlink r:id="rId29" w:history="1">
        <w:r w:rsidR="00D82C23" w:rsidRPr="00F94E69">
          <w:rPr>
            <w:rStyle w:val="Hyperlink"/>
            <w:sz w:val="24"/>
            <w:szCs w:val="24"/>
          </w:rPr>
          <w:t>https://doi.org/10.1079/bjn2003902</w:t>
        </w:r>
      </w:hyperlink>
      <w:r w:rsidR="00D82C23">
        <w:rPr>
          <w:sz w:val="24"/>
          <w:szCs w:val="24"/>
        </w:rPr>
        <w:t xml:space="preserve"> </w:t>
      </w:r>
    </w:p>
    <w:p w14:paraId="44417B83" w14:textId="77777777" w:rsidR="000E36D8" w:rsidRDefault="000E36D8" w:rsidP="000E36D8">
      <w:pPr>
        <w:pStyle w:val="BodyText"/>
        <w:spacing w:line="480" w:lineRule="auto"/>
        <w:jc w:val="both"/>
      </w:pPr>
    </w:p>
    <w:sectPr w:rsidR="000E36D8" w:rsidSect="00D142D5">
      <w:headerReference w:type="even" r:id="rId30"/>
      <w:headerReference w:type="default" r:id="rId31"/>
      <w:head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C7431" w14:textId="77777777" w:rsidR="000C0623" w:rsidRDefault="000C0623" w:rsidP="00A90A92">
      <w:r>
        <w:separator/>
      </w:r>
    </w:p>
  </w:endnote>
  <w:endnote w:type="continuationSeparator" w:id="0">
    <w:p w14:paraId="1A666127" w14:textId="77777777" w:rsidR="000C0623" w:rsidRDefault="000C0623" w:rsidP="00A9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A64F9" w14:textId="77777777" w:rsidR="000C0623" w:rsidRDefault="000C0623" w:rsidP="00A90A92">
      <w:r>
        <w:separator/>
      </w:r>
    </w:p>
  </w:footnote>
  <w:footnote w:type="continuationSeparator" w:id="0">
    <w:p w14:paraId="35D8B7CF" w14:textId="77777777" w:rsidR="000C0623" w:rsidRDefault="000C0623" w:rsidP="00A90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0CFC" w14:textId="2D0984D6" w:rsidR="00A90A92" w:rsidRDefault="00000000">
    <w:pPr>
      <w:pStyle w:val="Header"/>
    </w:pPr>
    <w:r>
      <w:rPr>
        <w:noProof/>
      </w:rPr>
      <w:pict w14:anchorId="2FFD8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3587" w14:textId="0B764BAD" w:rsidR="00A90A92" w:rsidRPr="00D56244" w:rsidRDefault="00000000" w:rsidP="00D56244">
    <w:pPr>
      <w:pStyle w:val="Header"/>
      <w:jc w:val="right"/>
      <w:rPr>
        <w:i/>
        <w:iCs/>
      </w:rPr>
    </w:pPr>
    <w:r>
      <w:rPr>
        <w:i/>
        <w:iCs/>
        <w:noProof/>
      </w:rPr>
      <w:pict w14:anchorId="03DAD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3"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49934" w14:textId="5CD1F9F8" w:rsidR="00A90A92" w:rsidRDefault="00000000">
    <w:pPr>
      <w:pStyle w:val="Header"/>
    </w:pPr>
    <w:r>
      <w:rPr>
        <w:noProof/>
      </w:rPr>
      <w:pict w14:anchorId="40D59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506781"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A19"/>
    <w:multiLevelType w:val="hybridMultilevel"/>
    <w:tmpl w:val="C932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0468"/>
    <w:multiLevelType w:val="hybridMultilevel"/>
    <w:tmpl w:val="83F6F5D0"/>
    <w:lvl w:ilvl="0" w:tplc="D346C09E">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B7DE4"/>
    <w:multiLevelType w:val="hybridMultilevel"/>
    <w:tmpl w:val="027EE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902B6"/>
    <w:multiLevelType w:val="hybridMultilevel"/>
    <w:tmpl w:val="B0565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D0ACB"/>
    <w:multiLevelType w:val="hybridMultilevel"/>
    <w:tmpl w:val="A224E35E"/>
    <w:lvl w:ilvl="0" w:tplc="4DB81C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C18F6"/>
    <w:multiLevelType w:val="hybridMultilevel"/>
    <w:tmpl w:val="E96C8B8C"/>
    <w:lvl w:ilvl="0" w:tplc="F7C264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A3E2E"/>
    <w:multiLevelType w:val="hybridMultilevel"/>
    <w:tmpl w:val="F1F2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D1E44"/>
    <w:multiLevelType w:val="hybridMultilevel"/>
    <w:tmpl w:val="A722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4A5830"/>
    <w:multiLevelType w:val="hybridMultilevel"/>
    <w:tmpl w:val="044A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40CF0"/>
    <w:multiLevelType w:val="hybridMultilevel"/>
    <w:tmpl w:val="4EF2F5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6AC5CFA"/>
    <w:multiLevelType w:val="hybridMultilevel"/>
    <w:tmpl w:val="76C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55579"/>
    <w:multiLevelType w:val="multilevel"/>
    <w:tmpl w:val="7A58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45E4E"/>
    <w:multiLevelType w:val="hybridMultilevel"/>
    <w:tmpl w:val="35B2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92104"/>
    <w:multiLevelType w:val="hybridMultilevel"/>
    <w:tmpl w:val="D212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83B33"/>
    <w:multiLevelType w:val="hybridMultilevel"/>
    <w:tmpl w:val="524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820"/>
    <w:multiLevelType w:val="hybridMultilevel"/>
    <w:tmpl w:val="F4C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A567C1"/>
    <w:multiLevelType w:val="hybridMultilevel"/>
    <w:tmpl w:val="2D186B18"/>
    <w:lvl w:ilvl="0" w:tplc="4EBCDB42">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4B1A2A"/>
    <w:multiLevelType w:val="hybridMultilevel"/>
    <w:tmpl w:val="25D8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2657680">
    <w:abstractNumId w:val="14"/>
  </w:num>
  <w:num w:numId="2" w16cid:durableId="470636761">
    <w:abstractNumId w:val="0"/>
  </w:num>
  <w:num w:numId="3" w16cid:durableId="1437169258">
    <w:abstractNumId w:val="15"/>
  </w:num>
  <w:num w:numId="4" w16cid:durableId="907768274">
    <w:abstractNumId w:val="4"/>
  </w:num>
  <w:num w:numId="5" w16cid:durableId="1172720233">
    <w:abstractNumId w:val="3"/>
  </w:num>
  <w:num w:numId="6" w16cid:durableId="1125124194">
    <w:abstractNumId w:val="6"/>
  </w:num>
  <w:num w:numId="7" w16cid:durableId="586505240">
    <w:abstractNumId w:val="12"/>
  </w:num>
  <w:num w:numId="8" w16cid:durableId="1762337429">
    <w:abstractNumId w:val="16"/>
  </w:num>
  <w:num w:numId="9" w16cid:durableId="2096173077">
    <w:abstractNumId w:val="17"/>
  </w:num>
  <w:num w:numId="10" w16cid:durableId="1053506271">
    <w:abstractNumId w:val="13"/>
  </w:num>
  <w:num w:numId="11" w16cid:durableId="870992200">
    <w:abstractNumId w:val="8"/>
  </w:num>
  <w:num w:numId="12" w16cid:durableId="1196692497">
    <w:abstractNumId w:val="10"/>
  </w:num>
  <w:num w:numId="13" w16cid:durableId="890651054">
    <w:abstractNumId w:val="1"/>
  </w:num>
  <w:num w:numId="14" w16cid:durableId="2061860286">
    <w:abstractNumId w:val="11"/>
  </w:num>
  <w:num w:numId="15" w16cid:durableId="1166555067">
    <w:abstractNumId w:val="7"/>
  </w:num>
  <w:num w:numId="16" w16cid:durableId="1165899010">
    <w:abstractNumId w:val="5"/>
  </w:num>
  <w:num w:numId="17" w16cid:durableId="1896694267">
    <w:abstractNumId w:val="2"/>
  </w:num>
  <w:num w:numId="18" w16cid:durableId="12057514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66"/>
    <w:rsid w:val="0002030B"/>
    <w:rsid w:val="000A4D03"/>
    <w:rsid w:val="000C0623"/>
    <w:rsid w:val="000E36D8"/>
    <w:rsid w:val="000F54AA"/>
    <w:rsid w:val="00115CC6"/>
    <w:rsid w:val="001B72F3"/>
    <w:rsid w:val="001E157A"/>
    <w:rsid w:val="00240C10"/>
    <w:rsid w:val="00295462"/>
    <w:rsid w:val="002C3D88"/>
    <w:rsid w:val="002F2B4B"/>
    <w:rsid w:val="00301C52"/>
    <w:rsid w:val="003B54DB"/>
    <w:rsid w:val="003F0D07"/>
    <w:rsid w:val="003F6925"/>
    <w:rsid w:val="00424D31"/>
    <w:rsid w:val="00436518"/>
    <w:rsid w:val="00485F23"/>
    <w:rsid w:val="00492466"/>
    <w:rsid w:val="00493B7D"/>
    <w:rsid w:val="004E512F"/>
    <w:rsid w:val="004F7C0B"/>
    <w:rsid w:val="00510EB6"/>
    <w:rsid w:val="00562235"/>
    <w:rsid w:val="005D1F37"/>
    <w:rsid w:val="00676E10"/>
    <w:rsid w:val="006B12F5"/>
    <w:rsid w:val="006C0F3E"/>
    <w:rsid w:val="006C30DE"/>
    <w:rsid w:val="006C7E7C"/>
    <w:rsid w:val="006D779D"/>
    <w:rsid w:val="00773E69"/>
    <w:rsid w:val="00782E09"/>
    <w:rsid w:val="00794E3F"/>
    <w:rsid w:val="007E1994"/>
    <w:rsid w:val="00826533"/>
    <w:rsid w:val="00844505"/>
    <w:rsid w:val="008E5DDB"/>
    <w:rsid w:val="00956CBF"/>
    <w:rsid w:val="0099733A"/>
    <w:rsid w:val="00A41383"/>
    <w:rsid w:val="00A57E5E"/>
    <w:rsid w:val="00A86A61"/>
    <w:rsid w:val="00A90A92"/>
    <w:rsid w:val="00A96C20"/>
    <w:rsid w:val="00AA4678"/>
    <w:rsid w:val="00AF184E"/>
    <w:rsid w:val="00B74514"/>
    <w:rsid w:val="00B8293A"/>
    <w:rsid w:val="00CA0163"/>
    <w:rsid w:val="00CA06F6"/>
    <w:rsid w:val="00CE38AE"/>
    <w:rsid w:val="00CF04E4"/>
    <w:rsid w:val="00D142D5"/>
    <w:rsid w:val="00D15A65"/>
    <w:rsid w:val="00D56244"/>
    <w:rsid w:val="00D8054A"/>
    <w:rsid w:val="00D82C23"/>
    <w:rsid w:val="00D929AE"/>
    <w:rsid w:val="00DA3177"/>
    <w:rsid w:val="00DC129B"/>
    <w:rsid w:val="00E0481A"/>
    <w:rsid w:val="00E63E67"/>
    <w:rsid w:val="00EF7ACB"/>
    <w:rsid w:val="00F07E21"/>
    <w:rsid w:val="00F1379E"/>
    <w:rsid w:val="00F434B5"/>
    <w:rsid w:val="00F92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3FCE"/>
  <w15:docId w15:val="{44F4BFA5-4CFF-4EB8-96C0-2ADED76D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480"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466"/>
    <w:pPr>
      <w:spacing w:after="0" w:line="240" w:lineRule="auto"/>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492466"/>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92466"/>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92466"/>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92466"/>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92466"/>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9246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92466"/>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92466"/>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92466"/>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924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9246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9246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92466"/>
    <w:rPr>
      <w:rFonts w:eastAsiaTheme="minorEastAsia"/>
      <w:b/>
      <w:bCs/>
      <w:sz w:val="28"/>
      <w:szCs w:val="28"/>
    </w:rPr>
  </w:style>
  <w:style w:type="character" w:customStyle="1" w:styleId="Heading5Char">
    <w:name w:val="Heading 5 Char"/>
    <w:basedOn w:val="DefaultParagraphFont"/>
    <w:link w:val="Heading5"/>
    <w:uiPriority w:val="9"/>
    <w:semiHidden/>
    <w:rsid w:val="00492466"/>
    <w:rPr>
      <w:rFonts w:eastAsiaTheme="minorEastAsia"/>
      <w:b/>
      <w:bCs/>
      <w:i/>
      <w:iCs/>
      <w:sz w:val="26"/>
      <w:szCs w:val="26"/>
    </w:rPr>
  </w:style>
  <w:style w:type="character" w:customStyle="1" w:styleId="Heading6Char">
    <w:name w:val="Heading 6 Char"/>
    <w:basedOn w:val="DefaultParagraphFont"/>
    <w:link w:val="Heading6"/>
    <w:rsid w:val="0049246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92466"/>
    <w:rPr>
      <w:rFonts w:eastAsiaTheme="minorEastAsia"/>
      <w:sz w:val="24"/>
      <w:szCs w:val="24"/>
    </w:rPr>
  </w:style>
  <w:style w:type="character" w:customStyle="1" w:styleId="Heading8Char">
    <w:name w:val="Heading 8 Char"/>
    <w:basedOn w:val="DefaultParagraphFont"/>
    <w:link w:val="Heading8"/>
    <w:uiPriority w:val="9"/>
    <w:semiHidden/>
    <w:rsid w:val="00492466"/>
    <w:rPr>
      <w:rFonts w:eastAsiaTheme="minorEastAsia"/>
      <w:i/>
      <w:iCs/>
      <w:sz w:val="24"/>
      <w:szCs w:val="24"/>
    </w:rPr>
  </w:style>
  <w:style w:type="character" w:customStyle="1" w:styleId="Heading9Char">
    <w:name w:val="Heading 9 Char"/>
    <w:basedOn w:val="DefaultParagraphFont"/>
    <w:link w:val="Heading9"/>
    <w:uiPriority w:val="9"/>
    <w:semiHidden/>
    <w:rsid w:val="00492466"/>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492466"/>
    <w:rPr>
      <w:rFonts w:ascii="Tahoma" w:hAnsi="Tahoma" w:cs="Tahoma"/>
      <w:sz w:val="16"/>
      <w:szCs w:val="16"/>
    </w:rPr>
  </w:style>
  <w:style w:type="character" w:customStyle="1" w:styleId="BalloonTextChar">
    <w:name w:val="Balloon Text Char"/>
    <w:basedOn w:val="DefaultParagraphFont"/>
    <w:link w:val="BalloonText"/>
    <w:uiPriority w:val="99"/>
    <w:semiHidden/>
    <w:rsid w:val="00492466"/>
    <w:rPr>
      <w:rFonts w:ascii="Tahoma" w:eastAsia="Times New Roman" w:hAnsi="Tahoma" w:cs="Tahoma"/>
      <w:sz w:val="16"/>
      <w:szCs w:val="16"/>
    </w:rPr>
  </w:style>
  <w:style w:type="paragraph" w:styleId="ListParagraph">
    <w:name w:val="List Paragraph"/>
    <w:basedOn w:val="Normal"/>
    <w:uiPriority w:val="34"/>
    <w:qFormat/>
    <w:rsid w:val="00492466"/>
    <w:pPr>
      <w:spacing w:after="160" w:line="259" w:lineRule="auto"/>
      <w:ind w:left="720"/>
      <w:contextualSpacing/>
    </w:pPr>
    <w:rPr>
      <w:rFonts w:ascii="Calibri" w:eastAsia="Calibri" w:hAnsi="Calibri" w:cs="SimSun"/>
      <w:sz w:val="22"/>
      <w:szCs w:val="22"/>
    </w:rPr>
  </w:style>
  <w:style w:type="table" w:styleId="TableGrid">
    <w:name w:val="Table Grid"/>
    <w:basedOn w:val="TableNormal"/>
    <w:uiPriority w:val="39"/>
    <w:rsid w:val="004924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92466"/>
    <w:pPr>
      <w:spacing w:after="0" w:line="240" w:lineRule="auto"/>
      <w:jc w:val="left"/>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92466"/>
    <w:pPr>
      <w:tabs>
        <w:tab w:val="center" w:pos="4680"/>
        <w:tab w:val="right" w:pos="9360"/>
      </w:tabs>
    </w:pPr>
  </w:style>
  <w:style w:type="character" w:customStyle="1" w:styleId="HeaderChar">
    <w:name w:val="Header Char"/>
    <w:basedOn w:val="DefaultParagraphFont"/>
    <w:link w:val="Header"/>
    <w:uiPriority w:val="99"/>
    <w:rsid w:val="0049246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92466"/>
    <w:pPr>
      <w:tabs>
        <w:tab w:val="center" w:pos="4680"/>
        <w:tab w:val="right" w:pos="9360"/>
      </w:tabs>
    </w:pPr>
  </w:style>
  <w:style w:type="character" w:customStyle="1" w:styleId="FooterChar">
    <w:name w:val="Footer Char"/>
    <w:basedOn w:val="DefaultParagraphFont"/>
    <w:link w:val="Footer"/>
    <w:uiPriority w:val="99"/>
    <w:rsid w:val="00492466"/>
    <w:rPr>
      <w:rFonts w:ascii="Times New Roman" w:eastAsia="Times New Roman" w:hAnsi="Times New Roman" w:cs="Times New Roman"/>
      <w:sz w:val="20"/>
      <w:szCs w:val="20"/>
    </w:rPr>
  </w:style>
  <w:style w:type="paragraph" w:styleId="BodyText">
    <w:name w:val="Body Text"/>
    <w:basedOn w:val="Normal"/>
    <w:link w:val="BodyTextChar"/>
    <w:uiPriority w:val="1"/>
    <w:qFormat/>
    <w:rsid w:val="00492466"/>
    <w:pPr>
      <w:widowControl w:val="0"/>
      <w:autoSpaceDE w:val="0"/>
      <w:autoSpaceDN w:val="0"/>
    </w:pPr>
    <w:rPr>
      <w:sz w:val="24"/>
      <w:szCs w:val="24"/>
    </w:rPr>
  </w:style>
  <w:style w:type="character" w:customStyle="1" w:styleId="BodyTextChar">
    <w:name w:val="Body Text Char"/>
    <w:basedOn w:val="DefaultParagraphFont"/>
    <w:link w:val="BodyText"/>
    <w:uiPriority w:val="1"/>
    <w:rsid w:val="00492466"/>
    <w:rPr>
      <w:rFonts w:ascii="Times New Roman" w:eastAsia="Times New Roman" w:hAnsi="Times New Roman" w:cs="Times New Roman"/>
      <w:sz w:val="24"/>
      <w:szCs w:val="24"/>
    </w:rPr>
  </w:style>
  <w:style w:type="paragraph" w:styleId="Title">
    <w:name w:val="Title"/>
    <w:basedOn w:val="Normal"/>
    <w:link w:val="TitleChar"/>
    <w:uiPriority w:val="1"/>
    <w:qFormat/>
    <w:rsid w:val="00492466"/>
    <w:pPr>
      <w:widowControl w:val="0"/>
      <w:autoSpaceDE w:val="0"/>
      <w:autoSpaceDN w:val="0"/>
      <w:spacing w:before="60"/>
      <w:ind w:left="120" w:right="734"/>
      <w:jc w:val="both"/>
    </w:pPr>
    <w:rPr>
      <w:b/>
      <w:bCs/>
      <w:sz w:val="36"/>
      <w:szCs w:val="36"/>
    </w:rPr>
  </w:style>
  <w:style w:type="character" w:customStyle="1" w:styleId="TitleChar">
    <w:name w:val="Title Char"/>
    <w:basedOn w:val="DefaultParagraphFont"/>
    <w:link w:val="Title"/>
    <w:uiPriority w:val="1"/>
    <w:rsid w:val="00492466"/>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92466"/>
    <w:pPr>
      <w:widowControl w:val="0"/>
      <w:autoSpaceDE w:val="0"/>
      <w:autoSpaceDN w:val="0"/>
      <w:spacing w:before="218"/>
      <w:ind w:left="112"/>
    </w:pPr>
    <w:rPr>
      <w:sz w:val="22"/>
      <w:szCs w:val="22"/>
    </w:rPr>
  </w:style>
  <w:style w:type="character" w:styleId="Hyperlink">
    <w:name w:val="Hyperlink"/>
    <w:basedOn w:val="DefaultParagraphFont"/>
    <w:uiPriority w:val="99"/>
    <w:unhideWhenUsed/>
    <w:rsid w:val="00492466"/>
    <w:rPr>
      <w:color w:val="0000FF"/>
      <w:u w:val="single"/>
    </w:rPr>
  </w:style>
  <w:style w:type="paragraph" w:customStyle="1" w:styleId="Default">
    <w:name w:val="Default"/>
    <w:rsid w:val="002C3D88"/>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9733A"/>
    <w:rPr>
      <w:color w:val="605E5C"/>
      <w:shd w:val="clear" w:color="auto" w:fill="E1DFDD"/>
    </w:rPr>
  </w:style>
  <w:style w:type="character" w:styleId="CommentReference">
    <w:name w:val="annotation reference"/>
    <w:basedOn w:val="DefaultParagraphFont"/>
    <w:uiPriority w:val="99"/>
    <w:semiHidden/>
    <w:unhideWhenUsed/>
    <w:rsid w:val="00E63E67"/>
    <w:rPr>
      <w:sz w:val="16"/>
      <w:szCs w:val="16"/>
    </w:rPr>
  </w:style>
  <w:style w:type="paragraph" w:styleId="CommentText">
    <w:name w:val="annotation text"/>
    <w:basedOn w:val="Normal"/>
    <w:link w:val="CommentTextChar"/>
    <w:uiPriority w:val="99"/>
    <w:semiHidden/>
    <w:unhideWhenUsed/>
    <w:rsid w:val="00E63E67"/>
  </w:style>
  <w:style w:type="character" w:customStyle="1" w:styleId="CommentTextChar">
    <w:name w:val="Comment Text Char"/>
    <w:basedOn w:val="DefaultParagraphFont"/>
    <w:link w:val="CommentText"/>
    <w:uiPriority w:val="99"/>
    <w:semiHidden/>
    <w:rsid w:val="00E63E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E67"/>
    <w:rPr>
      <w:b/>
      <w:bCs/>
    </w:rPr>
  </w:style>
  <w:style w:type="character" w:customStyle="1" w:styleId="CommentSubjectChar">
    <w:name w:val="Comment Subject Char"/>
    <w:basedOn w:val="CommentTextChar"/>
    <w:link w:val="CommentSubject"/>
    <w:uiPriority w:val="99"/>
    <w:semiHidden/>
    <w:rsid w:val="00E63E6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neuro.2024.11.004" TargetMode="External"/><Relationship Id="rId26" Type="http://schemas.openxmlformats.org/officeDocument/2006/relationships/hyperlink" Target="https://doi.org/10.36348/sijap.2023.v06i07.003" TargetMode="External"/><Relationship Id="rId3" Type="http://schemas.openxmlformats.org/officeDocument/2006/relationships/settings" Target="settings.xml"/><Relationship Id="rId21" Type="http://schemas.openxmlformats.org/officeDocument/2006/relationships/hyperlink" Target="https://doi.org/10.9734/indj/2022/v17i130190"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9734/indj/2022/v17i230197" TargetMode="External"/><Relationship Id="rId25" Type="http://schemas.openxmlformats.org/officeDocument/2006/relationships/hyperlink" Target="https://doi.org/10.1016/S2214-109X(17)30306-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136/jnnp.56.6.638" TargetMode="External"/><Relationship Id="rId29" Type="http://schemas.openxmlformats.org/officeDocument/2006/relationships/hyperlink" Target="https://doi.org/10.1079/bjn20039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77/2515690X231206227"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brainresbull.2018.07.001" TargetMode="External"/><Relationship Id="rId28" Type="http://schemas.openxmlformats.org/officeDocument/2006/relationships/hyperlink" Target="https://doi.org/10.3390/toxins12110708" TargetMode="External"/><Relationship Id="rId10" Type="http://schemas.openxmlformats.org/officeDocument/2006/relationships/image" Target="media/image4.jpeg"/><Relationship Id="rId19" Type="http://schemas.openxmlformats.org/officeDocument/2006/relationships/hyperlink" Target="https://doi.org/10.1016/j.neuro.2021.05.001"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4421/biomedich.2023.122.431-435" TargetMode="External"/><Relationship Id="rId27" Type="http://schemas.openxmlformats.org/officeDocument/2006/relationships/hyperlink" Target="https://doi.org/10.36346/sarjpn.2024.v05i02.001" TargetMode="External"/><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22</Pages>
  <Words>4090</Words>
  <Characters>23314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dc:creator>
  <cp:lastModifiedBy>Editor-90</cp:lastModifiedBy>
  <cp:revision>16</cp:revision>
  <dcterms:created xsi:type="dcterms:W3CDTF">2025-09-21T14:53:00Z</dcterms:created>
  <dcterms:modified xsi:type="dcterms:W3CDTF">2025-09-26T06:29:00Z</dcterms:modified>
</cp:coreProperties>
</file>