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2064" w14:textId="68C5E80A" w:rsidR="00660EB5" w:rsidRDefault="00660EB5" w:rsidP="001F7FD4">
      <w:pPr>
        <w:jc w:val="right"/>
        <w:rPr>
          <w:rFonts w:cstheme="minorHAnsi"/>
          <w:b/>
          <w:bCs/>
          <w:sz w:val="36"/>
          <w:szCs w:val="36"/>
        </w:rPr>
      </w:pPr>
      <w:r w:rsidRPr="00660EB5">
        <w:rPr>
          <w:rFonts w:cstheme="minorHAnsi"/>
          <w:b/>
          <w:bCs/>
          <w:i/>
          <w:iCs/>
          <w:sz w:val="36"/>
          <w:szCs w:val="36"/>
          <w:u w:val="single"/>
          <w:lang w:val="en-US"/>
        </w:rPr>
        <w:t>Original Research Article</w:t>
      </w:r>
    </w:p>
    <w:p w14:paraId="3D9D1479" w14:textId="1C675EA4" w:rsidR="002579E5" w:rsidRPr="00204D6B" w:rsidRDefault="00606436" w:rsidP="001F7FD4">
      <w:pPr>
        <w:jc w:val="right"/>
        <w:rPr>
          <w:rFonts w:cstheme="minorHAnsi"/>
          <w:bCs/>
          <w:sz w:val="36"/>
          <w:szCs w:val="36"/>
        </w:rPr>
      </w:pPr>
      <w:r w:rsidRPr="008A1B8F">
        <w:rPr>
          <w:rFonts w:cstheme="minorHAnsi"/>
          <w:b/>
          <w:bCs/>
          <w:sz w:val="36"/>
          <w:szCs w:val="36"/>
        </w:rPr>
        <w:t xml:space="preserve">The Ameliorative </w:t>
      </w:r>
      <w:r w:rsidR="004A20B0" w:rsidRPr="00652F03">
        <w:rPr>
          <w:rFonts w:cstheme="minorHAnsi"/>
          <w:b/>
          <w:bCs/>
          <w:color w:val="FF0000"/>
          <w:sz w:val="36"/>
          <w:szCs w:val="36"/>
        </w:rPr>
        <w:t>Effect</w:t>
      </w:r>
      <w:r w:rsidRPr="008A1B8F">
        <w:rPr>
          <w:rFonts w:cstheme="minorHAnsi"/>
          <w:b/>
          <w:bCs/>
          <w:sz w:val="36"/>
          <w:szCs w:val="36"/>
        </w:rPr>
        <w:t xml:space="preserve"> of Curcumin </w:t>
      </w:r>
      <w:r w:rsidR="00770A57">
        <w:rPr>
          <w:rFonts w:cstheme="minorHAnsi"/>
          <w:b/>
          <w:bCs/>
          <w:sz w:val="36"/>
          <w:szCs w:val="36"/>
        </w:rPr>
        <w:t>i</w:t>
      </w:r>
      <w:r w:rsidRPr="008A1B8F">
        <w:rPr>
          <w:rFonts w:cstheme="minorHAnsi"/>
          <w:b/>
          <w:bCs/>
          <w:sz w:val="36"/>
          <w:szCs w:val="36"/>
        </w:rPr>
        <w:t>n HIV Protease Inhibitor-</w:t>
      </w:r>
      <w:r w:rsidRPr="00204D6B">
        <w:rPr>
          <w:rFonts w:cstheme="minorHAnsi"/>
          <w:bCs/>
          <w:sz w:val="36"/>
          <w:szCs w:val="36"/>
        </w:rPr>
        <w:t xml:space="preserve">Induced Dyslipidaemia </w:t>
      </w:r>
      <w:r w:rsidR="00770A57" w:rsidRPr="00204D6B">
        <w:rPr>
          <w:rFonts w:cstheme="minorHAnsi"/>
          <w:bCs/>
          <w:sz w:val="36"/>
          <w:szCs w:val="36"/>
        </w:rPr>
        <w:t>i</w:t>
      </w:r>
      <w:r w:rsidRPr="00204D6B">
        <w:rPr>
          <w:rFonts w:cstheme="minorHAnsi"/>
          <w:bCs/>
          <w:sz w:val="36"/>
          <w:szCs w:val="36"/>
        </w:rPr>
        <w:t>n Wistar Albino Rats</w:t>
      </w:r>
    </w:p>
    <w:p w14:paraId="3C5D55A0" w14:textId="77777777" w:rsidR="00660EB5" w:rsidRPr="00204D6B" w:rsidRDefault="00660EB5" w:rsidP="00660EB5"/>
    <w:p w14:paraId="08270288" w14:textId="1DB08BFC" w:rsidR="001F7FD4" w:rsidRPr="00204D6B" w:rsidRDefault="001F7FD4" w:rsidP="00204D6B">
      <w:pPr>
        <w:rPr>
          <w:rFonts w:cstheme="minorHAnsi"/>
          <w:bCs/>
          <w:sz w:val="36"/>
          <w:szCs w:val="36"/>
        </w:rPr>
      </w:pPr>
    </w:p>
    <w:p w14:paraId="120311BB" w14:textId="034936E7" w:rsidR="001F7FD4" w:rsidRPr="008A1B8F" w:rsidRDefault="00FF76CC" w:rsidP="00C64373">
      <w:pPr>
        <w:jc w:val="both"/>
        <w:rPr>
          <w:rFonts w:cstheme="minorHAnsi"/>
          <w:b/>
          <w:bCs/>
          <w:sz w:val="24"/>
          <w:szCs w:val="24"/>
        </w:rPr>
      </w:pPr>
      <w:r w:rsidRPr="008A1B8F">
        <w:rPr>
          <w:rFonts w:cstheme="minorHAnsi"/>
          <w:b/>
          <w:bCs/>
          <w:sz w:val="24"/>
          <w:szCs w:val="24"/>
        </w:rPr>
        <w:t>ABSTRACT</w:t>
      </w:r>
    </w:p>
    <w:p w14:paraId="0ADAE16E" w14:textId="2377FFA5" w:rsidR="005711C0" w:rsidRPr="008A1B8F" w:rsidRDefault="005711C0" w:rsidP="00B2549F">
      <w:pPr>
        <w:jc w:val="both"/>
        <w:rPr>
          <w:rFonts w:cstheme="minorHAnsi"/>
          <w:sz w:val="24"/>
          <w:szCs w:val="24"/>
        </w:rPr>
      </w:pPr>
      <w:r w:rsidRPr="008A1B8F">
        <w:rPr>
          <w:rFonts w:cstheme="minorHAnsi"/>
          <w:sz w:val="24"/>
          <w:szCs w:val="24"/>
        </w:rPr>
        <w:t xml:space="preserve">Background: Although HIV protease inhibitors (PIs) are essential for antiretroviral therapy's viral suppression, </w:t>
      </w:r>
      <w:r w:rsidRPr="00652F03">
        <w:rPr>
          <w:rFonts w:cstheme="minorHAnsi"/>
          <w:color w:val="FF0000"/>
          <w:sz w:val="24"/>
          <w:szCs w:val="24"/>
        </w:rPr>
        <w:t xml:space="preserve">they have also been closely linked to the emergence of dyslipidaemia and oxidative stress, two conditions that put patients at risk for cardiovascular problems. </w:t>
      </w:r>
      <w:r w:rsidR="00B2549F" w:rsidRPr="008A1B8F">
        <w:rPr>
          <w:rFonts w:cstheme="minorHAnsi"/>
          <w:sz w:val="24"/>
          <w:szCs w:val="24"/>
        </w:rPr>
        <w:t>Curcumin</w:t>
      </w:r>
      <w:r w:rsidRPr="008A1B8F">
        <w:rPr>
          <w:rFonts w:cstheme="minorHAnsi"/>
          <w:sz w:val="24"/>
          <w:szCs w:val="24"/>
        </w:rPr>
        <w:t xml:space="preserve"> is an</w:t>
      </w:r>
      <w:r w:rsidR="00B2549F" w:rsidRPr="008A1B8F">
        <w:rPr>
          <w:rFonts w:cstheme="minorHAnsi"/>
          <w:sz w:val="24"/>
          <w:szCs w:val="24"/>
        </w:rPr>
        <w:t xml:space="preserve"> active polyphenol in </w:t>
      </w:r>
      <w:r w:rsidR="00B2549F" w:rsidRPr="00E32325">
        <w:rPr>
          <w:rFonts w:cstheme="minorHAnsi"/>
          <w:i/>
          <w:iCs/>
          <w:sz w:val="24"/>
          <w:szCs w:val="24"/>
        </w:rPr>
        <w:t>Curcuma longa</w:t>
      </w:r>
      <w:r w:rsidR="00B2549F" w:rsidRPr="008A1B8F">
        <w:rPr>
          <w:rFonts w:cstheme="minorHAnsi"/>
          <w:sz w:val="24"/>
          <w:szCs w:val="24"/>
        </w:rPr>
        <w:t xml:space="preserve">, </w:t>
      </w:r>
      <w:r w:rsidR="00E32325">
        <w:rPr>
          <w:rFonts w:cstheme="minorHAnsi"/>
          <w:sz w:val="24"/>
          <w:szCs w:val="24"/>
        </w:rPr>
        <w:t>which</w:t>
      </w:r>
      <w:r w:rsidRPr="008A1B8F">
        <w:rPr>
          <w:rFonts w:cstheme="minorHAnsi"/>
          <w:sz w:val="24"/>
          <w:szCs w:val="24"/>
        </w:rPr>
        <w:t xml:space="preserve"> </w:t>
      </w:r>
      <w:r w:rsidR="00B2549F" w:rsidRPr="008A1B8F">
        <w:rPr>
          <w:rFonts w:cstheme="minorHAnsi"/>
          <w:sz w:val="24"/>
          <w:szCs w:val="24"/>
        </w:rPr>
        <w:t xml:space="preserve">has received increasing attention for its antioxidant, anti-inflammatory, and lipid-modulating properties, suggesting a potential role in mitigating drug-induced metabolic derangements. </w:t>
      </w:r>
    </w:p>
    <w:p w14:paraId="48BC85AD" w14:textId="0013EFA7" w:rsidR="005711C0" w:rsidRPr="008A1B8F" w:rsidRDefault="005711C0" w:rsidP="00B2549F">
      <w:pPr>
        <w:jc w:val="both"/>
        <w:rPr>
          <w:rFonts w:cstheme="minorHAnsi"/>
          <w:sz w:val="24"/>
          <w:szCs w:val="24"/>
        </w:rPr>
      </w:pPr>
      <w:r w:rsidRPr="008A1B8F">
        <w:rPr>
          <w:rFonts w:cstheme="minorHAnsi"/>
          <w:sz w:val="24"/>
          <w:szCs w:val="24"/>
        </w:rPr>
        <w:t xml:space="preserve">Aim: </w:t>
      </w:r>
      <w:r w:rsidR="00B2549F" w:rsidRPr="008A1B8F">
        <w:rPr>
          <w:rFonts w:cstheme="minorHAnsi"/>
          <w:sz w:val="24"/>
          <w:szCs w:val="24"/>
        </w:rPr>
        <w:t>This study aimed to evaluate the ameliorative effects of curcumin on HIV PI–induced dyslipidaemia and oxidative stress in Wistar albino rats.</w:t>
      </w:r>
    </w:p>
    <w:p w14:paraId="03DA54CF" w14:textId="6B3C46DC" w:rsidR="005711C0" w:rsidRPr="008A1B8F" w:rsidRDefault="00A22D3A" w:rsidP="00B2549F">
      <w:pPr>
        <w:jc w:val="both"/>
        <w:rPr>
          <w:rFonts w:cstheme="minorHAnsi"/>
          <w:sz w:val="24"/>
          <w:szCs w:val="24"/>
        </w:rPr>
      </w:pPr>
      <w:r w:rsidRPr="008A1B8F">
        <w:rPr>
          <w:rFonts w:cstheme="minorHAnsi"/>
          <w:sz w:val="24"/>
          <w:szCs w:val="24"/>
        </w:rPr>
        <w:t>Method</w:t>
      </w:r>
      <w:r w:rsidR="005711C0" w:rsidRPr="008A1B8F">
        <w:rPr>
          <w:rFonts w:cstheme="minorHAnsi"/>
          <w:sz w:val="24"/>
          <w:szCs w:val="24"/>
        </w:rPr>
        <w:t xml:space="preserve">: </w:t>
      </w:r>
      <w:r w:rsidR="00B2549F" w:rsidRPr="008A1B8F">
        <w:rPr>
          <w:rFonts w:cstheme="minorHAnsi"/>
          <w:sz w:val="24"/>
          <w:szCs w:val="24"/>
        </w:rPr>
        <w:t>Twenty-four adult male rats were randomized into four groups (n = 6): Control, Curcumin only (100 mg/kg), PI only (lopinavir 50 mg/kg + ritonavir 12.5 mg/kg), and PI + Curcumin (same PI regimen with curcumin supplementation introduced after two weeks</w:t>
      </w:r>
      <w:r w:rsidR="004A20B0">
        <w:rPr>
          <w:rFonts w:cstheme="minorHAnsi"/>
          <w:sz w:val="24"/>
          <w:szCs w:val="24"/>
        </w:rPr>
        <w:t xml:space="preserve"> of PI</w:t>
      </w:r>
      <w:r w:rsidR="00B2549F" w:rsidRPr="008A1B8F">
        <w:rPr>
          <w:rFonts w:cstheme="minorHAnsi"/>
          <w:sz w:val="24"/>
          <w:szCs w:val="24"/>
        </w:rPr>
        <w:t>). Treatments were administered daily via oral gavage for six weeks. Serum lipid profile was analysed for total cholesterol, triglycerides, HDL-C, LDL-C, and TC/HDL ratio, while liver homogenates were assessed for oxidative stress markers including malondialdehyde (MDA), superoxide dismutase (SOD), catalase, and reduced glutathione (GSH).</w:t>
      </w:r>
    </w:p>
    <w:p w14:paraId="6F5A94FB" w14:textId="4D971909" w:rsidR="004A20B0" w:rsidRDefault="00B2549F" w:rsidP="00B2549F">
      <w:pPr>
        <w:jc w:val="both"/>
        <w:rPr>
          <w:rFonts w:cstheme="minorHAnsi"/>
          <w:sz w:val="24"/>
          <w:szCs w:val="24"/>
        </w:rPr>
      </w:pPr>
      <w:r w:rsidRPr="008A1B8F">
        <w:rPr>
          <w:rFonts w:cstheme="minorHAnsi"/>
          <w:sz w:val="24"/>
          <w:szCs w:val="24"/>
        </w:rPr>
        <w:t>Results</w:t>
      </w:r>
      <w:r w:rsidR="005711C0" w:rsidRPr="008A1B8F">
        <w:rPr>
          <w:rFonts w:cstheme="minorHAnsi"/>
          <w:sz w:val="24"/>
          <w:szCs w:val="24"/>
        </w:rPr>
        <w:t xml:space="preserve">: </w:t>
      </w:r>
      <w:r w:rsidR="005711C0" w:rsidRPr="00652F03">
        <w:rPr>
          <w:rFonts w:cstheme="minorHAnsi"/>
          <w:color w:val="FF0000"/>
          <w:sz w:val="24"/>
          <w:szCs w:val="24"/>
        </w:rPr>
        <w:t>Findings</w:t>
      </w:r>
      <w:r w:rsidRPr="00652F03">
        <w:rPr>
          <w:rFonts w:cstheme="minorHAnsi"/>
          <w:color w:val="FF0000"/>
          <w:sz w:val="24"/>
          <w:szCs w:val="24"/>
        </w:rPr>
        <w:t xml:space="preserve"> showed that PI treatment significantly</w:t>
      </w:r>
      <w:r w:rsidR="00E32325">
        <w:rPr>
          <w:rFonts w:cstheme="minorHAnsi"/>
          <w:color w:val="FF0000"/>
          <w:sz w:val="24"/>
          <w:szCs w:val="24"/>
        </w:rPr>
        <w:t xml:space="preserve"> </w:t>
      </w:r>
      <w:r w:rsidR="001D59CF" w:rsidRPr="00652F03">
        <w:rPr>
          <w:rFonts w:cstheme="minorHAnsi"/>
          <w:color w:val="FF0000"/>
          <w:sz w:val="24"/>
          <w:szCs w:val="24"/>
        </w:rPr>
        <w:t>(p&lt;0.001)</w:t>
      </w:r>
      <w:r w:rsidRPr="00652F03">
        <w:rPr>
          <w:rFonts w:cstheme="minorHAnsi"/>
          <w:color w:val="FF0000"/>
          <w:sz w:val="24"/>
          <w:szCs w:val="24"/>
        </w:rPr>
        <w:t xml:space="preserve"> elevated </w:t>
      </w:r>
      <w:r w:rsidR="001D59CF" w:rsidRPr="00652F03">
        <w:rPr>
          <w:rFonts w:cstheme="minorHAnsi"/>
          <w:color w:val="FF0000"/>
          <w:sz w:val="24"/>
          <w:szCs w:val="24"/>
        </w:rPr>
        <w:t>lipid parameters</w:t>
      </w:r>
      <w:r w:rsidRPr="00652F03">
        <w:rPr>
          <w:rFonts w:cstheme="minorHAnsi"/>
          <w:color w:val="FF0000"/>
          <w:sz w:val="24"/>
          <w:szCs w:val="24"/>
        </w:rPr>
        <w:t xml:space="preserve">, </w:t>
      </w:r>
      <w:r w:rsidR="004A20B0" w:rsidRPr="00652F03">
        <w:rPr>
          <w:rFonts w:cstheme="minorHAnsi"/>
          <w:color w:val="FF0000"/>
          <w:sz w:val="24"/>
          <w:szCs w:val="24"/>
        </w:rPr>
        <w:t>TC, TG, LDL-C, and TC/HDL ratio, and reduced HDL-C, while also increasing MDA and reducing antioxidant enzymes (all p&lt;0.05). Curcumin co-treatment reversed these alterations, lowering TC and TG by ~15–20% and restoring antioxidant enzyme levels toward control values. Curcumin alone did not alter lipid or oxidative parameters.</w:t>
      </w:r>
    </w:p>
    <w:p w14:paraId="462C3E5A" w14:textId="317BA44B" w:rsidR="00B2549F" w:rsidRPr="008A1B8F" w:rsidRDefault="001D59CF" w:rsidP="00B2549F">
      <w:pPr>
        <w:jc w:val="both"/>
        <w:rPr>
          <w:rFonts w:cstheme="minorHAnsi"/>
          <w:sz w:val="24"/>
          <w:szCs w:val="24"/>
        </w:rPr>
      </w:pPr>
      <w:r w:rsidRPr="008A1B8F">
        <w:rPr>
          <w:rFonts w:cstheme="minorHAnsi"/>
          <w:sz w:val="24"/>
          <w:szCs w:val="24"/>
        </w:rPr>
        <w:t xml:space="preserve">Conclusion: </w:t>
      </w:r>
      <w:r w:rsidR="00B2549F" w:rsidRPr="008A1B8F">
        <w:rPr>
          <w:rFonts w:cstheme="minorHAnsi"/>
          <w:sz w:val="24"/>
          <w:szCs w:val="24"/>
        </w:rPr>
        <w:t xml:space="preserve">These findings demonstrate that curcumin </w:t>
      </w:r>
      <w:r w:rsidR="004A20B0">
        <w:rPr>
          <w:rFonts w:cstheme="minorHAnsi"/>
          <w:sz w:val="24"/>
          <w:szCs w:val="24"/>
        </w:rPr>
        <w:t xml:space="preserve">may </w:t>
      </w:r>
      <w:r w:rsidR="00B2549F" w:rsidRPr="008A1B8F">
        <w:rPr>
          <w:rFonts w:cstheme="minorHAnsi"/>
          <w:sz w:val="24"/>
          <w:szCs w:val="24"/>
        </w:rPr>
        <w:t>effectively mitigate PI-induced dyslipidaemia and oxidative stress, highlighting its potential as a safe adjunct to improve metabolic outcomes in HIV therapy. Further clinical research is warranted to validate these protective effects and to inform the integration of curcumin supplementation into comprehensive HIV care.</w:t>
      </w:r>
    </w:p>
    <w:p w14:paraId="12F88DEA" w14:textId="2A60D139" w:rsidR="001F7FD4" w:rsidRPr="008A1B8F" w:rsidRDefault="00B2549F" w:rsidP="00B2549F">
      <w:pPr>
        <w:jc w:val="both"/>
        <w:rPr>
          <w:rFonts w:cstheme="minorHAnsi"/>
          <w:sz w:val="24"/>
          <w:szCs w:val="24"/>
        </w:rPr>
      </w:pPr>
      <w:r w:rsidRPr="008A1B8F">
        <w:rPr>
          <w:rFonts w:cstheme="minorHAnsi"/>
          <w:sz w:val="24"/>
          <w:szCs w:val="24"/>
        </w:rPr>
        <w:t>Keywords: Curcumin, HIV protease inhibitors, Dyslipidaemia, Oxidative stress, Antioxidant enzymes, Wistar rats</w:t>
      </w:r>
    </w:p>
    <w:p w14:paraId="6C40C867" w14:textId="77777777" w:rsidR="00526E59" w:rsidRPr="008A1B8F" w:rsidRDefault="00526E59" w:rsidP="00C64373">
      <w:pPr>
        <w:jc w:val="both"/>
        <w:rPr>
          <w:rFonts w:cstheme="minorHAnsi"/>
          <w:sz w:val="24"/>
          <w:szCs w:val="24"/>
        </w:rPr>
      </w:pPr>
    </w:p>
    <w:p w14:paraId="377F3201" w14:textId="77777777" w:rsidR="00526E59" w:rsidRPr="008A1B8F" w:rsidRDefault="00526E59" w:rsidP="00C64373">
      <w:pPr>
        <w:jc w:val="both"/>
        <w:rPr>
          <w:rFonts w:cstheme="minorHAnsi"/>
          <w:sz w:val="24"/>
          <w:szCs w:val="24"/>
        </w:rPr>
      </w:pPr>
    </w:p>
    <w:p w14:paraId="6720EE29" w14:textId="2E28A1C0" w:rsidR="001F7FD4" w:rsidRPr="008A1B8F" w:rsidRDefault="00FF76CC" w:rsidP="001F7FD4">
      <w:pPr>
        <w:jc w:val="both"/>
        <w:rPr>
          <w:rFonts w:cstheme="minorHAnsi"/>
          <w:b/>
          <w:bCs/>
          <w:sz w:val="24"/>
          <w:szCs w:val="24"/>
        </w:rPr>
      </w:pPr>
      <w:r w:rsidRPr="008A1B8F">
        <w:rPr>
          <w:rFonts w:cstheme="minorHAnsi"/>
          <w:b/>
          <w:bCs/>
          <w:sz w:val="24"/>
          <w:szCs w:val="24"/>
        </w:rPr>
        <w:t>1. INTRODUCTION</w:t>
      </w:r>
    </w:p>
    <w:p w14:paraId="5C2B7102" w14:textId="5BE4B991" w:rsidR="00C64373" w:rsidRPr="008A1B8F" w:rsidRDefault="00C64373" w:rsidP="001F7FD4">
      <w:pPr>
        <w:jc w:val="both"/>
        <w:rPr>
          <w:rFonts w:cstheme="minorHAnsi"/>
          <w:sz w:val="24"/>
          <w:szCs w:val="24"/>
        </w:rPr>
      </w:pPr>
      <w:r w:rsidRPr="008A1B8F">
        <w:rPr>
          <w:rFonts w:cstheme="minorHAnsi"/>
          <w:sz w:val="24"/>
          <w:szCs w:val="24"/>
        </w:rPr>
        <w:t>Antiretroviral therapy (ART)</w:t>
      </w:r>
      <w:r w:rsidR="00310FAB">
        <w:rPr>
          <w:rFonts w:cstheme="minorHAnsi"/>
          <w:sz w:val="24"/>
          <w:szCs w:val="24"/>
        </w:rPr>
        <w:t xml:space="preserve"> </w:t>
      </w:r>
      <w:r w:rsidRPr="008A1B8F">
        <w:rPr>
          <w:rFonts w:cstheme="minorHAnsi"/>
          <w:sz w:val="24"/>
          <w:szCs w:val="24"/>
        </w:rPr>
        <w:t>combines multiple drugs</w:t>
      </w:r>
      <w:r w:rsidR="00310FAB">
        <w:rPr>
          <w:rFonts w:cstheme="minorHAnsi"/>
          <w:sz w:val="24"/>
          <w:szCs w:val="24"/>
        </w:rPr>
        <w:t xml:space="preserve"> to combat HIV infections. For patients living with the deadly infection, the treatment regime</w:t>
      </w:r>
      <w:r w:rsidR="00E32325">
        <w:rPr>
          <w:rFonts w:cstheme="minorHAnsi"/>
          <w:sz w:val="24"/>
          <w:szCs w:val="24"/>
        </w:rPr>
        <w:t>n</w:t>
      </w:r>
      <w:r w:rsidR="00310FAB">
        <w:rPr>
          <w:rFonts w:cstheme="minorHAnsi"/>
          <w:sz w:val="24"/>
          <w:szCs w:val="24"/>
        </w:rPr>
        <w:t xml:space="preserve"> has </w:t>
      </w:r>
      <w:r w:rsidRPr="008A1B8F">
        <w:rPr>
          <w:rFonts w:cstheme="minorHAnsi"/>
          <w:sz w:val="24"/>
          <w:szCs w:val="24"/>
        </w:rPr>
        <w:t>transformed HIV management</w:t>
      </w:r>
      <w:r w:rsidR="008A04AC" w:rsidRPr="008A1B8F">
        <w:rPr>
          <w:rFonts w:cstheme="minorHAnsi"/>
          <w:sz w:val="24"/>
          <w:szCs w:val="24"/>
        </w:rPr>
        <w:t xml:space="preserve"> worldwide</w:t>
      </w:r>
      <w:r w:rsidRPr="008A1B8F">
        <w:rPr>
          <w:rFonts w:cstheme="minorHAnsi"/>
          <w:sz w:val="24"/>
          <w:szCs w:val="24"/>
        </w:rPr>
        <w:t xml:space="preserve">. As of 2025, approximately 31.6 million people worldwide, </w:t>
      </w:r>
      <w:r w:rsidR="00310FAB">
        <w:rPr>
          <w:rFonts w:cstheme="minorHAnsi"/>
          <w:sz w:val="24"/>
          <w:szCs w:val="24"/>
        </w:rPr>
        <w:t xml:space="preserve">are benefiting </w:t>
      </w:r>
      <w:r w:rsidRPr="008A1B8F">
        <w:rPr>
          <w:rFonts w:cstheme="minorHAnsi"/>
          <w:sz w:val="24"/>
          <w:szCs w:val="24"/>
        </w:rPr>
        <w:t xml:space="preserve">from its ability to suppress the virus, </w:t>
      </w:r>
      <w:r w:rsidR="00310FAB">
        <w:rPr>
          <w:rFonts w:cstheme="minorHAnsi"/>
          <w:sz w:val="24"/>
          <w:szCs w:val="24"/>
        </w:rPr>
        <w:t>helping them live</w:t>
      </w:r>
      <w:r w:rsidRPr="008A1B8F">
        <w:rPr>
          <w:rFonts w:cstheme="minorHAnsi"/>
          <w:sz w:val="24"/>
          <w:szCs w:val="24"/>
        </w:rPr>
        <w:t xml:space="preserve"> healthier lives. The</w:t>
      </w:r>
      <w:r w:rsidR="00310FAB">
        <w:rPr>
          <w:rFonts w:cstheme="minorHAnsi"/>
          <w:sz w:val="24"/>
          <w:szCs w:val="24"/>
        </w:rPr>
        <w:t xml:space="preserve"> mechanism of action of ART</w:t>
      </w:r>
      <w:r w:rsidRPr="008A1B8F">
        <w:rPr>
          <w:rFonts w:cstheme="minorHAnsi"/>
          <w:sz w:val="24"/>
          <w:szCs w:val="24"/>
        </w:rPr>
        <w:t xml:space="preserve"> drugs</w:t>
      </w:r>
      <w:r w:rsidR="00310FAB">
        <w:rPr>
          <w:rFonts w:cstheme="minorHAnsi"/>
          <w:sz w:val="24"/>
          <w:szCs w:val="24"/>
        </w:rPr>
        <w:t xml:space="preserve"> is by interfering </w:t>
      </w:r>
      <w:r w:rsidRPr="008A1B8F">
        <w:rPr>
          <w:rFonts w:cstheme="minorHAnsi"/>
          <w:sz w:val="24"/>
          <w:szCs w:val="24"/>
        </w:rPr>
        <w:t>with various stages of the HIV life cycle</w:t>
      </w:r>
      <w:r w:rsidR="00310FAB">
        <w:rPr>
          <w:rFonts w:cstheme="minorHAnsi"/>
          <w:sz w:val="24"/>
          <w:szCs w:val="24"/>
        </w:rPr>
        <w:t>. Dosage usually follows a</w:t>
      </w:r>
      <w:r w:rsidRPr="008A1B8F">
        <w:rPr>
          <w:rFonts w:cstheme="minorHAnsi"/>
          <w:sz w:val="24"/>
          <w:szCs w:val="24"/>
        </w:rPr>
        <w:t xml:space="preserve"> typical daily </w:t>
      </w:r>
      <w:r w:rsidR="00310FAB">
        <w:rPr>
          <w:rFonts w:cstheme="minorHAnsi"/>
          <w:sz w:val="24"/>
          <w:szCs w:val="24"/>
        </w:rPr>
        <w:t>routine or</w:t>
      </w:r>
      <w:r w:rsidRPr="008A1B8F">
        <w:rPr>
          <w:rFonts w:cstheme="minorHAnsi"/>
          <w:sz w:val="24"/>
          <w:szCs w:val="24"/>
        </w:rPr>
        <w:t xml:space="preserve"> through newer methods like monthly injections</w:t>
      </w:r>
      <w:r w:rsidR="00C7251F" w:rsidRPr="008A1B8F">
        <w:rPr>
          <w:rFonts w:cstheme="minorHAnsi"/>
          <w:sz w:val="24"/>
          <w:szCs w:val="24"/>
        </w:rPr>
        <w:t xml:space="preserve"> (Babatunde et al., 2023)</w:t>
      </w:r>
      <w:r w:rsidRPr="008A1B8F">
        <w:rPr>
          <w:rFonts w:cstheme="minorHAnsi"/>
          <w:sz w:val="24"/>
          <w:szCs w:val="24"/>
        </w:rPr>
        <w:t>.</w:t>
      </w:r>
    </w:p>
    <w:p w14:paraId="528301FA" w14:textId="1F47AB63" w:rsidR="00D8553E" w:rsidRPr="008A1B8F" w:rsidRDefault="00C64373" w:rsidP="00C64373">
      <w:pPr>
        <w:jc w:val="both"/>
        <w:rPr>
          <w:rFonts w:cstheme="minorHAnsi"/>
          <w:sz w:val="24"/>
          <w:szCs w:val="24"/>
        </w:rPr>
      </w:pPr>
      <w:r w:rsidRPr="008A1B8F">
        <w:rPr>
          <w:rFonts w:cstheme="minorHAnsi"/>
          <w:sz w:val="24"/>
          <w:szCs w:val="24"/>
        </w:rPr>
        <w:t xml:space="preserve">Protease inhibitors </w:t>
      </w:r>
      <w:r w:rsidR="00602E8F" w:rsidRPr="008A1B8F">
        <w:rPr>
          <w:rFonts w:cstheme="minorHAnsi"/>
          <w:sz w:val="24"/>
          <w:szCs w:val="24"/>
        </w:rPr>
        <w:t xml:space="preserve">(PIs) </w:t>
      </w:r>
      <w:r w:rsidR="00602E8F">
        <w:rPr>
          <w:rFonts w:cstheme="minorHAnsi"/>
          <w:sz w:val="24"/>
          <w:szCs w:val="24"/>
        </w:rPr>
        <w:t>have been in the health industry since</w:t>
      </w:r>
      <w:r w:rsidR="00E32325">
        <w:rPr>
          <w:rFonts w:cstheme="minorHAnsi"/>
          <w:sz w:val="24"/>
          <w:szCs w:val="24"/>
        </w:rPr>
        <w:t xml:space="preserve"> the early</w:t>
      </w:r>
      <w:r w:rsidRPr="008A1B8F">
        <w:rPr>
          <w:rFonts w:cstheme="minorHAnsi"/>
          <w:sz w:val="24"/>
          <w:szCs w:val="24"/>
        </w:rPr>
        <w:t xml:space="preserve"> 1990s. </w:t>
      </w:r>
      <w:r w:rsidR="00366A01" w:rsidRPr="008A1B8F">
        <w:rPr>
          <w:rFonts w:cstheme="minorHAnsi"/>
          <w:sz w:val="24"/>
          <w:szCs w:val="24"/>
        </w:rPr>
        <w:t>HIV protease inhibitors are among the most widely recommended and effective components of antiretroviral therapy. They belong to a class of antiretroviral drugs, target the protease enzyme that HIV needs for replication (</w:t>
      </w:r>
      <w:proofErr w:type="spellStart"/>
      <w:r w:rsidR="00366A01" w:rsidRPr="008A1B8F">
        <w:rPr>
          <w:rFonts w:cstheme="minorHAnsi"/>
          <w:sz w:val="24"/>
          <w:szCs w:val="24"/>
        </w:rPr>
        <w:t>Mótyán</w:t>
      </w:r>
      <w:proofErr w:type="spellEnd"/>
      <w:r w:rsidR="00366A01" w:rsidRPr="008A1B8F">
        <w:rPr>
          <w:rFonts w:cstheme="minorHAnsi"/>
          <w:sz w:val="24"/>
          <w:szCs w:val="24"/>
        </w:rPr>
        <w:t xml:space="preserve"> et al., 2022). These inhibitors bind directly to the enzyme's active site, where they form hydrogen bonds with residues like Asp 25, blocking the cleavage of viral polyproteins. This action prevents the assembly of mature virions, which reduces viral load and slows disease progression</w:t>
      </w:r>
      <w:r w:rsidR="00602E8F">
        <w:rPr>
          <w:rFonts w:cstheme="minorHAnsi"/>
          <w:sz w:val="24"/>
          <w:szCs w:val="24"/>
        </w:rPr>
        <w:t xml:space="preserve">. This </w:t>
      </w:r>
      <w:r w:rsidR="00D8553E">
        <w:rPr>
          <w:rFonts w:cstheme="minorHAnsi"/>
          <w:sz w:val="24"/>
          <w:szCs w:val="24"/>
        </w:rPr>
        <w:t>was</w:t>
      </w:r>
      <w:r w:rsidR="00602E8F">
        <w:rPr>
          <w:rFonts w:cstheme="minorHAnsi"/>
          <w:sz w:val="24"/>
          <w:szCs w:val="24"/>
        </w:rPr>
        <w:t xml:space="preserve"> reported in a study by </w:t>
      </w:r>
      <w:proofErr w:type="spellStart"/>
      <w:r w:rsidR="00C7251F" w:rsidRPr="008A1B8F">
        <w:rPr>
          <w:rFonts w:cstheme="minorHAnsi"/>
          <w:sz w:val="24"/>
          <w:szCs w:val="24"/>
        </w:rPr>
        <w:t>Weichseldorfer</w:t>
      </w:r>
      <w:proofErr w:type="spellEnd"/>
      <w:r w:rsidR="00C7251F" w:rsidRPr="008A1B8F">
        <w:rPr>
          <w:rFonts w:cstheme="minorHAnsi"/>
          <w:sz w:val="24"/>
          <w:szCs w:val="24"/>
        </w:rPr>
        <w:t xml:space="preserve"> et al., </w:t>
      </w:r>
      <w:r w:rsidR="00E32325">
        <w:rPr>
          <w:rFonts w:cstheme="minorHAnsi"/>
          <w:sz w:val="24"/>
          <w:szCs w:val="24"/>
        </w:rPr>
        <w:t>(</w:t>
      </w:r>
      <w:r w:rsidR="00C7251F" w:rsidRPr="008A1B8F">
        <w:rPr>
          <w:rFonts w:cstheme="minorHAnsi"/>
          <w:sz w:val="24"/>
          <w:szCs w:val="24"/>
        </w:rPr>
        <w:t>2021</w:t>
      </w:r>
      <w:r w:rsidR="00E32325">
        <w:rPr>
          <w:rFonts w:cstheme="minorHAnsi"/>
          <w:sz w:val="24"/>
          <w:szCs w:val="24"/>
        </w:rPr>
        <w:t>)</w:t>
      </w:r>
      <w:r w:rsidR="00602E8F">
        <w:rPr>
          <w:rFonts w:cstheme="minorHAnsi"/>
          <w:sz w:val="24"/>
          <w:szCs w:val="24"/>
        </w:rPr>
        <w:t>, and also corroborated by</w:t>
      </w:r>
      <w:r w:rsidR="00C7251F" w:rsidRPr="008A1B8F">
        <w:rPr>
          <w:rFonts w:cstheme="minorHAnsi"/>
          <w:sz w:val="24"/>
          <w:szCs w:val="24"/>
        </w:rPr>
        <w:t xml:space="preserve"> Godfrey-Faussett et al., </w:t>
      </w:r>
      <w:r w:rsidR="00E32325">
        <w:rPr>
          <w:rFonts w:cstheme="minorHAnsi"/>
          <w:sz w:val="24"/>
          <w:szCs w:val="24"/>
        </w:rPr>
        <w:t>(</w:t>
      </w:r>
      <w:r w:rsidR="00C7251F" w:rsidRPr="008A1B8F">
        <w:rPr>
          <w:rFonts w:cstheme="minorHAnsi"/>
          <w:sz w:val="24"/>
          <w:szCs w:val="24"/>
        </w:rPr>
        <w:t>2022</w:t>
      </w:r>
      <w:r w:rsidR="00E32325">
        <w:rPr>
          <w:rFonts w:cstheme="minorHAnsi"/>
          <w:sz w:val="24"/>
          <w:szCs w:val="24"/>
        </w:rPr>
        <w:t>)</w:t>
      </w:r>
      <w:r w:rsidRPr="008A1B8F">
        <w:rPr>
          <w:rFonts w:cstheme="minorHAnsi"/>
          <w:sz w:val="24"/>
          <w:szCs w:val="24"/>
        </w:rPr>
        <w:t xml:space="preserve">. Clinicians often prescribe </w:t>
      </w:r>
      <w:r w:rsidR="00D8553E">
        <w:rPr>
          <w:rFonts w:cstheme="minorHAnsi"/>
          <w:sz w:val="24"/>
          <w:szCs w:val="24"/>
        </w:rPr>
        <w:t xml:space="preserve">some specific types of </w:t>
      </w:r>
      <w:r w:rsidRPr="008A1B8F">
        <w:rPr>
          <w:rFonts w:cstheme="minorHAnsi"/>
          <w:sz w:val="24"/>
          <w:szCs w:val="24"/>
        </w:rPr>
        <w:t xml:space="preserve">PIs, </w:t>
      </w:r>
      <w:r w:rsidR="00E32325">
        <w:rPr>
          <w:rFonts w:cstheme="minorHAnsi"/>
          <w:sz w:val="24"/>
          <w:szCs w:val="24"/>
        </w:rPr>
        <w:t>e</w:t>
      </w:r>
      <w:r w:rsidR="00E32325" w:rsidRPr="00E32325">
        <w:rPr>
          <w:rFonts w:cstheme="minorHAnsi"/>
          <w:sz w:val="24"/>
          <w:szCs w:val="24"/>
        </w:rPr>
        <w:t>xamples of commonly prescribed PIs include</w:t>
      </w:r>
      <w:r w:rsidR="00D8553E">
        <w:rPr>
          <w:rFonts w:cstheme="minorHAnsi"/>
          <w:sz w:val="24"/>
          <w:szCs w:val="24"/>
        </w:rPr>
        <w:t>:</w:t>
      </w:r>
      <w:r w:rsidRPr="008A1B8F">
        <w:rPr>
          <w:rFonts w:cstheme="minorHAnsi"/>
          <w:sz w:val="24"/>
          <w:szCs w:val="24"/>
        </w:rPr>
        <w:t xml:space="preserve"> lopinavir or atazanavir, for patients who require robust viral suppression, particularly those who develop resistance to other drugs. </w:t>
      </w:r>
    </w:p>
    <w:p w14:paraId="234E5C76" w14:textId="75FF6AC7" w:rsidR="00B23E87" w:rsidRPr="008A1B8F" w:rsidRDefault="00816633" w:rsidP="00B23E87">
      <w:pPr>
        <w:jc w:val="both"/>
        <w:rPr>
          <w:rFonts w:cstheme="minorHAnsi"/>
          <w:sz w:val="24"/>
          <w:szCs w:val="24"/>
        </w:rPr>
      </w:pPr>
      <w:r w:rsidRPr="008A1B8F">
        <w:rPr>
          <w:rFonts w:cstheme="minorHAnsi"/>
          <w:sz w:val="24"/>
          <w:szCs w:val="24"/>
        </w:rPr>
        <w:t xml:space="preserve">PIs, such as ritonavir, work by mimicking the substrate transition state, which makes them effective against both HIV-1 and HIV-2. </w:t>
      </w:r>
      <w:r w:rsidR="00D8553E">
        <w:rPr>
          <w:rFonts w:cstheme="minorHAnsi"/>
          <w:sz w:val="24"/>
          <w:szCs w:val="24"/>
        </w:rPr>
        <w:t>Also,</w:t>
      </w:r>
      <w:r w:rsidRPr="008A1B8F">
        <w:rPr>
          <w:rFonts w:cstheme="minorHAnsi"/>
          <w:sz w:val="24"/>
          <w:szCs w:val="24"/>
        </w:rPr>
        <w:t xml:space="preserve"> ritonavir not only inhibits protease but also boosts other PIs by slowing their metabolism through cytochrome P450 inhibition</w:t>
      </w:r>
      <w:r w:rsidR="00366A01" w:rsidRPr="008A1B8F">
        <w:rPr>
          <w:rFonts w:cstheme="minorHAnsi"/>
          <w:sz w:val="24"/>
          <w:szCs w:val="24"/>
        </w:rPr>
        <w:t xml:space="preserve">. </w:t>
      </w:r>
      <w:r w:rsidR="00D8553E">
        <w:rPr>
          <w:rFonts w:cstheme="minorHAnsi"/>
          <w:sz w:val="24"/>
          <w:szCs w:val="24"/>
        </w:rPr>
        <w:t xml:space="preserve">With these </w:t>
      </w:r>
      <w:r w:rsidR="00785F87">
        <w:rPr>
          <w:rFonts w:cstheme="minorHAnsi"/>
          <w:sz w:val="24"/>
          <w:szCs w:val="24"/>
        </w:rPr>
        <w:t>d</w:t>
      </w:r>
      <w:r w:rsidR="00D8553E">
        <w:rPr>
          <w:rFonts w:cstheme="minorHAnsi"/>
          <w:sz w:val="24"/>
          <w:szCs w:val="24"/>
        </w:rPr>
        <w:t xml:space="preserve">rugs the </w:t>
      </w:r>
      <w:r w:rsidR="00C7251F" w:rsidRPr="008A1B8F">
        <w:rPr>
          <w:rFonts w:cstheme="minorHAnsi"/>
          <w:sz w:val="24"/>
          <w:szCs w:val="24"/>
        </w:rPr>
        <w:t xml:space="preserve">prognosis and quality of life for </w:t>
      </w:r>
      <w:r w:rsidR="00785F87">
        <w:rPr>
          <w:rFonts w:cstheme="minorHAnsi"/>
          <w:sz w:val="24"/>
          <w:szCs w:val="24"/>
        </w:rPr>
        <w:t>H</w:t>
      </w:r>
      <w:r w:rsidR="00F81DB4">
        <w:rPr>
          <w:rFonts w:cstheme="minorHAnsi"/>
          <w:sz w:val="24"/>
          <w:szCs w:val="24"/>
        </w:rPr>
        <w:t>IV</w:t>
      </w:r>
      <w:r w:rsidR="00785F87">
        <w:rPr>
          <w:rFonts w:cstheme="minorHAnsi"/>
          <w:sz w:val="24"/>
          <w:szCs w:val="24"/>
        </w:rPr>
        <w:t xml:space="preserve"> patients becomes improved</w:t>
      </w:r>
      <w:r w:rsidR="00B23E87" w:rsidRPr="008A1B8F">
        <w:rPr>
          <w:rFonts w:cstheme="minorHAnsi"/>
          <w:sz w:val="24"/>
          <w:szCs w:val="24"/>
        </w:rPr>
        <w:t xml:space="preserve"> (Henning and Greene, 2023)</w:t>
      </w:r>
      <w:r w:rsidR="00C7251F" w:rsidRPr="008A1B8F">
        <w:rPr>
          <w:rFonts w:cstheme="minorHAnsi"/>
          <w:sz w:val="24"/>
          <w:szCs w:val="24"/>
        </w:rPr>
        <w:t xml:space="preserve">. However, emerging research </w:t>
      </w:r>
      <w:r w:rsidR="00785F87">
        <w:rPr>
          <w:rFonts w:cstheme="minorHAnsi"/>
          <w:sz w:val="24"/>
          <w:szCs w:val="24"/>
        </w:rPr>
        <w:t>has been indicating</w:t>
      </w:r>
      <w:r w:rsidR="00C7251F" w:rsidRPr="008A1B8F">
        <w:rPr>
          <w:rFonts w:cstheme="minorHAnsi"/>
          <w:sz w:val="24"/>
          <w:szCs w:val="24"/>
        </w:rPr>
        <w:t xml:space="preserve"> that prolonged use of PIs may be associated with metabolic complications</w:t>
      </w:r>
      <w:r w:rsidR="00785F87">
        <w:rPr>
          <w:rFonts w:cstheme="minorHAnsi"/>
          <w:sz w:val="24"/>
          <w:szCs w:val="24"/>
        </w:rPr>
        <w:t xml:space="preserve">. One of </w:t>
      </w:r>
      <w:r w:rsidR="00E32325" w:rsidRPr="00E32325">
        <w:rPr>
          <w:rFonts w:cstheme="minorHAnsi"/>
          <w:sz w:val="24"/>
          <w:szCs w:val="24"/>
        </w:rPr>
        <w:t>the most commonly</w:t>
      </w:r>
      <w:r w:rsidR="00785F87">
        <w:rPr>
          <w:rFonts w:cstheme="minorHAnsi"/>
          <w:sz w:val="24"/>
          <w:szCs w:val="24"/>
        </w:rPr>
        <w:t xml:space="preserve"> reported conditions is</w:t>
      </w:r>
      <w:r w:rsidR="00C7251F" w:rsidRPr="008A1B8F">
        <w:rPr>
          <w:rFonts w:cstheme="minorHAnsi"/>
          <w:sz w:val="24"/>
          <w:szCs w:val="24"/>
        </w:rPr>
        <w:t xml:space="preserve"> dyslipidaemia, which can </w:t>
      </w:r>
      <w:r w:rsidR="00785F87">
        <w:rPr>
          <w:rFonts w:cstheme="minorHAnsi"/>
          <w:sz w:val="24"/>
          <w:szCs w:val="24"/>
        </w:rPr>
        <w:t>lead to</w:t>
      </w:r>
      <w:r w:rsidR="00C7251F" w:rsidRPr="008A1B8F">
        <w:rPr>
          <w:rFonts w:cstheme="minorHAnsi"/>
          <w:sz w:val="24"/>
          <w:szCs w:val="24"/>
        </w:rPr>
        <w:t xml:space="preserve"> risk of cardiovascular diseases</w:t>
      </w:r>
      <w:r w:rsidR="00B23E87" w:rsidRPr="008A1B8F">
        <w:rPr>
          <w:rFonts w:cstheme="minorHAnsi"/>
          <w:sz w:val="24"/>
          <w:szCs w:val="24"/>
        </w:rPr>
        <w:t xml:space="preserve"> (Cowdell et al., 2022; Gazzaniga et al., 2025)</w:t>
      </w:r>
      <w:r w:rsidR="00C7251F" w:rsidRPr="008A1B8F">
        <w:rPr>
          <w:rFonts w:cstheme="minorHAnsi"/>
          <w:sz w:val="24"/>
          <w:szCs w:val="24"/>
        </w:rPr>
        <w:t xml:space="preserve">. </w:t>
      </w:r>
      <w:r w:rsidR="00366A01" w:rsidRPr="008A1B8F">
        <w:rPr>
          <w:rFonts w:cstheme="minorHAnsi"/>
          <w:sz w:val="24"/>
          <w:szCs w:val="24"/>
        </w:rPr>
        <w:t xml:space="preserve"> </w:t>
      </w:r>
      <w:r w:rsidR="00B23E87" w:rsidRPr="008A1B8F">
        <w:rPr>
          <w:rFonts w:cstheme="minorHAnsi"/>
          <w:sz w:val="24"/>
          <w:szCs w:val="24"/>
        </w:rPr>
        <w:t xml:space="preserve">Dyslipidaemia </w:t>
      </w:r>
      <w:r w:rsidR="00785F87">
        <w:rPr>
          <w:rFonts w:cstheme="minorHAnsi"/>
          <w:sz w:val="24"/>
          <w:szCs w:val="24"/>
        </w:rPr>
        <w:t>manifests in</w:t>
      </w:r>
      <w:r w:rsidR="00B23E87" w:rsidRPr="008A1B8F">
        <w:rPr>
          <w:rFonts w:cstheme="minorHAnsi"/>
          <w:sz w:val="24"/>
          <w:szCs w:val="24"/>
        </w:rPr>
        <w:t xml:space="preserve"> many HIV patients </w:t>
      </w:r>
      <w:r w:rsidR="00196DAB">
        <w:rPr>
          <w:rFonts w:cstheme="minorHAnsi"/>
          <w:sz w:val="24"/>
          <w:szCs w:val="24"/>
        </w:rPr>
        <w:t xml:space="preserve">that take up </w:t>
      </w:r>
      <w:r w:rsidR="00B23E87" w:rsidRPr="008A1B8F">
        <w:rPr>
          <w:rFonts w:cstheme="minorHAnsi"/>
          <w:sz w:val="24"/>
          <w:szCs w:val="24"/>
        </w:rPr>
        <w:t>protease inhibitor</w:t>
      </w:r>
      <w:r w:rsidR="00196DAB">
        <w:rPr>
          <w:rFonts w:cstheme="minorHAnsi"/>
          <w:sz w:val="24"/>
          <w:szCs w:val="24"/>
        </w:rPr>
        <w:t xml:space="preserve"> drugs</w:t>
      </w:r>
      <w:r w:rsidR="00B23E87" w:rsidRPr="008A1B8F">
        <w:rPr>
          <w:rFonts w:cstheme="minorHAnsi"/>
          <w:sz w:val="24"/>
          <w:szCs w:val="24"/>
        </w:rPr>
        <w:t>, with studies reporting elevated</w:t>
      </w:r>
      <w:r w:rsidR="00564544">
        <w:rPr>
          <w:rFonts w:cstheme="minorHAnsi"/>
          <w:sz w:val="24"/>
          <w:szCs w:val="24"/>
        </w:rPr>
        <w:t xml:space="preserve"> </w:t>
      </w:r>
      <w:r w:rsidR="00196DAB">
        <w:rPr>
          <w:rFonts w:cstheme="minorHAnsi"/>
          <w:sz w:val="24"/>
          <w:szCs w:val="24"/>
        </w:rPr>
        <w:t xml:space="preserve">lipid profile </w:t>
      </w:r>
      <w:r w:rsidR="00564544">
        <w:rPr>
          <w:rFonts w:cstheme="minorHAnsi"/>
          <w:sz w:val="24"/>
          <w:szCs w:val="24"/>
        </w:rPr>
        <w:t xml:space="preserve">parameters </w:t>
      </w:r>
      <w:r w:rsidR="00B23E87" w:rsidRPr="008A1B8F">
        <w:rPr>
          <w:rFonts w:cstheme="minorHAnsi"/>
          <w:sz w:val="24"/>
          <w:szCs w:val="24"/>
        </w:rPr>
        <w:t xml:space="preserve">(Wan et al., 2023; Papantoniou et al., 2024). </w:t>
      </w:r>
      <w:r w:rsidR="00564544">
        <w:rPr>
          <w:rFonts w:cstheme="minorHAnsi"/>
          <w:sz w:val="24"/>
          <w:szCs w:val="24"/>
        </w:rPr>
        <w:t>Some studies explain that dyslipidaemia may arise</w:t>
      </w:r>
      <w:r w:rsidR="00B23E87" w:rsidRPr="008A1B8F">
        <w:rPr>
          <w:rFonts w:cstheme="minorHAnsi"/>
          <w:sz w:val="24"/>
          <w:szCs w:val="24"/>
        </w:rPr>
        <w:t xml:space="preserve"> from </w:t>
      </w:r>
      <w:r w:rsidR="003E6647" w:rsidRPr="008A1B8F">
        <w:rPr>
          <w:rFonts w:cstheme="minorHAnsi"/>
          <w:sz w:val="24"/>
          <w:szCs w:val="24"/>
        </w:rPr>
        <w:t xml:space="preserve">the drug’s interference </w:t>
      </w:r>
      <w:r w:rsidR="00B23E87" w:rsidRPr="008A1B8F">
        <w:rPr>
          <w:rFonts w:cstheme="minorHAnsi"/>
          <w:sz w:val="24"/>
          <w:szCs w:val="24"/>
        </w:rPr>
        <w:t>with lipid homeostasis</w:t>
      </w:r>
      <w:r w:rsidR="00564544">
        <w:rPr>
          <w:rFonts w:cstheme="minorHAnsi"/>
          <w:sz w:val="24"/>
          <w:szCs w:val="24"/>
        </w:rPr>
        <w:t>.</w:t>
      </w:r>
    </w:p>
    <w:p w14:paraId="48753B45" w14:textId="440B860B" w:rsidR="00642077" w:rsidRPr="008A1B8F" w:rsidRDefault="00E32325" w:rsidP="00C7251F">
      <w:pPr>
        <w:jc w:val="both"/>
        <w:rPr>
          <w:rFonts w:cstheme="minorHAnsi"/>
          <w:sz w:val="24"/>
          <w:szCs w:val="24"/>
        </w:rPr>
      </w:pPr>
      <w:r w:rsidRPr="00E32325">
        <w:rPr>
          <w:rFonts w:cstheme="minorHAnsi"/>
          <w:sz w:val="24"/>
          <w:szCs w:val="24"/>
        </w:rPr>
        <w:t>These findings are concerning</w:t>
      </w:r>
      <w:r>
        <w:rPr>
          <w:rFonts w:cstheme="minorHAnsi"/>
          <w:sz w:val="24"/>
          <w:szCs w:val="24"/>
        </w:rPr>
        <w:t xml:space="preserve"> </w:t>
      </w:r>
      <w:r w:rsidR="00564544">
        <w:rPr>
          <w:rFonts w:cstheme="minorHAnsi"/>
          <w:sz w:val="24"/>
          <w:szCs w:val="24"/>
        </w:rPr>
        <w:t>for the</w:t>
      </w:r>
      <w:r w:rsidR="00C7251F" w:rsidRPr="008A1B8F">
        <w:rPr>
          <w:rFonts w:cstheme="minorHAnsi"/>
          <w:sz w:val="24"/>
          <w:szCs w:val="24"/>
        </w:rPr>
        <w:t xml:space="preserve"> long-term safety of </w:t>
      </w:r>
      <w:r w:rsidR="00564544">
        <w:rPr>
          <w:rFonts w:cstheme="minorHAnsi"/>
          <w:sz w:val="24"/>
          <w:szCs w:val="24"/>
        </w:rPr>
        <w:t xml:space="preserve">patients on </w:t>
      </w:r>
      <w:r w:rsidR="00C7251F" w:rsidRPr="008A1B8F">
        <w:rPr>
          <w:rFonts w:cstheme="minorHAnsi"/>
          <w:sz w:val="24"/>
          <w:szCs w:val="24"/>
        </w:rPr>
        <w:t>PI-based therapy</w:t>
      </w:r>
      <w:r w:rsidR="001F7FD4" w:rsidRPr="008A1B8F">
        <w:rPr>
          <w:rFonts w:cstheme="minorHAnsi"/>
          <w:sz w:val="24"/>
          <w:szCs w:val="24"/>
        </w:rPr>
        <w:t xml:space="preserve"> (</w:t>
      </w:r>
      <w:proofErr w:type="spellStart"/>
      <w:r w:rsidR="001F7FD4" w:rsidRPr="008A1B8F">
        <w:rPr>
          <w:rFonts w:cstheme="minorHAnsi"/>
          <w:sz w:val="24"/>
          <w:szCs w:val="24"/>
        </w:rPr>
        <w:t>Hanhoff</w:t>
      </w:r>
      <w:proofErr w:type="spellEnd"/>
      <w:r w:rsidR="001F7FD4" w:rsidRPr="008A1B8F">
        <w:rPr>
          <w:rFonts w:cstheme="minorHAnsi"/>
          <w:sz w:val="24"/>
          <w:szCs w:val="24"/>
        </w:rPr>
        <w:t xml:space="preserve"> et al., 2019; Hidalgo-Tenorio </w:t>
      </w:r>
      <w:r w:rsidR="00D33F1D" w:rsidRPr="008A1B8F">
        <w:rPr>
          <w:rFonts w:cstheme="minorHAnsi"/>
          <w:sz w:val="24"/>
          <w:szCs w:val="24"/>
        </w:rPr>
        <w:t>and Martínez-Sanz</w:t>
      </w:r>
      <w:r w:rsidR="001F7FD4" w:rsidRPr="008A1B8F">
        <w:rPr>
          <w:rFonts w:cstheme="minorHAnsi"/>
          <w:sz w:val="24"/>
          <w:szCs w:val="24"/>
        </w:rPr>
        <w:t>, 2025)</w:t>
      </w:r>
      <w:r w:rsidR="00C7251F" w:rsidRPr="008A1B8F">
        <w:rPr>
          <w:rFonts w:cstheme="minorHAnsi"/>
          <w:sz w:val="24"/>
          <w:szCs w:val="24"/>
        </w:rPr>
        <w:t xml:space="preserve">. Therefore, there is a need for continued investigation </w:t>
      </w:r>
      <w:r w:rsidR="00564544">
        <w:rPr>
          <w:rFonts w:cstheme="minorHAnsi"/>
          <w:sz w:val="24"/>
          <w:szCs w:val="24"/>
        </w:rPr>
        <w:t xml:space="preserve">how </w:t>
      </w:r>
      <w:r w:rsidR="00C7251F" w:rsidRPr="008A1B8F">
        <w:rPr>
          <w:rFonts w:cstheme="minorHAnsi"/>
          <w:sz w:val="24"/>
          <w:szCs w:val="24"/>
        </w:rPr>
        <w:t>dyslipidaemia</w:t>
      </w:r>
      <w:r w:rsidR="00564544">
        <w:rPr>
          <w:rFonts w:cstheme="minorHAnsi"/>
          <w:sz w:val="24"/>
          <w:szCs w:val="24"/>
        </w:rPr>
        <w:t xml:space="preserve"> can escalate in such drug regime. This also begs for the need to explore po</w:t>
      </w:r>
      <w:r w:rsidR="00C7251F" w:rsidRPr="008A1B8F">
        <w:rPr>
          <w:rFonts w:cstheme="minorHAnsi"/>
          <w:sz w:val="24"/>
          <w:szCs w:val="24"/>
        </w:rPr>
        <w:t>tential interventions or adjunct therapies that could counteract these</w:t>
      </w:r>
      <w:r w:rsidR="003E6647" w:rsidRPr="008A1B8F">
        <w:rPr>
          <w:rFonts w:cstheme="minorHAnsi"/>
          <w:sz w:val="24"/>
          <w:szCs w:val="24"/>
        </w:rPr>
        <w:t xml:space="preserve"> possible</w:t>
      </w:r>
      <w:r w:rsidR="00C7251F" w:rsidRPr="008A1B8F">
        <w:rPr>
          <w:rFonts w:cstheme="minorHAnsi"/>
          <w:sz w:val="24"/>
          <w:szCs w:val="24"/>
        </w:rPr>
        <w:t xml:space="preserve"> lipid alterations</w:t>
      </w:r>
      <w:r w:rsidR="00FF76CC" w:rsidRPr="008A1B8F">
        <w:rPr>
          <w:rFonts w:cstheme="minorHAnsi"/>
          <w:sz w:val="24"/>
          <w:szCs w:val="24"/>
        </w:rPr>
        <w:t xml:space="preserve"> (Gazzaniga et al., 2025)</w:t>
      </w:r>
      <w:r w:rsidR="00C7251F" w:rsidRPr="008A1B8F">
        <w:rPr>
          <w:rFonts w:cstheme="minorHAnsi"/>
          <w:sz w:val="24"/>
          <w:szCs w:val="24"/>
        </w:rPr>
        <w:t>.</w:t>
      </w:r>
      <w:r w:rsidR="00642077" w:rsidRPr="008A1B8F">
        <w:rPr>
          <w:rFonts w:cstheme="minorHAnsi"/>
          <w:sz w:val="24"/>
          <w:szCs w:val="24"/>
        </w:rPr>
        <w:t xml:space="preserve"> </w:t>
      </w:r>
      <w:r w:rsidR="00C7251F" w:rsidRPr="008A1B8F">
        <w:rPr>
          <w:rFonts w:cstheme="minorHAnsi"/>
          <w:sz w:val="24"/>
          <w:szCs w:val="24"/>
        </w:rPr>
        <w:t xml:space="preserve">Lifestyle changes, like </w:t>
      </w:r>
      <w:r w:rsidR="00642077" w:rsidRPr="008A1B8F">
        <w:rPr>
          <w:rFonts w:cstheme="minorHAnsi"/>
          <w:sz w:val="24"/>
          <w:szCs w:val="24"/>
        </w:rPr>
        <w:t>dieting</w:t>
      </w:r>
      <w:r w:rsidR="00C7251F" w:rsidRPr="008A1B8F">
        <w:rPr>
          <w:rFonts w:cstheme="minorHAnsi"/>
          <w:sz w:val="24"/>
          <w:szCs w:val="24"/>
        </w:rPr>
        <w:t xml:space="preserve"> and exercising, can help, but they don't always fix lipid imbalances in people who are still taking PIs.  Having other health problems, like diabetes or fatty liver disease, makes treatment even harder, which shows how important it is to find safer options.</w:t>
      </w:r>
    </w:p>
    <w:p w14:paraId="64B59C5A" w14:textId="502CB3CE" w:rsidR="00FF76CC" w:rsidRPr="008A1B8F" w:rsidRDefault="00C64373" w:rsidP="00C64373">
      <w:pPr>
        <w:jc w:val="both"/>
        <w:rPr>
          <w:rFonts w:cstheme="minorHAnsi"/>
          <w:sz w:val="24"/>
          <w:szCs w:val="24"/>
        </w:rPr>
      </w:pPr>
      <w:r w:rsidRPr="008A1B8F">
        <w:rPr>
          <w:rFonts w:cstheme="minorHAnsi"/>
          <w:sz w:val="24"/>
          <w:szCs w:val="24"/>
        </w:rPr>
        <w:lastRenderedPageBreak/>
        <w:t xml:space="preserve">Curcumin </w:t>
      </w:r>
      <w:r w:rsidR="003E6647" w:rsidRPr="008A1B8F">
        <w:rPr>
          <w:rFonts w:cstheme="minorHAnsi"/>
          <w:sz w:val="24"/>
          <w:szCs w:val="24"/>
        </w:rPr>
        <w:t>is an</w:t>
      </w:r>
      <w:r w:rsidRPr="008A1B8F">
        <w:rPr>
          <w:rFonts w:cstheme="minorHAnsi"/>
          <w:sz w:val="24"/>
          <w:szCs w:val="24"/>
        </w:rPr>
        <w:t xml:space="preserve"> active compound in turmeric</w:t>
      </w:r>
      <w:r w:rsidR="003E6647" w:rsidRPr="008A1B8F">
        <w:rPr>
          <w:rFonts w:cstheme="minorHAnsi"/>
          <w:sz w:val="24"/>
          <w:szCs w:val="24"/>
        </w:rPr>
        <w:t xml:space="preserve"> which</w:t>
      </w:r>
      <w:r w:rsidRPr="008A1B8F">
        <w:rPr>
          <w:rFonts w:cstheme="minorHAnsi"/>
          <w:sz w:val="24"/>
          <w:szCs w:val="24"/>
        </w:rPr>
        <w:t xml:space="preserve"> </w:t>
      </w:r>
      <w:r w:rsidR="00196DAB">
        <w:rPr>
          <w:rFonts w:cstheme="minorHAnsi"/>
          <w:sz w:val="24"/>
          <w:szCs w:val="24"/>
        </w:rPr>
        <w:t xml:space="preserve">is widely known to have </w:t>
      </w:r>
      <w:r w:rsidRPr="008A1B8F">
        <w:rPr>
          <w:rFonts w:cstheme="minorHAnsi"/>
          <w:sz w:val="24"/>
          <w:szCs w:val="24"/>
        </w:rPr>
        <w:t xml:space="preserve">natural anti-inflammatory and lipid-lowering agent. </w:t>
      </w:r>
      <w:r w:rsidR="003E6647" w:rsidRPr="008A1B8F">
        <w:rPr>
          <w:rFonts w:cstheme="minorHAnsi"/>
          <w:sz w:val="24"/>
          <w:szCs w:val="24"/>
        </w:rPr>
        <w:t>It</w:t>
      </w:r>
      <w:r w:rsidR="00FF76CC" w:rsidRPr="008A1B8F">
        <w:rPr>
          <w:rFonts w:cstheme="minorHAnsi"/>
          <w:sz w:val="24"/>
          <w:szCs w:val="24"/>
        </w:rPr>
        <w:t xml:space="preserve"> is a polyphenolic compound extracted from </w:t>
      </w:r>
      <w:r w:rsidR="00FF76CC" w:rsidRPr="008A1B8F">
        <w:rPr>
          <w:rFonts w:cstheme="minorHAnsi"/>
          <w:i/>
          <w:iCs/>
          <w:sz w:val="24"/>
          <w:szCs w:val="24"/>
        </w:rPr>
        <w:t>Curcuma longa</w:t>
      </w:r>
      <w:r w:rsidR="003E6647" w:rsidRPr="008A1B8F">
        <w:rPr>
          <w:rFonts w:cstheme="minorHAnsi"/>
          <w:sz w:val="24"/>
          <w:szCs w:val="24"/>
        </w:rPr>
        <w:t xml:space="preserve">. It </w:t>
      </w:r>
      <w:r w:rsidR="00FF76CC" w:rsidRPr="008A1B8F">
        <w:rPr>
          <w:rFonts w:cstheme="minorHAnsi"/>
          <w:sz w:val="24"/>
          <w:szCs w:val="24"/>
        </w:rPr>
        <w:t xml:space="preserve">features a diarylheptanoid structure with two ferulic acid residues linked by a methylene bridge. This </w:t>
      </w:r>
      <w:r w:rsidR="00841A3A">
        <w:rPr>
          <w:rFonts w:cstheme="minorHAnsi"/>
          <w:sz w:val="24"/>
          <w:szCs w:val="24"/>
        </w:rPr>
        <w:t>is a chemical property that</w:t>
      </w:r>
      <w:r w:rsidR="00FF76CC" w:rsidRPr="008A1B8F">
        <w:rPr>
          <w:rFonts w:cstheme="minorHAnsi"/>
          <w:sz w:val="24"/>
          <w:szCs w:val="24"/>
        </w:rPr>
        <w:t xml:space="preserve"> allows it to act as a Michael acceptor</w:t>
      </w:r>
      <w:r w:rsidR="00994091">
        <w:rPr>
          <w:rFonts w:cstheme="minorHAnsi"/>
          <w:sz w:val="24"/>
          <w:szCs w:val="24"/>
        </w:rPr>
        <w:t xml:space="preserve"> (</w:t>
      </w:r>
      <w:proofErr w:type="spellStart"/>
      <w:r w:rsidR="00994091" w:rsidRPr="008A1B8F">
        <w:rPr>
          <w:rFonts w:cstheme="minorHAnsi"/>
          <w:sz w:val="24"/>
          <w:szCs w:val="24"/>
        </w:rPr>
        <w:t>Boulmokh</w:t>
      </w:r>
      <w:proofErr w:type="spellEnd"/>
      <w:r w:rsidR="00994091" w:rsidRPr="008A1B8F">
        <w:rPr>
          <w:rFonts w:cstheme="minorHAnsi"/>
          <w:sz w:val="24"/>
          <w:szCs w:val="24"/>
        </w:rPr>
        <w:t xml:space="preserve"> et al., 2024</w:t>
      </w:r>
      <w:r w:rsidR="00994091">
        <w:rPr>
          <w:rFonts w:cstheme="minorHAnsi"/>
          <w:sz w:val="24"/>
          <w:szCs w:val="24"/>
        </w:rPr>
        <w:t>)</w:t>
      </w:r>
      <w:r w:rsidR="00FF76CC" w:rsidRPr="008A1B8F">
        <w:rPr>
          <w:rFonts w:cstheme="minorHAnsi"/>
          <w:sz w:val="24"/>
          <w:szCs w:val="24"/>
        </w:rPr>
        <w:t xml:space="preserve">, </w:t>
      </w:r>
      <w:r w:rsidR="00196DAB">
        <w:rPr>
          <w:rFonts w:cstheme="minorHAnsi"/>
          <w:sz w:val="24"/>
          <w:szCs w:val="24"/>
        </w:rPr>
        <w:t>serving as a targeted compound of interest for most research</w:t>
      </w:r>
      <w:r w:rsidR="00841A3A">
        <w:rPr>
          <w:rFonts w:cstheme="minorHAnsi"/>
          <w:sz w:val="24"/>
          <w:szCs w:val="24"/>
        </w:rPr>
        <w:t xml:space="preserve"> </w:t>
      </w:r>
      <w:r w:rsidR="00FF76CC" w:rsidRPr="008A1B8F">
        <w:rPr>
          <w:rFonts w:cstheme="minorHAnsi"/>
          <w:sz w:val="24"/>
          <w:szCs w:val="24"/>
        </w:rPr>
        <w:t>(</w:t>
      </w:r>
      <w:proofErr w:type="spellStart"/>
      <w:r w:rsidR="00FF76CC" w:rsidRPr="008A1B8F">
        <w:rPr>
          <w:rFonts w:cstheme="minorHAnsi"/>
          <w:sz w:val="24"/>
          <w:szCs w:val="24"/>
        </w:rPr>
        <w:t>Boulmokh</w:t>
      </w:r>
      <w:proofErr w:type="spellEnd"/>
      <w:r w:rsidR="00FF76CC" w:rsidRPr="008A1B8F">
        <w:rPr>
          <w:rFonts w:cstheme="minorHAnsi"/>
          <w:sz w:val="24"/>
          <w:szCs w:val="24"/>
        </w:rPr>
        <w:t xml:space="preserve"> et al., 2024; Chen et al., 2024).</w:t>
      </w:r>
      <w:r w:rsidR="004248B5" w:rsidRPr="008A1B8F">
        <w:rPr>
          <w:rFonts w:cstheme="minorHAnsi"/>
          <w:sz w:val="24"/>
          <w:szCs w:val="24"/>
        </w:rPr>
        <w:t xml:space="preserve"> </w:t>
      </w:r>
      <w:r w:rsidR="00FF76CC" w:rsidRPr="008A1B8F">
        <w:rPr>
          <w:rFonts w:cstheme="minorHAnsi"/>
          <w:sz w:val="24"/>
          <w:szCs w:val="24"/>
        </w:rPr>
        <w:t xml:space="preserve">Curcumin exhibits antioxidant effects by scavenging free radicals such as superoxide and nitric oxide, which protects cells from oxidative damage. It reduces lipid peroxidation, as demonstrated in studies where it lowered malondialdehyde levels in stressed tissues. </w:t>
      </w:r>
      <w:r w:rsidR="00994091">
        <w:rPr>
          <w:rFonts w:cstheme="minorHAnsi"/>
          <w:sz w:val="24"/>
          <w:szCs w:val="24"/>
        </w:rPr>
        <w:t xml:space="preserve">There </w:t>
      </w:r>
      <w:proofErr w:type="gramStart"/>
      <w:r w:rsidR="00994091">
        <w:rPr>
          <w:rFonts w:cstheme="minorHAnsi"/>
          <w:sz w:val="24"/>
          <w:szCs w:val="24"/>
        </w:rPr>
        <w:t>is</w:t>
      </w:r>
      <w:proofErr w:type="gramEnd"/>
      <w:r w:rsidR="00994091">
        <w:rPr>
          <w:rFonts w:cstheme="minorHAnsi"/>
          <w:sz w:val="24"/>
          <w:szCs w:val="24"/>
        </w:rPr>
        <w:t xml:space="preserve"> also reports on </w:t>
      </w:r>
      <w:r w:rsidR="00FF76CC" w:rsidRPr="008A1B8F">
        <w:rPr>
          <w:rFonts w:cstheme="minorHAnsi"/>
          <w:sz w:val="24"/>
          <w:szCs w:val="24"/>
        </w:rPr>
        <w:t>anti-inflammatory actions</w:t>
      </w:r>
      <w:r w:rsidR="00994091">
        <w:rPr>
          <w:rFonts w:cstheme="minorHAnsi"/>
          <w:sz w:val="24"/>
          <w:szCs w:val="24"/>
        </w:rPr>
        <w:t xml:space="preserve"> (</w:t>
      </w:r>
      <w:r w:rsidR="00994091" w:rsidRPr="008A1B8F">
        <w:rPr>
          <w:rFonts w:cstheme="minorHAnsi"/>
          <w:sz w:val="24"/>
          <w:szCs w:val="24"/>
        </w:rPr>
        <w:t>Chen et al., 2024)</w:t>
      </w:r>
      <w:r w:rsidR="00FF76CC" w:rsidRPr="008A1B8F">
        <w:rPr>
          <w:rFonts w:cstheme="minorHAnsi"/>
          <w:sz w:val="24"/>
          <w:szCs w:val="24"/>
        </w:rPr>
        <w:t>, curcumin inhibits nuclear factor-kappa B, which suppresses cytokines like TNF-α and IL-6, easing conditions such as arthritis (</w:t>
      </w:r>
      <w:proofErr w:type="spellStart"/>
      <w:r w:rsidR="00FF76CC" w:rsidRPr="008A1B8F">
        <w:rPr>
          <w:rFonts w:cstheme="minorHAnsi"/>
          <w:sz w:val="24"/>
          <w:szCs w:val="24"/>
        </w:rPr>
        <w:t>Boulmokh</w:t>
      </w:r>
      <w:proofErr w:type="spellEnd"/>
      <w:r w:rsidR="00FF76CC" w:rsidRPr="008A1B8F">
        <w:rPr>
          <w:rFonts w:cstheme="minorHAnsi"/>
          <w:sz w:val="24"/>
          <w:szCs w:val="24"/>
        </w:rPr>
        <w:t xml:space="preserve"> et al., 2024). Its hypolipidemic properties involve downregulating enzymes like fatty acid synthase, leading to lower triglycerides and cholesterol, as seen in trials where it improved lipid profiles in metabolic syndrome patients. Researchers say these effects, which stem from curcumin's pleiotropic nature, position it as a safe natural agent for chronic diseases (Ye et al., 2024)</w:t>
      </w:r>
    </w:p>
    <w:p w14:paraId="2E65EEAC" w14:textId="77777777" w:rsidR="00994091" w:rsidRPr="00994091" w:rsidRDefault="00994091" w:rsidP="00994091">
      <w:pPr>
        <w:jc w:val="both"/>
        <w:rPr>
          <w:rFonts w:cstheme="minorHAnsi"/>
          <w:sz w:val="24"/>
          <w:szCs w:val="24"/>
        </w:rPr>
      </w:pPr>
      <w:r w:rsidRPr="00994091">
        <w:rPr>
          <w:rFonts w:cstheme="minorHAnsi"/>
          <w:sz w:val="24"/>
          <w:szCs w:val="24"/>
        </w:rPr>
        <w:t>It lowers oxidative stress and inflammatory markers, which are connected to diseases like metabolic syndrome and arthritis (</w:t>
      </w:r>
      <w:proofErr w:type="spellStart"/>
      <w:r w:rsidRPr="00994091">
        <w:rPr>
          <w:rFonts w:cstheme="minorHAnsi"/>
          <w:sz w:val="24"/>
          <w:szCs w:val="24"/>
        </w:rPr>
        <w:t>Fadillah</w:t>
      </w:r>
      <w:proofErr w:type="spellEnd"/>
      <w:r w:rsidRPr="00994091">
        <w:rPr>
          <w:rFonts w:cstheme="minorHAnsi"/>
          <w:sz w:val="24"/>
          <w:szCs w:val="24"/>
        </w:rPr>
        <w:t xml:space="preserve"> et al., 2024). According to studies, curcumin can affect the enzymes that break down fat, lowering triglycerides, total cholesterol, and low-density lipoprotein while raising high-density lipoprotein. Curcumin supplements, for instance, have been shown to improve lipid profiles in patients, indicating that it may be a safe adjunct therapy (Rafiee et al., 2021; Bertoncini-Silva et al., 2024).</w:t>
      </w:r>
    </w:p>
    <w:p w14:paraId="0E76DA40" w14:textId="586E8A5C" w:rsidR="00E52167" w:rsidRPr="008A1B8F" w:rsidRDefault="00C64373" w:rsidP="00816633">
      <w:pPr>
        <w:jc w:val="both"/>
        <w:rPr>
          <w:rFonts w:cstheme="minorHAnsi"/>
          <w:sz w:val="24"/>
          <w:szCs w:val="24"/>
        </w:rPr>
      </w:pPr>
      <w:r w:rsidRPr="008A1B8F">
        <w:rPr>
          <w:rFonts w:cstheme="minorHAnsi"/>
          <w:sz w:val="24"/>
          <w:szCs w:val="24"/>
        </w:rPr>
        <w:t>The properties of curcumin, which include reducing oxidative stress and fat accumulation, make it a promising candidate for addressing PI-induced dyslipidaemia.</w:t>
      </w:r>
      <w:r w:rsidR="00841A3A">
        <w:rPr>
          <w:rFonts w:cstheme="minorHAnsi"/>
          <w:sz w:val="24"/>
          <w:szCs w:val="24"/>
        </w:rPr>
        <w:t xml:space="preserve"> So far in the literature, i</w:t>
      </w:r>
      <w:r w:rsidRPr="008A1B8F">
        <w:rPr>
          <w:rFonts w:cstheme="minorHAnsi"/>
          <w:sz w:val="24"/>
          <w:szCs w:val="24"/>
        </w:rPr>
        <w:t xml:space="preserve">n animal studies, curcumin </w:t>
      </w:r>
      <w:r w:rsidR="00841A3A">
        <w:rPr>
          <w:rFonts w:cstheme="minorHAnsi"/>
          <w:sz w:val="24"/>
          <w:szCs w:val="24"/>
        </w:rPr>
        <w:t>showed protective effect on</w:t>
      </w:r>
      <w:r w:rsidRPr="008A1B8F">
        <w:rPr>
          <w:rFonts w:cstheme="minorHAnsi"/>
          <w:sz w:val="24"/>
          <w:szCs w:val="24"/>
        </w:rPr>
        <w:t xml:space="preserve"> the liver and reduced lipid buildup </w:t>
      </w:r>
      <w:r w:rsidR="00841A3A">
        <w:rPr>
          <w:rFonts w:cstheme="minorHAnsi"/>
          <w:sz w:val="24"/>
          <w:szCs w:val="24"/>
        </w:rPr>
        <w:t xml:space="preserve">in </w:t>
      </w:r>
      <w:r w:rsidR="00624537">
        <w:rPr>
          <w:rFonts w:cstheme="minorHAnsi"/>
          <w:sz w:val="24"/>
          <w:szCs w:val="24"/>
        </w:rPr>
        <w:t>diabetic</w:t>
      </w:r>
      <w:r w:rsidR="00841A3A">
        <w:rPr>
          <w:rFonts w:cstheme="minorHAnsi"/>
          <w:sz w:val="24"/>
          <w:szCs w:val="24"/>
        </w:rPr>
        <w:t xml:space="preserve"> experimental models. This study adopts similar concept of investigation </w:t>
      </w:r>
      <w:r w:rsidR="00A32AF9" w:rsidRPr="008A1B8F">
        <w:rPr>
          <w:rFonts w:cstheme="minorHAnsi"/>
          <w:sz w:val="24"/>
          <w:szCs w:val="24"/>
        </w:rPr>
        <w:t>(</w:t>
      </w:r>
      <w:proofErr w:type="spellStart"/>
      <w:r w:rsidR="00A32AF9" w:rsidRPr="008A1B8F">
        <w:rPr>
          <w:rFonts w:cstheme="minorHAnsi"/>
          <w:sz w:val="24"/>
          <w:szCs w:val="24"/>
        </w:rPr>
        <w:t>Moetlediwa</w:t>
      </w:r>
      <w:proofErr w:type="spellEnd"/>
      <w:r w:rsidR="00A32AF9" w:rsidRPr="008A1B8F">
        <w:rPr>
          <w:rFonts w:cstheme="minorHAnsi"/>
          <w:sz w:val="24"/>
          <w:szCs w:val="24"/>
        </w:rPr>
        <w:t xml:space="preserve"> et al., 2023)</w:t>
      </w:r>
      <w:r w:rsidRPr="008A1B8F">
        <w:rPr>
          <w:rFonts w:cstheme="minorHAnsi"/>
          <w:sz w:val="24"/>
          <w:szCs w:val="24"/>
        </w:rPr>
        <w:t xml:space="preserve">. </w:t>
      </w:r>
      <w:r w:rsidR="00841A3A">
        <w:rPr>
          <w:rFonts w:cstheme="minorHAnsi"/>
          <w:sz w:val="24"/>
          <w:szCs w:val="24"/>
        </w:rPr>
        <w:t>Therefore, t</w:t>
      </w:r>
      <w:r w:rsidR="004248B5" w:rsidRPr="008A1B8F">
        <w:rPr>
          <w:rFonts w:cstheme="minorHAnsi"/>
          <w:sz w:val="24"/>
          <w:szCs w:val="24"/>
        </w:rPr>
        <w:t xml:space="preserve">his study holds potential significance in </w:t>
      </w:r>
      <w:r w:rsidR="00841A3A">
        <w:rPr>
          <w:rFonts w:cstheme="minorHAnsi"/>
          <w:sz w:val="24"/>
          <w:szCs w:val="24"/>
        </w:rPr>
        <w:t>assessing what role</w:t>
      </w:r>
      <w:r w:rsidR="004248B5" w:rsidRPr="008A1B8F">
        <w:rPr>
          <w:rFonts w:cstheme="minorHAnsi"/>
          <w:sz w:val="24"/>
          <w:szCs w:val="24"/>
        </w:rPr>
        <w:t xml:space="preserve"> curcumin as a natural, accessible, and effective agent </w:t>
      </w:r>
      <w:r w:rsidR="00841A3A">
        <w:rPr>
          <w:rFonts w:cstheme="minorHAnsi"/>
          <w:sz w:val="24"/>
          <w:szCs w:val="24"/>
        </w:rPr>
        <w:t xml:space="preserve">can play </w:t>
      </w:r>
      <w:r w:rsidR="004248B5" w:rsidRPr="008A1B8F">
        <w:rPr>
          <w:rFonts w:cstheme="minorHAnsi"/>
          <w:sz w:val="24"/>
          <w:szCs w:val="24"/>
        </w:rPr>
        <w:t xml:space="preserve">for managing HIV protease inhibitor-induced dyslipidaemia. By demonstrating its lipid-lowering and antioxidant properties, the research may </w:t>
      </w:r>
      <w:r w:rsidR="00841A3A">
        <w:rPr>
          <w:rFonts w:cstheme="minorHAnsi"/>
          <w:sz w:val="24"/>
          <w:szCs w:val="24"/>
        </w:rPr>
        <w:t>recommend use of</w:t>
      </w:r>
      <w:r w:rsidR="004248B5" w:rsidRPr="008A1B8F">
        <w:rPr>
          <w:rFonts w:cstheme="minorHAnsi"/>
          <w:sz w:val="24"/>
          <w:szCs w:val="24"/>
        </w:rPr>
        <w:t xml:space="preserve"> adjunct therapies that improve the metabolic safety of antiretroviral treatment. Ultimately, this could enhance the long-term health outcomes and quality of life for </w:t>
      </w:r>
      <w:r w:rsidR="00841A3A">
        <w:rPr>
          <w:rFonts w:cstheme="minorHAnsi"/>
          <w:sz w:val="24"/>
          <w:szCs w:val="24"/>
        </w:rPr>
        <w:t>patients</w:t>
      </w:r>
      <w:r w:rsidR="004248B5" w:rsidRPr="008A1B8F">
        <w:rPr>
          <w:rFonts w:cstheme="minorHAnsi"/>
          <w:sz w:val="24"/>
          <w:szCs w:val="24"/>
        </w:rPr>
        <w:t xml:space="preserve"> undergoing HIV therapy involving protease inhibitors.</w:t>
      </w:r>
    </w:p>
    <w:p w14:paraId="005F1D4F" w14:textId="034110FB" w:rsidR="00F844FD" w:rsidRPr="008A1B8F" w:rsidRDefault="00D26F8A" w:rsidP="004248B5">
      <w:pPr>
        <w:rPr>
          <w:rFonts w:cstheme="minorHAnsi"/>
          <w:b/>
          <w:bCs/>
          <w:sz w:val="24"/>
          <w:szCs w:val="24"/>
        </w:rPr>
      </w:pPr>
      <w:bookmarkStart w:id="0" w:name="_Hlk208574916"/>
      <w:r w:rsidRPr="008A1B8F">
        <w:rPr>
          <w:rFonts w:cstheme="minorHAnsi"/>
          <w:b/>
          <w:bCs/>
          <w:sz w:val="24"/>
          <w:szCs w:val="24"/>
        </w:rPr>
        <w:t>2</w:t>
      </w:r>
      <w:r w:rsidR="00FA29E2" w:rsidRPr="008A1B8F">
        <w:rPr>
          <w:rFonts w:cstheme="minorHAnsi"/>
          <w:b/>
          <w:bCs/>
          <w:sz w:val="24"/>
          <w:szCs w:val="24"/>
        </w:rPr>
        <w:t>.</w:t>
      </w:r>
      <w:r w:rsidR="00456B21" w:rsidRPr="008A1B8F">
        <w:rPr>
          <w:rFonts w:cstheme="minorHAnsi"/>
          <w:b/>
          <w:bCs/>
          <w:sz w:val="24"/>
          <w:szCs w:val="24"/>
        </w:rPr>
        <w:t xml:space="preserve"> </w:t>
      </w:r>
      <w:r w:rsidR="00F844FD" w:rsidRPr="008A1B8F">
        <w:rPr>
          <w:rFonts w:cstheme="minorHAnsi"/>
          <w:b/>
          <w:bCs/>
          <w:sz w:val="24"/>
          <w:szCs w:val="24"/>
        </w:rPr>
        <w:t>MATERIALS AND METHODS</w:t>
      </w:r>
    </w:p>
    <w:p w14:paraId="5B19C7D1" w14:textId="094FF3C8" w:rsidR="004248B5" w:rsidRPr="008A1B8F" w:rsidRDefault="00D26F8A" w:rsidP="00456B21">
      <w:pPr>
        <w:jc w:val="both"/>
        <w:rPr>
          <w:rFonts w:cstheme="minorHAnsi"/>
          <w:b/>
          <w:bCs/>
          <w:sz w:val="24"/>
          <w:szCs w:val="24"/>
        </w:rPr>
      </w:pPr>
      <w:r w:rsidRPr="008A1B8F">
        <w:rPr>
          <w:rFonts w:cstheme="minorHAnsi"/>
          <w:b/>
          <w:bCs/>
          <w:sz w:val="24"/>
          <w:szCs w:val="24"/>
        </w:rPr>
        <w:t>2.1</w:t>
      </w:r>
      <w:r w:rsidR="00166473" w:rsidRPr="008A1B8F">
        <w:rPr>
          <w:rFonts w:cstheme="minorHAnsi"/>
          <w:b/>
          <w:bCs/>
          <w:sz w:val="24"/>
          <w:szCs w:val="24"/>
        </w:rPr>
        <w:t xml:space="preserve"> </w:t>
      </w:r>
      <w:r w:rsidR="004248B5" w:rsidRPr="008A1B8F">
        <w:rPr>
          <w:rFonts w:cstheme="minorHAnsi"/>
          <w:b/>
          <w:bCs/>
          <w:sz w:val="24"/>
          <w:szCs w:val="24"/>
        </w:rPr>
        <w:t>Experimental design</w:t>
      </w:r>
    </w:p>
    <w:bookmarkEnd w:id="0"/>
    <w:p w14:paraId="1C3D932E" w14:textId="6182A260" w:rsidR="00374003" w:rsidRPr="008A1B8F" w:rsidRDefault="00166473" w:rsidP="00D26F8A">
      <w:pPr>
        <w:jc w:val="both"/>
        <w:rPr>
          <w:rFonts w:cstheme="minorHAnsi"/>
          <w:sz w:val="24"/>
          <w:szCs w:val="24"/>
        </w:rPr>
      </w:pPr>
      <w:r w:rsidRPr="008A1B8F">
        <w:rPr>
          <w:rFonts w:cstheme="minorHAnsi"/>
          <w:sz w:val="24"/>
          <w:szCs w:val="24"/>
        </w:rPr>
        <w:t>T</w:t>
      </w:r>
      <w:r w:rsidR="00F844FD" w:rsidRPr="008A1B8F">
        <w:rPr>
          <w:rFonts w:cstheme="minorHAnsi"/>
          <w:sz w:val="24"/>
          <w:szCs w:val="24"/>
        </w:rPr>
        <w:t xml:space="preserve">his </w:t>
      </w:r>
      <w:r w:rsidR="00177BB3" w:rsidRPr="008A1B8F">
        <w:rPr>
          <w:rFonts w:cstheme="minorHAnsi"/>
          <w:sz w:val="24"/>
          <w:szCs w:val="24"/>
        </w:rPr>
        <w:t>was an</w:t>
      </w:r>
      <w:r w:rsidR="00F844FD" w:rsidRPr="008A1B8F">
        <w:rPr>
          <w:rFonts w:cstheme="minorHAnsi"/>
          <w:sz w:val="24"/>
          <w:szCs w:val="24"/>
        </w:rPr>
        <w:t xml:space="preserve"> experimental work done to </w:t>
      </w:r>
      <w:r w:rsidR="00177BB3" w:rsidRPr="008A1B8F">
        <w:rPr>
          <w:rFonts w:cstheme="minorHAnsi"/>
          <w:sz w:val="24"/>
          <w:szCs w:val="24"/>
        </w:rPr>
        <w:t>investigate the ameliorative effects of curcumin on dyslipidaemia induced by HIV protease inhibitors in Wistar albino rat.  The study utilized male Wistar albino rats, which weighed between 180 and 220 grams and were approximately 8 to 10 weeks old.</w:t>
      </w:r>
      <w:r w:rsidR="00374003" w:rsidRPr="008A1B8F">
        <w:rPr>
          <w:rFonts w:cstheme="minorHAnsi"/>
          <w:sz w:val="24"/>
          <w:szCs w:val="24"/>
        </w:rPr>
        <w:t xml:space="preserve"> A total of 24 animals were used for the study. This study involved four (4) groups of </w:t>
      </w:r>
      <w:r w:rsidR="00374003" w:rsidRPr="008A1B8F">
        <w:rPr>
          <w:rFonts w:cstheme="minorHAnsi"/>
          <w:sz w:val="24"/>
          <w:szCs w:val="24"/>
        </w:rPr>
        <w:lastRenderedPageBreak/>
        <w:t>adult male Wistar rats consisting of 6 animals each</w:t>
      </w:r>
      <w:r w:rsidR="004A0D92">
        <w:rPr>
          <w:rFonts w:cstheme="minorHAnsi"/>
          <w:sz w:val="24"/>
          <w:szCs w:val="24"/>
        </w:rPr>
        <w:t xml:space="preserve">. </w:t>
      </w:r>
      <w:r w:rsidR="00374003" w:rsidRPr="008A1B8F">
        <w:rPr>
          <w:rFonts w:cstheme="minorHAnsi"/>
          <w:sz w:val="24"/>
          <w:szCs w:val="24"/>
        </w:rPr>
        <w:t>The animals were randomly assigned to different treatment groups and monitored under standardized laboratory conditions.</w:t>
      </w:r>
    </w:p>
    <w:p w14:paraId="11D2C933" w14:textId="533B211E" w:rsidR="00177BB3" w:rsidRPr="008A1B8F" w:rsidRDefault="00374003" w:rsidP="00456B21">
      <w:pPr>
        <w:jc w:val="both"/>
        <w:rPr>
          <w:rFonts w:cstheme="minorHAnsi"/>
          <w:sz w:val="24"/>
          <w:szCs w:val="24"/>
        </w:rPr>
      </w:pPr>
      <w:bookmarkStart w:id="1" w:name="_Hlk208575199"/>
      <w:r w:rsidRPr="008A1B8F">
        <w:rPr>
          <w:rFonts w:cstheme="minorHAnsi"/>
          <w:sz w:val="24"/>
          <w:szCs w:val="24"/>
        </w:rPr>
        <w:t xml:space="preserve">The animals were fed for 1 month following an established feed formulation. </w:t>
      </w:r>
      <w:r w:rsidR="00177BB3" w:rsidRPr="008A1B8F">
        <w:rPr>
          <w:rFonts w:cstheme="minorHAnsi"/>
          <w:sz w:val="24"/>
          <w:szCs w:val="24"/>
        </w:rPr>
        <w:t>Thes</w:t>
      </w:r>
      <w:r w:rsidR="004A0D92">
        <w:rPr>
          <w:rFonts w:cstheme="minorHAnsi"/>
          <w:sz w:val="24"/>
          <w:szCs w:val="24"/>
        </w:rPr>
        <w:t>e</w:t>
      </w:r>
      <w:r w:rsidR="00177BB3" w:rsidRPr="008A1B8F">
        <w:rPr>
          <w:rFonts w:cstheme="minorHAnsi"/>
          <w:sz w:val="24"/>
          <w:szCs w:val="24"/>
        </w:rPr>
        <w:t xml:space="preserve"> rats were sourced from a certified breeding facility, and housed in standard polypropylene cages under controlled environmental conditions that included a 12-hour light-dark cycle, temperature of 22 ± 2°C, and humidity of 50-60%. </w:t>
      </w:r>
      <w:bookmarkEnd w:id="1"/>
      <w:r w:rsidR="00177BB3" w:rsidRPr="008A1B8F">
        <w:rPr>
          <w:rFonts w:cstheme="minorHAnsi"/>
          <w:sz w:val="24"/>
          <w:szCs w:val="24"/>
        </w:rPr>
        <w:t xml:space="preserve">The animals had free access to a standard pellet diet and water </w:t>
      </w:r>
      <w:r w:rsidR="00177BB3" w:rsidRPr="00652F03">
        <w:rPr>
          <w:rFonts w:cstheme="minorHAnsi"/>
          <w:i/>
          <w:iCs/>
          <w:sz w:val="24"/>
          <w:szCs w:val="24"/>
        </w:rPr>
        <w:t>ad libitum</w:t>
      </w:r>
      <w:r w:rsidR="00177BB3" w:rsidRPr="008A1B8F">
        <w:rPr>
          <w:rFonts w:cstheme="minorHAnsi"/>
          <w:sz w:val="24"/>
          <w:szCs w:val="24"/>
        </w:rPr>
        <w:t xml:space="preserve"> throughout the </w:t>
      </w:r>
      <w:r w:rsidR="00177BB3" w:rsidRPr="00652F03">
        <w:rPr>
          <w:rFonts w:cstheme="minorHAnsi"/>
          <w:color w:val="FF0000"/>
          <w:sz w:val="24"/>
          <w:szCs w:val="24"/>
        </w:rPr>
        <w:t xml:space="preserve">acclimatization period, before the experiments </w:t>
      </w:r>
      <w:r w:rsidR="00177BB3" w:rsidRPr="008A1B8F">
        <w:rPr>
          <w:rFonts w:cstheme="minorHAnsi"/>
          <w:sz w:val="24"/>
          <w:szCs w:val="24"/>
        </w:rPr>
        <w:t>began.</w:t>
      </w:r>
      <w:r w:rsidR="00D31A9A" w:rsidRPr="008A1B8F">
        <w:rPr>
          <w:rFonts w:cstheme="minorHAnsi"/>
          <w:sz w:val="24"/>
          <w:szCs w:val="24"/>
        </w:rPr>
        <w:t xml:space="preserve"> </w:t>
      </w:r>
      <w:r w:rsidR="00D26F8A" w:rsidRPr="008A1B8F">
        <w:rPr>
          <w:rFonts w:cstheme="minorHAnsi"/>
          <w:sz w:val="24"/>
          <w:szCs w:val="24"/>
        </w:rPr>
        <w:t xml:space="preserve">The study lasted for a </w:t>
      </w:r>
      <w:r w:rsidR="00652F03">
        <w:rPr>
          <w:rFonts w:cstheme="minorHAnsi"/>
          <w:sz w:val="24"/>
          <w:szCs w:val="24"/>
        </w:rPr>
        <w:t xml:space="preserve">total </w:t>
      </w:r>
      <w:r w:rsidR="00D26F8A" w:rsidRPr="008A1B8F">
        <w:rPr>
          <w:rFonts w:cstheme="minorHAnsi"/>
          <w:sz w:val="24"/>
          <w:szCs w:val="24"/>
        </w:rPr>
        <w:t xml:space="preserve">duration of </w:t>
      </w:r>
      <w:r w:rsidR="00B2549F" w:rsidRPr="008A1B8F">
        <w:rPr>
          <w:rFonts w:cstheme="minorHAnsi"/>
          <w:sz w:val="24"/>
          <w:szCs w:val="24"/>
        </w:rPr>
        <w:t xml:space="preserve">8 </w:t>
      </w:r>
      <w:r w:rsidR="0053752C" w:rsidRPr="008A1B8F">
        <w:rPr>
          <w:rFonts w:cstheme="minorHAnsi"/>
          <w:sz w:val="24"/>
          <w:szCs w:val="24"/>
        </w:rPr>
        <w:t xml:space="preserve">weeks. The animals were allowed to acclimatize for an initial period of 2 weeks before the beginning of treatment for </w:t>
      </w:r>
      <w:r w:rsidR="00D26F8A" w:rsidRPr="008A1B8F">
        <w:rPr>
          <w:rFonts w:cstheme="minorHAnsi"/>
          <w:sz w:val="24"/>
          <w:szCs w:val="24"/>
        </w:rPr>
        <w:t xml:space="preserve">6 weeks, during which body weight, clinical signs, and general health conditions of the rats were monitored regularly. </w:t>
      </w:r>
    </w:p>
    <w:p w14:paraId="31BD2AE9" w14:textId="710EA9F5" w:rsidR="00F844FD" w:rsidRPr="008A1B8F" w:rsidRDefault="00D26F8A" w:rsidP="00A00AC5">
      <w:pPr>
        <w:jc w:val="both"/>
        <w:rPr>
          <w:rFonts w:cstheme="minorHAnsi"/>
          <w:b/>
          <w:bCs/>
          <w:sz w:val="24"/>
          <w:szCs w:val="24"/>
        </w:rPr>
      </w:pPr>
      <w:r w:rsidRPr="008A1B8F">
        <w:rPr>
          <w:rFonts w:cstheme="minorHAnsi"/>
          <w:b/>
          <w:bCs/>
          <w:sz w:val="24"/>
          <w:szCs w:val="24"/>
        </w:rPr>
        <w:t>2</w:t>
      </w:r>
      <w:r w:rsidR="00F844FD" w:rsidRPr="008A1B8F">
        <w:rPr>
          <w:rFonts w:cstheme="minorHAnsi"/>
          <w:b/>
          <w:bCs/>
          <w:sz w:val="24"/>
          <w:szCs w:val="24"/>
        </w:rPr>
        <w:t>.</w:t>
      </w:r>
      <w:r w:rsidR="00BE6D48">
        <w:rPr>
          <w:rFonts w:cstheme="minorHAnsi"/>
          <w:b/>
          <w:bCs/>
          <w:sz w:val="24"/>
          <w:szCs w:val="24"/>
        </w:rPr>
        <w:t>2</w:t>
      </w:r>
      <w:r w:rsidR="00F844FD" w:rsidRPr="008A1B8F">
        <w:rPr>
          <w:rFonts w:cstheme="minorHAnsi"/>
          <w:b/>
          <w:bCs/>
          <w:sz w:val="24"/>
          <w:szCs w:val="24"/>
        </w:rPr>
        <w:t xml:space="preserve"> </w:t>
      </w:r>
      <w:r w:rsidR="00456B21" w:rsidRPr="008A1B8F">
        <w:rPr>
          <w:rFonts w:cstheme="minorHAnsi"/>
          <w:b/>
          <w:bCs/>
          <w:sz w:val="24"/>
          <w:szCs w:val="24"/>
        </w:rPr>
        <w:t>Drugs/reagents procurement</w:t>
      </w:r>
    </w:p>
    <w:p w14:paraId="5F1575DA" w14:textId="0BB194F7" w:rsidR="004A60AE" w:rsidRPr="008A1B8F" w:rsidRDefault="00A00AC5" w:rsidP="004A60AE">
      <w:pPr>
        <w:jc w:val="both"/>
        <w:rPr>
          <w:rFonts w:cstheme="minorHAnsi"/>
          <w:sz w:val="24"/>
          <w:szCs w:val="24"/>
        </w:rPr>
      </w:pPr>
      <w:r w:rsidRPr="008A1B8F">
        <w:rPr>
          <w:rFonts w:cstheme="minorHAnsi"/>
          <w:sz w:val="24"/>
          <w:szCs w:val="24"/>
        </w:rPr>
        <w:t xml:space="preserve">Curcumin was purchased from a commercial supplier for </w:t>
      </w:r>
      <w:r w:rsidR="00F844FD" w:rsidRPr="008A1B8F">
        <w:rPr>
          <w:rFonts w:cstheme="minorHAnsi"/>
          <w:sz w:val="24"/>
          <w:szCs w:val="24"/>
        </w:rPr>
        <w:t xml:space="preserve">research purposes. </w:t>
      </w:r>
      <w:r w:rsidRPr="008A1B8F">
        <w:rPr>
          <w:rFonts w:cstheme="minorHAnsi"/>
          <w:sz w:val="24"/>
          <w:szCs w:val="24"/>
        </w:rPr>
        <w:t xml:space="preserve">HIV protease inhibitors, specifically a combination of lopinavir and ritonavir (commonly used in fixed-dose formulations), were obtained from pharmaceutical sources. </w:t>
      </w:r>
      <w:r w:rsidR="00F844FD" w:rsidRPr="008A1B8F">
        <w:rPr>
          <w:rFonts w:cstheme="minorHAnsi"/>
          <w:sz w:val="24"/>
          <w:szCs w:val="24"/>
        </w:rPr>
        <w:t xml:space="preserve">All other reagents </w:t>
      </w:r>
      <w:r w:rsidRPr="008A1B8F">
        <w:rPr>
          <w:rFonts w:cstheme="minorHAnsi"/>
          <w:sz w:val="24"/>
          <w:szCs w:val="24"/>
        </w:rPr>
        <w:t>and</w:t>
      </w:r>
      <w:r w:rsidR="00F844FD" w:rsidRPr="008A1B8F">
        <w:rPr>
          <w:rFonts w:cstheme="minorHAnsi"/>
          <w:sz w:val="24"/>
          <w:szCs w:val="24"/>
        </w:rPr>
        <w:t xml:space="preserve"> </w:t>
      </w:r>
      <w:r w:rsidRPr="008A1B8F">
        <w:rPr>
          <w:rFonts w:cstheme="minorHAnsi"/>
          <w:sz w:val="24"/>
          <w:szCs w:val="24"/>
        </w:rPr>
        <w:t>chemicals, including those for biochemical assays such as reagents for lipid profile kits, oxidative stress markers,</w:t>
      </w:r>
      <w:r w:rsidR="00B23E3B" w:rsidRPr="008A1B8F">
        <w:rPr>
          <w:rFonts w:cstheme="minorHAnsi"/>
          <w:sz w:val="24"/>
          <w:szCs w:val="24"/>
        </w:rPr>
        <w:t xml:space="preserve"> </w:t>
      </w:r>
      <w:r w:rsidRPr="008A1B8F">
        <w:rPr>
          <w:rFonts w:cstheme="minorHAnsi"/>
          <w:sz w:val="24"/>
          <w:szCs w:val="24"/>
        </w:rPr>
        <w:t xml:space="preserve">were of analytical grade and procured from </w:t>
      </w:r>
      <w:r w:rsidR="00F844FD" w:rsidRPr="008A1B8F">
        <w:rPr>
          <w:rFonts w:cstheme="minorHAnsi"/>
          <w:sz w:val="24"/>
          <w:szCs w:val="24"/>
        </w:rPr>
        <w:t>Sigma Chemical Co, USA.</w:t>
      </w:r>
      <w:r w:rsidR="004A60AE" w:rsidRPr="008A1B8F">
        <w:rPr>
          <w:rFonts w:cstheme="minorHAnsi"/>
          <w:sz w:val="24"/>
          <w:szCs w:val="24"/>
        </w:rPr>
        <w:t xml:space="preserve"> </w:t>
      </w:r>
      <w:r w:rsidR="00F844FD" w:rsidRPr="008A1B8F">
        <w:rPr>
          <w:rFonts w:cstheme="minorHAnsi"/>
          <w:sz w:val="24"/>
          <w:szCs w:val="24"/>
        </w:rPr>
        <w:t xml:space="preserve">The drugs were stored according to the manufacturer's recommendations to maintain stability and potency. </w:t>
      </w:r>
      <w:r w:rsidRPr="008A1B8F">
        <w:rPr>
          <w:rFonts w:cstheme="minorHAnsi"/>
          <w:sz w:val="24"/>
          <w:szCs w:val="24"/>
        </w:rPr>
        <w:t>Curcumin powder was prepared i</w:t>
      </w:r>
      <w:r w:rsidR="00F844FD" w:rsidRPr="008A1B8F">
        <w:rPr>
          <w:rFonts w:cstheme="minorHAnsi"/>
          <w:sz w:val="24"/>
          <w:szCs w:val="24"/>
        </w:rPr>
        <w:t xml:space="preserve">n appropriate concentrations by dissolving </w:t>
      </w:r>
      <w:r w:rsidR="004A0D92">
        <w:rPr>
          <w:rFonts w:cstheme="minorHAnsi"/>
          <w:sz w:val="24"/>
          <w:szCs w:val="24"/>
        </w:rPr>
        <w:t>it</w:t>
      </w:r>
      <w:r w:rsidR="00F844FD" w:rsidRPr="008A1B8F">
        <w:rPr>
          <w:rFonts w:cstheme="minorHAnsi"/>
          <w:sz w:val="24"/>
          <w:szCs w:val="24"/>
        </w:rPr>
        <w:t xml:space="preserve"> in </w:t>
      </w:r>
      <w:r w:rsidR="00652F03" w:rsidRPr="00652F03">
        <w:rPr>
          <w:rFonts w:cstheme="minorHAnsi"/>
          <w:sz w:val="24"/>
          <w:szCs w:val="24"/>
        </w:rPr>
        <w:t>0.5% carboxymethylcellulose (CMC)</w:t>
      </w:r>
      <w:r w:rsidR="00F844FD" w:rsidRPr="008A1B8F">
        <w:rPr>
          <w:rFonts w:cstheme="minorHAnsi"/>
          <w:sz w:val="24"/>
          <w:szCs w:val="24"/>
        </w:rPr>
        <w:t>. The solutions were freshly prepared and stored under appropriate laboratory conditions to prevent degradation.</w:t>
      </w:r>
    </w:p>
    <w:p w14:paraId="470CCB8F" w14:textId="0706E383" w:rsidR="004A60AE" w:rsidRPr="008A1B8F" w:rsidRDefault="00D26F8A" w:rsidP="004A60AE">
      <w:pPr>
        <w:jc w:val="both"/>
        <w:rPr>
          <w:rFonts w:cstheme="minorHAnsi"/>
          <w:b/>
          <w:bCs/>
          <w:sz w:val="24"/>
          <w:szCs w:val="24"/>
        </w:rPr>
      </w:pPr>
      <w:r w:rsidRPr="008A1B8F">
        <w:rPr>
          <w:rFonts w:cstheme="minorHAnsi"/>
          <w:b/>
          <w:bCs/>
          <w:sz w:val="24"/>
          <w:szCs w:val="24"/>
        </w:rPr>
        <w:t>2</w:t>
      </w:r>
      <w:r w:rsidR="004A60AE" w:rsidRPr="008A1B8F">
        <w:rPr>
          <w:rFonts w:cstheme="minorHAnsi"/>
          <w:b/>
          <w:bCs/>
          <w:sz w:val="24"/>
          <w:szCs w:val="24"/>
        </w:rPr>
        <w:t>.</w:t>
      </w:r>
      <w:r w:rsidR="00BE6D48">
        <w:rPr>
          <w:rFonts w:cstheme="minorHAnsi"/>
          <w:b/>
          <w:bCs/>
          <w:sz w:val="24"/>
          <w:szCs w:val="24"/>
        </w:rPr>
        <w:t>3</w:t>
      </w:r>
      <w:r w:rsidR="004A60AE" w:rsidRPr="008A1B8F">
        <w:rPr>
          <w:rFonts w:cstheme="minorHAnsi"/>
          <w:b/>
          <w:bCs/>
          <w:sz w:val="24"/>
          <w:szCs w:val="24"/>
        </w:rPr>
        <w:t xml:space="preserve"> </w:t>
      </w:r>
      <w:r w:rsidR="00456B21" w:rsidRPr="008A1B8F">
        <w:rPr>
          <w:rFonts w:cstheme="minorHAnsi"/>
          <w:b/>
          <w:bCs/>
          <w:sz w:val="24"/>
          <w:szCs w:val="24"/>
        </w:rPr>
        <w:t>Treatment of animals</w:t>
      </w:r>
    </w:p>
    <w:p w14:paraId="34E459B2" w14:textId="0E76502B" w:rsidR="00845039" w:rsidRPr="008A1B8F" w:rsidRDefault="00845039" w:rsidP="00845039">
      <w:pPr>
        <w:jc w:val="both"/>
        <w:rPr>
          <w:rFonts w:cstheme="minorHAnsi"/>
          <w:sz w:val="24"/>
          <w:szCs w:val="24"/>
        </w:rPr>
      </w:pPr>
      <w:r w:rsidRPr="008A1B8F">
        <w:rPr>
          <w:rFonts w:cstheme="minorHAnsi"/>
          <w:sz w:val="24"/>
          <w:szCs w:val="24"/>
        </w:rPr>
        <w:t>Dyslipidaemia was induced in the protease inhibitor</w:t>
      </w:r>
      <w:r w:rsidR="003C741C" w:rsidRPr="008A1B8F">
        <w:rPr>
          <w:rFonts w:cstheme="minorHAnsi"/>
          <w:sz w:val="24"/>
          <w:szCs w:val="24"/>
        </w:rPr>
        <w:t xml:space="preserve"> </w:t>
      </w:r>
      <w:r w:rsidRPr="008A1B8F">
        <w:rPr>
          <w:rFonts w:cstheme="minorHAnsi"/>
          <w:sz w:val="24"/>
          <w:szCs w:val="24"/>
        </w:rPr>
        <w:t xml:space="preserve">treated groups (Groups 3 and 4) by oral gavage administration of lopinavir and ritonavir at doses of 50 mg/kg and 12.5 mg/kg body weight respectively, once daily for six weeks. The drugs were prepared in 0.5% carboxymethylcellulose (CMC) and freshly administered each day. Previous reports indicated that such dosing induced significant </w:t>
      </w:r>
      <w:proofErr w:type="spellStart"/>
      <w:r w:rsidRPr="008A1B8F">
        <w:rPr>
          <w:rFonts w:cstheme="minorHAnsi"/>
          <w:sz w:val="24"/>
          <w:szCs w:val="24"/>
        </w:rPr>
        <w:t>hypertriglyceridaemia</w:t>
      </w:r>
      <w:proofErr w:type="spellEnd"/>
      <w:r w:rsidRPr="008A1B8F">
        <w:rPr>
          <w:rFonts w:cstheme="minorHAnsi"/>
          <w:sz w:val="24"/>
          <w:szCs w:val="24"/>
        </w:rPr>
        <w:t xml:space="preserve"> within two weeks, which guided the therapeutic intervention schedule</w:t>
      </w:r>
      <w:r w:rsidR="003C741C" w:rsidRPr="008A1B8F">
        <w:rPr>
          <w:rFonts w:cstheme="minorHAnsi"/>
          <w:sz w:val="24"/>
          <w:szCs w:val="24"/>
        </w:rPr>
        <w:t xml:space="preserve"> (</w:t>
      </w:r>
      <w:proofErr w:type="spellStart"/>
      <w:r w:rsidR="003C741C" w:rsidRPr="008A1B8F">
        <w:rPr>
          <w:rFonts w:cstheme="minorHAnsi"/>
          <w:sz w:val="24"/>
          <w:szCs w:val="24"/>
        </w:rPr>
        <w:t>Krishnaraju</w:t>
      </w:r>
      <w:proofErr w:type="spellEnd"/>
      <w:r w:rsidR="003C741C" w:rsidRPr="008A1B8F">
        <w:rPr>
          <w:rFonts w:cstheme="minorHAnsi"/>
          <w:sz w:val="24"/>
          <w:szCs w:val="24"/>
        </w:rPr>
        <w:t xml:space="preserve"> et al., 2023)</w:t>
      </w:r>
      <w:r w:rsidRPr="008A1B8F">
        <w:rPr>
          <w:rFonts w:cstheme="minorHAnsi"/>
          <w:sz w:val="24"/>
          <w:szCs w:val="24"/>
        </w:rPr>
        <w:t>. The vehicle control group (Group 1) received an equivalent volume of distilled water, while the curcumin-only group (Group 2) received curcumin suspension without protease inhibitors.</w:t>
      </w:r>
      <w:r w:rsidR="003C741C" w:rsidRPr="008A1B8F">
        <w:rPr>
          <w:rFonts w:cstheme="minorHAnsi"/>
          <w:sz w:val="24"/>
          <w:szCs w:val="24"/>
        </w:rPr>
        <w:t xml:space="preserve"> </w:t>
      </w:r>
      <w:r w:rsidRPr="008A1B8F">
        <w:rPr>
          <w:rFonts w:cstheme="minorHAnsi"/>
          <w:sz w:val="24"/>
          <w:szCs w:val="24"/>
        </w:rPr>
        <w:t>Curcumin was administered orally by gavage at a dose of 100 mg/kg body weight per day, suspended in 0.5% CMC as the vehicle. It was given throughout the six weeks in Group 2, while in Group 4 (therapeutic group), curcumin administration commenced on Day 15, two weeks after initiation of protease inhibitor treatment, and continued concurrently with protease inhibitors until the end of the study. All treatments were administered at a fixed time each day, and doses were adjusted weekly based on changes in body weight.</w:t>
      </w:r>
    </w:p>
    <w:p w14:paraId="3751E28C" w14:textId="29812D5B" w:rsidR="00845039" w:rsidRPr="008A1B8F" w:rsidRDefault="00D610ED" w:rsidP="00845039">
      <w:pPr>
        <w:jc w:val="both"/>
        <w:rPr>
          <w:rFonts w:cstheme="minorHAnsi"/>
          <w:sz w:val="24"/>
          <w:szCs w:val="24"/>
        </w:rPr>
      </w:pPr>
      <w:r w:rsidRPr="008A1B8F">
        <w:rPr>
          <w:rFonts w:cstheme="minorHAnsi"/>
          <w:sz w:val="24"/>
          <w:szCs w:val="24"/>
        </w:rPr>
        <w:t>Table 1: Treatment Groups, Dosages, and Timeline for Six-Week Study on the Effects of Curcumin and Protease Inhibitors in Wistar Albino Rats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561"/>
        <w:gridCol w:w="3266"/>
        <w:gridCol w:w="3453"/>
      </w:tblGrid>
      <w:tr w:rsidR="002C6F31" w:rsidRPr="008A1B8F" w14:paraId="1E73B5BE" w14:textId="77777777" w:rsidTr="00C60E09">
        <w:tc>
          <w:tcPr>
            <w:tcW w:w="1080" w:type="dxa"/>
            <w:tcBorders>
              <w:top w:val="single" w:sz="4" w:space="0" w:color="auto"/>
              <w:bottom w:val="single" w:sz="4" w:space="0" w:color="auto"/>
            </w:tcBorders>
            <w:hideMark/>
          </w:tcPr>
          <w:p w14:paraId="070FF98F" w14:textId="77777777" w:rsidR="002C6F31" w:rsidRPr="008A1B8F" w:rsidRDefault="002C6F31" w:rsidP="003C741C">
            <w:pPr>
              <w:rPr>
                <w:rFonts w:cstheme="minorHAnsi"/>
                <w:sz w:val="24"/>
                <w:szCs w:val="24"/>
              </w:rPr>
            </w:pPr>
            <w:r w:rsidRPr="008A1B8F">
              <w:rPr>
                <w:rFonts w:cstheme="minorHAnsi"/>
                <w:sz w:val="24"/>
                <w:szCs w:val="24"/>
              </w:rPr>
              <w:lastRenderedPageBreak/>
              <w:t>Group</w:t>
            </w:r>
          </w:p>
        </w:tc>
        <w:tc>
          <w:tcPr>
            <w:tcW w:w="1561" w:type="dxa"/>
            <w:tcBorders>
              <w:top w:val="single" w:sz="4" w:space="0" w:color="auto"/>
              <w:bottom w:val="single" w:sz="4" w:space="0" w:color="auto"/>
            </w:tcBorders>
            <w:hideMark/>
          </w:tcPr>
          <w:p w14:paraId="0AE59142" w14:textId="77777777" w:rsidR="002C6F31" w:rsidRPr="008A1B8F" w:rsidRDefault="002C6F31" w:rsidP="003C741C">
            <w:pPr>
              <w:rPr>
                <w:rFonts w:cstheme="minorHAnsi"/>
                <w:sz w:val="24"/>
                <w:szCs w:val="24"/>
              </w:rPr>
            </w:pPr>
            <w:r w:rsidRPr="008A1B8F">
              <w:rPr>
                <w:rFonts w:cstheme="minorHAnsi"/>
                <w:sz w:val="24"/>
                <w:szCs w:val="24"/>
              </w:rPr>
              <w:t>Treatment</w:t>
            </w:r>
          </w:p>
        </w:tc>
        <w:tc>
          <w:tcPr>
            <w:tcW w:w="0" w:type="auto"/>
            <w:tcBorders>
              <w:top w:val="single" w:sz="4" w:space="0" w:color="auto"/>
              <w:bottom w:val="single" w:sz="4" w:space="0" w:color="auto"/>
            </w:tcBorders>
            <w:hideMark/>
          </w:tcPr>
          <w:p w14:paraId="24024E32" w14:textId="77777777" w:rsidR="002C6F31" w:rsidRPr="008A1B8F" w:rsidRDefault="002C6F31" w:rsidP="003C741C">
            <w:pPr>
              <w:rPr>
                <w:rFonts w:cstheme="minorHAnsi"/>
                <w:sz w:val="24"/>
                <w:szCs w:val="24"/>
              </w:rPr>
            </w:pPr>
            <w:r w:rsidRPr="008A1B8F">
              <w:rPr>
                <w:rFonts w:cstheme="minorHAnsi"/>
                <w:sz w:val="24"/>
                <w:szCs w:val="24"/>
              </w:rPr>
              <w:t>Dosage (per rat)</w:t>
            </w:r>
          </w:p>
        </w:tc>
        <w:tc>
          <w:tcPr>
            <w:tcW w:w="0" w:type="auto"/>
            <w:tcBorders>
              <w:top w:val="single" w:sz="4" w:space="0" w:color="auto"/>
              <w:bottom w:val="single" w:sz="4" w:space="0" w:color="auto"/>
            </w:tcBorders>
            <w:hideMark/>
          </w:tcPr>
          <w:p w14:paraId="077E9701" w14:textId="5B19C40F" w:rsidR="002C6F31" w:rsidRPr="008A1B8F" w:rsidRDefault="0053752C" w:rsidP="003C741C">
            <w:pPr>
              <w:rPr>
                <w:rFonts w:cstheme="minorHAnsi"/>
                <w:sz w:val="24"/>
                <w:szCs w:val="24"/>
              </w:rPr>
            </w:pPr>
            <w:r w:rsidRPr="008A1B8F">
              <w:rPr>
                <w:rFonts w:cstheme="minorHAnsi"/>
                <w:sz w:val="24"/>
                <w:szCs w:val="24"/>
              </w:rPr>
              <w:t>Treatment</w:t>
            </w:r>
            <w:r w:rsidR="002C6F31" w:rsidRPr="008A1B8F">
              <w:rPr>
                <w:rFonts w:cstheme="minorHAnsi"/>
                <w:sz w:val="24"/>
                <w:szCs w:val="24"/>
              </w:rPr>
              <w:t xml:space="preserve"> timeline (6 weeks = Days 1–42)</w:t>
            </w:r>
          </w:p>
        </w:tc>
      </w:tr>
      <w:tr w:rsidR="002C6F31" w:rsidRPr="008A1B8F" w14:paraId="6D3566EC" w14:textId="77777777" w:rsidTr="00C60E09">
        <w:tc>
          <w:tcPr>
            <w:tcW w:w="1080" w:type="dxa"/>
            <w:tcBorders>
              <w:top w:val="single" w:sz="4" w:space="0" w:color="auto"/>
            </w:tcBorders>
            <w:hideMark/>
          </w:tcPr>
          <w:p w14:paraId="580FEC39" w14:textId="77777777" w:rsidR="002C6F31" w:rsidRPr="008A1B8F" w:rsidRDefault="002C6F31" w:rsidP="003C741C">
            <w:pPr>
              <w:rPr>
                <w:rFonts w:cstheme="minorHAnsi"/>
                <w:sz w:val="24"/>
                <w:szCs w:val="24"/>
              </w:rPr>
            </w:pPr>
            <w:r w:rsidRPr="008A1B8F">
              <w:rPr>
                <w:rFonts w:cstheme="minorHAnsi"/>
                <w:sz w:val="24"/>
                <w:szCs w:val="24"/>
              </w:rPr>
              <w:t>Group 1</w:t>
            </w:r>
          </w:p>
        </w:tc>
        <w:tc>
          <w:tcPr>
            <w:tcW w:w="1561" w:type="dxa"/>
            <w:tcBorders>
              <w:top w:val="single" w:sz="4" w:space="0" w:color="auto"/>
            </w:tcBorders>
            <w:hideMark/>
          </w:tcPr>
          <w:p w14:paraId="75E63B5E" w14:textId="77777777" w:rsidR="002C6F31" w:rsidRPr="008A1B8F" w:rsidRDefault="002C6F31" w:rsidP="003C741C">
            <w:pPr>
              <w:rPr>
                <w:rFonts w:cstheme="minorHAnsi"/>
                <w:sz w:val="24"/>
                <w:szCs w:val="24"/>
              </w:rPr>
            </w:pPr>
            <w:r w:rsidRPr="008A1B8F">
              <w:rPr>
                <w:rFonts w:cstheme="minorHAnsi"/>
                <w:sz w:val="24"/>
                <w:szCs w:val="24"/>
              </w:rPr>
              <w:t>Control (vehicle)</w:t>
            </w:r>
          </w:p>
        </w:tc>
        <w:tc>
          <w:tcPr>
            <w:tcW w:w="0" w:type="auto"/>
            <w:tcBorders>
              <w:top w:val="single" w:sz="4" w:space="0" w:color="auto"/>
            </w:tcBorders>
            <w:hideMark/>
          </w:tcPr>
          <w:p w14:paraId="1C807E3C" w14:textId="2E765CFA" w:rsidR="002C6F31" w:rsidRPr="008A1B8F" w:rsidRDefault="002C6F31" w:rsidP="003C741C">
            <w:pPr>
              <w:rPr>
                <w:rFonts w:cstheme="minorHAnsi"/>
                <w:sz w:val="24"/>
                <w:szCs w:val="24"/>
              </w:rPr>
            </w:pPr>
            <w:r w:rsidRPr="008A1B8F">
              <w:rPr>
                <w:rFonts w:cstheme="minorHAnsi"/>
                <w:sz w:val="24"/>
                <w:szCs w:val="24"/>
              </w:rPr>
              <w:t>0.5 mL distilled H₂O by oral gavage daily</w:t>
            </w:r>
          </w:p>
        </w:tc>
        <w:tc>
          <w:tcPr>
            <w:tcW w:w="0" w:type="auto"/>
            <w:tcBorders>
              <w:top w:val="single" w:sz="4" w:space="0" w:color="auto"/>
            </w:tcBorders>
            <w:hideMark/>
          </w:tcPr>
          <w:p w14:paraId="08778BA8" w14:textId="0DD9B7DE" w:rsidR="002C6F31" w:rsidRPr="008A1B8F" w:rsidRDefault="002C6F31" w:rsidP="003C741C">
            <w:pPr>
              <w:rPr>
                <w:rFonts w:cstheme="minorHAnsi"/>
                <w:sz w:val="24"/>
                <w:szCs w:val="24"/>
              </w:rPr>
            </w:pPr>
            <w:r w:rsidRPr="008A1B8F">
              <w:rPr>
                <w:rFonts w:cstheme="minorHAnsi"/>
                <w:sz w:val="24"/>
                <w:szCs w:val="24"/>
              </w:rPr>
              <w:t xml:space="preserve">Days 1–42: 0.5 mL once daily. Administer at same time each day. </w:t>
            </w:r>
          </w:p>
        </w:tc>
      </w:tr>
      <w:tr w:rsidR="002C6F31" w:rsidRPr="008A1B8F" w14:paraId="191D084D" w14:textId="77777777" w:rsidTr="00C60E09">
        <w:tc>
          <w:tcPr>
            <w:tcW w:w="1080" w:type="dxa"/>
            <w:hideMark/>
          </w:tcPr>
          <w:p w14:paraId="34BA6319" w14:textId="77777777" w:rsidR="002C6F31" w:rsidRPr="008A1B8F" w:rsidRDefault="002C6F31" w:rsidP="003C741C">
            <w:pPr>
              <w:rPr>
                <w:rFonts w:cstheme="minorHAnsi"/>
                <w:sz w:val="24"/>
                <w:szCs w:val="24"/>
              </w:rPr>
            </w:pPr>
            <w:r w:rsidRPr="008A1B8F">
              <w:rPr>
                <w:rFonts w:cstheme="minorHAnsi"/>
                <w:sz w:val="24"/>
                <w:szCs w:val="24"/>
              </w:rPr>
              <w:t>Group 2</w:t>
            </w:r>
          </w:p>
        </w:tc>
        <w:tc>
          <w:tcPr>
            <w:tcW w:w="1561" w:type="dxa"/>
            <w:hideMark/>
          </w:tcPr>
          <w:p w14:paraId="6D787731" w14:textId="77777777" w:rsidR="002C6F31" w:rsidRPr="008A1B8F" w:rsidRDefault="002C6F31" w:rsidP="003C741C">
            <w:pPr>
              <w:rPr>
                <w:rFonts w:cstheme="minorHAnsi"/>
                <w:sz w:val="24"/>
                <w:szCs w:val="24"/>
              </w:rPr>
            </w:pPr>
            <w:r w:rsidRPr="008A1B8F">
              <w:rPr>
                <w:rFonts w:cstheme="minorHAnsi"/>
                <w:sz w:val="24"/>
                <w:szCs w:val="24"/>
              </w:rPr>
              <w:t>Curcumin only</w:t>
            </w:r>
          </w:p>
        </w:tc>
        <w:tc>
          <w:tcPr>
            <w:tcW w:w="0" w:type="auto"/>
            <w:hideMark/>
          </w:tcPr>
          <w:p w14:paraId="41818D15" w14:textId="77777777" w:rsidR="002C6F31" w:rsidRPr="008A1B8F" w:rsidRDefault="002C6F31" w:rsidP="003C741C">
            <w:pPr>
              <w:rPr>
                <w:rFonts w:cstheme="minorHAnsi"/>
                <w:sz w:val="24"/>
                <w:szCs w:val="24"/>
              </w:rPr>
            </w:pPr>
            <w:r w:rsidRPr="008A1B8F">
              <w:rPr>
                <w:rFonts w:cstheme="minorHAnsi"/>
                <w:sz w:val="24"/>
                <w:szCs w:val="24"/>
              </w:rPr>
              <w:t>100 mg/kg/day curcumin suspension prepared in 0.5% CMC; administered by oral gavage (volume 5–10 mL/kg depending on concentration)</w:t>
            </w:r>
          </w:p>
        </w:tc>
        <w:tc>
          <w:tcPr>
            <w:tcW w:w="0" w:type="auto"/>
            <w:hideMark/>
          </w:tcPr>
          <w:p w14:paraId="220E4941" w14:textId="77777777" w:rsidR="002C6F31" w:rsidRPr="008A1B8F" w:rsidRDefault="002C6F31" w:rsidP="003C741C">
            <w:pPr>
              <w:rPr>
                <w:rFonts w:cstheme="minorHAnsi"/>
                <w:sz w:val="24"/>
                <w:szCs w:val="24"/>
              </w:rPr>
            </w:pPr>
            <w:r w:rsidRPr="008A1B8F">
              <w:rPr>
                <w:rFonts w:cstheme="minorHAnsi"/>
                <w:sz w:val="24"/>
                <w:szCs w:val="24"/>
              </w:rPr>
              <w:t>Days 1–42: once daily. Prepare fresh daily; adjust dose weekly for body weight.</w:t>
            </w:r>
          </w:p>
        </w:tc>
      </w:tr>
      <w:tr w:rsidR="002C6F31" w:rsidRPr="008A1B8F" w14:paraId="35982EB7" w14:textId="77777777" w:rsidTr="00C60E09">
        <w:tc>
          <w:tcPr>
            <w:tcW w:w="1080" w:type="dxa"/>
            <w:hideMark/>
          </w:tcPr>
          <w:p w14:paraId="09D4229B" w14:textId="77777777" w:rsidR="002C6F31" w:rsidRPr="008A1B8F" w:rsidRDefault="002C6F31" w:rsidP="003C741C">
            <w:pPr>
              <w:rPr>
                <w:rFonts w:cstheme="minorHAnsi"/>
                <w:sz w:val="24"/>
                <w:szCs w:val="24"/>
              </w:rPr>
            </w:pPr>
            <w:r w:rsidRPr="008A1B8F">
              <w:rPr>
                <w:rFonts w:cstheme="minorHAnsi"/>
                <w:sz w:val="24"/>
                <w:szCs w:val="24"/>
              </w:rPr>
              <w:t>Group 3</w:t>
            </w:r>
          </w:p>
        </w:tc>
        <w:tc>
          <w:tcPr>
            <w:tcW w:w="1561" w:type="dxa"/>
            <w:hideMark/>
          </w:tcPr>
          <w:p w14:paraId="2A40435D" w14:textId="77777777" w:rsidR="002C6F31" w:rsidRPr="008A1B8F" w:rsidRDefault="002C6F31" w:rsidP="003C741C">
            <w:pPr>
              <w:rPr>
                <w:rFonts w:cstheme="minorHAnsi"/>
                <w:sz w:val="24"/>
                <w:szCs w:val="24"/>
              </w:rPr>
            </w:pPr>
            <w:r w:rsidRPr="008A1B8F">
              <w:rPr>
                <w:rFonts w:cstheme="minorHAnsi"/>
                <w:sz w:val="24"/>
                <w:szCs w:val="24"/>
              </w:rPr>
              <w:t>Protease inhibitor only (PI)</w:t>
            </w:r>
          </w:p>
        </w:tc>
        <w:tc>
          <w:tcPr>
            <w:tcW w:w="0" w:type="auto"/>
            <w:hideMark/>
          </w:tcPr>
          <w:p w14:paraId="7E652351" w14:textId="7C96FC6A" w:rsidR="002C6F31" w:rsidRPr="008A1B8F" w:rsidRDefault="002C6F31" w:rsidP="003C741C">
            <w:pPr>
              <w:rPr>
                <w:rFonts w:cstheme="minorHAnsi"/>
                <w:sz w:val="24"/>
                <w:szCs w:val="24"/>
              </w:rPr>
            </w:pPr>
            <w:r w:rsidRPr="008A1B8F">
              <w:rPr>
                <w:rFonts w:cstheme="minorHAnsi"/>
                <w:sz w:val="24"/>
                <w:szCs w:val="24"/>
              </w:rPr>
              <w:t>Lopinavir 50 mg/kg/day + Ritonavir 12.5 mg/kg/day (co-administered as a combined oral suspension) in 0.5% CMC administer</w:t>
            </w:r>
            <w:r w:rsidR="00D610ED" w:rsidRPr="008A1B8F">
              <w:rPr>
                <w:rFonts w:cstheme="minorHAnsi"/>
                <w:sz w:val="24"/>
                <w:szCs w:val="24"/>
              </w:rPr>
              <w:t>ed</w:t>
            </w:r>
            <w:r w:rsidRPr="008A1B8F">
              <w:rPr>
                <w:rFonts w:cstheme="minorHAnsi"/>
                <w:sz w:val="24"/>
                <w:szCs w:val="24"/>
              </w:rPr>
              <w:t xml:space="preserve"> by oral gavage</w:t>
            </w:r>
          </w:p>
        </w:tc>
        <w:tc>
          <w:tcPr>
            <w:tcW w:w="0" w:type="auto"/>
            <w:hideMark/>
          </w:tcPr>
          <w:p w14:paraId="0908E725" w14:textId="77777777" w:rsidR="002C6F31" w:rsidRPr="008A1B8F" w:rsidRDefault="002C6F31" w:rsidP="003C741C">
            <w:pPr>
              <w:rPr>
                <w:rFonts w:cstheme="minorHAnsi"/>
                <w:sz w:val="24"/>
                <w:szCs w:val="24"/>
              </w:rPr>
            </w:pPr>
            <w:r w:rsidRPr="008A1B8F">
              <w:rPr>
                <w:rFonts w:cstheme="minorHAnsi"/>
                <w:sz w:val="24"/>
                <w:szCs w:val="24"/>
              </w:rPr>
              <w:t>Days 1–42: once daily. Dose adjusted weekly for body weight. Monitor for adverse effects.</w:t>
            </w:r>
          </w:p>
        </w:tc>
      </w:tr>
      <w:tr w:rsidR="002C6F31" w:rsidRPr="008A1B8F" w14:paraId="7C4E1192" w14:textId="77777777" w:rsidTr="00C60E09">
        <w:tc>
          <w:tcPr>
            <w:tcW w:w="1080" w:type="dxa"/>
            <w:hideMark/>
          </w:tcPr>
          <w:p w14:paraId="2A44E5C5" w14:textId="77777777" w:rsidR="002C6F31" w:rsidRPr="008A1B8F" w:rsidRDefault="002C6F31" w:rsidP="003C741C">
            <w:pPr>
              <w:rPr>
                <w:rFonts w:cstheme="minorHAnsi"/>
                <w:sz w:val="24"/>
                <w:szCs w:val="24"/>
              </w:rPr>
            </w:pPr>
            <w:r w:rsidRPr="008A1B8F">
              <w:rPr>
                <w:rFonts w:cstheme="minorHAnsi"/>
                <w:sz w:val="24"/>
                <w:szCs w:val="24"/>
              </w:rPr>
              <w:t>Group 4</w:t>
            </w:r>
          </w:p>
        </w:tc>
        <w:tc>
          <w:tcPr>
            <w:tcW w:w="1561" w:type="dxa"/>
            <w:hideMark/>
          </w:tcPr>
          <w:p w14:paraId="302F6E64" w14:textId="5BC43A9D" w:rsidR="002C6F31" w:rsidRPr="008A1B8F" w:rsidRDefault="002C6F31" w:rsidP="003C741C">
            <w:pPr>
              <w:rPr>
                <w:rFonts w:cstheme="minorHAnsi"/>
                <w:sz w:val="24"/>
                <w:szCs w:val="24"/>
              </w:rPr>
            </w:pPr>
            <w:r w:rsidRPr="008A1B8F">
              <w:rPr>
                <w:rFonts w:cstheme="minorHAnsi"/>
                <w:sz w:val="24"/>
                <w:szCs w:val="24"/>
              </w:rPr>
              <w:t xml:space="preserve">Protease inhibitor + Curcumin </w:t>
            </w:r>
          </w:p>
        </w:tc>
        <w:tc>
          <w:tcPr>
            <w:tcW w:w="0" w:type="auto"/>
            <w:hideMark/>
          </w:tcPr>
          <w:p w14:paraId="26AAB22B" w14:textId="2556AB37" w:rsidR="002C6F31" w:rsidRPr="008A1B8F" w:rsidRDefault="002C6F31" w:rsidP="003C741C">
            <w:pPr>
              <w:rPr>
                <w:rFonts w:cstheme="minorHAnsi"/>
                <w:sz w:val="24"/>
                <w:szCs w:val="24"/>
              </w:rPr>
            </w:pPr>
            <w:r w:rsidRPr="008A1B8F">
              <w:rPr>
                <w:rFonts w:cstheme="minorHAnsi"/>
                <w:sz w:val="24"/>
                <w:szCs w:val="24"/>
              </w:rPr>
              <w:t xml:space="preserve">PI as above (Lopinavir 50 mg/kg + Ritonavir 12.5 mg/kg) daily Days 1–42; Curcumin 100 mg/kg/day started after dyslipidaemia </w:t>
            </w:r>
            <w:r w:rsidR="004A0D92">
              <w:rPr>
                <w:rFonts w:cstheme="minorHAnsi"/>
                <w:sz w:val="24"/>
                <w:szCs w:val="24"/>
              </w:rPr>
              <w:t>was</w:t>
            </w:r>
            <w:r w:rsidRPr="008A1B8F">
              <w:rPr>
                <w:rFonts w:cstheme="minorHAnsi"/>
                <w:sz w:val="24"/>
                <w:szCs w:val="24"/>
              </w:rPr>
              <w:t xml:space="preserve"> established </w:t>
            </w:r>
          </w:p>
        </w:tc>
        <w:tc>
          <w:tcPr>
            <w:tcW w:w="0" w:type="auto"/>
            <w:hideMark/>
          </w:tcPr>
          <w:p w14:paraId="7D81EC2A" w14:textId="0343F1CF" w:rsidR="002C6F31" w:rsidRPr="008A1B8F" w:rsidRDefault="002C6F31" w:rsidP="003C741C">
            <w:pPr>
              <w:rPr>
                <w:rFonts w:cstheme="minorHAnsi"/>
                <w:sz w:val="24"/>
                <w:szCs w:val="24"/>
              </w:rPr>
            </w:pPr>
            <w:r w:rsidRPr="008A1B8F">
              <w:rPr>
                <w:rFonts w:cstheme="minorHAnsi"/>
                <w:sz w:val="24"/>
                <w:szCs w:val="24"/>
              </w:rPr>
              <w:t>Days 1–14 (Weeks 1–2): PI only to induce dyslipidaemia.</w:t>
            </w:r>
            <w:r w:rsidR="00D610ED" w:rsidRPr="008A1B8F">
              <w:rPr>
                <w:rFonts w:cstheme="minorHAnsi"/>
                <w:sz w:val="24"/>
                <w:szCs w:val="24"/>
              </w:rPr>
              <w:t xml:space="preserve"> </w:t>
            </w:r>
            <w:r w:rsidRPr="008A1B8F">
              <w:rPr>
                <w:rFonts w:cstheme="minorHAnsi"/>
                <w:sz w:val="24"/>
                <w:szCs w:val="24"/>
              </w:rPr>
              <w:t>Days 15–42 (Weeks 3–6): Continue PI daily and add curcumin daily Adjust doses weekly by body weight.</w:t>
            </w:r>
          </w:p>
        </w:tc>
      </w:tr>
    </w:tbl>
    <w:p w14:paraId="6F8451A1" w14:textId="77777777" w:rsidR="002C6F31" w:rsidRPr="008A1B8F" w:rsidRDefault="002C6F31" w:rsidP="00845039">
      <w:pPr>
        <w:jc w:val="both"/>
        <w:rPr>
          <w:rFonts w:cstheme="minorHAnsi"/>
          <w:sz w:val="24"/>
          <w:szCs w:val="24"/>
        </w:rPr>
      </w:pPr>
    </w:p>
    <w:p w14:paraId="7C4203E1" w14:textId="382C6834" w:rsidR="00845039" w:rsidRPr="008A1B8F" w:rsidRDefault="00D610ED" w:rsidP="00845039">
      <w:pPr>
        <w:jc w:val="both"/>
        <w:rPr>
          <w:rFonts w:cstheme="minorHAnsi"/>
          <w:b/>
          <w:bCs/>
          <w:sz w:val="24"/>
          <w:szCs w:val="24"/>
        </w:rPr>
      </w:pPr>
      <w:r w:rsidRPr="008A1B8F">
        <w:rPr>
          <w:rFonts w:cstheme="minorHAnsi"/>
          <w:b/>
          <w:bCs/>
          <w:sz w:val="24"/>
          <w:szCs w:val="24"/>
        </w:rPr>
        <w:t>2.</w:t>
      </w:r>
      <w:r w:rsidR="00BE6D48">
        <w:rPr>
          <w:rFonts w:cstheme="minorHAnsi"/>
          <w:b/>
          <w:bCs/>
          <w:sz w:val="24"/>
          <w:szCs w:val="24"/>
        </w:rPr>
        <w:t>4</w:t>
      </w:r>
      <w:r w:rsidR="00845039" w:rsidRPr="008A1B8F">
        <w:rPr>
          <w:rFonts w:cstheme="minorHAnsi"/>
          <w:b/>
          <w:bCs/>
          <w:sz w:val="24"/>
          <w:szCs w:val="24"/>
        </w:rPr>
        <w:t xml:space="preserve"> Sample Collection</w:t>
      </w:r>
    </w:p>
    <w:p w14:paraId="29B92430" w14:textId="013E309D" w:rsidR="004A60AE" w:rsidRPr="008A1B8F" w:rsidRDefault="00845039" w:rsidP="00845039">
      <w:pPr>
        <w:jc w:val="both"/>
        <w:rPr>
          <w:rFonts w:cstheme="minorHAnsi"/>
          <w:sz w:val="24"/>
          <w:szCs w:val="24"/>
        </w:rPr>
      </w:pPr>
      <w:r w:rsidRPr="008A1B8F">
        <w:rPr>
          <w:rFonts w:cstheme="minorHAnsi"/>
          <w:sz w:val="24"/>
          <w:szCs w:val="24"/>
        </w:rPr>
        <w:t xml:space="preserve">At the end of the treatment period, the animals were weighed, and the initial and final body weights were recorded. The difference in these values was noted as the change in body weight. Following the experimental phase, the animals were fasted overnight with free access to water. </w:t>
      </w:r>
      <w:r w:rsidR="0007566D" w:rsidRPr="0007566D">
        <w:rPr>
          <w:rFonts w:cstheme="minorHAnsi"/>
          <w:sz w:val="24"/>
          <w:szCs w:val="24"/>
        </w:rPr>
        <w:t>Animals were anaesthetized with ketamine (40 mg/kg) and xylazine (4 mg/kg), and subsequently euthanized by cervical dislocation under deep anaesthesia</w:t>
      </w:r>
      <w:r w:rsidRPr="008A1B8F">
        <w:rPr>
          <w:rFonts w:cstheme="minorHAnsi"/>
          <w:sz w:val="24"/>
          <w:szCs w:val="24"/>
        </w:rPr>
        <w:t>, as described by Akhigbe et al. (2021).</w:t>
      </w:r>
      <w:r w:rsidR="0007566D">
        <w:rPr>
          <w:rFonts w:cstheme="minorHAnsi"/>
          <w:sz w:val="24"/>
          <w:szCs w:val="24"/>
        </w:rPr>
        <w:t xml:space="preserve"> </w:t>
      </w:r>
      <w:r w:rsidRPr="008A1B8F">
        <w:rPr>
          <w:rFonts w:cstheme="minorHAnsi"/>
          <w:sz w:val="24"/>
          <w:szCs w:val="24"/>
        </w:rPr>
        <w:t>Blood samples were collected by cardiac puncture into plain tubes, allowed to clot at room temperature, and centrifuged at 3000 rpm for 10 minutes to separate the serum. The harvested serum was aliquoted into labelled cryovials and stored at −80 °C until biochemical analyses were performed.</w:t>
      </w:r>
    </w:p>
    <w:p w14:paraId="03015BE2" w14:textId="7D24B96C" w:rsidR="001C78D8" w:rsidRPr="008A1B8F" w:rsidRDefault="00D610ED" w:rsidP="001C78D8">
      <w:pPr>
        <w:jc w:val="both"/>
        <w:rPr>
          <w:rFonts w:cstheme="minorHAnsi"/>
          <w:b/>
          <w:bCs/>
          <w:sz w:val="24"/>
          <w:szCs w:val="24"/>
        </w:rPr>
      </w:pPr>
      <w:r w:rsidRPr="008A1B8F">
        <w:rPr>
          <w:rFonts w:cstheme="minorHAnsi"/>
          <w:b/>
          <w:bCs/>
          <w:sz w:val="24"/>
          <w:szCs w:val="24"/>
        </w:rPr>
        <w:t>2.</w:t>
      </w:r>
      <w:r w:rsidR="00BE6D48">
        <w:rPr>
          <w:rFonts w:cstheme="minorHAnsi"/>
          <w:b/>
          <w:bCs/>
          <w:sz w:val="24"/>
          <w:szCs w:val="24"/>
        </w:rPr>
        <w:t>5</w:t>
      </w:r>
      <w:r w:rsidR="001C78D8" w:rsidRPr="008A1B8F">
        <w:rPr>
          <w:rFonts w:cstheme="minorHAnsi"/>
          <w:b/>
          <w:bCs/>
          <w:sz w:val="24"/>
          <w:szCs w:val="24"/>
        </w:rPr>
        <w:t xml:space="preserve"> Biochemical Analysis</w:t>
      </w:r>
    </w:p>
    <w:p w14:paraId="78837E43" w14:textId="2E165A21" w:rsidR="002C6F31" w:rsidRPr="008A1B8F" w:rsidRDefault="00D610ED" w:rsidP="002C6F31">
      <w:pPr>
        <w:jc w:val="both"/>
        <w:rPr>
          <w:rFonts w:cstheme="minorHAnsi"/>
          <w:b/>
          <w:bCs/>
          <w:sz w:val="24"/>
          <w:szCs w:val="24"/>
        </w:rPr>
      </w:pPr>
      <w:bookmarkStart w:id="2" w:name="_Hlk207898481"/>
      <w:r w:rsidRPr="008A1B8F">
        <w:rPr>
          <w:rFonts w:cstheme="minorHAnsi"/>
          <w:b/>
          <w:bCs/>
          <w:sz w:val="24"/>
          <w:szCs w:val="24"/>
        </w:rPr>
        <w:t>2</w:t>
      </w:r>
      <w:r w:rsidR="002C6F31" w:rsidRPr="008A1B8F">
        <w:rPr>
          <w:rFonts w:cstheme="minorHAnsi"/>
          <w:b/>
          <w:bCs/>
          <w:sz w:val="24"/>
          <w:szCs w:val="24"/>
        </w:rPr>
        <w:t>.</w:t>
      </w:r>
      <w:r w:rsidR="00BE6D48">
        <w:rPr>
          <w:rFonts w:cstheme="minorHAnsi"/>
          <w:b/>
          <w:bCs/>
          <w:sz w:val="24"/>
          <w:szCs w:val="24"/>
        </w:rPr>
        <w:t>5</w:t>
      </w:r>
      <w:r w:rsidR="002C6F31" w:rsidRPr="008A1B8F">
        <w:rPr>
          <w:rFonts w:cstheme="minorHAnsi"/>
          <w:b/>
          <w:bCs/>
          <w:sz w:val="24"/>
          <w:szCs w:val="24"/>
        </w:rPr>
        <w:t>.1 Lipid Profile</w:t>
      </w:r>
    </w:p>
    <w:p w14:paraId="2BACB5B9" w14:textId="2569BF15" w:rsidR="00D610ED" w:rsidRPr="008A1B8F" w:rsidRDefault="002C6F31" w:rsidP="002C6F31">
      <w:pPr>
        <w:jc w:val="both"/>
        <w:rPr>
          <w:rFonts w:cstheme="minorHAnsi"/>
          <w:sz w:val="24"/>
          <w:szCs w:val="24"/>
        </w:rPr>
      </w:pPr>
      <w:r w:rsidRPr="008A1B8F">
        <w:rPr>
          <w:rFonts w:cstheme="minorHAnsi"/>
          <w:sz w:val="24"/>
          <w:szCs w:val="24"/>
        </w:rPr>
        <w:t xml:space="preserve">Serum lipid parameters were determined to assess the development of dyslipidaemia and the potential ameliorative effect of curcumin. Total cholesterol (TC), triglycerides (TG), and high-density lipoprotein cholesterol (HDL-C) were </w:t>
      </w:r>
      <w:r w:rsidR="00624537" w:rsidRPr="008A1B8F">
        <w:rPr>
          <w:rFonts w:cstheme="minorHAnsi"/>
          <w:sz w:val="24"/>
          <w:szCs w:val="24"/>
        </w:rPr>
        <w:t>analysed</w:t>
      </w:r>
      <w:r w:rsidRPr="008A1B8F">
        <w:rPr>
          <w:rFonts w:cstheme="minorHAnsi"/>
          <w:sz w:val="24"/>
          <w:szCs w:val="24"/>
        </w:rPr>
        <w:t xml:space="preserve"> using the Abbott Architect i1000SR automated </w:t>
      </w:r>
      <w:proofErr w:type="spellStart"/>
      <w:r w:rsidRPr="008A1B8F">
        <w:rPr>
          <w:rFonts w:cstheme="minorHAnsi"/>
          <w:sz w:val="24"/>
          <w:szCs w:val="24"/>
        </w:rPr>
        <w:t>analyzer</w:t>
      </w:r>
      <w:proofErr w:type="spellEnd"/>
      <w:r w:rsidR="00D610ED" w:rsidRPr="008A1B8F">
        <w:rPr>
          <w:rFonts w:cstheme="minorHAnsi"/>
          <w:sz w:val="24"/>
          <w:szCs w:val="24"/>
        </w:rPr>
        <w:t xml:space="preserve"> from Abbott Laboratories, a global healthcare company headquartered in Abbott Park, Illinois, USA, </w:t>
      </w:r>
      <w:r w:rsidRPr="008A1B8F">
        <w:rPr>
          <w:rFonts w:cstheme="minorHAnsi"/>
          <w:sz w:val="24"/>
          <w:szCs w:val="24"/>
        </w:rPr>
        <w:t xml:space="preserve">which was operated under the manufacturer’s instructions with </w:t>
      </w:r>
      <w:r w:rsidRPr="008A1B8F">
        <w:rPr>
          <w:rFonts w:cstheme="minorHAnsi"/>
          <w:sz w:val="24"/>
          <w:szCs w:val="24"/>
        </w:rPr>
        <w:lastRenderedPageBreak/>
        <w:t>appropriate calibration and internal quality control.</w:t>
      </w:r>
      <w:r w:rsidR="00D610ED" w:rsidRPr="008A1B8F">
        <w:rPr>
          <w:rFonts w:cstheme="minorHAnsi"/>
          <w:sz w:val="24"/>
          <w:szCs w:val="24"/>
        </w:rPr>
        <w:t xml:space="preserve"> The </w:t>
      </w:r>
      <w:proofErr w:type="spellStart"/>
      <w:r w:rsidR="00D610ED" w:rsidRPr="008A1B8F">
        <w:rPr>
          <w:rFonts w:cstheme="minorHAnsi"/>
          <w:sz w:val="24"/>
          <w:szCs w:val="24"/>
        </w:rPr>
        <w:t>analyzer</w:t>
      </w:r>
      <w:proofErr w:type="spellEnd"/>
      <w:r w:rsidR="00D610ED" w:rsidRPr="008A1B8F">
        <w:rPr>
          <w:rFonts w:cstheme="minorHAnsi"/>
          <w:sz w:val="24"/>
          <w:szCs w:val="24"/>
        </w:rPr>
        <w:t xml:space="preserve"> utilizes enzymatic colorimetric methods for the quantification of total cholesterol, triglycerides, and HDL-C. These assays are based on spectrophotometric detection of </w:t>
      </w:r>
      <w:r w:rsidR="00624537" w:rsidRPr="008A1B8F">
        <w:rPr>
          <w:rFonts w:cstheme="minorHAnsi"/>
          <w:sz w:val="24"/>
          <w:szCs w:val="24"/>
        </w:rPr>
        <w:t>colour</w:t>
      </w:r>
      <w:r w:rsidR="00D610ED" w:rsidRPr="008A1B8F">
        <w:rPr>
          <w:rFonts w:cstheme="minorHAnsi"/>
          <w:sz w:val="24"/>
          <w:szCs w:val="24"/>
        </w:rPr>
        <w:t xml:space="preserve"> changes produced by enzyme-substrate reactions specific to each lipid parameter.</w:t>
      </w:r>
      <w:r w:rsidRPr="008A1B8F">
        <w:rPr>
          <w:rFonts w:cstheme="minorHAnsi"/>
          <w:sz w:val="24"/>
          <w:szCs w:val="24"/>
        </w:rPr>
        <w:t xml:space="preserve"> Low-density lipoprotein cholesterol (LDL-C) was calculated using the </w:t>
      </w:r>
      <w:proofErr w:type="spellStart"/>
      <w:r w:rsidRPr="008A1B8F">
        <w:rPr>
          <w:rFonts w:cstheme="minorHAnsi"/>
          <w:sz w:val="24"/>
          <w:szCs w:val="24"/>
        </w:rPr>
        <w:t>Friedewald</w:t>
      </w:r>
      <w:proofErr w:type="spellEnd"/>
      <w:r w:rsidRPr="008A1B8F">
        <w:rPr>
          <w:rFonts w:cstheme="minorHAnsi"/>
          <w:sz w:val="24"/>
          <w:szCs w:val="24"/>
        </w:rPr>
        <w:t xml:space="preserve"> formula where triglyceride levels were below 400 mg/dL. </w:t>
      </w:r>
      <w:bookmarkEnd w:id="2"/>
    </w:p>
    <w:p w14:paraId="25238F49" w14:textId="6239B72C" w:rsidR="004513E1" w:rsidRPr="008A1B8F" w:rsidRDefault="004513E1" w:rsidP="002C6F31">
      <w:pPr>
        <w:jc w:val="both"/>
        <w:rPr>
          <w:rFonts w:cstheme="minorHAnsi"/>
          <w:sz w:val="24"/>
          <w:szCs w:val="24"/>
        </w:rPr>
      </w:pPr>
      <w:r w:rsidRPr="008A1B8F">
        <w:rPr>
          <w:rFonts w:cstheme="minorHAnsi"/>
          <w:sz w:val="24"/>
          <w:szCs w:val="24"/>
        </w:rPr>
        <w:t>LDL (mg/dL) =TC−HDL−(TG/5​)</w:t>
      </w:r>
    </w:p>
    <w:p w14:paraId="798D5021" w14:textId="03E36836" w:rsidR="002C6F31" w:rsidRPr="008A1B8F" w:rsidRDefault="00D610ED" w:rsidP="002C6F31">
      <w:pPr>
        <w:jc w:val="both"/>
        <w:rPr>
          <w:rFonts w:cstheme="minorHAnsi"/>
          <w:b/>
          <w:bCs/>
          <w:sz w:val="24"/>
          <w:szCs w:val="24"/>
        </w:rPr>
      </w:pPr>
      <w:r w:rsidRPr="008A1B8F">
        <w:rPr>
          <w:rFonts w:cstheme="minorHAnsi"/>
          <w:b/>
          <w:bCs/>
          <w:sz w:val="24"/>
          <w:szCs w:val="24"/>
        </w:rPr>
        <w:t>2</w:t>
      </w:r>
      <w:r w:rsidR="002C6F31" w:rsidRPr="008A1B8F">
        <w:rPr>
          <w:rFonts w:cstheme="minorHAnsi"/>
          <w:b/>
          <w:bCs/>
          <w:sz w:val="24"/>
          <w:szCs w:val="24"/>
        </w:rPr>
        <w:t>.</w:t>
      </w:r>
      <w:r w:rsidR="00BE6D48">
        <w:rPr>
          <w:rFonts w:cstheme="minorHAnsi"/>
          <w:b/>
          <w:bCs/>
          <w:sz w:val="24"/>
          <w:szCs w:val="24"/>
        </w:rPr>
        <w:t>5.</w:t>
      </w:r>
      <w:r w:rsidR="002C6F31" w:rsidRPr="008A1B8F">
        <w:rPr>
          <w:rFonts w:cstheme="minorHAnsi"/>
          <w:b/>
          <w:bCs/>
          <w:sz w:val="24"/>
          <w:szCs w:val="24"/>
        </w:rPr>
        <w:t>2 Oxidative Stress Markers</w:t>
      </w:r>
    </w:p>
    <w:p w14:paraId="2C6AEFB8" w14:textId="36CA7005" w:rsidR="002C6F31" w:rsidRPr="008A1B8F" w:rsidRDefault="002C6F31" w:rsidP="001C78D8">
      <w:pPr>
        <w:jc w:val="both"/>
        <w:rPr>
          <w:rFonts w:cstheme="minorHAnsi"/>
          <w:sz w:val="24"/>
          <w:szCs w:val="24"/>
        </w:rPr>
      </w:pPr>
      <w:r w:rsidRPr="008A1B8F">
        <w:rPr>
          <w:rFonts w:cstheme="minorHAnsi"/>
          <w:sz w:val="24"/>
          <w:szCs w:val="24"/>
        </w:rPr>
        <w:t xml:space="preserve">Oxidative stress markers were evaluated in liver tissue homogenates prepared in phosphate buffer (0.1 M, pH 7.4). Malondialdehyde (MDA) levels were measured by the </w:t>
      </w:r>
      <w:proofErr w:type="spellStart"/>
      <w:r w:rsidRPr="008A1B8F">
        <w:rPr>
          <w:rFonts w:cstheme="minorHAnsi"/>
          <w:sz w:val="24"/>
          <w:szCs w:val="24"/>
        </w:rPr>
        <w:t>thiobarbituric</w:t>
      </w:r>
      <w:proofErr w:type="spellEnd"/>
      <w:r w:rsidRPr="008A1B8F">
        <w:rPr>
          <w:rFonts w:cstheme="minorHAnsi"/>
          <w:sz w:val="24"/>
          <w:szCs w:val="24"/>
        </w:rPr>
        <w:t xml:space="preserve"> acid reactive substances (TBARS) assay, while enzymatic antioxidants including superoxide dismutase (SOD) and catalase (CAT) activities were determined using standard spectrophotometric methods. Reduced glutathione (GSH) concentration was also quantified. All measurements were normalized to protein concentration determined by the Bradford assay. The assays were conducted in duplicate, and results were expressed relative to tissue protein content.</w:t>
      </w:r>
    </w:p>
    <w:p w14:paraId="206445A3" w14:textId="77777777" w:rsidR="002C6F31" w:rsidRPr="008A1B8F" w:rsidRDefault="002C6F31" w:rsidP="001C78D8">
      <w:pPr>
        <w:jc w:val="both"/>
        <w:rPr>
          <w:rFonts w:cstheme="minorHAnsi"/>
          <w:sz w:val="24"/>
          <w:szCs w:val="24"/>
        </w:rPr>
      </w:pPr>
    </w:p>
    <w:p w14:paraId="1031AE0B" w14:textId="0F968298" w:rsidR="001C78D8" w:rsidRPr="008A1B8F" w:rsidRDefault="006F69B8" w:rsidP="001C78D8">
      <w:pPr>
        <w:jc w:val="both"/>
        <w:rPr>
          <w:rFonts w:cstheme="minorHAnsi"/>
          <w:b/>
          <w:bCs/>
          <w:sz w:val="24"/>
          <w:szCs w:val="24"/>
        </w:rPr>
      </w:pPr>
      <w:r>
        <w:rPr>
          <w:rFonts w:cstheme="minorHAnsi"/>
          <w:b/>
          <w:bCs/>
          <w:sz w:val="24"/>
          <w:szCs w:val="24"/>
        </w:rPr>
        <w:t>2</w:t>
      </w:r>
      <w:r w:rsidR="001C78D8" w:rsidRPr="008A1B8F">
        <w:rPr>
          <w:rFonts w:cstheme="minorHAnsi"/>
          <w:b/>
          <w:bCs/>
          <w:sz w:val="24"/>
          <w:szCs w:val="24"/>
        </w:rPr>
        <w:t>.</w:t>
      </w:r>
      <w:r w:rsidR="00BE6D48">
        <w:rPr>
          <w:rFonts w:cstheme="minorHAnsi"/>
          <w:b/>
          <w:bCs/>
          <w:sz w:val="24"/>
          <w:szCs w:val="24"/>
        </w:rPr>
        <w:t>6</w:t>
      </w:r>
      <w:r w:rsidR="001C78D8" w:rsidRPr="008A1B8F">
        <w:rPr>
          <w:rFonts w:cstheme="minorHAnsi"/>
          <w:b/>
          <w:bCs/>
          <w:sz w:val="24"/>
          <w:szCs w:val="24"/>
        </w:rPr>
        <w:t xml:space="preserve"> Statistical Analysis</w:t>
      </w:r>
    </w:p>
    <w:p w14:paraId="29E0045D" w14:textId="0EE959A4" w:rsidR="009957DE" w:rsidRPr="008A1B8F" w:rsidRDefault="001C78D8" w:rsidP="002C6F31">
      <w:pPr>
        <w:jc w:val="both"/>
        <w:rPr>
          <w:rFonts w:cstheme="minorHAnsi"/>
          <w:sz w:val="24"/>
          <w:szCs w:val="24"/>
        </w:rPr>
      </w:pPr>
      <w:r w:rsidRPr="008A1B8F">
        <w:rPr>
          <w:rFonts w:cstheme="minorHAnsi"/>
          <w:sz w:val="24"/>
          <w:szCs w:val="24"/>
        </w:rPr>
        <w:t xml:space="preserve">Data were entered into a </w:t>
      </w:r>
      <w:r w:rsidR="004513E1" w:rsidRPr="008A1B8F">
        <w:rPr>
          <w:rFonts w:cstheme="minorHAnsi"/>
          <w:sz w:val="24"/>
          <w:szCs w:val="24"/>
        </w:rPr>
        <w:t>spreadsheet</w:t>
      </w:r>
      <w:r w:rsidRPr="008A1B8F">
        <w:rPr>
          <w:rFonts w:cstheme="minorHAnsi"/>
          <w:sz w:val="24"/>
          <w:szCs w:val="24"/>
        </w:rPr>
        <w:t xml:space="preserve"> and </w:t>
      </w:r>
      <w:proofErr w:type="spellStart"/>
      <w:r w:rsidRPr="008A1B8F">
        <w:rPr>
          <w:rFonts w:cstheme="minorHAnsi"/>
          <w:sz w:val="24"/>
          <w:szCs w:val="24"/>
        </w:rPr>
        <w:t>analyzed</w:t>
      </w:r>
      <w:proofErr w:type="spellEnd"/>
      <w:r w:rsidRPr="008A1B8F">
        <w:rPr>
          <w:rFonts w:cstheme="minorHAnsi"/>
          <w:sz w:val="24"/>
          <w:szCs w:val="24"/>
        </w:rPr>
        <w:t xml:space="preserve"> using IBM SPSS </w:t>
      </w:r>
      <w:r w:rsidR="004513E1" w:rsidRPr="008A1B8F">
        <w:rPr>
          <w:rFonts w:cstheme="minorHAnsi"/>
          <w:sz w:val="24"/>
          <w:szCs w:val="24"/>
        </w:rPr>
        <w:t>statistics</w:t>
      </w:r>
      <w:r w:rsidRPr="008A1B8F">
        <w:rPr>
          <w:rFonts w:cstheme="minorHAnsi"/>
          <w:sz w:val="24"/>
          <w:szCs w:val="24"/>
        </w:rPr>
        <w:t xml:space="preserve"> v</w:t>
      </w:r>
      <w:r w:rsidR="0007566D">
        <w:rPr>
          <w:rFonts w:cstheme="minorHAnsi"/>
          <w:sz w:val="24"/>
          <w:szCs w:val="24"/>
        </w:rPr>
        <w:t xml:space="preserve">ersion </w:t>
      </w:r>
      <w:r w:rsidRPr="008A1B8F">
        <w:rPr>
          <w:rFonts w:cstheme="minorHAnsi"/>
          <w:sz w:val="24"/>
          <w:szCs w:val="24"/>
        </w:rPr>
        <w:t xml:space="preserve">25. one-way analysis of variance (ANOVA) was carried out followed by Tukey's post-hoc test for multiple comparisons. Results were expressed as mean ± standard </w:t>
      </w:r>
      <w:r w:rsidR="0007566D">
        <w:rPr>
          <w:rFonts w:cstheme="minorHAnsi"/>
          <w:sz w:val="24"/>
          <w:szCs w:val="24"/>
        </w:rPr>
        <w:t>deviation</w:t>
      </w:r>
      <w:r w:rsidRPr="008A1B8F">
        <w:rPr>
          <w:rFonts w:cstheme="minorHAnsi"/>
          <w:sz w:val="24"/>
          <w:szCs w:val="24"/>
        </w:rPr>
        <w:t xml:space="preserve"> (S</w:t>
      </w:r>
      <w:r w:rsidR="0007566D">
        <w:rPr>
          <w:rFonts w:cstheme="minorHAnsi"/>
          <w:sz w:val="24"/>
          <w:szCs w:val="24"/>
        </w:rPr>
        <w:t>D</w:t>
      </w:r>
      <w:r w:rsidRPr="008A1B8F">
        <w:rPr>
          <w:rFonts w:cstheme="minorHAnsi"/>
          <w:sz w:val="24"/>
          <w:szCs w:val="24"/>
        </w:rPr>
        <w:t xml:space="preserve">), and differences were considered significant at p &lt; 0.05. </w:t>
      </w:r>
    </w:p>
    <w:p w14:paraId="605CAECA" w14:textId="32F97455" w:rsidR="00584693" w:rsidRPr="008A1B8F" w:rsidRDefault="00584693" w:rsidP="00584693">
      <w:pPr>
        <w:jc w:val="both"/>
        <w:rPr>
          <w:rFonts w:cstheme="minorHAnsi"/>
          <w:b/>
          <w:bCs/>
          <w:sz w:val="24"/>
          <w:szCs w:val="24"/>
        </w:rPr>
      </w:pPr>
      <w:r w:rsidRPr="008A1B8F">
        <w:rPr>
          <w:rFonts w:cstheme="minorHAnsi"/>
          <w:b/>
          <w:bCs/>
          <w:sz w:val="24"/>
          <w:szCs w:val="24"/>
        </w:rPr>
        <w:t>3. RESULTS AND ANALYSIS</w:t>
      </w:r>
    </w:p>
    <w:p w14:paraId="3F8F06D3" w14:textId="412D4613" w:rsidR="00634268" w:rsidRPr="008A1B8F" w:rsidRDefault="00634268" w:rsidP="00634268">
      <w:pPr>
        <w:jc w:val="both"/>
        <w:rPr>
          <w:rFonts w:cstheme="minorHAnsi"/>
          <w:sz w:val="24"/>
          <w:szCs w:val="24"/>
        </w:rPr>
      </w:pPr>
      <w:r w:rsidRPr="008A1B8F">
        <w:rPr>
          <w:rFonts w:cstheme="minorHAnsi"/>
          <w:sz w:val="24"/>
          <w:szCs w:val="24"/>
        </w:rPr>
        <w:t xml:space="preserve">As shown in Table </w:t>
      </w:r>
      <w:r w:rsidR="004513E1" w:rsidRPr="008A1B8F">
        <w:rPr>
          <w:rFonts w:cstheme="minorHAnsi"/>
          <w:sz w:val="24"/>
          <w:szCs w:val="24"/>
        </w:rPr>
        <w:t>2</w:t>
      </w:r>
      <w:r w:rsidRPr="008A1B8F">
        <w:rPr>
          <w:rFonts w:cstheme="minorHAnsi"/>
          <w:sz w:val="24"/>
          <w:szCs w:val="24"/>
        </w:rPr>
        <w:t xml:space="preserve">, administration of PI drugs alone significantly elevated levels of total cholesterol, triglycerides, low-density lipoprotein cholesterol (LDL-C), and the total cholesterol to HDL-C ratio (TC/HDL-C), while high-density lipoprotein cholesterol (HDL-C) was significantly reduced compared to the control group (p &lt; 0.05). This indicates that PI drugs induced marked </w:t>
      </w:r>
      <w:proofErr w:type="spellStart"/>
      <w:r w:rsidRPr="008A1B8F">
        <w:rPr>
          <w:rFonts w:cstheme="minorHAnsi"/>
          <w:sz w:val="24"/>
          <w:szCs w:val="24"/>
        </w:rPr>
        <w:t>dyslipidemia</w:t>
      </w:r>
      <w:proofErr w:type="spellEnd"/>
      <w:r w:rsidRPr="008A1B8F">
        <w:rPr>
          <w:rFonts w:cstheme="minorHAnsi"/>
          <w:sz w:val="24"/>
          <w:szCs w:val="24"/>
        </w:rPr>
        <w:t>. However, co-administration of curcumin with PI drugs significantly improved the lipid profile compared to the PI-only group (p &lt; 0.05), as evidenced by reductions in total cholesterol, triglycerides, LDL-C, and TC/HDL-C ratio, along with a notable increase in HDL-C. Curcumin alone had no significant effect on lipid parameters when compared to the control, suggesting it does not negatively affect normal lipid metabolism.</w:t>
      </w:r>
    </w:p>
    <w:p w14:paraId="7BDEFCE5" w14:textId="3D79286F" w:rsidR="004F1F00" w:rsidRPr="004F1F00" w:rsidRDefault="004F1F00" w:rsidP="004F1F00">
      <w:pPr>
        <w:jc w:val="both"/>
        <w:rPr>
          <w:rFonts w:cstheme="minorHAnsi"/>
          <w:b/>
          <w:bCs/>
          <w:sz w:val="24"/>
          <w:szCs w:val="24"/>
        </w:rPr>
      </w:pPr>
      <w:r w:rsidRPr="004F1F00">
        <w:rPr>
          <w:rFonts w:cstheme="minorHAnsi"/>
          <w:b/>
          <w:bCs/>
          <w:sz w:val="24"/>
          <w:szCs w:val="24"/>
        </w:rPr>
        <w:t xml:space="preserve">Table </w:t>
      </w:r>
      <w:r w:rsidR="00B2549F" w:rsidRPr="008A1B8F">
        <w:rPr>
          <w:rFonts w:cstheme="minorHAnsi"/>
          <w:b/>
          <w:bCs/>
          <w:sz w:val="24"/>
          <w:szCs w:val="24"/>
        </w:rPr>
        <w:t>2</w:t>
      </w:r>
      <w:r w:rsidRPr="004F1F00">
        <w:rPr>
          <w:rFonts w:cstheme="minorHAnsi"/>
          <w:b/>
          <w:bCs/>
          <w:sz w:val="24"/>
          <w:szCs w:val="24"/>
        </w:rPr>
        <w:t xml:space="preserve">: </w:t>
      </w:r>
      <w:r w:rsidRPr="008A1B8F">
        <w:rPr>
          <w:rFonts w:cstheme="minorHAnsi"/>
          <w:b/>
          <w:bCs/>
          <w:sz w:val="24"/>
          <w:szCs w:val="24"/>
        </w:rPr>
        <w:t xml:space="preserve">Levels of </w:t>
      </w:r>
      <w:r w:rsidRPr="004F1F00">
        <w:rPr>
          <w:rFonts w:cstheme="minorHAnsi"/>
          <w:b/>
          <w:bCs/>
          <w:sz w:val="24"/>
          <w:szCs w:val="24"/>
        </w:rPr>
        <w:t>Serum Lipid Profile of Wistar Albino Rats after Six Weeks of Treatment</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709"/>
        <w:gridCol w:w="1617"/>
        <w:gridCol w:w="1533"/>
        <w:gridCol w:w="1531"/>
        <w:gridCol w:w="1440"/>
      </w:tblGrid>
      <w:tr w:rsidR="004513E1" w:rsidRPr="008A1B8F" w14:paraId="20957515" w14:textId="77777777" w:rsidTr="004513E1">
        <w:tc>
          <w:tcPr>
            <w:tcW w:w="817" w:type="pct"/>
            <w:tcBorders>
              <w:top w:val="single" w:sz="4" w:space="0" w:color="auto"/>
              <w:bottom w:val="single" w:sz="4" w:space="0" w:color="auto"/>
            </w:tcBorders>
            <w:hideMark/>
          </w:tcPr>
          <w:p w14:paraId="3498E137" w14:textId="3D819E46"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Group</w:t>
            </w:r>
            <w:r w:rsidRPr="008A1B8F">
              <w:rPr>
                <w:rFonts w:cstheme="minorHAnsi"/>
                <w:b/>
                <w:bCs/>
                <w:sz w:val="24"/>
                <w:szCs w:val="24"/>
              </w:rPr>
              <w:t>s</w:t>
            </w:r>
          </w:p>
        </w:tc>
        <w:tc>
          <w:tcPr>
            <w:tcW w:w="913" w:type="pct"/>
            <w:tcBorders>
              <w:top w:val="single" w:sz="4" w:space="0" w:color="auto"/>
              <w:bottom w:val="single" w:sz="4" w:space="0" w:color="auto"/>
            </w:tcBorders>
            <w:hideMark/>
          </w:tcPr>
          <w:p w14:paraId="6804D6EA" w14:textId="0D932460"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Total</w:t>
            </w:r>
            <w:r w:rsidRPr="008A1B8F">
              <w:rPr>
                <w:rFonts w:cstheme="minorHAnsi"/>
                <w:b/>
                <w:bCs/>
                <w:sz w:val="24"/>
                <w:szCs w:val="24"/>
              </w:rPr>
              <w:t xml:space="preserve"> </w:t>
            </w:r>
            <w:r w:rsidRPr="004F1F00">
              <w:rPr>
                <w:rFonts w:cstheme="minorHAnsi"/>
                <w:b/>
                <w:bCs/>
                <w:sz w:val="24"/>
                <w:szCs w:val="24"/>
              </w:rPr>
              <w:t>Cholesterol (mg/dL)</w:t>
            </w:r>
          </w:p>
        </w:tc>
        <w:tc>
          <w:tcPr>
            <w:tcW w:w="864" w:type="pct"/>
            <w:tcBorders>
              <w:top w:val="single" w:sz="4" w:space="0" w:color="auto"/>
              <w:bottom w:val="single" w:sz="4" w:space="0" w:color="auto"/>
            </w:tcBorders>
            <w:hideMark/>
          </w:tcPr>
          <w:p w14:paraId="1CB5CA58" w14:textId="77777777"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Triglycerides (mg/dL)</w:t>
            </w:r>
          </w:p>
        </w:tc>
        <w:tc>
          <w:tcPr>
            <w:tcW w:w="819" w:type="pct"/>
            <w:tcBorders>
              <w:top w:val="single" w:sz="4" w:space="0" w:color="auto"/>
              <w:bottom w:val="single" w:sz="4" w:space="0" w:color="auto"/>
            </w:tcBorders>
            <w:hideMark/>
          </w:tcPr>
          <w:p w14:paraId="052044B3" w14:textId="77777777"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HDL-C (mg/dL)</w:t>
            </w:r>
          </w:p>
        </w:tc>
        <w:tc>
          <w:tcPr>
            <w:tcW w:w="818" w:type="pct"/>
            <w:tcBorders>
              <w:top w:val="single" w:sz="4" w:space="0" w:color="auto"/>
              <w:bottom w:val="single" w:sz="4" w:space="0" w:color="auto"/>
            </w:tcBorders>
            <w:hideMark/>
          </w:tcPr>
          <w:p w14:paraId="41F83961" w14:textId="77777777"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LDL-C (mg/dL)</w:t>
            </w:r>
          </w:p>
        </w:tc>
        <w:tc>
          <w:tcPr>
            <w:tcW w:w="769" w:type="pct"/>
            <w:tcBorders>
              <w:top w:val="single" w:sz="4" w:space="0" w:color="auto"/>
              <w:bottom w:val="single" w:sz="4" w:space="0" w:color="auto"/>
            </w:tcBorders>
            <w:hideMark/>
          </w:tcPr>
          <w:p w14:paraId="6ABE1A79" w14:textId="77777777" w:rsidR="004513E1" w:rsidRPr="004F1F00" w:rsidRDefault="004513E1" w:rsidP="004F1F00">
            <w:pPr>
              <w:spacing w:after="160" w:line="259" w:lineRule="auto"/>
              <w:jc w:val="both"/>
              <w:rPr>
                <w:rFonts w:cstheme="minorHAnsi"/>
                <w:b/>
                <w:bCs/>
                <w:sz w:val="24"/>
                <w:szCs w:val="24"/>
              </w:rPr>
            </w:pPr>
            <w:r w:rsidRPr="004F1F00">
              <w:rPr>
                <w:rFonts w:cstheme="minorHAnsi"/>
                <w:b/>
                <w:bCs/>
                <w:sz w:val="24"/>
                <w:szCs w:val="24"/>
              </w:rPr>
              <w:t>TC/HDL-C (ratio)</w:t>
            </w:r>
          </w:p>
        </w:tc>
      </w:tr>
      <w:tr w:rsidR="004513E1" w:rsidRPr="008A1B8F" w14:paraId="0845757D" w14:textId="77777777" w:rsidTr="004513E1">
        <w:tc>
          <w:tcPr>
            <w:tcW w:w="817" w:type="pct"/>
            <w:tcBorders>
              <w:top w:val="single" w:sz="4" w:space="0" w:color="auto"/>
            </w:tcBorders>
            <w:hideMark/>
          </w:tcPr>
          <w:p w14:paraId="20B95A7B"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lastRenderedPageBreak/>
              <w:t>Control</w:t>
            </w:r>
          </w:p>
        </w:tc>
        <w:tc>
          <w:tcPr>
            <w:tcW w:w="913" w:type="pct"/>
            <w:tcBorders>
              <w:top w:val="single" w:sz="4" w:space="0" w:color="auto"/>
            </w:tcBorders>
            <w:hideMark/>
          </w:tcPr>
          <w:p w14:paraId="01D0EED7"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85.00 ± 6.20</w:t>
            </w:r>
          </w:p>
        </w:tc>
        <w:tc>
          <w:tcPr>
            <w:tcW w:w="864" w:type="pct"/>
            <w:tcBorders>
              <w:top w:val="single" w:sz="4" w:space="0" w:color="auto"/>
            </w:tcBorders>
            <w:hideMark/>
          </w:tcPr>
          <w:p w14:paraId="47674C87"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80.40 ± 6.11</w:t>
            </w:r>
          </w:p>
        </w:tc>
        <w:tc>
          <w:tcPr>
            <w:tcW w:w="819" w:type="pct"/>
            <w:tcBorders>
              <w:top w:val="single" w:sz="4" w:space="0" w:color="auto"/>
            </w:tcBorders>
            <w:hideMark/>
          </w:tcPr>
          <w:p w14:paraId="60EFA724"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47.10 ± 3.85</w:t>
            </w:r>
          </w:p>
        </w:tc>
        <w:tc>
          <w:tcPr>
            <w:tcW w:w="818" w:type="pct"/>
            <w:tcBorders>
              <w:top w:val="single" w:sz="4" w:space="0" w:color="auto"/>
            </w:tcBorders>
            <w:hideMark/>
          </w:tcPr>
          <w:p w14:paraId="64EC0796"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20.40 ± 2.05</w:t>
            </w:r>
          </w:p>
        </w:tc>
        <w:tc>
          <w:tcPr>
            <w:tcW w:w="769" w:type="pct"/>
            <w:tcBorders>
              <w:top w:val="single" w:sz="4" w:space="0" w:color="auto"/>
            </w:tcBorders>
            <w:hideMark/>
          </w:tcPr>
          <w:p w14:paraId="4DEBFAD4"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1.81 ± 0.22</w:t>
            </w:r>
          </w:p>
        </w:tc>
      </w:tr>
      <w:tr w:rsidR="004513E1" w:rsidRPr="008A1B8F" w14:paraId="5840B2C4" w14:textId="77777777" w:rsidTr="004513E1">
        <w:tc>
          <w:tcPr>
            <w:tcW w:w="817" w:type="pct"/>
            <w:hideMark/>
          </w:tcPr>
          <w:p w14:paraId="6BB8FAAC"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Curcumin only</w:t>
            </w:r>
          </w:p>
        </w:tc>
        <w:tc>
          <w:tcPr>
            <w:tcW w:w="913" w:type="pct"/>
            <w:hideMark/>
          </w:tcPr>
          <w:p w14:paraId="32759684"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83.10 ± 6.15</w:t>
            </w:r>
          </w:p>
        </w:tc>
        <w:tc>
          <w:tcPr>
            <w:tcW w:w="864" w:type="pct"/>
            <w:hideMark/>
          </w:tcPr>
          <w:p w14:paraId="641C0D82"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82.25 ± 6.58</w:t>
            </w:r>
          </w:p>
        </w:tc>
        <w:tc>
          <w:tcPr>
            <w:tcW w:w="819" w:type="pct"/>
            <w:hideMark/>
          </w:tcPr>
          <w:p w14:paraId="233F1FFA"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48.05 ± 3.92</w:t>
            </w:r>
          </w:p>
        </w:tc>
        <w:tc>
          <w:tcPr>
            <w:tcW w:w="818" w:type="pct"/>
            <w:hideMark/>
          </w:tcPr>
          <w:p w14:paraId="47BA74F0"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19.30 ± 2.12</w:t>
            </w:r>
          </w:p>
        </w:tc>
        <w:tc>
          <w:tcPr>
            <w:tcW w:w="769" w:type="pct"/>
            <w:hideMark/>
          </w:tcPr>
          <w:p w14:paraId="57250117"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1.73 ± 0.24</w:t>
            </w:r>
          </w:p>
        </w:tc>
      </w:tr>
      <w:tr w:rsidR="004513E1" w:rsidRPr="008A1B8F" w14:paraId="421AD396" w14:textId="77777777" w:rsidTr="004513E1">
        <w:tc>
          <w:tcPr>
            <w:tcW w:w="817" w:type="pct"/>
            <w:hideMark/>
          </w:tcPr>
          <w:p w14:paraId="4516ED62" w14:textId="7C58C282" w:rsidR="004513E1" w:rsidRPr="004F1F00" w:rsidRDefault="004513E1" w:rsidP="004F1F00">
            <w:pPr>
              <w:spacing w:after="160" w:line="259" w:lineRule="auto"/>
              <w:jc w:val="both"/>
              <w:rPr>
                <w:rFonts w:cstheme="minorHAnsi"/>
                <w:sz w:val="24"/>
                <w:szCs w:val="24"/>
              </w:rPr>
            </w:pPr>
            <w:r w:rsidRPr="008A1B8F">
              <w:rPr>
                <w:rFonts w:cstheme="minorHAnsi"/>
                <w:sz w:val="24"/>
                <w:szCs w:val="24"/>
              </w:rPr>
              <w:t>PI drugs only</w:t>
            </w:r>
          </w:p>
        </w:tc>
        <w:tc>
          <w:tcPr>
            <w:tcW w:w="913" w:type="pct"/>
            <w:hideMark/>
          </w:tcPr>
          <w:p w14:paraId="1B9D9CD3"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115.20 ± 9.05ᵃ</w:t>
            </w:r>
          </w:p>
        </w:tc>
        <w:tc>
          <w:tcPr>
            <w:tcW w:w="864" w:type="pct"/>
            <w:hideMark/>
          </w:tcPr>
          <w:p w14:paraId="0896046D"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104.30 ± 8.92ᵃ</w:t>
            </w:r>
          </w:p>
        </w:tc>
        <w:tc>
          <w:tcPr>
            <w:tcW w:w="819" w:type="pct"/>
            <w:hideMark/>
          </w:tcPr>
          <w:p w14:paraId="7E347ECB"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38.20 ± 3.12ᵃ</w:t>
            </w:r>
          </w:p>
        </w:tc>
        <w:tc>
          <w:tcPr>
            <w:tcW w:w="818" w:type="pct"/>
            <w:hideMark/>
          </w:tcPr>
          <w:p w14:paraId="3EF1309A"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28.50 ± 2.98ᵃ</w:t>
            </w:r>
          </w:p>
        </w:tc>
        <w:tc>
          <w:tcPr>
            <w:tcW w:w="769" w:type="pct"/>
            <w:hideMark/>
          </w:tcPr>
          <w:p w14:paraId="45E24B5A"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3.03 ± 0.34ᵃ</w:t>
            </w:r>
          </w:p>
        </w:tc>
      </w:tr>
      <w:tr w:rsidR="004513E1" w:rsidRPr="008A1B8F" w14:paraId="49292103" w14:textId="77777777" w:rsidTr="004513E1">
        <w:tc>
          <w:tcPr>
            <w:tcW w:w="817" w:type="pct"/>
            <w:hideMark/>
          </w:tcPr>
          <w:p w14:paraId="301CBAB1" w14:textId="4EC14A1A" w:rsidR="004513E1" w:rsidRPr="008A1B8F" w:rsidRDefault="004513E1" w:rsidP="004F1F00">
            <w:pPr>
              <w:jc w:val="both"/>
              <w:rPr>
                <w:rFonts w:cstheme="minorHAnsi"/>
                <w:sz w:val="24"/>
                <w:szCs w:val="24"/>
              </w:rPr>
            </w:pPr>
            <w:r w:rsidRPr="004F1F00">
              <w:rPr>
                <w:rFonts w:cstheme="minorHAnsi"/>
                <w:sz w:val="24"/>
                <w:szCs w:val="24"/>
              </w:rPr>
              <w:t xml:space="preserve">PI </w:t>
            </w:r>
            <w:r w:rsidRPr="008A1B8F">
              <w:rPr>
                <w:rFonts w:cstheme="minorHAnsi"/>
                <w:sz w:val="24"/>
                <w:szCs w:val="24"/>
              </w:rPr>
              <w:t xml:space="preserve">drugs </w:t>
            </w:r>
            <w:r w:rsidRPr="004F1F00">
              <w:rPr>
                <w:rFonts w:cstheme="minorHAnsi"/>
                <w:sz w:val="24"/>
                <w:szCs w:val="24"/>
              </w:rPr>
              <w:t xml:space="preserve">+ </w:t>
            </w:r>
          </w:p>
          <w:p w14:paraId="1A3406A6" w14:textId="7DE4083B" w:rsidR="004513E1" w:rsidRPr="004F1F00" w:rsidRDefault="004513E1" w:rsidP="004F1F00">
            <w:pPr>
              <w:spacing w:after="160" w:line="259" w:lineRule="auto"/>
              <w:jc w:val="both"/>
              <w:rPr>
                <w:rFonts w:cstheme="minorHAnsi"/>
                <w:sz w:val="24"/>
                <w:szCs w:val="24"/>
              </w:rPr>
            </w:pPr>
            <w:r w:rsidRPr="004F1F00">
              <w:rPr>
                <w:rFonts w:cstheme="minorHAnsi"/>
                <w:sz w:val="24"/>
                <w:szCs w:val="24"/>
              </w:rPr>
              <w:t>Curcumin</w:t>
            </w:r>
          </w:p>
        </w:tc>
        <w:tc>
          <w:tcPr>
            <w:tcW w:w="913" w:type="pct"/>
            <w:hideMark/>
          </w:tcPr>
          <w:p w14:paraId="58EFCA05"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95.30 ± 7.14ᵇ</w:t>
            </w:r>
          </w:p>
        </w:tc>
        <w:tc>
          <w:tcPr>
            <w:tcW w:w="864" w:type="pct"/>
            <w:hideMark/>
          </w:tcPr>
          <w:p w14:paraId="0226191B"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88.15 ± 7.03ᵇ</w:t>
            </w:r>
          </w:p>
        </w:tc>
        <w:tc>
          <w:tcPr>
            <w:tcW w:w="819" w:type="pct"/>
            <w:hideMark/>
          </w:tcPr>
          <w:p w14:paraId="0A9DDAE2"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44.30 ± 3.24ᵇ</w:t>
            </w:r>
          </w:p>
        </w:tc>
        <w:tc>
          <w:tcPr>
            <w:tcW w:w="818" w:type="pct"/>
            <w:hideMark/>
          </w:tcPr>
          <w:p w14:paraId="64E2BAD0"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23.40 ± 2.74ᵇ</w:t>
            </w:r>
          </w:p>
        </w:tc>
        <w:tc>
          <w:tcPr>
            <w:tcW w:w="769" w:type="pct"/>
            <w:hideMark/>
          </w:tcPr>
          <w:p w14:paraId="69259C8F"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2.16 ± 0.28ᵇ</w:t>
            </w:r>
          </w:p>
        </w:tc>
      </w:tr>
      <w:tr w:rsidR="004513E1" w:rsidRPr="008A1B8F" w14:paraId="406B4EB4" w14:textId="77777777" w:rsidTr="004513E1">
        <w:tc>
          <w:tcPr>
            <w:tcW w:w="817" w:type="pct"/>
            <w:hideMark/>
          </w:tcPr>
          <w:p w14:paraId="49E454DE" w14:textId="77777777" w:rsidR="004513E1" w:rsidRPr="004F1F00" w:rsidRDefault="004513E1" w:rsidP="004F1F00">
            <w:pPr>
              <w:spacing w:after="160" w:line="259" w:lineRule="auto"/>
              <w:jc w:val="both"/>
              <w:rPr>
                <w:rFonts w:cstheme="minorHAnsi"/>
                <w:sz w:val="24"/>
                <w:szCs w:val="24"/>
              </w:rPr>
            </w:pPr>
            <w:r w:rsidRPr="004F1F00">
              <w:rPr>
                <w:rFonts w:cstheme="minorHAnsi"/>
                <w:b/>
                <w:bCs/>
                <w:sz w:val="24"/>
                <w:szCs w:val="24"/>
              </w:rPr>
              <w:t>F-value</w:t>
            </w:r>
          </w:p>
        </w:tc>
        <w:tc>
          <w:tcPr>
            <w:tcW w:w="913" w:type="pct"/>
            <w:hideMark/>
          </w:tcPr>
          <w:p w14:paraId="5798AE40"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23.62</w:t>
            </w:r>
          </w:p>
        </w:tc>
        <w:tc>
          <w:tcPr>
            <w:tcW w:w="864" w:type="pct"/>
            <w:hideMark/>
          </w:tcPr>
          <w:p w14:paraId="1761B2C8"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17.94</w:t>
            </w:r>
          </w:p>
        </w:tc>
        <w:tc>
          <w:tcPr>
            <w:tcW w:w="819" w:type="pct"/>
            <w:hideMark/>
          </w:tcPr>
          <w:p w14:paraId="1A145ADB"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11.82</w:t>
            </w:r>
          </w:p>
        </w:tc>
        <w:tc>
          <w:tcPr>
            <w:tcW w:w="818" w:type="pct"/>
            <w:hideMark/>
          </w:tcPr>
          <w:p w14:paraId="19EE3FE1"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21.41</w:t>
            </w:r>
          </w:p>
        </w:tc>
        <w:tc>
          <w:tcPr>
            <w:tcW w:w="769" w:type="pct"/>
            <w:hideMark/>
          </w:tcPr>
          <w:p w14:paraId="641556AE"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38.72</w:t>
            </w:r>
          </w:p>
        </w:tc>
      </w:tr>
      <w:tr w:rsidR="004513E1" w:rsidRPr="008A1B8F" w14:paraId="31F0DE2A" w14:textId="77777777" w:rsidTr="004513E1">
        <w:tc>
          <w:tcPr>
            <w:tcW w:w="817" w:type="pct"/>
            <w:hideMark/>
          </w:tcPr>
          <w:p w14:paraId="6FB72196" w14:textId="77777777" w:rsidR="004513E1" w:rsidRPr="004F1F00" w:rsidRDefault="004513E1" w:rsidP="004F1F00">
            <w:pPr>
              <w:spacing w:after="160" w:line="259" w:lineRule="auto"/>
              <w:jc w:val="both"/>
              <w:rPr>
                <w:rFonts w:cstheme="minorHAnsi"/>
                <w:sz w:val="24"/>
                <w:szCs w:val="24"/>
              </w:rPr>
            </w:pPr>
            <w:r w:rsidRPr="004F1F00">
              <w:rPr>
                <w:rFonts w:cstheme="minorHAnsi"/>
                <w:b/>
                <w:bCs/>
                <w:sz w:val="24"/>
                <w:szCs w:val="24"/>
              </w:rPr>
              <w:t>p-value</w:t>
            </w:r>
          </w:p>
        </w:tc>
        <w:tc>
          <w:tcPr>
            <w:tcW w:w="913" w:type="pct"/>
            <w:hideMark/>
          </w:tcPr>
          <w:p w14:paraId="5F905B4C"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&lt;0.001</w:t>
            </w:r>
          </w:p>
        </w:tc>
        <w:tc>
          <w:tcPr>
            <w:tcW w:w="864" w:type="pct"/>
            <w:hideMark/>
          </w:tcPr>
          <w:p w14:paraId="400B4A5A"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&lt;0.001</w:t>
            </w:r>
          </w:p>
        </w:tc>
        <w:tc>
          <w:tcPr>
            <w:tcW w:w="819" w:type="pct"/>
            <w:hideMark/>
          </w:tcPr>
          <w:p w14:paraId="0C302D13" w14:textId="77777777" w:rsidR="004513E1" w:rsidRPr="004F1F00" w:rsidRDefault="004513E1" w:rsidP="004F1F00">
            <w:pPr>
              <w:spacing w:after="160" w:line="259" w:lineRule="auto"/>
              <w:jc w:val="both"/>
              <w:rPr>
                <w:rFonts w:cstheme="minorHAnsi"/>
                <w:sz w:val="24"/>
                <w:szCs w:val="24"/>
              </w:rPr>
            </w:pPr>
            <w:r w:rsidRPr="004F1F00">
              <w:rPr>
                <w:rFonts w:cstheme="minorHAnsi"/>
                <w:sz w:val="24"/>
                <w:szCs w:val="24"/>
              </w:rPr>
              <w:t>&lt;0.001</w:t>
            </w:r>
          </w:p>
        </w:tc>
        <w:tc>
          <w:tcPr>
            <w:tcW w:w="818" w:type="pct"/>
            <w:hideMark/>
          </w:tcPr>
          <w:p w14:paraId="2F3DE53B"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&lt;0.001</w:t>
            </w:r>
          </w:p>
        </w:tc>
        <w:tc>
          <w:tcPr>
            <w:tcW w:w="769" w:type="pct"/>
            <w:hideMark/>
          </w:tcPr>
          <w:p w14:paraId="748FCC2A" w14:textId="77777777" w:rsidR="004513E1" w:rsidRPr="004F1F00" w:rsidRDefault="004513E1" w:rsidP="004F1F00">
            <w:pPr>
              <w:spacing w:after="160" w:line="259" w:lineRule="auto"/>
              <w:rPr>
                <w:rFonts w:cstheme="minorHAnsi"/>
                <w:sz w:val="24"/>
                <w:szCs w:val="24"/>
              </w:rPr>
            </w:pPr>
            <w:r w:rsidRPr="004F1F00">
              <w:rPr>
                <w:rFonts w:cstheme="minorHAnsi"/>
                <w:sz w:val="24"/>
                <w:szCs w:val="24"/>
              </w:rPr>
              <w:t>&lt;0.001</w:t>
            </w:r>
          </w:p>
        </w:tc>
      </w:tr>
    </w:tbl>
    <w:p w14:paraId="42C50835" w14:textId="34F9E268" w:rsidR="004F1F00" w:rsidRPr="008A1B8F" w:rsidRDefault="004F1F00" w:rsidP="004F1F00">
      <w:pPr>
        <w:jc w:val="both"/>
        <w:rPr>
          <w:rFonts w:cstheme="minorHAnsi"/>
          <w:sz w:val="24"/>
          <w:szCs w:val="24"/>
        </w:rPr>
      </w:pPr>
      <w:r w:rsidRPr="008A1B8F">
        <w:rPr>
          <w:rFonts w:cstheme="minorHAnsi"/>
          <w:b/>
          <w:bCs/>
          <w:sz w:val="24"/>
          <w:szCs w:val="24"/>
        </w:rPr>
        <w:t>Key</w:t>
      </w:r>
      <w:r w:rsidRPr="004F1F00">
        <w:rPr>
          <w:rFonts w:cstheme="minorHAnsi"/>
          <w:b/>
          <w:bCs/>
          <w:sz w:val="24"/>
          <w:szCs w:val="24"/>
        </w:rPr>
        <w:t>:</w:t>
      </w:r>
      <w:r w:rsidRPr="004F1F00">
        <w:rPr>
          <w:rFonts w:cstheme="minorHAnsi"/>
          <w:sz w:val="24"/>
          <w:szCs w:val="24"/>
        </w:rPr>
        <w:t xml:space="preserve"> Values are Mean ± SD (n = 6/group). One-way ANOVA followed by post-hoc analysis.</w:t>
      </w:r>
    </w:p>
    <w:p w14:paraId="43D5A755" w14:textId="77777777" w:rsidR="004F1F00" w:rsidRPr="008A1B8F" w:rsidRDefault="004F1F00" w:rsidP="004F1F00">
      <w:pPr>
        <w:jc w:val="both"/>
        <w:rPr>
          <w:rFonts w:cstheme="minorHAnsi"/>
          <w:sz w:val="24"/>
          <w:szCs w:val="24"/>
        </w:rPr>
      </w:pPr>
      <w:r w:rsidRPr="004F1F00">
        <w:rPr>
          <w:rFonts w:cstheme="minorHAnsi"/>
          <w:sz w:val="24"/>
          <w:szCs w:val="24"/>
        </w:rPr>
        <w:t>ᵃp &lt; 0.05 vs Control.</w:t>
      </w:r>
    </w:p>
    <w:p w14:paraId="1252F080" w14:textId="77777777" w:rsidR="004F1F00" w:rsidRPr="008A1B8F" w:rsidRDefault="004F1F00" w:rsidP="004F1F00">
      <w:pPr>
        <w:jc w:val="both"/>
        <w:rPr>
          <w:rFonts w:cstheme="minorHAnsi"/>
          <w:sz w:val="24"/>
          <w:szCs w:val="24"/>
        </w:rPr>
      </w:pPr>
      <w:r w:rsidRPr="004F1F00">
        <w:rPr>
          <w:rFonts w:cstheme="minorHAnsi"/>
          <w:sz w:val="24"/>
          <w:szCs w:val="24"/>
        </w:rPr>
        <w:t>ᵇp &lt; 0.05 vs PI only.</w:t>
      </w:r>
    </w:p>
    <w:p w14:paraId="474DED42" w14:textId="128BA3FE" w:rsidR="00634268" w:rsidRPr="008A1B8F" w:rsidRDefault="004F1F00" w:rsidP="00634268">
      <w:pPr>
        <w:jc w:val="both"/>
        <w:rPr>
          <w:rFonts w:cstheme="minorHAnsi"/>
          <w:sz w:val="24"/>
          <w:szCs w:val="24"/>
        </w:rPr>
      </w:pPr>
      <w:r w:rsidRPr="004F1F00">
        <w:rPr>
          <w:rFonts w:cstheme="minorHAnsi"/>
          <w:sz w:val="24"/>
          <w:szCs w:val="24"/>
        </w:rPr>
        <w:t xml:space="preserve">Abbreviations: </w:t>
      </w:r>
      <w:r w:rsidR="002A5BC9" w:rsidRPr="008A1B8F">
        <w:rPr>
          <w:rFonts w:cstheme="minorHAnsi"/>
          <w:sz w:val="24"/>
          <w:szCs w:val="24"/>
        </w:rPr>
        <w:t xml:space="preserve">PI = Protease inhibitor, </w:t>
      </w:r>
      <w:r w:rsidRPr="004F1F00">
        <w:rPr>
          <w:rFonts w:cstheme="minorHAnsi"/>
          <w:sz w:val="24"/>
          <w:szCs w:val="24"/>
        </w:rPr>
        <w:t>TC = total cholesterol; TG = triglycerides; HDL-C = high-density lipoprotein cholesterol; LDL-C = low-density lipoprotein cholesterol</w:t>
      </w:r>
      <w:r w:rsidRPr="008A1B8F">
        <w:rPr>
          <w:rFonts w:cstheme="minorHAnsi"/>
          <w:sz w:val="24"/>
          <w:szCs w:val="24"/>
        </w:rPr>
        <w:t>.</w:t>
      </w:r>
    </w:p>
    <w:p w14:paraId="1C1300C8" w14:textId="171B6F5B" w:rsidR="004F1F00" w:rsidRPr="004F1F00" w:rsidRDefault="00634268" w:rsidP="004F1F00">
      <w:pPr>
        <w:jc w:val="both"/>
        <w:rPr>
          <w:rFonts w:cstheme="minorHAnsi"/>
          <w:sz w:val="24"/>
          <w:szCs w:val="24"/>
        </w:rPr>
      </w:pPr>
      <w:r w:rsidRPr="008A1B8F">
        <w:rPr>
          <w:rFonts w:cstheme="minorHAnsi"/>
          <w:sz w:val="24"/>
          <w:szCs w:val="24"/>
        </w:rPr>
        <w:t xml:space="preserve">In Table </w:t>
      </w:r>
      <w:r w:rsidR="004513E1" w:rsidRPr="008A1B8F">
        <w:rPr>
          <w:rFonts w:cstheme="minorHAnsi"/>
          <w:sz w:val="24"/>
          <w:szCs w:val="24"/>
        </w:rPr>
        <w:t>3</w:t>
      </w:r>
      <w:r w:rsidRPr="008A1B8F">
        <w:rPr>
          <w:rFonts w:cstheme="minorHAnsi"/>
          <w:sz w:val="24"/>
          <w:szCs w:val="24"/>
        </w:rPr>
        <w:t>, oxidative stress markers were markedly altered by PI drug treatment. Rats treated with PI drugs alone exhibited a significant increase in malondialdehyde (MDA) levels, indicating enhanced lipid peroxidation, along with significant decreases in antioxidant enzymes including superoxide dismutase (SOD), catalase, and reduced glutathione (GSH) (p &lt; 0.05 vs. control). In contrast, co-treatment with curcumin significantly attenuated these effects, leading to lower MDA levels and higher levels of SOD, catalase, and GSH compared to the PI-only group (p &lt; 0.05). These findings suggest that curcumin effectively mitigates PI-induced oxidative stress. Curcumin alone maintained oxidative stress markers comparable to those of the control group, further supporting its antioxidant potential and safety.</w:t>
      </w:r>
    </w:p>
    <w:p w14:paraId="17C50E9E" w14:textId="64FBE3DE" w:rsidR="004F1F00" w:rsidRPr="004F1F00" w:rsidRDefault="004F1F00" w:rsidP="004F1F00">
      <w:pPr>
        <w:jc w:val="both"/>
        <w:rPr>
          <w:rFonts w:cstheme="minorHAnsi"/>
          <w:b/>
          <w:bCs/>
          <w:sz w:val="24"/>
          <w:szCs w:val="24"/>
        </w:rPr>
      </w:pPr>
      <w:r w:rsidRPr="004F1F00">
        <w:rPr>
          <w:rFonts w:cstheme="minorHAnsi"/>
          <w:b/>
          <w:bCs/>
          <w:sz w:val="24"/>
          <w:szCs w:val="24"/>
        </w:rPr>
        <w:t xml:space="preserve">Table </w:t>
      </w:r>
      <w:r w:rsidR="00B2549F" w:rsidRPr="008A1B8F">
        <w:rPr>
          <w:rFonts w:cstheme="minorHAnsi"/>
          <w:b/>
          <w:bCs/>
          <w:sz w:val="24"/>
          <w:szCs w:val="24"/>
        </w:rPr>
        <w:t>3</w:t>
      </w:r>
      <w:r w:rsidRPr="004F1F00">
        <w:rPr>
          <w:rFonts w:cstheme="minorHAnsi"/>
          <w:b/>
          <w:bCs/>
          <w:sz w:val="24"/>
          <w:szCs w:val="24"/>
        </w:rPr>
        <w:t xml:space="preserve">: </w:t>
      </w:r>
      <w:r w:rsidR="002A5BC9" w:rsidRPr="008A1B8F">
        <w:rPr>
          <w:rFonts w:cstheme="minorHAnsi"/>
          <w:b/>
          <w:bCs/>
          <w:sz w:val="24"/>
          <w:szCs w:val="24"/>
        </w:rPr>
        <w:t>Levels of o</w:t>
      </w:r>
      <w:r w:rsidRPr="004F1F00">
        <w:rPr>
          <w:rFonts w:cstheme="minorHAnsi"/>
          <w:b/>
          <w:bCs/>
          <w:sz w:val="24"/>
          <w:szCs w:val="24"/>
        </w:rPr>
        <w:t xml:space="preserve">xidative Stress Markers in Wistar Albino Rats after </w:t>
      </w:r>
      <w:r w:rsidR="002A5BC9" w:rsidRPr="008A1B8F">
        <w:rPr>
          <w:rFonts w:cstheme="minorHAnsi"/>
          <w:b/>
          <w:bCs/>
          <w:sz w:val="24"/>
          <w:szCs w:val="24"/>
        </w:rPr>
        <w:t>treatment period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929"/>
        <w:gridCol w:w="1699"/>
        <w:gridCol w:w="1948"/>
        <w:gridCol w:w="1984"/>
      </w:tblGrid>
      <w:tr w:rsidR="002A5BC9" w:rsidRPr="008A1B8F" w14:paraId="5CED5AFB" w14:textId="77777777" w:rsidTr="002A5BC9">
        <w:tc>
          <w:tcPr>
            <w:tcW w:w="1800" w:type="dxa"/>
            <w:tcBorders>
              <w:top w:val="single" w:sz="4" w:space="0" w:color="auto"/>
              <w:bottom w:val="single" w:sz="4" w:space="0" w:color="auto"/>
            </w:tcBorders>
            <w:vAlign w:val="center"/>
            <w:hideMark/>
          </w:tcPr>
          <w:p w14:paraId="7DCE766C" w14:textId="77777777" w:rsidR="004F1F00" w:rsidRPr="004F1F00" w:rsidRDefault="004F1F00" w:rsidP="002A5BC9">
            <w:pPr>
              <w:spacing w:after="160" w:line="259" w:lineRule="auto"/>
              <w:rPr>
                <w:rFonts w:cstheme="minorHAnsi"/>
                <w:b/>
                <w:bCs/>
                <w:sz w:val="24"/>
                <w:szCs w:val="24"/>
              </w:rPr>
            </w:pPr>
            <w:r w:rsidRPr="004F1F00">
              <w:rPr>
                <w:rFonts w:cstheme="minorHAnsi"/>
                <w:b/>
                <w:bCs/>
                <w:sz w:val="24"/>
                <w:szCs w:val="24"/>
              </w:rPr>
              <w:t>Group</w:t>
            </w:r>
          </w:p>
        </w:tc>
        <w:tc>
          <w:tcPr>
            <w:tcW w:w="1929" w:type="dxa"/>
            <w:tcBorders>
              <w:top w:val="single" w:sz="4" w:space="0" w:color="auto"/>
              <w:bottom w:val="single" w:sz="4" w:space="0" w:color="auto"/>
            </w:tcBorders>
            <w:vAlign w:val="center"/>
            <w:hideMark/>
          </w:tcPr>
          <w:p w14:paraId="74A201D2" w14:textId="77777777" w:rsidR="004F1F00" w:rsidRPr="004F1F00" w:rsidRDefault="004F1F00" w:rsidP="002A5BC9">
            <w:pPr>
              <w:spacing w:after="160" w:line="259" w:lineRule="auto"/>
              <w:rPr>
                <w:rFonts w:cstheme="minorHAnsi"/>
                <w:b/>
                <w:bCs/>
                <w:sz w:val="24"/>
                <w:szCs w:val="24"/>
              </w:rPr>
            </w:pPr>
            <w:r w:rsidRPr="004F1F00">
              <w:rPr>
                <w:rFonts w:cstheme="minorHAnsi"/>
                <w:b/>
                <w:bCs/>
                <w:sz w:val="24"/>
                <w:szCs w:val="24"/>
              </w:rPr>
              <w:t>MDA (nmol/mg protein)</w:t>
            </w:r>
          </w:p>
        </w:tc>
        <w:tc>
          <w:tcPr>
            <w:tcW w:w="0" w:type="auto"/>
            <w:tcBorders>
              <w:top w:val="single" w:sz="4" w:space="0" w:color="auto"/>
              <w:bottom w:val="single" w:sz="4" w:space="0" w:color="auto"/>
            </w:tcBorders>
            <w:vAlign w:val="center"/>
            <w:hideMark/>
          </w:tcPr>
          <w:p w14:paraId="062CC769" w14:textId="77777777" w:rsidR="004F1F00" w:rsidRPr="004F1F00" w:rsidRDefault="004F1F00" w:rsidP="002A5BC9">
            <w:pPr>
              <w:spacing w:after="160" w:line="259" w:lineRule="auto"/>
              <w:rPr>
                <w:rFonts w:cstheme="minorHAnsi"/>
                <w:b/>
                <w:bCs/>
                <w:sz w:val="24"/>
                <w:szCs w:val="24"/>
              </w:rPr>
            </w:pPr>
            <w:r w:rsidRPr="004F1F00">
              <w:rPr>
                <w:rFonts w:cstheme="minorHAnsi"/>
                <w:b/>
                <w:bCs/>
                <w:sz w:val="24"/>
                <w:szCs w:val="24"/>
              </w:rPr>
              <w:t>SOD (U/mg protein)</w:t>
            </w:r>
          </w:p>
        </w:tc>
        <w:tc>
          <w:tcPr>
            <w:tcW w:w="0" w:type="auto"/>
            <w:tcBorders>
              <w:top w:val="single" w:sz="4" w:space="0" w:color="auto"/>
              <w:bottom w:val="single" w:sz="4" w:space="0" w:color="auto"/>
            </w:tcBorders>
            <w:vAlign w:val="center"/>
            <w:hideMark/>
          </w:tcPr>
          <w:p w14:paraId="7EEAACD4" w14:textId="77777777" w:rsidR="004F1F00" w:rsidRPr="004F1F00" w:rsidRDefault="004F1F00" w:rsidP="002A5BC9">
            <w:pPr>
              <w:spacing w:after="160" w:line="259" w:lineRule="auto"/>
              <w:rPr>
                <w:rFonts w:cstheme="minorHAnsi"/>
                <w:b/>
                <w:bCs/>
                <w:sz w:val="24"/>
                <w:szCs w:val="24"/>
              </w:rPr>
            </w:pPr>
            <w:r w:rsidRPr="004F1F00">
              <w:rPr>
                <w:rFonts w:cstheme="minorHAnsi"/>
                <w:b/>
                <w:bCs/>
                <w:sz w:val="24"/>
                <w:szCs w:val="24"/>
              </w:rPr>
              <w:t>Catalase (U/mg protein)</w:t>
            </w:r>
          </w:p>
        </w:tc>
        <w:tc>
          <w:tcPr>
            <w:tcW w:w="0" w:type="auto"/>
            <w:tcBorders>
              <w:top w:val="single" w:sz="4" w:space="0" w:color="auto"/>
              <w:bottom w:val="single" w:sz="4" w:space="0" w:color="auto"/>
            </w:tcBorders>
            <w:vAlign w:val="center"/>
            <w:hideMark/>
          </w:tcPr>
          <w:p w14:paraId="0BF54F3C" w14:textId="77777777" w:rsidR="004F1F00" w:rsidRPr="004F1F00" w:rsidRDefault="004F1F00" w:rsidP="002A5BC9">
            <w:pPr>
              <w:spacing w:after="160" w:line="259" w:lineRule="auto"/>
              <w:rPr>
                <w:rFonts w:cstheme="minorHAnsi"/>
                <w:b/>
                <w:bCs/>
                <w:sz w:val="24"/>
                <w:szCs w:val="24"/>
              </w:rPr>
            </w:pPr>
            <w:r w:rsidRPr="004F1F00">
              <w:rPr>
                <w:rFonts w:cstheme="minorHAnsi"/>
                <w:b/>
                <w:bCs/>
                <w:sz w:val="24"/>
                <w:szCs w:val="24"/>
              </w:rPr>
              <w:t>GSH (µmol/mg protein)</w:t>
            </w:r>
          </w:p>
        </w:tc>
      </w:tr>
      <w:tr w:rsidR="002A5BC9" w:rsidRPr="008A1B8F" w14:paraId="62CE7FCC" w14:textId="77777777" w:rsidTr="002A5BC9">
        <w:tc>
          <w:tcPr>
            <w:tcW w:w="1800" w:type="dxa"/>
            <w:tcBorders>
              <w:top w:val="single" w:sz="4" w:space="0" w:color="auto"/>
            </w:tcBorders>
            <w:vAlign w:val="center"/>
            <w:hideMark/>
          </w:tcPr>
          <w:p w14:paraId="18C8332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Control</w:t>
            </w:r>
          </w:p>
        </w:tc>
        <w:tc>
          <w:tcPr>
            <w:tcW w:w="1929" w:type="dxa"/>
            <w:tcBorders>
              <w:top w:val="single" w:sz="4" w:space="0" w:color="auto"/>
            </w:tcBorders>
            <w:vAlign w:val="center"/>
            <w:hideMark/>
          </w:tcPr>
          <w:p w14:paraId="535EAB6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2.00 ± 0.30</w:t>
            </w:r>
          </w:p>
        </w:tc>
        <w:tc>
          <w:tcPr>
            <w:tcW w:w="0" w:type="auto"/>
            <w:tcBorders>
              <w:top w:val="single" w:sz="4" w:space="0" w:color="auto"/>
            </w:tcBorders>
            <w:vAlign w:val="center"/>
            <w:hideMark/>
          </w:tcPr>
          <w:p w14:paraId="71E207D2"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19.50 ± 2.00</w:t>
            </w:r>
          </w:p>
        </w:tc>
        <w:tc>
          <w:tcPr>
            <w:tcW w:w="0" w:type="auto"/>
            <w:tcBorders>
              <w:top w:val="single" w:sz="4" w:space="0" w:color="auto"/>
            </w:tcBorders>
            <w:vAlign w:val="center"/>
            <w:hideMark/>
          </w:tcPr>
          <w:p w14:paraId="07530418"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42.00 ± 3.52</w:t>
            </w:r>
          </w:p>
        </w:tc>
        <w:tc>
          <w:tcPr>
            <w:tcW w:w="0" w:type="auto"/>
            <w:tcBorders>
              <w:top w:val="single" w:sz="4" w:space="0" w:color="auto"/>
            </w:tcBorders>
            <w:vAlign w:val="center"/>
            <w:hideMark/>
          </w:tcPr>
          <w:p w14:paraId="16D0C97D"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8.20 ± 0.72</w:t>
            </w:r>
          </w:p>
        </w:tc>
      </w:tr>
      <w:tr w:rsidR="002A5BC9" w:rsidRPr="008A1B8F" w14:paraId="1AF721FA" w14:textId="77777777" w:rsidTr="002A5BC9">
        <w:tc>
          <w:tcPr>
            <w:tcW w:w="1800" w:type="dxa"/>
            <w:vAlign w:val="center"/>
            <w:hideMark/>
          </w:tcPr>
          <w:p w14:paraId="2709A893"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Curcumin only</w:t>
            </w:r>
          </w:p>
        </w:tc>
        <w:tc>
          <w:tcPr>
            <w:tcW w:w="1929" w:type="dxa"/>
            <w:vAlign w:val="center"/>
            <w:hideMark/>
          </w:tcPr>
          <w:p w14:paraId="3894E5B8"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1.90 ± 0.22</w:t>
            </w:r>
          </w:p>
        </w:tc>
        <w:tc>
          <w:tcPr>
            <w:tcW w:w="0" w:type="auto"/>
            <w:vAlign w:val="center"/>
            <w:hideMark/>
          </w:tcPr>
          <w:p w14:paraId="433DA746"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20.20 ± 2.05</w:t>
            </w:r>
          </w:p>
        </w:tc>
        <w:tc>
          <w:tcPr>
            <w:tcW w:w="0" w:type="auto"/>
            <w:vAlign w:val="center"/>
            <w:hideMark/>
          </w:tcPr>
          <w:p w14:paraId="2F4703B2"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43.50 ± 3.64</w:t>
            </w:r>
          </w:p>
        </w:tc>
        <w:tc>
          <w:tcPr>
            <w:tcW w:w="0" w:type="auto"/>
            <w:vAlign w:val="center"/>
            <w:hideMark/>
          </w:tcPr>
          <w:p w14:paraId="52658048"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8.60 ± 0.80</w:t>
            </w:r>
          </w:p>
        </w:tc>
      </w:tr>
      <w:tr w:rsidR="002A5BC9" w:rsidRPr="008A1B8F" w14:paraId="077F77FB" w14:textId="77777777" w:rsidTr="002A5BC9">
        <w:tc>
          <w:tcPr>
            <w:tcW w:w="1800" w:type="dxa"/>
            <w:vAlign w:val="center"/>
            <w:hideMark/>
          </w:tcPr>
          <w:p w14:paraId="15DF22CE" w14:textId="712EC433" w:rsidR="004F1F00" w:rsidRPr="004F1F00" w:rsidRDefault="004F1F00" w:rsidP="002A5BC9">
            <w:pPr>
              <w:spacing w:after="160" w:line="259" w:lineRule="auto"/>
              <w:rPr>
                <w:rFonts w:cstheme="minorHAnsi"/>
                <w:sz w:val="24"/>
                <w:szCs w:val="24"/>
              </w:rPr>
            </w:pPr>
            <w:r w:rsidRPr="004F1F00">
              <w:rPr>
                <w:rFonts w:cstheme="minorHAnsi"/>
                <w:sz w:val="24"/>
                <w:szCs w:val="24"/>
              </w:rPr>
              <w:t xml:space="preserve">PI </w:t>
            </w:r>
            <w:r w:rsidR="002A5BC9" w:rsidRPr="008A1B8F">
              <w:rPr>
                <w:rFonts w:cstheme="minorHAnsi"/>
                <w:sz w:val="24"/>
                <w:szCs w:val="24"/>
              </w:rPr>
              <w:t xml:space="preserve">drugs </w:t>
            </w:r>
            <w:r w:rsidRPr="004F1F00">
              <w:rPr>
                <w:rFonts w:cstheme="minorHAnsi"/>
                <w:sz w:val="24"/>
                <w:szCs w:val="24"/>
              </w:rPr>
              <w:t>only</w:t>
            </w:r>
          </w:p>
        </w:tc>
        <w:tc>
          <w:tcPr>
            <w:tcW w:w="1929" w:type="dxa"/>
            <w:vAlign w:val="center"/>
            <w:hideMark/>
          </w:tcPr>
          <w:p w14:paraId="2C46E80B"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2.70 ± 0.40ᵃ</w:t>
            </w:r>
          </w:p>
        </w:tc>
        <w:tc>
          <w:tcPr>
            <w:tcW w:w="0" w:type="auto"/>
            <w:vAlign w:val="center"/>
            <w:hideMark/>
          </w:tcPr>
          <w:p w14:paraId="3740B21B"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14.60 ± 1.72ᵃ</w:t>
            </w:r>
          </w:p>
        </w:tc>
        <w:tc>
          <w:tcPr>
            <w:tcW w:w="0" w:type="auto"/>
            <w:vAlign w:val="center"/>
            <w:hideMark/>
          </w:tcPr>
          <w:p w14:paraId="47FD93EB"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29.40 ± 2.84ᵃ</w:t>
            </w:r>
          </w:p>
        </w:tc>
        <w:tc>
          <w:tcPr>
            <w:tcW w:w="0" w:type="auto"/>
            <w:vAlign w:val="center"/>
            <w:hideMark/>
          </w:tcPr>
          <w:p w14:paraId="66207D9A"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5.70 ± 0.61ᵃ</w:t>
            </w:r>
          </w:p>
        </w:tc>
      </w:tr>
      <w:tr w:rsidR="002A5BC9" w:rsidRPr="008A1B8F" w14:paraId="1D1B564D" w14:textId="77777777" w:rsidTr="002A5BC9">
        <w:tc>
          <w:tcPr>
            <w:tcW w:w="1800" w:type="dxa"/>
            <w:vAlign w:val="center"/>
            <w:hideMark/>
          </w:tcPr>
          <w:p w14:paraId="402A9566" w14:textId="4D48D196" w:rsidR="004F1F00" w:rsidRPr="004F1F00" w:rsidRDefault="004F1F00" w:rsidP="002A5BC9">
            <w:pPr>
              <w:spacing w:after="160" w:line="259" w:lineRule="auto"/>
              <w:rPr>
                <w:rFonts w:cstheme="minorHAnsi"/>
                <w:sz w:val="24"/>
                <w:szCs w:val="24"/>
              </w:rPr>
            </w:pPr>
            <w:r w:rsidRPr="004F1F00">
              <w:rPr>
                <w:rFonts w:cstheme="minorHAnsi"/>
                <w:sz w:val="24"/>
                <w:szCs w:val="24"/>
              </w:rPr>
              <w:t>PI</w:t>
            </w:r>
            <w:r w:rsidR="002A5BC9" w:rsidRPr="008A1B8F">
              <w:rPr>
                <w:rFonts w:cstheme="minorHAnsi"/>
                <w:sz w:val="24"/>
                <w:szCs w:val="24"/>
              </w:rPr>
              <w:t xml:space="preserve"> drugs</w:t>
            </w:r>
            <w:r w:rsidRPr="004F1F00">
              <w:rPr>
                <w:rFonts w:cstheme="minorHAnsi"/>
                <w:sz w:val="24"/>
                <w:szCs w:val="24"/>
              </w:rPr>
              <w:t xml:space="preserve"> + Curcumin</w:t>
            </w:r>
          </w:p>
        </w:tc>
        <w:tc>
          <w:tcPr>
            <w:tcW w:w="1929" w:type="dxa"/>
            <w:vAlign w:val="center"/>
            <w:hideMark/>
          </w:tcPr>
          <w:p w14:paraId="3CB25341"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2.20 ± 0.30ᵇ</w:t>
            </w:r>
          </w:p>
        </w:tc>
        <w:tc>
          <w:tcPr>
            <w:tcW w:w="0" w:type="auto"/>
            <w:vAlign w:val="center"/>
            <w:hideMark/>
          </w:tcPr>
          <w:p w14:paraId="2030BF5B"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18.00 ± 1.84ᵇ</w:t>
            </w:r>
          </w:p>
        </w:tc>
        <w:tc>
          <w:tcPr>
            <w:tcW w:w="0" w:type="auto"/>
            <w:vAlign w:val="center"/>
            <w:hideMark/>
          </w:tcPr>
          <w:p w14:paraId="0929B84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38.00 ± 3.05ᵇ</w:t>
            </w:r>
          </w:p>
        </w:tc>
        <w:tc>
          <w:tcPr>
            <w:tcW w:w="0" w:type="auto"/>
            <w:vAlign w:val="center"/>
            <w:hideMark/>
          </w:tcPr>
          <w:p w14:paraId="208EB0A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7.60 ± 0.64ᵇ</w:t>
            </w:r>
          </w:p>
        </w:tc>
      </w:tr>
      <w:tr w:rsidR="002A5BC9" w:rsidRPr="008A1B8F" w14:paraId="5F49C905" w14:textId="77777777" w:rsidTr="002A5BC9">
        <w:tc>
          <w:tcPr>
            <w:tcW w:w="1800" w:type="dxa"/>
            <w:vAlign w:val="center"/>
            <w:hideMark/>
          </w:tcPr>
          <w:p w14:paraId="3CCA8FD4" w14:textId="77777777" w:rsidR="004F1F00" w:rsidRPr="004F1F00" w:rsidRDefault="004F1F00" w:rsidP="002A5BC9">
            <w:pPr>
              <w:spacing w:after="160" w:line="259" w:lineRule="auto"/>
              <w:rPr>
                <w:rFonts w:cstheme="minorHAnsi"/>
                <w:sz w:val="24"/>
                <w:szCs w:val="24"/>
              </w:rPr>
            </w:pPr>
            <w:r w:rsidRPr="004F1F00">
              <w:rPr>
                <w:rFonts w:cstheme="minorHAnsi"/>
                <w:b/>
                <w:bCs/>
                <w:sz w:val="24"/>
                <w:szCs w:val="24"/>
              </w:rPr>
              <w:t>F-value</w:t>
            </w:r>
          </w:p>
        </w:tc>
        <w:tc>
          <w:tcPr>
            <w:tcW w:w="1929" w:type="dxa"/>
            <w:vAlign w:val="center"/>
            <w:hideMark/>
          </w:tcPr>
          <w:p w14:paraId="41FC9946"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16.82</w:t>
            </w:r>
          </w:p>
        </w:tc>
        <w:tc>
          <w:tcPr>
            <w:tcW w:w="0" w:type="auto"/>
            <w:vAlign w:val="center"/>
            <w:hideMark/>
          </w:tcPr>
          <w:p w14:paraId="1290E36E"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14.32</w:t>
            </w:r>
          </w:p>
        </w:tc>
        <w:tc>
          <w:tcPr>
            <w:tcW w:w="0" w:type="auto"/>
            <w:vAlign w:val="center"/>
            <w:hideMark/>
          </w:tcPr>
          <w:p w14:paraId="5B71B3FF"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32.74</w:t>
            </w:r>
          </w:p>
        </w:tc>
        <w:tc>
          <w:tcPr>
            <w:tcW w:w="0" w:type="auto"/>
            <w:vAlign w:val="center"/>
            <w:hideMark/>
          </w:tcPr>
          <w:p w14:paraId="341330F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28.12</w:t>
            </w:r>
          </w:p>
        </w:tc>
      </w:tr>
      <w:tr w:rsidR="002A5BC9" w:rsidRPr="008A1B8F" w14:paraId="7B916A44" w14:textId="77777777" w:rsidTr="002A5BC9">
        <w:tc>
          <w:tcPr>
            <w:tcW w:w="1800" w:type="dxa"/>
            <w:vAlign w:val="center"/>
            <w:hideMark/>
          </w:tcPr>
          <w:p w14:paraId="2CB1B07D" w14:textId="77777777" w:rsidR="004F1F00" w:rsidRPr="004F1F00" w:rsidRDefault="004F1F00" w:rsidP="002A5BC9">
            <w:pPr>
              <w:spacing w:after="160" w:line="259" w:lineRule="auto"/>
              <w:rPr>
                <w:rFonts w:cstheme="minorHAnsi"/>
                <w:sz w:val="24"/>
                <w:szCs w:val="24"/>
              </w:rPr>
            </w:pPr>
            <w:r w:rsidRPr="004F1F00">
              <w:rPr>
                <w:rFonts w:cstheme="minorHAnsi"/>
                <w:b/>
                <w:bCs/>
                <w:sz w:val="24"/>
                <w:szCs w:val="24"/>
              </w:rPr>
              <w:lastRenderedPageBreak/>
              <w:t>p-value</w:t>
            </w:r>
          </w:p>
        </w:tc>
        <w:tc>
          <w:tcPr>
            <w:tcW w:w="1929" w:type="dxa"/>
            <w:vAlign w:val="center"/>
            <w:hideMark/>
          </w:tcPr>
          <w:p w14:paraId="37CC85ED"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&lt;0.001</w:t>
            </w:r>
          </w:p>
        </w:tc>
        <w:tc>
          <w:tcPr>
            <w:tcW w:w="0" w:type="auto"/>
            <w:vAlign w:val="center"/>
            <w:hideMark/>
          </w:tcPr>
          <w:p w14:paraId="3C3A98C2" w14:textId="7D448302" w:rsidR="004F1F00" w:rsidRPr="004F1F00" w:rsidRDefault="004F1F00" w:rsidP="002A5BC9">
            <w:pPr>
              <w:spacing w:after="160" w:line="259" w:lineRule="auto"/>
              <w:rPr>
                <w:rFonts w:cstheme="minorHAnsi"/>
                <w:sz w:val="24"/>
                <w:szCs w:val="24"/>
              </w:rPr>
            </w:pPr>
            <w:r w:rsidRPr="004F1F00">
              <w:rPr>
                <w:rFonts w:cstheme="minorHAnsi"/>
                <w:sz w:val="24"/>
                <w:szCs w:val="24"/>
              </w:rPr>
              <w:t>0.01</w:t>
            </w:r>
            <w:r w:rsidR="00BA625C" w:rsidRPr="008A1B8F">
              <w:rPr>
                <w:rFonts w:cstheme="minorHAnsi"/>
                <w:sz w:val="24"/>
                <w:szCs w:val="24"/>
              </w:rPr>
              <w:t>0</w:t>
            </w:r>
          </w:p>
        </w:tc>
        <w:tc>
          <w:tcPr>
            <w:tcW w:w="0" w:type="auto"/>
            <w:vAlign w:val="center"/>
            <w:hideMark/>
          </w:tcPr>
          <w:p w14:paraId="2F032524"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&lt;0.001</w:t>
            </w:r>
          </w:p>
        </w:tc>
        <w:tc>
          <w:tcPr>
            <w:tcW w:w="0" w:type="auto"/>
            <w:vAlign w:val="center"/>
            <w:hideMark/>
          </w:tcPr>
          <w:p w14:paraId="26B4A7AD" w14:textId="77777777" w:rsidR="004F1F00" w:rsidRPr="004F1F00" w:rsidRDefault="004F1F00" w:rsidP="002A5BC9">
            <w:pPr>
              <w:spacing w:after="160" w:line="259" w:lineRule="auto"/>
              <w:rPr>
                <w:rFonts w:cstheme="minorHAnsi"/>
                <w:sz w:val="24"/>
                <w:szCs w:val="24"/>
              </w:rPr>
            </w:pPr>
            <w:r w:rsidRPr="004F1F00">
              <w:rPr>
                <w:rFonts w:cstheme="minorHAnsi"/>
                <w:sz w:val="24"/>
                <w:szCs w:val="24"/>
              </w:rPr>
              <w:t>&lt;0.001</w:t>
            </w:r>
          </w:p>
        </w:tc>
      </w:tr>
    </w:tbl>
    <w:p w14:paraId="2F147BE5" w14:textId="77777777" w:rsidR="002A5BC9" w:rsidRPr="008A1B8F" w:rsidRDefault="002A5BC9" w:rsidP="004F1F00">
      <w:pPr>
        <w:jc w:val="both"/>
        <w:rPr>
          <w:rFonts w:cstheme="minorHAnsi"/>
          <w:sz w:val="24"/>
          <w:szCs w:val="24"/>
        </w:rPr>
      </w:pPr>
      <w:r w:rsidRPr="008A1B8F">
        <w:rPr>
          <w:rFonts w:cstheme="minorHAnsi"/>
          <w:b/>
          <w:bCs/>
          <w:sz w:val="24"/>
          <w:szCs w:val="24"/>
        </w:rPr>
        <w:t>Key</w:t>
      </w:r>
      <w:r w:rsidR="004F1F00" w:rsidRPr="004F1F00">
        <w:rPr>
          <w:rFonts w:cstheme="minorHAnsi"/>
          <w:b/>
          <w:bCs/>
          <w:sz w:val="24"/>
          <w:szCs w:val="24"/>
        </w:rPr>
        <w:t>:</w:t>
      </w:r>
      <w:r w:rsidR="004F1F00" w:rsidRPr="004F1F00">
        <w:rPr>
          <w:rFonts w:cstheme="minorHAnsi"/>
          <w:sz w:val="24"/>
          <w:szCs w:val="24"/>
        </w:rPr>
        <w:t xml:space="preserve"> Values are Mean ± SD (n = 6/group). One-way ANOVA followed by post-hoc analysis</w:t>
      </w:r>
    </w:p>
    <w:p w14:paraId="5D4F3B51" w14:textId="77777777" w:rsidR="002A5BC9" w:rsidRPr="008A1B8F" w:rsidRDefault="004F1F00" w:rsidP="004F1F00">
      <w:pPr>
        <w:jc w:val="both"/>
        <w:rPr>
          <w:rFonts w:cstheme="minorHAnsi"/>
          <w:sz w:val="24"/>
          <w:szCs w:val="24"/>
        </w:rPr>
      </w:pPr>
      <w:r w:rsidRPr="004F1F00">
        <w:rPr>
          <w:rFonts w:cstheme="minorHAnsi"/>
          <w:sz w:val="24"/>
          <w:szCs w:val="24"/>
        </w:rPr>
        <w:t xml:space="preserve"> ᵃp &lt; 0.05 vs Control.</w:t>
      </w:r>
    </w:p>
    <w:p w14:paraId="4F45F0F7" w14:textId="77777777" w:rsidR="002A5BC9" w:rsidRPr="008A1B8F" w:rsidRDefault="004F1F00" w:rsidP="004F1F00">
      <w:pPr>
        <w:jc w:val="both"/>
        <w:rPr>
          <w:rFonts w:cstheme="minorHAnsi"/>
          <w:sz w:val="24"/>
          <w:szCs w:val="24"/>
        </w:rPr>
      </w:pPr>
      <w:r w:rsidRPr="004F1F00">
        <w:rPr>
          <w:rFonts w:cstheme="minorHAnsi"/>
          <w:sz w:val="24"/>
          <w:szCs w:val="24"/>
        </w:rPr>
        <w:t>ᵇp &lt; 0.05 vs PI only.</w:t>
      </w:r>
    </w:p>
    <w:p w14:paraId="14A6AB6A" w14:textId="16B8EC17" w:rsidR="004F1F00" w:rsidRPr="004F1F00" w:rsidRDefault="002A5BC9" w:rsidP="004F1F00">
      <w:pPr>
        <w:jc w:val="both"/>
        <w:rPr>
          <w:rFonts w:cstheme="minorHAnsi"/>
          <w:sz w:val="24"/>
          <w:szCs w:val="24"/>
        </w:rPr>
      </w:pPr>
      <w:r w:rsidRPr="008A1B8F">
        <w:rPr>
          <w:rFonts w:cstheme="minorHAnsi"/>
          <w:sz w:val="24"/>
          <w:szCs w:val="24"/>
        </w:rPr>
        <w:t xml:space="preserve"> </w:t>
      </w:r>
      <w:r w:rsidR="004F1F00" w:rsidRPr="004F1F00">
        <w:rPr>
          <w:rFonts w:cstheme="minorHAnsi"/>
          <w:sz w:val="24"/>
          <w:szCs w:val="24"/>
        </w:rPr>
        <w:t>Abbreviations: MDA = malondialdehyde; SOD = superoxide dismutase; GSH = reduced glutathione.</w:t>
      </w:r>
    </w:p>
    <w:p w14:paraId="590ACCF6" w14:textId="68C50DAA" w:rsidR="004F1F00" w:rsidRPr="008A1B8F" w:rsidRDefault="004F1F00" w:rsidP="004F1F00">
      <w:pPr>
        <w:jc w:val="both"/>
        <w:rPr>
          <w:rFonts w:cstheme="minorHAnsi"/>
          <w:sz w:val="24"/>
          <w:szCs w:val="24"/>
        </w:rPr>
      </w:pPr>
    </w:p>
    <w:p w14:paraId="7A9F4F15" w14:textId="5556879A" w:rsidR="002A5BC9" w:rsidRPr="008A1B8F" w:rsidRDefault="0048516F" w:rsidP="004F1F00">
      <w:pPr>
        <w:jc w:val="both"/>
        <w:rPr>
          <w:rFonts w:cstheme="minorHAnsi"/>
          <w:b/>
          <w:bCs/>
          <w:sz w:val="24"/>
          <w:szCs w:val="24"/>
        </w:rPr>
      </w:pPr>
      <w:r w:rsidRPr="008A1B8F">
        <w:rPr>
          <w:rFonts w:cstheme="minorHAnsi"/>
          <w:b/>
          <w:bCs/>
          <w:sz w:val="24"/>
          <w:szCs w:val="24"/>
        </w:rPr>
        <w:t xml:space="preserve">4. </w:t>
      </w:r>
      <w:r w:rsidR="002A5BC9" w:rsidRPr="008A1B8F">
        <w:rPr>
          <w:rFonts w:cstheme="minorHAnsi"/>
          <w:b/>
          <w:bCs/>
          <w:sz w:val="24"/>
          <w:szCs w:val="24"/>
        </w:rPr>
        <w:t>Discussion</w:t>
      </w:r>
    </w:p>
    <w:p w14:paraId="518636C0" w14:textId="796783CD" w:rsidR="006628B7" w:rsidRDefault="006628B7" w:rsidP="006A0016">
      <w:pPr>
        <w:jc w:val="both"/>
        <w:rPr>
          <w:rFonts w:cstheme="minorHAnsi"/>
          <w:sz w:val="24"/>
          <w:szCs w:val="24"/>
        </w:rPr>
      </w:pPr>
      <w:r>
        <w:rPr>
          <w:rFonts w:cstheme="minorHAnsi"/>
          <w:sz w:val="24"/>
          <w:szCs w:val="24"/>
        </w:rPr>
        <w:t>A</w:t>
      </w:r>
      <w:r w:rsidRPr="006628B7">
        <w:rPr>
          <w:rFonts w:cstheme="minorHAnsi"/>
          <w:sz w:val="24"/>
          <w:szCs w:val="24"/>
        </w:rPr>
        <w:t>ntiretroviral therapy (ART), particularly protease inhibitors (PIs)</w:t>
      </w:r>
      <w:r>
        <w:rPr>
          <w:rFonts w:cstheme="minorHAnsi"/>
          <w:sz w:val="24"/>
          <w:szCs w:val="24"/>
        </w:rPr>
        <w:t xml:space="preserve"> are crucial for HIV management. This is b</w:t>
      </w:r>
      <w:r w:rsidRPr="006628B7">
        <w:rPr>
          <w:rFonts w:cstheme="minorHAnsi"/>
          <w:sz w:val="24"/>
          <w:szCs w:val="24"/>
        </w:rPr>
        <w:t>ecause</w:t>
      </w:r>
      <w:r>
        <w:rPr>
          <w:rFonts w:cstheme="minorHAnsi"/>
          <w:sz w:val="24"/>
          <w:szCs w:val="24"/>
        </w:rPr>
        <w:t xml:space="preserve"> the drugs</w:t>
      </w:r>
      <w:r w:rsidRPr="006628B7">
        <w:rPr>
          <w:rFonts w:cstheme="minorHAnsi"/>
          <w:sz w:val="24"/>
          <w:szCs w:val="24"/>
        </w:rPr>
        <w:t xml:space="preserve"> prevent the virus from replicating and prolongs patient life. </w:t>
      </w:r>
      <w:r>
        <w:rPr>
          <w:rFonts w:cstheme="minorHAnsi"/>
          <w:sz w:val="24"/>
          <w:szCs w:val="24"/>
        </w:rPr>
        <w:t xml:space="preserve">However, from reports, the </w:t>
      </w:r>
      <w:r w:rsidRPr="006628B7">
        <w:rPr>
          <w:rFonts w:cstheme="minorHAnsi"/>
          <w:sz w:val="24"/>
          <w:szCs w:val="24"/>
        </w:rPr>
        <w:t xml:space="preserve">long-term PI use can result in metabolic issues like </w:t>
      </w:r>
      <w:proofErr w:type="spellStart"/>
      <w:r w:rsidRPr="006628B7">
        <w:rPr>
          <w:rFonts w:cstheme="minorHAnsi"/>
          <w:sz w:val="24"/>
          <w:szCs w:val="24"/>
        </w:rPr>
        <w:t>dyslipidemia</w:t>
      </w:r>
      <w:proofErr w:type="spellEnd"/>
      <w:r>
        <w:rPr>
          <w:rFonts w:cstheme="minorHAnsi"/>
          <w:sz w:val="24"/>
          <w:szCs w:val="24"/>
        </w:rPr>
        <w:t>. In patients, it is seen as</w:t>
      </w:r>
      <w:r w:rsidRPr="006628B7">
        <w:rPr>
          <w:rFonts w:cstheme="minorHAnsi"/>
          <w:sz w:val="24"/>
          <w:szCs w:val="24"/>
        </w:rPr>
        <w:t xml:space="preserve"> elevated levels of triglycerides, total cholesterol, and low-density lipoprotein cholesterol and decreased levels of high-density lipoprotein cholesterol. </w:t>
      </w:r>
      <w:r w:rsidR="0015480A">
        <w:rPr>
          <w:rFonts w:cstheme="minorHAnsi"/>
          <w:sz w:val="24"/>
          <w:szCs w:val="24"/>
        </w:rPr>
        <w:t xml:space="preserve">A study by </w:t>
      </w:r>
      <w:proofErr w:type="spellStart"/>
      <w:r w:rsidR="0015480A">
        <w:rPr>
          <w:rFonts w:cstheme="minorHAnsi"/>
          <w:sz w:val="24"/>
          <w:szCs w:val="24"/>
        </w:rPr>
        <w:t>Bagenda</w:t>
      </w:r>
      <w:proofErr w:type="spellEnd"/>
      <w:r w:rsidR="0015480A">
        <w:rPr>
          <w:rFonts w:cstheme="minorHAnsi"/>
          <w:sz w:val="24"/>
          <w:szCs w:val="24"/>
        </w:rPr>
        <w:t xml:space="preserve"> et al. (2025) reports that such findings can</w:t>
      </w:r>
      <w:r w:rsidRPr="006628B7">
        <w:rPr>
          <w:rFonts w:cstheme="minorHAnsi"/>
          <w:sz w:val="24"/>
          <w:szCs w:val="24"/>
        </w:rPr>
        <w:t xml:space="preserve"> increases the risk of heart disease in HIV-positive individuals.  This highlights the need for supplemental treatments that can mitigate these side effects without reducing the effectiveness of ART, especially in settings with limited resources, high HIV prevalence, and restricted access to cutting-edge lipid-lowering drugs.  The purpose of this study was to evaluate the protective effects of curcumin in </w:t>
      </w:r>
      <w:r>
        <w:rPr>
          <w:rFonts w:cstheme="minorHAnsi"/>
          <w:sz w:val="24"/>
          <w:szCs w:val="24"/>
        </w:rPr>
        <w:t>experimental</w:t>
      </w:r>
      <w:r w:rsidRPr="006628B7">
        <w:rPr>
          <w:rFonts w:cstheme="minorHAnsi"/>
          <w:sz w:val="24"/>
          <w:szCs w:val="24"/>
        </w:rPr>
        <w:t xml:space="preserve"> rats with HIV protease inhibitor-induced </w:t>
      </w:r>
      <w:proofErr w:type="spellStart"/>
      <w:r w:rsidRPr="006628B7">
        <w:rPr>
          <w:rFonts w:cstheme="minorHAnsi"/>
          <w:sz w:val="24"/>
          <w:szCs w:val="24"/>
        </w:rPr>
        <w:t>dyslipidemia</w:t>
      </w:r>
      <w:proofErr w:type="spellEnd"/>
      <w:r w:rsidRPr="006628B7">
        <w:rPr>
          <w:rFonts w:cstheme="minorHAnsi"/>
          <w:sz w:val="24"/>
          <w:szCs w:val="24"/>
        </w:rPr>
        <w:t>.</w:t>
      </w:r>
    </w:p>
    <w:p w14:paraId="1837B53E" w14:textId="56BB98DF" w:rsidR="00843915" w:rsidRPr="008A1B8F" w:rsidRDefault="006A0016" w:rsidP="006A0016">
      <w:pPr>
        <w:jc w:val="both"/>
        <w:rPr>
          <w:rFonts w:cstheme="minorHAnsi"/>
          <w:sz w:val="24"/>
          <w:szCs w:val="24"/>
        </w:rPr>
      </w:pPr>
      <w:r w:rsidRPr="008A1B8F">
        <w:rPr>
          <w:rFonts w:cstheme="minorHAnsi"/>
          <w:sz w:val="24"/>
          <w:szCs w:val="24"/>
        </w:rPr>
        <w:t>The findings presented in Table 2 clearly demonstrate that administration of protease inhibitors alone induced a state of dyslipidaemia</w:t>
      </w:r>
      <w:r w:rsidR="00843915" w:rsidRPr="008A1B8F">
        <w:rPr>
          <w:rFonts w:cstheme="minorHAnsi"/>
          <w:sz w:val="24"/>
          <w:szCs w:val="24"/>
        </w:rPr>
        <w:t xml:space="preserve"> compared to the control group</w:t>
      </w:r>
      <w:r w:rsidRPr="008A1B8F">
        <w:rPr>
          <w:rFonts w:cstheme="minorHAnsi"/>
          <w:sz w:val="24"/>
          <w:szCs w:val="24"/>
        </w:rPr>
        <w:t xml:space="preserve">, as indicated by </w:t>
      </w:r>
      <w:r w:rsidR="00843915" w:rsidRPr="008A1B8F">
        <w:rPr>
          <w:rFonts w:cstheme="minorHAnsi"/>
          <w:sz w:val="24"/>
          <w:szCs w:val="24"/>
        </w:rPr>
        <w:t xml:space="preserve">statistically </w:t>
      </w:r>
      <w:r w:rsidRPr="008A1B8F">
        <w:rPr>
          <w:rFonts w:cstheme="minorHAnsi"/>
          <w:sz w:val="24"/>
          <w:szCs w:val="24"/>
        </w:rPr>
        <w:t xml:space="preserve">significant elevations in total cholesterol, triglycerides, LDL-C, and the TC/HDL-C ratio, alongside a marked reduction in HDL-C. This pattern mirrors the clinical reality among people living with HIV who receive protease inhibitor-based therapy, as metabolic disturbances of this nature are well-documented </w:t>
      </w:r>
      <w:r w:rsidR="0015480A">
        <w:rPr>
          <w:rFonts w:cstheme="minorHAnsi"/>
          <w:sz w:val="24"/>
          <w:szCs w:val="24"/>
        </w:rPr>
        <w:t xml:space="preserve">studies like </w:t>
      </w:r>
      <w:proofErr w:type="spellStart"/>
      <w:r w:rsidR="0015480A">
        <w:rPr>
          <w:rFonts w:cstheme="minorHAnsi"/>
          <w:sz w:val="24"/>
          <w:szCs w:val="24"/>
        </w:rPr>
        <w:t>Bagennda</w:t>
      </w:r>
      <w:proofErr w:type="spellEnd"/>
      <w:r w:rsidR="0015480A">
        <w:rPr>
          <w:rFonts w:cstheme="minorHAnsi"/>
          <w:sz w:val="24"/>
          <w:szCs w:val="24"/>
        </w:rPr>
        <w:t xml:space="preserve"> et al. (2025) reports these as </w:t>
      </w:r>
      <w:r w:rsidRPr="008A1B8F">
        <w:rPr>
          <w:rFonts w:cstheme="minorHAnsi"/>
          <w:sz w:val="24"/>
          <w:szCs w:val="24"/>
        </w:rPr>
        <w:t>contributors to increased cardiovascular risk within this population</w:t>
      </w:r>
      <w:r w:rsidR="00843915" w:rsidRPr="008A1B8F">
        <w:rPr>
          <w:rFonts w:cstheme="minorHAnsi"/>
          <w:sz w:val="24"/>
          <w:szCs w:val="24"/>
        </w:rPr>
        <w:t xml:space="preserve"> as </w:t>
      </w:r>
      <w:r w:rsidR="0015480A">
        <w:rPr>
          <w:rFonts w:cstheme="minorHAnsi"/>
          <w:sz w:val="24"/>
          <w:szCs w:val="24"/>
        </w:rPr>
        <w:t>corroborated</w:t>
      </w:r>
      <w:r w:rsidR="00843915" w:rsidRPr="008A1B8F">
        <w:rPr>
          <w:rFonts w:cstheme="minorHAnsi"/>
          <w:sz w:val="24"/>
          <w:szCs w:val="24"/>
        </w:rPr>
        <w:t xml:space="preserve"> by </w:t>
      </w:r>
      <w:proofErr w:type="spellStart"/>
      <w:r w:rsidR="00843915" w:rsidRPr="008A1B8F">
        <w:rPr>
          <w:rFonts w:cstheme="minorHAnsi"/>
          <w:sz w:val="24"/>
          <w:szCs w:val="24"/>
        </w:rPr>
        <w:t>Elendu</w:t>
      </w:r>
      <w:proofErr w:type="spellEnd"/>
      <w:r w:rsidR="00843915" w:rsidRPr="008A1B8F">
        <w:rPr>
          <w:rFonts w:cstheme="minorHAnsi"/>
          <w:sz w:val="24"/>
          <w:szCs w:val="24"/>
        </w:rPr>
        <w:t xml:space="preserve"> et al. (2025)</w:t>
      </w:r>
      <w:r w:rsidRPr="008A1B8F">
        <w:rPr>
          <w:rFonts w:cstheme="minorHAnsi"/>
          <w:sz w:val="24"/>
          <w:szCs w:val="24"/>
        </w:rPr>
        <w:t>. For patients who already carry the dual burden of viral suppression and long-term therapy, the emergence of dyslipidaemia not only compounds disease complexity but also heightens vulnerability to non-communicable diseases such as atherosclerosis, hypertension, and coronary heart disease.</w:t>
      </w:r>
    </w:p>
    <w:p w14:paraId="7A4D5948" w14:textId="1843AB17" w:rsidR="00843915" w:rsidRPr="008A1B8F" w:rsidRDefault="00843915" w:rsidP="00D33F1D">
      <w:pPr>
        <w:jc w:val="both"/>
        <w:rPr>
          <w:rFonts w:cstheme="minorHAnsi"/>
          <w:sz w:val="24"/>
          <w:szCs w:val="24"/>
        </w:rPr>
      </w:pPr>
      <w:r w:rsidRPr="008A1B8F">
        <w:rPr>
          <w:rFonts w:cstheme="minorHAnsi"/>
          <w:sz w:val="24"/>
          <w:szCs w:val="24"/>
        </w:rPr>
        <w:t xml:space="preserve">The probable mechanism behind these alterations lies in the way protease inhibitors interfere with lipid metabolism. </w:t>
      </w:r>
      <w:r w:rsidR="00D23323">
        <w:rPr>
          <w:rFonts w:cstheme="minorHAnsi"/>
          <w:sz w:val="24"/>
          <w:szCs w:val="24"/>
        </w:rPr>
        <w:t xml:space="preserve">It has been documented by Pietka et al. (2025) and Ahmed et al. (2025). </w:t>
      </w:r>
      <w:r w:rsidRPr="008A1B8F">
        <w:rPr>
          <w:rFonts w:cstheme="minorHAnsi"/>
          <w:sz w:val="24"/>
          <w:szCs w:val="24"/>
        </w:rPr>
        <w:t>These drugs have been shown to impair the activity of key enzymes involved in lipid clearance, such as lipoprotein lipase, while simultaneously promoting hepatic lipid synthesis. This results in elevated circulating triglycerides and LDL-C, along with reduced HDL-C, which collectively predispose to atherogenic outcomes</w:t>
      </w:r>
      <w:r w:rsidR="00D33F1D" w:rsidRPr="008A1B8F">
        <w:rPr>
          <w:rFonts w:cstheme="minorHAnsi"/>
          <w:sz w:val="24"/>
          <w:szCs w:val="24"/>
        </w:rPr>
        <w:t xml:space="preserve"> (</w:t>
      </w:r>
      <w:proofErr w:type="spellStart"/>
      <w:r w:rsidR="00D33F1D" w:rsidRPr="008A1B8F">
        <w:rPr>
          <w:rFonts w:cstheme="minorHAnsi"/>
          <w:sz w:val="24"/>
          <w:szCs w:val="24"/>
        </w:rPr>
        <w:t>Weichseldorfer</w:t>
      </w:r>
      <w:proofErr w:type="spellEnd"/>
      <w:r w:rsidR="00D33F1D" w:rsidRPr="008A1B8F">
        <w:rPr>
          <w:rFonts w:cstheme="minorHAnsi"/>
          <w:sz w:val="24"/>
          <w:szCs w:val="24"/>
        </w:rPr>
        <w:t xml:space="preserve"> et al., 2021)</w:t>
      </w:r>
      <w:r w:rsidRPr="008A1B8F">
        <w:rPr>
          <w:rFonts w:cstheme="minorHAnsi"/>
          <w:sz w:val="24"/>
          <w:szCs w:val="24"/>
        </w:rPr>
        <w:t xml:space="preserve">. The observed improvement in lipid parameters with curcumin co-administration in the PI + curcumin group suggests that its </w:t>
      </w:r>
      <w:r w:rsidRPr="008A1B8F">
        <w:rPr>
          <w:rFonts w:cstheme="minorHAnsi"/>
          <w:sz w:val="24"/>
          <w:szCs w:val="24"/>
        </w:rPr>
        <w:lastRenderedPageBreak/>
        <w:t>well-established antioxidant and anti-inflammatory properties may counteract these disruptions</w:t>
      </w:r>
      <w:r w:rsidR="00D33F1D" w:rsidRPr="008A1B8F">
        <w:rPr>
          <w:rFonts w:cstheme="minorHAnsi"/>
          <w:sz w:val="24"/>
          <w:szCs w:val="24"/>
        </w:rPr>
        <w:t xml:space="preserve"> (Hidalgo-Tenorio and Martínez-Sanz, 2025)</w:t>
      </w:r>
      <w:r w:rsidRPr="008A1B8F">
        <w:rPr>
          <w:rFonts w:cstheme="minorHAnsi"/>
          <w:sz w:val="24"/>
          <w:szCs w:val="24"/>
        </w:rPr>
        <w:t>. Curcumin is believed to modulate lipid metabolism through inhibition of hepatic HMG-CoA reductase, enhancement of bile acid excretion, and activation of peroxisome proliferator-activated receptors (PPARs)</w:t>
      </w:r>
      <w:r w:rsidR="00D33F1D" w:rsidRPr="008A1B8F">
        <w:rPr>
          <w:rFonts w:cstheme="minorHAnsi"/>
          <w:sz w:val="24"/>
          <w:szCs w:val="24"/>
        </w:rPr>
        <w:t xml:space="preserve"> (Enayati et al., 2022; Han and Chen, 2025)</w:t>
      </w:r>
      <w:r w:rsidRPr="008A1B8F">
        <w:rPr>
          <w:rFonts w:cstheme="minorHAnsi"/>
          <w:sz w:val="24"/>
          <w:szCs w:val="24"/>
        </w:rPr>
        <w:t>, which are crucial in maintaining lipid homeostasis. In this study the curcumin only group showed a negligible effect on lipid parameters when given alone which further supports the idea that curcumin is not disruptive to normal physiology but rather exerts corrective influence under pathological conditions such as drug-induced dyslipidaemia. For healthcare systems already burdened with the dual costs of infectious disease and non-communicable disease management, a safe and inexpensive adjunct such as curcumin could represent a sustainable intervention.</w:t>
      </w:r>
    </w:p>
    <w:p w14:paraId="28489F98" w14:textId="77777777" w:rsidR="00C5154A" w:rsidRPr="008A1B8F" w:rsidRDefault="00C5154A" w:rsidP="00D33F1D">
      <w:pPr>
        <w:jc w:val="both"/>
        <w:rPr>
          <w:rFonts w:cstheme="minorHAnsi"/>
          <w:sz w:val="24"/>
          <w:szCs w:val="24"/>
        </w:rPr>
      </w:pPr>
      <w:r w:rsidRPr="008A1B8F">
        <w:rPr>
          <w:rFonts w:cstheme="minorHAnsi"/>
          <w:sz w:val="24"/>
          <w:szCs w:val="24"/>
        </w:rPr>
        <w:t xml:space="preserve">In comparison with other recent studies, the atherogenic lipid pattern observed in this study’s protease inhibitor–treated rats </w:t>
      </w:r>
      <w:proofErr w:type="gramStart"/>
      <w:r w:rsidRPr="008A1B8F">
        <w:rPr>
          <w:rFonts w:cstheme="minorHAnsi"/>
          <w:sz w:val="24"/>
          <w:szCs w:val="24"/>
        </w:rPr>
        <w:t>is</w:t>
      </w:r>
      <w:proofErr w:type="gramEnd"/>
      <w:r w:rsidRPr="008A1B8F">
        <w:rPr>
          <w:rFonts w:cstheme="minorHAnsi"/>
          <w:sz w:val="24"/>
          <w:szCs w:val="24"/>
        </w:rPr>
        <w:t xml:space="preserve"> in agreement with studies by </w:t>
      </w:r>
      <w:proofErr w:type="spellStart"/>
      <w:r w:rsidRPr="008A1B8F">
        <w:rPr>
          <w:rFonts w:cstheme="minorHAnsi"/>
          <w:sz w:val="24"/>
          <w:szCs w:val="24"/>
        </w:rPr>
        <w:t>Dehzad</w:t>
      </w:r>
      <w:proofErr w:type="spellEnd"/>
      <w:r w:rsidRPr="008A1B8F">
        <w:rPr>
          <w:rFonts w:cstheme="minorHAnsi"/>
          <w:sz w:val="24"/>
          <w:szCs w:val="24"/>
        </w:rPr>
        <w:t xml:space="preserve"> et al. (2023) and Papantoniou et al. (2024), who described similar PI-associated </w:t>
      </w:r>
      <w:proofErr w:type="spellStart"/>
      <w:r w:rsidRPr="008A1B8F">
        <w:rPr>
          <w:rFonts w:cstheme="minorHAnsi"/>
          <w:sz w:val="24"/>
          <w:szCs w:val="24"/>
        </w:rPr>
        <w:t>dyslipidaemic</w:t>
      </w:r>
      <w:proofErr w:type="spellEnd"/>
      <w:r w:rsidRPr="008A1B8F">
        <w:rPr>
          <w:rFonts w:cstheme="minorHAnsi"/>
          <w:sz w:val="24"/>
          <w:szCs w:val="24"/>
        </w:rPr>
        <w:t xml:space="preserve"> changes and linked them to altered hepatic lipogenesis and lipoprotein metabolism in both. Also, the ameliorative effect of curcumin co-treatment on these lipid parameters likewise aligns with meta-analytic and preclinical evidence indicating that curcumin or optimized curcuminoid formulations produce ameliorative effect on altered lipid profile (</w:t>
      </w:r>
      <w:proofErr w:type="spellStart"/>
      <w:r w:rsidRPr="008A1B8F">
        <w:rPr>
          <w:rFonts w:cstheme="minorHAnsi"/>
          <w:sz w:val="24"/>
          <w:szCs w:val="24"/>
        </w:rPr>
        <w:t>Dehzad</w:t>
      </w:r>
      <w:proofErr w:type="spellEnd"/>
      <w:r w:rsidRPr="008A1B8F">
        <w:rPr>
          <w:rFonts w:cstheme="minorHAnsi"/>
          <w:sz w:val="24"/>
          <w:szCs w:val="24"/>
        </w:rPr>
        <w:t xml:space="preserve"> et al., 2023; Deng et al., 2023). On the contrary, critical reports by Bertoncini-Silva et al. (2024) and umbrella reviews have emphasized heterogeneity and occasional null results in human trials.</w:t>
      </w:r>
    </w:p>
    <w:p w14:paraId="3D8D184B" w14:textId="189EC487" w:rsidR="00D33F1D" w:rsidRPr="008A1B8F" w:rsidRDefault="00C5154A" w:rsidP="00C300B2">
      <w:pPr>
        <w:jc w:val="both"/>
        <w:rPr>
          <w:rFonts w:cstheme="minorHAnsi"/>
          <w:sz w:val="24"/>
          <w:szCs w:val="24"/>
        </w:rPr>
      </w:pPr>
      <w:r w:rsidRPr="008A1B8F">
        <w:rPr>
          <w:rFonts w:cstheme="minorHAnsi"/>
          <w:sz w:val="24"/>
          <w:szCs w:val="24"/>
        </w:rPr>
        <w:t>This discrepanc</w:t>
      </w:r>
      <w:r w:rsidR="008F78DF" w:rsidRPr="008A1B8F">
        <w:rPr>
          <w:rFonts w:cstheme="minorHAnsi"/>
          <w:sz w:val="24"/>
          <w:szCs w:val="24"/>
        </w:rPr>
        <w:t>ies in results</w:t>
      </w:r>
      <w:r w:rsidRPr="008A1B8F">
        <w:rPr>
          <w:rFonts w:cstheme="minorHAnsi"/>
          <w:sz w:val="24"/>
          <w:szCs w:val="24"/>
        </w:rPr>
        <w:t xml:space="preserve"> may be explained by differences in curcumin formulation and bioavailability, dosing and duration, population heterogeneity (healthy volunteers versus metabolic disease or PLWH), and co-interventions such as diet and exercise; importantly, species differences and the tightly controlled exposures used in rodent studies often produce clearer effects than short or small clinical trials, underscoring the need for optimized translational studies (</w:t>
      </w:r>
      <w:proofErr w:type="spellStart"/>
      <w:r w:rsidRPr="008A1B8F">
        <w:rPr>
          <w:rFonts w:cstheme="minorHAnsi"/>
          <w:sz w:val="24"/>
          <w:szCs w:val="24"/>
        </w:rPr>
        <w:t>Dehzad</w:t>
      </w:r>
      <w:proofErr w:type="spellEnd"/>
      <w:r w:rsidRPr="008A1B8F">
        <w:rPr>
          <w:rFonts w:cstheme="minorHAnsi"/>
          <w:sz w:val="24"/>
          <w:szCs w:val="24"/>
        </w:rPr>
        <w:t xml:space="preserve"> et al., 2023; Bertoncini-Silva et al., 2024; Papantoniou et al., 2024).</w:t>
      </w:r>
    </w:p>
    <w:p w14:paraId="4BAD2BFE" w14:textId="62EFF97E" w:rsidR="00181921" w:rsidRPr="008A1B8F" w:rsidRDefault="008F78DF" w:rsidP="00181921">
      <w:pPr>
        <w:jc w:val="both"/>
        <w:rPr>
          <w:rFonts w:cstheme="minorHAnsi"/>
          <w:sz w:val="24"/>
          <w:szCs w:val="24"/>
        </w:rPr>
      </w:pPr>
      <w:r w:rsidRPr="008A1B8F">
        <w:rPr>
          <w:rFonts w:cstheme="minorHAnsi"/>
          <w:sz w:val="24"/>
          <w:szCs w:val="24"/>
        </w:rPr>
        <w:t>In addition to lipid profile, this study also assessed oxidative stress markers</w:t>
      </w:r>
      <w:r w:rsidR="00BA625C" w:rsidRPr="008A1B8F">
        <w:rPr>
          <w:rFonts w:cstheme="minorHAnsi"/>
          <w:sz w:val="24"/>
          <w:szCs w:val="24"/>
        </w:rPr>
        <w:t xml:space="preserve"> in the experimental groups</w:t>
      </w:r>
      <w:r w:rsidRPr="008A1B8F">
        <w:rPr>
          <w:rFonts w:cstheme="minorHAnsi"/>
          <w:sz w:val="24"/>
          <w:szCs w:val="24"/>
        </w:rPr>
        <w:t xml:space="preserve">. </w:t>
      </w:r>
      <w:r w:rsidR="00181921" w:rsidRPr="008A1B8F">
        <w:rPr>
          <w:rFonts w:cstheme="minorHAnsi"/>
          <w:sz w:val="24"/>
          <w:szCs w:val="24"/>
        </w:rPr>
        <w:t xml:space="preserve">The </w:t>
      </w:r>
      <w:r w:rsidR="00D33F1D" w:rsidRPr="008A1B8F">
        <w:rPr>
          <w:rFonts w:cstheme="minorHAnsi"/>
          <w:sz w:val="24"/>
          <w:szCs w:val="24"/>
        </w:rPr>
        <w:t xml:space="preserve">study </w:t>
      </w:r>
      <w:r w:rsidR="00181921" w:rsidRPr="008A1B8F">
        <w:rPr>
          <w:rFonts w:cstheme="minorHAnsi"/>
          <w:sz w:val="24"/>
          <w:szCs w:val="24"/>
        </w:rPr>
        <w:t xml:space="preserve">observed </w:t>
      </w:r>
      <w:r w:rsidRPr="008A1B8F">
        <w:rPr>
          <w:rFonts w:cstheme="minorHAnsi"/>
          <w:sz w:val="24"/>
          <w:szCs w:val="24"/>
        </w:rPr>
        <w:t xml:space="preserve">a significant </w:t>
      </w:r>
      <w:r w:rsidR="00BA625C" w:rsidRPr="008A1B8F">
        <w:rPr>
          <w:rFonts w:cstheme="minorHAnsi"/>
          <w:sz w:val="24"/>
          <w:szCs w:val="24"/>
        </w:rPr>
        <w:t xml:space="preserve">(p&lt;0.001) </w:t>
      </w:r>
      <w:r w:rsidR="00181921" w:rsidRPr="008A1B8F">
        <w:rPr>
          <w:rFonts w:cstheme="minorHAnsi"/>
          <w:sz w:val="24"/>
          <w:szCs w:val="24"/>
        </w:rPr>
        <w:t xml:space="preserve">rise in malondialdehyde (MDA) levels following protease inhibitor treatment </w:t>
      </w:r>
      <w:r w:rsidR="00D33F1D" w:rsidRPr="008A1B8F">
        <w:rPr>
          <w:rFonts w:cstheme="minorHAnsi"/>
          <w:sz w:val="24"/>
          <w:szCs w:val="24"/>
        </w:rPr>
        <w:t>in the Protease Inhibitor group</w:t>
      </w:r>
      <w:r w:rsidR="00BA625C" w:rsidRPr="008A1B8F">
        <w:rPr>
          <w:rFonts w:cstheme="minorHAnsi"/>
          <w:sz w:val="24"/>
          <w:szCs w:val="24"/>
        </w:rPr>
        <w:t>. This may indicate</w:t>
      </w:r>
      <w:r w:rsidR="00181921" w:rsidRPr="008A1B8F">
        <w:rPr>
          <w:rFonts w:cstheme="minorHAnsi"/>
          <w:sz w:val="24"/>
          <w:szCs w:val="24"/>
        </w:rPr>
        <w:t xml:space="preserve"> enhanced lipid peroxidation</w:t>
      </w:r>
      <w:r w:rsidR="00D33F1D" w:rsidRPr="008A1B8F">
        <w:rPr>
          <w:rFonts w:cstheme="minorHAnsi"/>
          <w:sz w:val="24"/>
          <w:szCs w:val="24"/>
        </w:rPr>
        <w:t xml:space="preserve">. </w:t>
      </w:r>
      <w:r w:rsidR="00FA189E">
        <w:rPr>
          <w:rFonts w:cstheme="minorHAnsi"/>
          <w:sz w:val="24"/>
          <w:szCs w:val="24"/>
        </w:rPr>
        <w:t>Results suggest</w:t>
      </w:r>
      <w:r w:rsidR="00181921" w:rsidRPr="008A1B8F">
        <w:rPr>
          <w:rFonts w:cstheme="minorHAnsi"/>
          <w:sz w:val="24"/>
          <w:szCs w:val="24"/>
        </w:rPr>
        <w:t xml:space="preserve"> that these drugs generate excessive reactive oxygen species (ROS) which damage membrane lipids and cellular components. The concurrent decrease in superoxide dismutase (SOD), catalase, and reduced glutathione (GSH) points to a compromised antioxidant </w:t>
      </w:r>
      <w:r w:rsidR="00BA625C" w:rsidRPr="008A1B8F">
        <w:rPr>
          <w:rFonts w:cstheme="minorHAnsi"/>
          <w:sz w:val="24"/>
          <w:szCs w:val="24"/>
        </w:rPr>
        <w:t>defence</w:t>
      </w:r>
      <w:r w:rsidR="00181921" w:rsidRPr="008A1B8F">
        <w:rPr>
          <w:rFonts w:cstheme="minorHAnsi"/>
          <w:sz w:val="24"/>
          <w:szCs w:val="24"/>
        </w:rPr>
        <w:t xml:space="preserve"> system, leaving cells more vulnerable to oxidative damage. </w:t>
      </w:r>
      <w:r w:rsidR="00FA189E">
        <w:rPr>
          <w:rFonts w:cstheme="minorHAnsi"/>
          <w:sz w:val="24"/>
          <w:szCs w:val="24"/>
        </w:rPr>
        <w:t xml:space="preserve">An occurrence that has been documented from a study by </w:t>
      </w:r>
      <w:r w:rsidR="00FA189E" w:rsidRPr="008A1B8F">
        <w:rPr>
          <w:rFonts w:cstheme="minorHAnsi"/>
          <w:sz w:val="24"/>
          <w:szCs w:val="24"/>
        </w:rPr>
        <w:t>Bertoncini-Silva et al.</w:t>
      </w:r>
      <w:r w:rsidR="00FA189E">
        <w:rPr>
          <w:rFonts w:cstheme="minorHAnsi"/>
          <w:sz w:val="24"/>
          <w:szCs w:val="24"/>
        </w:rPr>
        <w:t xml:space="preserve"> (</w:t>
      </w:r>
      <w:r w:rsidR="00FA189E" w:rsidRPr="008A1B8F">
        <w:rPr>
          <w:rFonts w:cstheme="minorHAnsi"/>
          <w:sz w:val="24"/>
          <w:szCs w:val="24"/>
        </w:rPr>
        <w:t>2024</w:t>
      </w:r>
      <w:r w:rsidR="00FA189E">
        <w:rPr>
          <w:rFonts w:cstheme="minorHAnsi"/>
          <w:sz w:val="24"/>
          <w:szCs w:val="24"/>
        </w:rPr>
        <w:t xml:space="preserve">) and also supported by Ji, published in the inter (2023). </w:t>
      </w:r>
      <w:r w:rsidR="00181921" w:rsidRPr="008A1B8F">
        <w:rPr>
          <w:rFonts w:cstheme="minorHAnsi"/>
          <w:sz w:val="24"/>
          <w:szCs w:val="24"/>
        </w:rPr>
        <w:t>This imbalance between pro-oxidants and antioxidants aligns with the pathophysiology of protease inhibitor-induced metabolic toxicity, where mitochondrial dysfunction and impaired redox regulation play central roles</w:t>
      </w:r>
      <w:r w:rsidR="00BA625C" w:rsidRPr="008A1B8F">
        <w:rPr>
          <w:rFonts w:cstheme="minorHAnsi"/>
          <w:sz w:val="24"/>
          <w:szCs w:val="24"/>
        </w:rPr>
        <w:t xml:space="preserve"> as reported in a 2023 study by Ji, </w:t>
      </w:r>
      <w:r w:rsidR="00FA189E">
        <w:rPr>
          <w:rFonts w:cstheme="minorHAnsi"/>
          <w:sz w:val="24"/>
          <w:szCs w:val="24"/>
        </w:rPr>
        <w:t>(</w:t>
      </w:r>
      <w:r w:rsidR="00BA625C" w:rsidRPr="008A1B8F">
        <w:rPr>
          <w:rFonts w:cstheme="minorHAnsi"/>
          <w:sz w:val="24"/>
          <w:szCs w:val="24"/>
        </w:rPr>
        <w:t>2023)</w:t>
      </w:r>
      <w:r w:rsidR="00181921" w:rsidRPr="008A1B8F">
        <w:rPr>
          <w:rFonts w:cstheme="minorHAnsi"/>
          <w:sz w:val="24"/>
          <w:szCs w:val="24"/>
        </w:rPr>
        <w:t>.</w:t>
      </w:r>
    </w:p>
    <w:p w14:paraId="65973CF8" w14:textId="4D47A92C" w:rsidR="00181921" w:rsidRPr="008A1B8F" w:rsidRDefault="002F10B4" w:rsidP="00181921">
      <w:pPr>
        <w:jc w:val="both"/>
        <w:rPr>
          <w:rFonts w:cstheme="minorHAnsi"/>
          <w:sz w:val="24"/>
          <w:szCs w:val="24"/>
        </w:rPr>
      </w:pPr>
      <w:r>
        <w:rPr>
          <w:rFonts w:cstheme="minorHAnsi"/>
          <w:sz w:val="24"/>
          <w:szCs w:val="24"/>
        </w:rPr>
        <w:lastRenderedPageBreak/>
        <w:t>In the group that was administered with curcumin after treatment with Protease Inhibitor, co administration was found to reverse</w:t>
      </w:r>
      <w:r w:rsidR="00181921" w:rsidRPr="008A1B8F">
        <w:rPr>
          <w:rFonts w:cstheme="minorHAnsi"/>
          <w:sz w:val="24"/>
          <w:szCs w:val="24"/>
        </w:rPr>
        <w:t xml:space="preserve"> alterations, as evidenced by significantly lower MDA levels and higher antioxidant enzyme activity compared to the PI-only group. </w:t>
      </w:r>
      <w:r w:rsidR="0017678A">
        <w:rPr>
          <w:rFonts w:cstheme="minorHAnsi"/>
          <w:sz w:val="24"/>
          <w:szCs w:val="24"/>
        </w:rPr>
        <w:t>T</w:t>
      </w:r>
      <w:r>
        <w:rPr>
          <w:rFonts w:cstheme="minorHAnsi"/>
          <w:sz w:val="24"/>
          <w:szCs w:val="24"/>
        </w:rPr>
        <w:t>he reverse effect can be related to</w:t>
      </w:r>
      <w:r w:rsidR="00181921" w:rsidRPr="008A1B8F">
        <w:rPr>
          <w:rFonts w:cstheme="minorHAnsi"/>
          <w:sz w:val="24"/>
          <w:szCs w:val="24"/>
        </w:rPr>
        <w:t xml:space="preserve"> curcumin’s ability to scavenge free radicals</w:t>
      </w:r>
      <w:r>
        <w:rPr>
          <w:rFonts w:cstheme="minorHAnsi"/>
          <w:sz w:val="24"/>
          <w:szCs w:val="24"/>
        </w:rPr>
        <w:t>. A study by Jin et al., (2021)</w:t>
      </w:r>
      <w:r w:rsidR="0017678A">
        <w:rPr>
          <w:rFonts w:cstheme="minorHAnsi"/>
          <w:sz w:val="24"/>
          <w:szCs w:val="24"/>
        </w:rPr>
        <w:t xml:space="preserve"> and another study by </w:t>
      </w:r>
      <w:proofErr w:type="spellStart"/>
      <w:r w:rsidR="0017678A" w:rsidRPr="008A1B8F">
        <w:rPr>
          <w:rFonts w:cstheme="minorHAnsi"/>
          <w:sz w:val="24"/>
          <w:szCs w:val="24"/>
        </w:rPr>
        <w:t>Shahcheraghi</w:t>
      </w:r>
      <w:proofErr w:type="spellEnd"/>
      <w:r w:rsidR="0017678A" w:rsidRPr="008A1B8F">
        <w:rPr>
          <w:rFonts w:cstheme="minorHAnsi"/>
          <w:sz w:val="24"/>
          <w:szCs w:val="24"/>
        </w:rPr>
        <w:t xml:space="preserve"> et al.</w:t>
      </w:r>
      <w:r w:rsidR="0017678A">
        <w:rPr>
          <w:rFonts w:cstheme="minorHAnsi"/>
          <w:sz w:val="24"/>
          <w:szCs w:val="24"/>
        </w:rPr>
        <w:t xml:space="preserve"> (</w:t>
      </w:r>
      <w:r w:rsidR="0017678A" w:rsidRPr="008A1B8F">
        <w:rPr>
          <w:rFonts w:cstheme="minorHAnsi"/>
          <w:sz w:val="24"/>
          <w:szCs w:val="24"/>
        </w:rPr>
        <w:t>2021</w:t>
      </w:r>
      <w:r w:rsidR="0017678A">
        <w:rPr>
          <w:rFonts w:cstheme="minorHAnsi"/>
          <w:sz w:val="24"/>
          <w:szCs w:val="24"/>
        </w:rPr>
        <w:t>) documented that curcumin can</w:t>
      </w:r>
      <w:r>
        <w:rPr>
          <w:rFonts w:cstheme="minorHAnsi"/>
          <w:sz w:val="24"/>
          <w:szCs w:val="24"/>
        </w:rPr>
        <w:t xml:space="preserve"> </w:t>
      </w:r>
      <w:r w:rsidR="00181921" w:rsidRPr="008A1B8F">
        <w:rPr>
          <w:rFonts w:cstheme="minorHAnsi"/>
          <w:sz w:val="24"/>
          <w:szCs w:val="24"/>
        </w:rPr>
        <w:t xml:space="preserve">upregulate endogenous antioxidant enzymes via activation of the Nrf2 </w:t>
      </w:r>
      <w:proofErr w:type="spellStart"/>
      <w:r w:rsidR="00181921" w:rsidRPr="008A1B8F">
        <w:rPr>
          <w:rFonts w:cstheme="minorHAnsi"/>
          <w:sz w:val="24"/>
          <w:szCs w:val="24"/>
        </w:rPr>
        <w:t>signaling</w:t>
      </w:r>
      <w:proofErr w:type="spellEnd"/>
      <w:r w:rsidR="00181921" w:rsidRPr="008A1B8F">
        <w:rPr>
          <w:rFonts w:cstheme="minorHAnsi"/>
          <w:sz w:val="24"/>
          <w:szCs w:val="24"/>
        </w:rPr>
        <w:t xml:space="preserve"> pathway, and stabilize mitochondrial function</w:t>
      </w:r>
      <w:r w:rsidR="00BA625C" w:rsidRPr="008A1B8F">
        <w:rPr>
          <w:rFonts w:cstheme="minorHAnsi"/>
          <w:sz w:val="24"/>
          <w:szCs w:val="24"/>
        </w:rPr>
        <w:t xml:space="preserve"> (Jin et al., 2021; </w:t>
      </w:r>
      <w:proofErr w:type="spellStart"/>
      <w:r w:rsidR="00BA625C" w:rsidRPr="008A1B8F">
        <w:rPr>
          <w:rFonts w:cstheme="minorHAnsi"/>
          <w:sz w:val="24"/>
          <w:szCs w:val="24"/>
        </w:rPr>
        <w:t>Shahcheraghi</w:t>
      </w:r>
      <w:proofErr w:type="spellEnd"/>
      <w:r w:rsidR="00BA625C" w:rsidRPr="008A1B8F">
        <w:rPr>
          <w:rFonts w:cstheme="minorHAnsi"/>
          <w:sz w:val="24"/>
          <w:szCs w:val="24"/>
        </w:rPr>
        <w:t xml:space="preserve"> et al., 2021)</w:t>
      </w:r>
      <w:r w:rsidR="00181921" w:rsidRPr="008A1B8F">
        <w:rPr>
          <w:rFonts w:cstheme="minorHAnsi"/>
          <w:sz w:val="24"/>
          <w:szCs w:val="24"/>
        </w:rPr>
        <w:t>. Its neutral performance when given alone further strengthens its role as a protective modulator rather than a disruptor of normal redox balance.</w:t>
      </w:r>
    </w:p>
    <w:p w14:paraId="277F33AA" w14:textId="0F383162" w:rsidR="00C012A7" w:rsidRPr="008A1B8F" w:rsidRDefault="00181921" w:rsidP="00181921">
      <w:pPr>
        <w:jc w:val="both"/>
        <w:rPr>
          <w:rFonts w:cstheme="minorHAnsi"/>
          <w:sz w:val="24"/>
          <w:szCs w:val="24"/>
        </w:rPr>
      </w:pPr>
      <w:r w:rsidRPr="008A1B8F">
        <w:rPr>
          <w:rFonts w:cstheme="minorHAnsi"/>
          <w:sz w:val="24"/>
          <w:szCs w:val="24"/>
        </w:rPr>
        <w:t>The directional implication of this result is that oxidative stress markers may serve as important clinical endpoints when evaluating adjunct therapies for HIV treatment. Curcumin, with its strong antioxidant profile, could be advanced as a complementary intervention aimed at preserving redox balance in patients on protease inhibitors, thereby lowering the risk of long-term complications. Future studies should therefore expand into clinical validation, with emphasis on biomarkers of oxidative stress, mitochondrial function, and overall patient outcomes.</w:t>
      </w:r>
    </w:p>
    <w:p w14:paraId="15668E78" w14:textId="04EAC230" w:rsidR="00BA625C" w:rsidRDefault="00402E62" w:rsidP="00181921">
      <w:pPr>
        <w:jc w:val="both"/>
        <w:rPr>
          <w:rFonts w:cstheme="minorHAnsi"/>
          <w:sz w:val="24"/>
          <w:szCs w:val="24"/>
        </w:rPr>
      </w:pPr>
      <w:r w:rsidRPr="008A1B8F">
        <w:rPr>
          <w:rFonts w:cstheme="minorHAnsi"/>
          <w:sz w:val="24"/>
          <w:szCs w:val="24"/>
        </w:rPr>
        <w:t xml:space="preserve">The marked increase in MDA and the concurrent decreases in SOD, catalase and GSH following PI treatment observed in this study is in agreement with recent experimental and translational studies by Lombardi et al. </w:t>
      </w:r>
      <w:r w:rsidR="0069743B" w:rsidRPr="008A1B8F">
        <w:rPr>
          <w:rFonts w:cstheme="minorHAnsi"/>
          <w:sz w:val="24"/>
          <w:szCs w:val="24"/>
        </w:rPr>
        <w:t>(</w:t>
      </w:r>
      <w:r w:rsidRPr="008A1B8F">
        <w:rPr>
          <w:rFonts w:cstheme="minorHAnsi"/>
          <w:sz w:val="24"/>
          <w:szCs w:val="24"/>
        </w:rPr>
        <w:t>2024</w:t>
      </w:r>
      <w:r w:rsidR="0069743B" w:rsidRPr="008A1B8F">
        <w:rPr>
          <w:rFonts w:cstheme="minorHAnsi"/>
          <w:sz w:val="24"/>
          <w:szCs w:val="24"/>
        </w:rPr>
        <w:t>)</w:t>
      </w:r>
      <w:r w:rsidRPr="008A1B8F">
        <w:rPr>
          <w:rFonts w:cstheme="minorHAnsi"/>
          <w:sz w:val="24"/>
          <w:szCs w:val="24"/>
        </w:rPr>
        <w:t xml:space="preserve"> and Papantoniou et al. (2024)</w:t>
      </w:r>
      <w:r w:rsidR="0069743B" w:rsidRPr="008A1B8F">
        <w:rPr>
          <w:rFonts w:cstheme="minorHAnsi"/>
          <w:sz w:val="24"/>
          <w:szCs w:val="24"/>
        </w:rPr>
        <w:t xml:space="preserve"> Also, the</w:t>
      </w:r>
      <w:r w:rsidRPr="008A1B8F">
        <w:rPr>
          <w:rFonts w:cstheme="minorHAnsi"/>
          <w:sz w:val="24"/>
          <w:szCs w:val="24"/>
        </w:rPr>
        <w:t xml:space="preserve"> finding that curcumin co-administration significantly lowered MDA and restored SOD, catalase and GSH is consistent with</w:t>
      </w:r>
      <w:r w:rsidR="0069743B" w:rsidRPr="008A1B8F">
        <w:rPr>
          <w:rFonts w:cstheme="minorHAnsi"/>
          <w:sz w:val="24"/>
          <w:szCs w:val="24"/>
        </w:rPr>
        <w:t xml:space="preserve"> reports from </w:t>
      </w:r>
      <w:proofErr w:type="spellStart"/>
      <w:r w:rsidR="0069743B" w:rsidRPr="008A1B8F">
        <w:rPr>
          <w:rFonts w:cstheme="minorHAnsi"/>
          <w:sz w:val="24"/>
          <w:szCs w:val="24"/>
        </w:rPr>
        <w:t>Sathyabhama</w:t>
      </w:r>
      <w:proofErr w:type="spellEnd"/>
      <w:r w:rsidR="0069743B" w:rsidRPr="008A1B8F">
        <w:rPr>
          <w:rFonts w:cstheme="minorHAnsi"/>
          <w:sz w:val="24"/>
          <w:szCs w:val="24"/>
        </w:rPr>
        <w:t xml:space="preserve"> et al., (2022) and </w:t>
      </w:r>
      <w:proofErr w:type="spellStart"/>
      <w:r w:rsidR="0069743B" w:rsidRPr="008A1B8F">
        <w:rPr>
          <w:rFonts w:cstheme="minorHAnsi"/>
          <w:sz w:val="24"/>
          <w:szCs w:val="24"/>
        </w:rPr>
        <w:t>Nicoliche</w:t>
      </w:r>
      <w:proofErr w:type="spellEnd"/>
      <w:r w:rsidR="0069743B" w:rsidRPr="008A1B8F">
        <w:rPr>
          <w:rFonts w:cstheme="minorHAnsi"/>
          <w:sz w:val="24"/>
          <w:szCs w:val="24"/>
        </w:rPr>
        <w:t xml:space="preserve"> et al., </w:t>
      </w:r>
      <w:r w:rsidR="00147881" w:rsidRPr="008A1B8F">
        <w:rPr>
          <w:rFonts w:cstheme="minorHAnsi"/>
          <w:sz w:val="24"/>
          <w:szCs w:val="24"/>
        </w:rPr>
        <w:t>(</w:t>
      </w:r>
      <w:r w:rsidR="0069743B" w:rsidRPr="008A1B8F">
        <w:rPr>
          <w:rFonts w:cstheme="minorHAnsi"/>
          <w:sz w:val="24"/>
          <w:szCs w:val="24"/>
        </w:rPr>
        <w:t>2024</w:t>
      </w:r>
      <w:r w:rsidR="00147881" w:rsidRPr="008A1B8F">
        <w:rPr>
          <w:rFonts w:cstheme="minorHAnsi"/>
          <w:sz w:val="24"/>
          <w:szCs w:val="24"/>
        </w:rPr>
        <w:t xml:space="preserve">) </w:t>
      </w:r>
      <w:r w:rsidRPr="008A1B8F">
        <w:rPr>
          <w:rFonts w:cstheme="minorHAnsi"/>
          <w:sz w:val="24"/>
          <w:szCs w:val="24"/>
        </w:rPr>
        <w:t xml:space="preserve">showing that curcumin activates antioxidant </w:t>
      </w:r>
      <w:r w:rsidR="00D70169" w:rsidRPr="008A1B8F">
        <w:rPr>
          <w:rFonts w:cstheme="minorHAnsi"/>
          <w:sz w:val="24"/>
          <w:szCs w:val="24"/>
        </w:rPr>
        <w:t>defences</w:t>
      </w:r>
      <w:r w:rsidRPr="008A1B8F">
        <w:rPr>
          <w:rFonts w:cstheme="minorHAnsi"/>
          <w:sz w:val="24"/>
          <w:szCs w:val="24"/>
        </w:rPr>
        <w:t xml:space="preserve"> (notably Nrf2/ARE </w:t>
      </w:r>
      <w:r w:rsidR="004E0087" w:rsidRPr="008A1B8F">
        <w:rPr>
          <w:rFonts w:cstheme="minorHAnsi"/>
          <w:sz w:val="24"/>
          <w:szCs w:val="24"/>
        </w:rPr>
        <w:t>signalling</w:t>
      </w:r>
      <w:r w:rsidRPr="008A1B8F">
        <w:rPr>
          <w:rFonts w:cstheme="minorHAnsi"/>
          <w:sz w:val="24"/>
          <w:szCs w:val="24"/>
        </w:rPr>
        <w:t>), enhances cellular GSH levels, and raises SOD/catalase activities while directly scavenging reactive oxygen species</w:t>
      </w:r>
      <w:r w:rsidR="00147881" w:rsidRPr="008A1B8F">
        <w:rPr>
          <w:rFonts w:cstheme="minorHAnsi"/>
          <w:sz w:val="24"/>
          <w:szCs w:val="24"/>
        </w:rPr>
        <w:t>. However, some</w:t>
      </w:r>
      <w:r w:rsidRPr="008A1B8F">
        <w:rPr>
          <w:rFonts w:cstheme="minorHAnsi"/>
          <w:sz w:val="24"/>
          <w:szCs w:val="24"/>
        </w:rPr>
        <w:t xml:space="preserve"> clinical reviews </w:t>
      </w:r>
      <w:r w:rsidR="00147881" w:rsidRPr="008A1B8F">
        <w:rPr>
          <w:rFonts w:cstheme="minorHAnsi"/>
          <w:sz w:val="24"/>
          <w:szCs w:val="24"/>
        </w:rPr>
        <w:t xml:space="preserve">like </w:t>
      </w:r>
      <w:r w:rsidRPr="008A1B8F">
        <w:rPr>
          <w:rFonts w:cstheme="minorHAnsi"/>
          <w:sz w:val="24"/>
          <w:szCs w:val="24"/>
        </w:rPr>
        <w:t>and some human trials report variable antioxidant effects of curcumin</w:t>
      </w:r>
      <w:r w:rsidR="00AF36E5" w:rsidRPr="008A1B8F">
        <w:rPr>
          <w:rFonts w:cstheme="minorHAnsi"/>
          <w:sz w:val="24"/>
          <w:szCs w:val="24"/>
        </w:rPr>
        <w:t xml:space="preserve"> (</w:t>
      </w:r>
      <w:proofErr w:type="spellStart"/>
      <w:r w:rsidR="00AF36E5" w:rsidRPr="008A1B8F">
        <w:rPr>
          <w:rFonts w:cstheme="minorHAnsi"/>
          <w:sz w:val="24"/>
          <w:szCs w:val="24"/>
        </w:rPr>
        <w:t>Sathyabhama</w:t>
      </w:r>
      <w:proofErr w:type="spellEnd"/>
      <w:r w:rsidR="00AF36E5" w:rsidRPr="008A1B8F">
        <w:rPr>
          <w:rFonts w:cstheme="minorHAnsi"/>
          <w:sz w:val="24"/>
          <w:szCs w:val="24"/>
        </w:rPr>
        <w:t xml:space="preserve"> et al., 2022; Godse et al., 2023; Lombardi et al., 2024). D</w:t>
      </w:r>
      <w:r w:rsidRPr="008A1B8F">
        <w:rPr>
          <w:rFonts w:cstheme="minorHAnsi"/>
          <w:sz w:val="24"/>
          <w:szCs w:val="24"/>
        </w:rPr>
        <w:t>iscrepancy</w:t>
      </w:r>
      <w:r w:rsidR="00AF36E5" w:rsidRPr="008A1B8F">
        <w:rPr>
          <w:rFonts w:cstheme="minorHAnsi"/>
          <w:sz w:val="24"/>
          <w:szCs w:val="24"/>
        </w:rPr>
        <w:t xml:space="preserve"> in results is</w:t>
      </w:r>
      <w:r w:rsidRPr="008A1B8F">
        <w:rPr>
          <w:rFonts w:cstheme="minorHAnsi"/>
          <w:sz w:val="24"/>
          <w:szCs w:val="24"/>
        </w:rPr>
        <w:t xml:space="preserve"> likely attributable to limited curcumin bioavailability in many human formulations, shorter trial durations, small sample sizes</w:t>
      </w:r>
      <w:r w:rsidR="00AF36E5" w:rsidRPr="008A1B8F">
        <w:rPr>
          <w:rFonts w:cstheme="minorHAnsi"/>
          <w:sz w:val="24"/>
          <w:szCs w:val="24"/>
        </w:rPr>
        <w:t>. T</w:t>
      </w:r>
      <w:r w:rsidRPr="008A1B8F">
        <w:rPr>
          <w:rFonts w:cstheme="minorHAnsi"/>
          <w:sz w:val="24"/>
          <w:szCs w:val="24"/>
        </w:rPr>
        <w:t>hese factors suggest that while preclinical oxidative protection is robust, clinical translation will require bioavailable formulations, appropriate dosing regimens, and carefully chosen biomarker panels.</w:t>
      </w:r>
    </w:p>
    <w:p w14:paraId="63AD851E" w14:textId="4E689167" w:rsidR="00230ED9" w:rsidRPr="008A1B8F" w:rsidRDefault="00230ED9" w:rsidP="00181921">
      <w:pPr>
        <w:jc w:val="both"/>
        <w:rPr>
          <w:rFonts w:cstheme="minorHAnsi"/>
          <w:sz w:val="24"/>
          <w:szCs w:val="24"/>
        </w:rPr>
      </w:pPr>
      <w:r>
        <w:rPr>
          <w:rFonts w:cstheme="minorHAnsi"/>
          <w:sz w:val="24"/>
          <w:szCs w:val="24"/>
        </w:rPr>
        <w:t xml:space="preserve">It is important to note that </w:t>
      </w:r>
      <w:r w:rsidRPr="00230ED9">
        <w:rPr>
          <w:rFonts w:cstheme="minorHAnsi"/>
          <w:sz w:val="24"/>
          <w:szCs w:val="24"/>
        </w:rPr>
        <w:t>the study only measured these blood and tissue markers. It did not test the deeper molecular signals, such as Nrf2 or PPAR pathways. For this reason, the results show associations between curcumin treatment and improved outcomes, but they do not fully prove the exact cause-and-effect mechanism.</w:t>
      </w:r>
      <w:r>
        <w:rPr>
          <w:rFonts w:cstheme="minorHAnsi"/>
          <w:sz w:val="24"/>
          <w:szCs w:val="24"/>
        </w:rPr>
        <w:t xml:space="preserve"> </w:t>
      </w:r>
      <w:r w:rsidRPr="00230ED9">
        <w:rPr>
          <w:rFonts w:cstheme="minorHAnsi"/>
          <w:sz w:val="24"/>
          <w:szCs w:val="24"/>
        </w:rPr>
        <w:t>Another important point is that curcumin has low absorption in humans. Because of this, it is still not clear if the same strong effects seen in rats would happen in patients taking regular curcumin doses</w:t>
      </w:r>
    </w:p>
    <w:p w14:paraId="6834C65D" w14:textId="77777777" w:rsidR="0048516F" w:rsidRPr="008A1B8F" w:rsidRDefault="0048516F" w:rsidP="00C012A7">
      <w:pPr>
        <w:jc w:val="both"/>
        <w:rPr>
          <w:rFonts w:cstheme="minorHAnsi"/>
          <w:sz w:val="24"/>
          <w:szCs w:val="24"/>
        </w:rPr>
      </w:pPr>
    </w:p>
    <w:p w14:paraId="251F8398" w14:textId="7E958E0D" w:rsidR="0048516F" w:rsidRPr="008A1B8F" w:rsidRDefault="00AF36E5" w:rsidP="0048516F">
      <w:pPr>
        <w:jc w:val="both"/>
        <w:rPr>
          <w:rFonts w:cstheme="minorHAnsi"/>
          <w:b/>
          <w:bCs/>
          <w:sz w:val="24"/>
          <w:szCs w:val="24"/>
        </w:rPr>
      </w:pPr>
      <w:r w:rsidRPr="008A1B8F">
        <w:rPr>
          <w:rFonts w:cstheme="minorHAnsi"/>
          <w:b/>
          <w:bCs/>
          <w:sz w:val="24"/>
          <w:szCs w:val="24"/>
        </w:rPr>
        <w:t xml:space="preserve">5. </w:t>
      </w:r>
      <w:r w:rsidR="0048516F" w:rsidRPr="008A1B8F">
        <w:rPr>
          <w:rFonts w:cstheme="minorHAnsi"/>
          <w:b/>
          <w:bCs/>
          <w:sz w:val="24"/>
          <w:szCs w:val="24"/>
        </w:rPr>
        <w:t>Conclusion</w:t>
      </w:r>
    </w:p>
    <w:p w14:paraId="1F033185" w14:textId="65168DB0" w:rsidR="00BD0CFE" w:rsidRPr="00BD0CFE" w:rsidRDefault="00BD0CFE" w:rsidP="00BD0CFE">
      <w:pPr>
        <w:jc w:val="both"/>
        <w:rPr>
          <w:rFonts w:cstheme="minorHAnsi"/>
          <w:sz w:val="24"/>
          <w:szCs w:val="24"/>
        </w:rPr>
      </w:pPr>
      <w:r w:rsidRPr="00BD0CFE">
        <w:rPr>
          <w:rFonts w:cstheme="minorHAnsi"/>
          <w:sz w:val="24"/>
          <w:szCs w:val="24"/>
        </w:rPr>
        <w:t xml:space="preserve">This study showed that curcumin helped protect against the harmful effects of HIV protease inhibitors in </w:t>
      </w:r>
      <w:r>
        <w:rPr>
          <w:rFonts w:cstheme="minorHAnsi"/>
          <w:sz w:val="24"/>
          <w:szCs w:val="24"/>
        </w:rPr>
        <w:t xml:space="preserve">experimental </w:t>
      </w:r>
      <w:r w:rsidRPr="00BD0CFE">
        <w:rPr>
          <w:rFonts w:cstheme="minorHAnsi"/>
          <w:sz w:val="24"/>
          <w:szCs w:val="24"/>
        </w:rPr>
        <w:t xml:space="preserve">rats. Animals that received the drugs alone developed high cholesterol, </w:t>
      </w:r>
      <w:r w:rsidRPr="00BD0CFE">
        <w:rPr>
          <w:rFonts w:cstheme="minorHAnsi"/>
          <w:sz w:val="24"/>
          <w:szCs w:val="24"/>
        </w:rPr>
        <w:lastRenderedPageBreak/>
        <w:t>high triglycerides, and low HDL, which are signs of dyslipidaemia. They also had higher oxidative stress, shown by increased MDA and reduced antioxidant enzymes.</w:t>
      </w:r>
      <w:r>
        <w:rPr>
          <w:rFonts w:cstheme="minorHAnsi"/>
          <w:sz w:val="24"/>
          <w:szCs w:val="24"/>
        </w:rPr>
        <w:t xml:space="preserve"> </w:t>
      </w:r>
      <w:r w:rsidRPr="00BD0CFE">
        <w:rPr>
          <w:rFonts w:cstheme="minorHAnsi"/>
          <w:sz w:val="24"/>
          <w:szCs w:val="24"/>
        </w:rPr>
        <w:t xml:space="preserve">When curcumin was added, these harmful changes were improved. Cholesterol and triglyceride levels went down, HDL increased, and antioxidant enzymes were restored. This suggests that curcumin may reduce both </w:t>
      </w:r>
      <w:r w:rsidR="006D2019">
        <w:rPr>
          <w:rFonts w:cstheme="minorHAnsi"/>
          <w:sz w:val="24"/>
          <w:szCs w:val="24"/>
        </w:rPr>
        <w:t xml:space="preserve">lipid </w:t>
      </w:r>
      <w:r w:rsidRPr="00BD0CFE">
        <w:rPr>
          <w:rFonts w:cstheme="minorHAnsi"/>
          <w:sz w:val="24"/>
          <w:szCs w:val="24"/>
        </w:rPr>
        <w:t>imbalance and oxidative stress caused by protease inhibitors.</w:t>
      </w:r>
      <w:r>
        <w:rPr>
          <w:rFonts w:cstheme="minorHAnsi"/>
          <w:sz w:val="24"/>
          <w:szCs w:val="24"/>
        </w:rPr>
        <w:t xml:space="preserve"> </w:t>
      </w:r>
      <w:r w:rsidRPr="00BD0CFE">
        <w:rPr>
          <w:rFonts w:cstheme="minorHAnsi"/>
          <w:sz w:val="24"/>
          <w:szCs w:val="24"/>
        </w:rPr>
        <w:t>However, the study was done in rats, not humans. It also measured biochemical changes but did not directly test the deeper pathways involved. Another limitation is the low absorption of curcumin in people, which makes translation to clinical use more complex.</w:t>
      </w:r>
      <w:r>
        <w:rPr>
          <w:rFonts w:cstheme="minorHAnsi"/>
          <w:sz w:val="24"/>
          <w:szCs w:val="24"/>
        </w:rPr>
        <w:t xml:space="preserve"> </w:t>
      </w:r>
      <w:r w:rsidRPr="00BD0CFE">
        <w:rPr>
          <w:rFonts w:cstheme="minorHAnsi"/>
          <w:sz w:val="24"/>
          <w:szCs w:val="24"/>
        </w:rPr>
        <w:t>Even so, these results suggest that curcumin could be a safe and affordable supplement to improve long-term HIV therapy outcomes.</w:t>
      </w:r>
    </w:p>
    <w:p w14:paraId="7C8E05CD" w14:textId="51915B09" w:rsidR="00BE6D48" w:rsidRPr="00BE6D48" w:rsidRDefault="00BE6D48" w:rsidP="00BE6D48">
      <w:pPr>
        <w:tabs>
          <w:tab w:val="left" w:pos="3240"/>
        </w:tabs>
        <w:jc w:val="both"/>
        <w:rPr>
          <w:rFonts w:cstheme="minorHAnsi"/>
          <w:b/>
          <w:bCs/>
          <w:sz w:val="24"/>
          <w:szCs w:val="24"/>
        </w:rPr>
      </w:pPr>
      <w:r w:rsidRPr="00BE6D48">
        <w:rPr>
          <w:rFonts w:cstheme="minorHAnsi"/>
          <w:b/>
          <w:bCs/>
          <w:sz w:val="24"/>
          <w:szCs w:val="24"/>
        </w:rPr>
        <w:t xml:space="preserve">Ethical </w:t>
      </w:r>
      <w:r>
        <w:rPr>
          <w:rFonts w:cstheme="minorHAnsi"/>
          <w:b/>
          <w:bCs/>
          <w:sz w:val="24"/>
          <w:szCs w:val="24"/>
        </w:rPr>
        <w:t xml:space="preserve">Approval </w:t>
      </w:r>
    </w:p>
    <w:p w14:paraId="6F817392" w14:textId="77777777" w:rsidR="00BE6D48" w:rsidRPr="00BE6D48" w:rsidRDefault="00BE6D48" w:rsidP="00BE6D48">
      <w:pPr>
        <w:tabs>
          <w:tab w:val="left" w:pos="3240"/>
        </w:tabs>
        <w:jc w:val="both"/>
        <w:rPr>
          <w:rFonts w:cstheme="minorHAnsi"/>
          <w:sz w:val="24"/>
          <w:szCs w:val="24"/>
        </w:rPr>
      </w:pPr>
      <w:r w:rsidRPr="00BE6D48">
        <w:rPr>
          <w:rFonts w:cstheme="minorHAnsi"/>
          <w:sz w:val="24"/>
          <w:szCs w:val="24"/>
        </w:rPr>
        <w:t>The study was conducted in accordance with the guidelines of the National Institute of Health using the guide for the care and handling of laboratory animals (NIH Publication No. 80-23; revised 1978) and International Guiding Principles for Biomedical Research (CIOMS, 1985) (Manoj et al., 2023). Proper housing, feeding, and humane handling of the animals were maintained throughout the study. At the end of the experiment, euthanasia was performed using an approved method to minimize pain and distress.</w:t>
      </w:r>
    </w:p>
    <w:p w14:paraId="0A3FEF8A" w14:textId="77777777" w:rsidR="00B82A8D" w:rsidRDefault="00B82A8D" w:rsidP="00BD0CFE">
      <w:pPr>
        <w:tabs>
          <w:tab w:val="left" w:pos="3240"/>
        </w:tabs>
        <w:jc w:val="both"/>
        <w:rPr>
          <w:rFonts w:cstheme="minorHAnsi"/>
          <w:sz w:val="24"/>
          <w:szCs w:val="24"/>
        </w:rPr>
      </w:pPr>
    </w:p>
    <w:p w14:paraId="569615C8" w14:textId="77777777" w:rsidR="00B82A8D" w:rsidRPr="008A1B8F" w:rsidRDefault="00B82A8D" w:rsidP="00B82A8D">
      <w:pPr>
        <w:jc w:val="both"/>
        <w:rPr>
          <w:rFonts w:cstheme="minorHAnsi"/>
          <w:b/>
          <w:bCs/>
          <w:sz w:val="24"/>
          <w:szCs w:val="24"/>
        </w:rPr>
      </w:pPr>
      <w:r w:rsidRPr="008A1B8F">
        <w:rPr>
          <w:rFonts w:cstheme="minorHAnsi"/>
          <w:b/>
          <w:bCs/>
          <w:sz w:val="24"/>
          <w:szCs w:val="24"/>
        </w:rPr>
        <w:t>List of Abbreviations</w:t>
      </w:r>
    </w:p>
    <w:p w14:paraId="56CE75E4" w14:textId="77777777" w:rsidR="00B82A8D" w:rsidRPr="008A1B8F" w:rsidRDefault="00B82A8D" w:rsidP="00B82A8D">
      <w:pPr>
        <w:jc w:val="both"/>
        <w:rPr>
          <w:rFonts w:cstheme="minorHAnsi"/>
          <w:sz w:val="24"/>
          <w:szCs w:val="24"/>
        </w:rPr>
      </w:pPr>
      <w:r w:rsidRPr="008A1B8F">
        <w:rPr>
          <w:rFonts w:cstheme="minorHAnsi"/>
          <w:sz w:val="24"/>
          <w:szCs w:val="24"/>
        </w:rPr>
        <w:t>ART – Antiretroviral Therapy</w:t>
      </w:r>
    </w:p>
    <w:p w14:paraId="498D9CAB" w14:textId="77777777" w:rsidR="00B82A8D" w:rsidRPr="008A1B8F" w:rsidRDefault="00B82A8D" w:rsidP="00B82A8D">
      <w:pPr>
        <w:jc w:val="both"/>
        <w:rPr>
          <w:rFonts w:cstheme="minorHAnsi"/>
          <w:sz w:val="24"/>
          <w:szCs w:val="24"/>
        </w:rPr>
      </w:pPr>
      <w:r w:rsidRPr="008A1B8F">
        <w:rPr>
          <w:rFonts w:cstheme="minorHAnsi"/>
          <w:sz w:val="24"/>
          <w:szCs w:val="24"/>
        </w:rPr>
        <w:t>PI(s) – Protease Inhibitor(s)</w:t>
      </w:r>
    </w:p>
    <w:p w14:paraId="58C03B17" w14:textId="77777777" w:rsidR="00B82A8D" w:rsidRPr="008A1B8F" w:rsidRDefault="00B82A8D" w:rsidP="00B82A8D">
      <w:pPr>
        <w:jc w:val="both"/>
        <w:rPr>
          <w:rFonts w:cstheme="minorHAnsi"/>
          <w:sz w:val="24"/>
          <w:szCs w:val="24"/>
        </w:rPr>
      </w:pPr>
      <w:r w:rsidRPr="008A1B8F">
        <w:rPr>
          <w:rFonts w:cstheme="minorHAnsi"/>
          <w:sz w:val="24"/>
          <w:szCs w:val="24"/>
        </w:rPr>
        <w:t>HIV – Human Immunodeficiency Virus</w:t>
      </w:r>
    </w:p>
    <w:p w14:paraId="61A7BB91" w14:textId="77777777" w:rsidR="00B82A8D" w:rsidRPr="008A1B8F" w:rsidRDefault="00B82A8D" w:rsidP="00B82A8D">
      <w:pPr>
        <w:jc w:val="both"/>
        <w:rPr>
          <w:rFonts w:cstheme="minorHAnsi"/>
          <w:sz w:val="24"/>
          <w:szCs w:val="24"/>
        </w:rPr>
      </w:pPr>
      <w:r w:rsidRPr="008A1B8F">
        <w:rPr>
          <w:rFonts w:cstheme="minorHAnsi"/>
          <w:sz w:val="24"/>
          <w:szCs w:val="24"/>
        </w:rPr>
        <w:t>TC – Total Cholesterol</w:t>
      </w:r>
    </w:p>
    <w:p w14:paraId="7AD39E30" w14:textId="77777777" w:rsidR="00B82A8D" w:rsidRPr="008A1B8F" w:rsidRDefault="00B82A8D" w:rsidP="00B82A8D">
      <w:pPr>
        <w:jc w:val="both"/>
        <w:rPr>
          <w:rFonts w:cstheme="minorHAnsi"/>
          <w:sz w:val="24"/>
          <w:szCs w:val="24"/>
        </w:rPr>
      </w:pPr>
      <w:r w:rsidRPr="008A1B8F">
        <w:rPr>
          <w:rFonts w:cstheme="minorHAnsi"/>
          <w:sz w:val="24"/>
          <w:szCs w:val="24"/>
        </w:rPr>
        <w:t>TG – Triglycerides</w:t>
      </w:r>
    </w:p>
    <w:p w14:paraId="23688296" w14:textId="77777777" w:rsidR="00B82A8D" w:rsidRPr="008A1B8F" w:rsidRDefault="00B82A8D" w:rsidP="00B82A8D">
      <w:pPr>
        <w:jc w:val="both"/>
        <w:rPr>
          <w:rFonts w:cstheme="minorHAnsi"/>
          <w:sz w:val="24"/>
          <w:szCs w:val="24"/>
        </w:rPr>
      </w:pPr>
      <w:r w:rsidRPr="008A1B8F">
        <w:rPr>
          <w:rFonts w:cstheme="minorHAnsi"/>
          <w:sz w:val="24"/>
          <w:szCs w:val="24"/>
        </w:rPr>
        <w:t>HDL-C – High-Density Lipoprotein Cholesterol</w:t>
      </w:r>
    </w:p>
    <w:p w14:paraId="7B6684BD" w14:textId="77777777" w:rsidR="00B82A8D" w:rsidRPr="008A1B8F" w:rsidRDefault="00B82A8D" w:rsidP="00B82A8D">
      <w:pPr>
        <w:jc w:val="both"/>
        <w:rPr>
          <w:rFonts w:cstheme="minorHAnsi"/>
          <w:sz w:val="24"/>
          <w:szCs w:val="24"/>
        </w:rPr>
      </w:pPr>
      <w:r w:rsidRPr="008A1B8F">
        <w:rPr>
          <w:rFonts w:cstheme="minorHAnsi"/>
          <w:sz w:val="24"/>
          <w:szCs w:val="24"/>
        </w:rPr>
        <w:t>LDL-C – Low-Density Lipoprotein Cholesterol</w:t>
      </w:r>
    </w:p>
    <w:p w14:paraId="26FF351B" w14:textId="77777777" w:rsidR="00B82A8D" w:rsidRPr="008A1B8F" w:rsidRDefault="00B82A8D" w:rsidP="00B82A8D">
      <w:pPr>
        <w:jc w:val="both"/>
        <w:rPr>
          <w:rFonts w:cstheme="minorHAnsi"/>
          <w:sz w:val="24"/>
          <w:szCs w:val="24"/>
        </w:rPr>
      </w:pPr>
      <w:r w:rsidRPr="008A1B8F">
        <w:rPr>
          <w:rFonts w:cstheme="minorHAnsi"/>
          <w:sz w:val="24"/>
          <w:szCs w:val="24"/>
        </w:rPr>
        <w:t>TC/HDL-C – Total Cholesterol to HDL-Cholesterol Ratio</w:t>
      </w:r>
    </w:p>
    <w:p w14:paraId="27A51CC2" w14:textId="77777777" w:rsidR="00B82A8D" w:rsidRPr="008A1B8F" w:rsidRDefault="00B82A8D" w:rsidP="00B82A8D">
      <w:pPr>
        <w:jc w:val="both"/>
        <w:rPr>
          <w:rFonts w:cstheme="minorHAnsi"/>
          <w:sz w:val="24"/>
          <w:szCs w:val="24"/>
        </w:rPr>
      </w:pPr>
      <w:r w:rsidRPr="008A1B8F">
        <w:rPr>
          <w:rFonts w:cstheme="minorHAnsi"/>
          <w:sz w:val="24"/>
          <w:szCs w:val="24"/>
        </w:rPr>
        <w:t>MDA – Malondialdehyde</w:t>
      </w:r>
    </w:p>
    <w:p w14:paraId="044D110D" w14:textId="77777777" w:rsidR="00B82A8D" w:rsidRPr="008A1B8F" w:rsidRDefault="00B82A8D" w:rsidP="00B82A8D">
      <w:pPr>
        <w:jc w:val="both"/>
        <w:rPr>
          <w:rFonts w:cstheme="minorHAnsi"/>
          <w:sz w:val="24"/>
          <w:szCs w:val="24"/>
        </w:rPr>
      </w:pPr>
      <w:r w:rsidRPr="008A1B8F">
        <w:rPr>
          <w:rFonts w:cstheme="minorHAnsi"/>
          <w:sz w:val="24"/>
          <w:szCs w:val="24"/>
        </w:rPr>
        <w:t>SOD – Superoxide Dismutase</w:t>
      </w:r>
    </w:p>
    <w:p w14:paraId="1B93D9A5" w14:textId="77777777" w:rsidR="00B82A8D" w:rsidRPr="008A1B8F" w:rsidRDefault="00B82A8D" w:rsidP="00B82A8D">
      <w:pPr>
        <w:jc w:val="both"/>
        <w:rPr>
          <w:rFonts w:cstheme="minorHAnsi"/>
          <w:sz w:val="24"/>
          <w:szCs w:val="24"/>
        </w:rPr>
      </w:pPr>
      <w:r w:rsidRPr="008A1B8F">
        <w:rPr>
          <w:rFonts w:cstheme="minorHAnsi"/>
          <w:sz w:val="24"/>
          <w:szCs w:val="24"/>
        </w:rPr>
        <w:t>CAT – Catalase</w:t>
      </w:r>
    </w:p>
    <w:p w14:paraId="12115215" w14:textId="77777777" w:rsidR="00B82A8D" w:rsidRPr="008A1B8F" w:rsidRDefault="00B82A8D" w:rsidP="00B82A8D">
      <w:pPr>
        <w:jc w:val="both"/>
        <w:rPr>
          <w:rFonts w:cstheme="minorHAnsi"/>
          <w:sz w:val="24"/>
          <w:szCs w:val="24"/>
        </w:rPr>
      </w:pPr>
      <w:r w:rsidRPr="008A1B8F">
        <w:rPr>
          <w:rFonts w:cstheme="minorHAnsi"/>
          <w:sz w:val="24"/>
          <w:szCs w:val="24"/>
        </w:rPr>
        <w:t>GSH – Reduced Glutathione</w:t>
      </w:r>
    </w:p>
    <w:p w14:paraId="3D869984" w14:textId="77777777" w:rsidR="00B82A8D" w:rsidRPr="008A1B8F" w:rsidRDefault="00B82A8D" w:rsidP="00B82A8D">
      <w:pPr>
        <w:jc w:val="both"/>
        <w:rPr>
          <w:rFonts w:cstheme="minorHAnsi"/>
          <w:sz w:val="24"/>
          <w:szCs w:val="24"/>
        </w:rPr>
      </w:pPr>
      <w:r w:rsidRPr="008A1B8F">
        <w:rPr>
          <w:rFonts w:cstheme="minorHAnsi"/>
          <w:sz w:val="24"/>
          <w:szCs w:val="24"/>
        </w:rPr>
        <w:t>Nrf2 – Nuclear factor erythroid 2–related factor 2</w:t>
      </w:r>
    </w:p>
    <w:p w14:paraId="6FBC2508" w14:textId="77777777" w:rsidR="00B82A8D" w:rsidRPr="008A1B8F" w:rsidRDefault="00B82A8D" w:rsidP="00B82A8D">
      <w:pPr>
        <w:jc w:val="both"/>
        <w:rPr>
          <w:rFonts w:cstheme="minorHAnsi"/>
          <w:sz w:val="24"/>
          <w:szCs w:val="24"/>
        </w:rPr>
      </w:pPr>
      <w:r w:rsidRPr="008A1B8F">
        <w:rPr>
          <w:rFonts w:cstheme="minorHAnsi"/>
          <w:sz w:val="24"/>
          <w:szCs w:val="24"/>
        </w:rPr>
        <w:lastRenderedPageBreak/>
        <w:t>NF-</w:t>
      </w:r>
      <w:proofErr w:type="spellStart"/>
      <w:r w:rsidRPr="008A1B8F">
        <w:rPr>
          <w:rFonts w:cstheme="minorHAnsi"/>
          <w:sz w:val="24"/>
          <w:szCs w:val="24"/>
        </w:rPr>
        <w:t>κB</w:t>
      </w:r>
      <w:proofErr w:type="spellEnd"/>
      <w:r w:rsidRPr="008A1B8F">
        <w:rPr>
          <w:rFonts w:cstheme="minorHAnsi"/>
          <w:sz w:val="24"/>
          <w:szCs w:val="24"/>
        </w:rPr>
        <w:t xml:space="preserve"> – Nuclear Factor Kappa-light-chain-enhancer of Activated B cells</w:t>
      </w:r>
    </w:p>
    <w:p w14:paraId="1FE59A12" w14:textId="77777777" w:rsidR="00B82A8D" w:rsidRPr="008A1B8F" w:rsidRDefault="00B82A8D" w:rsidP="00B82A8D">
      <w:pPr>
        <w:jc w:val="both"/>
        <w:rPr>
          <w:rFonts w:cstheme="minorHAnsi"/>
          <w:sz w:val="24"/>
          <w:szCs w:val="24"/>
        </w:rPr>
      </w:pPr>
      <w:r w:rsidRPr="008A1B8F">
        <w:rPr>
          <w:rFonts w:cstheme="minorHAnsi"/>
          <w:sz w:val="24"/>
          <w:szCs w:val="24"/>
        </w:rPr>
        <w:t>PPAR(s) – Peroxisome Proliferator-Activated Receptor(s)</w:t>
      </w:r>
    </w:p>
    <w:p w14:paraId="46546940" w14:textId="77777777" w:rsidR="00B82A8D" w:rsidRPr="008A1B8F" w:rsidRDefault="00B82A8D" w:rsidP="00B82A8D">
      <w:pPr>
        <w:jc w:val="both"/>
        <w:rPr>
          <w:rFonts w:cstheme="minorHAnsi"/>
          <w:sz w:val="24"/>
          <w:szCs w:val="24"/>
        </w:rPr>
      </w:pPr>
      <w:r w:rsidRPr="008A1B8F">
        <w:rPr>
          <w:rFonts w:cstheme="minorHAnsi"/>
          <w:sz w:val="24"/>
          <w:szCs w:val="24"/>
        </w:rPr>
        <w:t>CMC – Carboxymethylcellulose</w:t>
      </w:r>
    </w:p>
    <w:p w14:paraId="2F568562" w14:textId="77777777" w:rsidR="00B82A8D" w:rsidRPr="008A1B8F" w:rsidRDefault="00B82A8D" w:rsidP="00B82A8D">
      <w:pPr>
        <w:jc w:val="both"/>
        <w:rPr>
          <w:rFonts w:cstheme="minorHAnsi"/>
          <w:sz w:val="24"/>
          <w:szCs w:val="24"/>
        </w:rPr>
      </w:pPr>
      <w:r w:rsidRPr="008A1B8F">
        <w:rPr>
          <w:rFonts w:cstheme="minorHAnsi"/>
          <w:sz w:val="24"/>
          <w:szCs w:val="24"/>
        </w:rPr>
        <w:t>SEM – Standard Error of the Mean</w:t>
      </w:r>
    </w:p>
    <w:p w14:paraId="2547BEDE" w14:textId="77777777" w:rsidR="00B82A8D" w:rsidRPr="008A1B8F" w:rsidRDefault="00B82A8D" w:rsidP="00B82A8D">
      <w:pPr>
        <w:jc w:val="both"/>
        <w:rPr>
          <w:rFonts w:cstheme="minorHAnsi"/>
          <w:sz w:val="24"/>
          <w:szCs w:val="24"/>
        </w:rPr>
      </w:pPr>
      <w:r w:rsidRPr="008A1B8F">
        <w:rPr>
          <w:rFonts w:cstheme="minorHAnsi"/>
          <w:sz w:val="24"/>
          <w:szCs w:val="24"/>
        </w:rPr>
        <w:t>NIH – National Institute of Health</w:t>
      </w:r>
    </w:p>
    <w:p w14:paraId="4C722250" w14:textId="77777777" w:rsidR="00B82A8D" w:rsidRPr="008A1B8F" w:rsidRDefault="00B82A8D" w:rsidP="00B82A8D">
      <w:pPr>
        <w:jc w:val="both"/>
        <w:rPr>
          <w:rFonts w:cstheme="minorHAnsi"/>
          <w:sz w:val="24"/>
          <w:szCs w:val="24"/>
        </w:rPr>
      </w:pPr>
      <w:r w:rsidRPr="008A1B8F">
        <w:rPr>
          <w:rFonts w:cstheme="minorHAnsi"/>
          <w:sz w:val="24"/>
          <w:szCs w:val="24"/>
        </w:rPr>
        <w:t>CIOMS – Council for International Organizations of Medical Sciences</w:t>
      </w:r>
    </w:p>
    <w:p w14:paraId="519B44D5" w14:textId="77777777" w:rsidR="00B82A8D" w:rsidRPr="008A1B8F" w:rsidRDefault="00B82A8D" w:rsidP="00B82A8D">
      <w:pPr>
        <w:jc w:val="both"/>
        <w:rPr>
          <w:rFonts w:cstheme="minorHAnsi"/>
          <w:sz w:val="24"/>
          <w:szCs w:val="24"/>
        </w:rPr>
      </w:pPr>
      <w:r w:rsidRPr="008A1B8F">
        <w:rPr>
          <w:rFonts w:cstheme="minorHAnsi"/>
          <w:sz w:val="24"/>
          <w:szCs w:val="24"/>
        </w:rPr>
        <w:t>ELISA – Enzyme-Linked Immunosorbent Assay</w:t>
      </w:r>
    </w:p>
    <w:p w14:paraId="4CAC7D30" w14:textId="77777777" w:rsidR="00B82A8D" w:rsidRPr="008A1B8F" w:rsidRDefault="00B82A8D" w:rsidP="00B82A8D">
      <w:pPr>
        <w:jc w:val="both"/>
        <w:rPr>
          <w:rFonts w:cstheme="minorHAnsi"/>
          <w:sz w:val="24"/>
          <w:szCs w:val="24"/>
        </w:rPr>
      </w:pPr>
    </w:p>
    <w:p w14:paraId="03657DA1" w14:textId="77777777" w:rsidR="002717F2" w:rsidRPr="00740879" w:rsidRDefault="002717F2" w:rsidP="002717F2">
      <w:pPr>
        <w:rPr>
          <w:highlight w:val="yellow"/>
        </w:rPr>
      </w:pPr>
      <w:r w:rsidRPr="00740879">
        <w:rPr>
          <w:highlight w:val="yellow"/>
        </w:rPr>
        <w:t>Disclaimer (Artificial intelligence)</w:t>
      </w:r>
    </w:p>
    <w:p w14:paraId="4B5DD013" w14:textId="77777777" w:rsidR="002717F2" w:rsidRPr="00740879" w:rsidRDefault="002717F2" w:rsidP="002717F2">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46BDAC3A" w14:textId="77777777" w:rsidR="00D3056C" w:rsidRPr="008A1B8F" w:rsidRDefault="00D3056C" w:rsidP="0048516F">
      <w:pPr>
        <w:jc w:val="both"/>
        <w:rPr>
          <w:rFonts w:cstheme="minorHAnsi"/>
          <w:sz w:val="24"/>
          <w:szCs w:val="24"/>
        </w:rPr>
      </w:pPr>
    </w:p>
    <w:p w14:paraId="0E552891" w14:textId="345E0189" w:rsidR="00D3056C" w:rsidRPr="008A1B8F" w:rsidRDefault="004E0087" w:rsidP="0048516F">
      <w:pPr>
        <w:jc w:val="both"/>
        <w:rPr>
          <w:rFonts w:cstheme="minorHAnsi"/>
          <w:b/>
          <w:bCs/>
          <w:sz w:val="24"/>
          <w:szCs w:val="24"/>
        </w:rPr>
      </w:pPr>
      <w:r w:rsidRPr="008A1B8F">
        <w:rPr>
          <w:rFonts w:cstheme="minorHAnsi"/>
          <w:b/>
          <w:bCs/>
          <w:sz w:val="24"/>
          <w:szCs w:val="24"/>
        </w:rPr>
        <w:t>References</w:t>
      </w:r>
    </w:p>
    <w:p w14:paraId="2D746E82" w14:textId="77777777" w:rsidR="003C03E4" w:rsidRPr="0015480A" w:rsidRDefault="003C03E4" w:rsidP="003C03E4">
      <w:pPr>
        <w:pStyle w:val="ListParagraph"/>
        <w:numPr>
          <w:ilvl w:val="0"/>
          <w:numId w:val="6"/>
        </w:numPr>
        <w:jc w:val="both"/>
        <w:rPr>
          <w:rStyle w:val="Hyperlink"/>
          <w:rFonts w:cstheme="minorHAnsi"/>
          <w:color w:val="auto"/>
          <w:sz w:val="24"/>
          <w:szCs w:val="24"/>
          <w:u w:val="none"/>
        </w:rPr>
      </w:pPr>
      <w:r w:rsidRPr="003C03E4">
        <w:rPr>
          <w:rFonts w:cstheme="minorHAnsi"/>
          <w:sz w:val="24"/>
          <w:szCs w:val="24"/>
        </w:rPr>
        <w:t xml:space="preserve">Babatunde, A. O., Akin-Ajani, O. D., Abdullateef, R. O., </w:t>
      </w:r>
      <w:proofErr w:type="spellStart"/>
      <w:r w:rsidRPr="003C03E4">
        <w:rPr>
          <w:rFonts w:cstheme="minorHAnsi"/>
          <w:sz w:val="24"/>
          <w:szCs w:val="24"/>
        </w:rPr>
        <w:t>Togunwa</w:t>
      </w:r>
      <w:proofErr w:type="spellEnd"/>
      <w:r w:rsidRPr="003C03E4">
        <w:rPr>
          <w:rFonts w:cstheme="minorHAnsi"/>
          <w:sz w:val="24"/>
          <w:szCs w:val="24"/>
        </w:rPr>
        <w:t xml:space="preserve">, T. O., &amp; Isah, H. O. (2023). Review of antiretroviral therapy coverage in 10 highest burden HIV countries in Africa: 2015-2020. Journal of medical virology, 95(1), e28320. </w:t>
      </w:r>
      <w:hyperlink r:id="rId8" w:history="1">
        <w:r w:rsidRPr="003C03E4">
          <w:rPr>
            <w:rStyle w:val="Hyperlink"/>
            <w:rFonts w:cstheme="minorHAnsi"/>
            <w:sz w:val="24"/>
            <w:szCs w:val="24"/>
          </w:rPr>
          <w:t>https://doi.org/10.1002/jmv.28320</w:t>
        </w:r>
      </w:hyperlink>
    </w:p>
    <w:p w14:paraId="7DA83977" w14:textId="03513E63" w:rsidR="0015480A" w:rsidRDefault="0015480A" w:rsidP="0015480A">
      <w:pPr>
        <w:pStyle w:val="ListParagraph"/>
        <w:numPr>
          <w:ilvl w:val="0"/>
          <w:numId w:val="6"/>
        </w:numPr>
        <w:jc w:val="both"/>
        <w:rPr>
          <w:rFonts w:cstheme="minorHAnsi"/>
          <w:sz w:val="24"/>
          <w:szCs w:val="24"/>
        </w:rPr>
      </w:pPr>
      <w:proofErr w:type="spellStart"/>
      <w:r w:rsidRPr="0015480A">
        <w:rPr>
          <w:rFonts w:cstheme="minorHAnsi"/>
          <w:sz w:val="24"/>
          <w:szCs w:val="24"/>
        </w:rPr>
        <w:t>Bagenda</w:t>
      </w:r>
      <w:proofErr w:type="spellEnd"/>
      <w:r w:rsidRPr="0015480A">
        <w:rPr>
          <w:rFonts w:cstheme="minorHAnsi"/>
          <w:sz w:val="24"/>
          <w:szCs w:val="24"/>
        </w:rPr>
        <w:t xml:space="preserve">, C. N., Nantongo, C., Ssemwanga, E., Mugisa, M. J., Ojuko, S., </w:t>
      </w:r>
      <w:proofErr w:type="spellStart"/>
      <w:r w:rsidRPr="0015480A">
        <w:rPr>
          <w:rFonts w:cstheme="minorHAnsi"/>
          <w:sz w:val="24"/>
          <w:szCs w:val="24"/>
        </w:rPr>
        <w:t>Sempijja</w:t>
      </w:r>
      <w:proofErr w:type="spellEnd"/>
      <w:r w:rsidRPr="0015480A">
        <w:rPr>
          <w:rFonts w:cstheme="minorHAnsi"/>
          <w:sz w:val="24"/>
          <w:szCs w:val="24"/>
        </w:rPr>
        <w:t xml:space="preserve">, F., Nzaramba, D., Kiconco, R., </w:t>
      </w:r>
      <w:proofErr w:type="spellStart"/>
      <w:r w:rsidRPr="0015480A">
        <w:rPr>
          <w:rFonts w:cstheme="minorHAnsi"/>
          <w:sz w:val="24"/>
          <w:szCs w:val="24"/>
        </w:rPr>
        <w:t>Ssedyabane</w:t>
      </w:r>
      <w:proofErr w:type="spellEnd"/>
      <w:r w:rsidRPr="0015480A">
        <w:rPr>
          <w:rFonts w:cstheme="minorHAnsi"/>
          <w:sz w:val="24"/>
          <w:szCs w:val="24"/>
        </w:rPr>
        <w:t xml:space="preserve">, F., Musinguzi, B., Akiteng, W., </w:t>
      </w:r>
      <w:proofErr w:type="spellStart"/>
      <w:r w:rsidRPr="0015480A">
        <w:rPr>
          <w:rFonts w:cstheme="minorHAnsi"/>
          <w:sz w:val="24"/>
          <w:szCs w:val="24"/>
        </w:rPr>
        <w:t>Tusubira</w:t>
      </w:r>
      <w:proofErr w:type="spellEnd"/>
      <w:r w:rsidRPr="0015480A">
        <w:rPr>
          <w:rFonts w:cstheme="minorHAnsi"/>
          <w:sz w:val="24"/>
          <w:szCs w:val="24"/>
        </w:rPr>
        <w:t xml:space="preserve">, D., </w:t>
      </w:r>
      <w:proofErr w:type="spellStart"/>
      <w:r w:rsidRPr="0015480A">
        <w:rPr>
          <w:rFonts w:cstheme="minorHAnsi"/>
          <w:sz w:val="24"/>
          <w:szCs w:val="24"/>
        </w:rPr>
        <w:t>Osuwat</w:t>
      </w:r>
      <w:proofErr w:type="spellEnd"/>
      <w:r w:rsidRPr="0015480A">
        <w:rPr>
          <w:rFonts w:cstheme="minorHAnsi"/>
          <w:sz w:val="24"/>
          <w:szCs w:val="24"/>
        </w:rPr>
        <w:t xml:space="preserve">, L. O., &amp; </w:t>
      </w:r>
      <w:proofErr w:type="spellStart"/>
      <w:r w:rsidRPr="0015480A">
        <w:rPr>
          <w:rFonts w:cstheme="minorHAnsi"/>
          <w:sz w:val="24"/>
          <w:szCs w:val="24"/>
        </w:rPr>
        <w:t>Rugera</w:t>
      </w:r>
      <w:proofErr w:type="spellEnd"/>
      <w:r w:rsidRPr="0015480A">
        <w:rPr>
          <w:rFonts w:cstheme="minorHAnsi"/>
          <w:sz w:val="24"/>
          <w:szCs w:val="24"/>
        </w:rPr>
        <w:t xml:space="preserve">, S. P. (2025). Total cholesterol/high-density lipoprotein cholesterol ratio is a significant predictor of metabolic syndrome among people on dolutegravir-based antiretroviral therapy: A cross-sectional study in southwestern Uganda. The Journal of international medical research, 53(8), 3000605251370323. </w:t>
      </w:r>
      <w:hyperlink r:id="rId9" w:history="1">
        <w:r w:rsidRPr="007C3FF0">
          <w:rPr>
            <w:rStyle w:val="Hyperlink"/>
            <w:rFonts w:cstheme="minorHAnsi"/>
            <w:sz w:val="24"/>
            <w:szCs w:val="24"/>
          </w:rPr>
          <w:t>https://doi.org/10.1177/03000605251370323</w:t>
        </w:r>
      </w:hyperlink>
    </w:p>
    <w:p w14:paraId="66C03C3A" w14:textId="2518949C"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Bertoncini-Silva, C., et al. (2024). Enhancing the bioavailability and bioactivity of curcumin: formulation strategies and therapeutic perspectives. Antioxidants, 13(3), 331. </w:t>
      </w:r>
      <w:hyperlink r:id="rId10" w:history="1">
        <w:r w:rsidRPr="003C03E4">
          <w:rPr>
            <w:rStyle w:val="Hyperlink"/>
            <w:rFonts w:cstheme="minorHAnsi"/>
            <w:sz w:val="24"/>
            <w:szCs w:val="24"/>
          </w:rPr>
          <w:t>https://doi.org/10.3390/antiox13030331</w:t>
        </w:r>
      </w:hyperlink>
    </w:p>
    <w:p w14:paraId="77D37673"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Bertoncini-Silva, C., Vlad, A., Ricciarelli, R., Giacomo Fassini, P., Suen, V. M. M., &amp; Zingg, J. M. (2024). Enhancing the Bioavailability and Bioactivity of Curcumin for Disease Prevention and Treatment. Antioxidants (Basel, Switzerland), 13(3), 331. </w:t>
      </w:r>
      <w:hyperlink r:id="rId11" w:history="1">
        <w:r w:rsidRPr="003C03E4">
          <w:rPr>
            <w:rStyle w:val="Hyperlink"/>
            <w:rFonts w:cstheme="minorHAnsi"/>
            <w:sz w:val="24"/>
            <w:szCs w:val="24"/>
          </w:rPr>
          <w:t>https://doi.org/10.3390/antiox13030331</w:t>
        </w:r>
      </w:hyperlink>
    </w:p>
    <w:p w14:paraId="067423E0"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Boulmokh</w:t>
      </w:r>
      <w:proofErr w:type="spellEnd"/>
      <w:r w:rsidRPr="003C03E4">
        <w:rPr>
          <w:rFonts w:cstheme="minorHAnsi"/>
          <w:sz w:val="24"/>
          <w:szCs w:val="24"/>
        </w:rPr>
        <w:t xml:space="preserve">, Y., </w:t>
      </w:r>
      <w:proofErr w:type="spellStart"/>
      <w:r w:rsidRPr="003C03E4">
        <w:rPr>
          <w:rFonts w:cstheme="minorHAnsi"/>
          <w:sz w:val="24"/>
          <w:szCs w:val="24"/>
        </w:rPr>
        <w:t>Belguidoum</w:t>
      </w:r>
      <w:proofErr w:type="spellEnd"/>
      <w:r w:rsidRPr="003C03E4">
        <w:rPr>
          <w:rFonts w:cstheme="minorHAnsi"/>
          <w:sz w:val="24"/>
          <w:szCs w:val="24"/>
        </w:rPr>
        <w:t>, K., Meddour, F., &amp; Amira-</w:t>
      </w:r>
      <w:proofErr w:type="spellStart"/>
      <w:r w:rsidRPr="003C03E4">
        <w:rPr>
          <w:rFonts w:cstheme="minorHAnsi"/>
          <w:sz w:val="24"/>
          <w:szCs w:val="24"/>
        </w:rPr>
        <w:t>Guebailia</w:t>
      </w:r>
      <w:proofErr w:type="spellEnd"/>
      <w:r w:rsidRPr="003C03E4">
        <w:rPr>
          <w:rFonts w:cstheme="minorHAnsi"/>
          <w:sz w:val="24"/>
          <w:szCs w:val="24"/>
        </w:rPr>
        <w:t>, H. (2024). Enhanced antioxidant properties of novel curcumin derivatives: a comprehensive DFT computational study. Structural Chemistry, 35(3), 825-839.</w:t>
      </w:r>
    </w:p>
    <w:p w14:paraId="3090F2DC"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lastRenderedPageBreak/>
        <w:t>Chen, L. H., Chen, T., Zhao, R. N., Wu, D., Du, Y. N., &amp; Hu, J. N. (2024). Physical properties and antioxidant activity of curcumin</w:t>
      </w:r>
      <w:r w:rsidRPr="003C03E4">
        <w:rPr>
          <w:rFonts w:ascii="Cambria Math" w:hAnsi="Cambria Math" w:cs="Cambria Math"/>
          <w:sz w:val="24"/>
          <w:szCs w:val="24"/>
        </w:rPr>
        <w:t>‑</w:t>
      </w:r>
      <w:r w:rsidRPr="003C03E4">
        <w:rPr>
          <w:rFonts w:cstheme="minorHAnsi"/>
          <w:sz w:val="24"/>
          <w:szCs w:val="24"/>
        </w:rPr>
        <w:t xml:space="preserve">zinc metal-organic frameworks. Food chemistry, 460(Pt 1), 140449. </w:t>
      </w:r>
      <w:hyperlink r:id="rId12" w:history="1">
        <w:r w:rsidRPr="003C03E4">
          <w:rPr>
            <w:rStyle w:val="Hyperlink"/>
            <w:rFonts w:cstheme="minorHAnsi"/>
            <w:sz w:val="24"/>
            <w:szCs w:val="24"/>
          </w:rPr>
          <w:t>https://doi.org/10.1016/j.foodchem.2024.140449</w:t>
        </w:r>
      </w:hyperlink>
      <w:r w:rsidRPr="003C03E4">
        <w:rPr>
          <w:rFonts w:cstheme="minorHAnsi"/>
          <w:sz w:val="24"/>
          <w:szCs w:val="24"/>
        </w:rPr>
        <w:t>.</w:t>
      </w:r>
    </w:p>
    <w:p w14:paraId="43C1BB63"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Cowdell, I., Beck, K., Portwood, C., Sexton, H., Kumarendran, M., Brandon, Z., Kirtley, S., &amp; </w:t>
      </w:r>
      <w:proofErr w:type="spellStart"/>
      <w:r w:rsidRPr="003C03E4">
        <w:rPr>
          <w:rFonts w:cstheme="minorHAnsi"/>
          <w:sz w:val="24"/>
          <w:szCs w:val="24"/>
        </w:rPr>
        <w:t>Hemelaar</w:t>
      </w:r>
      <w:proofErr w:type="spellEnd"/>
      <w:r w:rsidRPr="003C03E4">
        <w:rPr>
          <w:rFonts w:cstheme="minorHAnsi"/>
          <w:sz w:val="24"/>
          <w:szCs w:val="24"/>
        </w:rPr>
        <w:t xml:space="preserve">, J. (2022). Adverse perinatal outcomes associated with protease inhibitor-based antiretroviral therapy in pregnant women living with HIV: A systematic review and meta-analysis. </w:t>
      </w:r>
      <w:proofErr w:type="spellStart"/>
      <w:r w:rsidRPr="003C03E4">
        <w:rPr>
          <w:rFonts w:cstheme="minorHAnsi"/>
          <w:sz w:val="24"/>
          <w:szCs w:val="24"/>
        </w:rPr>
        <w:t>EClinicalMedicine</w:t>
      </w:r>
      <w:proofErr w:type="spellEnd"/>
      <w:r w:rsidRPr="003C03E4">
        <w:rPr>
          <w:rFonts w:cstheme="minorHAnsi"/>
          <w:sz w:val="24"/>
          <w:szCs w:val="24"/>
        </w:rPr>
        <w:t xml:space="preserve">, 46, 101368. </w:t>
      </w:r>
      <w:hyperlink r:id="rId13" w:history="1">
        <w:r w:rsidRPr="003C03E4">
          <w:rPr>
            <w:rStyle w:val="Hyperlink"/>
            <w:rFonts w:cstheme="minorHAnsi"/>
            <w:sz w:val="24"/>
            <w:szCs w:val="24"/>
          </w:rPr>
          <w:t>https://doi.org/10.1016/j.eclinm.2022.101368</w:t>
        </w:r>
      </w:hyperlink>
    </w:p>
    <w:p w14:paraId="7A3E9A28"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Dehzad</w:t>
      </w:r>
      <w:proofErr w:type="spellEnd"/>
      <w:r w:rsidRPr="003C03E4">
        <w:rPr>
          <w:rFonts w:cstheme="minorHAnsi"/>
          <w:sz w:val="24"/>
          <w:szCs w:val="24"/>
        </w:rPr>
        <w:t xml:space="preserve">, M. J., </w:t>
      </w:r>
      <w:proofErr w:type="spellStart"/>
      <w:r w:rsidRPr="003C03E4">
        <w:rPr>
          <w:rFonts w:cstheme="minorHAnsi"/>
          <w:sz w:val="24"/>
          <w:szCs w:val="24"/>
        </w:rPr>
        <w:t>Ghalandari</w:t>
      </w:r>
      <w:proofErr w:type="spellEnd"/>
      <w:r w:rsidRPr="003C03E4">
        <w:rPr>
          <w:rFonts w:cstheme="minorHAnsi"/>
          <w:sz w:val="24"/>
          <w:szCs w:val="24"/>
        </w:rPr>
        <w:t xml:space="preserve">, H., Amini, M. R., &amp; </w:t>
      </w:r>
      <w:proofErr w:type="spellStart"/>
      <w:r w:rsidRPr="003C03E4">
        <w:rPr>
          <w:rFonts w:cstheme="minorHAnsi"/>
          <w:sz w:val="24"/>
          <w:szCs w:val="24"/>
        </w:rPr>
        <w:t>Askarpour</w:t>
      </w:r>
      <w:proofErr w:type="spellEnd"/>
      <w:r w:rsidRPr="003C03E4">
        <w:rPr>
          <w:rFonts w:cstheme="minorHAnsi"/>
          <w:sz w:val="24"/>
          <w:szCs w:val="24"/>
        </w:rPr>
        <w:t xml:space="preserve">, M. (2023). Effects of curcumin/turmeric supplementation on lipid profile: A GRADE-assessed systematic review and dose-response meta-analysis of randomized controlled trials. Complementary therapies in medicine, 75, 102955. </w:t>
      </w:r>
      <w:hyperlink r:id="rId14" w:history="1">
        <w:r w:rsidRPr="003C03E4">
          <w:rPr>
            <w:rStyle w:val="Hyperlink"/>
            <w:rFonts w:cstheme="minorHAnsi"/>
            <w:sz w:val="24"/>
            <w:szCs w:val="24"/>
          </w:rPr>
          <w:t>https://doi.org/10.1016/j.ctim.2023.102955</w:t>
        </w:r>
      </w:hyperlink>
    </w:p>
    <w:p w14:paraId="4EACDE87"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Deng, Z., Yang, K., Cai, X., Mei, H., Xiao, H., &amp; Gao, W. (2023). The beneficial effects of curcumin supplementation on blood lipid levels among patients with metabolic related diseases in Asia area: a systematic review and meta-analysis of randomized controlled trials. Frontiers in Sustainable Food Systems, 7, 1167913.</w:t>
      </w:r>
    </w:p>
    <w:p w14:paraId="58E1AD65"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Elendu</w:t>
      </w:r>
      <w:proofErr w:type="spellEnd"/>
      <w:r w:rsidRPr="003C03E4">
        <w:rPr>
          <w:rFonts w:cstheme="minorHAnsi"/>
          <w:sz w:val="24"/>
          <w:szCs w:val="24"/>
        </w:rPr>
        <w:t xml:space="preserve">, C., </w:t>
      </w:r>
      <w:proofErr w:type="spellStart"/>
      <w:r w:rsidRPr="003C03E4">
        <w:rPr>
          <w:rFonts w:cstheme="minorHAnsi"/>
          <w:sz w:val="24"/>
          <w:szCs w:val="24"/>
        </w:rPr>
        <w:t>Otobrise</w:t>
      </w:r>
      <w:proofErr w:type="spellEnd"/>
      <w:r w:rsidRPr="003C03E4">
        <w:rPr>
          <w:rFonts w:cstheme="minorHAnsi"/>
          <w:sz w:val="24"/>
          <w:szCs w:val="24"/>
        </w:rPr>
        <w:t xml:space="preserve">, D. E., </w:t>
      </w:r>
      <w:proofErr w:type="spellStart"/>
      <w:r w:rsidRPr="003C03E4">
        <w:rPr>
          <w:rFonts w:cstheme="minorHAnsi"/>
          <w:sz w:val="24"/>
          <w:szCs w:val="24"/>
        </w:rPr>
        <w:t>Blewusi</w:t>
      </w:r>
      <w:proofErr w:type="spellEnd"/>
      <w:r w:rsidRPr="003C03E4">
        <w:rPr>
          <w:rFonts w:cstheme="minorHAnsi"/>
          <w:sz w:val="24"/>
          <w:szCs w:val="24"/>
        </w:rPr>
        <w:t xml:space="preserve">, G. S., Iheanetu, N. A., </w:t>
      </w:r>
      <w:proofErr w:type="spellStart"/>
      <w:r w:rsidRPr="003C03E4">
        <w:rPr>
          <w:rFonts w:cstheme="minorHAnsi"/>
          <w:sz w:val="24"/>
          <w:szCs w:val="24"/>
        </w:rPr>
        <w:t>Olaofe</w:t>
      </w:r>
      <w:proofErr w:type="spellEnd"/>
      <w:r w:rsidRPr="003C03E4">
        <w:rPr>
          <w:rFonts w:cstheme="minorHAnsi"/>
          <w:sz w:val="24"/>
          <w:szCs w:val="24"/>
        </w:rPr>
        <w:t xml:space="preserve">, P. A., Bob-Ume, N. C., Suleiman, J. A., Hassan, J. I., Ibikunle, B. I., Mordi, P., Olabode, D. M., </w:t>
      </w:r>
      <w:proofErr w:type="spellStart"/>
      <w:r w:rsidRPr="003C03E4">
        <w:rPr>
          <w:rFonts w:cstheme="minorHAnsi"/>
          <w:sz w:val="24"/>
          <w:szCs w:val="24"/>
        </w:rPr>
        <w:t>Ogungbade</w:t>
      </w:r>
      <w:proofErr w:type="spellEnd"/>
      <w:r w:rsidRPr="003C03E4">
        <w:rPr>
          <w:rFonts w:cstheme="minorHAnsi"/>
          <w:sz w:val="24"/>
          <w:szCs w:val="24"/>
        </w:rPr>
        <w:t xml:space="preserve">, K. M., Adelakun, F. G., </w:t>
      </w:r>
      <w:proofErr w:type="spellStart"/>
      <w:r w:rsidRPr="003C03E4">
        <w:rPr>
          <w:rFonts w:cstheme="minorHAnsi"/>
          <w:sz w:val="24"/>
          <w:szCs w:val="24"/>
        </w:rPr>
        <w:t>Idion</w:t>
      </w:r>
      <w:proofErr w:type="spellEnd"/>
      <w:r w:rsidRPr="003C03E4">
        <w:rPr>
          <w:rFonts w:cstheme="minorHAnsi"/>
          <w:sz w:val="24"/>
          <w:szCs w:val="24"/>
        </w:rPr>
        <w:t xml:space="preserve">, K. N., Kure, S. I., </w:t>
      </w:r>
      <w:proofErr w:type="spellStart"/>
      <w:r w:rsidRPr="003C03E4">
        <w:rPr>
          <w:rFonts w:cstheme="minorHAnsi"/>
          <w:sz w:val="24"/>
          <w:szCs w:val="24"/>
        </w:rPr>
        <w:t>Ikedilo</w:t>
      </w:r>
      <w:proofErr w:type="spellEnd"/>
      <w:r w:rsidRPr="003C03E4">
        <w:rPr>
          <w:rFonts w:cstheme="minorHAnsi"/>
          <w:sz w:val="24"/>
          <w:szCs w:val="24"/>
        </w:rPr>
        <w:t xml:space="preserve">, A. S., </w:t>
      </w:r>
      <w:proofErr w:type="spellStart"/>
      <w:r w:rsidRPr="003C03E4">
        <w:rPr>
          <w:rFonts w:cstheme="minorHAnsi"/>
          <w:sz w:val="24"/>
          <w:szCs w:val="24"/>
        </w:rPr>
        <w:t>Ogunkoya</w:t>
      </w:r>
      <w:proofErr w:type="spellEnd"/>
      <w:r w:rsidRPr="003C03E4">
        <w:rPr>
          <w:rFonts w:cstheme="minorHAnsi"/>
          <w:sz w:val="24"/>
          <w:szCs w:val="24"/>
        </w:rPr>
        <w:t xml:space="preserve">, G. D., </w:t>
      </w:r>
      <w:proofErr w:type="spellStart"/>
      <w:r w:rsidRPr="003C03E4">
        <w:rPr>
          <w:rFonts w:cstheme="minorHAnsi"/>
          <w:sz w:val="24"/>
          <w:szCs w:val="24"/>
        </w:rPr>
        <w:t>Ajakaye</w:t>
      </w:r>
      <w:proofErr w:type="spellEnd"/>
      <w:r w:rsidRPr="003C03E4">
        <w:rPr>
          <w:rFonts w:cstheme="minorHAnsi"/>
          <w:sz w:val="24"/>
          <w:szCs w:val="24"/>
        </w:rPr>
        <w:t xml:space="preserve">, A. A., Eze, A. B., &amp; </w:t>
      </w:r>
      <w:proofErr w:type="spellStart"/>
      <w:r w:rsidRPr="003C03E4">
        <w:rPr>
          <w:rFonts w:cstheme="minorHAnsi"/>
          <w:sz w:val="24"/>
          <w:szCs w:val="24"/>
        </w:rPr>
        <w:t>Nwaizuzu</w:t>
      </w:r>
      <w:proofErr w:type="spellEnd"/>
      <w:r w:rsidRPr="003C03E4">
        <w:rPr>
          <w:rFonts w:cstheme="minorHAnsi"/>
          <w:sz w:val="24"/>
          <w:szCs w:val="24"/>
        </w:rPr>
        <w:t xml:space="preserve">, O. D. (2025). The heart and HIV therapy: exploring the dual cardiovascular impact of antiretroviral treatment - a narrative review. Annals of medicine and surgery (2012), 87(8), 5012–5028. </w:t>
      </w:r>
      <w:hyperlink r:id="rId15" w:history="1">
        <w:r w:rsidRPr="003C03E4">
          <w:rPr>
            <w:rStyle w:val="Hyperlink"/>
            <w:rFonts w:cstheme="minorHAnsi"/>
            <w:sz w:val="24"/>
            <w:szCs w:val="24"/>
          </w:rPr>
          <w:t>https://doi.org/10.1097/MS9.0000000000003465</w:t>
        </w:r>
      </w:hyperlink>
    </w:p>
    <w:p w14:paraId="64C5D90D"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Enayati, A., </w:t>
      </w:r>
      <w:proofErr w:type="spellStart"/>
      <w:r w:rsidRPr="003C03E4">
        <w:rPr>
          <w:rFonts w:cstheme="minorHAnsi"/>
          <w:sz w:val="24"/>
          <w:szCs w:val="24"/>
        </w:rPr>
        <w:t>Ghojoghnejad</w:t>
      </w:r>
      <w:proofErr w:type="spellEnd"/>
      <w:r w:rsidRPr="003C03E4">
        <w:rPr>
          <w:rFonts w:cstheme="minorHAnsi"/>
          <w:sz w:val="24"/>
          <w:szCs w:val="24"/>
        </w:rPr>
        <w:t xml:space="preserve">, M., </w:t>
      </w:r>
      <w:proofErr w:type="spellStart"/>
      <w:r w:rsidRPr="003C03E4">
        <w:rPr>
          <w:rFonts w:cstheme="minorHAnsi"/>
          <w:sz w:val="24"/>
          <w:szCs w:val="24"/>
        </w:rPr>
        <w:t>Roufogalis</w:t>
      </w:r>
      <w:proofErr w:type="spellEnd"/>
      <w:r w:rsidRPr="003C03E4">
        <w:rPr>
          <w:rFonts w:cstheme="minorHAnsi"/>
          <w:sz w:val="24"/>
          <w:szCs w:val="24"/>
        </w:rPr>
        <w:t xml:space="preserve">, B. D., </w:t>
      </w:r>
      <w:proofErr w:type="spellStart"/>
      <w:r w:rsidRPr="003C03E4">
        <w:rPr>
          <w:rFonts w:cstheme="minorHAnsi"/>
          <w:sz w:val="24"/>
          <w:szCs w:val="24"/>
        </w:rPr>
        <w:t>Maollem</w:t>
      </w:r>
      <w:proofErr w:type="spellEnd"/>
      <w:r w:rsidRPr="003C03E4">
        <w:rPr>
          <w:rFonts w:cstheme="minorHAnsi"/>
          <w:sz w:val="24"/>
          <w:szCs w:val="24"/>
        </w:rPr>
        <w:t xml:space="preserve">, S. A., &amp; </w:t>
      </w:r>
      <w:proofErr w:type="spellStart"/>
      <w:r w:rsidRPr="003C03E4">
        <w:rPr>
          <w:rFonts w:cstheme="minorHAnsi"/>
          <w:sz w:val="24"/>
          <w:szCs w:val="24"/>
        </w:rPr>
        <w:t>Sahebkar</w:t>
      </w:r>
      <w:proofErr w:type="spellEnd"/>
      <w:r w:rsidRPr="003C03E4">
        <w:rPr>
          <w:rFonts w:cstheme="minorHAnsi"/>
          <w:sz w:val="24"/>
          <w:szCs w:val="24"/>
        </w:rPr>
        <w:t xml:space="preserve">, A. (2022). Impact of Phytochemicals on PPAR Receptors: Implications for Disease Treatments. PPAR research, 2022, 4714914. </w:t>
      </w:r>
      <w:hyperlink r:id="rId16" w:history="1">
        <w:r w:rsidRPr="003C03E4">
          <w:rPr>
            <w:rStyle w:val="Hyperlink"/>
            <w:rFonts w:cstheme="minorHAnsi"/>
            <w:sz w:val="24"/>
            <w:szCs w:val="24"/>
          </w:rPr>
          <w:t>https://doi.org/10.1155/2022/4714914</w:t>
        </w:r>
      </w:hyperlink>
    </w:p>
    <w:p w14:paraId="1524AE01"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Fadillah, M. A., </w:t>
      </w:r>
      <w:proofErr w:type="spellStart"/>
      <w:r w:rsidRPr="003C03E4">
        <w:rPr>
          <w:rFonts w:cstheme="minorHAnsi"/>
          <w:sz w:val="24"/>
          <w:szCs w:val="24"/>
        </w:rPr>
        <w:t>Indarwati</w:t>
      </w:r>
      <w:proofErr w:type="spellEnd"/>
      <w:r w:rsidRPr="003C03E4">
        <w:rPr>
          <w:rFonts w:cstheme="minorHAnsi"/>
          <w:sz w:val="24"/>
          <w:szCs w:val="24"/>
        </w:rPr>
        <w:t xml:space="preserve">, R. P., &amp; Nur, M. J. (2024). Literature Review: Effects of Turmeric for Reducing Lipid Profiles. Journal La </w:t>
      </w:r>
      <w:proofErr w:type="spellStart"/>
      <w:r w:rsidRPr="003C03E4">
        <w:rPr>
          <w:rFonts w:cstheme="minorHAnsi"/>
          <w:sz w:val="24"/>
          <w:szCs w:val="24"/>
        </w:rPr>
        <w:t>Medihealtico</w:t>
      </w:r>
      <w:proofErr w:type="spellEnd"/>
      <w:r w:rsidRPr="003C03E4">
        <w:rPr>
          <w:rFonts w:cstheme="minorHAnsi"/>
          <w:sz w:val="24"/>
          <w:szCs w:val="24"/>
        </w:rPr>
        <w:t>, 5(2), 445-454.</w:t>
      </w:r>
    </w:p>
    <w:p w14:paraId="3B340D84"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Gazzaniga, G., Ridolfi, M., Lazzaro, A., </w:t>
      </w:r>
      <w:proofErr w:type="spellStart"/>
      <w:r w:rsidRPr="003C03E4">
        <w:rPr>
          <w:rFonts w:cstheme="minorHAnsi"/>
          <w:sz w:val="24"/>
          <w:szCs w:val="24"/>
        </w:rPr>
        <w:t>Brogi</w:t>
      </w:r>
      <w:proofErr w:type="spellEnd"/>
      <w:r w:rsidRPr="003C03E4">
        <w:rPr>
          <w:rFonts w:cstheme="minorHAnsi"/>
          <w:sz w:val="24"/>
          <w:szCs w:val="24"/>
        </w:rPr>
        <w:t xml:space="preserve">, T., Pignatelli, P., Pastori, D., &amp; </w:t>
      </w:r>
      <w:proofErr w:type="spellStart"/>
      <w:r w:rsidRPr="003C03E4">
        <w:rPr>
          <w:rFonts w:cstheme="minorHAnsi"/>
          <w:sz w:val="24"/>
          <w:szCs w:val="24"/>
        </w:rPr>
        <w:t>Mezzaroma</w:t>
      </w:r>
      <w:proofErr w:type="spellEnd"/>
      <w:r w:rsidRPr="003C03E4">
        <w:rPr>
          <w:rFonts w:cstheme="minorHAnsi"/>
          <w:sz w:val="24"/>
          <w:szCs w:val="24"/>
        </w:rPr>
        <w:t xml:space="preserve">, I. (2025). </w:t>
      </w:r>
      <w:proofErr w:type="spellStart"/>
      <w:r w:rsidRPr="003C03E4">
        <w:rPr>
          <w:rFonts w:cstheme="minorHAnsi"/>
          <w:sz w:val="24"/>
          <w:szCs w:val="24"/>
        </w:rPr>
        <w:t>Dyslipidemia</w:t>
      </w:r>
      <w:proofErr w:type="spellEnd"/>
      <w:r w:rsidRPr="003C03E4">
        <w:rPr>
          <w:rFonts w:cstheme="minorHAnsi"/>
          <w:sz w:val="24"/>
          <w:szCs w:val="24"/>
        </w:rPr>
        <w:t xml:space="preserve"> and statin use in people with HIV-1 infection: beyond the lipid-lowering effect. Nutrition, metabolism, and cardiovascular </w:t>
      </w:r>
      <w:proofErr w:type="gramStart"/>
      <w:r w:rsidRPr="003C03E4">
        <w:rPr>
          <w:rFonts w:cstheme="minorHAnsi"/>
          <w:sz w:val="24"/>
          <w:szCs w:val="24"/>
        </w:rPr>
        <w:t>diseases :</w:t>
      </w:r>
      <w:proofErr w:type="gramEnd"/>
      <w:r w:rsidRPr="003C03E4">
        <w:rPr>
          <w:rFonts w:cstheme="minorHAnsi"/>
          <w:sz w:val="24"/>
          <w:szCs w:val="24"/>
        </w:rPr>
        <w:t xml:space="preserve"> NMCD, 104110. Advance online publication. </w:t>
      </w:r>
      <w:hyperlink r:id="rId17" w:history="1">
        <w:r w:rsidRPr="003C03E4">
          <w:rPr>
            <w:rStyle w:val="Hyperlink"/>
            <w:rFonts w:cstheme="minorHAnsi"/>
            <w:sz w:val="24"/>
            <w:szCs w:val="24"/>
          </w:rPr>
          <w:t>https://doi.org/10.1016/j.numecd.2025.104110</w:t>
        </w:r>
      </w:hyperlink>
    </w:p>
    <w:p w14:paraId="56F760C9"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Godfrey-Faussett, P., Frescura, L., Abdool Karim, Q., Clayton, M., Ghys, P. D., &amp; (on behalf of the 2025 prevention targets working group) (2022). HIV prevention for the next decade: Appropriate, person-centred, prioritised, effective, combination prevention. </w:t>
      </w:r>
      <w:proofErr w:type="spellStart"/>
      <w:r w:rsidRPr="003C03E4">
        <w:rPr>
          <w:rFonts w:cstheme="minorHAnsi"/>
          <w:sz w:val="24"/>
          <w:szCs w:val="24"/>
        </w:rPr>
        <w:t>PLoS</w:t>
      </w:r>
      <w:proofErr w:type="spellEnd"/>
      <w:r w:rsidRPr="003C03E4">
        <w:rPr>
          <w:rFonts w:cstheme="minorHAnsi"/>
          <w:sz w:val="24"/>
          <w:szCs w:val="24"/>
        </w:rPr>
        <w:t xml:space="preserve"> medicine, 19(9), e1004102. </w:t>
      </w:r>
      <w:hyperlink r:id="rId18" w:history="1">
        <w:r w:rsidRPr="003C03E4">
          <w:rPr>
            <w:rStyle w:val="Hyperlink"/>
            <w:rFonts w:cstheme="minorHAnsi"/>
            <w:sz w:val="24"/>
            <w:szCs w:val="24"/>
          </w:rPr>
          <w:t>https://doi.org/10.1371/journal.pmed.1004102</w:t>
        </w:r>
      </w:hyperlink>
    </w:p>
    <w:p w14:paraId="6B48E512"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Godse, S., Kale, P., Mahadik, K., Deshmukh, P., Patil, M., &amp; Thakare, V. (2023). Curcumin enhances elvitegravir concentration and alleviates oxidative stress and inflammatory response. Scientific Reports, 13, 20012. https://doi.org/10.1038/s41598-023-47226-1</w:t>
      </w:r>
    </w:p>
    <w:p w14:paraId="6688CC83"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Han, Y., &amp; Chen, Z. (2025). Effect of dietary polyphenols along with exercise on hepatic transcriptional regulators of lipid metabolism. Frontiers in nutrition, 12, 1531327. </w:t>
      </w:r>
      <w:hyperlink r:id="rId19" w:history="1">
        <w:r w:rsidRPr="003C03E4">
          <w:rPr>
            <w:rStyle w:val="Hyperlink"/>
            <w:rFonts w:cstheme="minorHAnsi"/>
            <w:sz w:val="24"/>
            <w:szCs w:val="24"/>
          </w:rPr>
          <w:t>https://doi.org/10.3389/fnut.2025.1531327</w:t>
        </w:r>
      </w:hyperlink>
    </w:p>
    <w:p w14:paraId="291AA9DD"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lastRenderedPageBreak/>
        <w:t xml:space="preserve">Hanhoff, N., Vu, Q., Lang, R., &amp; Gill, M. J. (2019). Impact of three decades of antiretroviral therapy in a longitudinal population cohort study. Antiviral therapy, 24(3), 153–165. </w:t>
      </w:r>
      <w:hyperlink r:id="rId20" w:history="1">
        <w:r w:rsidRPr="003C03E4">
          <w:rPr>
            <w:rStyle w:val="Hyperlink"/>
            <w:rFonts w:cstheme="minorHAnsi"/>
            <w:sz w:val="24"/>
            <w:szCs w:val="24"/>
          </w:rPr>
          <w:t>https://doi.org/10.3851/IMP3287</w:t>
        </w:r>
      </w:hyperlink>
    </w:p>
    <w:p w14:paraId="7EF348D1"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Henning, R. J., &amp; Greene, J. N. (2023). The epidemiology, mechanisms, diagnosis and treatment of cardiovascular disease in adult patients with HIV. American journal of cardiovascular disease, 13(2), 101–121. PMCID: PMC10193251</w:t>
      </w:r>
    </w:p>
    <w:p w14:paraId="563D6958"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Hidalgo-Tenorio, C., &amp; Martínez-Sanz, J. (2025). Simplification of antiretroviral therapy: comparative review of two-drug and three-drug regimens in HIV treatment. AIDS reviews, 27(1), 16–24. </w:t>
      </w:r>
      <w:hyperlink r:id="rId21" w:history="1">
        <w:r w:rsidRPr="003C03E4">
          <w:rPr>
            <w:rStyle w:val="Hyperlink"/>
            <w:rFonts w:cstheme="minorHAnsi"/>
            <w:sz w:val="24"/>
            <w:szCs w:val="24"/>
          </w:rPr>
          <w:t>https://doi.org/10.24875/AIDSRev.M25000081</w:t>
        </w:r>
      </w:hyperlink>
    </w:p>
    <w:p w14:paraId="0CFF32B5"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Ji, C. (2023). Molecular factors and pathways of hepatotoxicity associated with HIV/SARS-CoV-2 protease inhibitors. International Journal of Molecular Sciences, 24(9), 7938.</w:t>
      </w:r>
    </w:p>
    <w:p w14:paraId="35490626"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Jin, W., Botchway, B. O. A., &amp; Liu, X. (2021). Curcumin Can Activate the Nrf2/HO-1 </w:t>
      </w:r>
      <w:proofErr w:type="spellStart"/>
      <w:r w:rsidRPr="003C03E4">
        <w:rPr>
          <w:rFonts w:cstheme="minorHAnsi"/>
          <w:sz w:val="24"/>
          <w:szCs w:val="24"/>
        </w:rPr>
        <w:t>Signaling</w:t>
      </w:r>
      <w:proofErr w:type="spellEnd"/>
      <w:r w:rsidRPr="003C03E4">
        <w:rPr>
          <w:rFonts w:cstheme="minorHAnsi"/>
          <w:sz w:val="24"/>
          <w:szCs w:val="24"/>
        </w:rPr>
        <w:t xml:space="preserve"> Pathway and Scavenge Free Radicals in Spinal Cord Injury Treatment. Neurorehabilitation and neural repair, 35(7), 576–584. https://doi.org/10.1177/15459683211011232</w:t>
      </w:r>
    </w:p>
    <w:p w14:paraId="4D7DA2B7"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Khadka, S., Vaal, T., Gurung, S., Dhakal, K., </w:t>
      </w:r>
      <w:proofErr w:type="spellStart"/>
      <w:r w:rsidRPr="003C03E4">
        <w:rPr>
          <w:rFonts w:cstheme="minorHAnsi"/>
          <w:sz w:val="24"/>
          <w:szCs w:val="24"/>
        </w:rPr>
        <w:t>Padhaya</w:t>
      </w:r>
      <w:proofErr w:type="spellEnd"/>
      <w:r w:rsidRPr="003C03E4">
        <w:rPr>
          <w:rFonts w:cstheme="minorHAnsi"/>
          <w:sz w:val="24"/>
          <w:szCs w:val="24"/>
        </w:rPr>
        <w:t xml:space="preserve">, R. R., Chaudhary, S., &amp; Pandey, B. (2025). Exploring the Antidiabetic and Lipid‐Lowering Properties of Nepali Wild Turmeric (Curcuma </w:t>
      </w:r>
      <w:proofErr w:type="spellStart"/>
      <w:r w:rsidRPr="003C03E4">
        <w:rPr>
          <w:rFonts w:cstheme="minorHAnsi"/>
          <w:sz w:val="24"/>
          <w:szCs w:val="24"/>
        </w:rPr>
        <w:t>aromatica</w:t>
      </w:r>
      <w:proofErr w:type="spellEnd"/>
      <w:r w:rsidRPr="003C03E4">
        <w:rPr>
          <w:rFonts w:cstheme="minorHAnsi"/>
          <w:sz w:val="24"/>
          <w:szCs w:val="24"/>
        </w:rPr>
        <w:t>): A Potential Natural Remedy. Food Safety and Health.</w:t>
      </w:r>
    </w:p>
    <w:p w14:paraId="67D8282F"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Krishnaraju, V., Alghazwani, Y., </w:t>
      </w:r>
      <w:proofErr w:type="spellStart"/>
      <w:r w:rsidRPr="003C03E4">
        <w:rPr>
          <w:rFonts w:cstheme="minorHAnsi"/>
          <w:sz w:val="24"/>
          <w:szCs w:val="24"/>
        </w:rPr>
        <w:t>Durgaramani</w:t>
      </w:r>
      <w:proofErr w:type="spellEnd"/>
      <w:r w:rsidRPr="003C03E4">
        <w:rPr>
          <w:rFonts w:cstheme="minorHAnsi"/>
          <w:sz w:val="24"/>
          <w:szCs w:val="24"/>
        </w:rPr>
        <w:t xml:space="preserve">, S., Asiri, Y. I., </w:t>
      </w:r>
      <w:proofErr w:type="spellStart"/>
      <w:r w:rsidRPr="003C03E4">
        <w:rPr>
          <w:rFonts w:cstheme="minorHAnsi"/>
          <w:sz w:val="24"/>
          <w:szCs w:val="24"/>
        </w:rPr>
        <w:t>Prabahar</w:t>
      </w:r>
      <w:proofErr w:type="spellEnd"/>
      <w:r w:rsidRPr="003C03E4">
        <w:rPr>
          <w:rFonts w:cstheme="minorHAnsi"/>
          <w:sz w:val="24"/>
          <w:szCs w:val="24"/>
        </w:rPr>
        <w:t xml:space="preserve">, K., Kalpana, K., </w:t>
      </w:r>
      <w:proofErr w:type="spellStart"/>
      <w:r w:rsidRPr="003C03E4">
        <w:rPr>
          <w:rFonts w:cstheme="minorHAnsi"/>
          <w:sz w:val="24"/>
          <w:szCs w:val="24"/>
        </w:rPr>
        <w:t>Rajalakshimi</w:t>
      </w:r>
      <w:proofErr w:type="spellEnd"/>
      <w:r w:rsidRPr="003C03E4">
        <w:rPr>
          <w:rFonts w:cstheme="minorHAnsi"/>
          <w:sz w:val="24"/>
          <w:szCs w:val="24"/>
        </w:rPr>
        <w:t xml:space="preserve">, V., Noohu, A. K., Premalatha, P., </w:t>
      </w:r>
      <w:proofErr w:type="spellStart"/>
      <w:r w:rsidRPr="003C03E4">
        <w:rPr>
          <w:rFonts w:cstheme="minorHAnsi"/>
          <w:sz w:val="24"/>
          <w:szCs w:val="24"/>
        </w:rPr>
        <w:t>Sirajudeen</w:t>
      </w:r>
      <w:proofErr w:type="spellEnd"/>
      <w:r w:rsidRPr="003C03E4">
        <w:rPr>
          <w:rFonts w:cstheme="minorHAnsi"/>
          <w:sz w:val="24"/>
          <w:szCs w:val="24"/>
        </w:rPr>
        <w:t xml:space="preserve">, S. A., Kumar, V., &amp; Vinoth Prabhu, V. (2023). Beneficial effects of Naringin against lopinavir/ ritonavir-induced </w:t>
      </w:r>
      <w:proofErr w:type="spellStart"/>
      <w:r w:rsidRPr="003C03E4">
        <w:rPr>
          <w:rFonts w:cstheme="minorHAnsi"/>
          <w:sz w:val="24"/>
          <w:szCs w:val="24"/>
        </w:rPr>
        <w:t>hyperlipidemia</w:t>
      </w:r>
      <w:proofErr w:type="spellEnd"/>
      <w:r w:rsidRPr="003C03E4">
        <w:rPr>
          <w:rFonts w:cstheme="minorHAnsi"/>
          <w:sz w:val="24"/>
          <w:szCs w:val="24"/>
        </w:rPr>
        <w:t xml:space="preserve"> and reproductive toxicity in male albino rats. European review for medical and pharmacological sciences, 27(9), 4221–4231. </w:t>
      </w:r>
      <w:hyperlink r:id="rId22" w:history="1">
        <w:r w:rsidRPr="003C03E4">
          <w:rPr>
            <w:rStyle w:val="Hyperlink"/>
            <w:rFonts w:cstheme="minorHAnsi"/>
            <w:sz w:val="24"/>
            <w:szCs w:val="24"/>
          </w:rPr>
          <w:t>https://doi.org/10.26355/eurrev_202305_32332</w:t>
        </w:r>
      </w:hyperlink>
    </w:p>
    <w:p w14:paraId="6A8A8DE1"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Lombardi, F., </w:t>
      </w:r>
      <w:proofErr w:type="spellStart"/>
      <w:r w:rsidRPr="003C03E4">
        <w:rPr>
          <w:rFonts w:cstheme="minorHAnsi"/>
          <w:sz w:val="24"/>
          <w:szCs w:val="24"/>
        </w:rPr>
        <w:t>Belmonti</w:t>
      </w:r>
      <w:proofErr w:type="spellEnd"/>
      <w:r w:rsidRPr="003C03E4">
        <w:rPr>
          <w:rFonts w:cstheme="minorHAnsi"/>
          <w:sz w:val="24"/>
          <w:szCs w:val="24"/>
        </w:rPr>
        <w:t xml:space="preserve">, S., Sanfilippo, A., </w:t>
      </w:r>
      <w:proofErr w:type="spellStart"/>
      <w:r w:rsidRPr="003C03E4">
        <w:rPr>
          <w:rFonts w:cstheme="minorHAnsi"/>
          <w:sz w:val="24"/>
          <w:szCs w:val="24"/>
        </w:rPr>
        <w:t>Borghetti</w:t>
      </w:r>
      <w:proofErr w:type="spellEnd"/>
      <w:r w:rsidRPr="003C03E4">
        <w:rPr>
          <w:rFonts w:cstheme="minorHAnsi"/>
          <w:sz w:val="24"/>
          <w:szCs w:val="24"/>
        </w:rPr>
        <w:t xml:space="preserve">, A., Iannone, V., Salvo, P. F., Fabbiani, M., Visconti, E., &amp; </w:t>
      </w:r>
      <w:proofErr w:type="spellStart"/>
      <w:r w:rsidRPr="003C03E4">
        <w:rPr>
          <w:rFonts w:cstheme="minorHAnsi"/>
          <w:sz w:val="24"/>
          <w:szCs w:val="24"/>
        </w:rPr>
        <w:t>Giambenedetto</w:t>
      </w:r>
      <w:proofErr w:type="spellEnd"/>
      <w:r w:rsidRPr="003C03E4">
        <w:rPr>
          <w:rFonts w:cstheme="minorHAnsi"/>
          <w:sz w:val="24"/>
          <w:szCs w:val="24"/>
        </w:rPr>
        <w:t xml:space="preserve">, S. D. (2024). Factors associated with oxidative stress in virologically suppressed people living with HIV on long-term antiretroviral therapy. AIDS research and therapy, 21(1), 100. </w:t>
      </w:r>
      <w:hyperlink r:id="rId23" w:history="1">
        <w:r w:rsidRPr="003C03E4">
          <w:rPr>
            <w:rStyle w:val="Hyperlink"/>
            <w:rFonts w:cstheme="minorHAnsi"/>
            <w:sz w:val="24"/>
            <w:szCs w:val="24"/>
          </w:rPr>
          <w:t>https://doi.org/10.1186/s12981-024-00694-5</w:t>
        </w:r>
      </w:hyperlink>
    </w:p>
    <w:p w14:paraId="6071E5C6"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Manoj, A. (2023). International Framework on the Ethical and Legal Issues of Biomedical Research. Part 2 Indian J. Integrated </w:t>
      </w:r>
      <w:proofErr w:type="spellStart"/>
      <w:r w:rsidRPr="003C03E4">
        <w:rPr>
          <w:rFonts w:cstheme="minorHAnsi"/>
          <w:sz w:val="24"/>
          <w:szCs w:val="24"/>
        </w:rPr>
        <w:t>Rsch</w:t>
      </w:r>
      <w:proofErr w:type="spellEnd"/>
      <w:r w:rsidRPr="003C03E4">
        <w:rPr>
          <w:rFonts w:cstheme="minorHAnsi"/>
          <w:sz w:val="24"/>
          <w:szCs w:val="24"/>
        </w:rPr>
        <w:t>. L., 3, 1.</w:t>
      </w:r>
    </w:p>
    <w:p w14:paraId="0C88D27F"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Moetlediwa</w:t>
      </w:r>
      <w:proofErr w:type="spellEnd"/>
      <w:r w:rsidRPr="003C03E4">
        <w:rPr>
          <w:rFonts w:cstheme="minorHAnsi"/>
          <w:sz w:val="24"/>
          <w:szCs w:val="24"/>
        </w:rPr>
        <w:t xml:space="preserve">, M. T., </w:t>
      </w:r>
      <w:proofErr w:type="spellStart"/>
      <w:r w:rsidRPr="003C03E4">
        <w:rPr>
          <w:rFonts w:cstheme="minorHAnsi"/>
          <w:sz w:val="24"/>
          <w:szCs w:val="24"/>
        </w:rPr>
        <w:t>Ramashia</w:t>
      </w:r>
      <w:proofErr w:type="spellEnd"/>
      <w:r w:rsidRPr="003C03E4">
        <w:rPr>
          <w:rFonts w:cstheme="minorHAnsi"/>
          <w:sz w:val="24"/>
          <w:szCs w:val="24"/>
        </w:rPr>
        <w:t xml:space="preserve">, R., Pheiffer, C., </w:t>
      </w:r>
      <w:proofErr w:type="spellStart"/>
      <w:r w:rsidRPr="003C03E4">
        <w:rPr>
          <w:rFonts w:cstheme="minorHAnsi"/>
          <w:sz w:val="24"/>
          <w:szCs w:val="24"/>
        </w:rPr>
        <w:t>Titinchi</w:t>
      </w:r>
      <w:proofErr w:type="spellEnd"/>
      <w:r w:rsidRPr="003C03E4">
        <w:rPr>
          <w:rFonts w:cstheme="minorHAnsi"/>
          <w:sz w:val="24"/>
          <w:szCs w:val="24"/>
        </w:rPr>
        <w:t xml:space="preserve">, S. J. J., Mazibuko-Mbeje, S. E., &amp; Jack, B. U. (2023). Therapeutic Effects of Curcumin Derivatives against Obesity and Associated Metabolic Complications: A Review of In Vitro and In Vivo Studies. International journal of molecular sciences, 24(18), 14366. </w:t>
      </w:r>
      <w:hyperlink r:id="rId24" w:history="1">
        <w:r w:rsidRPr="003C03E4">
          <w:rPr>
            <w:rStyle w:val="Hyperlink"/>
            <w:rFonts w:cstheme="minorHAnsi"/>
            <w:sz w:val="24"/>
            <w:szCs w:val="24"/>
          </w:rPr>
          <w:t>https://doi.org/10.3390/ijms241814366</w:t>
        </w:r>
      </w:hyperlink>
    </w:p>
    <w:p w14:paraId="78000562"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Mótyán</w:t>
      </w:r>
      <w:proofErr w:type="spellEnd"/>
      <w:r w:rsidRPr="003C03E4">
        <w:rPr>
          <w:rFonts w:cstheme="minorHAnsi"/>
          <w:sz w:val="24"/>
          <w:szCs w:val="24"/>
        </w:rPr>
        <w:t>, J. A., Mahdi, M., Hoffka, G., &amp; Tőzsér, J. (2022). Potential Resistance of SARS-CoV-2 Main Protease (</w:t>
      </w:r>
      <w:proofErr w:type="spellStart"/>
      <w:r w:rsidRPr="003C03E4">
        <w:rPr>
          <w:rFonts w:cstheme="minorHAnsi"/>
          <w:sz w:val="24"/>
          <w:szCs w:val="24"/>
        </w:rPr>
        <w:t>Mpro</w:t>
      </w:r>
      <w:proofErr w:type="spellEnd"/>
      <w:r w:rsidRPr="003C03E4">
        <w:rPr>
          <w:rFonts w:cstheme="minorHAnsi"/>
          <w:sz w:val="24"/>
          <w:szCs w:val="24"/>
        </w:rPr>
        <w:t xml:space="preserve">) against Protease Inhibitors: Lessons Learned from HIV-1 Protease. International journal of molecular sciences, 23(7), 3507. </w:t>
      </w:r>
      <w:hyperlink r:id="rId25" w:history="1">
        <w:r w:rsidRPr="003C03E4">
          <w:rPr>
            <w:rStyle w:val="Hyperlink"/>
            <w:rFonts w:cstheme="minorHAnsi"/>
            <w:sz w:val="24"/>
            <w:szCs w:val="24"/>
          </w:rPr>
          <w:t>https://doi.org/10.3390/ijms23073507</w:t>
        </w:r>
      </w:hyperlink>
    </w:p>
    <w:p w14:paraId="33DB8A19"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Musazadeh, V., Roshanravan, N., </w:t>
      </w:r>
      <w:proofErr w:type="spellStart"/>
      <w:r w:rsidRPr="003C03E4">
        <w:rPr>
          <w:rFonts w:cstheme="minorHAnsi"/>
          <w:sz w:val="24"/>
          <w:szCs w:val="24"/>
        </w:rPr>
        <w:t>Mohammadizadeh</w:t>
      </w:r>
      <w:proofErr w:type="spellEnd"/>
      <w:r w:rsidRPr="003C03E4">
        <w:rPr>
          <w:rFonts w:cstheme="minorHAnsi"/>
          <w:sz w:val="24"/>
          <w:szCs w:val="24"/>
        </w:rPr>
        <w:t xml:space="preserve">, M., Kavyani, Z., Dehghan, P., &amp; </w:t>
      </w:r>
      <w:proofErr w:type="spellStart"/>
      <w:r w:rsidRPr="003C03E4">
        <w:rPr>
          <w:rFonts w:cstheme="minorHAnsi"/>
          <w:sz w:val="24"/>
          <w:szCs w:val="24"/>
        </w:rPr>
        <w:t>Mosharkesh</w:t>
      </w:r>
      <w:proofErr w:type="spellEnd"/>
      <w:r w:rsidRPr="003C03E4">
        <w:rPr>
          <w:rFonts w:cstheme="minorHAnsi"/>
          <w:sz w:val="24"/>
          <w:szCs w:val="24"/>
        </w:rPr>
        <w:t xml:space="preserve">, E. (2022). Curcumin as a novel approach in improving lipid profile: An </w:t>
      </w:r>
      <w:r w:rsidRPr="003C03E4">
        <w:rPr>
          <w:rFonts w:cstheme="minorHAnsi"/>
          <w:sz w:val="24"/>
          <w:szCs w:val="24"/>
        </w:rPr>
        <w:lastRenderedPageBreak/>
        <w:t xml:space="preserve">umbrella meta-analysis. Nutrition, metabolism, and cardiovascular </w:t>
      </w:r>
      <w:proofErr w:type="gramStart"/>
      <w:r w:rsidRPr="003C03E4">
        <w:rPr>
          <w:rFonts w:cstheme="minorHAnsi"/>
          <w:sz w:val="24"/>
          <w:szCs w:val="24"/>
        </w:rPr>
        <w:t>diseases :</w:t>
      </w:r>
      <w:proofErr w:type="gramEnd"/>
      <w:r w:rsidRPr="003C03E4">
        <w:rPr>
          <w:rFonts w:cstheme="minorHAnsi"/>
          <w:sz w:val="24"/>
          <w:szCs w:val="24"/>
        </w:rPr>
        <w:t xml:space="preserve"> NMCD, 32(11), 2493–2504. </w:t>
      </w:r>
      <w:hyperlink r:id="rId26" w:history="1">
        <w:r w:rsidRPr="003C03E4">
          <w:rPr>
            <w:rStyle w:val="Hyperlink"/>
            <w:rFonts w:cstheme="minorHAnsi"/>
            <w:sz w:val="24"/>
            <w:szCs w:val="24"/>
          </w:rPr>
          <w:t>https://doi.org/10.1016/j.numecd.2022.07.021</w:t>
        </w:r>
      </w:hyperlink>
    </w:p>
    <w:p w14:paraId="084DA08D"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Nicoliche</w:t>
      </w:r>
      <w:proofErr w:type="spellEnd"/>
      <w:r w:rsidRPr="003C03E4">
        <w:rPr>
          <w:rFonts w:cstheme="minorHAnsi"/>
          <w:sz w:val="24"/>
          <w:szCs w:val="24"/>
        </w:rPr>
        <w:t>, T., et al. (2024). Antiviral, anti-inflammatory and antioxidant effects of curcuminoids: recent experimental evidence. Scientific Reports, 14, Article 61662-7. https://doi.org/10.1038/s41598-024-61662-7</w:t>
      </w:r>
    </w:p>
    <w:p w14:paraId="2514EEEE"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Pan, S., Yan, J., Xu, X., Chen, Y., Chen, X., Li, F., &amp; Xing, H. (2022). Current Development and Future Application Prospects of Plants-Derived Polyphenol Bioactive Substance Curcumin as a Novel Feed Additive in Livestock and Poultry. International journal of molecular sciences, 23(19), 11905. </w:t>
      </w:r>
      <w:hyperlink r:id="rId27" w:history="1">
        <w:r w:rsidRPr="003C03E4">
          <w:rPr>
            <w:rStyle w:val="Hyperlink"/>
            <w:rFonts w:cstheme="minorHAnsi"/>
            <w:sz w:val="24"/>
            <w:szCs w:val="24"/>
          </w:rPr>
          <w:t>https://doi.org/10.3390/ijms231911905</w:t>
        </w:r>
      </w:hyperlink>
    </w:p>
    <w:p w14:paraId="2F1EF2A9"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Papantoniou, E., Arvanitakis, K., Markakis, K., Papadakos, S. P., </w:t>
      </w:r>
      <w:proofErr w:type="spellStart"/>
      <w:r w:rsidRPr="003C03E4">
        <w:rPr>
          <w:rFonts w:cstheme="minorHAnsi"/>
          <w:sz w:val="24"/>
          <w:szCs w:val="24"/>
        </w:rPr>
        <w:t>Tsachouridou</w:t>
      </w:r>
      <w:proofErr w:type="spellEnd"/>
      <w:r w:rsidRPr="003C03E4">
        <w:rPr>
          <w:rFonts w:cstheme="minorHAnsi"/>
          <w:sz w:val="24"/>
          <w:szCs w:val="24"/>
        </w:rPr>
        <w:t xml:space="preserve">, O., Popovic, D. S., </w:t>
      </w:r>
      <w:proofErr w:type="spellStart"/>
      <w:r w:rsidRPr="003C03E4">
        <w:rPr>
          <w:rFonts w:cstheme="minorHAnsi"/>
          <w:sz w:val="24"/>
          <w:szCs w:val="24"/>
        </w:rPr>
        <w:t>Germanidis</w:t>
      </w:r>
      <w:proofErr w:type="spellEnd"/>
      <w:r w:rsidRPr="003C03E4">
        <w:rPr>
          <w:rFonts w:cstheme="minorHAnsi"/>
          <w:sz w:val="24"/>
          <w:szCs w:val="24"/>
        </w:rPr>
        <w:t xml:space="preserve">, G., Koufakis, T., &amp; </w:t>
      </w:r>
      <w:proofErr w:type="spellStart"/>
      <w:r w:rsidRPr="003C03E4">
        <w:rPr>
          <w:rFonts w:cstheme="minorHAnsi"/>
          <w:sz w:val="24"/>
          <w:szCs w:val="24"/>
        </w:rPr>
        <w:t>Kotsa</w:t>
      </w:r>
      <w:proofErr w:type="spellEnd"/>
      <w:r w:rsidRPr="003C03E4">
        <w:rPr>
          <w:rFonts w:cstheme="minorHAnsi"/>
          <w:sz w:val="24"/>
          <w:szCs w:val="24"/>
        </w:rPr>
        <w:t xml:space="preserve">, K. (2024). Pathophysiology and Clinical Management of </w:t>
      </w:r>
      <w:proofErr w:type="spellStart"/>
      <w:r w:rsidRPr="003C03E4">
        <w:rPr>
          <w:rFonts w:cstheme="minorHAnsi"/>
          <w:sz w:val="24"/>
          <w:szCs w:val="24"/>
        </w:rPr>
        <w:t>Dyslipidemia</w:t>
      </w:r>
      <w:proofErr w:type="spellEnd"/>
      <w:r w:rsidRPr="003C03E4">
        <w:rPr>
          <w:rFonts w:cstheme="minorHAnsi"/>
          <w:sz w:val="24"/>
          <w:szCs w:val="24"/>
        </w:rPr>
        <w:t xml:space="preserve"> in People Living with HIV: Sailing through Rough Seas. Life (Basel, Switzerland), 14(4), 449. </w:t>
      </w:r>
      <w:hyperlink r:id="rId28" w:history="1">
        <w:r w:rsidRPr="003C03E4">
          <w:rPr>
            <w:rStyle w:val="Hyperlink"/>
            <w:rFonts w:cstheme="minorHAnsi"/>
            <w:sz w:val="24"/>
            <w:szCs w:val="24"/>
          </w:rPr>
          <w:t>https://doi.org/10.3390/life14040449</w:t>
        </w:r>
      </w:hyperlink>
    </w:p>
    <w:p w14:paraId="514FFAD6"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Rafiee, S., </w:t>
      </w:r>
      <w:proofErr w:type="spellStart"/>
      <w:r w:rsidRPr="003C03E4">
        <w:rPr>
          <w:rFonts w:cstheme="minorHAnsi"/>
          <w:sz w:val="24"/>
          <w:szCs w:val="24"/>
        </w:rPr>
        <w:t>Bagherniya</w:t>
      </w:r>
      <w:proofErr w:type="spellEnd"/>
      <w:r w:rsidRPr="003C03E4">
        <w:rPr>
          <w:rFonts w:cstheme="minorHAnsi"/>
          <w:sz w:val="24"/>
          <w:szCs w:val="24"/>
        </w:rPr>
        <w:t xml:space="preserve">, M., Askari, G., </w:t>
      </w:r>
      <w:proofErr w:type="spellStart"/>
      <w:r w:rsidRPr="003C03E4">
        <w:rPr>
          <w:rFonts w:cstheme="minorHAnsi"/>
          <w:sz w:val="24"/>
          <w:szCs w:val="24"/>
        </w:rPr>
        <w:t>Sathyapalan</w:t>
      </w:r>
      <w:proofErr w:type="spellEnd"/>
      <w:r w:rsidRPr="003C03E4">
        <w:rPr>
          <w:rFonts w:cstheme="minorHAnsi"/>
          <w:sz w:val="24"/>
          <w:szCs w:val="24"/>
        </w:rPr>
        <w:t xml:space="preserve">, T., </w:t>
      </w:r>
      <w:proofErr w:type="spellStart"/>
      <w:r w:rsidRPr="003C03E4">
        <w:rPr>
          <w:rFonts w:cstheme="minorHAnsi"/>
          <w:sz w:val="24"/>
          <w:szCs w:val="24"/>
        </w:rPr>
        <w:t>Jamialahmadi</w:t>
      </w:r>
      <w:proofErr w:type="spellEnd"/>
      <w:r w:rsidRPr="003C03E4">
        <w:rPr>
          <w:rFonts w:cstheme="minorHAnsi"/>
          <w:sz w:val="24"/>
          <w:szCs w:val="24"/>
        </w:rPr>
        <w:t xml:space="preserve">, T., &amp; </w:t>
      </w:r>
      <w:proofErr w:type="spellStart"/>
      <w:r w:rsidRPr="003C03E4">
        <w:rPr>
          <w:rFonts w:cstheme="minorHAnsi"/>
          <w:sz w:val="24"/>
          <w:szCs w:val="24"/>
        </w:rPr>
        <w:t>Sahebkar</w:t>
      </w:r>
      <w:proofErr w:type="spellEnd"/>
      <w:r w:rsidRPr="003C03E4">
        <w:rPr>
          <w:rFonts w:cstheme="minorHAnsi"/>
          <w:sz w:val="24"/>
          <w:szCs w:val="24"/>
        </w:rPr>
        <w:t>, A. (2021). The effect of curcumin in improving lipid profile in patients with cardiovascular risk factors: A systematic review of clinical trials. Studies on Biomarkers and New Targets in Aging Research in Iran, 165-177.</w:t>
      </w:r>
    </w:p>
    <w:p w14:paraId="0456BB7D"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Sathyabhama</w:t>
      </w:r>
      <w:proofErr w:type="spellEnd"/>
      <w:r w:rsidRPr="003C03E4">
        <w:rPr>
          <w:rFonts w:cstheme="minorHAnsi"/>
          <w:sz w:val="24"/>
          <w:szCs w:val="24"/>
        </w:rPr>
        <w:t>, M., et al. (2022). The credible role of curcumin in oxidative stress reduction: a review of mechanisms and therapeutic potential. Biomolecules, 12(10), 1405. https://doi.org/10.3390/biom12101405</w:t>
      </w:r>
    </w:p>
    <w:p w14:paraId="0E63526D"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Shahcheraghi</w:t>
      </w:r>
      <w:proofErr w:type="spellEnd"/>
      <w:r w:rsidRPr="003C03E4">
        <w:rPr>
          <w:rFonts w:cstheme="minorHAnsi"/>
          <w:sz w:val="24"/>
          <w:szCs w:val="24"/>
        </w:rPr>
        <w:t xml:space="preserve">, S. H., Salemi, F., Peirovi, N., </w:t>
      </w:r>
      <w:proofErr w:type="spellStart"/>
      <w:r w:rsidRPr="003C03E4">
        <w:rPr>
          <w:rFonts w:cstheme="minorHAnsi"/>
          <w:sz w:val="24"/>
          <w:szCs w:val="24"/>
        </w:rPr>
        <w:t>Ayatollahi</w:t>
      </w:r>
      <w:proofErr w:type="spellEnd"/>
      <w:r w:rsidRPr="003C03E4">
        <w:rPr>
          <w:rFonts w:cstheme="minorHAnsi"/>
          <w:sz w:val="24"/>
          <w:szCs w:val="24"/>
        </w:rPr>
        <w:t xml:space="preserve">, J., Alam, W., Khan, H., &amp; Saso, L. (2021). Nrf2 Regulation by Curcumin: Molecular Aspects for Therapeutic Prospects. Molecules (Basel, Switzerland), 27(1), 167. </w:t>
      </w:r>
      <w:hyperlink r:id="rId29" w:history="1">
        <w:r w:rsidRPr="003C03E4">
          <w:rPr>
            <w:rStyle w:val="Hyperlink"/>
            <w:rFonts w:cstheme="minorHAnsi"/>
            <w:sz w:val="24"/>
            <w:szCs w:val="24"/>
          </w:rPr>
          <w:t>https://doi.org/10.3390/molecules27010167</w:t>
        </w:r>
      </w:hyperlink>
    </w:p>
    <w:p w14:paraId="135DD2ED"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 xml:space="preserve">Wan, Z., Dai, B., Zhu, X., Huang, Y., &amp; Zhu, B. (2023). HIV-associated </w:t>
      </w:r>
      <w:proofErr w:type="spellStart"/>
      <w:r w:rsidRPr="003C03E4">
        <w:rPr>
          <w:rFonts w:cstheme="minorHAnsi"/>
          <w:sz w:val="24"/>
          <w:szCs w:val="24"/>
        </w:rPr>
        <w:t>dyslipidemia</w:t>
      </w:r>
      <w:proofErr w:type="spellEnd"/>
      <w:r w:rsidRPr="003C03E4">
        <w:rPr>
          <w:rFonts w:cstheme="minorHAnsi"/>
          <w:sz w:val="24"/>
          <w:szCs w:val="24"/>
        </w:rPr>
        <w:t xml:space="preserve">: pathogenesis and its management. Chinese Medical Journal, 136(22), 2732-2734. </w:t>
      </w:r>
    </w:p>
    <w:p w14:paraId="117191D6" w14:textId="77777777" w:rsidR="003C03E4" w:rsidRPr="003C03E4" w:rsidRDefault="003C03E4" w:rsidP="003C03E4">
      <w:pPr>
        <w:pStyle w:val="ListParagraph"/>
        <w:numPr>
          <w:ilvl w:val="0"/>
          <w:numId w:val="6"/>
        </w:numPr>
        <w:jc w:val="both"/>
        <w:rPr>
          <w:rFonts w:cstheme="minorHAnsi"/>
          <w:sz w:val="24"/>
          <w:szCs w:val="24"/>
        </w:rPr>
      </w:pPr>
      <w:proofErr w:type="spellStart"/>
      <w:r w:rsidRPr="003C03E4">
        <w:rPr>
          <w:rFonts w:cstheme="minorHAnsi"/>
          <w:sz w:val="24"/>
          <w:szCs w:val="24"/>
        </w:rPr>
        <w:t>Weichseldorfer</w:t>
      </w:r>
      <w:proofErr w:type="spellEnd"/>
      <w:r w:rsidRPr="003C03E4">
        <w:rPr>
          <w:rFonts w:cstheme="minorHAnsi"/>
          <w:sz w:val="24"/>
          <w:szCs w:val="24"/>
        </w:rPr>
        <w:t xml:space="preserve">, M., Reitz, M., &amp; </w:t>
      </w:r>
      <w:proofErr w:type="spellStart"/>
      <w:r w:rsidRPr="003C03E4">
        <w:rPr>
          <w:rFonts w:cstheme="minorHAnsi"/>
          <w:sz w:val="24"/>
          <w:szCs w:val="24"/>
        </w:rPr>
        <w:t>Latinovic</w:t>
      </w:r>
      <w:proofErr w:type="spellEnd"/>
      <w:r w:rsidRPr="003C03E4">
        <w:rPr>
          <w:rFonts w:cstheme="minorHAnsi"/>
          <w:sz w:val="24"/>
          <w:szCs w:val="24"/>
        </w:rPr>
        <w:t xml:space="preserve">, O. S. (2021). Past HIV-1 Medications and the Current Status of Combined Antiretroviral Therapy Options for HIV-1 Patients. Pharmaceutics, 13(11), 1798. </w:t>
      </w:r>
      <w:hyperlink r:id="rId30" w:history="1">
        <w:r w:rsidRPr="003C03E4">
          <w:rPr>
            <w:rStyle w:val="Hyperlink"/>
            <w:rFonts w:cstheme="minorHAnsi"/>
            <w:sz w:val="24"/>
            <w:szCs w:val="24"/>
          </w:rPr>
          <w:t>https://doi.org/10.3390/pharmaceutics13111798</w:t>
        </w:r>
      </w:hyperlink>
    </w:p>
    <w:p w14:paraId="4CF47A03" w14:textId="77777777" w:rsidR="003C03E4" w:rsidRPr="003C03E4" w:rsidRDefault="003C03E4" w:rsidP="003C03E4">
      <w:pPr>
        <w:pStyle w:val="ListParagraph"/>
        <w:numPr>
          <w:ilvl w:val="0"/>
          <w:numId w:val="6"/>
        </w:numPr>
        <w:jc w:val="both"/>
        <w:rPr>
          <w:rFonts w:cstheme="minorHAnsi"/>
          <w:sz w:val="24"/>
          <w:szCs w:val="24"/>
        </w:rPr>
      </w:pPr>
      <w:r w:rsidRPr="003C03E4">
        <w:rPr>
          <w:rFonts w:cstheme="minorHAnsi"/>
          <w:sz w:val="24"/>
          <w:szCs w:val="24"/>
        </w:rPr>
        <w:t>Ye, Y., Jia, G., Shui, Q., Wang, X., Lu, Z., Jiang, M., ... &amp; Deng, Z. (2024). Free radical-induced soybean protein isolate-curcumin conjugates: Characterization, antioxidant and in vitro digestion characteristics. LWT, 203, 116351.</w:t>
      </w:r>
    </w:p>
    <w:sectPr w:rsidR="003C03E4" w:rsidRPr="003C03E4">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F0C9" w14:textId="77777777" w:rsidR="00C35917" w:rsidRDefault="00C35917" w:rsidP="00C5154A">
      <w:pPr>
        <w:spacing w:after="0" w:line="240" w:lineRule="auto"/>
      </w:pPr>
      <w:r>
        <w:separator/>
      </w:r>
    </w:p>
  </w:endnote>
  <w:endnote w:type="continuationSeparator" w:id="0">
    <w:p w14:paraId="56BAFFEF" w14:textId="77777777" w:rsidR="00C35917" w:rsidRDefault="00C35917" w:rsidP="00C5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58B2" w14:textId="77777777" w:rsidR="00F63FD1" w:rsidRDefault="00F63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86DC" w14:textId="77777777" w:rsidR="00F63FD1" w:rsidRDefault="00F63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C38F" w14:textId="77777777" w:rsidR="00F63FD1" w:rsidRDefault="00F6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39CF" w14:textId="77777777" w:rsidR="00C35917" w:rsidRDefault="00C35917" w:rsidP="00C5154A">
      <w:pPr>
        <w:spacing w:after="0" w:line="240" w:lineRule="auto"/>
      </w:pPr>
      <w:r>
        <w:separator/>
      </w:r>
    </w:p>
  </w:footnote>
  <w:footnote w:type="continuationSeparator" w:id="0">
    <w:p w14:paraId="3E27E79D" w14:textId="77777777" w:rsidR="00C35917" w:rsidRDefault="00C35917" w:rsidP="00C51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1828" w14:textId="4A564BE8" w:rsidR="00F63FD1" w:rsidRDefault="00000000">
    <w:pPr>
      <w:pStyle w:val="Header"/>
    </w:pPr>
    <w:r>
      <w:rPr>
        <w:noProof/>
      </w:rPr>
      <w:pict w14:anchorId="6C9C7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215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6C9C" w14:textId="3DC902E2" w:rsidR="00F63FD1" w:rsidRDefault="00000000">
    <w:pPr>
      <w:pStyle w:val="Header"/>
    </w:pPr>
    <w:r>
      <w:rPr>
        <w:noProof/>
      </w:rPr>
      <w:pict w14:anchorId="743F5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215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30D2" w14:textId="1BF9A6E5" w:rsidR="00F63FD1" w:rsidRDefault="00000000">
    <w:pPr>
      <w:pStyle w:val="Header"/>
    </w:pPr>
    <w:r>
      <w:rPr>
        <w:noProof/>
      </w:rPr>
      <w:pict w14:anchorId="09304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215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402F5"/>
    <w:multiLevelType w:val="multilevel"/>
    <w:tmpl w:val="3046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A03CE"/>
    <w:multiLevelType w:val="hybridMultilevel"/>
    <w:tmpl w:val="3B38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E933B2"/>
    <w:multiLevelType w:val="multilevel"/>
    <w:tmpl w:val="EBDE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471D0"/>
    <w:multiLevelType w:val="hybridMultilevel"/>
    <w:tmpl w:val="BB7E4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F854E9"/>
    <w:multiLevelType w:val="multilevel"/>
    <w:tmpl w:val="6D2C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AB45BD"/>
    <w:multiLevelType w:val="multilevel"/>
    <w:tmpl w:val="2BA2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C4803"/>
    <w:multiLevelType w:val="hybridMultilevel"/>
    <w:tmpl w:val="190A0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6806301">
    <w:abstractNumId w:val="0"/>
  </w:num>
  <w:num w:numId="2" w16cid:durableId="240523903">
    <w:abstractNumId w:val="2"/>
  </w:num>
  <w:num w:numId="3" w16cid:durableId="1901016796">
    <w:abstractNumId w:val="5"/>
  </w:num>
  <w:num w:numId="4" w16cid:durableId="1298683328">
    <w:abstractNumId w:val="4"/>
  </w:num>
  <w:num w:numId="5" w16cid:durableId="967473276">
    <w:abstractNumId w:val="3"/>
  </w:num>
  <w:num w:numId="6" w16cid:durableId="385878463">
    <w:abstractNumId w:val="1"/>
  </w:num>
  <w:num w:numId="7" w16cid:durableId="1515997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36"/>
    <w:rsid w:val="00014300"/>
    <w:rsid w:val="00015AF8"/>
    <w:rsid w:val="0003647A"/>
    <w:rsid w:val="0007566D"/>
    <w:rsid w:val="000952BA"/>
    <w:rsid w:val="000B0937"/>
    <w:rsid w:val="0010641C"/>
    <w:rsid w:val="00147881"/>
    <w:rsid w:val="0015480A"/>
    <w:rsid w:val="00161C05"/>
    <w:rsid w:val="00166473"/>
    <w:rsid w:val="0017678A"/>
    <w:rsid w:val="00177BB3"/>
    <w:rsid w:val="00181921"/>
    <w:rsid w:val="00196D9E"/>
    <w:rsid w:val="00196DAB"/>
    <w:rsid w:val="001B0D6E"/>
    <w:rsid w:val="001C78D8"/>
    <w:rsid w:val="001D2F28"/>
    <w:rsid w:val="001D59CF"/>
    <w:rsid w:val="001F7FD4"/>
    <w:rsid w:val="00204D6B"/>
    <w:rsid w:val="00230ED9"/>
    <w:rsid w:val="0023274C"/>
    <w:rsid w:val="002579E5"/>
    <w:rsid w:val="002717F2"/>
    <w:rsid w:val="00271C46"/>
    <w:rsid w:val="00276F55"/>
    <w:rsid w:val="002A5BC9"/>
    <w:rsid w:val="002B0FC2"/>
    <w:rsid w:val="002C6F31"/>
    <w:rsid w:val="002F10B4"/>
    <w:rsid w:val="00303599"/>
    <w:rsid w:val="00310FAB"/>
    <w:rsid w:val="00366A01"/>
    <w:rsid w:val="00374003"/>
    <w:rsid w:val="00394EA6"/>
    <w:rsid w:val="003C03E4"/>
    <w:rsid w:val="003C741C"/>
    <w:rsid w:val="003E6647"/>
    <w:rsid w:val="003F7DE4"/>
    <w:rsid w:val="00402E62"/>
    <w:rsid w:val="004248B5"/>
    <w:rsid w:val="00437492"/>
    <w:rsid w:val="004513E1"/>
    <w:rsid w:val="00456B21"/>
    <w:rsid w:val="0048516F"/>
    <w:rsid w:val="00486DA5"/>
    <w:rsid w:val="004A0D92"/>
    <w:rsid w:val="004A20B0"/>
    <w:rsid w:val="004A60AE"/>
    <w:rsid w:val="004C237C"/>
    <w:rsid w:val="004D6447"/>
    <w:rsid w:val="004E0087"/>
    <w:rsid w:val="004F1804"/>
    <w:rsid w:val="004F1F00"/>
    <w:rsid w:val="00511B87"/>
    <w:rsid w:val="00526E59"/>
    <w:rsid w:val="0053752C"/>
    <w:rsid w:val="00564544"/>
    <w:rsid w:val="005711C0"/>
    <w:rsid w:val="005725AE"/>
    <w:rsid w:val="00584693"/>
    <w:rsid w:val="005D1D18"/>
    <w:rsid w:val="00602E8F"/>
    <w:rsid w:val="00605B1C"/>
    <w:rsid w:val="00606436"/>
    <w:rsid w:val="00624537"/>
    <w:rsid w:val="00634268"/>
    <w:rsid w:val="00642077"/>
    <w:rsid w:val="00643573"/>
    <w:rsid w:val="00652852"/>
    <w:rsid w:val="00652F03"/>
    <w:rsid w:val="00660EB5"/>
    <w:rsid w:val="0066119B"/>
    <w:rsid w:val="006628B7"/>
    <w:rsid w:val="00675675"/>
    <w:rsid w:val="00680ADF"/>
    <w:rsid w:val="0069743B"/>
    <w:rsid w:val="006A0016"/>
    <w:rsid w:val="006A22B0"/>
    <w:rsid w:val="006D2019"/>
    <w:rsid w:val="006F69B8"/>
    <w:rsid w:val="00725DCC"/>
    <w:rsid w:val="00770A57"/>
    <w:rsid w:val="00771A64"/>
    <w:rsid w:val="00785F87"/>
    <w:rsid w:val="00816633"/>
    <w:rsid w:val="00841A3A"/>
    <w:rsid w:val="00843915"/>
    <w:rsid w:val="00845039"/>
    <w:rsid w:val="008762BA"/>
    <w:rsid w:val="008A04AC"/>
    <w:rsid w:val="008A1B8F"/>
    <w:rsid w:val="008B2C9F"/>
    <w:rsid w:val="008B4A78"/>
    <w:rsid w:val="008C77CC"/>
    <w:rsid w:val="008D2F83"/>
    <w:rsid w:val="008E3EB0"/>
    <w:rsid w:val="008F78DF"/>
    <w:rsid w:val="00957A7D"/>
    <w:rsid w:val="00994091"/>
    <w:rsid w:val="009957DE"/>
    <w:rsid w:val="009A6B5B"/>
    <w:rsid w:val="00A00AC5"/>
    <w:rsid w:val="00A06704"/>
    <w:rsid w:val="00A22D3A"/>
    <w:rsid w:val="00A32AF9"/>
    <w:rsid w:val="00A673DB"/>
    <w:rsid w:val="00AE0F6B"/>
    <w:rsid w:val="00AF36E5"/>
    <w:rsid w:val="00B23E3B"/>
    <w:rsid w:val="00B23E87"/>
    <w:rsid w:val="00B2549F"/>
    <w:rsid w:val="00B57C6D"/>
    <w:rsid w:val="00B76E1D"/>
    <w:rsid w:val="00B82A8D"/>
    <w:rsid w:val="00B91953"/>
    <w:rsid w:val="00BA5FC2"/>
    <w:rsid w:val="00BA625C"/>
    <w:rsid w:val="00BD0CFE"/>
    <w:rsid w:val="00BE3C23"/>
    <w:rsid w:val="00BE6740"/>
    <w:rsid w:val="00BE6D48"/>
    <w:rsid w:val="00C012A7"/>
    <w:rsid w:val="00C300B2"/>
    <w:rsid w:val="00C35917"/>
    <w:rsid w:val="00C5154A"/>
    <w:rsid w:val="00C60E09"/>
    <w:rsid w:val="00C64373"/>
    <w:rsid w:val="00C7251F"/>
    <w:rsid w:val="00C82F33"/>
    <w:rsid w:val="00D23323"/>
    <w:rsid w:val="00D26F8A"/>
    <w:rsid w:val="00D3056C"/>
    <w:rsid w:val="00D31A9A"/>
    <w:rsid w:val="00D33F1D"/>
    <w:rsid w:val="00D610ED"/>
    <w:rsid w:val="00D66287"/>
    <w:rsid w:val="00D70169"/>
    <w:rsid w:val="00D8553E"/>
    <w:rsid w:val="00DF7827"/>
    <w:rsid w:val="00E32325"/>
    <w:rsid w:val="00E42E00"/>
    <w:rsid w:val="00E52167"/>
    <w:rsid w:val="00E73E0D"/>
    <w:rsid w:val="00F63FD1"/>
    <w:rsid w:val="00F81DB4"/>
    <w:rsid w:val="00F844FD"/>
    <w:rsid w:val="00FA05E3"/>
    <w:rsid w:val="00FA189E"/>
    <w:rsid w:val="00FA29E2"/>
    <w:rsid w:val="00FF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013D4"/>
  <w15:chartTrackingRefBased/>
  <w15:docId w15:val="{133B8775-852C-4C5F-BCB0-AED9FB86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064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064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0643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0643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0643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06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436"/>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606436"/>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606436"/>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606436"/>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606436"/>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60643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0643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0643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0643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06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43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06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43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06436"/>
    <w:pPr>
      <w:spacing w:before="160"/>
      <w:jc w:val="center"/>
    </w:pPr>
    <w:rPr>
      <w:i/>
      <w:iCs/>
      <w:color w:val="404040" w:themeColor="text1" w:themeTint="BF"/>
    </w:rPr>
  </w:style>
  <w:style w:type="character" w:customStyle="1" w:styleId="QuoteChar">
    <w:name w:val="Quote Char"/>
    <w:basedOn w:val="DefaultParagraphFont"/>
    <w:link w:val="Quote"/>
    <w:uiPriority w:val="29"/>
    <w:rsid w:val="00606436"/>
    <w:rPr>
      <w:i/>
      <w:iCs/>
      <w:color w:val="404040" w:themeColor="text1" w:themeTint="BF"/>
      <w:lang w:val="en-GB"/>
    </w:rPr>
  </w:style>
  <w:style w:type="paragraph" w:styleId="ListParagraph">
    <w:name w:val="List Paragraph"/>
    <w:basedOn w:val="Normal"/>
    <w:uiPriority w:val="34"/>
    <w:qFormat/>
    <w:rsid w:val="00606436"/>
    <w:pPr>
      <w:ind w:left="720"/>
      <w:contextualSpacing/>
    </w:pPr>
  </w:style>
  <w:style w:type="character" w:styleId="IntenseEmphasis">
    <w:name w:val="Intense Emphasis"/>
    <w:basedOn w:val="DefaultParagraphFont"/>
    <w:uiPriority w:val="21"/>
    <w:qFormat/>
    <w:rsid w:val="00606436"/>
    <w:rPr>
      <w:i/>
      <w:iCs/>
      <w:color w:val="2E74B5" w:themeColor="accent1" w:themeShade="BF"/>
    </w:rPr>
  </w:style>
  <w:style w:type="paragraph" w:styleId="IntenseQuote">
    <w:name w:val="Intense Quote"/>
    <w:basedOn w:val="Normal"/>
    <w:next w:val="Normal"/>
    <w:link w:val="IntenseQuoteChar"/>
    <w:uiPriority w:val="30"/>
    <w:qFormat/>
    <w:rsid w:val="006064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06436"/>
    <w:rPr>
      <w:i/>
      <w:iCs/>
      <w:color w:val="2E74B5" w:themeColor="accent1" w:themeShade="BF"/>
      <w:lang w:val="en-GB"/>
    </w:rPr>
  </w:style>
  <w:style w:type="character" w:styleId="IntenseReference">
    <w:name w:val="Intense Reference"/>
    <w:basedOn w:val="DefaultParagraphFont"/>
    <w:uiPriority w:val="32"/>
    <w:qFormat/>
    <w:rsid w:val="00606436"/>
    <w:rPr>
      <w:b/>
      <w:bCs/>
      <w:smallCaps/>
      <w:color w:val="2E74B5" w:themeColor="accent1" w:themeShade="BF"/>
      <w:spacing w:val="5"/>
    </w:rPr>
  </w:style>
  <w:style w:type="table" w:styleId="TableGrid">
    <w:name w:val="Table Grid"/>
    <w:basedOn w:val="TableNormal"/>
    <w:uiPriority w:val="39"/>
    <w:rsid w:val="00D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54A"/>
    <w:rPr>
      <w:lang w:val="en-GB"/>
    </w:rPr>
  </w:style>
  <w:style w:type="paragraph" w:styleId="Footer">
    <w:name w:val="footer"/>
    <w:basedOn w:val="Normal"/>
    <w:link w:val="FooterChar"/>
    <w:uiPriority w:val="99"/>
    <w:unhideWhenUsed/>
    <w:rsid w:val="00C51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54A"/>
    <w:rPr>
      <w:lang w:val="en-GB"/>
    </w:rPr>
  </w:style>
  <w:style w:type="character" w:styleId="Hyperlink">
    <w:name w:val="Hyperlink"/>
    <w:basedOn w:val="DefaultParagraphFont"/>
    <w:uiPriority w:val="99"/>
    <w:unhideWhenUsed/>
    <w:rsid w:val="004E0087"/>
    <w:rPr>
      <w:color w:val="0563C1" w:themeColor="hyperlink"/>
      <w:u w:val="single"/>
    </w:rPr>
  </w:style>
  <w:style w:type="character" w:styleId="UnresolvedMention">
    <w:name w:val="Unresolved Mention"/>
    <w:basedOn w:val="DefaultParagraphFont"/>
    <w:uiPriority w:val="99"/>
    <w:semiHidden/>
    <w:unhideWhenUsed/>
    <w:rsid w:val="004E0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6937">
      <w:bodyDiv w:val="1"/>
      <w:marLeft w:val="0"/>
      <w:marRight w:val="0"/>
      <w:marTop w:val="0"/>
      <w:marBottom w:val="0"/>
      <w:divBdr>
        <w:top w:val="none" w:sz="0" w:space="0" w:color="auto"/>
        <w:left w:val="none" w:sz="0" w:space="0" w:color="auto"/>
        <w:bottom w:val="none" w:sz="0" w:space="0" w:color="auto"/>
        <w:right w:val="none" w:sz="0" w:space="0" w:color="auto"/>
      </w:divBdr>
      <w:divsChild>
        <w:div w:id="821697667">
          <w:marLeft w:val="0"/>
          <w:marRight w:val="0"/>
          <w:marTop w:val="0"/>
          <w:marBottom w:val="0"/>
          <w:divBdr>
            <w:top w:val="none" w:sz="0" w:space="0" w:color="auto"/>
            <w:left w:val="none" w:sz="0" w:space="0" w:color="auto"/>
            <w:bottom w:val="none" w:sz="0" w:space="0" w:color="auto"/>
            <w:right w:val="none" w:sz="0" w:space="0" w:color="auto"/>
          </w:divBdr>
          <w:divsChild>
            <w:div w:id="742408598">
              <w:marLeft w:val="0"/>
              <w:marRight w:val="0"/>
              <w:marTop w:val="0"/>
              <w:marBottom w:val="0"/>
              <w:divBdr>
                <w:top w:val="none" w:sz="0" w:space="0" w:color="auto"/>
                <w:left w:val="none" w:sz="0" w:space="0" w:color="auto"/>
                <w:bottom w:val="none" w:sz="0" w:space="0" w:color="auto"/>
                <w:right w:val="none" w:sz="0" w:space="0" w:color="auto"/>
              </w:divBdr>
            </w:div>
          </w:divsChild>
        </w:div>
        <w:div w:id="991830909">
          <w:marLeft w:val="0"/>
          <w:marRight w:val="0"/>
          <w:marTop w:val="0"/>
          <w:marBottom w:val="0"/>
          <w:divBdr>
            <w:top w:val="none" w:sz="0" w:space="0" w:color="auto"/>
            <w:left w:val="none" w:sz="0" w:space="0" w:color="auto"/>
            <w:bottom w:val="none" w:sz="0" w:space="0" w:color="auto"/>
            <w:right w:val="none" w:sz="0" w:space="0" w:color="auto"/>
          </w:divBdr>
          <w:divsChild>
            <w:div w:id="971133712">
              <w:marLeft w:val="0"/>
              <w:marRight w:val="0"/>
              <w:marTop w:val="0"/>
              <w:marBottom w:val="0"/>
              <w:divBdr>
                <w:top w:val="none" w:sz="0" w:space="0" w:color="auto"/>
                <w:left w:val="none" w:sz="0" w:space="0" w:color="auto"/>
                <w:bottom w:val="none" w:sz="0" w:space="0" w:color="auto"/>
                <w:right w:val="none" w:sz="0" w:space="0" w:color="auto"/>
              </w:divBdr>
            </w:div>
          </w:divsChild>
        </w:div>
        <w:div w:id="2130975256">
          <w:marLeft w:val="0"/>
          <w:marRight w:val="0"/>
          <w:marTop w:val="0"/>
          <w:marBottom w:val="0"/>
          <w:divBdr>
            <w:top w:val="none" w:sz="0" w:space="0" w:color="auto"/>
            <w:left w:val="none" w:sz="0" w:space="0" w:color="auto"/>
            <w:bottom w:val="none" w:sz="0" w:space="0" w:color="auto"/>
            <w:right w:val="none" w:sz="0" w:space="0" w:color="auto"/>
          </w:divBdr>
          <w:divsChild>
            <w:div w:id="9733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8669">
      <w:bodyDiv w:val="1"/>
      <w:marLeft w:val="0"/>
      <w:marRight w:val="0"/>
      <w:marTop w:val="0"/>
      <w:marBottom w:val="0"/>
      <w:divBdr>
        <w:top w:val="none" w:sz="0" w:space="0" w:color="auto"/>
        <w:left w:val="none" w:sz="0" w:space="0" w:color="auto"/>
        <w:bottom w:val="none" w:sz="0" w:space="0" w:color="auto"/>
        <w:right w:val="none" w:sz="0" w:space="0" w:color="auto"/>
      </w:divBdr>
    </w:div>
    <w:div w:id="136651291">
      <w:bodyDiv w:val="1"/>
      <w:marLeft w:val="0"/>
      <w:marRight w:val="0"/>
      <w:marTop w:val="0"/>
      <w:marBottom w:val="0"/>
      <w:divBdr>
        <w:top w:val="none" w:sz="0" w:space="0" w:color="auto"/>
        <w:left w:val="none" w:sz="0" w:space="0" w:color="auto"/>
        <w:bottom w:val="none" w:sz="0" w:space="0" w:color="auto"/>
        <w:right w:val="none" w:sz="0" w:space="0" w:color="auto"/>
      </w:divBdr>
    </w:div>
    <w:div w:id="208153316">
      <w:bodyDiv w:val="1"/>
      <w:marLeft w:val="0"/>
      <w:marRight w:val="0"/>
      <w:marTop w:val="0"/>
      <w:marBottom w:val="0"/>
      <w:divBdr>
        <w:top w:val="none" w:sz="0" w:space="0" w:color="auto"/>
        <w:left w:val="none" w:sz="0" w:space="0" w:color="auto"/>
        <w:bottom w:val="none" w:sz="0" w:space="0" w:color="auto"/>
        <w:right w:val="none" w:sz="0" w:space="0" w:color="auto"/>
      </w:divBdr>
    </w:div>
    <w:div w:id="214975807">
      <w:bodyDiv w:val="1"/>
      <w:marLeft w:val="0"/>
      <w:marRight w:val="0"/>
      <w:marTop w:val="0"/>
      <w:marBottom w:val="0"/>
      <w:divBdr>
        <w:top w:val="none" w:sz="0" w:space="0" w:color="auto"/>
        <w:left w:val="none" w:sz="0" w:space="0" w:color="auto"/>
        <w:bottom w:val="none" w:sz="0" w:space="0" w:color="auto"/>
        <w:right w:val="none" w:sz="0" w:space="0" w:color="auto"/>
      </w:divBdr>
    </w:div>
    <w:div w:id="290592759">
      <w:bodyDiv w:val="1"/>
      <w:marLeft w:val="0"/>
      <w:marRight w:val="0"/>
      <w:marTop w:val="0"/>
      <w:marBottom w:val="0"/>
      <w:divBdr>
        <w:top w:val="none" w:sz="0" w:space="0" w:color="auto"/>
        <w:left w:val="none" w:sz="0" w:space="0" w:color="auto"/>
        <w:bottom w:val="none" w:sz="0" w:space="0" w:color="auto"/>
        <w:right w:val="none" w:sz="0" w:space="0" w:color="auto"/>
      </w:divBdr>
    </w:div>
    <w:div w:id="314266687">
      <w:bodyDiv w:val="1"/>
      <w:marLeft w:val="0"/>
      <w:marRight w:val="0"/>
      <w:marTop w:val="0"/>
      <w:marBottom w:val="0"/>
      <w:divBdr>
        <w:top w:val="none" w:sz="0" w:space="0" w:color="auto"/>
        <w:left w:val="none" w:sz="0" w:space="0" w:color="auto"/>
        <w:bottom w:val="none" w:sz="0" w:space="0" w:color="auto"/>
        <w:right w:val="none" w:sz="0" w:space="0" w:color="auto"/>
      </w:divBdr>
      <w:divsChild>
        <w:div w:id="1688405767">
          <w:marLeft w:val="0"/>
          <w:marRight w:val="0"/>
          <w:marTop w:val="0"/>
          <w:marBottom w:val="0"/>
          <w:divBdr>
            <w:top w:val="none" w:sz="0" w:space="0" w:color="auto"/>
            <w:left w:val="none" w:sz="0" w:space="0" w:color="auto"/>
            <w:bottom w:val="none" w:sz="0" w:space="0" w:color="auto"/>
            <w:right w:val="none" w:sz="0" w:space="0" w:color="auto"/>
          </w:divBdr>
          <w:divsChild>
            <w:div w:id="421074224">
              <w:marLeft w:val="0"/>
              <w:marRight w:val="0"/>
              <w:marTop w:val="0"/>
              <w:marBottom w:val="0"/>
              <w:divBdr>
                <w:top w:val="none" w:sz="0" w:space="0" w:color="auto"/>
                <w:left w:val="none" w:sz="0" w:space="0" w:color="auto"/>
                <w:bottom w:val="none" w:sz="0" w:space="0" w:color="auto"/>
                <w:right w:val="none" w:sz="0" w:space="0" w:color="auto"/>
              </w:divBdr>
              <w:divsChild>
                <w:div w:id="1756976765">
                  <w:marLeft w:val="0"/>
                  <w:marRight w:val="0"/>
                  <w:marTop w:val="0"/>
                  <w:marBottom w:val="0"/>
                  <w:divBdr>
                    <w:top w:val="none" w:sz="0" w:space="0" w:color="auto"/>
                    <w:left w:val="none" w:sz="0" w:space="0" w:color="auto"/>
                    <w:bottom w:val="none" w:sz="0" w:space="0" w:color="auto"/>
                    <w:right w:val="none" w:sz="0" w:space="0" w:color="auto"/>
                  </w:divBdr>
                  <w:divsChild>
                    <w:div w:id="1059481830">
                      <w:marLeft w:val="0"/>
                      <w:marRight w:val="0"/>
                      <w:marTop w:val="0"/>
                      <w:marBottom w:val="0"/>
                      <w:divBdr>
                        <w:top w:val="none" w:sz="0" w:space="0" w:color="auto"/>
                        <w:left w:val="none" w:sz="0" w:space="0" w:color="auto"/>
                        <w:bottom w:val="none" w:sz="0" w:space="0" w:color="auto"/>
                        <w:right w:val="none" w:sz="0" w:space="0" w:color="auto"/>
                      </w:divBdr>
                      <w:divsChild>
                        <w:div w:id="313027903">
                          <w:marLeft w:val="0"/>
                          <w:marRight w:val="0"/>
                          <w:marTop w:val="0"/>
                          <w:marBottom w:val="0"/>
                          <w:divBdr>
                            <w:top w:val="none" w:sz="0" w:space="0" w:color="auto"/>
                            <w:left w:val="none" w:sz="0" w:space="0" w:color="auto"/>
                            <w:bottom w:val="none" w:sz="0" w:space="0" w:color="auto"/>
                            <w:right w:val="none" w:sz="0" w:space="0" w:color="auto"/>
                          </w:divBdr>
                          <w:divsChild>
                            <w:div w:id="3386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84767">
      <w:bodyDiv w:val="1"/>
      <w:marLeft w:val="0"/>
      <w:marRight w:val="0"/>
      <w:marTop w:val="0"/>
      <w:marBottom w:val="0"/>
      <w:divBdr>
        <w:top w:val="none" w:sz="0" w:space="0" w:color="auto"/>
        <w:left w:val="none" w:sz="0" w:space="0" w:color="auto"/>
        <w:bottom w:val="none" w:sz="0" w:space="0" w:color="auto"/>
        <w:right w:val="none" w:sz="0" w:space="0" w:color="auto"/>
      </w:divBdr>
    </w:div>
    <w:div w:id="363674220">
      <w:bodyDiv w:val="1"/>
      <w:marLeft w:val="0"/>
      <w:marRight w:val="0"/>
      <w:marTop w:val="0"/>
      <w:marBottom w:val="0"/>
      <w:divBdr>
        <w:top w:val="none" w:sz="0" w:space="0" w:color="auto"/>
        <w:left w:val="none" w:sz="0" w:space="0" w:color="auto"/>
        <w:bottom w:val="none" w:sz="0" w:space="0" w:color="auto"/>
        <w:right w:val="none" w:sz="0" w:space="0" w:color="auto"/>
      </w:divBdr>
    </w:div>
    <w:div w:id="424614393">
      <w:bodyDiv w:val="1"/>
      <w:marLeft w:val="0"/>
      <w:marRight w:val="0"/>
      <w:marTop w:val="0"/>
      <w:marBottom w:val="0"/>
      <w:divBdr>
        <w:top w:val="none" w:sz="0" w:space="0" w:color="auto"/>
        <w:left w:val="none" w:sz="0" w:space="0" w:color="auto"/>
        <w:bottom w:val="none" w:sz="0" w:space="0" w:color="auto"/>
        <w:right w:val="none" w:sz="0" w:space="0" w:color="auto"/>
      </w:divBdr>
    </w:div>
    <w:div w:id="431711158">
      <w:bodyDiv w:val="1"/>
      <w:marLeft w:val="0"/>
      <w:marRight w:val="0"/>
      <w:marTop w:val="0"/>
      <w:marBottom w:val="0"/>
      <w:divBdr>
        <w:top w:val="none" w:sz="0" w:space="0" w:color="auto"/>
        <w:left w:val="none" w:sz="0" w:space="0" w:color="auto"/>
        <w:bottom w:val="none" w:sz="0" w:space="0" w:color="auto"/>
        <w:right w:val="none" w:sz="0" w:space="0" w:color="auto"/>
      </w:divBdr>
    </w:div>
    <w:div w:id="574440230">
      <w:bodyDiv w:val="1"/>
      <w:marLeft w:val="0"/>
      <w:marRight w:val="0"/>
      <w:marTop w:val="0"/>
      <w:marBottom w:val="0"/>
      <w:divBdr>
        <w:top w:val="none" w:sz="0" w:space="0" w:color="auto"/>
        <w:left w:val="none" w:sz="0" w:space="0" w:color="auto"/>
        <w:bottom w:val="none" w:sz="0" w:space="0" w:color="auto"/>
        <w:right w:val="none" w:sz="0" w:space="0" w:color="auto"/>
      </w:divBdr>
    </w:div>
    <w:div w:id="605426128">
      <w:bodyDiv w:val="1"/>
      <w:marLeft w:val="0"/>
      <w:marRight w:val="0"/>
      <w:marTop w:val="0"/>
      <w:marBottom w:val="0"/>
      <w:divBdr>
        <w:top w:val="none" w:sz="0" w:space="0" w:color="auto"/>
        <w:left w:val="none" w:sz="0" w:space="0" w:color="auto"/>
        <w:bottom w:val="none" w:sz="0" w:space="0" w:color="auto"/>
        <w:right w:val="none" w:sz="0" w:space="0" w:color="auto"/>
      </w:divBdr>
    </w:div>
    <w:div w:id="606698251">
      <w:bodyDiv w:val="1"/>
      <w:marLeft w:val="0"/>
      <w:marRight w:val="0"/>
      <w:marTop w:val="0"/>
      <w:marBottom w:val="0"/>
      <w:divBdr>
        <w:top w:val="none" w:sz="0" w:space="0" w:color="auto"/>
        <w:left w:val="none" w:sz="0" w:space="0" w:color="auto"/>
        <w:bottom w:val="none" w:sz="0" w:space="0" w:color="auto"/>
        <w:right w:val="none" w:sz="0" w:space="0" w:color="auto"/>
      </w:divBdr>
    </w:div>
    <w:div w:id="626815825">
      <w:bodyDiv w:val="1"/>
      <w:marLeft w:val="0"/>
      <w:marRight w:val="0"/>
      <w:marTop w:val="0"/>
      <w:marBottom w:val="0"/>
      <w:divBdr>
        <w:top w:val="none" w:sz="0" w:space="0" w:color="auto"/>
        <w:left w:val="none" w:sz="0" w:space="0" w:color="auto"/>
        <w:bottom w:val="none" w:sz="0" w:space="0" w:color="auto"/>
        <w:right w:val="none" w:sz="0" w:space="0" w:color="auto"/>
      </w:divBdr>
    </w:div>
    <w:div w:id="666521026">
      <w:bodyDiv w:val="1"/>
      <w:marLeft w:val="0"/>
      <w:marRight w:val="0"/>
      <w:marTop w:val="0"/>
      <w:marBottom w:val="0"/>
      <w:divBdr>
        <w:top w:val="none" w:sz="0" w:space="0" w:color="auto"/>
        <w:left w:val="none" w:sz="0" w:space="0" w:color="auto"/>
        <w:bottom w:val="none" w:sz="0" w:space="0" w:color="auto"/>
        <w:right w:val="none" w:sz="0" w:space="0" w:color="auto"/>
      </w:divBdr>
    </w:div>
    <w:div w:id="679313010">
      <w:bodyDiv w:val="1"/>
      <w:marLeft w:val="0"/>
      <w:marRight w:val="0"/>
      <w:marTop w:val="0"/>
      <w:marBottom w:val="0"/>
      <w:divBdr>
        <w:top w:val="none" w:sz="0" w:space="0" w:color="auto"/>
        <w:left w:val="none" w:sz="0" w:space="0" w:color="auto"/>
        <w:bottom w:val="none" w:sz="0" w:space="0" w:color="auto"/>
        <w:right w:val="none" w:sz="0" w:space="0" w:color="auto"/>
      </w:divBdr>
    </w:div>
    <w:div w:id="707528563">
      <w:bodyDiv w:val="1"/>
      <w:marLeft w:val="0"/>
      <w:marRight w:val="0"/>
      <w:marTop w:val="0"/>
      <w:marBottom w:val="0"/>
      <w:divBdr>
        <w:top w:val="none" w:sz="0" w:space="0" w:color="auto"/>
        <w:left w:val="none" w:sz="0" w:space="0" w:color="auto"/>
        <w:bottom w:val="none" w:sz="0" w:space="0" w:color="auto"/>
        <w:right w:val="none" w:sz="0" w:space="0" w:color="auto"/>
      </w:divBdr>
      <w:divsChild>
        <w:div w:id="436601370">
          <w:marLeft w:val="0"/>
          <w:marRight w:val="0"/>
          <w:marTop w:val="0"/>
          <w:marBottom w:val="0"/>
          <w:divBdr>
            <w:top w:val="none" w:sz="0" w:space="0" w:color="auto"/>
            <w:left w:val="none" w:sz="0" w:space="0" w:color="auto"/>
            <w:bottom w:val="none" w:sz="0" w:space="0" w:color="auto"/>
            <w:right w:val="none" w:sz="0" w:space="0" w:color="auto"/>
          </w:divBdr>
          <w:divsChild>
            <w:div w:id="158467093">
              <w:marLeft w:val="0"/>
              <w:marRight w:val="0"/>
              <w:marTop w:val="0"/>
              <w:marBottom w:val="0"/>
              <w:divBdr>
                <w:top w:val="none" w:sz="0" w:space="0" w:color="auto"/>
                <w:left w:val="none" w:sz="0" w:space="0" w:color="auto"/>
                <w:bottom w:val="none" w:sz="0" w:space="0" w:color="auto"/>
                <w:right w:val="none" w:sz="0" w:space="0" w:color="auto"/>
              </w:divBdr>
            </w:div>
          </w:divsChild>
        </w:div>
        <w:div w:id="702943777">
          <w:marLeft w:val="0"/>
          <w:marRight w:val="0"/>
          <w:marTop w:val="0"/>
          <w:marBottom w:val="0"/>
          <w:divBdr>
            <w:top w:val="none" w:sz="0" w:space="0" w:color="auto"/>
            <w:left w:val="none" w:sz="0" w:space="0" w:color="auto"/>
            <w:bottom w:val="none" w:sz="0" w:space="0" w:color="auto"/>
            <w:right w:val="none" w:sz="0" w:space="0" w:color="auto"/>
          </w:divBdr>
          <w:divsChild>
            <w:div w:id="1431581017">
              <w:marLeft w:val="0"/>
              <w:marRight w:val="0"/>
              <w:marTop w:val="0"/>
              <w:marBottom w:val="0"/>
              <w:divBdr>
                <w:top w:val="none" w:sz="0" w:space="0" w:color="auto"/>
                <w:left w:val="none" w:sz="0" w:space="0" w:color="auto"/>
                <w:bottom w:val="none" w:sz="0" w:space="0" w:color="auto"/>
                <w:right w:val="none" w:sz="0" w:space="0" w:color="auto"/>
              </w:divBdr>
            </w:div>
          </w:divsChild>
        </w:div>
        <w:div w:id="1997680189">
          <w:marLeft w:val="0"/>
          <w:marRight w:val="0"/>
          <w:marTop w:val="0"/>
          <w:marBottom w:val="0"/>
          <w:divBdr>
            <w:top w:val="none" w:sz="0" w:space="0" w:color="auto"/>
            <w:left w:val="none" w:sz="0" w:space="0" w:color="auto"/>
            <w:bottom w:val="none" w:sz="0" w:space="0" w:color="auto"/>
            <w:right w:val="none" w:sz="0" w:space="0" w:color="auto"/>
          </w:divBdr>
          <w:divsChild>
            <w:div w:id="7488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4358">
      <w:bodyDiv w:val="1"/>
      <w:marLeft w:val="0"/>
      <w:marRight w:val="0"/>
      <w:marTop w:val="0"/>
      <w:marBottom w:val="0"/>
      <w:divBdr>
        <w:top w:val="none" w:sz="0" w:space="0" w:color="auto"/>
        <w:left w:val="none" w:sz="0" w:space="0" w:color="auto"/>
        <w:bottom w:val="none" w:sz="0" w:space="0" w:color="auto"/>
        <w:right w:val="none" w:sz="0" w:space="0" w:color="auto"/>
      </w:divBdr>
      <w:divsChild>
        <w:div w:id="401953893">
          <w:marLeft w:val="0"/>
          <w:marRight w:val="0"/>
          <w:marTop w:val="0"/>
          <w:marBottom w:val="0"/>
          <w:divBdr>
            <w:top w:val="none" w:sz="0" w:space="0" w:color="auto"/>
            <w:left w:val="none" w:sz="0" w:space="0" w:color="auto"/>
            <w:bottom w:val="none" w:sz="0" w:space="0" w:color="auto"/>
            <w:right w:val="none" w:sz="0" w:space="0" w:color="auto"/>
          </w:divBdr>
          <w:divsChild>
            <w:div w:id="248856127">
              <w:marLeft w:val="0"/>
              <w:marRight w:val="0"/>
              <w:marTop w:val="0"/>
              <w:marBottom w:val="0"/>
              <w:divBdr>
                <w:top w:val="none" w:sz="0" w:space="0" w:color="auto"/>
                <w:left w:val="none" w:sz="0" w:space="0" w:color="auto"/>
                <w:bottom w:val="none" w:sz="0" w:space="0" w:color="auto"/>
                <w:right w:val="none" w:sz="0" w:space="0" w:color="auto"/>
              </w:divBdr>
            </w:div>
          </w:divsChild>
        </w:div>
        <w:div w:id="630064155">
          <w:marLeft w:val="0"/>
          <w:marRight w:val="0"/>
          <w:marTop w:val="0"/>
          <w:marBottom w:val="0"/>
          <w:divBdr>
            <w:top w:val="none" w:sz="0" w:space="0" w:color="auto"/>
            <w:left w:val="none" w:sz="0" w:space="0" w:color="auto"/>
            <w:bottom w:val="none" w:sz="0" w:space="0" w:color="auto"/>
            <w:right w:val="none" w:sz="0" w:space="0" w:color="auto"/>
          </w:divBdr>
          <w:divsChild>
            <w:div w:id="271867535">
              <w:marLeft w:val="0"/>
              <w:marRight w:val="0"/>
              <w:marTop w:val="0"/>
              <w:marBottom w:val="0"/>
              <w:divBdr>
                <w:top w:val="none" w:sz="0" w:space="0" w:color="auto"/>
                <w:left w:val="none" w:sz="0" w:space="0" w:color="auto"/>
                <w:bottom w:val="none" w:sz="0" w:space="0" w:color="auto"/>
                <w:right w:val="none" w:sz="0" w:space="0" w:color="auto"/>
              </w:divBdr>
            </w:div>
          </w:divsChild>
        </w:div>
        <w:div w:id="1105229513">
          <w:marLeft w:val="0"/>
          <w:marRight w:val="0"/>
          <w:marTop w:val="0"/>
          <w:marBottom w:val="0"/>
          <w:divBdr>
            <w:top w:val="none" w:sz="0" w:space="0" w:color="auto"/>
            <w:left w:val="none" w:sz="0" w:space="0" w:color="auto"/>
            <w:bottom w:val="none" w:sz="0" w:space="0" w:color="auto"/>
            <w:right w:val="none" w:sz="0" w:space="0" w:color="auto"/>
          </w:divBdr>
          <w:divsChild>
            <w:div w:id="803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374">
      <w:bodyDiv w:val="1"/>
      <w:marLeft w:val="0"/>
      <w:marRight w:val="0"/>
      <w:marTop w:val="0"/>
      <w:marBottom w:val="0"/>
      <w:divBdr>
        <w:top w:val="none" w:sz="0" w:space="0" w:color="auto"/>
        <w:left w:val="none" w:sz="0" w:space="0" w:color="auto"/>
        <w:bottom w:val="none" w:sz="0" w:space="0" w:color="auto"/>
        <w:right w:val="none" w:sz="0" w:space="0" w:color="auto"/>
      </w:divBdr>
    </w:div>
    <w:div w:id="735010350">
      <w:bodyDiv w:val="1"/>
      <w:marLeft w:val="0"/>
      <w:marRight w:val="0"/>
      <w:marTop w:val="0"/>
      <w:marBottom w:val="0"/>
      <w:divBdr>
        <w:top w:val="none" w:sz="0" w:space="0" w:color="auto"/>
        <w:left w:val="none" w:sz="0" w:space="0" w:color="auto"/>
        <w:bottom w:val="none" w:sz="0" w:space="0" w:color="auto"/>
        <w:right w:val="none" w:sz="0" w:space="0" w:color="auto"/>
      </w:divBdr>
    </w:div>
    <w:div w:id="797408032">
      <w:bodyDiv w:val="1"/>
      <w:marLeft w:val="0"/>
      <w:marRight w:val="0"/>
      <w:marTop w:val="0"/>
      <w:marBottom w:val="0"/>
      <w:divBdr>
        <w:top w:val="none" w:sz="0" w:space="0" w:color="auto"/>
        <w:left w:val="none" w:sz="0" w:space="0" w:color="auto"/>
        <w:bottom w:val="none" w:sz="0" w:space="0" w:color="auto"/>
        <w:right w:val="none" w:sz="0" w:space="0" w:color="auto"/>
      </w:divBdr>
    </w:div>
    <w:div w:id="801728489">
      <w:bodyDiv w:val="1"/>
      <w:marLeft w:val="0"/>
      <w:marRight w:val="0"/>
      <w:marTop w:val="0"/>
      <w:marBottom w:val="0"/>
      <w:divBdr>
        <w:top w:val="none" w:sz="0" w:space="0" w:color="auto"/>
        <w:left w:val="none" w:sz="0" w:space="0" w:color="auto"/>
        <w:bottom w:val="none" w:sz="0" w:space="0" w:color="auto"/>
        <w:right w:val="none" w:sz="0" w:space="0" w:color="auto"/>
      </w:divBdr>
    </w:div>
    <w:div w:id="836534032">
      <w:bodyDiv w:val="1"/>
      <w:marLeft w:val="0"/>
      <w:marRight w:val="0"/>
      <w:marTop w:val="0"/>
      <w:marBottom w:val="0"/>
      <w:divBdr>
        <w:top w:val="none" w:sz="0" w:space="0" w:color="auto"/>
        <w:left w:val="none" w:sz="0" w:space="0" w:color="auto"/>
        <w:bottom w:val="none" w:sz="0" w:space="0" w:color="auto"/>
        <w:right w:val="none" w:sz="0" w:space="0" w:color="auto"/>
      </w:divBdr>
    </w:div>
    <w:div w:id="856966988">
      <w:bodyDiv w:val="1"/>
      <w:marLeft w:val="0"/>
      <w:marRight w:val="0"/>
      <w:marTop w:val="0"/>
      <w:marBottom w:val="0"/>
      <w:divBdr>
        <w:top w:val="none" w:sz="0" w:space="0" w:color="auto"/>
        <w:left w:val="none" w:sz="0" w:space="0" w:color="auto"/>
        <w:bottom w:val="none" w:sz="0" w:space="0" w:color="auto"/>
        <w:right w:val="none" w:sz="0" w:space="0" w:color="auto"/>
      </w:divBdr>
    </w:div>
    <w:div w:id="946499310">
      <w:bodyDiv w:val="1"/>
      <w:marLeft w:val="0"/>
      <w:marRight w:val="0"/>
      <w:marTop w:val="0"/>
      <w:marBottom w:val="0"/>
      <w:divBdr>
        <w:top w:val="none" w:sz="0" w:space="0" w:color="auto"/>
        <w:left w:val="none" w:sz="0" w:space="0" w:color="auto"/>
        <w:bottom w:val="none" w:sz="0" w:space="0" w:color="auto"/>
        <w:right w:val="none" w:sz="0" w:space="0" w:color="auto"/>
      </w:divBdr>
    </w:div>
    <w:div w:id="970090630">
      <w:bodyDiv w:val="1"/>
      <w:marLeft w:val="0"/>
      <w:marRight w:val="0"/>
      <w:marTop w:val="0"/>
      <w:marBottom w:val="0"/>
      <w:divBdr>
        <w:top w:val="none" w:sz="0" w:space="0" w:color="auto"/>
        <w:left w:val="none" w:sz="0" w:space="0" w:color="auto"/>
        <w:bottom w:val="none" w:sz="0" w:space="0" w:color="auto"/>
        <w:right w:val="none" w:sz="0" w:space="0" w:color="auto"/>
      </w:divBdr>
    </w:div>
    <w:div w:id="977681555">
      <w:bodyDiv w:val="1"/>
      <w:marLeft w:val="0"/>
      <w:marRight w:val="0"/>
      <w:marTop w:val="0"/>
      <w:marBottom w:val="0"/>
      <w:divBdr>
        <w:top w:val="none" w:sz="0" w:space="0" w:color="auto"/>
        <w:left w:val="none" w:sz="0" w:space="0" w:color="auto"/>
        <w:bottom w:val="none" w:sz="0" w:space="0" w:color="auto"/>
        <w:right w:val="none" w:sz="0" w:space="0" w:color="auto"/>
      </w:divBdr>
    </w:div>
    <w:div w:id="1059402194">
      <w:bodyDiv w:val="1"/>
      <w:marLeft w:val="0"/>
      <w:marRight w:val="0"/>
      <w:marTop w:val="0"/>
      <w:marBottom w:val="0"/>
      <w:divBdr>
        <w:top w:val="none" w:sz="0" w:space="0" w:color="auto"/>
        <w:left w:val="none" w:sz="0" w:space="0" w:color="auto"/>
        <w:bottom w:val="none" w:sz="0" w:space="0" w:color="auto"/>
        <w:right w:val="none" w:sz="0" w:space="0" w:color="auto"/>
      </w:divBdr>
      <w:divsChild>
        <w:div w:id="1254167411">
          <w:marLeft w:val="0"/>
          <w:marRight w:val="0"/>
          <w:marTop w:val="0"/>
          <w:marBottom w:val="0"/>
          <w:divBdr>
            <w:top w:val="none" w:sz="0" w:space="0" w:color="auto"/>
            <w:left w:val="none" w:sz="0" w:space="0" w:color="auto"/>
            <w:bottom w:val="none" w:sz="0" w:space="0" w:color="auto"/>
            <w:right w:val="none" w:sz="0" w:space="0" w:color="auto"/>
          </w:divBdr>
          <w:divsChild>
            <w:div w:id="197667885">
              <w:marLeft w:val="0"/>
              <w:marRight w:val="0"/>
              <w:marTop w:val="0"/>
              <w:marBottom w:val="0"/>
              <w:divBdr>
                <w:top w:val="none" w:sz="0" w:space="0" w:color="auto"/>
                <w:left w:val="none" w:sz="0" w:space="0" w:color="auto"/>
                <w:bottom w:val="none" w:sz="0" w:space="0" w:color="auto"/>
                <w:right w:val="none" w:sz="0" w:space="0" w:color="auto"/>
              </w:divBdr>
            </w:div>
          </w:divsChild>
        </w:div>
        <w:div w:id="1371343447">
          <w:marLeft w:val="0"/>
          <w:marRight w:val="0"/>
          <w:marTop w:val="0"/>
          <w:marBottom w:val="0"/>
          <w:divBdr>
            <w:top w:val="none" w:sz="0" w:space="0" w:color="auto"/>
            <w:left w:val="none" w:sz="0" w:space="0" w:color="auto"/>
            <w:bottom w:val="none" w:sz="0" w:space="0" w:color="auto"/>
            <w:right w:val="none" w:sz="0" w:space="0" w:color="auto"/>
          </w:divBdr>
          <w:divsChild>
            <w:div w:id="956790891">
              <w:marLeft w:val="0"/>
              <w:marRight w:val="0"/>
              <w:marTop w:val="0"/>
              <w:marBottom w:val="0"/>
              <w:divBdr>
                <w:top w:val="none" w:sz="0" w:space="0" w:color="auto"/>
                <w:left w:val="none" w:sz="0" w:space="0" w:color="auto"/>
                <w:bottom w:val="none" w:sz="0" w:space="0" w:color="auto"/>
                <w:right w:val="none" w:sz="0" w:space="0" w:color="auto"/>
              </w:divBdr>
            </w:div>
          </w:divsChild>
        </w:div>
        <w:div w:id="1798328981">
          <w:marLeft w:val="0"/>
          <w:marRight w:val="0"/>
          <w:marTop w:val="0"/>
          <w:marBottom w:val="0"/>
          <w:divBdr>
            <w:top w:val="none" w:sz="0" w:space="0" w:color="auto"/>
            <w:left w:val="none" w:sz="0" w:space="0" w:color="auto"/>
            <w:bottom w:val="none" w:sz="0" w:space="0" w:color="auto"/>
            <w:right w:val="none" w:sz="0" w:space="0" w:color="auto"/>
          </w:divBdr>
          <w:divsChild>
            <w:div w:id="6556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99607">
      <w:bodyDiv w:val="1"/>
      <w:marLeft w:val="0"/>
      <w:marRight w:val="0"/>
      <w:marTop w:val="0"/>
      <w:marBottom w:val="0"/>
      <w:divBdr>
        <w:top w:val="none" w:sz="0" w:space="0" w:color="auto"/>
        <w:left w:val="none" w:sz="0" w:space="0" w:color="auto"/>
        <w:bottom w:val="none" w:sz="0" w:space="0" w:color="auto"/>
        <w:right w:val="none" w:sz="0" w:space="0" w:color="auto"/>
      </w:divBdr>
    </w:div>
    <w:div w:id="1066803718">
      <w:bodyDiv w:val="1"/>
      <w:marLeft w:val="0"/>
      <w:marRight w:val="0"/>
      <w:marTop w:val="0"/>
      <w:marBottom w:val="0"/>
      <w:divBdr>
        <w:top w:val="none" w:sz="0" w:space="0" w:color="auto"/>
        <w:left w:val="none" w:sz="0" w:space="0" w:color="auto"/>
        <w:bottom w:val="none" w:sz="0" w:space="0" w:color="auto"/>
        <w:right w:val="none" w:sz="0" w:space="0" w:color="auto"/>
      </w:divBdr>
    </w:div>
    <w:div w:id="1068917231">
      <w:bodyDiv w:val="1"/>
      <w:marLeft w:val="0"/>
      <w:marRight w:val="0"/>
      <w:marTop w:val="0"/>
      <w:marBottom w:val="0"/>
      <w:divBdr>
        <w:top w:val="none" w:sz="0" w:space="0" w:color="auto"/>
        <w:left w:val="none" w:sz="0" w:space="0" w:color="auto"/>
        <w:bottom w:val="none" w:sz="0" w:space="0" w:color="auto"/>
        <w:right w:val="none" w:sz="0" w:space="0" w:color="auto"/>
      </w:divBdr>
    </w:div>
    <w:div w:id="1085420828">
      <w:bodyDiv w:val="1"/>
      <w:marLeft w:val="0"/>
      <w:marRight w:val="0"/>
      <w:marTop w:val="0"/>
      <w:marBottom w:val="0"/>
      <w:divBdr>
        <w:top w:val="none" w:sz="0" w:space="0" w:color="auto"/>
        <w:left w:val="none" w:sz="0" w:space="0" w:color="auto"/>
        <w:bottom w:val="none" w:sz="0" w:space="0" w:color="auto"/>
        <w:right w:val="none" w:sz="0" w:space="0" w:color="auto"/>
      </w:divBdr>
    </w:div>
    <w:div w:id="1097747525">
      <w:bodyDiv w:val="1"/>
      <w:marLeft w:val="0"/>
      <w:marRight w:val="0"/>
      <w:marTop w:val="0"/>
      <w:marBottom w:val="0"/>
      <w:divBdr>
        <w:top w:val="none" w:sz="0" w:space="0" w:color="auto"/>
        <w:left w:val="none" w:sz="0" w:space="0" w:color="auto"/>
        <w:bottom w:val="none" w:sz="0" w:space="0" w:color="auto"/>
        <w:right w:val="none" w:sz="0" w:space="0" w:color="auto"/>
      </w:divBdr>
    </w:div>
    <w:div w:id="1111781289">
      <w:bodyDiv w:val="1"/>
      <w:marLeft w:val="0"/>
      <w:marRight w:val="0"/>
      <w:marTop w:val="0"/>
      <w:marBottom w:val="0"/>
      <w:divBdr>
        <w:top w:val="none" w:sz="0" w:space="0" w:color="auto"/>
        <w:left w:val="none" w:sz="0" w:space="0" w:color="auto"/>
        <w:bottom w:val="none" w:sz="0" w:space="0" w:color="auto"/>
        <w:right w:val="none" w:sz="0" w:space="0" w:color="auto"/>
      </w:divBdr>
    </w:div>
    <w:div w:id="1295062305">
      <w:bodyDiv w:val="1"/>
      <w:marLeft w:val="0"/>
      <w:marRight w:val="0"/>
      <w:marTop w:val="0"/>
      <w:marBottom w:val="0"/>
      <w:divBdr>
        <w:top w:val="none" w:sz="0" w:space="0" w:color="auto"/>
        <w:left w:val="none" w:sz="0" w:space="0" w:color="auto"/>
        <w:bottom w:val="none" w:sz="0" w:space="0" w:color="auto"/>
        <w:right w:val="none" w:sz="0" w:space="0" w:color="auto"/>
      </w:divBdr>
    </w:div>
    <w:div w:id="1301226324">
      <w:bodyDiv w:val="1"/>
      <w:marLeft w:val="0"/>
      <w:marRight w:val="0"/>
      <w:marTop w:val="0"/>
      <w:marBottom w:val="0"/>
      <w:divBdr>
        <w:top w:val="none" w:sz="0" w:space="0" w:color="auto"/>
        <w:left w:val="none" w:sz="0" w:space="0" w:color="auto"/>
        <w:bottom w:val="none" w:sz="0" w:space="0" w:color="auto"/>
        <w:right w:val="none" w:sz="0" w:space="0" w:color="auto"/>
      </w:divBdr>
    </w:div>
    <w:div w:id="1353147147">
      <w:bodyDiv w:val="1"/>
      <w:marLeft w:val="0"/>
      <w:marRight w:val="0"/>
      <w:marTop w:val="0"/>
      <w:marBottom w:val="0"/>
      <w:divBdr>
        <w:top w:val="none" w:sz="0" w:space="0" w:color="auto"/>
        <w:left w:val="none" w:sz="0" w:space="0" w:color="auto"/>
        <w:bottom w:val="none" w:sz="0" w:space="0" w:color="auto"/>
        <w:right w:val="none" w:sz="0" w:space="0" w:color="auto"/>
      </w:divBdr>
    </w:div>
    <w:div w:id="1361203532">
      <w:bodyDiv w:val="1"/>
      <w:marLeft w:val="0"/>
      <w:marRight w:val="0"/>
      <w:marTop w:val="0"/>
      <w:marBottom w:val="0"/>
      <w:divBdr>
        <w:top w:val="none" w:sz="0" w:space="0" w:color="auto"/>
        <w:left w:val="none" w:sz="0" w:space="0" w:color="auto"/>
        <w:bottom w:val="none" w:sz="0" w:space="0" w:color="auto"/>
        <w:right w:val="none" w:sz="0" w:space="0" w:color="auto"/>
      </w:divBdr>
    </w:div>
    <w:div w:id="1374227506">
      <w:bodyDiv w:val="1"/>
      <w:marLeft w:val="0"/>
      <w:marRight w:val="0"/>
      <w:marTop w:val="0"/>
      <w:marBottom w:val="0"/>
      <w:divBdr>
        <w:top w:val="none" w:sz="0" w:space="0" w:color="auto"/>
        <w:left w:val="none" w:sz="0" w:space="0" w:color="auto"/>
        <w:bottom w:val="none" w:sz="0" w:space="0" w:color="auto"/>
        <w:right w:val="none" w:sz="0" w:space="0" w:color="auto"/>
      </w:divBdr>
    </w:div>
    <w:div w:id="1422947385">
      <w:bodyDiv w:val="1"/>
      <w:marLeft w:val="0"/>
      <w:marRight w:val="0"/>
      <w:marTop w:val="0"/>
      <w:marBottom w:val="0"/>
      <w:divBdr>
        <w:top w:val="none" w:sz="0" w:space="0" w:color="auto"/>
        <w:left w:val="none" w:sz="0" w:space="0" w:color="auto"/>
        <w:bottom w:val="none" w:sz="0" w:space="0" w:color="auto"/>
        <w:right w:val="none" w:sz="0" w:space="0" w:color="auto"/>
      </w:divBdr>
    </w:div>
    <w:div w:id="1438720523">
      <w:bodyDiv w:val="1"/>
      <w:marLeft w:val="0"/>
      <w:marRight w:val="0"/>
      <w:marTop w:val="0"/>
      <w:marBottom w:val="0"/>
      <w:divBdr>
        <w:top w:val="none" w:sz="0" w:space="0" w:color="auto"/>
        <w:left w:val="none" w:sz="0" w:space="0" w:color="auto"/>
        <w:bottom w:val="none" w:sz="0" w:space="0" w:color="auto"/>
        <w:right w:val="none" w:sz="0" w:space="0" w:color="auto"/>
      </w:divBdr>
    </w:div>
    <w:div w:id="1504588981">
      <w:bodyDiv w:val="1"/>
      <w:marLeft w:val="0"/>
      <w:marRight w:val="0"/>
      <w:marTop w:val="0"/>
      <w:marBottom w:val="0"/>
      <w:divBdr>
        <w:top w:val="none" w:sz="0" w:space="0" w:color="auto"/>
        <w:left w:val="none" w:sz="0" w:space="0" w:color="auto"/>
        <w:bottom w:val="none" w:sz="0" w:space="0" w:color="auto"/>
        <w:right w:val="none" w:sz="0" w:space="0" w:color="auto"/>
      </w:divBdr>
    </w:div>
    <w:div w:id="1547185376">
      <w:bodyDiv w:val="1"/>
      <w:marLeft w:val="0"/>
      <w:marRight w:val="0"/>
      <w:marTop w:val="0"/>
      <w:marBottom w:val="0"/>
      <w:divBdr>
        <w:top w:val="none" w:sz="0" w:space="0" w:color="auto"/>
        <w:left w:val="none" w:sz="0" w:space="0" w:color="auto"/>
        <w:bottom w:val="none" w:sz="0" w:space="0" w:color="auto"/>
        <w:right w:val="none" w:sz="0" w:space="0" w:color="auto"/>
      </w:divBdr>
    </w:div>
    <w:div w:id="1568765857">
      <w:bodyDiv w:val="1"/>
      <w:marLeft w:val="0"/>
      <w:marRight w:val="0"/>
      <w:marTop w:val="0"/>
      <w:marBottom w:val="0"/>
      <w:divBdr>
        <w:top w:val="none" w:sz="0" w:space="0" w:color="auto"/>
        <w:left w:val="none" w:sz="0" w:space="0" w:color="auto"/>
        <w:bottom w:val="none" w:sz="0" w:space="0" w:color="auto"/>
        <w:right w:val="none" w:sz="0" w:space="0" w:color="auto"/>
      </w:divBdr>
    </w:div>
    <w:div w:id="1585803386">
      <w:bodyDiv w:val="1"/>
      <w:marLeft w:val="0"/>
      <w:marRight w:val="0"/>
      <w:marTop w:val="0"/>
      <w:marBottom w:val="0"/>
      <w:divBdr>
        <w:top w:val="none" w:sz="0" w:space="0" w:color="auto"/>
        <w:left w:val="none" w:sz="0" w:space="0" w:color="auto"/>
        <w:bottom w:val="none" w:sz="0" w:space="0" w:color="auto"/>
        <w:right w:val="none" w:sz="0" w:space="0" w:color="auto"/>
      </w:divBdr>
    </w:div>
    <w:div w:id="1730111100">
      <w:bodyDiv w:val="1"/>
      <w:marLeft w:val="0"/>
      <w:marRight w:val="0"/>
      <w:marTop w:val="0"/>
      <w:marBottom w:val="0"/>
      <w:divBdr>
        <w:top w:val="none" w:sz="0" w:space="0" w:color="auto"/>
        <w:left w:val="none" w:sz="0" w:space="0" w:color="auto"/>
        <w:bottom w:val="none" w:sz="0" w:space="0" w:color="auto"/>
        <w:right w:val="none" w:sz="0" w:space="0" w:color="auto"/>
      </w:divBdr>
    </w:div>
    <w:div w:id="1882667874">
      <w:bodyDiv w:val="1"/>
      <w:marLeft w:val="0"/>
      <w:marRight w:val="0"/>
      <w:marTop w:val="0"/>
      <w:marBottom w:val="0"/>
      <w:divBdr>
        <w:top w:val="none" w:sz="0" w:space="0" w:color="auto"/>
        <w:left w:val="none" w:sz="0" w:space="0" w:color="auto"/>
        <w:bottom w:val="none" w:sz="0" w:space="0" w:color="auto"/>
        <w:right w:val="none" w:sz="0" w:space="0" w:color="auto"/>
      </w:divBdr>
    </w:div>
    <w:div w:id="1974670276">
      <w:bodyDiv w:val="1"/>
      <w:marLeft w:val="0"/>
      <w:marRight w:val="0"/>
      <w:marTop w:val="0"/>
      <w:marBottom w:val="0"/>
      <w:divBdr>
        <w:top w:val="none" w:sz="0" w:space="0" w:color="auto"/>
        <w:left w:val="none" w:sz="0" w:space="0" w:color="auto"/>
        <w:bottom w:val="none" w:sz="0" w:space="0" w:color="auto"/>
        <w:right w:val="none" w:sz="0" w:space="0" w:color="auto"/>
      </w:divBdr>
    </w:div>
    <w:div w:id="1990745123">
      <w:bodyDiv w:val="1"/>
      <w:marLeft w:val="0"/>
      <w:marRight w:val="0"/>
      <w:marTop w:val="0"/>
      <w:marBottom w:val="0"/>
      <w:divBdr>
        <w:top w:val="none" w:sz="0" w:space="0" w:color="auto"/>
        <w:left w:val="none" w:sz="0" w:space="0" w:color="auto"/>
        <w:bottom w:val="none" w:sz="0" w:space="0" w:color="auto"/>
        <w:right w:val="none" w:sz="0" w:space="0" w:color="auto"/>
      </w:divBdr>
    </w:div>
    <w:div w:id="2026400444">
      <w:bodyDiv w:val="1"/>
      <w:marLeft w:val="0"/>
      <w:marRight w:val="0"/>
      <w:marTop w:val="0"/>
      <w:marBottom w:val="0"/>
      <w:divBdr>
        <w:top w:val="none" w:sz="0" w:space="0" w:color="auto"/>
        <w:left w:val="none" w:sz="0" w:space="0" w:color="auto"/>
        <w:bottom w:val="none" w:sz="0" w:space="0" w:color="auto"/>
        <w:right w:val="none" w:sz="0" w:space="0" w:color="auto"/>
      </w:divBdr>
    </w:div>
    <w:div w:id="2028947088">
      <w:bodyDiv w:val="1"/>
      <w:marLeft w:val="0"/>
      <w:marRight w:val="0"/>
      <w:marTop w:val="0"/>
      <w:marBottom w:val="0"/>
      <w:divBdr>
        <w:top w:val="none" w:sz="0" w:space="0" w:color="auto"/>
        <w:left w:val="none" w:sz="0" w:space="0" w:color="auto"/>
        <w:bottom w:val="none" w:sz="0" w:space="0" w:color="auto"/>
        <w:right w:val="none" w:sz="0" w:space="0" w:color="auto"/>
      </w:divBdr>
    </w:div>
    <w:div w:id="2102334930">
      <w:bodyDiv w:val="1"/>
      <w:marLeft w:val="0"/>
      <w:marRight w:val="0"/>
      <w:marTop w:val="0"/>
      <w:marBottom w:val="0"/>
      <w:divBdr>
        <w:top w:val="none" w:sz="0" w:space="0" w:color="auto"/>
        <w:left w:val="none" w:sz="0" w:space="0" w:color="auto"/>
        <w:bottom w:val="none" w:sz="0" w:space="0" w:color="auto"/>
        <w:right w:val="none" w:sz="0" w:space="0" w:color="auto"/>
      </w:divBdr>
    </w:div>
    <w:div w:id="2119061186">
      <w:bodyDiv w:val="1"/>
      <w:marLeft w:val="0"/>
      <w:marRight w:val="0"/>
      <w:marTop w:val="0"/>
      <w:marBottom w:val="0"/>
      <w:divBdr>
        <w:top w:val="none" w:sz="0" w:space="0" w:color="auto"/>
        <w:left w:val="none" w:sz="0" w:space="0" w:color="auto"/>
        <w:bottom w:val="none" w:sz="0" w:space="0" w:color="auto"/>
        <w:right w:val="none" w:sz="0" w:space="0" w:color="auto"/>
      </w:divBdr>
    </w:div>
    <w:div w:id="213235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jmv.28320" TargetMode="External"/><Relationship Id="rId13" Type="http://schemas.openxmlformats.org/officeDocument/2006/relationships/hyperlink" Target="https://doi.org/10.1016/j.eclinm.2022.101368" TargetMode="External"/><Relationship Id="rId18" Type="http://schemas.openxmlformats.org/officeDocument/2006/relationships/hyperlink" Target="https://doi.org/10.1371/journal.pmed.1004102" TargetMode="External"/><Relationship Id="rId26" Type="http://schemas.openxmlformats.org/officeDocument/2006/relationships/hyperlink" Target="https://doi.org/10.1016/j.numecd.2022.07.021" TargetMode="External"/><Relationship Id="rId3" Type="http://schemas.openxmlformats.org/officeDocument/2006/relationships/styles" Target="styles.xml"/><Relationship Id="rId21" Type="http://schemas.openxmlformats.org/officeDocument/2006/relationships/hyperlink" Target="https://doi.org/10.24875/AIDSRev.M25000081"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foodchem.2024.140449" TargetMode="External"/><Relationship Id="rId17" Type="http://schemas.openxmlformats.org/officeDocument/2006/relationships/hyperlink" Target="https://doi.org/10.1016/j.numecd.2025.104110" TargetMode="External"/><Relationship Id="rId25" Type="http://schemas.openxmlformats.org/officeDocument/2006/relationships/hyperlink" Target="https://doi.org/10.3390/ijms23073507"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55/2022/4714914" TargetMode="External"/><Relationship Id="rId20" Type="http://schemas.openxmlformats.org/officeDocument/2006/relationships/hyperlink" Target="https://doi.org/10.3851/IMP3287" TargetMode="External"/><Relationship Id="rId29" Type="http://schemas.openxmlformats.org/officeDocument/2006/relationships/hyperlink" Target="https://doi.org/10.3390/molecules270101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ntiox13030331" TargetMode="External"/><Relationship Id="rId24" Type="http://schemas.openxmlformats.org/officeDocument/2006/relationships/hyperlink" Target="https://doi.org/10.3390/ijms24181436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97/MS9.0000000000003465" TargetMode="External"/><Relationship Id="rId23" Type="http://schemas.openxmlformats.org/officeDocument/2006/relationships/hyperlink" Target="https://doi.org/10.1186/s12981-024-00694-5" TargetMode="External"/><Relationship Id="rId28" Type="http://schemas.openxmlformats.org/officeDocument/2006/relationships/hyperlink" Target="https://doi.org/10.3390/life14040449" TargetMode="External"/><Relationship Id="rId36" Type="http://schemas.openxmlformats.org/officeDocument/2006/relationships/footer" Target="footer3.xml"/><Relationship Id="rId10" Type="http://schemas.openxmlformats.org/officeDocument/2006/relationships/hyperlink" Target="https://doi.org/10.3390/antiox13030331" TargetMode="External"/><Relationship Id="rId19" Type="http://schemas.openxmlformats.org/officeDocument/2006/relationships/hyperlink" Target="https://doi.org/10.3389/fnut.2025.153132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7/03000605251370323" TargetMode="External"/><Relationship Id="rId14" Type="http://schemas.openxmlformats.org/officeDocument/2006/relationships/hyperlink" Target="https://doi.org/10.1016/j.ctim.2023.102955" TargetMode="External"/><Relationship Id="rId22" Type="http://schemas.openxmlformats.org/officeDocument/2006/relationships/hyperlink" Target="https://doi.org/10.26355/eurrev_202305_32332" TargetMode="External"/><Relationship Id="rId27" Type="http://schemas.openxmlformats.org/officeDocument/2006/relationships/hyperlink" Target="https://doi.org/10.3390/ijms231911905" TargetMode="External"/><Relationship Id="rId30" Type="http://schemas.openxmlformats.org/officeDocument/2006/relationships/hyperlink" Target="https://doi.org/10.3390/pharmaceutics13111798"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FECAA-3AF3-4BB2-BE6B-C321DF36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3060</TotalTime>
  <Pages>15</Pages>
  <Words>6313</Words>
  <Characters>35989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 GP 005</cp:lastModifiedBy>
  <cp:revision>21</cp:revision>
  <dcterms:created xsi:type="dcterms:W3CDTF">2025-09-02T16:12:00Z</dcterms:created>
  <dcterms:modified xsi:type="dcterms:W3CDTF">2025-10-03T07:00:00Z</dcterms:modified>
</cp:coreProperties>
</file>