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E7E" w:rsidRPr="001821F6" w:rsidRDefault="00674A97" w:rsidP="00046738">
      <w:pPr>
        <w:rPr>
          <w:rFonts w:ascii="Times New Roman" w:hAnsi="Times New Roman" w:cs="Times New Roman"/>
          <w:color w:val="FF0000"/>
          <w:sz w:val="24"/>
          <w:szCs w:val="24"/>
        </w:rPr>
      </w:pPr>
      <w:r w:rsidRPr="001821F6">
        <w:rPr>
          <w:rFonts w:ascii="Times New Roman" w:hAnsi="Times New Roman" w:cs="Times New Roman"/>
          <w:color w:val="FF0000"/>
          <w:sz w:val="24"/>
          <w:szCs w:val="24"/>
        </w:rPr>
        <w:t xml:space="preserve">Assessing </w:t>
      </w:r>
      <w:proofErr w:type="gramStart"/>
      <w:r w:rsidRPr="001821F6">
        <w:rPr>
          <w:rFonts w:ascii="Times New Roman" w:hAnsi="Times New Roman" w:cs="Times New Roman"/>
          <w:color w:val="FF0000"/>
          <w:sz w:val="24"/>
          <w:szCs w:val="24"/>
        </w:rPr>
        <w:t>The</w:t>
      </w:r>
      <w:proofErr w:type="gramEnd"/>
      <w:r w:rsidRPr="001821F6">
        <w:rPr>
          <w:rFonts w:ascii="Times New Roman" w:hAnsi="Times New Roman" w:cs="Times New Roman"/>
          <w:color w:val="FF0000"/>
          <w:sz w:val="24"/>
          <w:szCs w:val="24"/>
        </w:rPr>
        <w:t xml:space="preserve"> Vulnerability Of Soil Nutrient To Climatic Stressors In Adamawa State, Nigeria</w:t>
      </w:r>
    </w:p>
    <w:p w:rsidR="004A69B2" w:rsidRPr="001821F6" w:rsidRDefault="008F2983" w:rsidP="004A69B2">
      <w:pPr>
        <w:spacing w:before="100" w:beforeAutospacing="1" w:after="100" w:afterAutospacing="1"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 xml:space="preserve">ABSTRACT  </w:t>
      </w:r>
    </w:p>
    <w:p w:rsidR="00AD020F" w:rsidRPr="001821F6" w:rsidRDefault="004A69B2" w:rsidP="00CA6329">
      <w:pPr>
        <w:spacing w:line="240" w:lineRule="auto"/>
        <w:jc w:val="both"/>
        <w:rPr>
          <w:rFonts w:ascii="Times New Roman" w:hAnsi="Times New Roman" w:cs="Times New Roman"/>
          <w:sz w:val="24"/>
          <w:szCs w:val="24"/>
        </w:rPr>
      </w:pPr>
      <w:r w:rsidRPr="001821F6">
        <w:rPr>
          <w:rFonts w:ascii="Times New Roman" w:hAnsi="Times New Roman" w:cs="Times New Roman"/>
          <w:sz w:val="24"/>
          <w:szCs w:val="24"/>
        </w:rPr>
        <w:t xml:space="preserve">Soil fertility in sub-Saharan Africa is increasingly affected by climatic stressors that </w:t>
      </w:r>
      <w:r w:rsidR="00203831" w:rsidRPr="001821F6">
        <w:rPr>
          <w:rFonts w:ascii="Times New Roman" w:hAnsi="Times New Roman" w:cs="Times New Roman"/>
          <w:sz w:val="24"/>
          <w:szCs w:val="24"/>
        </w:rPr>
        <w:t xml:space="preserve">accelerate </w:t>
      </w:r>
      <w:r w:rsidRPr="001821F6">
        <w:rPr>
          <w:rFonts w:ascii="Times New Roman" w:hAnsi="Times New Roman" w:cs="Times New Roman"/>
          <w:sz w:val="24"/>
          <w:szCs w:val="24"/>
        </w:rPr>
        <w:t xml:space="preserve">nutrient loss and threaten farming sustainability. In Adamawa State, Nigeria, where many people depend on agriculture, rising temperatures, inconsistent rainfall, and frequent floods make soil degradation worse. </w:t>
      </w:r>
      <w:r w:rsidR="00E53366" w:rsidRPr="001821F6">
        <w:rPr>
          <w:rFonts w:ascii="Times New Roman" w:hAnsi="Times New Roman" w:cs="Times New Roman"/>
          <w:sz w:val="24"/>
          <w:szCs w:val="24"/>
        </w:rPr>
        <w:t>This study assesses</w:t>
      </w:r>
      <w:r w:rsidR="00AD020F" w:rsidRPr="001821F6">
        <w:rPr>
          <w:rFonts w:ascii="Times New Roman" w:hAnsi="Times New Roman" w:cs="Times New Roman"/>
          <w:sz w:val="24"/>
          <w:szCs w:val="24"/>
        </w:rPr>
        <w:t xml:space="preserve"> the vulnerability of soil nutrients to climate change impacts </w:t>
      </w:r>
      <w:r w:rsidRPr="001821F6">
        <w:rPr>
          <w:rFonts w:ascii="Times New Roman" w:hAnsi="Times New Roman" w:cs="Times New Roman"/>
          <w:sz w:val="24"/>
          <w:szCs w:val="24"/>
        </w:rPr>
        <w:t xml:space="preserve">by using soil sampling, lab analysis, and long-term weather data. Composite soil samples were taken at two depths (0–30 cm and 30–60 cm). Rainfall, temperature, and relative humidity records from 2001 to 2021 were analyzed along with rainfall erosivity data and recorded flood events. </w:t>
      </w:r>
      <w:r w:rsidR="00176310" w:rsidRPr="001821F6">
        <w:rPr>
          <w:rFonts w:ascii="Times New Roman" w:hAnsi="Times New Roman" w:cs="Times New Roman"/>
          <w:sz w:val="24"/>
          <w:szCs w:val="24"/>
        </w:rPr>
        <w:t>The study adopted Pearson correlation and paired t-tests for its s</w:t>
      </w:r>
      <w:r w:rsidR="000548AB" w:rsidRPr="001821F6">
        <w:rPr>
          <w:rFonts w:ascii="Times New Roman" w:hAnsi="Times New Roman" w:cs="Times New Roman"/>
          <w:sz w:val="24"/>
          <w:szCs w:val="24"/>
        </w:rPr>
        <w:t xml:space="preserve">tatistical analyses, </w:t>
      </w:r>
      <w:r w:rsidR="00176310" w:rsidRPr="001821F6">
        <w:rPr>
          <w:rFonts w:ascii="Times New Roman" w:hAnsi="Times New Roman" w:cs="Times New Roman"/>
          <w:sz w:val="24"/>
          <w:szCs w:val="24"/>
        </w:rPr>
        <w:t xml:space="preserve">the findings </w:t>
      </w:r>
      <w:r w:rsidR="000548AB" w:rsidRPr="001821F6">
        <w:rPr>
          <w:rFonts w:ascii="Times New Roman" w:hAnsi="Times New Roman" w:cs="Times New Roman"/>
          <w:sz w:val="24"/>
          <w:szCs w:val="24"/>
        </w:rPr>
        <w:t>revealed significant negative correlations between rainfall and phosphorus (r = –0.68), potassium (r = –0.54), and organic matter (r = –0.63), particularly in surface soils. Flood events significantly reduced phosphorus (p &lt; 0.001), potassium (p = 0.003), and microbial biomass carbon (p = 0.004). Rainfall erosivity exhibited marked interannual variability, peaking in 2008, 2012, 2014, 2018, 2019, and 2021. The study concludes that surface soils in Adamawa are highly vulnerable to climatic stressors and recommends the adoption of climate-smart soil management and erosion control strategies to enhance resilience and sustain agricultural productivity.</w:t>
      </w:r>
    </w:p>
    <w:p w:rsidR="00AD020F" w:rsidRPr="001821F6" w:rsidRDefault="00AD020F" w:rsidP="00AD020F">
      <w:pPr>
        <w:spacing w:before="100" w:beforeAutospacing="1" w:after="100" w:afterAutospacing="1" w:line="360" w:lineRule="auto"/>
        <w:jc w:val="both"/>
        <w:rPr>
          <w:rFonts w:ascii="Times New Roman" w:hAnsi="Times New Roman" w:cs="Times New Roman"/>
          <w:i/>
          <w:color w:val="FF0000"/>
          <w:sz w:val="24"/>
          <w:szCs w:val="24"/>
        </w:rPr>
      </w:pPr>
      <w:r w:rsidRPr="001821F6">
        <w:rPr>
          <w:rFonts w:ascii="Times New Roman" w:hAnsi="Times New Roman" w:cs="Times New Roman"/>
          <w:b/>
          <w:i/>
          <w:color w:val="FF0000"/>
          <w:sz w:val="24"/>
          <w:szCs w:val="24"/>
        </w:rPr>
        <w:t>Keyword:</w:t>
      </w:r>
      <w:r w:rsidRPr="001821F6">
        <w:rPr>
          <w:rFonts w:ascii="Times New Roman" w:hAnsi="Times New Roman" w:cs="Times New Roman"/>
          <w:i/>
          <w:color w:val="FF0000"/>
          <w:sz w:val="24"/>
          <w:szCs w:val="24"/>
        </w:rPr>
        <w:t xml:space="preserve"> Climate Change, Rainfall Erosivity</w:t>
      </w:r>
      <w:r w:rsidR="0040177A" w:rsidRPr="001821F6">
        <w:rPr>
          <w:rFonts w:ascii="Times New Roman" w:hAnsi="Times New Roman" w:cs="Times New Roman"/>
          <w:i/>
          <w:color w:val="FF0000"/>
          <w:sz w:val="24"/>
          <w:szCs w:val="24"/>
        </w:rPr>
        <w:t>,</w:t>
      </w:r>
      <w:r w:rsidRPr="001821F6">
        <w:rPr>
          <w:rFonts w:ascii="Times New Roman" w:hAnsi="Times New Roman" w:cs="Times New Roman"/>
          <w:i/>
          <w:color w:val="FF0000"/>
          <w:sz w:val="24"/>
          <w:szCs w:val="24"/>
        </w:rPr>
        <w:t xml:space="preserve"> </w:t>
      </w:r>
      <w:r w:rsidR="0040177A" w:rsidRPr="001821F6">
        <w:rPr>
          <w:rFonts w:ascii="Times New Roman" w:hAnsi="Times New Roman" w:cs="Times New Roman"/>
          <w:i/>
          <w:color w:val="FF0000"/>
          <w:sz w:val="24"/>
          <w:szCs w:val="24"/>
        </w:rPr>
        <w:t>Soil Nutrients and</w:t>
      </w:r>
      <w:r w:rsidR="00C76C30" w:rsidRPr="001821F6">
        <w:rPr>
          <w:rFonts w:ascii="Times New Roman" w:hAnsi="Times New Roman" w:cs="Times New Roman"/>
          <w:i/>
          <w:color w:val="FF0000"/>
          <w:sz w:val="24"/>
          <w:szCs w:val="24"/>
        </w:rPr>
        <w:t xml:space="preserve"> Vulnerability</w:t>
      </w:r>
    </w:p>
    <w:p w:rsidR="00D27EA6" w:rsidRPr="001821F6" w:rsidRDefault="00D27EA6" w:rsidP="008902C6">
      <w:pPr>
        <w:pStyle w:val="ListParagraph"/>
        <w:numPr>
          <w:ilvl w:val="0"/>
          <w:numId w:val="5"/>
        </w:numPr>
        <w:spacing w:before="100" w:beforeAutospacing="1" w:after="100" w:afterAutospacing="1"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 xml:space="preserve">INTRODUCTION </w:t>
      </w:r>
    </w:p>
    <w:p w:rsidR="00BF5EEA" w:rsidRPr="001821F6" w:rsidRDefault="00820AAB" w:rsidP="00BF5EEA">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Soil is one of the most important natural resources that support agricultural productivity, ecosystem stability, and food security. Nevertheless, its fertility and sustainability are under threat because of the accelerating effects of climate change that cause greater variability in temperature, rainfall, and extreme weather (FAO, 2019; Lal, 2020).</w:t>
      </w:r>
      <w:r w:rsidR="000D4E81" w:rsidRPr="001821F6">
        <w:rPr>
          <w:rFonts w:ascii="Times New Roman" w:hAnsi="Times New Roman" w:cs="Times New Roman"/>
          <w:sz w:val="24"/>
          <w:szCs w:val="24"/>
        </w:rPr>
        <w:t xml:space="preserve"> </w:t>
      </w:r>
      <w:r w:rsidR="009952E9" w:rsidRPr="001821F6">
        <w:rPr>
          <w:rFonts w:ascii="Times New Roman" w:hAnsi="Times New Roman" w:cs="Times New Roman"/>
          <w:sz w:val="24"/>
          <w:szCs w:val="24"/>
        </w:rPr>
        <w:t xml:space="preserve">Climatic stressors increasingly affect the availability of the essential soil nutrients (nitrogen, phosphorus, potassium, and organic carbon) that alter soil structure, potential erosion, and biochemical processes (IPCC, 2021; </w:t>
      </w:r>
      <w:proofErr w:type="spellStart"/>
      <w:r w:rsidR="009952E9" w:rsidRPr="001821F6">
        <w:rPr>
          <w:rFonts w:ascii="Times New Roman" w:hAnsi="Times New Roman" w:cs="Times New Roman"/>
          <w:sz w:val="24"/>
          <w:szCs w:val="24"/>
        </w:rPr>
        <w:t>Olaniyi</w:t>
      </w:r>
      <w:proofErr w:type="spellEnd"/>
      <w:r w:rsidR="009952E9" w:rsidRPr="001821F6">
        <w:rPr>
          <w:rFonts w:ascii="Times New Roman" w:hAnsi="Times New Roman" w:cs="Times New Roman"/>
          <w:sz w:val="24"/>
          <w:szCs w:val="24"/>
        </w:rPr>
        <w:t xml:space="preserve"> et al., 2023)</w:t>
      </w:r>
      <w:r w:rsidR="000D4E81" w:rsidRPr="001821F6">
        <w:rPr>
          <w:rFonts w:ascii="Times New Roman" w:hAnsi="Times New Roman" w:cs="Times New Roman"/>
          <w:sz w:val="24"/>
          <w:szCs w:val="24"/>
        </w:rPr>
        <w:t xml:space="preserve">. </w:t>
      </w:r>
      <w:r w:rsidR="00BF5EEA" w:rsidRPr="001821F6">
        <w:rPr>
          <w:rFonts w:ascii="Times New Roman" w:hAnsi="Times New Roman" w:cs="Times New Roman"/>
          <w:sz w:val="24"/>
          <w:szCs w:val="24"/>
        </w:rPr>
        <w:t>Such processes undermine the productive and environmental capabilities of soils, particularly in the tropical areas where farm production largely relies on natural rain inputs.</w:t>
      </w:r>
      <w:r w:rsidR="00217EF6" w:rsidRPr="001821F6">
        <w:rPr>
          <w:rFonts w:ascii="Times New Roman" w:hAnsi="Times New Roman" w:cs="Times New Roman"/>
          <w:sz w:val="24"/>
          <w:szCs w:val="24"/>
        </w:rPr>
        <w:t xml:space="preserve"> Smallholder farmers in sub-Saharan Africa depend on fragile soils that are highly prone to erosion, nutrients loss and degradation as a result of heavy rainfall and lack of conservation methods (</w:t>
      </w:r>
      <w:r w:rsidR="00217EF6" w:rsidRPr="001821F6">
        <w:rPr>
          <w:rFonts w:ascii="Times New Roman" w:hAnsi="Times New Roman" w:cs="Times New Roman"/>
          <w:color w:val="FF0000"/>
          <w:sz w:val="24"/>
          <w:szCs w:val="24"/>
        </w:rPr>
        <w:t>(FAO/CIAT, 2024</w:t>
      </w:r>
      <w:r w:rsidR="00217EF6" w:rsidRPr="001821F6">
        <w:rPr>
          <w:rFonts w:ascii="Times New Roman" w:hAnsi="Times New Roman" w:cs="Times New Roman"/>
          <w:sz w:val="24"/>
          <w:szCs w:val="24"/>
        </w:rPr>
        <w:t>).</w:t>
      </w:r>
    </w:p>
    <w:p w:rsidR="00A83D9E" w:rsidRPr="001821F6" w:rsidRDefault="00A83D9E" w:rsidP="00A83D9E">
      <w:pPr>
        <w:spacing w:line="360" w:lineRule="auto"/>
        <w:jc w:val="both"/>
        <w:rPr>
          <w:rFonts w:ascii="Times New Roman" w:hAnsi="Times New Roman" w:cs="Times New Roman"/>
          <w:color w:val="FF0000"/>
          <w:sz w:val="24"/>
          <w:szCs w:val="24"/>
        </w:rPr>
      </w:pPr>
      <w:r w:rsidRPr="001821F6">
        <w:rPr>
          <w:rFonts w:ascii="Times New Roman" w:hAnsi="Times New Roman" w:cs="Times New Roman"/>
          <w:color w:val="FF0000"/>
          <w:sz w:val="24"/>
          <w:szCs w:val="24"/>
        </w:rPr>
        <w:t xml:space="preserve">Rainfall </w:t>
      </w:r>
      <w:r w:rsidR="00DA5DAE" w:rsidRPr="001821F6">
        <w:rPr>
          <w:rFonts w:ascii="Times New Roman" w:hAnsi="Times New Roman" w:cs="Times New Roman"/>
          <w:color w:val="FF0000"/>
          <w:sz w:val="24"/>
          <w:szCs w:val="24"/>
        </w:rPr>
        <w:t>erosivity the</w:t>
      </w:r>
      <w:r w:rsidRPr="001821F6">
        <w:rPr>
          <w:rFonts w:ascii="Times New Roman" w:hAnsi="Times New Roman" w:cs="Times New Roman"/>
          <w:color w:val="FF0000"/>
          <w:sz w:val="24"/>
          <w:szCs w:val="24"/>
        </w:rPr>
        <w:t xml:space="preserve"> ability of rainfall to detach and transport soil particles is projected to increase across West Africa under future climate scenarios, thereby amplifying soil degradation risks (</w:t>
      </w:r>
      <w:proofErr w:type="spellStart"/>
      <w:r w:rsidRPr="001821F6">
        <w:rPr>
          <w:rFonts w:ascii="Times New Roman" w:hAnsi="Times New Roman" w:cs="Times New Roman"/>
          <w:color w:val="FF0000"/>
          <w:sz w:val="24"/>
          <w:szCs w:val="24"/>
        </w:rPr>
        <w:t>Adeyeri</w:t>
      </w:r>
      <w:proofErr w:type="spellEnd"/>
      <w:r w:rsidRPr="001821F6">
        <w:rPr>
          <w:rFonts w:ascii="Times New Roman" w:hAnsi="Times New Roman" w:cs="Times New Roman"/>
          <w:color w:val="FF0000"/>
          <w:sz w:val="24"/>
          <w:szCs w:val="24"/>
        </w:rPr>
        <w:t xml:space="preserve"> et al., 2024; </w:t>
      </w:r>
      <w:proofErr w:type="spellStart"/>
      <w:r w:rsidRPr="001821F6">
        <w:rPr>
          <w:rFonts w:ascii="Times New Roman" w:hAnsi="Times New Roman" w:cs="Times New Roman"/>
          <w:color w:val="FF0000"/>
          <w:sz w:val="24"/>
          <w:szCs w:val="24"/>
        </w:rPr>
        <w:t>Panagos</w:t>
      </w:r>
      <w:proofErr w:type="spellEnd"/>
      <w:r w:rsidRPr="001821F6">
        <w:rPr>
          <w:rFonts w:ascii="Times New Roman" w:hAnsi="Times New Roman" w:cs="Times New Roman"/>
          <w:color w:val="FF0000"/>
          <w:sz w:val="24"/>
          <w:szCs w:val="24"/>
        </w:rPr>
        <w:t xml:space="preserve"> et al., 2017). </w:t>
      </w:r>
      <w:r w:rsidR="008B355D" w:rsidRPr="001821F6">
        <w:rPr>
          <w:rFonts w:ascii="Times New Roman" w:hAnsi="Times New Roman" w:cs="Times New Roman"/>
          <w:sz w:val="24"/>
          <w:szCs w:val="24"/>
        </w:rPr>
        <w:t xml:space="preserve">In a similar manner, floods </w:t>
      </w:r>
      <w:r w:rsidR="008B355D" w:rsidRPr="001821F6">
        <w:rPr>
          <w:rFonts w:ascii="Times New Roman" w:hAnsi="Times New Roman" w:cs="Times New Roman"/>
          <w:sz w:val="24"/>
          <w:szCs w:val="24"/>
        </w:rPr>
        <w:lastRenderedPageBreak/>
        <w:t>have become one of the primary causes of soil nutrient degradation, as they destroy soil aggregates, intensify leaching, and limit the availability of oxygen in the root zone</w:t>
      </w:r>
      <w:r w:rsidR="008B355D" w:rsidRPr="001821F6">
        <w:rPr>
          <w:rFonts w:ascii="Times New Roman" w:hAnsi="Times New Roman" w:cs="Times New Roman"/>
          <w:color w:val="FF0000"/>
          <w:sz w:val="24"/>
          <w:szCs w:val="24"/>
        </w:rPr>
        <w:t xml:space="preserve"> </w:t>
      </w:r>
      <w:r w:rsidRPr="001821F6">
        <w:rPr>
          <w:rFonts w:ascii="Times New Roman" w:hAnsi="Times New Roman" w:cs="Times New Roman"/>
          <w:color w:val="FF0000"/>
          <w:sz w:val="24"/>
          <w:szCs w:val="24"/>
        </w:rPr>
        <w:t>(</w:t>
      </w:r>
      <w:proofErr w:type="spellStart"/>
      <w:r w:rsidRPr="001821F6">
        <w:rPr>
          <w:rFonts w:ascii="Times New Roman" w:hAnsi="Times New Roman" w:cs="Times New Roman"/>
          <w:color w:val="FF0000"/>
          <w:sz w:val="24"/>
          <w:szCs w:val="24"/>
        </w:rPr>
        <w:t>Adeleye</w:t>
      </w:r>
      <w:proofErr w:type="spellEnd"/>
      <w:r w:rsidRPr="001821F6">
        <w:rPr>
          <w:rFonts w:ascii="Times New Roman" w:hAnsi="Times New Roman" w:cs="Times New Roman"/>
          <w:color w:val="FF0000"/>
          <w:sz w:val="24"/>
          <w:szCs w:val="24"/>
        </w:rPr>
        <w:t xml:space="preserve"> &amp; Osakwe, 2014). These climatic stressors cumulatively undermine soil fertility, crop yields and livelihood resilience in vulnerable agricultural regions.</w:t>
      </w:r>
      <w:r w:rsidR="008B355D" w:rsidRPr="001821F6">
        <w:rPr>
          <w:rFonts w:ascii="Times New Roman" w:hAnsi="Times New Roman" w:cs="Times New Roman"/>
          <w:sz w:val="24"/>
          <w:szCs w:val="24"/>
        </w:rPr>
        <w:t xml:space="preserve"> </w:t>
      </w:r>
    </w:p>
    <w:p w:rsidR="000D4E81" w:rsidRPr="001821F6" w:rsidRDefault="000D4E81" w:rsidP="000D4E81">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In Nigeria, studies</w:t>
      </w:r>
      <w:r w:rsidR="008B355D" w:rsidRPr="001821F6">
        <w:rPr>
          <w:rFonts w:ascii="Times New Roman" w:hAnsi="Times New Roman" w:cs="Times New Roman"/>
          <w:sz w:val="24"/>
          <w:szCs w:val="24"/>
        </w:rPr>
        <w:t xml:space="preserve"> conducted that are link</w:t>
      </w:r>
      <w:r w:rsidR="001B2592" w:rsidRPr="001821F6">
        <w:rPr>
          <w:rFonts w:ascii="Times New Roman" w:hAnsi="Times New Roman" w:cs="Times New Roman"/>
          <w:sz w:val="24"/>
          <w:szCs w:val="24"/>
        </w:rPr>
        <w:t xml:space="preserve"> to</w:t>
      </w:r>
      <w:r w:rsidRPr="001821F6">
        <w:rPr>
          <w:rFonts w:ascii="Times New Roman" w:hAnsi="Times New Roman" w:cs="Times New Roman"/>
          <w:sz w:val="24"/>
          <w:szCs w:val="24"/>
        </w:rPr>
        <w:t xml:space="preserve"> climate-induced stressors such as rainfall erosivity, weather variability, and floods to soil nutrient dynamics remain limited. Most existing assessments are either localized or focused on erosion rates without integrating broader climatic and biophysical interactions (</w:t>
      </w:r>
      <w:proofErr w:type="spellStart"/>
      <w:r w:rsidRPr="001821F6">
        <w:rPr>
          <w:rFonts w:ascii="Times New Roman" w:hAnsi="Times New Roman" w:cs="Times New Roman"/>
          <w:sz w:val="24"/>
          <w:szCs w:val="24"/>
        </w:rPr>
        <w:t>Adefisan</w:t>
      </w:r>
      <w:proofErr w:type="spellEnd"/>
      <w:r w:rsidRPr="001821F6">
        <w:rPr>
          <w:rFonts w:ascii="Times New Roman" w:hAnsi="Times New Roman" w:cs="Times New Roman"/>
          <w:sz w:val="24"/>
          <w:szCs w:val="24"/>
        </w:rPr>
        <w:t>, 2017; Lal, 2015). Consequently, the design of soil management policies and adaptation frameworks still relies on generalized recommendations that fail to capture regional differences in climate and soil response (IPCC, 2021). This knowledge gap is particularly critical in Adamawa State, a climate-sensitive area where unpredictable rainfall, seasonal flooding, and unsustainable land use practices exacerbate soil nutrient depletion.</w:t>
      </w:r>
    </w:p>
    <w:p w:rsidR="008E1562" w:rsidRPr="001821F6" w:rsidRDefault="008E1562" w:rsidP="008E1562">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Thus, the research was designed to assess the vulnerability of soil nutrients to climatic stressors in Adamawa State in Nigeria. The study, in particular, explores the correlations between weather variables and soil nutrient levels, examines the spatiotemporal change of rainfall erosivity and the effect of floods on the soil nutrient level. The research offers evidence-based information that could be used to encourage climate-sensitive soil management and adaptive farming planning in the area.</w:t>
      </w:r>
    </w:p>
    <w:p w:rsidR="004C539D" w:rsidRPr="001821F6" w:rsidRDefault="004C539D" w:rsidP="0055717D">
      <w:pPr>
        <w:spacing w:line="360" w:lineRule="auto"/>
        <w:jc w:val="both"/>
        <w:rPr>
          <w:rFonts w:ascii="Times New Roman" w:hAnsi="Times New Roman" w:cs="Times New Roman"/>
          <w:b/>
          <w:bCs/>
          <w:sz w:val="24"/>
          <w:szCs w:val="24"/>
        </w:rPr>
      </w:pPr>
      <w:r w:rsidRPr="001821F6">
        <w:rPr>
          <w:rFonts w:ascii="Times New Roman" w:hAnsi="Times New Roman" w:cs="Times New Roman"/>
          <w:b/>
          <w:bCs/>
          <w:sz w:val="24"/>
          <w:szCs w:val="24"/>
        </w:rPr>
        <w:t>MATERIALS AND METHODS</w:t>
      </w:r>
    </w:p>
    <w:p w:rsidR="00A91D40" w:rsidRPr="001821F6" w:rsidRDefault="00295A83" w:rsidP="00A91D40">
      <w:pPr>
        <w:spacing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 xml:space="preserve">2.1 </w:t>
      </w:r>
      <w:r w:rsidR="00A91D40" w:rsidRPr="001821F6">
        <w:rPr>
          <w:rFonts w:ascii="Times New Roman" w:hAnsi="Times New Roman" w:cs="Times New Roman"/>
          <w:b/>
          <w:sz w:val="24"/>
          <w:szCs w:val="24"/>
        </w:rPr>
        <w:t>Study area</w:t>
      </w:r>
    </w:p>
    <w:p w:rsidR="00A91D40" w:rsidRPr="001821F6" w:rsidRDefault="00A91D40" w:rsidP="00A91D40">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 xml:space="preserve">The study was conducted in Adamawa State, located in northeastern Nigeria, between latitudes 7° and 11°N and longitudes 11° and 14°E. The state is approximately 36,917 km²in size and borders </w:t>
      </w:r>
      <w:proofErr w:type="spellStart"/>
      <w:r w:rsidRPr="001821F6">
        <w:rPr>
          <w:rFonts w:ascii="Times New Roman" w:hAnsi="Times New Roman" w:cs="Times New Roman"/>
          <w:sz w:val="24"/>
          <w:szCs w:val="24"/>
        </w:rPr>
        <w:t>Borno</w:t>
      </w:r>
      <w:proofErr w:type="spellEnd"/>
      <w:r w:rsidRPr="001821F6">
        <w:rPr>
          <w:rFonts w:ascii="Times New Roman" w:hAnsi="Times New Roman" w:cs="Times New Roman"/>
          <w:sz w:val="24"/>
          <w:szCs w:val="24"/>
        </w:rPr>
        <w:t xml:space="preserve"> to the North, Gombe to the West, Taraba to the South, and the </w:t>
      </w:r>
      <w:proofErr w:type="spellStart"/>
      <w:r w:rsidRPr="001821F6">
        <w:rPr>
          <w:rFonts w:ascii="Times New Roman" w:hAnsi="Times New Roman" w:cs="Times New Roman"/>
          <w:sz w:val="24"/>
          <w:szCs w:val="24"/>
        </w:rPr>
        <w:t>Mandara</w:t>
      </w:r>
      <w:proofErr w:type="spellEnd"/>
      <w:r w:rsidRPr="001821F6">
        <w:rPr>
          <w:rFonts w:ascii="Times New Roman" w:hAnsi="Times New Roman" w:cs="Times New Roman"/>
          <w:sz w:val="24"/>
          <w:szCs w:val="24"/>
        </w:rPr>
        <w:t xml:space="preserve"> Mountains and the international border with Cameroon to the East (Britannica, 2024). Geographically, Adamawa presents a diverse landscape, with eastern highlands rising above 1,500 meters that act as watersheds and generate orographic rainfall, central and western undulating plains interspersed with river valleys, and the Benue River basin in the southwest that supports agriculture, fisheries, and hydropower (Adamawa State Government, 2024; Britannica, 2024). The state has two separate seasons in its climate namely the rainy season, which spans April to October, and the dry season, which spans a period of November </w:t>
      </w:r>
      <w:r w:rsidRPr="001821F6">
        <w:rPr>
          <w:rFonts w:ascii="Times New Roman" w:hAnsi="Times New Roman" w:cs="Times New Roman"/>
          <w:sz w:val="24"/>
          <w:szCs w:val="24"/>
        </w:rPr>
        <w:lastRenderedPageBreak/>
        <w:t>to March, mostly depending on the movement of the Intertropical Convergence Zone (ITCZ). Rainfall is very erratic, varying between approximately 700mm/year in the northern region and over 1,600 mm/year in the southern region, and temperatures also vary seasonally, with temperatures reaching up to 41°C in the pre-rainy season (March-May) and down to much lower levels in the harmattan season (December-February) (</w:t>
      </w:r>
      <w:proofErr w:type="spellStart"/>
      <w:r w:rsidRPr="001821F6">
        <w:rPr>
          <w:rFonts w:ascii="Times New Roman" w:hAnsi="Times New Roman" w:cs="Times New Roman"/>
          <w:sz w:val="24"/>
          <w:szCs w:val="24"/>
        </w:rPr>
        <w:t>Ishaya</w:t>
      </w:r>
      <w:proofErr w:type="spellEnd"/>
      <w:r w:rsidRPr="001821F6">
        <w:rPr>
          <w:rFonts w:ascii="Times New Roman" w:hAnsi="Times New Roman" w:cs="Times New Roman"/>
          <w:sz w:val="24"/>
          <w:szCs w:val="24"/>
        </w:rPr>
        <w:t xml:space="preserve"> and </w:t>
      </w:r>
      <w:proofErr w:type="spellStart"/>
      <w:r w:rsidRPr="001821F6">
        <w:rPr>
          <w:rFonts w:ascii="Times New Roman" w:hAnsi="Times New Roman" w:cs="Times New Roman"/>
          <w:sz w:val="24"/>
          <w:szCs w:val="24"/>
        </w:rPr>
        <w:t>Abaje</w:t>
      </w:r>
      <w:proofErr w:type="spellEnd"/>
      <w:r w:rsidRPr="001821F6">
        <w:rPr>
          <w:rFonts w:ascii="Times New Roman" w:hAnsi="Times New Roman" w:cs="Times New Roman"/>
          <w:sz w:val="24"/>
          <w:szCs w:val="24"/>
        </w:rPr>
        <w:t xml:space="preserve">, 2008; </w:t>
      </w:r>
      <w:proofErr w:type="spellStart"/>
      <w:r w:rsidRPr="001821F6">
        <w:rPr>
          <w:rFonts w:ascii="Times New Roman" w:hAnsi="Times New Roman" w:cs="Times New Roman"/>
          <w:sz w:val="24"/>
          <w:szCs w:val="24"/>
        </w:rPr>
        <w:t>Oruonye</w:t>
      </w:r>
      <w:proofErr w:type="spellEnd"/>
      <w:r w:rsidRPr="001821F6">
        <w:rPr>
          <w:rFonts w:ascii="Times New Roman" w:hAnsi="Times New Roman" w:cs="Times New Roman"/>
          <w:sz w:val="24"/>
          <w:szCs w:val="24"/>
        </w:rPr>
        <w:t xml:space="preserve"> and Ahmed, 2020). Such climatic and geographic variables have a direct impact on soil formations; nutrient supply and land utilization, making Adamawa state a sensitive environment for assessing the impacts of climate change on soil nutrient vulnerability.</w:t>
      </w:r>
    </w:p>
    <w:p w:rsidR="00A91D40" w:rsidRPr="001821F6" w:rsidRDefault="00A91D40" w:rsidP="00A91D40">
      <w:pPr>
        <w:spacing w:line="360" w:lineRule="auto"/>
        <w:jc w:val="center"/>
        <w:rPr>
          <w:rFonts w:ascii="Times New Roman" w:hAnsi="Times New Roman" w:cs="Times New Roman"/>
          <w:i/>
          <w:sz w:val="24"/>
          <w:szCs w:val="24"/>
        </w:rPr>
      </w:pPr>
      <w:r w:rsidRPr="001821F6">
        <w:rPr>
          <w:rFonts w:ascii="Times New Roman" w:hAnsi="Times New Roman" w:cs="Times New Roman"/>
          <w:i/>
          <w:noProof/>
          <w:sz w:val="24"/>
          <w:szCs w:val="24"/>
          <w:lang w:val="en-IN" w:eastAsia="en-IN"/>
        </w:rPr>
        <w:drawing>
          <wp:inline distT="0" distB="0" distL="0" distR="0" wp14:anchorId="39ECDE66" wp14:editId="4F1CB304">
            <wp:extent cx="5941022" cy="3824654"/>
            <wp:effectExtent l="19050" t="0" r="2578" b="0"/>
            <wp:docPr id="2" name="Picture 1" descr="C:\Users\Pst Anietie\AppData\Local\Microsoft\Windows\Temporary Internet Files\Content.Word\.trashed-1744946991-IMG-20250318-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 Anietie\AppData\Local\Microsoft\Windows\Temporary Internet Files\Content.Word\.trashed-1744946991-IMG-20250318-WA0000.jpg"/>
                    <pic:cNvPicPr>
                      <a:picLocks noChangeAspect="1" noChangeArrowheads="1"/>
                    </pic:cNvPicPr>
                  </pic:nvPicPr>
                  <pic:blipFill>
                    <a:blip r:embed="rId8"/>
                    <a:srcRect/>
                    <a:stretch>
                      <a:fillRect/>
                    </a:stretch>
                  </pic:blipFill>
                  <pic:spPr bwMode="auto">
                    <a:xfrm>
                      <a:off x="0" y="0"/>
                      <a:ext cx="5943600" cy="3826314"/>
                    </a:xfrm>
                    <a:prstGeom prst="rect">
                      <a:avLst/>
                    </a:prstGeom>
                    <a:noFill/>
                    <a:ln w="9525">
                      <a:noFill/>
                      <a:miter lim="800000"/>
                      <a:headEnd/>
                      <a:tailEnd/>
                    </a:ln>
                  </pic:spPr>
                </pic:pic>
              </a:graphicData>
            </a:graphic>
          </wp:inline>
        </w:drawing>
      </w:r>
    </w:p>
    <w:p w:rsidR="00A91D40" w:rsidRPr="001821F6" w:rsidRDefault="00A91D40" w:rsidP="00A91D40">
      <w:pPr>
        <w:spacing w:line="360" w:lineRule="auto"/>
        <w:jc w:val="center"/>
        <w:rPr>
          <w:rFonts w:ascii="Times New Roman" w:hAnsi="Times New Roman" w:cs="Times New Roman"/>
          <w:b/>
          <w:bCs/>
          <w:i/>
          <w:sz w:val="24"/>
          <w:szCs w:val="24"/>
        </w:rPr>
      </w:pPr>
      <w:r w:rsidRPr="001821F6">
        <w:rPr>
          <w:rFonts w:ascii="Times New Roman" w:hAnsi="Times New Roman" w:cs="Times New Roman"/>
          <w:b/>
          <w:bCs/>
          <w:i/>
          <w:sz w:val="24"/>
          <w:szCs w:val="24"/>
        </w:rPr>
        <w:t>Figure 1: The Map of the Study area</w:t>
      </w:r>
    </w:p>
    <w:p w:rsidR="00A91D40" w:rsidRPr="001821F6" w:rsidRDefault="00A91D40" w:rsidP="00A91D40">
      <w:pPr>
        <w:spacing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2.2 Methods</w:t>
      </w:r>
    </w:p>
    <w:p w:rsidR="00A91D40" w:rsidRPr="001821F6" w:rsidRDefault="00A91D40" w:rsidP="00A91D40">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The study employed the combination of cross-sectional and longitudinal research design to assess the vulnerability of soil nutrients to climate change impacts in Adamawa State, Nigeria. The cross-sectional research design entailed sampling of the soils in six Local Government Areas, 1990 to 2024 (</w:t>
      </w:r>
      <w:proofErr w:type="spellStart"/>
      <w:r w:rsidRPr="001821F6">
        <w:rPr>
          <w:rFonts w:ascii="Times New Roman" w:hAnsi="Times New Roman" w:cs="Times New Roman"/>
          <w:sz w:val="24"/>
          <w:szCs w:val="24"/>
        </w:rPr>
        <w:t>Madagali</w:t>
      </w:r>
      <w:proofErr w:type="spellEnd"/>
      <w:r w:rsidRPr="001821F6">
        <w:rPr>
          <w:rFonts w:ascii="Times New Roman" w:hAnsi="Times New Roman" w:cs="Times New Roman"/>
          <w:sz w:val="24"/>
          <w:szCs w:val="24"/>
        </w:rPr>
        <w:t xml:space="preserve">, Mubi North, </w:t>
      </w:r>
      <w:proofErr w:type="spellStart"/>
      <w:r w:rsidRPr="001821F6">
        <w:rPr>
          <w:rFonts w:ascii="Times New Roman" w:hAnsi="Times New Roman" w:cs="Times New Roman"/>
          <w:sz w:val="24"/>
          <w:szCs w:val="24"/>
        </w:rPr>
        <w:t>Girei</w:t>
      </w:r>
      <w:proofErr w:type="spellEnd"/>
      <w:r w:rsidRPr="001821F6">
        <w:rPr>
          <w:rFonts w:ascii="Times New Roman" w:hAnsi="Times New Roman" w:cs="Times New Roman"/>
          <w:sz w:val="24"/>
          <w:szCs w:val="24"/>
        </w:rPr>
        <w:t>, Yola North, Mayo-</w:t>
      </w:r>
      <w:proofErr w:type="spellStart"/>
      <w:r w:rsidRPr="001821F6">
        <w:rPr>
          <w:rFonts w:ascii="Times New Roman" w:hAnsi="Times New Roman" w:cs="Times New Roman"/>
          <w:sz w:val="24"/>
          <w:szCs w:val="24"/>
        </w:rPr>
        <w:t>Belwa</w:t>
      </w:r>
      <w:proofErr w:type="spellEnd"/>
      <w:r w:rsidRPr="001821F6">
        <w:rPr>
          <w:rFonts w:ascii="Times New Roman" w:hAnsi="Times New Roman" w:cs="Times New Roman"/>
          <w:sz w:val="24"/>
          <w:szCs w:val="24"/>
        </w:rPr>
        <w:t xml:space="preserve">, and </w:t>
      </w:r>
      <w:proofErr w:type="spellStart"/>
      <w:r w:rsidRPr="001821F6">
        <w:rPr>
          <w:rFonts w:ascii="Times New Roman" w:hAnsi="Times New Roman" w:cs="Times New Roman"/>
          <w:sz w:val="24"/>
          <w:szCs w:val="24"/>
        </w:rPr>
        <w:t>Ganye</w:t>
      </w:r>
      <w:proofErr w:type="spellEnd"/>
      <w:r w:rsidRPr="001821F6">
        <w:rPr>
          <w:rFonts w:ascii="Times New Roman" w:hAnsi="Times New Roman" w:cs="Times New Roman"/>
          <w:sz w:val="24"/>
          <w:szCs w:val="24"/>
        </w:rPr>
        <w:t xml:space="preserve">) while longitudinal research design utilized a climatic data of 1990 to 2024 to assess the changing rainfall, temperature, relative humidity, and extreme weather events including floods. This design was selected to make sure that spatial and temporal aspects of </w:t>
      </w:r>
      <w:r w:rsidRPr="001821F6">
        <w:rPr>
          <w:rFonts w:ascii="Times New Roman" w:hAnsi="Times New Roman" w:cs="Times New Roman"/>
          <w:sz w:val="24"/>
          <w:szCs w:val="24"/>
        </w:rPr>
        <w:lastRenderedPageBreak/>
        <w:t xml:space="preserve">soil-climate interactions were represented. To give a reflection of ecological and land-use variability, 42 sites were identified in the six LGAs and soil samples were taken. Sampling was done at two depths, 0-30 cm and 30-60 cm to measure the vertical differences in the soil nutrient dynamics. Nitrogen (N), phosphorus (P), potassium (K), and organic matter and soil pH and microbial biomass carbon were analyzed in laboratories using standard procedures (Anderson and Ingram, 1993; Lal, 2004; </w:t>
      </w:r>
      <w:proofErr w:type="spellStart"/>
      <w:r w:rsidRPr="001821F6">
        <w:rPr>
          <w:rFonts w:ascii="Times New Roman" w:hAnsi="Times New Roman" w:cs="Times New Roman"/>
          <w:sz w:val="24"/>
          <w:szCs w:val="24"/>
        </w:rPr>
        <w:t>Bationo</w:t>
      </w:r>
      <w:proofErr w:type="spellEnd"/>
      <w:r w:rsidRPr="001821F6">
        <w:rPr>
          <w:rFonts w:ascii="Times New Roman" w:hAnsi="Times New Roman" w:cs="Times New Roman"/>
          <w:sz w:val="24"/>
          <w:szCs w:val="24"/>
        </w:rPr>
        <w:t xml:space="preserve"> et al., 2007).</w:t>
      </w:r>
    </w:p>
    <w:p w:rsidR="00FB4DCD" w:rsidRPr="001821F6" w:rsidRDefault="00D006DE" w:rsidP="009B1544">
      <w:pPr>
        <w:spacing w:line="360" w:lineRule="auto"/>
        <w:jc w:val="both"/>
        <w:rPr>
          <w:rFonts w:ascii="Times New Roman" w:hAnsi="Times New Roman" w:cs="Times New Roman"/>
          <w:color w:val="FF0000"/>
          <w:sz w:val="24"/>
          <w:szCs w:val="24"/>
        </w:rPr>
      </w:pPr>
      <w:r w:rsidRPr="001821F6">
        <w:rPr>
          <w:rFonts w:ascii="Times New Roman" w:hAnsi="Times New Roman" w:cs="Times New Roman"/>
          <w:sz w:val="24"/>
          <w:szCs w:val="24"/>
        </w:rPr>
        <w:t>Climatic data were obtained from the Nigerian Meteorological Agency (</w:t>
      </w:r>
      <w:proofErr w:type="spellStart"/>
      <w:r w:rsidRPr="001821F6">
        <w:rPr>
          <w:rFonts w:ascii="Times New Roman" w:hAnsi="Times New Roman" w:cs="Times New Roman"/>
          <w:sz w:val="24"/>
          <w:szCs w:val="24"/>
        </w:rPr>
        <w:t>NiMet</w:t>
      </w:r>
      <w:proofErr w:type="spellEnd"/>
      <w:r w:rsidRPr="001821F6">
        <w:rPr>
          <w:rFonts w:ascii="Times New Roman" w:hAnsi="Times New Roman" w:cs="Times New Roman"/>
          <w:sz w:val="24"/>
          <w:szCs w:val="24"/>
        </w:rPr>
        <w:t xml:space="preserve">) and complemented with records from </w:t>
      </w:r>
      <w:proofErr w:type="spellStart"/>
      <w:r w:rsidRPr="001821F6">
        <w:rPr>
          <w:rFonts w:ascii="Times New Roman" w:hAnsi="Times New Roman" w:cs="Times New Roman"/>
          <w:sz w:val="24"/>
          <w:szCs w:val="24"/>
        </w:rPr>
        <w:t>Modibbo</w:t>
      </w:r>
      <w:proofErr w:type="spellEnd"/>
      <w:r w:rsidRPr="001821F6">
        <w:rPr>
          <w:rFonts w:ascii="Times New Roman" w:hAnsi="Times New Roman" w:cs="Times New Roman"/>
          <w:sz w:val="24"/>
          <w:szCs w:val="24"/>
        </w:rPr>
        <w:t xml:space="preserve"> </w:t>
      </w:r>
      <w:proofErr w:type="spellStart"/>
      <w:r w:rsidRPr="001821F6">
        <w:rPr>
          <w:rFonts w:ascii="Times New Roman" w:hAnsi="Times New Roman" w:cs="Times New Roman"/>
          <w:sz w:val="24"/>
          <w:szCs w:val="24"/>
        </w:rPr>
        <w:t>Adama</w:t>
      </w:r>
      <w:proofErr w:type="spellEnd"/>
      <w:r w:rsidRPr="001821F6">
        <w:rPr>
          <w:rFonts w:ascii="Times New Roman" w:hAnsi="Times New Roman" w:cs="Times New Roman"/>
          <w:sz w:val="24"/>
          <w:szCs w:val="24"/>
        </w:rPr>
        <w:t xml:space="preserve"> University for a 21-year period (2001–2021). The data were monthly averages, used to examine long-term climatic trends and their influence on soil nutrient dynamics</w:t>
      </w:r>
      <w:r w:rsidR="00A91D40" w:rsidRPr="001821F6">
        <w:rPr>
          <w:rFonts w:ascii="Times New Roman" w:hAnsi="Times New Roman" w:cs="Times New Roman"/>
          <w:sz w:val="24"/>
          <w:szCs w:val="24"/>
        </w:rPr>
        <w:t xml:space="preserve">. </w:t>
      </w:r>
      <w:r w:rsidR="00FB4DCD" w:rsidRPr="001821F6">
        <w:rPr>
          <w:rFonts w:ascii="Times New Roman" w:hAnsi="Times New Roman" w:cs="Times New Roman"/>
          <w:color w:val="FF0000"/>
          <w:sz w:val="24"/>
          <w:szCs w:val="24"/>
        </w:rPr>
        <w:t xml:space="preserve">Rainfall erosivity data were acquired from the ERA5-Land reanalysis dataset, accessed via </w:t>
      </w:r>
      <w:proofErr w:type="spellStart"/>
      <w:r w:rsidR="00FB4DCD" w:rsidRPr="001821F6">
        <w:rPr>
          <w:rFonts w:ascii="Times New Roman" w:hAnsi="Times New Roman" w:cs="Times New Roman"/>
          <w:color w:val="FF0000"/>
          <w:sz w:val="24"/>
          <w:szCs w:val="24"/>
        </w:rPr>
        <w:t>Zenodo</w:t>
      </w:r>
      <w:proofErr w:type="spellEnd"/>
      <w:r w:rsidR="00FB4DCD" w:rsidRPr="001821F6">
        <w:rPr>
          <w:rFonts w:ascii="Times New Roman" w:hAnsi="Times New Roman" w:cs="Times New Roman"/>
          <w:color w:val="FF0000"/>
          <w:sz w:val="24"/>
          <w:szCs w:val="24"/>
        </w:rPr>
        <w:t xml:space="preserve"> (</w:t>
      </w:r>
      <w:hyperlink r:id="rId9" w:tgtFrame="_new" w:history="1">
        <w:r w:rsidR="00FB4DCD" w:rsidRPr="001821F6">
          <w:rPr>
            <w:rStyle w:val="Hyperlink"/>
            <w:rFonts w:ascii="Times New Roman" w:hAnsi="Times New Roman" w:cs="Times New Roman"/>
            <w:color w:val="FF0000"/>
            <w:sz w:val="24"/>
            <w:szCs w:val="24"/>
          </w:rPr>
          <w:t>https://doi.org/10.5281/zenodo.11078865</w:t>
        </w:r>
      </w:hyperlink>
      <w:r w:rsidR="00FB4DCD" w:rsidRPr="001821F6">
        <w:rPr>
          <w:rFonts w:ascii="Times New Roman" w:hAnsi="Times New Roman" w:cs="Times New Roman"/>
          <w:color w:val="FF0000"/>
          <w:sz w:val="24"/>
          <w:szCs w:val="24"/>
        </w:rPr>
        <w:t xml:space="preserve">). This dataset consists of raster files in </w:t>
      </w:r>
      <w:proofErr w:type="spellStart"/>
      <w:r w:rsidR="00FB4DCD" w:rsidRPr="001821F6">
        <w:rPr>
          <w:rFonts w:ascii="Times New Roman" w:hAnsi="Times New Roman" w:cs="Times New Roman"/>
          <w:color w:val="FF0000"/>
          <w:sz w:val="24"/>
          <w:szCs w:val="24"/>
        </w:rPr>
        <w:t>GeoTIFF</w:t>
      </w:r>
      <w:proofErr w:type="spellEnd"/>
      <w:r w:rsidR="00FB4DCD" w:rsidRPr="001821F6">
        <w:rPr>
          <w:rFonts w:ascii="Times New Roman" w:hAnsi="Times New Roman" w:cs="Times New Roman"/>
          <w:color w:val="FF0000"/>
          <w:sz w:val="24"/>
          <w:szCs w:val="24"/>
        </w:rPr>
        <w:t xml:space="preserve"> format, providing annual rainfall erosivity data from 2001 to 2021 at a spatial resolution of 0.1° × 0.1°. The data are expressed in units of MJ·mm·ha</w:t>
      </w:r>
      <w:r w:rsidR="00FB4DCD" w:rsidRPr="001821F6">
        <w:rPr>
          <w:rFonts w:ascii="Times New Roman" w:hAnsi="Cambria Math" w:cs="Times New Roman"/>
          <w:color w:val="FF0000"/>
          <w:sz w:val="24"/>
          <w:szCs w:val="24"/>
        </w:rPr>
        <w:t>⁻</w:t>
      </w:r>
      <w:r w:rsidR="00FB4DCD" w:rsidRPr="001821F6">
        <w:rPr>
          <w:rFonts w:ascii="Times New Roman" w:hAnsi="Times New Roman" w:cs="Times New Roman"/>
          <w:color w:val="FF0000"/>
          <w:sz w:val="24"/>
          <w:szCs w:val="24"/>
        </w:rPr>
        <w:t>¹·h</w:t>
      </w:r>
      <w:r w:rsidR="00FB4DCD" w:rsidRPr="001821F6">
        <w:rPr>
          <w:rFonts w:ascii="Times New Roman" w:hAnsi="Cambria Math" w:cs="Times New Roman"/>
          <w:color w:val="FF0000"/>
          <w:sz w:val="24"/>
          <w:szCs w:val="24"/>
        </w:rPr>
        <w:t>⁻</w:t>
      </w:r>
      <w:r w:rsidR="00FB4DCD" w:rsidRPr="001821F6">
        <w:rPr>
          <w:rFonts w:ascii="Times New Roman" w:hAnsi="Times New Roman" w:cs="Times New Roman"/>
          <w:color w:val="FF0000"/>
          <w:sz w:val="24"/>
          <w:szCs w:val="24"/>
        </w:rPr>
        <w:t>¹·year</w:t>
      </w:r>
      <w:r w:rsidR="00FB4DCD" w:rsidRPr="001821F6">
        <w:rPr>
          <w:rFonts w:ascii="Times New Roman" w:hAnsi="Cambria Math" w:cs="Times New Roman"/>
          <w:color w:val="FF0000"/>
          <w:sz w:val="24"/>
          <w:szCs w:val="24"/>
        </w:rPr>
        <w:t>⁻</w:t>
      </w:r>
      <w:r w:rsidR="00FB4DCD" w:rsidRPr="001821F6">
        <w:rPr>
          <w:rFonts w:ascii="Times New Roman" w:hAnsi="Times New Roman" w:cs="Times New Roman"/>
          <w:color w:val="FF0000"/>
          <w:sz w:val="24"/>
          <w:szCs w:val="24"/>
        </w:rPr>
        <w:t>¹. To prepare the data for analysis, QGIS was used for spatial preprocessing, including clipping the raster layers to the Adamawa State boundary. The Zonal Statistics plugin in QGIS was employed to extract summary values mean, minimum, and maximum rainfall erosivity at the State level. These values were exported as CSV files for each year. To ensure a spatially accurate focus on Adamawa State, administrative boundary shapefiles were used throughout the data preparation process. These shapefiles enabled proper spatial overlay and zonal operations in QGIS, ensuring that only relevant portions of the raster data were analyzed. The extracted statistics for each year from 2001 to 2021 were saved as individual CSV files. Subsequently, R was used to write and run a script that compiled all the yearly outputs into a single master dataset. This consolidated dataset contained the mean, minimum, and maximum rainfall erosivity values across years, allowing for trend analysis and further correlation with other environmental and climatic variables.</w:t>
      </w:r>
    </w:p>
    <w:p w:rsidR="00A91D40" w:rsidRPr="001821F6" w:rsidRDefault="00A91D40" w:rsidP="00AA0B1E">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 xml:space="preserve">Flood-related data were obtained from </w:t>
      </w:r>
      <w:proofErr w:type="spellStart"/>
      <w:r w:rsidRPr="001821F6">
        <w:rPr>
          <w:rFonts w:ascii="Times New Roman" w:hAnsi="Times New Roman" w:cs="Times New Roman"/>
          <w:sz w:val="24"/>
          <w:szCs w:val="24"/>
        </w:rPr>
        <w:t>NiMet</w:t>
      </w:r>
      <w:proofErr w:type="spellEnd"/>
      <w:r w:rsidRPr="001821F6">
        <w:rPr>
          <w:rFonts w:ascii="Times New Roman" w:hAnsi="Times New Roman" w:cs="Times New Roman"/>
          <w:sz w:val="24"/>
          <w:szCs w:val="24"/>
        </w:rPr>
        <w:t xml:space="preserve"> records and state emergency management reports, after which flood-affected soils were sampled to evaluate nutrient losses. Data analysis was organized based on the objectives. The associations between the weather parameters (temperature, rainfall and relative humidity) and the soil nutrients (at both depths) were analyzed using Pearson correlation,</w:t>
      </w:r>
      <w:r w:rsidR="00E402FA" w:rsidRPr="001821F6">
        <w:rPr>
          <w:rFonts w:ascii="Times New Roman" w:hAnsi="Times New Roman" w:cs="Times New Roman"/>
          <w:sz w:val="24"/>
          <w:szCs w:val="24"/>
        </w:rPr>
        <w:t xml:space="preserve"> </w:t>
      </w:r>
      <w:r w:rsidRPr="001821F6">
        <w:rPr>
          <w:rFonts w:ascii="Times New Roman" w:hAnsi="Times New Roman" w:cs="Times New Roman"/>
          <w:sz w:val="24"/>
          <w:szCs w:val="24"/>
        </w:rPr>
        <w:t xml:space="preserve">rainfall erosivity indices were analyzed for temporal variability, while paired t-tests compared nutrient concentrations in soils before and after flooding events. Analyses were conducted using SPSS (v.22), with QGIS and R used for geospatial and statistical processing. </w:t>
      </w:r>
    </w:p>
    <w:p w:rsidR="00E402FA" w:rsidRPr="001821F6" w:rsidRDefault="00E402FA" w:rsidP="00AA0B1E">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lastRenderedPageBreak/>
        <w:t>Data analysis was structured according to the research objectives. The relationships between weather parameters (rainfall, temperature, and relative humidity) and soil nutrients were analyzed using the Pearson Product-Moment Correlation Coefficient (r), computed as:</w:t>
      </w:r>
    </w:p>
    <w:p w:rsidR="009B1544" w:rsidRPr="001821F6" w:rsidRDefault="00E402FA" w:rsidP="00AA0B1E">
      <w:pPr>
        <w:spacing w:line="360" w:lineRule="auto"/>
        <w:jc w:val="both"/>
        <w:rPr>
          <w:rFonts w:ascii="Times New Roman" w:hAnsi="Times New Roman" w:cs="Times New Roman"/>
          <w:sz w:val="24"/>
          <w:szCs w:val="24"/>
        </w:rPr>
      </w:pPr>
      <m:oMathPara>
        <m:oMath>
          <m:r>
            <m:rPr>
              <m:sty m:val="p"/>
            </m:rPr>
            <w:rPr>
              <w:rFonts w:ascii="Cambria Math" w:hAnsi="Times New Roman" w:cs="Times New Roman"/>
              <w:color w:val="FF0000"/>
              <w:sz w:val="24"/>
              <w:szCs w:val="24"/>
            </w:rPr>
            <m:t>r=</m:t>
          </m:r>
          <m:f>
            <m:fPr>
              <m:ctrlPr>
                <w:rPr>
                  <w:rFonts w:ascii="Cambria Math" w:hAnsi="Times New Roman" w:cs="Times New Roman"/>
                  <w:i/>
                  <w:color w:val="FF0000"/>
                  <w:sz w:val="24"/>
                  <w:szCs w:val="24"/>
                </w:rPr>
              </m:ctrlPr>
            </m:fPr>
            <m:num>
              <m:r>
                <w:rPr>
                  <w:rFonts w:ascii="Cambria Math" w:hAnsi="Times New Roman" w:cs="Times New Roman"/>
                  <w:color w:val="FF0000"/>
                  <w:sz w:val="24"/>
                  <w:szCs w:val="24"/>
                </w:rPr>
                <m:t>(</m:t>
              </m:r>
              <m:r>
                <w:rPr>
                  <w:rFonts w:ascii="Cambria Math" w:hAnsi="Cambria Math" w:cs="Times New Roman"/>
                  <w:color w:val="FF0000"/>
                  <w:sz w:val="24"/>
                  <w:szCs w:val="24"/>
                </w:rPr>
                <m:t>X</m:t>
              </m:r>
              <m:r>
                <w:rPr>
                  <w:rFonts w:ascii="Times New Roman" w:hAnsi="Times New Roman" w:cs="Times New Roman"/>
                  <w:color w:val="FF0000"/>
                  <w:sz w:val="24"/>
                  <w:szCs w:val="24"/>
                </w:rPr>
                <m:t>ᵢ</m:t>
              </m:r>
              <m:r>
                <w:rPr>
                  <w:rFonts w:ascii="Cambria Math" w:hAnsi="Times New Roman" w:cs="Times New Roman"/>
                  <w:color w:val="FF0000"/>
                  <w:sz w:val="24"/>
                  <w:szCs w:val="24"/>
                </w:rPr>
                <m:t xml:space="preserve"> </m:t>
              </m:r>
              <m:r>
                <w:rPr>
                  <w:rFonts w:ascii="Times New Roman" w:hAnsi="Times New Roman" w:cs="Times New Roman"/>
                  <w:color w:val="FF0000"/>
                  <w:sz w:val="24"/>
                  <w:szCs w:val="24"/>
                </w:rPr>
                <m:t>-</m:t>
              </m:r>
              <m:r>
                <w:rPr>
                  <w:rFonts w:ascii="Cambria Math" w:hAnsi="Times New Roman" w:cs="Times New Roman"/>
                  <w:color w:val="FF0000"/>
                  <w:sz w:val="24"/>
                  <w:szCs w:val="24"/>
                </w:rPr>
                <m:t xml:space="preserve"> </m:t>
              </m:r>
              <m:r>
                <w:rPr>
                  <w:rFonts w:ascii="Cambria Math" w:hAnsi="Cambria Math" w:cs="Times New Roman"/>
                  <w:color w:val="FF0000"/>
                  <w:sz w:val="24"/>
                  <w:szCs w:val="24"/>
                </w:rPr>
                <m:t>X</m:t>
              </m:r>
              <m:r>
                <w:rPr>
                  <w:rFonts w:ascii="Times New Roman" w:hAnsi="Times New Roman" w:cs="Times New Roman"/>
                  <w:color w:val="FF0000"/>
                  <w:sz w:val="24"/>
                  <w:szCs w:val="24"/>
                </w:rPr>
                <m:t>̄</m:t>
              </m:r>
              <m:r>
                <w:rPr>
                  <w:rFonts w:ascii="Cambria Math" w:hAnsi="Times New Roman" w:cs="Times New Roman"/>
                  <w:color w:val="FF0000"/>
                  <w:sz w:val="24"/>
                  <w:szCs w:val="24"/>
                </w:rPr>
                <m:t>)(</m:t>
              </m:r>
              <m:r>
                <w:rPr>
                  <w:rFonts w:ascii="Cambria Math" w:hAnsi="Cambria Math" w:cs="Times New Roman"/>
                  <w:color w:val="FF0000"/>
                  <w:sz w:val="24"/>
                  <w:szCs w:val="24"/>
                </w:rPr>
                <m:t>Y</m:t>
              </m:r>
              <m:r>
                <w:rPr>
                  <w:rFonts w:ascii="Times New Roman" w:hAnsi="Times New Roman" w:cs="Times New Roman"/>
                  <w:color w:val="FF0000"/>
                  <w:sz w:val="24"/>
                  <w:szCs w:val="24"/>
                </w:rPr>
                <m:t>ᵢ</m:t>
              </m:r>
              <m:r>
                <w:rPr>
                  <w:rFonts w:ascii="Cambria Math" w:hAnsi="Times New Roman" w:cs="Times New Roman"/>
                  <w:color w:val="FF0000"/>
                  <w:sz w:val="24"/>
                  <w:szCs w:val="24"/>
                </w:rPr>
                <m:t xml:space="preserve"> </m:t>
              </m:r>
              <m:r>
                <w:rPr>
                  <w:rFonts w:ascii="Times New Roman" w:hAnsi="Times New Roman" w:cs="Times New Roman"/>
                  <w:color w:val="FF0000"/>
                  <w:sz w:val="24"/>
                  <w:szCs w:val="24"/>
                </w:rPr>
                <m:t>-</m:t>
              </m:r>
              <m:r>
                <w:rPr>
                  <w:rFonts w:ascii="Cambria Math" w:hAnsi="Times New Roman" w:cs="Times New Roman"/>
                  <w:color w:val="FF0000"/>
                  <w:sz w:val="24"/>
                  <w:szCs w:val="24"/>
                </w:rPr>
                <m:t xml:space="preserve"> </m:t>
              </m:r>
              <m:r>
                <w:rPr>
                  <w:rFonts w:ascii="Times New Roman" w:hAnsi="Times New Roman" w:cs="Times New Roman"/>
                  <w:color w:val="FF0000"/>
                  <w:sz w:val="24"/>
                  <w:szCs w:val="24"/>
                </w:rPr>
                <m:t>Ȳ</m:t>
              </m:r>
              <m:r>
                <w:rPr>
                  <w:rFonts w:ascii="Cambria Math" w:hAnsi="Times New Roman" w:cs="Times New Roman"/>
                  <w:color w:val="FF0000"/>
                  <w:sz w:val="24"/>
                  <w:szCs w:val="24"/>
                </w:rPr>
                <m:t>)</m:t>
              </m:r>
            </m:num>
            <m:den>
              <m:rad>
                <m:radPr>
                  <m:degHide m:val="1"/>
                  <m:ctrlPr>
                    <w:rPr>
                      <w:rFonts w:ascii="Cambria Math" w:hAnsi="Times New Roman" w:cs="Times New Roman"/>
                      <w:i/>
                      <w:color w:val="FF0000"/>
                      <w:sz w:val="24"/>
                      <w:szCs w:val="24"/>
                    </w:rPr>
                  </m:ctrlPr>
                </m:radPr>
                <m:deg/>
                <m:e>
                  <m:r>
                    <w:rPr>
                      <w:rFonts w:ascii="Cambria Math" w:hAnsi="Times New Roman" w:cs="Times New Roman"/>
                      <w:color w:val="FF0000"/>
                      <w:sz w:val="24"/>
                      <w:szCs w:val="24"/>
                    </w:rPr>
                    <m:t>(</m:t>
                  </m:r>
                  <m:r>
                    <w:rPr>
                      <w:rFonts w:ascii="Cambria Math" w:hAnsi="Cambria Math" w:cs="Times New Roman"/>
                      <w:color w:val="FF0000"/>
                      <w:sz w:val="24"/>
                      <w:szCs w:val="24"/>
                    </w:rPr>
                    <m:t>X</m:t>
                  </m:r>
                  <m:r>
                    <w:rPr>
                      <w:rFonts w:ascii="Times New Roman" w:hAnsi="Times New Roman" w:cs="Times New Roman"/>
                      <w:color w:val="FF0000"/>
                      <w:sz w:val="24"/>
                      <w:szCs w:val="24"/>
                    </w:rPr>
                    <m:t>ᵢ</m:t>
                  </m:r>
                  <m:r>
                    <w:rPr>
                      <w:rFonts w:ascii="Cambria Math" w:hAnsi="Times New Roman" w:cs="Times New Roman"/>
                      <w:color w:val="FF0000"/>
                      <w:sz w:val="24"/>
                      <w:szCs w:val="24"/>
                    </w:rPr>
                    <m:t xml:space="preserve"> </m:t>
                  </m:r>
                  <m:r>
                    <w:rPr>
                      <w:rFonts w:ascii="Times New Roman" w:hAnsi="Times New Roman" w:cs="Times New Roman"/>
                      <w:color w:val="FF0000"/>
                      <w:sz w:val="24"/>
                      <w:szCs w:val="24"/>
                    </w:rPr>
                    <m:t>-</m:t>
                  </m:r>
                  <m:r>
                    <w:rPr>
                      <w:rFonts w:ascii="Cambria Math" w:hAnsi="Times New Roman" w:cs="Times New Roman"/>
                      <w:color w:val="FF0000"/>
                      <w:sz w:val="24"/>
                      <w:szCs w:val="24"/>
                    </w:rPr>
                    <m:t xml:space="preserve"> </m:t>
                  </m:r>
                  <m:r>
                    <w:rPr>
                      <w:rFonts w:ascii="Cambria Math" w:hAnsi="Cambria Math" w:cs="Times New Roman"/>
                      <w:color w:val="FF0000"/>
                      <w:sz w:val="24"/>
                      <w:szCs w:val="24"/>
                    </w:rPr>
                    <m:t>X</m:t>
                  </m:r>
                  <m:r>
                    <w:rPr>
                      <w:rFonts w:ascii="Times New Roman" w:hAnsi="Times New Roman" w:cs="Times New Roman"/>
                      <w:color w:val="FF0000"/>
                      <w:sz w:val="24"/>
                      <w:szCs w:val="24"/>
                    </w:rPr>
                    <m:t>̄</m:t>
                  </m:r>
                  <m:r>
                    <w:rPr>
                      <w:rFonts w:ascii="Cambria Math" w:hAnsi="Times New Roman" w:cs="Times New Roman"/>
                      <w:color w:val="FF0000"/>
                      <w:sz w:val="24"/>
                      <w:szCs w:val="24"/>
                    </w:rPr>
                    <m:t>)</m:t>
                  </m:r>
                  <m:r>
                    <w:rPr>
                      <w:rFonts w:ascii="Times New Roman" w:hAnsi="Times New Roman" w:cs="Times New Roman"/>
                      <w:color w:val="FF0000"/>
                      <w:sz w:val="24"/>
                      <w:szCs w:val="24"/>
                    </w:rPr>
                    <m:t>²</m:t>
                  </m:r>
                  <m:r>
                    <w:rPr>
                      <w:rFonts w:ascii="Cambria Math" w:hAnsi="Times New Roman" w:cs="Times New Roman"/>
                      <w:color w:val="FF0000"/>
                      <w:sz w:val="24"/>
                      <w:szCs w:val="24"/>
                    </w:rPr>
                    <m:t xml:space="preserve"> </m:t>
                  </m:r>
                  <m:r>
                    <w:rPr>
                      <w:rFonts w:ascii="Cambria Math" w:hAnsi="Cambria Math" w:cs="Times New Roman"/>
                      <w:color w:val="FF0000"/>
                      <w:sz w:val="24"/>
                      <w:szCs w:val="24"/>
                    </w:rPr>
                    <m:t>Σ</m:t>
                  </m:r>
                  <m:r>
                    <w:rPr>
                      <w:rFonts w:ascii="Cambria Math" w:hAnsi="Times New Roman" w:cs="Times New Roman"/>
                      <w:color w:val="FF0000"/>
                      <w:sz w:val="24"/>
                      <w:szCs w:val="24"/>
                    </w:rPr>
                    <m:t>(</m:t>
                  </m:r>
                  <m:r>
                    <w:rPr>
                      <w:rFonts w:ascii="Cambria Math" w:hAnsi="Cambria Math" w:cs="Times New Roman"/>
                      <w:color w:val="FF0000"/>
                      <w:sz w:val="24"/>
                      <w:szCs w:val="24"/>
                    </w:rPr>
                    <m:t>Y</m:t>
                  </m:r>
                  <m:r>
                    <w:rPr>
                      <w:rFonts w:ascii="Times New Roman" w:hAnsi="Times New Roman" w:cs="Times New Roman"/>
                      <w:color w:val="FF0000"/>
                      <w:sz w:val="24"/>
                      <w:szCs w:val="24"/>
                    </w:rPr>
                    <m:t>ᵢ</m:t>
                  </m:r>
                  <m:r>
                    <w:rPr>
                      <w:rFonts w:ascii="Cambria Math" w:hAnsi="Times New Roman" w:cs="Times New Roman"/>
                      <w:color w:val="FF0000"/>
                      <w:sz w:val="24"/>
                      <w:szCs w:val="24"/>
                    </w:rPr>
                    <m:t xml:space="preserve"> </m:t>
                  </m:r>
                  <m:r>
                    <w:rPr>
                      <w:rFonts w:ascii="Times New Roman" w:hAnsi="Times New Roman" w:cs="Times New Roman"/>
                      <w:color w:val="FF0000"/>
                      <w:sz w:val="24"/>
                      <w:szCs w:val="24"/>
                    </w:rPr>
                    <m:t>-</m:t>
                  </m:r>
                  <m:r>
                    <w:rPr>
                      <w:rFonts w:ascii="Cambria Math" w:hAnsi="Times New Roman" w:cs="Times New Roman"/>
                      <w:color w:val="FF0000"/>
                      <w:sz w:val="24"/>
                      <w:szCs w:val="24"/>
                    </w:rPr>
                    <m:t xml:space="preserve"> </m:t>
                  </m:r>
                  <m:r>
                    <w:rPr>
                      <w:rFonts w:ascii="Times New Roman" w:hAnsi="Times New Roman" w:cs="Times New Roman"/>
                      <w:color w:val="FF0000"/>
                      <w:sz w:val="24"/>
                      <w:szCs w:val="24"/>
                    </w:rPr>
                    <m:t>Ȳ</m:t>
                  </m:r>
                  <m:r>
                    <w:rPr>
                      <w:rFonts w:ascii="Cambria Math" w:hAnsi="Times New Roman" w:cs="Times New Roman"/>
                      <w:color w:val="FF0000"/>
                      <w:sz w:val="24"/>
                      <w:szCs w:val="24"/>
                    </w:rPr>
                    <m:t>)</m:t>
                  </m:r>
                  <m:r>
                    <w:rPr>
                      <w:rFonts w:ascii="Times New Roman" w:hAnsi="Times New Roman" w:cs="Times New Roman"/>
                      <w:color w:val="FF0000"/>
                      <w:sz w:val="24"/>
                      <w:szCs w:val="24"/>
                    </w:rPr>
                    <m:t>²</m:t>
                  </m:r>
                </m:e>
              </m:rad>
            </m:den>
          </m:f>
          <m:r>
            <m:rPr>
              <m:sty m:val="p"/>
            </m:rPr>
            <w:rPr>
              <w:rFonts w:ascii="Times New Roman" w:hAnsi="Times New Roman" w:cs="Times New Roman"/>
              <w:sz w:val="24"/>
              <w:szCs w:val="24"/>
            </w:rPr>
            <w:br/>
          </m:r>
        </m:oMath>
        <m:oMath>
          <m:r>
            <m:rPr>
              <m:sty m:val="p"/>
            </m:rPr>
            <w:rPr>
              <w:rFonts w:ascii="Times New Roman" w:hAnsi="Times New Roman" w:cs="Times New Roman"/>
              <w:color w:val="FF0000"/>
              <w:sz w:val="24"/>
              <w:szCs w:val="24"/>
            </w:rPr>
            <w:br/>
          </m:r>
        </m:oMath>
      </m:oMathPara>
      <w:r w:rsidR="00C64DF5" w:rsidRPr="001821F6">
        <w:rPr>
          <w:rFonts w:ascii="Times New Roman" w:hAnsi="Times New Roman" w:cs="Times New Roman"/>
          <w:color w:val="FF0000"/>
          <w:sz w:val="24"/>
          <w:szCs w:val="24"/>
        </w:rPr>
        <w:t>Where</w:t>
      </w:r>
      <w:r w:rsidRPr="001821F6">
        <w:rPr>
          <w:rFonts w:ascii="Times New Roman" w:hAnsi="Times New Roman" w:cs="Times New Roman"/>
          <w:color w:val="FF0000"/>
          <w:sz w:val="24"/>
          <w:szCs w:val="24"/>
        </w:rPr>
        <w:t xml:space="preserve"> Xᵢ and Yᵢ represent paired values of climatic and soil parameters, respectively</w:t>
      </w:r>
      <w:r w:rsidRPr="001821F6">
        <w:rPr>
          <w:rFonts w:ascii="Times New Roman" w:hAnsi="Times New Roman" w:cs="Times New Roman"/>
          <w:sz w:val="24"/>
          <w:szCs w:val="24"/>
        </w:rPr>
        <w:t>.</w:t>
      </w:r>
      <w:r w:rsidRPr="001821F6">
        <w:rPr>
          <w:rFonts w:ascii="Times New Roman" w:hAnsi="Times New Roman" w:cs="Times New Roman"/>
          <w:sz w:val="24"/>
          <w:szCs w:val="24"/>
        </w:rPr>
        <w:br/>
      </w:r>
      <w:r w:rsidRPr="001821F6">
        <w:rPr>
          <w:rFonts w:ascii="Times New Roman" w:hAnsi="Times New Roman" w:cs="Times New Roman"/>
          <w:sz w:val="24"/>
          <w:szCs w:val="24"/>
        </w:rPr>
        <w:br/>
        <w:t xml:space="preserve">Rainfall erosivity (R-factor) was determined using the Modified Fournier Index (MFI) to assess interannual variability and intensity of </w:t>
      </w:r>
      <w:r w:rsidR="006B6C2B" w:rsidRPr="001821F6">
        <w:rPr>
          <w:rFonts w:ascii="Times New Roman" w:hAnsi="Times New Roman" w:cs="Times New Roman"/>
          <w:sz w:val="24"/>
          <w:szCs w:val="24"/>
        </w:rPr>
        <w:t xml:space="preserve">rainfall events, expressed as: </w:t>
      </w:r>
      <w:r w:rsidRPr="001821F6">
        <w:rPr>
          <w:rFonts w:ascii="Times New Roman" w:hAnsi="Times New Roman" w:cs="Times New Roman"/>
          <w:sz w:val="24"/>
          <w:szCs w:val="24"/>
        </w:rPr>
        <w:t>To determine the effect of flood events on soil nutrient concentrations, Paired t-tests were used to compare soil properties before and after flooding, using the formula:</w:t>
      </w:r>
    </w:p>
    <w:p w:rsidR="00E402FA" w:rsidRPr="001821F6" w:rsidRDefault="00E402FA" w:rsidP="00AA0B1E">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br/>
      </w:r>
      <m:oMathPara>
        <m:oMath>
          <m:r>
            <w:rPr>
              <w:rFonts w:ascii="Cambria Math" w:hAnsi="Cambria Math" w:cs="Times New Roman"/>
              <w:color w:val="FF0000"/>
              <w:sz w:val="24"/>
              <w:szCs w:val="24"/>
            </w:rPr>
            <m:t>t</m:t>
          </m:r>
          <m:r>
            <w:rPr>
              <w:rFonts w:ascii="Cambria Math" w:hAnsi="Times New Roman" w:cs="Times New Roman"/>
              <w:color w:val="FF0000"/>
              <w:sz w:val="24"/>
              <w:szCs w:val="24"/>
            </w:rPr>
            <m:t>=</m:t>
          </m:r>
          <m:f>
            <m:fPr>
              <m:ctrlPr>
                <w:rPr>
                  <w:rFonts w:ascii="Cambria Math" w:hAnsi="Times New Roman" w:cs="Times New Roman"/>
                  <w:i/>
                  <w:color w:val="FF0000"/>
                  <w:sz w:val="24"/>
                  <w:szCs w:val="24"/>
                </w:rPr>
              </m:ctrlPr>
            </m:fPr>
            <m:num>
              <m:r>
                <w:rPr>
                  <w:rFonts w:ascii="Cambria Math" w:hAnsi="Cambria Math" w:cs="Times New Roman"/>
                  <w:color w:val="FF0000"/>
                  <w:sz w:val="24"/>
                  <w:szCs w:val="24"/>
                </w:rPr>
                <m:t>d</m:t>
              </m:r>
            </m:num>
            <m:den>
              <m:sSub>
                <m:sSubPr>
                  <m:ctrlPr>
                    <w:rPr>
                      <w:rFonts w:ascii="Cambria Math" w:hAnsi="Times New Roman" w:cs="Times New Roman"/>
                      <w:i/>
                      <w:color w:val="FF0000"/>
                      <w:sz w:val="24"/>
                      <w:szCs w:val="24"/>
                    </w:rPr>
                  </m:ctrlPr>
                </m:sSubPr>
                <m:e>
                  <m:r>
                    <w:rPr>
                      <w:rFonts w:ascii="Cambria Math" w:hAnsi="Cambria Math" w:cs="Times New Roman"/>
                      <w:color w:val="FF0000"/>
                      <w:sz w:val="24"/>
                      <w:szCs w:val="24"/>
                    </w:rPr>
                    <m:t>s</m:t>
                  </m:r>
                </m:e>
                <m:sub>
                  <m:r>
                    <w:rPr>
                      <w:rFonts w:ascii="Cambria Math" w:hAnsi="Cambria Math" w:cs="Times New Roman"/>
                      <w:color w:val="FF0000"/>
                      <w:sz w:val="24"/>
                      <w:szCs w:val="24"/>
                    </w:rPr>
                    <m:t>d</m:t>
                  </m:r>
                </m:sub>
              </m:sSub>
              <m:r>
                <w:rPr>
                  <w:rFonts w:ascii="Cambria Math" w:hAnsi="Times New Roman" w:cs="Times New Roman"/>
                  <w:color w:val="FF0000"/>
                  <w:sz w:val="24"/>
                  <w:szCs w:val="24"/>
                </w:rPr>
                <m:t xml:space="preserve"> / </m:t>
              </m:r>
              <m:r>
                <w:rPr>
                  <w:rFonts w:ascii="Times New Roman" w:hAnsi="Times New Roman" w:cs="Times New Roman"/>
                  <w:color w:val="FF0000"/>
                  <w:sz w:val="24"/>
                  <w:szCs w:val="24"/>
                </w:rPr>
                <m:t>√</m:t>
              </m:r>
              <m:r>
                <w:rPr>
                  <w:rFonts w:ascii="Cambria Math" w:hAnsi="Cambria Math" w:cs="Times New Roman"/>
                  <w:color w:val="FF0000"/>
                  <w:sz w:val="24"/>
                  <w:szCs w:val="24"/>
                </w:rPr>
                <m:t>n</m:t>
              </m:r>
            </m:den>
          </m:f>
          <m:r>
            <m:rPr>
              <m:sty m:val="p"/>
            </m:rPr>
            <w:rPr>
              <w:rFonts w:ascii="Times New Roman" w:hAnsi="Times New Roman" w:cs="Times New Roman"/>
              <w:sz w:val="24"/>
              <w:szCs w:val="24"/>
            </w:rPr>
            <w:br/>
          </m:r>
        </m:oMath>
        <m:oMath>
          <m:r>
            <m:rPr>
              <m:sty m:val="p"/>
            </m:rPr>
            <w:rPr>
              <w:rFonts w:ascii="Times New Roman" w:hAnsi="Times New Roman" w:cs="Times New Roman"/>
              <w:sz w:val="24"/>
              <w:szCs w:val="24"/>
            </w:rPr>
            <w:br/>
          </m:r>
        </m:oMath>
      </m:oMathPara>
      <w:r w:rsidR="00AA0B1E" w:rsidRPr="001821F6">
        <w:rPr>
          <w:rFonts w:ascii="Times New Roman" w:hAnsi="Times New Roman" w:cs="Times New Roman"/>
          <w:color w:val="FF0000"/>
          <w:sz w:val="24"/>
          <w:szCs w:val="24"/>
        </w:rPr>
        <w:t>Where</w:t>
      </w:r>
      <w:r w:rsidRPr="001821F6">
        <w:rPr>
          <w:rFonts w:ascii="Times New Roman" w:hAnsi="Times New Roman" w:cs="Times New Roman"/>
          <w:color w:val="FF0000"/>
          <w:sz w:val="24"/>
          <w:szCs w:val="24"/>
        </w:rPr>
        <w:t xml:space="preserve"> d is the mean difference between paired samples, </w:t>
      </w:r>
      <m:oMath>
        <m:sSub>
          <m:sSubPr>
            <m:ctrlPr>
              <w:rPr>
                <w:rFonts w:ascii="Cambria Math" w:hAnsi="Times New Roman" w:cs="Times New Roman"/>
                <w:i/>
                <w:color w:val="FF0000"/>
                <w:sz w:val="24"/>
                <w:szCs w:val="24"/>
              </w:rPr>
            </m:ctrlPr>
          </m:sSubPr>
          <m:e>
            <m:r>
              <w:rPr>
                <w:rFonts w:ascii="Cambria Math" w:hAnsi="Cambria Math" w:cs="Times New Roman"/>
                <w:color w:val="FF0000"/>
                <w:sz w:val="24"/>
                <w:szCs w:val="24"/>
              </w:rPr>
              <m:t>s</m:t>
            </m:r>
          </m:e>
          <m:sub>
            <m:r>
              <w:rPr>
                <w:rFonts w:ascii="Cambria Math" w:hAnsi="Cambria Math" w:cs="Times New Roman"/>
                <w:color w:val="FF0000"/>
                <w:sz w:val="24"/>
                <w:szCs w:val="24"/>
              </w:rPr>
              <m:t>d</m:t>
            </m:r>
          </m:sub>
        </m:sSub>
      </m:oMath>
      <w:r w:rsidRPr="001821F6">
        <w:rPr>
          <w:rFonts w:ascii="Times New Roman" w:hAnsi="Times New Roman" w:cs="Times New Roman"/>
          <w:color w:val="FF0000"/>
          <w:sz w:val="24"/>
          <w:szCs w:val="24"/>
        </w:rPr>
        <w:t xml:space="preserve"> is the standard deviation of the differences, and n is the </w:t>
      </w:r>
      <w:r w:rsidR="0055477F" w:rsidRPr="001821F6">
        <w:rPr>
          <w:rFonts w:ascii="Times New Roman" w:hAnsi="Times New Roman" w:cs="Times New Roman"/>
          <w:color w:val="FF0000"/>
          <w:sz w:val="24"/>
          <w:szCs w:val="24"/>
        </w:rPr>
        <w:t>number of paired observations.</w:t>
      </w:r>
      <w:r w:rsidR="0055477F" w:rsidRPr="001821F6">
        <w:rPr>
          <w:rFonts w:ascii="Times New Roman" w:hAnsi="Times New Roman" w:cs="Times New Roman"/>
          <w:sz w:val="24"/>
          <w:szCs w:val="24"/>
        </w:rPr>
        <w:t xml:space="preserve"> </w:t>
      </w:r>
      <w:r w:rsidRPr="001821F6">
        <w:rPr>
          <w:rFonts w:ascii="Times New Roman" w:hAnsi="Times New Roman" w:cs="Times New Roman"/>
          <w:sz w:val="24"/>
          <w:szCs w:val="24"/>
        </w:rPr>
        <w:t>All statistical analyses were performed using SPSS (Version 22), while QGIS (Version 3.28) and R (Version 4.2) were employed for geospatial analysis, visualization, and additional statistical computations.</w:t>
      </w:r>
    </w:p>
    <w:p w:rsidR="00E402FA" w:rsidRPr="001821F6" w:rsidRDefault="00E402FA" w:rsidP="00A91D40">
      <w:pPr>
        <w:spacing w:line="360" w:lineRule="auto"/>
        <w:jc w:val="both"/>
        <w:rPr>
          <w:rFonts w:ascii="Times New Roman" w:hAnsi="Times New Roman" w:cs="Times New Roman"/>
          <w:sz w:val="24"/>
          <w:szCs w:val="24"/>
        </w:rPr>
      </w:pPr>
    </w:p>
    <w:p w:rsidR="00C41922" w:rsidRPr="001821F6" w:rsidRDefault="00A91D40" w:rsidP="00D350F1">
      <w:pPr>
        <w:pStyle w:val="NoSpacing"/>
        <w:spacing w:after="200" w:line="360" w:lineRule="auto"/>
        <w:jc w:val="both"/>
        <w:rPr>
          <w:rFonts w:ascii="Times New Roman" w:hAnsi="Times New Roman"/>
          <w:b/>
          <w:sz w:val="24"/>
          <w:szCs w:val="24"/>
        </w:rPr>
      </w:pPr>
      <w:r w:rsidRPr="001821F6">
        <w:rPr>
          <w:rFonts w:ascii="Times New Roman" w:hAnsi="Times New Roman"/>
          <w:b/>
          <w:sz w:val="24"/>
          <w:szCs w:val="24"/>
        </w:rPr>
        <w:t xml:space="preserve">3. </w:t>
      </w:r>
      <w:r w:rsidR="00C41922" w:rsidRPr="001821F6">
        <w:rPr>
          <w:rFonts w:ascii="Times New Roman" w:hAnsi="Times New Roman"/>
          <w:b/>
          <w:sz w:val="24"/>
          <w:szCs w:val="24"/>
        </w:rPr>
        <w:t xml:space="preserve">RESULTS </w:t>
      </w:r>
    </w:p>
    <w:p w:rsidR="00DB7E6A" w:rsidRPr="001821F6" w:rsidRDefault="00DC2E3E" w:rsidP="00DB7E6A">
      <w:pPr>
        <w:spacing w:line="360" w:lineRule="auto"/>
        <w:jc w:val="both"/>
        <w:rPr>
          <w:rFonts w:ascii="Times New Roman" w:hAnsi="Times New Roman" w:cs="Times New Roman"/>
          <w:b/>
          <w:i/>
          <w:sz w:val="24"/>
          <w:szCs w:val="24"/>
        </w:rPr>
      </w:pPr>
      <w:r w:rsidRPr="001821F6">
        <w:rPr>
          <w:rFonts w:ascii="Times New Roman" w:hAnsi="Times New Roman" w:cs="Times New Roman"/>
          <w:b/>
          <w:sz w:val="24"/>
          <w:szCs w:val="24"/>
        </w:rPr>
        <w:t>3</w:t>
      </w:r>
      <w:r w:rsidR="00C41922" w:rsidRPr="001821F6">
        <w:rPr>
          <w:rFonts w:ascii="Times New Roman" w:hAnsi="Times New Roman" w:cs="Times New Roman"/>
          <w:b/>
          <w:sz w:val="24"/>
          <w:szCs w:val="24"/>
        </w:rPr>
        <w:t>.1 The Weather Parameters and Soil Nutrient Availability in Adamawa State</w:t>
      </w:r>
    </w:p>
    <w:p w:rsidR="00B91B0B" w:rsidRPr="001821F6" w:rsidRDefault="00B91B0B" w:rsidP="00B91B0B">
      <w:pPr>
        <w:spacing w:after="0" w:line="360" w:lineRule="auto"/>
        <w:jc w:val="both"/>
        <w:rPr>
          <w:rFonts w:ascii="Times New Roman" w:hAnsi="Times New Roman" w:cs="Times New Roman"/>
          <w:color w:val="FF0000"/>
          <w:sz w:val="24"/>
          <w:szCs w:val="24"/>
        </w:rPr>
      </w:pPr>
      <w:r w:rsidRPr="001821F6">
        <w:rPr>
          <w:rFonts w:ascii="Times New Roman" w:hAnsi="Times New Roman" w:cs="Times New Roman"/>
          <w:color w:val="FF0000"/>
          <w:sz w:val="24"/>
          <w:szCs w:val="24"/>
        </w:rPr>
        <w:t xml:space="preserve">The Pearson correlation analysis (Table 1) evaluated the linear relationships between the weather parameters and the soil nutrient variables at two depths (0-30 cm and 30-60 cm). There was a strong negative relationship between nitrogen and potassium (r = -0.277, p &lt; 0.01) and between nitrogen and organic matter (r = -0.232, p &lt; 0.01) at the surface (0-30 cm) meaning an increase in nitrogen leads to a decrease in these soil nutrients. Phosphorus had a weak negative correlation with rainfall (r = -0.162, p &lt; 0.05) and relative humidity (r = -0.166, p &lt; 0.05), which implies that it could be leached due to wet and humid weather or held less closely. Potassium exhibited a positive correlation with organic matter (r = 0.549, p &lt; </w:t>
      </w:r>
      <w:r w:rsidRPr="001821F6">
        <w:rPr>
          <w:rFonts w:ascii="Times New Roman" w:hAnsi="Times New Roman" w:cs="Times New Roman"/>
          <w:color w:val="FF0000"/>
          <w:sz w:val="24"/>
          <w:szCs w:val="24"/>
        </w:rPr>
        <w:lastRenderedPageBreak/>
        <w:t>0.01), meaning that the soils with high organic content are likely to retain high levels of potassium.</w:t>
      </w:r>
    </w:p>
    <w:p w:rsidR="00B91B0B" w:rsidRPr="001821F6" w:rsidRDefault="00B91B0B" w:rsidP="00B91B0B">
      <w:pPr>
        <w:spacing w:after="0" w:line="360" w:lineRule="auto"/>
        <w:jc w:val="both"/>
        <w:rPr>
          <w:rFonts w:ascii="Times New Roman" w:hAnsi="Times New Roman" w:cs="Times New Roman"/>
          <w:color w:val="FF0000"/>
          <w:sz w:val="24"/>
          <w:szCs w:val="24"/>
        </w:rPr>
      </w:pPr>
      <w:r w:rsidRPr="001821F6">
        <w:rPr>
          <w:rFonts w:ascii="Times New Roman" w:hAnsi="Times New Roman" w:cs="Times New Roman"/>
          <w:color w:val="FF0000"/>
          <w:sz w:val="24"/>
          <w:szCs w:val="24"/>
        </w:rPr>
        <w:t xml:space="preserve">Organic matter had positive correlation with the soil pH (r = 0.239, p &lt; 0.01) and temperature (r = 0.421, p &lt; 0.01), and negative correlation with the rainfall (r = -0.372, p &lt; 0.01) and relative humidity (r = -0.448, p &lt; 0.01). These correlations reveal that warm and less humid climates </w:t>
      </w:r>
      <w:proofErr w:type="spellStart"/>
      <w:r w:rsidRPr="001821F6">
        <w:rPr>
          <w:rFonts w:ascii="Times New Roman" w:hAnsi="Times New Roman" w:cs="Times New Roman"/>
          <w:color w:val="FF0000"/>
          <w:sz w:val="24"/>
          <w:szCs w:val="24"/>
        </w:rPr>
        <w:t>favour</w:t>
      </w:r>
      <w:proofErr w:type="spellEnd"/>
      <w:r w:rsidRPr="001821F6">
        <w:rPr>
          <w:rFonts w:ascii="Times New Roman" w:hAnsi="Times New Roman" w:cs="Times New Roman"/>
          <w:color w:val="FF0000"/>
          <w:sz w:val="24"/>
          <w:szCs w:val="24"/>
        </w:rPr>
        <w:t xml:space="preserve"> the accumulation of organic matter. Temperature and rainfall (r = 0.354, p &lt; 0.01) and relative humidity (r = -0.435, p &lt; 0.01), also had positive and negative relations with pH of soil, respectively. Temperature and rainfall had a strong negative relationship (r = -0.883, p &lt; 0.01) and rainfall and relative humidity had a strong positive relationship (r = 0.880, p &lt; 0.01) as it is expected that meteorological consistency in humid tropical climates should be strongly negative and positively related respectively.</w:t>
      </w:r>
    </w:p>
    <w:p w:rsidR="00B91B0B" w:rsidRPr="001821F6" w:rsidRDefault="00B91B0B" w:rsidP="00B91B0B">
      <w:pPr>
        <w:spacing w:after="0" w:line="360" w:lineRule="auto"/>
        <w:jc w:val="both"/>
        <w:rPr>
          <w:rFonts w:ascii="Times New Roman" w:hAnsi="Times New Roman" w:cs="Times New Roman"/>
          <w:color w:val="FF0000"/>
          <w:sz w:val="24"/>
          <w:szCs w:val="24"/>
        </w:rPr>
      </w:pPr>
    </w:p>
    <w:p w:rsidR="00B91B0B" w:rsidRPr="001821F6" w:rsidRDefault="00B91B0B" w:rsidP="00B91B0B">
      <w:pPr>
        <w:spacing w:after="0" w:line="360" w:lineRule="auto"/>
        <w:jc w:val="both"/>
        <w:rPr>
          <w:rFonts w:ascii="Times New Roman" w:hAnsi="Times New Roman" w:cs="Times New Roman"/>
          <w:color w:val="FF0000"/>
          <w:sz w:val="24"/>
          <w:szCs w:val="24"/>
        </w:rPr>
      </w:pPr>
      <w:r w:rsidRPr="001821F6">
        <w:rPr>
          <w:rFonts w:ascii="Times New Roman" w:hAnsi="Times New Roman" w:cs="Times New Roman"/>
          <w:color w:val="FF0000"/>
          <w:sz w:val="24"/>
          <w:szCs w:val="24"/>
        </w:rPr>
        <w:t>On the subsurface level (30-60 cm), nitrogen showed negative relations with phosphorus (r = -0.304, p &lt; 0.01) and potassium (r = -0.218, p &lt; 0.01), which indicates that there was a lack of co-accumulation of nutrients in deeper profiles. On the other hand, phosphorus showed a positive relationship with potassium (r = 0.353, p &lt; 0.01) and organic matter (r = 0.203, p &lt; 0.01), suggesting common sources or retention processes. Organic matter had a positive correlation with potassium (r = 0.509, p &lt; 0.01) and negative correlation with relative humidity (r = -0.202, p &lt; 0.01), which is expected of less organic stability in the wet conditions. Temperature has a positive correlation with soil pH (r = 0.308, p &lt; 0.01) and the relative humidity has a negative correlation with soil pH (r = -0.372, p &lt; 0.01). As with the surface layer, there were strong negative correlations between temperature and rainfall (r = -0.883, p &lt; 0.01) and temperature and relative humidity (r = -0.809, p &lt; 0.01), which were strong positive correlations between rainfall and relative humidity (r = 0.879, p &lt; 0.01).</w:t>
      </w:r>
    </w:p>
    <w:p w:rsidR="00C41922" w:rsidRPr="001821F6" w:rsidRDefault="00DB7E6A" w:rsidP="00DB0FBD">
      <w:pPr>
        <w:spacing w:line="360" w:lineRule="auto"/>
        <w:jc w:val="both"/>
        <w:rPr>
          <w:rFonts w:ascii="Times New Roman" w:hAnsi="Times New Roman" w:cs="Times New Roman"/>
          <w:color w:val="FF0000"/>
          <w:sz w:val="24"/>
          <w:szCs w:val="24"/>
        </w:rPr>
      </w:pPr>
      <w:r w:rsidRPr="001821F6">
        <w:rPr>
          <w:rFonts w:ascii="Times New Roman" w:hAnsi="Times New Roman" w:cs="Times New Roman"/>
          <w:color w:val="FF0000"/>
          <w:sz w:val="24"/>
          <w:szCs w:val="24"/>
        </w:rPr>
        <w:t xml:space="preserve">Overall, the correlation results reveal that temperature exerts a positive influence on soil pH and organic matter, while rainfall and relative humidity tend to reduce soil nutrient concentration, likely through leaching, runoff, and acidification. </w:t>
      </w:r>
      <w:r w:rsidR="00DB0FBD" w:rsidRPr="001821F6">
        <w:rPr>
          <w:rFonts w:ascii="Times New Roman" w:hAnsi="Times New Roman" w:cs="Times New Roman"/>
          <w:color w:val="FF0000"/>
          <w:sz w:val="24"/>
          <w:szCs w:val="24"/>
        </w:rPr>
        <w:t>These findings are consistent with earlier studies by Lal (2020) and FAO (2017), which emphasized that rainfall variability and humidity accelerate nutrient losses, while temperature governs the rate of organic matter decomposition and soil chemical transformations.</w:t>
      </w:r>
    </w:p>
    <w:p w:rsidR="00DB0FBD" w:rsidRPr="001821F6" w:rsidRDefault="00DB0FBD" w:rsidP="00DB0FBD">
      <w:pPr>
        <w:spacing w:line="360" w:lineRule="auto"/>
        <w:jc w:val="both"/>
        <w:rPr>
          <w:rFonts w:ascii="Times New Roman" w:hAnsi="Times New Roman" w:cs="Times New Roman"/>
          <w:sz w:val="24"/>
          <w:szCs w:val="24"/>
        </w:rPr>
        <w:sectPr w:rsidR="00DB0FBD" w:rsidRPr="001821F6" w:rsidSect="00676AB2">
          <w:headerReference w:type="even" r:id="rId10"/>
          <w:headerReference w:type="default" r:id="rId11"/>
          <w:footerReference w:type="default" r:id="rId12"/>
          <w:headerReference w:type="first" r:id="rId13"/>
          <w:pgSz w:w="11907" w:h="16839" w:code="9"/>
          <w:pgMar w:top="1440" w:right="1440" w:bottom="1440" w:left="1440" w:header="720" w:footer="720" w:gutter="0"/>
          <w:cols w:space="720"/>
          <w:docGrid w:linePitch="360"/>
        </w:sectPr>
      </w:pPr>
    </w:p>
    <w:tbl>
      <w:tblPr>
        <w:tblpPr w:leftFromText="180" w:rightFromText="180" w:vertAnchor="text" w:horzAnchor="margin" w:tblpXSpec="center" w:tblpY="-1440"/>
        <w:tblW w:w="16173" w:type="dxa"/>
        <w:tblLayout w:type="fixed"/>
        <w:tblCellMar>
          <w:left w:w="0" w:type="dxa"/>
          <w:right w:w="0" w:type="dxa"/>
        </w:tblCellMar>
        <w:tblLook w:val="0000" w:firstRow="0" w:lastRow="0" w:firstColumn="0" w:lastColumn="0" w:noHBand="0" w:noVBand="0"/>
      </w:tblPr>
      <w:tblGrid>
        <w:gridCol w:w="974"/>
        <w:gridCol w:w="1546"/>
        <w:gridCol w:w="2563"/>
        <w:gridCol w:w="1124"/>
        <w:gridCol w:w="1482"/>
        <w:gridCol w:w="1346"/>
        <w:gridCol w:w="1618"/>
        <w:gridCol w:w="1107"/>
        <w:gridCol w:w="1533"/>
        <w:gridCol w:w="1107"/>
        <w:gridCol w:w="1773"/>
      </w:tblGrid>
      <w:tr w:rsidR="00C41922" w:rsidRPr="001821F6" w:rsidTr="00676AB2">
        <w:trPr>
          <w:cantSplit/>
        </w:trPr>
        <w:tc>
          <w:tcPr>
            <w:tcW w:w="16173" w:type="dxa"/>
            <w:gridSpan w:val="11"/>
            <w:tcBorders>
              <w:bottom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p w:rsidR="00C41922" w:rsidRPr="001821F6" w:rsidRDefault="00DC2E3E" w:rsidP="00962DC3">
            <w:pPr>
              <w:spacing w:after="0"/>
              <w:ind w:left="142"/>
              <w:jc w:val="both"/>
              <w:rPr>
                <w:rFonts w:ascii="Times New Roman" w:hAnsi="Times New Roman" w:cs="Times New Roman"/>
                <w:b/>
                <w:sz w:val="24"/>
                <w:szCs w:val="24"/>
              </w:rPr>
            </w:pPr>
            <w:r w:rsidRPr="001821F6">
              <w:rPr>
                <w:rFonts w:ascii="Times New Roman" w:hAnsi="Times New Roman" w:cs="Times New Roman"/>
                <w:b/>
                <w:sz w:val="24"/>
                <w:szCs w:val="24"/>
              </w:rPr>
              <w:t xml:space="preserve">Table </w:t>
            </w:r>
            <w:r w:rsidR="00C41922" w:rsidRPr="001821F6">
              <w:rPr>
                <w:rFonts w:ascii="Times New Roman" w:hAnsi="Times New Roman" w:cs="Times New Roman"/>
                <w:b/>
                <w:sz w:val="24"/>
                <w:szCs w:val="24"/>
              </w:rPr>
              <w:t>1  Pearson correlation coefficients to assess the linear relationships between soil nutrients and weather parameters</w:t>
            </w:r>
          </w:p>
        </w:tc>
      </w:tr>
      <w:tr w:rsidR="00C41922" w:rsidRPr="001821F6" w:rsidTr="00676AB2">
        <w:trPr>
          <w:cantSplit/>
        </w:trPr>
        <w:tc>
          <w:tcPr>
            <w:tcW w:w="5083" w:type="dxa"/>
            <w:gridSpan w:val="3"/>
            <w:tcBorders>
              <w:top w:val="single" w:sz="4" w:space="0" w:color="auto"/>
              <w:bottom w:val="single" w:sz="4" w:space="0" w:color="auto"/>
            </w:tcBorders>
            <w:shd w:val="clear" w:color="auto" w:fill="FFFFFF"/>
            <w:vAlign w:val="bottom"/>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Soil Depth</w:t>
            </w:r>
          </w:p>
        </w:tc>
        <w:tc>
          <w:tcPr>
            <w:tcW w:w="1124" w:type="dxa"/>
            <w:tcBorders>
              <w:top w:val="single" w:sz="4" w:space="0" w:color="auto"/>
              <w:bottom w:val="single" w:sz="4" w:space="0" w:color="auto"/>
            </w:tcBorders>
            <w:shd w:val="clear" w:color="auto" w:fill="FFFFFF"/>
            <w:vAlign w:val="bottom"/>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Nitrogen</w:t>
            </w:r>
          </w:p>
        </w:tc>
        <w:tc>
          <w:tcPr>
            <w:tcW w:w="1482" w:type="dxa"/>
            <w:tcBorders>
              <w:top w:val="single" w:sz="4" w:space="0" w:color="auto"/>
              <w:bottom w:val="single" w:sz="4" w:space="0" w:color="auto"/>
            </w:tcBorders>
            <w:shd w:val="clear" w:color="auto" w:fill="FFFFFF"/>
            <w:vAlign w:val="bottom"/>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Phosphorus</w:t>
            </w:r>
          </w:p>
        </w:tc>
        <w:tc>
          <w:tcPr>
            <w:tcW w:w="1346" w:type="dxa"/>
            <w:tcBorders>
              <w:top w:val="single" w:sz="4" w:space="0" w:color="auto"/>
              <w:bottom w:val="single" w:sz="4" w:space="0" w:color="auto"/>
            </w:tcBorders>
            <w:shd w:val="clear" w:color="auto" w:fill="FFFFFF"/>
            <w:vAlign w:val="bottom"/>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Potassium</w:t>
            </w:r>
          </w:p>
        </w:tc>
        <w:tc>
          <w:tcPr>
            <w:tcW w:w="1618" w:type="dxa"/>
            <w:tcBorders>
              <w:top w:val="single" w:sz="4" w:space="0" w:color="auto"/>
              <w:bottom w:val="single" w:sz="4" w:space="0" w:color="auto"/>
            </w:tcBorders>
            <w:shd w:val="clear" w:color="auto" w:fill="FFFFFF"/>
            <w:vAlign w:val="bottom"/>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Organic Matter</w:t>
            </w:r>
          </w:p>
        </w:tc>
        <w:tc>
          <w:tcPr>
            <w:tcW w:w="1107" w:type="dxa"/>
            <w:tcBorders>
              <w:top w:val="single" w:sz="4" w:space="0" w:color="auto"/>
              <w:bottom w:val="single" w:sz="4" w:space="0" w:color="auto"/>
            </w:tcBorders>
            <w:shd w:val="clear" w:color="auto" w:fill="FFFFFF"/>
            <w:vAlign w:val="bottom"/>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Soil pH</w:t>
            </w:r>
          </w:p>
        </w:tc>
        <w:tc>
          <w:tcPr>
            <w:tcW w:w="1533" w:type="dxa"/>
            <w:tcBorders>
              <w:top w:val="single" w:sz="4" w:space="0" w:color="auto"/>
              <w:bottom w:val="single" w:sz="4" w:space="0" w:color="auto"/>
            </w:tcBorders>
            <w:shd w:val="clear" w:color="auto" w:fill="FFFFFF"/>
            <w:vAlign w:val="bottom"/>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Temperature</w:t>
            </w:r>
          </w:p>
        </w:tc>
        <w:tc>
          <w:tcPr>
            <w:tcW w:w="1107" w:type="dxa"/>
            <w:tcBorders>
              <w:top w:val="single" w:sz="4" w:space="0" w:color="auto"/>
              <w:bottom w:val="single" w:sz="4" w:space="0" w:color="auto"/>
            </w:tcBorders>
            <w:shd w:val="clear" w:color="auto" w:fill="FFFFFF"/>
            <w:vAlign w:val="bottom"/>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Rainfall</w:t>
            </w:r>
          </w:p>
        </w:tc>
        <w:tc>
          <w:tcPr>
            <w:tcW w:w="1773" w:type="dxa"/>
            <w:tcBorders>
              <w:top w:val="single" w:sz="4" w:space="0" w:color="auto"/>
              <w:bottom w:val="single" w:sz="4" w:space="0" w:color="auto"/>
            </w:tcBorders>
            <w:shd w:val="clear" w:color="auto" w:fill="FFFFFF"/>
            <w:vAlign w:val="bottom"/>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Relative Humidity</w:t>
            </w:r>
          </w:p>
        </w:tc>
      </w:tr>
      <w:tr w:rsidR="00C41922" w:rsidRPr="001821F6" w:rsidTr="00676AB2">
        <w:trPr>
          <w:cantSplit/>
        </w:trPr>
        <w:tc>
          <w:tcPr>
            <w:tcW w:w="974" w:type="dxa"/>
            <w:vMerge w:val="restart"/>
            <w:tcBorders>
              <w:top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0–30 cm</w:t>
            </w:r>
          </w:p>
        </w:tc>
        <w:tc>
          <w:tcPr>
            <w:tcW w:w="1546" w:type="dxa"/>
            <w:vMerge w:val="restart"/>
            <w:tcBorders>
              <w:top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Nitrogen</w:t>
            </w:r>
          </w:p>
        </w:tc>
        <w:tc>
          <w:tcPr>
            <w:tcW w:w="2563" w:type="dxa"/>
            <w:tcBorders>
              <w:top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tcBorders>
              <w:top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482" w:type="dxa"/>
            <w:tcBorders>
              <w:top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-.079</w:t>
            </w:r>
          </w:p>
        </w:tc>
        <w:tc>
          <w:tcPr>
            <w:tcW w:w="1346" w:type="dxa"/>
            <w:tcBorders>
              <w:top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-.277</w:t>
            </w:r>
            <w:r w:rsidRPr="001821F6">
              <w:rPr>
                <w:rFonts w:ascii="Times New Roman" w:hAnsi="Times New Roman" w:cs="Times New Roman"/>
                <w:sz w:val="24"/>
                <w:szCs w:val="24"/>
                <w:vertAlign w:val="superscript"/>
              </w:rPr>
              <w:t>**</w:t>
            </w:r>
          </w:p>
        </w:tc>
        <w:tc>
          <w:tcPr>
            <w:tcW w:w="1618" w:type="dxa"/>
            <w:tcBorders>
              <w:top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-.232</w:t>
            </w:r>
            <w:r w:rsidRPr="001821F6">
              <w:rPr>
                <w:rFonts w:ascii="Times New Roman" w:hAnsi="Times New Roman" w:cs="Times New Roman"/>
                <w:sz w:val="24"/>
                <w:szCs w:val="24"/>
                <w:vertAlign w:val="superscript"/>
              </w:rPr>
              <w:t>**</w:t>
            </w:r>
          </w:p>
        </w:tc>
        <w:tc>
          <w:tcPr>
            <w:tcW w:w="1107" w:type="dxa"/>
            <w:tcBorders>
              <w:top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.084</w:t>
            </w:r>
          </w:p>
        </w:tc>
        <w:tc>
          <w:tcPr>
            <w:tcW w:w="1533" w:type="dxa"/>
            <w:tcBorders>
              <w:top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.009</w:t>
            </w:r>
          </w:p>
        </w:tc>
        <w:tc>
          <w:tcPr>
            <w:tcW w:w="1107" w:type="dxa"/>
            <w:tcBorders>
              <w:top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.014</w:t>
            </w:r>
          </w:p>
        </w:tc>
        <w:tc>
          <w:tcPr>
            <w:tcW w:w="1773" w:type="dxa"/>
            <w:tcBorders>
              <w:top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.111</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.309</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.002</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.281</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.905</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.859</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.152</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Phosphorus</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-.079</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-.004</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.144</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-.037</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.123</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-.162</w:t>
            </w:r>
            <w:r w:rsidRPr="001821F6">
              <w:rPr>
                <w:rFonts w:ascii="Times New Roman" w:hAnsi="Times New Roman" w:cs="Times New Roman"/>
                <w:sz w:val="24"/>
                <w:szCs w:val="24"/>
                <w:vertAlign w:val="superscript"/>
              </w:rPr>
              <w:t>*</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-.166</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.309</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.957</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.063</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.637</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.113</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.035</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.031</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Potassium</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-.277</w:t>
            </w:r>
            <w:r w:rsidRPr="001821F6">
              <w:rPr>
                <w:rFonts w:ascii="Times New Roman" w:hAnsi="Times New Roman" w:cs="Times New Roman"/>
                <w:sz w:val="24"/>
                <w:szCs w:val="24"/>
                <w:vertAlign w:val="superscript"/>
              </w:rPr>
              <w:t>**</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-.004</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.549</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.025</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.081</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-.062</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-.170</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.957</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.751</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.426</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.027</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Organic Matter</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-.232</w:t>
            </w:r>
            <w:r w:rsidRPr="001821F6">
              <w:rPr>
                <w:rFonts w:ascii="Times New Roman" w:hAnsi="Times New Roman" w:cs="Times New Roman"/>
                <w:sz w:val="24"/>
                <w:szCs w:val="24"/>
                <w:vertAlign w:val="superscript"/>
              </w:rPr>
              <w:t>**</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.144</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.549</w:t>
            </w:r>
            <w:r w:rsidRPr="001821F6">
              <w:rPr>
                <w:rFonts w:ascii="Times New Roman" w:hAnsi="Times New Roman" w:cs="Times New Roman"/>
                <w:sz w:val="24"/>
                <w:szCs w:val="24"/>
                <w:vertAlign w:val="superscript"/>
              </w:rPr>
              <w:t>**</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.239</w:t>
            </w:r>
            <w:r w:rsidRPr="001821F6">
              <w:rPr>
                <w:rFonts w:ascii="Times New Roman" w:hAnsi="Times New Roman" w:cs="Times New Roman"/>
                <w:sz w:val="24"/>
                <w:szCs w:val="24"/>
                <w:vertAlign w:val="superscript"/>
              </w:rPr>
              <w:t>**</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.421</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-.372</w:t>
            </w:r>
            <w:r w:rsidRPr="001821F6">
              <w:rPr>
                <w:rFonts w:ascii="Times New Roman" w:hAnsi="Times New Roman" w:cs="Times New Roman"/>
                <w:sz w:val="24"/>
                <w:szCs w:val="24"/>
                <w:vertAlign w:val="superscript"/>
              </w:rPr>
              <w:t>**</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-.448</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.002</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.063</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.002</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Soil pH</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.084</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-.037</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.025</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.239</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.354</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-.356</w:t>
            </w:r>
            <w:r w:rsidRPr="001821F6">
              <w:rPr>
                <w:rFonts w:ascii="Times New Roman" w:hAnsi="Times New Roman" w:cs="Times New Roman"/>
                <w:sz w:val="24"/>
                <w:szCs w:val="24"/>
                <w:vertAlign w:val="superscript"/>
              </w:rPr>
              <w:t>**</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-.435</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.281</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.637</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.751</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.002</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Temperature</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.009</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.123</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.081</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.421</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.354</w:t>
            </w:r>
            <w:r w:rsidRPr="001821F6">
              <w:rPr>
                <w:rFonts w:ascii="Times New Roman" w:hAnsi="Times New Roman" w:cs="Times New Roman"/>
                <w:sz w:val="24"/>
                <w:szCs w:val="24"/>
                <w:vertAlign w:val="superscript"/>
              </w:rPr>
              <w:t>**</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-.883</w:t>
            </w:r>
            <w:r w:rsidRPr="001821F6">
              <w:rPr>
                <w:rFonts w:ascii="Times New Roman" w:hAnsi="Times New Roman" w:cs="Times New Roman"/>
                <w:sz w:val="24"/>
                <w:szCs w:val="24"/>
                <w:vertAlign w:val="superscript"/>
              </w:rPr>
              <w:t>**</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-.807</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.905</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.113</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.300</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Rainfall</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.014</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-.162</w:t>
            </w:r>
            <w:r w:rsidRPr="001821F6">
              <w:rPr>
                <w:rFonts w:ascii="Times New Roman" w:hAnsi="Times New Roman" w:cs="Times New Roman"/>
                <w:sz w:val="24"/>
                <w:szCs w:val="24"/>
                <w:vertAlign w:val="superscript"/>
              </w:rPr>
              <w:t>*</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-.062</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-.372</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-.356</w:t>
            </w:r>
            <w:r w:rsidRPr="001821F6">
              <w:rPr>
                <w:rFonts w:ascii="Times New Roman" w:hAnsi="Times New Roman" w:cs="Times New Roman"/>
                <w:sz w:val="24"/>
                <w:szCs w:val="24"/>
                <w:vertAlign w:val="superscript"/>
              </w:rPr>
              <w:t>**</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-.883</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.880</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.859</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.035</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.426</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Relative Humidity</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.111</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-.166</w:t>
            </w:r>
            <w:r w:rsidRPr="001821F6">
              <w:rPr>
                <w:rFonts w:ascii="Times New Roman" w:hAnsi="Times New Roman" w:cs="Times New Roman"/>
                <w:sz w:val="24"/>
                <w:szCs w:val="24"/>
                <w:vertAlign w:val="superscript"/>
              </w:rPr>
              <w:t>*</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-.170</w:t>
            </w:r>
            <w:r w:rsidRPr="001821F6">
              <w:rPr>
                <w:rFonts w:ascii="Times New Roman" w:hAnsi="Times New Roman" w:cs="Times New Roman"/>
                <w:sz w:val="24"/>
                <w:szCs w:val="24"/>
                <w:vertAlign w:val="superscript"/>
              </w:rPr>
              <w:t>*</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-.448</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-.435</w:t>
            </w:r>
            <w:r w:rsidRPr="001821F6">
              <w:rPr>
                <w:rFonts w:ascii="Times New Roman" w:hAnsi="Times New Roman" w:cs="Times New Roman"/>
                <w:sz w:val="24"/>
                <w:szCs w:val="24"/>
                <w:vertAlign w:val="superscript"/>
              </w:rPr>
              <w:t>**</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-.807</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.880</w:t>
            </w:r>
            <w:r w:rsidRPr="001821F6">
              <w:rPr>
                <w:rFonts w:ascii="Times New Roman" w:hAnsi="Times New Roman" w:cs="Times New Roman"/>
                <w:sz w:val="24"/>
                <w:szCs w:val="24"/>
                <w:vertAlign w:val="superscript"/>
              </w:rPr>
              <w:t>**</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.152</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.031</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.027</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r>
      <w:tr w:rsidR="00C41922" w:rsidRPr="001821F6" w:rsidTr="00676AB2">
        <w:trPr>
          <w:cantSplit/>
        </w:trPr>
        <w:tc>
          <w:tcPr>
            <w:tcW w:w="974"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val="restart"/>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30–60 cm</w:t>
            </w: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Nitrogen</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-.304</w:t>
            </w:r>
            <w:r w:rsidRPr="001821F6">
              <w:rPr>
                <w:rFonts w:ascii="Times New Roman" w:hAnsi="Times New Roman" w:cs="Times New Roman"/>
                <w:sz w:val="24"/>
                <w:szCs w:val="24"/>
                <w:vertAlign w:val="superscript"/>
              </w:rPr>
              <w:t>**</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-.218</w:t>
            </w:r>
            <w:r w:rsidRPr="001821F6">
              <w:rPr>
                <w:rFonts w:ascii="Times New Roman" w:hAnsi="Times New Roman" w:cs="Times New Roman"/>
                <w:sz w:val="24"/>
                <w:szCs w:val="24"/>
                <w:vertAlign w:val="superscript"/>
              </w:rPr>
              <w:t>**</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-.083</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.031</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-.151</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.131</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.143</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.005</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.285</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.694</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.051</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.090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.064</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Phosphorus</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-.304</w:t>
            </w:r>
            <w:r w:rsidRPr="001821F6">
              <w:rPr>
                <w:rFonts w:ascii="Times New Roman" w:hAnsi="Times New Roman" w:cs="Times New Roman"/>
                <w:sz w:val="24"/>
                <w:szCs w:val="24"/>
                <w:vertAlign w:val="superscript"/>
              </w:rPr>
              <w:t>**</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.353</w:t>
            </w:r>
            <w:r w:rsidRPr="001821F6">
              <w:rPr>
                <w:rFonts w:ascii="Times New Roman" w:hAnsi="Times New Roman" w:cs="Times New Roman"/>
                <w:sz w:val="24"/>
                <w:szCs w:val="24"/>
                <w:vertAlign w:val="superscript"/>
              </w:rPr>
              <w:t>**</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.203</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-.047</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.348</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-.313</w:t>
            </w:r>
            <w:r w:rsidRPr="001821F6">
              <w:rPr>
                <w:rFonts w:ascii="Times New Roman" w:hAnsi="Times New Roman" w:cs="Times New Roman"/>
                <w:sz w:val="24"/>
                <w:szCs w:val="24"/>
                <w:vertAlign w:val="superscript"/>
              </w:rPr>
              <w:t>**</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-.233</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.544</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.002</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Potassium</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-.218</w:t>
            </w:r>
            <w:r w:rsidRPr="001821F6">
              <w:rPr>
                <w:rFonts w:ascii="Times New Roman" w:hAnsi="Times New Roman" w:cs="Times New Roman"/>
                <w:sz w:val="24"/>
                <w:szCs w:val="24"/>
                <w:vertAlign w:val="superscript"/>
              </w:rPr>
              <w:t>**</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.353</w:t>
            </w:r>
            <w:r w:rsidRPr="001821F6">
              <w:rPr>
                <w:rFonts w:ascii="Times New Roman" w:hAnsi="Times New Roman" w:cs="Times New Roman"/>
                <w:sz w:val="24"/>
                <w:szCs w:val="24"/>
                <w:vertAlign w:val="superscript"/>
              </w:rPr>
              <w:t>**</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.509</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-.035</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.051</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-.040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-.172</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.005</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.653</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.513</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.604</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.026</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Organic Matter</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-.083</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.203</w:t>
            </w:r>
            <w:r w:rsidRPr="001821F6">
              <w:rPr>
                <w:rFonts w:ascii="Times New Roman" w:hAnsi="Times New Roman" w:cs="Times New Roman"/>
                <w:sz w:val="24"/>
                <w:szCs w:val="24"/>
                <w:vertAlign w:val="superscript"/>
              </w:rPr>
              <w:t>**</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.509</w:t>
            </w:r>
            <w:r w:rsidRPr="001821F6">
              <w:rPr>
                <w:rFonts w:ascii="Times New Roman" w:hAnsi="Times New Roman" w:cs="Times New Roman"/>
                <w:sz w:val="24"/>
                <w:szCs w:val="24"/>
                <w:vertAlign w:val="superscript"/>
              </w:rPr>
              <w:t>**</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.129</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.032</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-.021</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-.202</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.285</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.097</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.677</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.789</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.008</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Soil pH</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.031</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-.047</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-.035</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.129</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.308</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-.318</w:t>
            </w:r>
            <w:r w:rsidRPr="001821F6">
              <w:rPr>
                <w:rFonts w:ascii="Times New Roman" w:hAnsi="Times New Roman" w:cs="Times New Roman"/>
                <w:sz w:val="24"/>
                <w:szCs w:val="24"/>
                <w:vertAlign w:val="superscript"/>
              </w:rPr>
              <w:t>**</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-.372</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.694</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.544</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.653</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.097</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Temperature</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-.151</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.348</w:t>
            </w:r>
            <w:r w:rsidRPr="001821F6">
              <w:rPr>
                <w:rFonts w:ascii="Times New Roman" w:hAnsi="Times New Roman" w:cs="Times New Roman"/>
                <w:sz w:val="24"/>
                <w:szCs w:val="24"/>
                <w:vertAlign w:val="superscript"/>
              </w:rPr>
              <w:t>**</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.051</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.032</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.308</w:t>
            </w:r>
            <w:r w:rsidRPr="001821F6">
              <w:rPr>
                <w:rFonts w:ascii="Times New Roman" w:hAnsi="Times New Roman" w:cs="Times New Roman"/>
                <w:sz w:val="24"/>
                <w:szCs w:val="24"/>
                <w:vertAlign w:val="superscript"/>
              </w:rPr>
              <w:t>**</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-.883</w:t>
            </w:r>
            <w:r w:rsidRPr="001821F6">
              <w:rPr>
                <w:rFonts w:ascii="Times New Roman" w:hAnsi="Times New Roman" w:cs="Times New Roman"/>
                <w:sz w:val="24"/>
                <w:szCs w:val="24"/>
                <w:vertAlign w:val="superscript"/>
              </w:rPr>
              <w:t>**</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-.809</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.051</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.513</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.677</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Rainfall</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.131</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-.313</w:t>
            </w:r>
            <w:r w:rsidRPr="001821F6">
              <w:rPr>
                <w:rFonts w:ascii="Times New Roman" w:hAnsi="Times New Roman" w:cs="Times New Roman"/>
                <w:sz w:val="24"/>
                <w:szCs w:val="24"/>
                <w:vertAlign w:val="superscript"/>
              </w:rPr>
              <w:t>**</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-.040</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-.021</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-.318</w:t>
            </w:r>
            <w:r w:rsidRPr="001821F6">
              <w:rPr>
                <w:rFonts w:ascii="Times New Roman" w:hAnsi="Times New Roman" w:cs="Times New Roman"/>
                <w:sz w:val="24"/>
                <w:szCs w:val="24"/>
                <w:vertAlign w:val="superscript"/>
              </w:rPr>
              <w:t>**</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-.883</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.879</w:t>
            </w:r>
            <w:r w:rsidRPr="001821F6">
              <w:rPr>
                <w:rFonts w:ascii="Times New Roman" w:hAnsi="Times New Roman" w:cs="Times New Roman"/>
                <w:sz w:val="24"/>
                <w:szCs w:val="24"/>
                <w:vertAlign w:val="superscript"/>
              </w:rPr>
              <w:t>**</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.090</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.604</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.789</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val="restart"/>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Relative Humidity</w:t>
            </w: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Pearson Correlation</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.143</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-.233</w:t>
            </w:r>
            <w:r w:rsidRPr="001821F6">
              <w:rPr>
                <w:rFonts w:ascii="Times New Roman" w:hAnsi="Times New Roman" w:cs="Times New Roman"/>
                <w:sz w:val="24"/>
                <w:szCs w:val="24"/>
                <w:vertAlign w:val="superscript"/>
              </w:rPr>
              <w:t>**</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-.172</w:t>
            </w:r>
            <w:r w:rsidRPr="001821F6">
              <w:rPr>
                <w:rFonts w:ascii="Times New Roman" w:hAnsi="Times New Roman" w:cs="Times New Roman"/>
                <w:sz w:val="24"/>
                <w:szCs w:val="24"/>
                <w:vertAlign w:val="superscript"/>
              </w:rPr>
              <w:t>*</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-.202</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-.372</w:t>
            </w:r>
            <w:r w:rsidRPr="001821F6">
              <w:rPr>
                <w:rFonts w:ascii="Times New Roman" w:hAnsi="Times New Roman" w:cs="Times New Roman"/>
                <w:sz w:val="24"/>
                <w:szCs w:val="24"/>
                <w:vertAlign w:val="superscript"/>
              </w:rPr>
              <w:t>**</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-.809</w:t>
            </w:r>
            <w:r w:rsidRPr="001821F6">
              <w:rPr>
                <w:rFonts w:ascii="Times New Roman" w:hAnsi="Times New Roman" w:cs="Times New Roman"/>
                <w:sz w:val="24"/>
                <w:szCs w:val="24"/>
                <w:vertAlign w:val="superscript"/>
              </w:rPr>
              <w:t>**</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.879</w:t>
            </w:r>
            <w:r w:rsidRPr="001821F6">
              <w:rPr>
                <w:rFonts w:ascii="Times New Roman" w:hAnsi="Times New Roman" w:cs="Times New Roman"/>
                <w:sz w:val="24"/>
                <w:szCs w:val="24"/>
                <w:vertAlign w:val="superscript"/>
              </w:rPr>
              <w:t>**</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w:t>
            </w: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Sig. (2-tailed)</w:t>
            </w:r>
          </w:p>
        </w:tc>
        <w:tc>
          <w:tcPr>
            <w:tcW w:w="1124"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.064</w:t>
            </w:r>
          </w:p>
        </w:tc>
        <w:tc>
          <w:tcPr>
            <w:tcW w:w="1482"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.002</w:t>
            </w:r>
          </w:p>
        </w:tc>
        <w:tc>
          <w:tcPr>
            <w:tcW w:w="1346"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.026</w:t>
            </w:r>
          </w:p>
        </w:tc>
        <w:tc>
          <w:tcPr>
            <w:tcW w:w="1618"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.008</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53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107"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.000</w:t>
            </w:r>
          </w:p>
        </w:tc>
        <w:tc>
          <w:tcPr>
            <w:tcW w:w="1773" w:type="dxa"/>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p>
        </w:tc>
      </w:tr>
      <w:tr w:rsidR="00C41922" w:rsidRPr="001821F6" w:rsidTr="00676AB2">
        <w:trPr>
          <w:cantSplit/>
        </w:trPr>
        <w:tc>
          <w:tcPr>
            <w:tcW w:w="974"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1546" w:type="dxa"/>
            <w:vMerge/>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p>
        </w:tc>
        <w:tc>
          <w:tcPr>
            <w:tcW w:w="2563" w:type="dxa"/>
            <w:tcBorders>
              <w:bottom w:val="single" w:sz="4" w:space="0" w:color="auto"/>
            </w:tcBorders>
            <w:shd w:val="clear" w:color="auto" w:fill="FFFFFF"/>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N</w:t>
            </w:r>
          </w:p>
        </w:tc>
        <w:tc>
          <w:tcPr>
            <w:tcW w:w="1124" w:type="dxa"/>
            <w:tcBorders>
              <w:bottom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482" w:type="dxa"/>
            <w:tcBorders>
              <w:bottom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346" w:type="dxa"/>
            <w:tcBorders>
              <w:bottom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618" w:type="dxa"/>
            <w:tcBorders>
              <w:bottom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tcBorders>
              <w:bottom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533" w:type="dxa"/>
            <w:tcBorders>
              <w:bottom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107" w:type="dxa"/>
            <w:tcBorders>
              <w:bottom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c>
          <w:tcPr>
            <w:tcW w:w="1773" w:type="dxa"/>
            <w:tcBorders>
              <w:bottom w:val="single" w:sz="4" w:space="0" w:color="auto"/>
            </w:tcBorders>
            <w:shd w:val="clear" w:color="auto" w:fill="FFFFFF"/>
            <w:vAlign w:val="center"/>
          </w:tcPr>
          <w:p w:rsidR="00C41922" w:rsidRPr="001821F6" w:rsidRDefault="00C41922" w:rsidP="00962DC3">
            <w:pPr>
              <w:spacing w:after="0"/>
              <w:jc w:val="both"/>
              <w:rPr>
                <w:rFonts w:ascii="Times New Roman" w:hAnsi="Times New Roman" w:cs="Times New Roman"/>
                <w:sz w:val="24"/>
                <w:szCs w:val="24"/>
              </w:rPr>
            </w:pPr>
            <w:r w:rsidRPr="001821F6">
              <w:rPr>
                <w:rFonts w:ascii="Times New Roman" w:hAnsi="Times New Roman" w:cs="Times New Roman"/>
                <w:sz w:val="24"/>
                <w:szCs w:val="24"/>
              </w:rPr>
              <w:t>168</w:t>
            </w:r>
          </w:p>
        </w:tc>
      </w:tr>
      <w:tr w:rsidR="00C41922" w:rsidRPr="001821F6" w:rsidTr="00676AB2">
        <w:trPr>
          <w:cantSplit/>
        </w:trPr>
        <w:tc>
          <w:tcPr>
            <w:tcW w:w="16173" w:type="dxa"/>
            <w:gridSpan w:val="11"/>
            <w:shd w:val="clear" w:color="auto" w:fill="FFFFFF"/>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 Correlation is significant at the 0.01 level (2-tailed).</w:t>
            </w:r>
          </w:p>
        </w:tc>
      </w:tr>
      <w:tr w:rsidR="00C41922" w:rsidRPr="001821F6" w:rsidTr="00676AB2">
        <w:trPr>
          <w:cantSplit/>
        </w:trPr>
        <w:tc>
          <w:tcPr>
            <w:tcW w:w="16173" w:type="dxa"/>
            <w:gridSpan w:val="11"/>
            <w:shd w:val="clear" w:color="auto" w:fill="FFFFFF"/>
          </w:tcPr>
          <w:p w:rsidR="00C41922" w:rsidRPr="001821F6" w:rsidRDefault="00C41922" w:rsidP="00962DC3">
            <w:pPr>
              <w:spacing w:after="0"/>
              <w:jc w:val="both"/>
              <w:rPr>
                <w:rFonts w:ascii="Times New Roman" w:hAnsi="Times New Roman" w:cs="Times New Roman"/>
                <w:b/>
                <w:sz w:val="24"/>
                <w:szCs w:val="24"/>
              </w:rPr>
            </w:pPr>
            <w:r w:rsidRPr="001821F6">
              <w:rPr>
                <w:rFonts w:ascii="Times New Roman" w:hAnsi="Times New Roman" w:cs="Times New Roman"/>
                <w:b/>
                <w:sz w:val="24"/>
                <w:szCs w:val="24"/>
              </w:rPr>
              <w:t>*. Correlation is significant at the 0.05 level (2-tailed).</w:t>
            </w:r>
          </w:p>
        </w:tc>
      </w:tr>
    </w:tbl>
    <w:p w:rsidR="00C41922" w:rsidRPr="001821F6" w:rsidRDefault="00C41922" w:rsidP="00962DC3">
      <w:pPr>
        <w:spacing w:after="0" w:line="360" w:lineRule="auto"/>
        <w:jc w:val="both"/>
        <w:rPr>
          <w:rFonts w:ascii="Times New Roman" w:hAnsi="Times New Roman" w:cs="Times New Roman"/>
          <w:sz w:val="24"/>
          <w:szCs w:val="24"/>
        </w:rPr>
      </w:pPr>
    </w:p>
    <w:p w:rsidR="00C41922" w:rsidRPr="001821F6" w:rsidRDefault="00C41922" w:rsidP="00D350F1">
      <w:pPr>
        <w:spacing w:line="360" w:lineRule="auto"/>
        <w:jc w:val="both"/>
        <w:rPr>
          <w:rFonts w:ascii="Times New Roman" w:hAnsi="Times New Roman" w:cs="Times New Roman"/>
          <w:sz w:val="24"/>
          <w:szCs w:val="24"/>
        </w:rPr>
      </w:pPr>
    </w:p>
    <w:p w:rsidR="00C41922" w:rsidRPr="001821F6" w:rsidRDefault="00C41922" w:rsidP="00D350F1">
      <w:pPr>
        <w:spacing w:line="360" w:lineRule="auto"/>
        <w:jc w:val="both"/>
        <w:rPr>
          <w:rFonts w:ascii="Times New Roman" w:hAnsi="Times New Roman" w:cs="Times New Roman"/>
          <w:sz w:val="24"/>
          <w:szCs w:val="24"/>
        </w:rPr>
      </w:pPr>
    </w:p>
    <w:p w:rsidR="00C41922" w:rsidRPr="001821F6" w:rsidRDefault="00C41922" w:rsidP="00D350F1">
      <w:pPr>
        <w:spacing w:line="360" w:lineRule="auto"/>
        <w:jc w:val="both"/>
        <w:rPr>
          <w:rFonts w:ascii="Times New Roman" w:hAnsi="Times New Roman" w:cs="Times New Roman"/>
          <w:sz w:val="24"/>
          <w:szCs w:val="24"/>
        </w:rPr>
        <w:sectPr w:rsidR="00C41922" w:rsidRPr="001821F6" w:rsidSect="00676AB2">
          <w:pgSz w:w="16839" w:h="11907" w:orient="landscape" w:code="9"/>
          <w:pgMar w:top="1440" w:right="1440" w:bottom="1440" w:left="1440" w:header="720" w:footer="720" w:gutter="0"/>
          <w:cols w:space="720"/>
          <w:docGrid w:linePitch="360"/>
        </w:sectPr>
      </w:pPr>
    </w:p>
    <w:p w:rsidR="00C41922" w:rsidRPr="001821F6" w:rsidRDefault="00DC2E3E" w:rsidP="00D350F1">
      <w:pPr>
        <w:spacing w:line="360" w:lineRule="auto"/>
        <w:jc w:val="both"/>
        <w:rPr>
          <w:rFonts w:ascii="Times New Roman" w:hAnsi="Times New Roman" w:cs="Times New Roman"/>
          <w:b/>
          <w:sz w:val="24"/>
          <w:szCs w:val="24"/>
        </w:rPr>
      </w:pPr>
      <w:r w:rsidRPr="001821F6">
        <w:rPr>
          <w:rFonts w:ascii="Times New Roman" w:hAnsi="Times New Roman" w:cs="Times New Roman"/>
          <w:b/>
          <w:sz w:val="24"/>
          <w:szCs w:val="24"/>
        </w:rPr>
        <w:lastRenderedPageBreak/>
        <w:t>3</w:t>
      </w:r>
      <w:r w:rsidR="00C41922" w:rsidRPr="001821F6">
        <w:rPr>
          <w:rFonts w:ascii="Times New Roman" w:hAnsi="Times New Roman" w:cs="Times New Roman"/>
          <w:b/>
          <w:sz w:val="24"/>
          <w:szCs w:val="24"/>
        </w:rPr>
        <w:t xml:space="preserve">.2 Variation </w:t>
      </w:r>
      <w:r w:rsidR="00962DC3" w:rsidRPr="001821F6">
        <w:rPr>
          <w:rFonts w:ascii="Times New Roman" w:hAnsi="Times New Roman" w:cs="Times New Roman"/>
          <w:b/>
          <w:sz w:val="24"/>
          <w:szCs w:val="24"/>
        </w:rPr>
        <w:t xml:space="preserve">of Rainfall Erosivity across </w:t>
      </w:r>
      <w:r w:rsidR="00C41922" w:rsidRPr="001821F6">
        <w:rPr>
          <w:rFonts w:ascii="Times New Roman" w:hAnsi="Times New Roman" w:cs="Times New Roman"/>
          <w:b/>
          <w:sz w:val="24"/>
          <w:szCs w:val="24"/>
        </w:rPr>
        <w:t xml:space="preserve">Adamawa State </w:t>
      </w:r>
    </w:p>
    <w:p w:rsidR="00FF4267" w:rsidRPr="001821F6" w:rsidRDefault="00FF4267" w:rsidP="00FF4267">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The rainfall erosivity trend in Adamawa State between 2001 and 2021 shows a significant inter-annual variability, which indicates the dynamism of rainfall intensity and distribution in the area. In 2001, the mean rainfall erosivity was relatively moderate at 201.19 MJ·mm·ha</w:t>
      </w:r>
      <w:r w:rsidRPr="001821F6">
        <w:rPr>
          <w:rFonts w:ascii="Times New Roman" w:hAnsi="Cambria Math" w:cs="Times New Roman"/>
          <w:sz w:val="24"/>
          <w:szCs w:val="24"/>
        </w:rPr>
        <w:t>⁻</w:t>
      </w:r>
      <w:r w:rsidRPr="001821F6">
        <w:rPr>
          <w:rFonts w:ascii="Times New Roman" w:hAnsi="Times New Roman" w:cs="Times New Roman"/>
          <w:sz w:val="24"/>
          <w:szCs w:val="24"/>
        </w:rPr>
        <w:t>¹·h</w:t>
      </w:r>
      <w:r w:rsidRPr="001821F6">
        <w:rPr>
          <w:rFonts w:ascii="Times New Roman" w:hAnsi="Cambria Math" w:cs="Times New Roman"/>
          <w:sz w:val="24"/>
          <w:szCs w:val="24"/>
        </w:rPr>
        <w:t>⁻</w:t>
      </w:r>
      <w:r w:rsidRPr="001821F6">
        <w:rPr>
          <w:rFonts w:ascii="Times New Roman" w:hAnsi="Times New Roman" w:cs="Times New Roman"/>
          <w:sz w:val="24"/>
          <w:szCs w:val="24"/>
        </w:rPr>
        <w:t>¹·year</w:t>
      </w:r>
      <w:r w:rsidRPr="001821F6">
        <w:rPr>
          <w:rFonts w:ascii="Times New Roman" w:hAnsi="Cambria Math" w:cs="Times New Roman"/>
          <w:sz w:val="24"/>
          <w:szCs w:val="24"/>
        </w:rPr>
        <w:t>⁻</w:t>
      </w:r>
      <w:r w:rsidRPr="001821F6">
        <w:rPr>
          <w:rFonts w:ascii="Times New Roman" w:hAnsi="Times New Roman" w:cs="Times New Roman"/>
          <w:sz w:val="24"/>
          <w:szCs w:val="24"/>
        </w:rPr>
        <w:t>¹, with a minimum value of 23 and a maximum of 1551. This was followed by a sharp rise in 2002 and 2003 with a mean of 284.65 and 282.96 respectively indicating the years of more erosive rainfall. But the period of 2004 and 2005 became negative in terms of erosivity, and the mean values reached 188.19 and 185.08 in terms of less vigorous rainfall activity.</w:t>
      </w:r>
    </w:p>
    <w:p w:rsidR="00C41922" w:rsidRPr="001821F6" w:rsidRDefault="00FF4267" w:rsidP="00FF4267">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Between 2006 and 2007, there was an increase in the mean erosivity, which increased to 267.93 in 2007. An extreme peak was observed in 2008 when the average figure rose to 461.03, with a highest erosivity of 2232 meaning that it was a year of very extreme events of high-intensity rainfall presumably which was associated with the severe weather conditions. Even though the mean erosivity decreased to 214.44 in 2009, the highest value was still high at 1927 indicating continuous fluctuation of rainfall intensity. There were relative stable erosivity regimes in 2010 to 2013 with mean values of 201.68 to 258.40 showing moderately stable values. The most recent maximum was experienced in 2012 and 2014, with the mean erosivity values of 338.09 and 334.53 respectively, and large maximum values, which denoted the years of large rainfall events. Another decline followed in 2015 of 165.72 which is the lowest mean since 2005 indicating a temporary decrease in erosive rainfall. It was subsequently succeeded by a linear rise since 2016 till 2019, to reach a high mean of 312.55 in 2018 and an astounding maximum of 2327 in 2019, th</w:t>
      </w:r>
      <w:r w:rsidR="007623F3" w:rsidRPr="001821F6">
        <w:rPr>
          <w:rFonts w:ascii="Times New Roman" w:hAnsi="Times New Roman" w:cs="Times New Roman"/>
          <w:sz w:val="24"/>
          <w:szCs w:val="24"/>
        </w:rPr>
        <w:t xml:space="preserve">e highest value in the dataset. </w:t>
      </w:r>
      <w:r w:rsidRPr="001821F6">
        <w:rPr>
          <w:rFonts w:ascii="Times New Roman" w:hAnsi="Times New Roman" w:cs="Times New Roman"/>
          <w:sz w:val="24"/>
          <w:szCs w:val="24"/>
        </w:rPr>
        <w:t xml:space="preserve">In 2020, the average erosivity decreased once again, to 185.48, which </w:t>
      </w:r>
      <w:r w:rsidR="004513D9" w:rsidRPr="001821F6">
        <w:rPr>
          <w:rFonts w:ascii="Times New Roman" w:hAnsi="Times New Roman" w:cs="Times New Roman"/>
          <w:sz w:val="24"/>
          <w:szCs w:val="24"/>
        </w:rPr>
        <w:t>are less adverse rainfall conditions</w:t>
      </w:r>
      <w:r w:rsidRPr="001821F6">
        <w:rPr>
          <w:rFonts w:ascii="Times New Roman" w:hAnsi="Times New Roman" w:cs="Times New Roman"/>
          <w:sz w:val="24"/>
          <w:szCs w:val="24"/>
        </w:rPr>
        <w:t xml:space="preserve">. Nevertheless, the 21-year highest mean erosivity was registered in 2021, 478.07, which may point to the re-occurrence of extreme weather events. The high maximum values have been observed to be consistent over many years, even though the mean fluctuates but this indicates that there are common times of intense </w:t>
      </w:r>
      <w:proofErr w:type="spellStart"/>
      <w:r w:rsidRPr="001821F6">
        <w:rPr>
          <w:rFonts w:ascii="Times New Roman" w:hAnsi="Times New Roman" w:cs="Times New Roman"/>
          <w:sz w:val="24"/>
          <w:szCs w:val="24"/>
        </w:rPr>
        <w:t>localised</w:t>
      </w:r>
      <w:proofErr w:type="spellEnd"/>
      <w:r w:rsidRPr="001821F6">
        <w:rPr>
          <w:rFonts w:ascii="Times New Roman" w:hAnsi="Times New Roman" w:cs="Times New Roman"/>
          <w:sz w:val="24"/>
          <w:szCs w:val="24"/>
        </w:rPr>
        <w:t xml:space="preserve"> rainfall. The implications of such findings are that rainfall erosivity in Adamawa is not uniform and it could increase with climate change with far-reaching consequences to soil degradation, agricultural output, and the development of soil conservation initiatives.</w:t>
      </w:r>
    </w:p>
    <w:p w:rsidR="00DC2E3E" w:rsidRPr="001821F6" w:rsidRDefault="00DC2E3E" w:rsidP="00D350F1">
      <w:pPr>
        <w:spacing w:line="360" w:lineRule="auto"/>
        <w:jc w:val="both"/>
        <w:rPr>
          <w:rFonts w:ascii="Times New Roman" w:hAnsi="Times New Roman" w:cs="Times New Roman"/>
          <w:b/>
          <w:sz w:val="24"/>
          <w:szCs w:val="24"/>
        </w:rPr>
      </w:pPr>
    </w:p>
    <w:p w:rsidR="00DC2E3E" w:rsidRPr="001821F6" w:rsidRDefault="00DC2E3E" w:rsidP="00D350F1">
      <w:pPr>
        <w:spacing w:line="360" w:lineRule="auto"/>
        <w:jc w:val="both"/>
        <w:rPr>
          <w:rFonts w:ascii="Times New Roman" w:hAnsi="Times New Roman" w:cs="Times New Roman"/>
          <w:b/>
          <w:sz w:val="24"/>
          <w:szCs w:val="24"/>
        </w:rPr>
      </w:pPr>
    </w:p>
    <w:p w:rsidR="00C41922" w:rsidRPr="001821F6" w:rsidRDefault="00DC2E3E" w:rsidP="00DC2E3E">
      <w:pPr>
        <w:spacing w:after="0"/>
        <w:jc w:val="both"/>
        <w:rPr>
          <w:rFonts w:ascii="Times New Roman" w:hAnsi="Times New Roman" w:cs="Times New Roman"/>
          <w:sz w:val="24"/>
          <w:szCs w:val="24"/>
        </w:rPr>
      </w:pPr>
      <w:r w:rsidRPr="001821F6">
        <w:rPr>
          <w:rFonts w:ascii="Times New Roman" w:hAnsi="Times New Roman" w:cs="Times New Roman"/>
          <w:b/>
          <w:sz w:val="24"/>
          <w:szCs w:val="24"/>
        </w:rPr>
        <w:lastRenderedPageBreak/>
        <w:t xml:space="preserve">Table </w:t>
      </w:r>
      <w:r w:rsidR="00C41922" w:rsidRPr="001821F6">
        <w:rPr>
          <w:rFonts w:ascii="Times New Roman" w:hAnsi="Times New Roman" w:cs="Times New Roman"/>
          <w:b/>
          <w:sz w:val="24"/>
          <w:szCs w:val="24"/>
        </w:rPr>
        <w:t xml:space="preserve">2: Variation </w:t>
      </w:r>
      <w:r w:rsidRPr="001821F6">
        <w:rPr>
          <w:rFonts w:ascii="Times New Roman" w:hAnsi="Times New Roman" w:cs="Times New Roman"/>
          <w:b/>
          <w:sz w:val="24"/>
          <w:szCs w:val="24"/>
        </w:rPr>
        <w:t xml:space="preserve">of Rainfall Erosivity across </w:t>
      </w:r>
      <w:r w:rsidR="00C41922" w:rsidRPr="001821F6">
        <w:rPr>
          <w:rFonts w:ascii="Times New Roman" w:hAnsi="Times New Roman" w:cs="Times New Roman"/>
          <w:b/>
          <w:sz w:val="24"/>
          <w:szCs w:val="24"/>
        </w:rPr>
        <w:t>Adamawa State</w:t>
      </w:r>
    </w:p>
    <w:tbl>
      <w:tblPr>
        <w:tblStyle w:val="TableGrid"/>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2904"/>
        <w:gridCol w:w="2904"/>
        <w:gridCol w:w="967"/>
      </w:tblGrid>
      <w:tr w:rsidR="00C41922" w:rsidRPr="001821F6" w:rsidTr="00676AB2">
        <w:trPr>
          <w:trHeight w:val="300"/>
        </w:trPr>
        <w:tc>
          <w:tcPr>
            <w:tcW w:w="2904" w:type="dxa"/>
            <w:tcBorders>
              <w:top w:val="single" w:sz="4" w:space="0" w:color="auto"/>
              <w:bottom w:val="single" w:sz="4" w:space="0" w:color="auto"/>
            </w:tcBorders>
            <w:noWrap/>
            <w:hideMark/>
          </w:tcPr>
          <w:p w:rsidR="00C41922" w:rsidRPr="001821F6" w:rsidRDefault="00C41922" w:rsidP="00DC2E3E">
            <w:pPr>
              <w:spacing w:line="276" w:lineRule="auto"/>
              <w:jc w:val="both"/>
              <w:rPr>
                <w:rFonts w:ascii="Times New Roman" w:hAnsi="Times New Roman" w:cs="Times New Roman"/>
                <w:b/>
                <w:sz w:val="24"/>
                <w:szCs w:val="24"/>
              </w:rPr>
            </w:pPr>
            <w:r w:rsidRPr="001821F6">
              <w:rPr>
                <w:rFonts w:ascii="Times New Roman" w:hAnsi="Times New Roman" w:cs="Times New Roman"/>
                <w:b/>
                <w:sz w:val="24"/>
                <w:szCs w:val="24"/>
              </w:rPr>
              <w:t>mean (MJ·mm·ha</w:t>
            </w:r>
            <w:r w:rsidRPr="001821F6">
              <w:rPr>
                <w:rFonts w:ascii="Times New Roman" w:hAnsi="Cambria Math" w:cs="Times New Roman"/>
                <w:b/>
                <w:sz w:val="24"/>
                <w:szCs w:val="24"/>
              </w:rPr>
              <w:t>⁻</w:t>
            </w:r>
            <w:r w:rsidRPr="001821F6">
              <w:rPr>
                <w:rFonts w:ascii="Times New Roman" w:hAnsi="Times New Roman" w:cs="Times New Roman"/>
                <w:b/>
                <w:sz w:val="24"/>
                <w:szCs w:val="24"/>
              </w:rPr>
              <w:t>¹·h</w:t>
            </w:r>
            <w:r w:rsidRPr="001821F6">
              <w:rPr>
                <w:rFonts w:ascii="Times New Roman" w:hAnsi="Cambria Math" w:cs="Times New Roman"/>
                <w:b/>
                <w:sz w:val="24"/>
                <w:szCs w:val="24"/>
              </w:rPr>
              <w:t>⁻</w:t>
            </w:r>
            <w:r w:rsidRPr="001821F6">
              <w:rPr>
                <w:rFonts w:ascii="Times New Roman" w:hAnsi="Times New Roman" w:cs="Times New Roman"/>
                <w:b/>
                <w:sz w:val="24"/>
                <w:szCs w:val="24"/>
              </w:rPr>
              <w:t>¹·year</w:t>
            </w:r>
            <w:r w:rsidRPr="001821F6">
              <w:rPr>
                <w:rFonts w:ascii="Times New Roman" w:hAnsi="Cambria Math" w:cs="Times New Roman"/>
                <w:b/>
                <w:sz w:val="24"/>
                <w:szCs w:val="24"/>
              </w:rPr>
              <w:t>⁻</w:t>
            </w:r>
            <w:r w:rsidRPr="001821F6">
              <w:rPr>
                <w:rFonts w:ascii="Times New Roman" w:hAnsi="Times New Roman" w:cs="Times New Roman"/>
                <w:b/>
                <w:sz w:val="24"/>
                <w:szCs w:val="24"/>
              </w:rPr>
              <w:t>¹)</w:t>
            </w:r>
          </w:p>
        </w:tc>
        <w:tc>
          <w:tcPr>
            <w:tcW w:w="2904" w:type="dxa"/>
            <w:tcBorders>
              <w:top w:val="single" w:sz="4" w:space="0" w:color="auto"/>
              <w:bottom w:val="single" w:sz="4" w:space="0" w:color="auto"/>
            </w:tcBorders>
            <w:noWrap/>
            <w:hideMark/>
          </w:tcPr>
          <w:p w:rsidR="00C41922" w:rsidRPr="001821F6" w:rsidRDefault="00C41922" w:rsidP="00DC2E3E">
            <w:pPr>
              <w:spacing w:line="276" w:lineRule="auto"/>
              <w:jc w:val="both"/>
              <w:rPr>
                <w:rFonts w:ascii="Times New Roman" w:hAnsi="Times New Roman" w:cs="Times New Roman"/>
                <w:b/>
                <w:sz w:val="24"/>
                <w:szCs w:val="24"/>
              </w:rPr>
            </w:pPr>
            <w:r w:rsidRPr="001821F6">
              <w:rPr>
                <w:rFonts w:ascii="Times New Roman" w:hAnsi="Times New Roman" w:cs="Times New Roman"/>
                <w:b/>
                <w:sz w:val="24"/>
                <w:szCs w:val="24"/>
              </w:rPr>
              <w:t>min (MJ·mm·ha</w:t>
            </w:r>
            <w:r w:rsidRPr="001821F6">
              <w:rPr>
                <w:rFonts w:ascii="Times New Roman" w:hAnsi="Cambria Math" w:cs="Times New Roman"/>
                <w:b/>
                <w:sz w:val="24"/>
                <w:szCs w:val="24"/>
              </w:rPr>
              <w:t>⁻</w:t>
            </w:r>
            <w:r w:rsidRPr="001821F6">
              <w:rPr>
                <w:rFonts w:ascii="Times New Roman" w:hAnsi="Times New Roman" w:cs="Times New Roman"/>
                <w:b/>
                <w:sz w:val="24"/>
                <w:szCs w:val="24"/>
              </w:rPr>
              <w:t>¹·h</w:t>
            </w:r>
            <w:r w:rsidRPr="001821F6">
              <w:rPr>
                <w:rFonts w:ascii="Times New Roman" w:hAnsi="Cambria Math" w:cs="Times New Roman"/>
                <w:b/>
                <w:sz w:val="24"/>
                <w:szCs w:val="24"/>
              </w:rPr>
              <w:t>⁻</w:t>
            </w:r>
            <w:r w:rsidRPr="001821F6">
              <w:rPr>
                <w:rFonts w:ascii="Times New Roman" w:hAnsi="Times New Roman" w:cs="Times New Roman"/>
                <w:b/>
                <w:sz w:val="24"/>
                <w:szCs w:val="24"/>
              </w:rPr>
              <w:t>¹·year</w:t>
            </w:r>
            <w:r w:rsidRPr="001821F6">
              <w:rPr>
                <w:rFonts w:ascii="Times New Roman" w:hAnsi="Cambria Math" w:cs="Times New Roman"/>
                <w:b/>
                <w:sz w:val="24"/>
                <w:szCs w:val="24"/>
              </w:rPr>
              <w:t>⁻</w:t>
            </w:r>
            <w:r w:rsidRPr="001821F6">
              <w:rPr>
                <w:rFonts w:ascii="Times New Roman" w:hAnsi="Times New Roman" w:cs="Times New Roman"/>
                <w:b/>
                <w:sz w:val="24"/>
                <w:szCs w:val="24"/>
              </w:rPr>
              <w:t>¹)</w:t>
            </w:r>
          </w:p>
        </w:tc>
        <w:tc>
          <w:tcPr>
            <w:tcW w:w="2904" w:type="dxa"/>
            <w:tcBorders>
              <w:top w:val="single" w:sz="4" w:space="0" w:color="auto"/>
              <w:bottom w:val="single" w:sz="4" w:space="0" w:color="auto"/>
            </w:tcBorders>
            <w:noWrap/>
            <w:hideMark/>
          </w:tcPr>
          <w:p w:rsidR="00C41922" w:rsidRPr="001821F6" w:rsidRDefault="00C41922" w:rsidP="00DC2E3E">
            <w:pPr>
              <w:spacing w:line="276" w:lineRule="auto"/>
              <w:jc w:val="both"/>
              <w:rPr>
                <w:rFonts w:ascii="Times New Roman" w:hAnsi="Times New Roman" w:cs="Times New Roman"/>
                <w:b/>
                <w:sz w:val="24"/>
                <w:szCs w:val="24"/>
              </w:rPr>
            </w:pPr>
            <w:r w:rsidRPr="001821F6">
              <w:rPr>
                <w:rFonts w:ascii="Times New Roman" w:hAnsi="Times New Roman" w:cs="Times New Roman"/>
                <w:b/>
                <w:sz w:val="24"/>
                <w:szCs w:val="24"/>
              </w:rPr>
              <w:t>max (MJ·mm·ha</w:t>
            </w:r>
            <w:r w:rsidRPr="001821F6">
              <w:rPr>
                <w:rFonts w:ascii="Times New Roman" w:hAnsi="Cambria Math" w:cs="Times New Roman"/>
                <w:b/>
                <w:sz w:val="24"/>
                <w:szCs w:val="24"/>
              </w:rPr>
              <w:t>⁻</w:t>
            </w:r>
            <w:r w:rsidRPr="001821F6">
              <w:rPr>
                <w:rFonts w:ascii="Times New Roman" w:hAnsi="Times New Roman" w:cs="Times New Roman"/>
                <w:b/>
                <w:sz w:val="24"/>
                <w:szCs w:val="24"/>
              </w:rPr>
              <w:t>¹·h</w:t>
            </w:r>
            <w:r w:rsidRPr="001821F6">
              <w:rPr>
                <w:rFonts w:ascii="Times New Roman" w:hAnsi="Cambria Math" w:cs="Times New Roman"/>
                <w:b/>
                <w:sz w:val="24"/>
                <w:szCs w:val="24"/>
              </w:rPr>
              <w:t>⁻</w:t>
            </w:r>
            <w:r w:rsidRPr="001821F6">
              <w:rPr>
                <w:rFonts w:ascii="Times New Roman" w:hAnsi="Times New Roman" w:cs="Times New Roman"/>
                <w:b/>
                <w:sz w:val="24"/>
                <w:szCs w:val="24"/>
              </w:rPr>
              <w:t>¹·year</w:t>
            </w:r>
            <w:r w:rsidRPr="001821F6">
              <w:rPr>
                <w:rFonts w:ascii="Times New Roman" w:hAnsi="Cambria Math" w:cs="Times New Roman"/>
                <w:b/>
                <w:sz w:val="24"/>
                <w:szCs w:val="24"/>
              </w:rPr>
              <w:t>⁻</w:t>
            </w:r>
            <w:r w:rsidRPr="001821F6">
              <w:rPr>
                <w:rFonts w:ascii="Times New Roman" w:hAnsi="Times New Roman" w:cs="Times New Roman"/>
                <w:b/>
                <w:sz w:val="24"/>
                <w:szCs w:val="24"/>
              </w:rPr>
              <w:t xml:space="preserve">¹) </w:t>
            </w:r>
          </w:p>
        </w:tc>
        <w:tc>
          <w:tcPr>
            <w:tcW w:w="967" w:type="dxa"/>
            <w:tcBorders>
              <w:top w:val="single" w:sz="4" w:space="0" w:color="auto"/>
              <w:bottom w:val="single" w:sz="4" w:space="0" w:color="auto"/>
            </w:tcBorders>
            <w:noWrap/>
            <w:hideMark/>
          </w:tcPr>
          <w:p w:rsidR="00C41922" w:rsidRPr="001821F6" w:rsidRDefault="00C41922" w:rsidP="00DC2E3E">
            <w:pPr>
              <w:spacing w:line="276" w:lineRule="auto"/>
              <w:jc w:val="both"/>
              <w:rPr>
                <w:rFonts w:ascii="Times New Roman" w:hAnsi="Times New Roman" w:cs="Times New Roman"/>
                <w:b/>
                <w:sz w:val="24"/>
                <w:szCs w:val="24"/>
              </w:rPr>
            </w:pPr>
            <w:r w:rsidRPr="001821F6">
              <w:rPr>
                <w:rFonts w:ascii="Times New Roman" w:hAnsi="Times New Roman" w:cs="Times New Roman"/>
                <w:b/>
                <w:sz w:val="24"/>
                <w:szCs w:val="24"/>
              </w:rPr>
              <w:t>year</w:t>
            </w:r>
          </w:p>
        </w:tc>
      </w:tr>
      <w:tr w:rsidR="00C41922" w:rsidRPr="001821F6" w:rsidTr="00676AB2">
        <w:trPr>
          <w:trHeight w:val="300"/>
        </w:trPr>
        <w:tc>
          <w:tcPr>
            <w:tcW w:w="2904" w:type="dxa"/>
            <w:tcBorders>
              <w:top w:val="single" w:sz="4" w:space="0" w:color="auto"/>
            </w:tcBorders>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201.1851</w:t>
            </w:r>
          </w:p>
        </w:tc>
        <w:tc>
          <w:tcPr>
            <w:tcW w:w="2904" w:type="dxa"/>
            <w:tcBorders>
              <w:top w:val="single" w:sz="4" w:space="0" w:color="auto"/>
            </w:tcBorders>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2904" w:type="dxa"/>
            <w:tcBorders>
              <w:top w:val="single" w:sz="4" w:space="0" w:color="auto"/>
            </w:tcBorders>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1551</w:t>
            </w:r>
          </w:p>
        </w:tc>
        <w:tc>
          <w:tcPr>
            <w:tcW w:w="967" w:type="dxa"/>
            <w:tcBorders>
              <w:top w:val="single" w:sz="4" w:space="0" w:color="auto"/>
            </w:tcBorders>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2001</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284.6477</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9</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1579</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2002</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282.9644</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28</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1687</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2003</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188.1886</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4</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1872</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2004</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185.0783</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15</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1577</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2005</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245.5018</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14</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1483</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2006</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267.9324</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19</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1422</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2007</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461.032</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55</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2232</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2008</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214.4448</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0</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1927</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2009</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258.3986</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37</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1249</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2010</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201.6833</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41</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1685</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2011</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338.0925</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68</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1835</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2012</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238.7189</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61</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1686</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2013</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334.5267</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49</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1520</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2014</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165.7153</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32</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1216</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2015</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218.0498</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44</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1745</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2016</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264.6157</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49</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2152</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2017</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312.548</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77</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1609</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2018</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308.6477</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44</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2327</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2019</w:t>
            </w:r>
          </w:p>
        </w:tc>
      </w:tr>
      <w:tr w:rsidR="00C41922" w:rsidRPr="001821F6" w:rsidTr="00676AB2">
        <w:trPr>
          <w:trHeight w:val="300"/>
        </w:trPr>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185.4804</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21</w:t>
            </w:r>
          </w:p>
        </w:tc>
        <w:tc>
          <w:tcPr>
            <w:tcW w:w="2904"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1343</w:t>
            </w:r>
          </w:p>
        </w:tc>
        <w:tc>
          <w:tcPr>
            <w:tcW w:w="967" w:type="dxa"/>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2020</w:t>
            </w:r>
          </w:p>
        </w:tc>
      </w:tr>
      <w:tr w:rsidR="00C41922" w:rsidRPr="001821F6" w:rsidTr="00676AB2">
        <w:trPr>
          <w:trHeight w:val="300"/>
        </w:trPr>
        <w:tc>
          <w:tcPr>
            <w:tcW w:w="2904" w:type="dxa"/>
            <w:tcBorders>
              <w:bottom w:val="single" w:sz="4" w:space="0" w:color="auto"/>
            </w:tcBorders>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478.0712</w:t>
            </w:r>
          </w:p>
        </w:tc>
        <w:tc>
          <w:tcPr>
            <w:tcW w:w="2904" w:type="dxa"/>
            <w:tcBorders>
              <w:bottom w:val="single" w:sz="4" w:space="0" w:color="auto"/>
            </w:tcBorders>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50</w:t>
            </w:r>
          </w:p>
        </w:tc>
        <w:tc>
          <w:tcPr>
            <w:tcW w:w="2904" w:type="dxa"/>
            <w:tcBorders>
              <w:bottom w:val="single" w:sz="4" w:space="0" w:color="auto"/>
            </w:tcBorders>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1728</w:t>
            </w:r>
          </w:p>
        </w:tc>
        <w:tc>
          <w:tcPr>
            <w:tcW w:w="967" w:type="dxa"/>
            <w:tcBorders>
              <w:bottom w:val="single" w:sz="4" w:space="0" w:color="auto"/>
            </w:tcBorders>
            <w:noWrap/>
            <w:hideMark/>
          </w:tcPr>
          <w:p w:rsidR="00C41922" w:rsidRPr="001821F6" w:rsidRDefault="00C41922" w:rsidP="00DC2E3E">
            <w:pPr>
              <w:spacing w:line="276" w:lineRule="auto"/>
              <w:jc w:val="both"/>
              <w:rPr>
                <w:rFonts w:ascii="Times New Roman" w:hAnsi="Times New Roman" w:cs="Times New Roman"/>
                <w:sz w:val="24"/>
                <w:szCs w:val="24"/>
              </w:rPr>
            </w:pPr>
            <w:r w:rsidRPr="001821F6">
              <w:rPr>
                <w:rFonts w:ascii="Times New Roman" w:hAnsi="Times New Roman" w:cs="Times New Roman"/>
                <w:sz w:val="24"/>
                <w:szCs w:val="24"/>
              </w:rPr>
              <w:t>2021</w:t>
            </w:r>
          </w:p>
        </w:tc>
      </w:tr>
    </w:tbl>
    <w:p w:rsidR="00C41922" w:rsidRPr="001821F6" w:rsidRDefault="00C41922" w:rsidP="00DC2E3E">
      <w:pPr>
        <w:spacing w:after="0" w:line="360" w:lineRule="auto"/>
        <w:jc w:val="both"/>
        <w:rPr>
          <w:rFonts w:ascii="Times New Roman" w:hAnsi="Times New Roman" w:cs="Times New Roman"/>
          <w:sz w:val="24"/>
          <w:szCs w:val="24"/>
        </w:rPr>
      </w:pPr>
    </w:p>
    <w:p w:rsidR="00C41922" w:rsidRPr="001821F6" w:rsidRDefault="00C41922" w:rsidP="00D350F1">
      <w:pPr>
        <w:spacing w:line="360" w:lineRule="auto"/>
        <w:jc w:val="both"/>
        <w:rPr>
          <w:rFonts w:ascii="Times New Roman" w:hAnsi="Times New Roman" w:cs="Times New Roman"/>
          <w:sz w:val="24"/>
          <w:szCs w:val="24"/>
        </w:rPr>
      </w:pPr>
      <w:r w:rsidRPr="001821F6">
        <w:rPr>
          <w:rFonts w:ascii="Times New Roman" w:hAnsi="Times New Roman" w:cs="Times New Roman"/>
          <w:noProof/>
          <w:sz w:val="24"/>
          <w:szCs w:val="24"/>
          <w:lang w:val="en-IN" w:eastAsia="en-IN"/>
        </w:rPr>
        <w:drawing>
          <wp:inline distT="0" distB="0" distL="0" distR="0" wp14:anchorId="1B0C70A1" wp14:editId="4749919A">
            <wp:extent cx="5731510" cy="2842260"/>
            <wp:effectExtent l="19050" t="0" r="21590" b="0"/>
            <wp:docPr id="1430368042" name="Chart 1">
              <a:extLst xmlns:a="http://schemas.openxmlformats.org/drawingml/2006/main">
                <a:ext uri="{FF2B5EF4-FFF2-40B4-BE49-F238E27FC236}">
                  <a16:creationId xmlns:a16="http://schemas.microsoft.com/office/drawing/2014/main" id="{7E1918BF-4F31-B587-95F6-B967E91F2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41922" w:rsidRPr="001821F6" w:rsidRDefault="00DC2E3E" w:rsidP="00D350F1">
      <w:pPr>
        <w:spacing w:line="360" w:lineRule="auto"/>
        <w:jc w:val="both"/>
        <w:rPr>
          <w:rFonts w:ascii="Times New Roman" w:hAnsi="Times New Roman" w:cs="Times New Roman"/>
          <w:i/>
          <w:sz w:val="24"/>
          <w:szCs w:val="24"/>
        </w:rPr>
      </w:pPr>
      <w:r w:rsidRPr="001821F6">
        <w:rPr>
          <w:rFonts w:ascii="Times New Roman" w:hAnsi="Times New Roman" w:cs="Times New Roman"/>
          <w:b/>
          <w:i/>
          <w:sz w:val="24"/>
          <w:szCs w:val="24"/>
        </w:rPr>
        <w:t xml:space="preserve">Figure </w:t>
      </w:r>
      <w:r w:rsidR="00C84E50" w:rsidRPr="001821F6">
        <w:rPr>
          <w:rFonts w:ascii="Times New Roman" w:hAnsi="Times New Roman" w:cs="Times New Roman"/>
          <w:b/>
          <w:i/>
          <w:sz w:val="24"/>
          <w:szCs w:val="24"/>
        </w:rPr>
        <w:t>2</w:t>
      </w:r>
      <w:r w:rsidR="00C41922" w:rsidRPr="001821F6">
        <w:rPr>
          <w:rFonts w:ascii="Times New Roman" w:hAnsi="Times New Roman" w:cs="Times New Roman"/>
          <w:b/>
          <w:i/>
          <w:sz w:val="24"/>
          <w:szCs w:val="24"/>
        </w:rPr>
        <w:t>: Variation of rainfall erosivity across Adamawa State</w:t>
      </w:r>
    </w:p>
    <w:p w:rsidR="00DC2E3E" w:rsidRPr="001821F6" w:rsidRDefault="00DC2E3E" w:rsidP="00AA5F1D">
      <w:pPr>
        <w:spacing w:line="360" w:lineRule="auto"/>
        <w:jc w:val="both"/>
        <w:rPr>
          <w:rFonts w:ascii="Times New Roman" w:hAnsi="Times New Roman" w:cs="Times New Roman"/>
          <w:b/>
          <w:sz w:val="24"/>
          <w:szCs w:val="24"/>
        </w:rPr>
      </w:pPr>
    </w:p>
    <w:p w:rsidR="00AA5F1D" w:rsidRPr="001821F6" w:rsidRDefault="00DC2E3E" w:rsidP="00AA5F1D">
      <w:pPr>
        <w:spacing w:line="360" w:lineRule="auto"/>
        <w:jc w:val="both"/>
        <w:rPr>
          <w:rFonts w:ascii="Times New Roman" w:hAnsi="Times New Roman" w:cs="Times New Roman"/>
          <w:b/>
          <w:sz w:val="24"/>
          <w:szCs w:val="24"/>
        </w:rPr>
      </w:pPr>
      <w:r w:rsidRPr="001821F6">
        <w:rPr>
          <w:rFonts w:ascii="Times New Roman" w:hAnsi="Times New Roman" w:cs="Times New Roman"/>
          <w:b/>
          <w:sz w:val="24"/>
          <w:szCs w:val="24"/>
        </w:rPr>
        <w:lastRenderedPageBreak/>
        <w:t>3</w:t>
      </w:r>
      <w:r w:rsidR="00C41922" w:rsidRPr="001821F6">
        <w:rPr>
          <w:rFonts w:ascii="Times New Roman" w:hAnsi="Times New Roman" w:cs="Times New Roman"/>
          <w:b/>
          <w:sz w:val="24"/>
          <w:szCs w:val="24"/>
        </w:rPr>
        <w:t>.3 Weather Parameters and Soil Nutrient Availability in Adamawa State.</w:t>
      </w:r>
    </w:p>
    <w:p w:rsidR="002501B5" w:rsidRPr="001821F6" w:rsidRDefault="002501B5" w:rsidP="00AA5F1D">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 xml:space="preserve">Table 3 indicated that, floods had a great effect on the soil nutrient concentration in Adamawa State, and the effects were different depending on the type of nutrient and the depth of the soil. At the surface, there was no significant change in nitrogen (0-30 cm), but there was a sharp decrease in nitrogen at the subsurface (30-60 cm) (t = -2.818, p = 0.010), indicating deeper leaching effects. Phosphorus strongly reduced at surface (t = 29.075, p &lt; 0.001) but no meaningful change was observed at depth suggesting surface wash-off as the main process. Both depths had a significant decrease in potassium in magnitude (surface: t = 3.340, p = 0.003; subsurface: t = -2.776, p = 0.011), which indicated that potassium is highly mobile during floods. The loss of organic matter was more significant at the surface (t = 6.254, p &lt; 0.001) but not significant at depth, which demonstrates the vulnerability of organic pools of the topsoil. The changes in soil pH were found to be high at the surface </w:t>
      </w:r>
      <w:proofErr w:type="gramStart"/>
      <w:r w:rsidRPr="001821F6">
        <w:rPr>
          <w:rFonts w:ascii="Times New Roman" w:hAnsi="Times New Roman" w:cs="Times New Roman"/>
          <w:sz w:val="24"/>
          <w:szCs w:val="24"/>
        </w:rPr>
        <w:t>( t</w:t>
      </w:r>
      <w:proofErr w:type="gramEnd"/>
      <w:r w:rsidRPr="001821F6">
        <w:rPr>
          <w:rFonts w:ascii="Times New Roman" w:hAnsi="Times New Roman" w:cs="Times New Roman"/>
          <w:sz w:val="24"/>
          <w:szCs w:val="24"/>
        </w:rPr>
        <w:t xml:space="preserve"> = 6.061, p &lt;0.001 ) but did not change at depth, which was a manifestation of the chemical changes caused by the deposition of soil sediments and the replacement of nutrients. The decrease in microbial biomass carbon was significant in both depths, but stronger in the surface (t = 6.121, p &lt; 0.001) than in the subsurface (t = 3.189, p = 0.004), which shows extensive microbial stress due to flooding. In general, the results highlight that the extreme weather events are relatively more destructive to surface soils, which are essential in determining soil fertility, whereas a deeper layer of the soil also suffers subtle, yet significant losses in nutrients. This trend reinforces the need to develop flood adaptive soil management techniques to protect food production in the area.</w:t>
      </w:r>
    </w:p>
    <w:p w:rsidR="002501B5" w:rsidRPr="001821F6" w:rsidRDefault="002501B5" w:rsidP="00AA5F1D">
      <w:pPr>
        <w:spacing w:line="360" w:lineRule="auto"/>
        <w:jc w:val="both"/>
        <w:rPr>
          <w:rFonts w:ascii="Times New Roman" w:hAnsi="Times New Roman" w:cs="Times New Roman"/>
          <w:sz w:val="24"/>
          <w:szCs w:val="24"/>
        </w:rPr>
        <w:sectPr w:rsidR="002501B5" w:rsidRPr="001821F6" w:rsidSect="00676AB2">
          <w:pgSz w:w="11907" w:h="16839" w:code="9"/>
          <w:pgMar w:top="1440" w:right="1440" w:bottom="1440" w:left="1440" w:header="720" w:footer="720" w:gutter="0"/>
          <w:cols w:space="720"/>
          <w:docGrid w:linePitch="360"/>
        </w:sectPr>
      </w:pPr>
    </w:p>
    <w:tbl>
      <w:tblPr>
        <w:tblW w:w="164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3519"/>
        <w:gridCol w:w="1611"/>
        <w:gridCol w:w="1530"/>
        <w:gridCol w:w="2070"/>
        <w:gridCol w:w="2070"/>
        <w:gridCol w:w="1350"/>
        <w:gridCol w:w="720"/>
        <w:gridCol w:w="810"/>
        <w:gridCol w:w="1800"/>
      </w:tblGrid>
      <w:tr w:rsidR="00C41922" w:rsidRPr="001821F6" w:rsidTr="00C84E50">
        <w:trPr>
          <w:cantSplit/>
          <w:jc w:val="center"/>
        </w:trPr>
        <w:tc>
          <w:tcPr>
            <w:tcW w:w="16470" w:type="dxa"/>
            <w:gridSpan w:val="10"/>
            <w:tcBorders>
              <w:top w:val="nil"/>
              <w:left w:val="nil"/>
              <w:bottom w:val="single" w:sz="4" w:space="0" w:color="auto"/>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b/>
                <w:sz w:val="24"/>
                <w:szCs w:val="24"/>
              </w:rPr>
            </w:pPr>
          </w:p>
          <w:p w:rsidR="00C41922" w:rsidRPr="001821F6" w:rsidRDefault="00DC2E3E" w:rsidP="008F7DE8">
            <w:pPr>
              <w:spacing w:after="0" w:line="360" w:lineRule="auto"/>
              <w:jc w:val="both"/>
              <w:rPr>
                <w:rFonts w:ascii="Times New Roman" w:hAnsi="Times New Roman" w:cs="Times New Roman"/>
                <w:i/>
                <w:sz w:val="24"/>
                <w:szCs w:val="24"/>
              </w:rPr>
            </w:pPr>
            <w:r w:rsidRPr="001821F6">
              <w:rPr>
                <w:rFonts w:ascii="Times New Roman" w:hAnsi="Times New Roman" w:cs="Times New Roman"/>
                <w:b/>
                <w:sz w:val="24"/>
                <w:szCs w:val="24"/>
              </w:rPr>
              <w:t xml:space="preserve">Table </w:t>
            </w:r>
            <w:r w:rsidR="00C84E50" w:rsidRPr="001821F6">
              <w:rPr>
                <w:rFonts w:ascii="Times New Roman" w:hAnsi="Times New Roman" w:cs="Times New Roman"/>
                <w:b/>
                <w:sz w:val="24"/>
                <w:szCs w:val="24"/>
              </w:rPr>
              <w:t>3</w:t>
            </w:r>
            <w:r w:rsidR="00C41922" w:rsidRPr="001821F6">
              <w:rPr>
                <w:rFonts w:ascii="Times New Roman" w:hAnsi="Times New Roman" w:cs="Times New Roman"/>
                <w:b/>
                <w:sz w:val="24"/>
                <w:szCs w:val="24"/>
              </w:rPr>
              <w:t>: The impact of extreme weather events (floods) on soil nutrients concentrations in Adamawa State</w:t>
            </w:r>
          </w:p>
        </w:tc>
      </w:tr>
      <w:tr w:rsidR="00C41922" w:rsidRPr="001821F6" w:rsidTr="00C84E50">
        <w:trPr>
          <w:cantSplit/>
          <w:jc w:val="center"/>
        </w:trPr>
        <w:tc>
          <w:tcPr>
            <w:tcW w:w="4509" w:type="dxa"/>
            <w:gridSpan w:val="2"/>
            <w:vMerge w:val="restart"/>
            <w:tcBorders>
              <w:top w:val="single" w:sz="4" w:space="0" w:color="auto"/>
              <w:left w:val="nil"/>
              <w:bottom w:val="nil"/>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sz w:val="24"/>
                <w:szCs w:val="24"/>
              </w:rPr>
            </w:pPr>
          </w:p>
        </w:tc>
        <w:tc>
          <w:tcPr>
            <w:tcW w:w="8631" w:type="dxa"/>
            <w:gridSpan w:val="5"/>
            <w:tcBorders>
              <w:top w:val="single" w:sz="4" w:space="0" w:color="auto"/>
              <w:left w:val="nil"/>
              <w:bottom w:val="nil"/>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Paired Differences</w:t>
            </w:r>
          </w:p>
        </w:tc>
        <w:tc>
          <w:tcPr>
            <w:tcW w:w="720" w:type="dxa"/>
            <w:vMerge w:val="restart"/>
            <w:tcBorders>
              <w:top w:val="single" w:sz="4" w:space="0" w:color="auto"/>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t</w:t>
            </w:r>
          </w:p>
        </w:tc>
        <w:tc>
          <w:tcPr>
            <w:tcW w:w="810" w:type="dxa"/>
            <w:vMerge w:val="restart"/>
            <w:tcBorders>
              <w:top w:val="single" w:sz="4" w:space="0" w:color="auto"/>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df</w:t>
            </w:r>
          </w:p>
        </w:tc>
        <w:tc>
          <w:tcPr>
            <w:tcW w:w="1800" w:type="dxa"/>
            <w:vMerge w:val="restart"/>
            <w:tcBorders>
              <w:top w:val="single" w:sz="4" w:space="0" w:color="auto"/>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Sig. (2-tailed)</w:t>
            </w:r>
          </w:p>
        </w:tc>
      </w:tr>
      <w:tr w:rsidR="00C41922" w:rsidRPr="001821F6" w:rsidTr="00C84E50">
        <w:trPr>
          <w:cantSplit/>
          <w:jc w:val="center"/>
        </w:trPr>
        <w:tc>
          <w:tcPr>
            <w:tcW w:w="4509" w:type="dxa"/>
            <w:gridSpan w:val="2"/>
            <w:vMerge/>
            <w:tcBorders>
              <w:top w:val="nil"/>
              <w:left w:val="nil"/>
              <w:bottom w:val="nil"/>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sz w:val="24"/>
                <w:szCs w:val="24"/>
              </w:rPr>
            </w:pPr>
          </w:p>
        </w:tc>
        <w:tc>
          <w:tcPr>
            <w:tcW w:w="1611" w:type="dxa"/>
            <w:vMerge w:val="restart"/>
            <w:tcBorders>
              <w:top w:val="nil"/>
              <w:left w:val="nil"/>
              <w:bottom w:val="nil"/>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Mean</w:t>
            </w:r>
          </w:p>
        </w:tc>
        <w:tc>
          <w:tcPr>
            <w:tcW w:w="1530" w:type="dxa"/>
            <w:vMerge w:val="restart"/>
            <w:tcBorders>
              <w:top w:val="nil"/>
              <w:left w:val="nil"/>
              <w:bottom w:val="nil"/>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Std. Deviation</w:t>
            </w:r>
          </w:p>
        </w:tc>
        <w:tc>
          <w:tcPr>
            <w:tcW w:w="2070" w:type="dxa"/>
            <w:vMerge w:val="restart"/>
            <w:tcBorders>
              <w:top w:val="nil"/>
              <w:left w:val="nil"/>
              <w:bottom w:val="nil"/>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Std. Error Mean</w:t>
            </w:r>
          </w:p>
        </w:tc>
        <w:tc>
          <w:tcPr>
            <w:tcW w:w="3420" w:type="dxa"/>
            <w:gridSpan w:val="2"/>
            <w:tcBorders>
              <w:top w:val="nil"/>
              <w:left w:val="nil"/>
              <w:bottom w:val="nil"/>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95% Confidence Interval of the Difference</w:t>
            </w:r>
          </w:p>
        </w:tc>
        <w:tc>
          <w:tcPr>
            <w:tcW w:w="720" w:type="dxa"/>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p>
        </w:tc>
        <w:tc>
          <w:tcPr>
            <w:tcW w:w="810" w:type="dxa"/>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p>
        </w:tc>
        <w:tc>
          <w:tcPr>
            <w:tcW w:w="1800" w:type="dxa"/>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p>
        </w:tc>
      </w:tr>
      <w:tr w:rsidR="00C41922" w:rsidRPr="001821F6" w:rsidTr="00C84E50">
        <w:trPr>
          <w:cantSplit/>
          <w:jc w:val="center"/>
        </w:trPr>
        <w:tc>
          <w:tcPr>
            <w:tcW w:w="4509" w:type="dxa"/>
            <w:gridSpan w:val="2"/>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sz w:val="24"/>
                <w:szCs w:val="24"/>
              </w:rPr>
            </w:pPr>
          </w:p>
        </w:tc>
        <w:tc>
          <w:tcPr>
            <w:tcW w:w="1611" w:type="dxa"/>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sz w:val="24"/>
                <w:szCs w:val="24"/>
              </w:rPr>
            </w:pPr>
          </w:p>
        </w:tc>
        <w:tc>
          <w:tcPr>
            <w:tcW w:w="1530" w:type="dxa"/>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sz w:val="24"/>
                <w:szCs w:val="24"/>
              </w:rPr>
            </w:pPr>
          </w:p>
        </w:tc>
        <w:tc>
          <w:tcPr>
            <w:tcW w:w="2070" w:type="dxa"/>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sz w:val="24"/>
                <w:szCs w:val="24"/>
              </w:rPr>
            </w:pPr>
          </w:p>
        </w:tc>
        <w:tc>
          <w:tcPr>
            <w:tcW w:w="2070" w:type="dxa"/>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Lower</w:t>
            </w:r>
          </w:p>
        </w:tc>
        <w:tc>
          <w:tcPr>
            <w:tcW w:w="1350" w:type="dxa"/>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Upper</w:t>
            </w:r>
          </w:p>
        </w:tc>
        <w:tc>
          <w:tcPr>
            <w:tcW w:w="720" w:type="dxa"/>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sz w:val="24"/>
                <w:szCs w:val="24"/>
              </w:rPr>
            </w:pPr>
          </w:p>
        </w:tc>
        <w:tc>
          <w:tcPr>
            <w:tcW w:w="810" w:type="dxa"/>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sz w:val="24"/>
                <w:szCs w:val="24"/>
              </w:rPr>
            </w:pPr>
          </w:p>
        </w:tc>
        <w:tc>
          <w:tcPr>
            <w:tcW w:w="1800" w:type="dxa"/>
            <w:vMerge/>
            <w:tcBorders>
              <w:top w:val="nil"/>
              <w:left w:val="nil"/>
              <w:bottom w:val="single" w:sz="4" w:space="0" w:color="auto"/>
              <w:right w:val="nil"/>
            </w:tcBorders>
            <w:shd w:val="clear" w:color="auto" w:fill="FFFFFF"/>
            <w:vAlign w:val="bottom"/>
          </w:tcPr>
          <w:p w:rsidR="00C41922" w:rsidRPr="001821F6" w:rsidRDefault="00C41922" w:rsidP="008F7DE8">
            <w:pPr>
              <w:spacing w:after="0" w:line="360" w:lineRule="auto"/>
              <w:jc w:val="both"/>
              <w:rPr>
                <w:rFonts w:ascii="Times New Roman" w:hAnsi="Times New Roman" w:cs="Times New Roman"/>
                <w:sz w:val="24"/>
                <w:szCs w:val="24"/>
              </w:rPr>
            </w:pPr>
          </w:p>
        </w:tc>
      </w:tr>
      <w:tr w:rsidR="00C41922" w:rsidRPr="001821F6" w:rsidTr="00C84E50">
        <w:trPr>
          <w:cantSplit/>
          <w:jc w:val="center"/>
        </w:trPr>
        <w:tc>
          <w:tcPr>
            <w:tcW w:w="990" w:type="dxa"/>
            <w:tcBorders>
              <w:top w:val="single" w:sz="4" w:space="0" w:color="auto"/>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1</w:t>
            </w:r>
          </w:p>
        </w:tc>
        <w:tc>
          <w:tcPr>
            <w:tcW w:w="3519" w:type="dxa"/>
            <w:tcBorders>
              <w:top w:val="single" w:sz="4" w:space="0" w:color="auto"/>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Nitrogen Before 0-30cm- Nitrogen After0-30cm</w:t>
            </w:r>
          </w:p>
        </w:tc>
        <w:tc>
          <w:tcPr>
            <w:tcW w:w="1611" w:type="dxa"/>
            <w:tcBorders>
              <w:top w:val="single" w:sz="4" w:space="0" w:color="auto"/>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.01375</w:t>
            </w:r>
          </w:p>
        </w:tc>
        <w:tc>
          <w:tcPr>
            <w:tcW w:w="1530" w:type="dxa"/>
            <w:tcBorders>
              <w:top w:val="single" w:sz="4" w:space="0" w:color="auto"/>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.10060</w:t>
            </w:r>
          </w:p>
        </w:tc>
        <w:tc>
          <w:tcPr>
            <w:tcW w:w="2070" w:type="dxa"/>
            <w:tcBorders>
              <w:top w:val="single" w:sz="4" w:space="0" w:color="auto"/>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.02053</w:t>
            </w:r>
          </w:p>
        </w:tc>
        <w:tc>
          <w:tcPr>
            <w:tcW w:w="2070" w:type="dxa"/>
            <w:tcBorders>
              <w:top w:val="single" w:sz="4" w:space="0" w:color="auto"/>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-.02873</w:t>
            </w:r>
          </w:p>
        </w:tc>
        <w:tc>
          <w:tcPr>
            <w:tcW w:w="1350" w:type="dxa"/>
            <w:tcBorders>
              <w:top w:val="single" w:sz="4" w:space="0" w:color="auto"/>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.05623</w:t>
            </w:r>
          </w:p>
        </w:tc>
        <w:tc>
          <w:tcPr>
            <w:tcW w:w="720" w:type="dxa"/>
            <w:tcBorders>
              <w:top w:val="single" w:sz="4" w:space="0" w:color="auto"/>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.670</w:t>
            </w:r>
          </w:p>
        </w:tc>
        <w:tc>
          <w:tcPr>
            <w:tcW w:w="810" w:type="dxa"/>
            <w:tcBorders>
              <w:top w:val="single" w:sz="4" w:space="0" w:color="auto"/>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single" w:sz="4" w:space="0" w:color="auto"/>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.510</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2</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Nitrogen Before 30-60cm – Nitrogen After 30-60cm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-5.75667</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10.00810</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2.04290</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-9.98272</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-1.53061</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-2.818</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.010</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3</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Phosphorus Before 0-30cm – Phosphorus After 0-30cm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9.53667</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1.60687</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.32800</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8.85815</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10.21519</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29.075</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4</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Phosphorus Before 30-60cm – Phosphorus After 30-60cm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.03792</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.18161</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.03707</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-.03877</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.11460</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1.023</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.317</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5</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Potassium Before 0-30cm – Potassium After 0-30cm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.14417</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.21143</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.04316</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.05489</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.23345</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3.340</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.003</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6</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Potassium Before 30-60cm – Potassium After 30-60cm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5.69667</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10.05497</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2.05246</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-9.94251</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-1.45083</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-2.776</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.011</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7</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Organic Matter Before 0-30cm –Organic Matter After 0-30cm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.42083</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.32966</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.06729</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.28163</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.56004</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6.254</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lastRenderedPageBreak/>
              <w:t>Pair 8</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Organic Matter Before (30-60cm)–Organic Matter After (30-60cm)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-.12083</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.68966</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.14078</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-.41205</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.17039</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-.858</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.400</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9</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Soil pH Before (0-30cm)–Soil pH After (0-30cm)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.29167</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.23575</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.04812</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.19212</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.39122</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6.061</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10</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Soil pH Before (30-60cm)–Soil pH After (30-60cm)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-.02083</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.35506</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.07248</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-.17076</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.12910</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-.287</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.776</w:t>
            </w:r>
          </w:p>
        </w:tc>
      </w:tr>
      <w:tr w:rsidR="00C41922" w:rsidRPr="001821F6" w:rsidTr="00C84E50">
        <w:trPr>
          <w:cantSplit/>
          <w:jc w:val="center"/>
        </w:trPr>
        <w:tc>
          <w:tcPr>
            <w:tcW w:w="990"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11</w:t>
            </w:r>
          </w:p>
        </w:tc>
        <w:tc>
          <w:tcPr>
            <w:tcW w:w="3519" w:type="dxa"/>
            <w:tcBorders>
              <w:top w:val="nil"/>
              <w:left w:val="nil"/>
              <w:bottom w:val="nil"/>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Microbial Biomass Before 0-30cm – Microbial Biomass After 0-30cm</w:t>
            </w:r>
          </w:p>
        </w:tc>
        <w:tc>
          <w:tcPr>
            <w:tcW w:w="1611"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88.20833</w:t>
            </w:r>
          </w:p>
        </w:tc>
        <w:tc>
          <w:tcPr>
            <w:tcW w:w="153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70.60052</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14.41127</w:t>
            </w:r>
          </w:p>
        </w:tc>
        <w:tc>
          <w:tcPr>
            <w:tcW w:w="207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58.39635</w:t>
            </w:r>
          </w:p>
        </w:tc>
        <w:tc>
          <w:tcPr>
            <w:tcW w:w="135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118.02032</w:t>
            </w:r>
          </w:p>
        </w:tc>
        <w:tc>
          <w:tcPr>
            <w:tcW w:w="72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6.121</w:t>
            </w:r>
          </w:p>
        </w:tc>
        <w:tc>
          <w:tcPr>
            <w:tcW w:w="81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nil"/>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.000</w:t>
            </w:r>
          </w:p>
        </w:tc>
      </w:tr>
      <w:tr w:rsidR="00C41922" w:rsidRPr="001821F6" w:rsidTr="00C84E50">
        <w:trPr>
          <w:cantSplit/>
          <w:jc w:val="center"/>
        </w:trPr>
        <w:tc>
          <w:tcPr>
            <w:tcW w:w="990" w:type="dxa"/>
            <w:tcBorders>
              <w:top w:val="nil"/>
              <w:left w:val="nil"/>
              <w:bottom w:val="single" w:sz="4" w:space="0" w:color="auto"/>
              <w:right w:val="nil"/>
            </w:tcBorders>
            <w:shd w:val="clear" w:color="auto" w:fill="FFFFFF"/>
          </w:tcPr>
          <w:p w:rsidR="00C41922" w:rsidRPr="001821F6" w:rsidRDefault="00C41922" w:rsidP="008F7DE8">
            <w:pPr>
              <w:spacing w:after="0"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Pair 12</w:t>
            </w:r>
          </w:p>
        </w:tc>
        <w:tc>
          <w:tcPr>
            <w:tcW w:w="3519" w:type="dxa"/>
            <w:tcBorders>
              <w:top w:val="nil"/>
              <w:left w:val="nil"/>
              <w:bottom w:val="single" w:sz="4" w:space="0" w:color="auto"/>
              <w:right w:val="nil"/>
            </w:tcBorders>
            <w:shd w:val="clear" w:color="auto" w:fill="FFFFFF"/>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Microbial Biomass Before (30-60cm)– Microbial Biomass After (30_60cm)</w:t>
            </w:r>
          </w:p>
        </w:tc>
        <w:tc>
          <w:tcPr>
            <w:tcW w:w="1611" w:type="dxa"/>
            <w:tcBorders>
              <w:top w:val="nil"/>
              <w:left w:val="nil"/>
              <w:bottom w:val="single" w:sz="4" w:space="0" w:color="auto"/>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53.66667</w:t>
            </w:r>
          </w:p>
        </w:tc>
        <w:tc>
          <w:tcPr>
            <w:tcW w:w="1530" w:type="dxa"/>
            <w:tcBorders>
              <w:top w:val="nil"/>
              <w:left w:val="nil"/>
              <w:bottom w:val="single" w:sz="4" w:space="0" w:color="auto"/>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82.45297</w:t>
            </w:r>
          </w:p>
        </w:tc>
        <w:tc>
          <w:tcPr>
            <w:tcW w:w="2070" w:type="dxa"/>
            <w:tcBorders>
              <w:top w:val="nil"/>
              <w:left w:val="nil"/>
              <w:bottom w:val="single" w:sz="4" w:space="0" w:color="auto"/>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16.83064</w:t>
            </w:r>
          </w:p>
        </w:tc>
        <w:tc>
          <w:tcPr>
            <w:tcW w:w="2070" w:type="dxa"/>
            <w:tcBorders>
              <w:top w:val="nil"/>
              <w:left w:val="nil"/>
              <w:bottom w:val="single" w:sz="4" w:space="0" w:color="auto"/>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18.84983</w:t>
            </w:r>
          </w:p>
        </w:tc>
        <w:tc>
          <w:tcPr>
            <w:tcW w:w="1350" w:type="dxa"/>
            <w:tcBorders>
              <w:top w:val="nil"/>
              <w:left w:val="nil"/>
              <w:bottom w:val="single" w:sz="4" w:space="0" w:color="auto"/>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88.48350</w:t>
            </w:r>
          </w:p>
        </w:tc>
        <w:tc>
          <w:tcPr>
            <w:tcW w:w="720" w:type="dxa"/>
            <w:tcBorders>
              <w:top w:val="nil"/>
              <w:left w:val="nil"/>
              <w:bottom w:val="single" w:sz="4" w:space="0" w:color="auto"/>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3.189</w:t>
            </w:r>
          </w:p>
        </w:tc>
        <w:tc>
          <w:tcPr>
            <w:tcW w:w="810" w:type="dxa"/>
            <w:tcBorders>
              <w:top w:val="nil"/>
              <w:left w:val="nil"/>
              <w:bottom w:val="single" w:sz="4" w:space="0" w:color="auto"/>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23</w:t>
            </w:r>
          </w:p>
        </w:tc>
        <w:tc>
          <w:tcPr>
            <w:tcW w:w="1800" w:type="dxa"/>
            <w:tcBorders>
              <w:top w:val="nil"/>
              <w:left w:val="nil"/>
              <w:bottom w:val="single" w:sz="4" w:space="0" w:color="auto"/>
              <w:right w:val="nil"/>
            </w:tcBorders>
            <w:shd w:val="clear" w:color="auto" w:fill="FFFFFF"/>
            <w:vAlign w:val="center"/>
          </w:tcPr>
          <w:p w:rsidR="00C41922" w:rsidRPr="001821F6" w:rsidRDefault="00C41922" w:rsidP="008F7DE8">
            <w:pPr>
              <w:spacing w:after="0" w:line="360" w:lineRule="auto"/>
              <w:jc w:val="both"/>
              <w:rPr>
                <w:rFonts w:ascii="Times New Roman" w:hAnsi="Times New Roman" w:cs="Times New Roman"/>
                <w:sz w:val="24"/>
                <w:szCs w:val="24"/>
              </w:rPr>
            </w:pPr>
            <w:r w:rsidRPr="001821F6">
              <w:rPr>
                <w:rFonts w:ascii="Times New Roman" w:hAnsi="Times New Roman" w:cs="Times New Roman"/>
                <w:sz w:val="24"/>
                <w:szCs w:val="24"/>
              </w:rPr>
              <w:t>.004</w:t>
            </w:r>
          </w:p>
        </w:tc>
      </w:tr>
    </w:tbl>
    <w:p w:rsidR="00C41922" w:rsidRPr="001821F6" w:rsidRDefault="00C41922" w:rsidP="008F7DE8">
      <w:pPr>
        <w:spacing w:after="0" w:line="360" w:lineRule="auto"/>
        <w:jc w:val="both"/>
        <w:rPr>
          <w:rFonts w:ascii="Times New Roman" w:hAnsi="Times New Roman" w:cs="Times New Roman"/>
          <w:sz w:val="24"/>
          <w:szCs w:val="24"/>
        </w:rPr>
        <w:sectPr w:rsidR="00C41922" w:rsidRPr="001821F6" w:rsidSect="00676AB2">
          <w:pgSz w:w="16839" w:h="11907" w:orient="landscape" w:code="9"/>
          <w:pgMar w:top="1440" w:right="1440" w:bottom="1440" w:left="1440" w:header="720" w:footer="720" w:gutter="0"/>
          <w:cols w:space="720"/>
          <w:docGrid w:linePitch="360"/>
        </w:sectPr>
      </w:pPr>
    </w:p>
    <w:p w:rsidR="00A91D40" w:rsidRPr="001821F6" w:rsidRDefault="00A91D40" w:rsidP="008F7DE8">
      <w:pPr>
        <w:pStyle w:val="ListParagraph"/>
        <w:numPr>
          <w:ilvl w:val="0"/>
          <w:numId w:val="6"/>
        </w:numPr>
        <w:spacing w:line="360" w:lineRule="auto"/>
        <w:jc w:val="both"/>
        <w:rPr>
          <w:rFonts w:ascii="Times New Roman" w:hAnsi="Times New Roman" w:cs="Times New Roman"/>
          <w:sz w:val="24"/>
          <w:szCs w:val="24"/>
        </w:rPr>
      </w:pPr>
      <w:r w:rsidRPr="001821F6">
        <w:rPr>
          <w:rFonts w:ascii="Times New Roman" w:hAnsi="Times New Roman" w:cs="Times New Roman"/>
          <w:b/>
          <w:sz w:val="24"/>
          <w:szCs w:val="24"/>
        </w:rPr>
        <w:lastRenderedPageBreak/>
        <w:t>DISCUSSION</w:t>
      </w:r>
    </w:p>
    <w:p w:rsidR="00A50560" w:rsidRPr="001821F6" w:rsidRDefault="00C04EC6" w:rsidP="00A50560">
      <w:pPr>
        <w:tabs>
          <w:tab w:val="left" w:pos="2790"/>
        </w:tabs>
        <w:spacing w:line="360" w:lineRule="auto"/>
        <w:jc w:val="both"/>
        <w:rPr>
          <w:rFonts w:ascii="Times New Roman" w:hAnsi="Times New Roman" w:cs="Times New Roman"/>
          <w:color w:val="FF0000"/>
          <w:sz w:val="24"/>
          <w:szCs w:val="24"/>
        </w:rPr>
      </w:pPr>
      <w:r w:rsidRPr="001821F6">
        <w:rPr>
          <w:rFonts w:ascii="Times New Roman" w:hAnsi="Times New Roman" w:cs="Times New Roman"/>
          <w:sz w:val="24"/>
          <w:szCs w:val="24"/>
        </w:rPr>
        <w:t>The</w:t>
      </w:r>
      <w:r w:rsidR="008F7DE8" w:rsidRPr="001821F6">
        <w:rPr>
          <w:rFonts w:ascii="Times New Roman" w:hAnsi="Times New Roman" w:cs="Times New Roman"/>
          <w:sz w:val="24"/>
          <w:szCs w:val="24"/>
        </w:rPr>
        <w:t xml:space="preserve"> </w:t>
      </w:r>
      <w:r w:rsidR="004A0F94" w:rsidRPr="001821F6">
        <w:rPr>
          <w:rFonts w:ascii="Times New Roman" w:hAnsi="Times New Roman" w:cs="Times New Roman"/>
          <w:sz w:val="24"/>
          <w:szCs w:val="24"/>
        </w:rPr>
        <w:t xml:space="preserve">results (see </w:t>
      </w:r>
      <w:r w:rsidRPr="001821F6">
        <w:rPr>
          <w:rFonts w:ascii="Times New Roman" w:hAnsi="Times New Roman" w:cs="Times New Roman"/>
          <w:sz w:val="24"/>
          <w:szCs w:val="24"/>
        </w:rPr>
        <w:t xml:space="preserve">table </w:t>
      </w:r>
      <w:r w:rsidR="00C84E50" w:rsidRPr="001821F6">
        <w:rPr>
          <w:rFonts w:ascii="Times New Roman" w:hAnsi="Times New Roman" w:cs="Times New Roman"/>
          <w:sz w:val="24"/>
          <w:szCs w:val="24"/>
        </w:rPr>
        <w:t>3</w:t>
      </w:r>
      <w:r w:rsidR="00C53BE6" w:rsidRPr="001821F6">
        <w:rPr>
          <w:rFonts w:ascii="Times New Roman" w:hAnsi="Times New Roman" w:cs="Times New Roman"/>
          <w:sz w:val="24"/>
          <w:szCs w:val="24"/>
        </w:rPr>
        <w:t xml:space="preserve">.1 </w:t>
      </w:r>
      <w:r w:rsidR="004A0F94" w:rsidRPr="001821F6">
        <w:rPr>
          <w:rFonts w:ascii="Times New Roman" w:hAnsi="Times New Roman" w:cs="Times New Roman"/>
          <w:sz w:val="24"/>
          <w:szCs w:val="24"/>
        </w:rPr>
        <w:t>)</w:t>
      </w:r>
      <w:r w:rsidRPr="001821F6">
        <w:rPr>
          <w:rFonts w:ascii="Times New Roman" w:hAnsi="Times New Roman" w:cs="Times New Roman"/>
          <w:sz w:val="24"/>
          <w:szCs w:val="24"/>
        </w:rPr>
        <w:t xml:space="preserve"> indicated that</w:t>
      </w:r>
      <w:r w:rsidR="004A0F94" w:rsidRPr="001821F6">
        <w:rPr>
          <w:rFonts w:ascii="Times New Roman" w:hAnsi="Times New Roman" w:cs="Times New Roman"/>
          <w:sz w:val="24"/>
          <w:szCs w:val="24"/>
        </w:rPr>
        <w:t>,</w:t>
      </w:r>
      <w:r w:rsidRPr="001821F6">
        <w:rPr>
          <w:rFonts w:ascii="Times New Roman" w:hAnsi="Times New Roman" w:cs="Times New Roman"/>
          <w:sz w:val="24"/>
          <w:szCs w:val="24"/>
        </w:rPr>
        <w:t xml:space="preserve"> the weather parameters (temperature, rainfall, and relative humidity) had significant impacts on the nutrient content of soils, and the effects were more pronounced in the surface layer (0-30 cm), rather than in the subsoil (30-60 cm) soil. Phosph</w:t>
      </w:r>
      <w:r w:rsidR="004A0F94" w:rsidRPr="001821F6">
        <w:rPr>
          <w:rFonts w:ascii="Times New Roman" w:hAnsi="Times New Roman" w:cs="Times New Roman"/>
          <w:sz w:val="24"/>
          <w:szCs w:val="24"/>
        </w:rPr>
        <w:t>orus, potassium, organic matter</w:t>
      </w:r>
      <w:r w:rsidRPr="001821F6">
        <w:rPr>
          <w:rFonts w:ascii="Times New Roman" w:hAnsi="Times New Roman" w:cs="Times New Roman"/>
          <w:sz w:val="24"/>
          <w:szCs w:val="24"/>
        </w:rPr>
        <w:t xml:space="preserve"> and soil pH were</w:t>
      </w:r>
      <w:r w:rsidR="004A0F94" w:rsidRPr="001821F6">
        <w:rPr>
          <w:rFonts w:ascii="Times New Roman" w:hAnsi="Times New Roman" w:cs="Times New Roman"/>
          <w:sz w:val="24"/>
          <w:szCs w:val="24"/>
        </w:rPr>
        <w:t xml:space="preserve"> all</w:t>
      </w:r>
      <w:r w:rsidRPr="001821F6">
        <w:rPr>
          <w:rFonts w:ascii="Times New Roman" w:hAnsi="Times New Roman" w:cs="Times New Roman"/>
          <w:sz w:val="24"/>
          <w:szCs w:val="24"/>
        </w:rPr>
        <w:t xml:space="preserve"> observed to be severely sensitive to rain and </w:t>
      </w:r>
      <w:r w:rsidR="00A13126" w:rsidRPr="001821F6">
        <w:rPr>
          <w:rFonts w:ascii="Times New Roman" w:hAnsi="Times New Roman" w:cs="Times New Roman"/>
          <w:sz w:val="24"/>
          <w:szCs w:val="24"/>
        </w:rPr>
        <w:t>humidity</w:t>
      </w:r>
      <w:r w:rsidRPr="001821F6">
        <w:rPr>
          <w:rFonts w:ascii="Times New Roman" w:hAnsi="Times New Roman" w:cs="Times New Roman"/>
          <w:sz w:val="24"/>
          <w:szCs w:val="24"/>
        </w:rPr>
        <w:t xml:space="preserve"> and the temperature had an overall positive effect, increasing availability of phosphorus and mineralization</w:t>
      </w:r>
      <w:r w:rsidR="004A0F94" w:rsidRPr="001821F6">
        <w:rPr>
          <w:rFonts w:ascii="Times New Roman" w:hAnsi="Times New Roman" w:cs="Times New Roman"/>
          <w:sz w:val="24"/>
          <w:szCs w:val="24"/>
        </w:rPr>
        <w:t xml:space="preserve"> of organic matter. However,</w:t>
      </w:r>
      <w:r w:rsidRPr="001821F6">
        <w:rPr>
          <w:rFonts w:ascii="Times New Roman" w:hAnsi="Times New Roman" w:cs="Times New Roman"/>
          <w:sz w:val="24"/>
          <w:szCs w:val="24"/>
        </w:rPr>
        <w:t xml:space="preserve"> nitrogen did not show any meaningful relationship with short-term climatic variability, </w:t>
      </w:r>
      <w:r w:rsidR="004A0F94" w:rsidRPr="001821F6">
        <w:rPr>
          <w:rFonts w:ascii="Times New Roman" w:hAnsi="Times New Roman" w:cs="Times New Roman"/>
          <w:sz w:val="24"/>
          <w:szCs w:val="24"/>
        </w:rPr>
        <w:t>a finding that aligns with its relatively stable associations in organic and mineral fractions of soils (</w:t>
      </w:r>
      <w:r w:rsidR="00A13126" w:rsidRPr="001821F6">
        <w:rPr>
          <w:rFonts w:ascii="Times New Roman" w:hAnsi="Times New Roman" w:cs="Times New Roman"/>
          <w:sz w:val="24"/>
          <w:szCs w:val="24"/>
        </w:rPr>
        <w:t xml:space="preserve">Lal, 2020; Chukwu et al., 2022). This supports the argument that, </w:t>
      </w:r>
      <w:r w:rsidRPr="001821F6">
        <w:rPr>
          <w:rFonts w:ascii="Times New Roman" w:hAnsi="Times New Roman" w:cs="Times New Roman"/>
          <w:sz w:val="24"/>
          <w:szCs w:val="24"/>
        </w:rPr>
        <w:t>the dynamics of nitrogen in tropical soils are controlled by long-term mechanisms like biological fixation, the</w:t>
      </w:r>
      <w:r w:rsidR="00A13126" w:rsidRPr="001821F6">
        <w:rPr>
          <w:rFonts w:ascii="Times New Roman" w:hAnsi="Times New Roman" w:cs="Times New Roman"/>
          <w:sz w:val="24"/>
          <w:szCs w:val="24"/>
        </w:rPr>
        <w:t xml:space="preserve"> turnover of organic matter than by immediate weather fluctuations</w:t>
      </w:r>
      <w:r w:rsidR="00857EB7">
        <w:rPr>
          <w:rFonts w:ascii="Times New Roman" w:hAnsi="Times New Roman" w:cs="Times New Roman"/>
          <w:sz w:val="24"/>
          <w:szCs w:val="24"/>
        </w:rPr>
        <w:t xml:space="preserve"> (Palm et al., 2010</w:t>
      </w:r>
      <w:r w:rsidRPr="001821F6">
        <w:rPr>
          <w:rFonts w:ascii="Times New Roman" w:hAnsi="Times New Roman" w:cs="Times New Roman"/>
          <w:sz w:val="24"/>
          <w:szCs w:val="24"/>
        </w:rPr>
        <w:t xml:space="preserve">). The fact that rainfall and humidity contribute to the acceleration of nutrient leaching and acidification of soils is in line with other research in West Africa where too much moisture has been linked to the loss of base cations and the reduction of the fertility of soils </w:t>
      </w:r>
      <w:r w:rsidR="006A36F2" w:rsidRPr="001821F6">
        <w:rPr>
          <w:rFonts w:ascii="Times New Roman" w:hAnsi="Times New Roman" w:cs="Times New Roman"/>
          <w:color w:val="FF0000"/>
          <w:sz w:val="24"/>
          <w:szCs w:val="24"/>
        </w:rPr>
        <w:t>(</w:t>
      </w:r>
      <w:proofErr w:type="spellStart"/>
      <w:r w:rsidR="006A36F2" w:rsidRPr="001821F6">
        <w:rPr>
          <w:rFonts w:ascii="Times New Roman" w:hAnsi="Times New Roman" w:cs="Times New Roman"/>
          <w:sz w:val="24"/>
          <w:szCs w:val="24"/>
        </w:rPr>
        <w:t>Adeyeri</w:t>
      </w:r>
      <w:proofErr w:type="spellEnd"/>
      <w:r w:rsidR="006A36F2" w:rsidRPr="001821F6">
        <w:rPr>
          <w:rFonts w:ascii="Times New Roman" w:hAnsi="Times New Roman" w:cs="Times New Roman"/>
          <w:sz w:val="24"/>
          <w:szCs w:val="24"/>
        </w:rPr>
        <w:t xml:space="preserve"> et al. (2024) and </w:t>
      </w:r>
      <w:proofErr w:type="spellStart"/>
      <w:r w:rsidR="006A36F2" w:rsidRPr="001821F6">
        <w:rPr>
          <w:rFonts w:ascii="Times New Roman" w:hAnsi="Times New Roman" w:cs="Times New Roman"/>
          <w:sz w:val="24"/>
          <w:szCs w:val="24"/>
        </w:rPr>
        <w:t>Nyeko</w:t>
      </w:r>
      <w:proofErr w:type="spellEnd"/>
      <w:r w:rsidR="006A36F2" w:rsidRPr="001821F6">
        <w:rPr>
          <w:rFonts w:ascii="Times New Roman" w:hAnsi="Times New Roman" w:cs="Times New Roman"/>
          <w:sz w:val="24"/>
          <w:szCs w:val="24"/>
        </w:rPr>
        <w:t xml:space="preserve"> (2021).</w:t>
      </w:r>
    </w:p>
    <w:p w:rsidR="00266089" w:rsidRPr="001821F6" w:rsidRDefault="001877F8" w:rsidP="00A50560">
      <w:pPr>
        <w:tabs>
          <w:tab w:val="left" w:pos="2790"/>
        </w:tabs>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 xml:space="preserve">The result also revealed that (see </w:t>
      </w:r>
      <w:r w:rsidR="00C04EC6" w:rsidRPr="001821F6">
        <w:rPr>
          <w:rFonts w:ascii="Times New Roman" w:hAnsi="Times New Roman" w:cs="Times New Roman"/>
          <w:sz w:val="24"/>
          <w:szCs w:val="24"/>
        </w:rPr>
        <w:t xml:space="preserve">Table </w:t>
      </w:r>
      <w:r w:rsidR="00C84E50" w:rsidRPr="001821F6">
        <w:rPr>
          <w:rFonts w:ascii="Times New Roman" w:hAnsi="Times New Roman" w:cs="Times New Roman"/>
          <w:sz w:val="24"/>
          <w:szCs w:val="24"/>
        </w:rPr>
        <w:t>3</w:t>
      </w:r>
      <w:r w:rsidR="00B312F3" w:rsidRPr="001821F6">
        <w:rPr>
          <w:rFonts w:ascii="Times New Roman" w:hAnsi="Times New Roman" w:cs="Times New Roman"/>
          <w:sz w:val="24"/>
          <w:szCs w:val="24"/>
        </w:rPr>
        <w:t>.2</w:t>
      </w:r>
      <w:r w:rsidRPr="001821F6">
        <w:rPr>
          <w:rFonts w:ascii="Times New Roman" w:hAnsi="Times New Roman" w:cs="Times New Roman"/>
          <w:sz w:val="24"/>
          <w:szCs w:val="24"/>
        </w:rPr>
        <w:t>),</w:t>
      </w:r>
      <w:r w:rsidR="00AB363A" w:rsidRPr="001821F6">
        <w:rPr>
          <w:rFonts w:ascii="Times New Roman" w:hAnsi="Times New Roman" w:cs="Times New Roman"/>
          <w:sz w:val="24"/>
          <w:szCs w:val="24"/>
        </w:rPr>
        <w:t xml:space="preserve">over two decades (2001-2021), </w:t>
      </w:r>
      <w:r w:rsidR="00C04EC6" w:rsidRPr="001821F6">
        <w:rPr>
          <w:rFonts w:ascii="Times New Roman" w:hAnsi="Times New Roman" w:cs="Times New Roman"/>
          <w:sz w:val="24"/>
          <w:szCs w:val="24"/>
        </w:rPr>
        <w:t>the pattern of rainfall erosivity revealed significant inter-annual variability and the</w:t>
      </w:r>
      <w:r w:rsidR="00AB363A" w:rsidRPr="001821F6">
        <w:rPr>
          <w:rFonts w:ascii="Times New Roman" w:hAnsi="Times New Roman" w:cs="Times New Roman"/>
          <w:sz w:val="24"/>
          <w:szCs w:val="24"/>
        </w:rPr>
        <w:t>re is</w:t>
      </w:r>
      <w:r w:rsidR="00C04EC6" w:rsidRPr="001821F6">
        <w:rPr>
          <w:rFonts w:ascii="Times New Roman" w:hAnsi="Times New Roman" w:cs="Times New Roman"/>
          <w:sz w:val="24"/>
          <w:szCs w:val="24"/>
        </w:rPr>
        <w:t xml:space="preserve"> increase of erosive rainfalls in Adamawa State. The results indicated that extreme erosivity was highest in 2008, 2012, 2014, 2018, 2019, and</w:t>
      </w:r>
      <w:r w:rsidR="00CC22FA" w:rsidRPr="001821F6">
        <w:rPr>
          <w:rFonts w:ascii="Times New Roman" w:hAnsi="Times New Roman" w:cs="Times New Roman"/>
          <w:sz w:val="24"/>
          <w:szCs w:val="24"/>
        </w:rPr>
        <w:t xml:space="preserve"> 2021, which indicated increase</w:t>
      </w:r>
      <w:r w:rsidR="00C04EC6" w:rsidRPr="001821F6">
        <w:rPr>
          <w:rFonts w:ascii="Times New Roman" w:hAnsi="Times New Roman" w:cs="Times New Roman"/>
          <w:sz w:val="24"/>
          <w:szCs w:val="24"/>
        </w:rPr>
        <w:t xml:space="preserve"> frequency and intensity of the rainfall. This is in line with the wider regional and global data associating climate change with greater rainfall intensity and variability, including where annual rainfall totals </w:t>
      </w:r>
      <w:r w:rsidR="00C274C4" w:rsidRPr="001821F6">
        <w:rPr>
          <w:rFonts w:ascii="Times New Roman" w:hAnsi="Times New Roman" w:cs="Times New Roman"/>
          <w:sz w:val="24"/>
          <w:szCs w:val="24"/>
        </w:rPr>
        <w:t>are not fluctuating (IPCC, 2021</w:t>
      </w:r>
      <w:r w:rsidR="00C04EC6" w:rsidRPr="001821F6">
        <w:rPr>
          <w:rFonts w:ascii="Times New Roman" w:hAnsi="Times New Roman" w:cs="Times New Roman"/>
          <w:sz w:val="24"/>
          <w:szCs w:val="24"/>
        </w:rPr>
        <w:t>). The erosiv</w:t>
      </w:r>
      <w:r w:rsidR="00D66A8B" w:rsidRPr="001821F6">
        <w:rPr>
          <w:rFonts w:ascii="Times New Roman" w:hAnsi="Times New Roman" w:cs="Times New Roman"/>
          <w:sz w:val="24"/>
          <w:szCs w:val="24"/>
        </w:rPr>
        <w:t>ity of rainfall is one of the major factor that lead to</w:t>
      </w:r>
      <w:r w:rsidR="000A4A16" w:rsidRPr="001821F6">
        <w:rPr>
          <w:rFonts w:ascii="Times New Roman" w:hAnsi="Times New Roman" w:cs="Times New Roman"/>
          <w:sz w:val="24"/>
          <w:szCs w:val="24"/>
        </w:rPr>
        <w:t xml:space="preserve"> soil erosion, this is </w:t>
      </w:r>
      <w:r w:rsidR="00C04EC6" w:rsidRPr="001821F6">
        <w:rPr>
          <w:rFonts w:ascii="Times New Roman" w:hAnsi="Times New Roman" w:cs="Times New Roman"/>
          <w:sz w:val="24"/>
          <w:szCs w:val="24"/>
        </w:rPr>
        <w:t xml:space="preserve">because heavy storms </w:t>
      </w:r>
      <w:r w:rsidR="000A4A16" w:rsidRPr="001821F6">
        <w:rPr>
          <w:rFonts w:ascii="Times New Roman" w:hAnsi="Times New Roman" w:cs="Times New Roman"/>
          <w:sz w:val="24"/>
          <w:szCs w:val="24"/>
        </w:rPr>
        <w:t xml:space="preserve">trigger the loose and wash away of </w:t>
      </w:r>
      <w:r w:rsidR="00C04EC6" w:rsidRPr="001821F6">
        <w:rPr>
          <w:rFonts w:ascii="Times New Roman" w:hAnsi="Times New Roman" w:cs="Times New Roman"/>
          <w:sz w:val="24"/>
          <w:szCs w:val="24"/>
        </w:rPr>
        <w:t>soil particles and nutrients, which in most cases leads to permanent loss of fertility (</w:t>
      </w:r>
      <w:r w:rsidR="00C274C4" w:rsidRPr="001821F6">
        <w:rPr>
          <w:rFonts w:ascii="Times New Roman" w:hAnsi="Times New Roman" w:cs="Times New Roman"/>
          <w:sz w:val="24"/>
          <w:szCs w:val="24"/>
        </w:rPr>
        <w:t>Morton, J.F., 2007</w:t>
      </w:r>
      <w:r w:rsidR="00C04EC6" w:rsidRPr="001821F6">
        <w:rPr>
          <w:rFonts w:ascii="Times New Roman" w:hAnsi="Times New Roman" w:cs="Times New Roman"/>
          <w:sz w:val="24"/>
          <w:szCs w:val="24"/>
        </w:rPr>
        <w:t>). The high erosivity rate in Adamawa highlights how fragile the soil in the region is especially in the uplands and sloping terrains where the erosive power is enhanced. In</w:t>
      </w:r>
      <w:r w:rsidR="00A50560" w:rsidRPr="001821F6">
        <w:rPr>
          <w:rFonts w:ascii="Times New Roman" w:hAnsi="Times New Roman" w:cs="Times New Roman"/>
          <w:sz w:val="24"/>
          <w:szCs w:val="24"/>
        </w:rPr>
        <w:t xml:space="preserve"> </w:t>
      </w:r>
      <w:r w:rsidRPr="001821F6">
        <w:rPr>
          <w:rFonts w:ascii="Times New Roman" w:hAnsi="Times New Roman" w:cs="Times New Roman"/>
          <w:sz w:val="24"/>
          <w:szCs w:val="24"/>
        </w:rPr>
        <w:t xml:space="preserve">northern Ghana, Cameroon </w:t>
      </w:r>
      <w:r w:rsidR="00C04EC6" w:rsidRPr="001821F6">
        <w:rPr>
          <w:rFonts w:ascii="Times New Roman" w:hAnsi="Times New Roman" w:cs="Times New Roman"/>
          <w:sz w:val="24"/>
          <w:szCs w:val="24"/>
        </w:rPr>
        <w:t>and other countries</w:t>
      </w:r>
      <w:r w:rsidRPr="001821F6">
        <w:rPr>
          <w:rFonts w:ascii="Times New Roman" w:hAnsi="Times New Roman" w:cs="Times New Roman"/>
          <w:sz w:val="24"/>
          <w:szCs w:val="24"/>
        </w:rPr>
        <w:t xml:space="preserve">, </w:t>
      </w:r>
      <w:r w:rsidR="00C04EC6" w:rsidRPr="001821F6">
        <w:rPr>
          <w:rFonts w:ascii="Times New Roman" w:hAnsi="Times New Roman" w:cs="Times New Roman"/>
          <w:sz w:val="24"/>
          <w:szCs w:val="24"/>
        </w:rPr>
        <w:t xml:space="preserve">climate-driven shifts in rainfall erosivity were also observed to worsen land degradation and lower agricultural productivity </w:t>
      </w:r>
      <w:proofErr w:type="gramStart"/>
      <w:r w:rsidR="00C04EC6" w:rsidRPr="001821F6">
        <w:rPr>
          <w:rFonts w:ascii="Times New Roman" w:hAnsi="Times New Roman" w:cs="Times New Roman"/>
          <w:sz w:val="24"/>
          <w:szCs w:val="24"/>
        </w:rPr>
        <w:t xml:space="preserve">( </w:t>
      </w:r>
      <w:proofErr w:type="spellStart"/>
      <w:r w:rsidR="00C04EC6" w:rsidRPr="001821F6">
        <w:rPr>
          <w:rFonts w:ascii="Times New Roman" w:hAnsi="Times New Roman" w:cs="Times New Roman"/>
          <w:sz w:val="24"/>
          <w:szCs w:val="24"/>
        </w:rPr>
        <w:t>Amekudzi</w:t>
      </w:r>
      <w:proofErr w:type="spellEnd"/>
      <w:proofErr w:type="gramEnd"/>
      <w:r w:rsidR="00C04EC6" w:rsidRPr="001821F6">
        <w:rPr>
          <w:rFonts w:ascii="Times New Roman" w:hAnsi="Times New Roman" w:cs="Times New Roman"/>
          <w:sz w:val="24"/>
          <w:szCs w:val="24"/>
        </w:rPr>
        <w:t xml:space="preserve"> et al., 2021). These findings imply that unless Adamawa implements special</w:t>
      </w:r>
      <w:r w:rsidRPr="001821F6">
        <w:rPr>
          <w:rFonts w:ascii="Times New Roman" w:hAnsi="Times New Roman" w:cs="Times New Roman"/>
          <w:sz w:val="24"/>
          <w:szCs w:val="24"/>
        </w:rPr>
        <w:t xml:space="preserve"> mitigation measures</w:t>
      </w:r>
      <w:r w:rsidR="00C04EC6" w:rsidRPr="001821F6">
        <w:rPr>
          <w:rFonts w:ascii="Times New Roman" w:hAnsi="Times New Roman" w:cs="Times New Roman"/>
          <w:sz w:val="24"/>
          <w:szCs w:val="24"/>
        </w:rPr>
        <w:t>, farmlands in the region will be subjected to increased vulnerabilities of soil erosion, which will lead to nutrient loss.</w:t>
      </w:r>
    </w:p>
    <w:p w:rsidR="00B312F3" w:rsidRPr="001821F6" w:rsidRDefault="00B312F3" w:rsidP="00B312F3">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lastRenderedPageBreak/>
        <w:t>Paired t-test results</w:t>
      </w:r>
      <w:r w:rsidR="008E65DA" w:rsidRPr="001821F6">
        <w:rPr>
          <w:rFonts w:ascii="Times New Roman" w:hAnsi="Times New Roman" w:cs="Times New Roman"/>
          <w:sz w:val="24"/>
          <w:szCs w:val="24"/>
        </w:rPr>
        <w:t xml:space="preserve"> (see table 3.3) revealed</w:t>
      </w:r>
      <w:r w:rsidRPr="001821F6">
        <w:rPr>
          <w:rFonts w:ascii="Times New Roman" w:hAnsi="Times New Roman" w:cs="Times New Roman"/>
          <w:sz w:val="24"/>
          <w:szCs w:val="24"/>
        </w:rPr>
        <w:t xml:space="preserve"> that flood events significantly altered the concentration of key soil nutrients, notably phosphorus, potassium, organic matter, and microbial biomass carbon, especially at the 0-30 cm depth. This finding reinforces the Ecosystem Resilience Theory, which emphasizes that ecosystems subjected to recurrent disturbances (such as floods) experience reduced adaptive capacity over time. Similar patterns were reported by </w:t>
      </w:r>
      <w:proofErr w:type="spellStart"/>
      <w:r w:rsidR="001821F6" w:rsidRPr="001821F6">
        <w:rPr>
          <w:rFonts w:ascii="Times New Roman" w:hAnsi="Times New Roman" w:cs="Times New Roman"/>
          <w:sz w:val="24"/>
          <w:szCs w:val="24"/>
        </w:rPr>
        <w:t>Amekudzi</w:t>
      </w:r>
      <w:proofErr w:type="spellEnd"/>
      <w:r w:rsidR="001821F6" w:rsidRPr="001821F6">
        <w:rPr>
          <w:rFonts w:ascii="Times New Roman" w:hAnsi="Times New Roman" w:cs="Times New Roman"/>
          <w:sz w:val="24"/>
          <w:szCs w:val="24"/>
        </w:rPr>
        <w:t xml:space="preserve"> et al. (2021) </w:t>
      </w:r>
      <w:r w:rsidRPr="001821F6">
        <w:rPr>
          <w:rFonts w:ascii="Times New Roman" w:hAnsi="Times New Roman" w:cs="Times New Roman"/>
          <w:sz w:val="24"/>
          <w:szCs w:val="24"/>
        </w:rPr>
        <w:t xml:space="preserve">who observed that flood-induced sediment deposition alters nutrient balance by removing fine, nutrient-rich particles and replacing them with coarse alluvium of lower fertility. The decrease in microbial biomass carbon across both soil depths indicates that flooding disrupts soil microbial activity, a key driver of nutrient mineralization. Such disturbances, if recurrent, may cause a regime shift from nutrient-rich to nutrient-depleted systems, reflecting loss of resilience as described by </w:t>
      </w:r>
      <w:proofErr w:type="spellStart"/>
      <w:r w:rsidRPr="001821F6">
        <w:rPr>
          <w:rFonts w:ascii="Times New Roman" w:hAnsi="Times New Roman" w:cs="Times New Roman"/>
          <w:sz w:val="24"/>
          <w:szCs w:val="24"/>
        </w:rPr>
        <w:t>Holling</w:t>
      </w:r>
      <w:proofErr w:type="spellEnd"/>
      <w:r w:rsidRPr="001821F6">
        <w:rPr>
          <w:rFonts w:ascii="Times New Roman" w:hAnsi="Times New Roman" w:cs="Times New Roman"/>
          <w:sz w:val="24"/>
          <w:szCs w:val="24"/>
        </w:rPr>
        <w:t xml:space="preserve"> (1973). Furthermore, the significant increase in soil pH at surface layers following floods suggests that deposition of calcareous sediments or dilution of acidic components can temporarily buffer soil acidity. Nonetheless, repeated flooding may destabilize soil chemistry and reduce nutrient bioavailability, as also highlighted by </w:t>
      </w:r>
      <w:proofErr w:type="spellStart"/>
      <w:r w:rsidRPr="001821F6">
        <w:rPr>
          <w:rFonts w:ascii="Times New Roman" w:hAnsi="Times New Roman" w:cs="Times New Roman"/>
          <w:sz w:val="24"/>
          <w:szCs w:val="24"/>
        </w:rPr>
        <w:t>Amekudzi</w:t>
      </w:r>
      <w:proofErr w:type="spellEnd"/>
      <w:r w:rsidRPr="001821F6">
        <w:rPr>
          <w:rFonts w:ascii="Times New Roman" w:hAnsi="Times New Roman" w:cs="Times New Roman"/>
          <w:sz w:val="24"/>
          <w:szCs w:val="24"/>
        </w:rPr>
        <w:t xml:space="preserve"> et al. (2021) in their study of hydrological extremes in West Africa. </w:t>
      </w:r>
    </w:p>
    <w:p w:rsidR="004B6725" w:rsidRPr="001821F6" w:rsidRDefault="00B312F3" w:rsidP="004B6725">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This study's findings substantiate the relevance of Environmental Determinism and Ecosystem Resilience as complementary frameworks for understanding climate-soil interactions. Environmental Determinism explains how climate dictates the spatial pattern of soil fertility and degradation potential across the state's climatic zones, while Ecosystem Resilience elucidates the soil system's capacity to absorb disturbances such as floods and erosive rainfall without permanent loss of function. Together, these theories illustrate that as climatic pressures intensify, the deterministic control of environment on soil processes strengthens, while the resilience threshold narrows--indicating a heightened risk of ecosystem collapse if adaptation measures are not enforced</w:t>
      </w:r>
    </w:p>
    <w:p w:rsidR="008B41E1" w:rsidRPr="001821F6" w:rsidRDefault="00DC2E3E" w:rsidP="008B41E1">
      <w:pPr>
        <w:spacing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5 CONCLUSION AND RECOMMENDATIONS</w:t>
      </w:r>
    </w:p>
    <w:p w:rsidR="008B41E1" w:rsidRPr="001821F6" w:rsidRDefault="008B41E1" w:rsidP="007A44B9">
      <w:pPr>
        <w:spacing w:line="360" w:lineRule="auto"/>
        <w:jc w:val="both"/>
        <w:rPr>
          <w:rFonts w:ascii="Times New Roman" w:hAnsi="Times New Roman" w:cs="Times New Roman"/>
          <w:color w:val="FF0000"/>
          <w:sz w:val="24"/>
          <w:szCs w:val="24"/>
        </w:rPr>
      </w:pPr>
      <w:r w:rsidRPr="001821F6">
        <w:rPr>
          <w:rFonts w:ascii="Times New Roman" w:hAnsi="Times New Roman" w:cs="Times New Roman"/>
          <w:sz w:val="24"/>
          <w:szCs w:val="24"/>
        </w:rPr>
        <w:t>The paper has offered a detailed evaluation of the susceptibility of soil nutrients to climatic stressors on Adamawa State of Nigeria by assessing the impacts of weather parameters, rainfall erosivity, and severe flooding incidents at varying soil depths. The results showed that rain and relative humidity have strong negative e</w:t>
      </w:r>
      <w:r w:rsidR="007A44B9" w:rsidRPr="001821F6">
        <w:rPr>
          <w:rFonts w:ascii="Times New Roman" w:hAnsi="Times New Roman" w:cs="Times New Roman"/>
          <w:sz w:val="24"/>
          <w:szCs w:val="24"/>
        </w:rPr>
        <w:t>ffects on major soil nutrients (</w:t>
      </w:r>
      <w:r w:rsidRPr="001821F6">
        <w:rPr>
          <w:rFonts w:ascii="Times New Roman" w:hAnsi="Times New Roman" w:cs="Times New Roman"/>
          <w:sz w:val="24"/>
          <w:szCs w:val="24"/>
        </w:rPr>
        <w:t>phosphorus, potassium, organic matter and soil pH</w:t>
      </w:r>
      <w:r w:rsidR="007A44B9" w:rsidRPr="001821F6">
        <w:rPr>
          <w:rFonts w:ascii="Times New Roman" w:hAnsi="Times New Roman" w:cs="Times New Roman"/>
          <w:sz w:val="24"/>
          <w:szCs w:val="24"/>
        </w:rPr>
        <w:t>)</w:t>
      </w:r>
      <w:r w:rsidR="00890BD3" w:rsidRPr="001821F6">
        <w:rPr>
          <w:rFonts w:ascii="Times New Roman" w:hAnsi="Times New Roman" w:cs="Times New Roman"/>
          <w:sz w:val="24"/>
          <w:szCs w:val="24"/>
        </w:rPr>
        <w:t xml:space="preserve">. </w:t>
      </w:r>
      <w:r w:rsidRPr="001821F6">
        <w:rPr>
          <w:rFonts w:ascii="Times New Roman" w:hAnsi="Times New Roman" w:cs="Times New Roman"/>
          <w:sz w:val="24"/>
          <w:szCs w:val="24"/>
        </w:rPr>
        <w:t xml:space="preserve">The results of the long-term analysis of rainfall erosivity (2001-2021) showed a decrease in the overall inter-annual variability and </w:t>
      </w:r>
      <w:r w:rsidRPr="001821F6">
        <w:rPr>
          <w:rFonts w:ascii="Times New Roman" w:hAnsi="Times New Roman" w:cs="Times New Roman"/>
          <w:sz w:val="24"/>
          <w:szCs w:val="24"/>
        </w:rPr>
        <w:lastRenderedPageBreak/>
        <w:t xml:space="preserve">frequent peaks of high-eroding rainfall, with the largest values in 2008, 2012, 2014, 2018, 2019 and 2021, indicating that the risk of soil erosion and degradation may increase. </w:t>
      </w:r>
      <w:r w:rsidR="007A44B9" w:rsidRPr="001821F6">
        <w:rPr>
          <w:rFonts w:ascii="Times New Roman" w:hAnsi="Times New Roman" w:cs="Times New Roman"/>
          <w:sz w:val="24"/>
          <w:szCs w:val="24"/>
        </w:rPr>
        <w:t xml:space="preserve">These findings imply that the soils of Adamawa State are increasingly fragile under climate variability, and agricultural productivity may decline without timely adaptation. The study highlights the need for climate-smart soil and water management practices such as contour farming, mulching, agroforestry, and the use of organic amendments to improve soil resilience. </w:t>
      </w:r>
      <w:r w:rsidR="007A44B9" w:rsidRPr="001821F6">
        <w:rPr>
          <w:rFonts w:ascii="Times New Roman" w:hAnsi="Times New Roman" w:cs="Times New Roman"/>
          <w:color w:val="FF0000"/>
          <w:sz w:val="24"/>
          <w:szCs w:val="24"/>
        </w:rPr>
        <w:t>Policymakers should integrate soil conservation and rainfall-erosivity forecasting into regional land-use planning to mitigate erosion and nutrient loss. Further research is recommended to model long-term soil-climate interactions, evaluate the effectiveness of adaptive soil conservation technologies, and explore the socio-economic dimensions of farmers' responses to climate-induced soil degradation</w:t>
      </w:r>
    </w:p>
    <w:p w:rsidR="008B41E1" w:rsidRPr="001821F6" w:rsidRDefault="008B41E1" w:rsidP="008B41E1">
      <w:p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On the basis of the results, the following recommendations are given:</w:t>
      </w:r>
    </w:p>
    <w:p w:rsidR="008B41E1" w:rsidRPr="001821F6" w:rsidRDefault="008B41E1" w:rsidP="008B41E1">
      <w:pPr>
        <w:pStyle w:val="ListParagraph"/>
        <w:numPr>
          <w:ilvl w:val="0"/>
          <w:numId w:val="3"/>
        </w:num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The farmers need to use integrated methods of soil fertility management techniques such as applying organic amendments, cover crops, mulching, and incorporation of crop residue to restore the lost nutrient and the soil structure.</w:t>
      </w:r>
    </w:p>
    <w:p w:rsidR="008B41E1" w:rsidRPr="001821F6" w:rsidRDefault="008B41E1" w:rsidP="008B41E1">
      <w:pPr>
        <w:pStyle w:val="ListParagraph"/>
        <w:numPr>
          <w:ilvl w:val="0"/>
          <w:numId w:val="3"/>
        </w:num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Agro forestry, strip cropping, terracing, and contour bundling should be encouraged in the erosion prone zones to minimize the impact of rainfall erosivity and runoff.</w:t>
      </w:r>
    </w:p>
    <w:p w:rsidR="008B41E1" w:rsidRPr="001821F6" w:rsidRDefault="008B41E1" w:rsidP="008B41E1">
      <w:pPr>
        <w:pStyle w:val="ListParagraph"/>
        <w:numPr>
          <w:ilvl w:val="0"/>
          <w:numId w:val="3"/>
        </w:num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Communities at risk of flooding must embrace raised beds, crop varieties that can withstand floods, and drainage systems to reduce the loss of nutrients in extreme cases of floods.</w:t>
      </w:r>
    </w:p>
    <w:p w:rsidR="008B41E1" w:rsidRPr="001821F6" w:rsidRDefault="008B41E1" w:rsidP="008B41E1">
      <w:pPr>
        <w:pStyle w:val="ListParagraph"/>
        <w:numPr>
          <w:ilvl w:val="0"/>
          <w:numId w:val="3"/>
        </w:num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Consistent checking of pH of the soil must be a norm, and lime and other amendment must be applied in areas experiencing severe acidification to ensure the nutrient availability is not compromised.</w:t>
      </w:r>
    </w:p>
    <w:p w:rsidR="008B41E1" w:rsidRPr="001821F6" w:rsidRDefault="008B41E1" w:rsidP="008B41E1">
      <w:pPr>
        <w:pStyle w:val="ListParagraph"/>
        <w:numPr>
          <w:ilvl w:val="0"/>
          <w:numId w:val="3"/>
        </w:num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The agricultural extension services and government should incorporate rainfall erosivity projections and soil vulnerability maps in the land-use planning, disaster risk reduction and climate adaptation planning.</w:t>
      </w:r>
    </w:p>
    <w:p w:rsidR="008B41E1" w:rsidRPr="001821F6" w:rsidRDefault="008B41E1" w:rsidP="008B41E1">
      <w:pPr>
        <w:pStyle w:val="ListParagraph"/>
        <w:numPr>
          <w:ilvl w:val="0"/>
          <w:numId w:val="3"/>
        </w:num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The level of training programs must be stepped up to provide knowledge to the farmers on climate-smart agricultural production, testing, and adaptive measures that they can use in the face of these altering rain patterns.</w:t>
      </w:r>
    </w:p>
    <w:p w:rsidR="00262B6A" w:rsidRPr="001821F6" w:rsidRDefault="008B41E1" w:rsidP="008B41E1">
      <w:pPr>
        <w:pStyle w:val="ListParagraph"/>
        <w:numPr>
          <w:ilvl w:val="0"/>
          <w:numId w:val="3"/>
        </w:numPr>
        <w:spacing w:line="360" w:lineRule="auto"/>
        <w:jc w:val="both"/>
        <w:rPr>
          <w:rFonts w:ascii="Times New Roman" w:hAnsi="Times New Roman" w:cs="Times New Roman"/>
          <w:sz w:val="24"/>
          <w:szCs w:val="24"/>
        </w:rPr>
      </w:pPr>
      <w:r w:rsidRPr="001821F6">
        <w:rPr>
          <w:rFonts w:ascii="Times New Roman" w:hAnsi="Times New Roman" w:cs="Times New Roman"/>
          <w:sz w:val="24"/>
          <w:szCs w:val="24"/>
        </w:rPr>
        <w:t xml:space="preserve">Future studies can investigate nutrient dynamics in the future climate conditions considering the presence of predictive models in which erosivity of rainfall, rise in temperature and extreme weather conditions are combined to inform the long-term </w:t>
      </w:r>
      <w:r w:rsidR="00C5707A" w:rsidRPr="001821F6">
        <w:rPr>
          <w:rFonts w:ascii="Times New Roman" w:hAnsi="Times New Roman" w:cs="Times New Roman"/>
          <w:sz w:val="24"/>
          <w:szCs w:val="24"/>
        </w:rPr>
        <w:t>management of soil.</w:t>
      </w:r>
    </w:p>
    <w:p w:rsidR="00FB0177" w:rsidRPr="001821F6" w:rsidRDefault="00FB0177" w:rsidP="00FB0177">
      <w:pPr>
        <w:spacing w:line="360" w:lineRule="auto"/>
        <w:jc w:val="both"/>
        <w:rPr>
          <w:rFonts w:ascii="Times New Roman" w:hAnsi="Times New Roman" w:cs="Times New Roman"/>
          <w:sz w:val="24"/>
          <w:szCs w:val="24"/>
        </w:rPr>
      </w:pPr>
    </w:p>
    <w:p w:rsidR="00FB0177" w:rsidRPr="001821F6" w:rsidRDefault="00FB0177" w:rsidP="00FB0177">
      <w:pPr>
        <w:rPr>
          <w:rFonts w:ascii="Times New Roman" w:eastAsia="Calibri" w:hAnsi="Times New Roman" w:cs="Times New Roman"/>
          <w:kern w:val="2"/>
          <w:sz w:val="24"/>
          <w:szCs w:val="24"/>
          <w:highlight w:val="yellow"/>
        </w:rPr>
      </w:pPr>
      <w:bookmarkStart w:id="0" w:name="_Hlk211509776"/>
      <w:r w:rsidRPr="001821F6">
        <w:rPr>
          <w:rFonts w:ascii="Times New Roman" w:eastAsia="Calibri" w:hAnsi="Times New Roman" w:cs="Times New Roman"/>
          <w:kern w:val="2"/>
          <w:sz w:val="24"/>
          <w:szCs w:val="24"/>
          <w:highlight w:val="yellow"/>
        </w:rPr>
        <w:t>Disclaimer (Artificial intelligence)</w:t>
      </w:r>
    </w:p>
    <w:p w:rsidR="00FB0177" w:rsidRPr="001821F6" w:rsidRDefault="00FB0177" w:rsidP="00FB0177">
      <w:pPr>
        <w:rPr>
          <w:rFonts w:ascii="Times New Roman" w:eastAsia="Calibri" w:hAnsi="Times New Roman" w:cs="Times New Roman"/>
          <w:kern w:val="2"/>
          <w:sz w:val="24"/>
          <w:szCs w:val="24"/>
          <w:highlight w:val="yellow"/>
        </w:rPr>
      </w:pPr>
      <w:r w:rsidRPr="001821F6">
        <w:rPr>
          <w:rFonts w:ascii="Times New Roman" w:eastAsia="Calibri" w:hAnsi="Times New Roman" w:cs="Times New Roman"/>
          <w:kern w:val="2"/>
          <w:sz w:val="24"/>
          <w:szCs w:val="24"/>
          <w:highlight w:val="yellow"/>
        </w:rPr>
        <w:t xml:space="preserve">Option 1: </w:t>
      </w:r>
    </w:p>
    <w:p w:rsidR="00FB0177" w:rsidRPr="001821F6" w:rsidRDefault="00FB0177" w:rsidP="00FB0177">
      <w:pPr>
        <w:rPr>
          <w:rFonts w:ascii="Times New Roman" w:eastAsia="Calibri" w:hAnsi="Times New Roman" w:cs="Times New Roman"/>
          <w:kern w:val="2"/>
          <w:sz w:val="24"/>
          <w:szCs w:val="24"/>
          <w:highlight w:val="yellow"/>
        </w:rPr>
      </w:pPr>
      <w:r w:rsidRPr="001821F6">
        <w:rPr>
          <w:rFonts w:ascii="Times New Roman" w:eastAsia="Calibri" w:hAnsi="Times New Roman" w:cs="Times New Roman"/>
          <w:kern w:val="2"/>
          <w:sz w:val="24"/>
          <w:szCs w:val="24"/>
          <w:highlight w:val="yellow"/>
        </w:rPr>
        <w:t>Author(s) hereby declare that NO generative AI technologies such as Large Language Models (</w:t>
      </w:r>
      <w:proofErr w:type="spellStart"/>
      <w:r w:rsidRPr="001821F6">
        <w:rPr>
          <w:rFonts w:ascii="Times New Roman" w:eastAsia="Calibri" w:hAnsi="Times New Roman" w:cs="Times New Roman"/>
          <w:kern w:val="2"/>
          <w:sz w:val="24"/>
          <w:szCs w:val="24"/>
          <w:highlight w:val="yellow"/>
        </w:rPr>
        <w:t>ChatGPT</w:t>
      </w:r>
      <w:proofErr w:type="spellEnd"/>
      <w:r w:rsidRPr="001821F6">
        <w:rPr>
          <w:rFonts w:ascii="Times New Roman" w:eastAsia="Calibri" w:hAnsi="Times New Roman" w:cs="Times New Roman"/>
          <w:kern w:val="2"/>
          <w:sz w:val="24"/>
          <w:szCs w:val="24"/>
          <w:highlight w:val="yellow"/>
        </w:rPr>
        <w:t xml:space="preserve">, COPILOT, etc.) and text-to-image generators have been used during the writing or editing of this manuscript. </w:t>
      </w:r>
    </w:p>
    <w:p w:rsidR="00FB0177" w:rsidRPr="001821F6" w:rsidRDefault="00FB0177" w:rsidP="00FB0177">
      <w:pPr>
        <w:rPr>
          <w:rFonts w:ascii="Times New Roman" w:eastAsia="Calibri" w:hAnsi="Times New Roman" w:cs="Times New Roman"/>
          <w:kern w:val="2"/>
          <w:sz w:val="24"/>
          <w:szCs w:val="24"/>
          <w:highlight w:val="yellow"/>
        </w:rPr>
      </w:pPr>
      <w:r w:rsidRPr="001821F6">
        <w:rPr>
          <w:rFonts w:ascii="Times New Roman" w:eastAsia="Calibri" w:hAnsi="Times New Roman" w:cs="Times New Roman"/>
          <w:kern w:val="2"/>
          <w:sz w:val="24"/>
          <w:szCs w:val="24"/>
          <w:highlight w:val="yellow"/>
        </w:rPr>
        <w:t xml:space="preserve">Option 2: </w:t>
      </w:r>
    </w:p>
    <w:p w:rsidR="00FB0177" w:rsidRPr="001821F6" w:rsidRDefault="00FB0177" w:rsidP="00FB0177">
      <w:pPr>
        <w:rPr>
          <w:rFonts w:ascii="Times New Roman" w:eastAsia="Calibri" w:hAnsi="Times New Roman" w:cs="Times New Roman"/>
          <w:kern w:val="2"/>
          <w:sz w:val="24"/>
          <w:szCs w:val="24"/>
          <w:highlight w:val="yellow"/>
        </w:rPr>
      </w:pPr>
      <w:r w:rsidRPr="001821F6">
        <w:rPr>
          <w:rFonts w:ascii="Times New Roman" w:eastAsia="Calibri" w:hAnsi="Times New Roman" w:cs="Times New Roman"/>
          <w:kern w:val="2"/>
          <w:sz w:val="24"/>
          <w:szCs w:val="24"/>
          <w:highlight w:val="yellow"/>
        </w:rPr>
        <w:t xml:space="preserve">Author(s) hereby declare that generative AI technologies such as Large Language Models, etc. have been used during the </w:t>
      </w:r>
      <w:proofErr w:type="spellStart"/>
      <w:r w:rsidRPr="001821F6">
        <w:rPr>
          <w:rFonts w:ascii="Times New Roman" w:eastAsia="Calibri" w:hAnsi="Times New Roman" w:cs="Times New Roman"/>
          <w:kern w:val="2"/>
          <w:sz w:val="24"/>
          <w:szCs w:val="24"/>
          <w:highlight w:val="yellow"/>
        </w:rPr>
        <w:t>witing</w:t>
      </w:r>
      <w:proofErr w:type="spellEnd"/>
      <w:r w:rsidRPr="001821F6">
        <w:rPr>
          <w:rFonts w:ascii="Times New Roman" w:eastAsia="Calibri" w:hAnsi="Times New Roman" w:cs="Times New Roman"/>
          <w:kern w:val="2"/>
          <w:sz w:val="24"/>
          <w:szCs w:val="24"/>
          <w:highlight w:val="yellow"/>
        </w:rPr>
        <w:t xml:space="preserve"> or editing of manuscripts. This explanation will include the name, version, model, and source of the generative AI technology and as well as all input prompts provided to the generative AI technology</w:t>
      </w:r>
    </w:p>
    <w:p w:rsidR="00FB0177" w:rsidRPr="001821F6" w:rsidRDefault="00FB0177" w:rsidP="00FB0177">
      <w:pPr>
        <w:rPr>
          <w:rFonts w:ascii="Times New Roman" w:eastAsia="Calibri" w:hAnsi="Times New Roman" w:cs="Times New Roman"/>
          <w:kern w:val="2"/>
          <w:sz w:val="24"/>
          <w:szCs w:val="24"/>
          <w:highlight w:val="yellow"/>
        </w:rPr>
      </w:pPr>
      <w:r w:rsidRPr="001821F6">
        <w:rPr>
          <w:rFonts w:ascii="Times New Roman" w:eastAsia="Calibri" w:hAnsi="Times New Roman" w:cs="Times New Roman"/>
          <w:kern w:val="2"/>
          <w:sz w:val="24"/>
          <w:szCs w:val="24"/>
          <w:highlight w:val="yellow"/>
        </w:rPr>
        <w:t>Details of the AI usage are given below:</w:t>
      </w:r>
    </w:p>
    <w:p w:rsidR="00FB0177" w:rsidRPr="001821F6" w:rsidRDefault="00FB0177" w:rsidP="00FB0177">
      <w:pPr>
        <w:rPr>
          <w:rFonts w:ascii="Times New Roman" w:eastAsia="Calibri" w:hAnsi="Times New Roman" w:cs="Times New Roman"/>
          <w:kern w:val="2"/>
          <w:sz w:val="24"/>
          <w:szCs w:val="24"/>
          <w:highlight w:val="yellow"/>
        </w:rPr>
      </w:pPr>
      <w:r w:rsidRPr="001821F6">
        <w:rPr>
          <w:rFonts w:ascii="Times New Roman" w:eastAsia="Calibri" w:hAnsi="Times New Roman" w:cs="Times New Roman"/>
          <w:kern w:val="2"/>
          <w:sz w:val="24"/>
          <w:szCs w:val="24"/>
          <w:highlight w:val="yellow"/>
        </w:rPr>
        <w:t>1.</w:t>
      </w:r>
    </w:p>
    <w:p w:rsidR="00FB0177" w:rsidRPr="001821F6" w:rsidRDefault="00FB0177" w:rsidP="00FB0177">
      <w:pPr>
        <w:rPr>
          <w:rFonts w:ascii="Times New Roman" w:eastAsia="Calibri" w:hAnsi="Times New Roman" w:cs="Times New Roman"/>
          <w:kern w:val="2"/>
          <w:sz w:val="24"/>
          <w:szCs w:val="24"/>
          <w:highlight w:val="yellow"/>
        </w:rPr>
      </w:pPr>
      <w:r w:rsidRPr="001821F6">
        <w:rPr>
          <w:rFonts w:ascii="Times New Roman" w:eastAsia="Calibri" w:hAnsi="Times New Roman" w:cs="Times New Roman"/>
          <w:kern w:val="2"/>
          <w:sz w:val="24"/>
          <w:szCs w:val="24"/>
          <w:highlight w:val="yellow"/>
        </w:rPr>
        <w:t>2.</w:t>
      </w:r>
    </w:p>
    <w:p w:rsidR="00FB0177" w:rsidRPr="001821F6" w:rsidRDefault="00FB0177" w:rsidP="00FB0177">
      <w:pPr>
        <w:rPr>
          <w:rFonts w:ascii="Times New Roman" w:eastAsia="Calibri" w:hAnsi="Times New Roman" w:cs="Times New Roman"/>
          <w:kern w:val="2"/>
          <w:sz w:val="24"/>
          <w:szCs w:val="24"/>
          <w:highlight w:val="yellow"/>
        </w:rPr>
      </w:pPr>
      <w:r w:rsidRPr="001821F6">
        <w:rPr>
          <w:rFonts w:ascii="Times New Roman" w:eastAsia="Calibri" w:hAnsi="Times New Roman" w:cs="Times New Roman"/>
          <w:kern w:val="2"/>
          <w:sz w:val="24"/>
          <w:szCs w:val="24"/>
          <w:highlight w:val="yellow"/>
        </w:rPr>
        <w:t>3.</w:t>
      </w:r>
    </w:p>
    <w:bookmarkEnd w:id="0"/>
    <w:p w:rsidR="00FB0177" w:rsidRPr="001821F6" w:rsidRDefault="00FB0177" w:rsidP="00FB0177">
      <w:pPr>
        <w:spacing w:line="360" w:lineRule="auto"/>
        <w:jc w:val="both"/>
        <w:rPr>
          <w:rFonts w:ascii="Times New Roman" w:hAnsi="Times New Roman" w:cs="Times New Roman"/>
          <w:sz w:val="24"/>
          <w:szCs w:val="24"/>
        </w:rPr>
      </w:pPr>
    </w:p>
    <w:p w:rsidR="008F2A5C" w:rsidRPr="001821F6" w:rsidRDefault="00C5707A" w:rsidP="00A378F4">
      <w:pPr>
        <w:spacing w:line="360" w:lineRule="auto"/>
        <w:jc w:val="both"/>
        <w:rPr>
          <w:rFonts w:ascii="Times New Roman" w:hAnsi="Times New Roman" w:cs="Times New Roman"/>
          <w:b/>
          <w:sz w:val="24"/>
          <w:szCs w:val="24"/>
        </w:rPr>
      </w:pPr>
      <w:r w:rsidRPr="001821F6">
        <w:rPr>
          <w:rFonts w:ascii="Times New Roman" w:hAnsi="Times New Roman" w:cs="Times New Roman"/>
          <w:b/>
          <w:sz w:val="24"/>
          <w:szCs w:val="24"/>
        </w:rPr>
        <w:t>REFERENCES</w:t>
      </w:r>
    </w:p>
    <w:p w:rsidR="00260A68"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proofErr w:type="spellStart"/>
      <w:r w:rsidRPr="00285923">
        <w:rPr>
          <w:rFonts w:ascii="Times New Roman" w:hAnsi="Times New Roman" w:cs="Times New Roman"/>
          <w:sz w:val="24"/>
          <w:szCs w:val="24"/>
        </w:rPr>
        <w:t>Adeyeri</w:t>
      </w:r>
      <w:proofErr w:type="spellEnd"/>
      <w:r w:rsidRPr="00285923">
        <w:rPr>
          <w:rFonts w:ascii="Times New Roman" w:hAnsi="Times New Roman" w:cs="Times New Roman"/>
          <w:sz w:val="24"/>
          <w:szCs w:val="24"/>
        </w:rPr>
        <w:t xml:space="preserve">, O. E., </w:t>
      </w:r>
      <w:proofErr w:type="spellStart"/>
      <w:r w:rsidRPr="00285923">
        <w:rPr>
          <w:rFonts w:ascii="Times New Roman" w:hAnsi="Times New Roman" w:cs="Times New Roman"/>
          <w:sz w:val="24"/>
          <w:szCs w:val="24"/>
        </w:rPr>
        <w:t>Ishola</w:t>
      </w:r>
      <w:proofErr w:type="spellEnd"/>
      <w:r w:rsidRPr="00285923">
        <w:rPr>
          <w:rFonts w:ascii="Times New Roman" w:hAnsi="Times New Roman" w:cs="Times New Roman"/>
          <w:sz w:val="24"/>
          <w:szCs w:val="24"/>
        </w:rPr>
        <w:t xml:space="preserve">, K. A., &amp; </w:t>
      </w:r>
      <w:proofErr w:type="spellStart"/>
      <w:r w:rsidRPr="00285923">
        <w:rPr>
          <w:rFonts w:ascii="Times New Roman" w:hAnsi="Times New Roman" w:cs="Times New Roman"/>
          <w:sz w:val="24"/>
          <w:szCs w:val="24"/>
        </w:rPr>
        <w:t>Adefisan</w:t>
      </w:r>
      <w:proofErr w:type="spellEnd"/>
      <w:r w:rsidRPr="00285923">
        <w:rPr>
          <w:rFonts w:ascii="Times New Roman" w:hAnsi="Times New Roman" w:cs="Times New Roman"/>
          <w:sz w:val="24"/>
          <w:szCs w:val="24"/>
        </w:rPr>
        <w:t xml:space="preserve">, E. A. (2024). Climate change is intensifying rainfall erosivity and soil erosion in West Africa. Science of the Total Environment, 920, 177174. </w:t>
      </w:r>
      <w:hyperlink r:id="rId15" w:history="1">
        <w:r w:rsidRPr="00285923">
          <w:rPr>
            <w:rStyle w:val="Hyperlink"/>
            <w:rFonts w:ascii="Times New Roman" w:hAnsi="Times New Roman" w:cs="Times New Roman"/>
            <w:color w:val="auto"/>
            <w:sz w:val="24"/>
            <w:szCs w:val="24"/>
          </w:rPr>
          <w:t>https://doi.org/10.1016/j.scitotenv.2024.177174</w:t>
        </w:r>
      </w:hyperlink>
    </w:p>
    <w:p w:rsidR="00260A68"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proofErr w:type="spellStart"/>
      <w:r w:rsidRPr="00285923">
        <w:rPr>
          <w:rFonts w:ascii="Times New Roman" w:hAnsi="Times New Roman" w:cs="Times New Roman"/>
          <w:sz w:val="24"/>
          <w:szCs w:val="24"/>
        </w:rPr>
        <w:t>Adeleye</w:t>
      </w:r>
      <w:proofErr w:type="spellEnd"/>
      <w:r w:rsidRPr="00285923">
        <w:rPr>
          <w:rFonts w:ascii="Times New Roman" w:hAnsi="Times New Roman" w:cs="Times New Roman"/>
          <w:sz w:val="24"/>
          <w:szCs w:val="24"/>
        </w:rPr>
        <w:t xml:space="preserve">, V. A., &amp; Osakwe, S. A. (2014). Post flooding effect on soil quality in Nigeria: The </w:t>
      </w:r>
      <w:proofErr w:type="spellStart"/>
      <w:r w:rsidRPr="00285923">
        <w:rPr>
          <w:rFonts w:ascii="Times New Roman" w:hAnsi="Times New Roman" w:cs="Times New Roman"/>
          <w:sz w:val="24"/>
          <w:szCs w:val="24"/>
        </w:rPr>
        <w:t>Asaba</w:t>
      </w:r>
      <w:proofErr w:type="spellEnd"/>
      <w:r w:rsidRPr="00285923">
        <w:rPr>
          <w:rFonts w:ascii="Times New Roman" w:hAnsi="Times New Roman" w:cs="Times New Roman"/>
          <w:sz w:val="24"/>
          <w:szCs w:val="24"/>
        </w:rPr>
        <w:t xml:space="preserve">-Onitsha experience. Open Journal of Soil Science, 4(2), 72-80. </w:t>
      </w:r>
      <w:hyperlink r:id="rId16" w:history="1">
        <w:r w:rsidRPr="00285923">
          <w:rPr>
            <w:rStyle w:val="Hyperlink"/>
            <w:rFonts w:ascii="Times New Roman" w:hAnsi="Times New Roman" w:cs="Times New Roman"/>
            <w:color w:val="auto"/>
            <w:sz w:val="24"/>
            <w:szCs w:val="24"/>
          </w:rPr>
          <w:t>https://doi.org/10.4236/ojss.2014.42010</w:t>
        </w:r>
      </w:hyperlink>
    </w:p>
    <w:p w:rsidR="001669C1" w:rsidRPr="00285923" w:rsidRDefault="00054A4D" w:rsidP="00285923">
      <w:pPr>
        <w:pStyle w:val="ListParagraph"/>
        <w:numPr>
          <w:ilvl w:val="0"/>
          <w:numId w:val="12"/>
        </w:numPr>
        <w:spacing w:line="360" w:lineRule="auto"/>
        <w:jc w:val="both"/>
        <w:rPr>
          <w:rFonts w:ascii="Times New Roman" w:hAnsi="Times New Roman" w:cs="Times New Roman"/>
          <w:sz w:val="24"/>
          <w:szCs w:val="24"/>
        </w:rPr>
      </w:pPr>
      <w:bookmarkStart w:id="1" w:name="_GoBack"/>
      <w:bookmarkEnd w:id="1"/>
      <w:r w:rsidRPr="00285923">
        <w:rPr>
          <w:rFonts w:ascii="Times New Roman" w:hAnsi="Times New Roman" w:cs="Times New Roman"/>
          <w:sz w:val="24"/>
          <w:szCs w:val="24"/>
        </w:rPr>
        <w:t>Brady, N.C., Weil, R.R., 2017. The nature and properties of soils (15th ed.). Pearson</w:t>
      </w:r>
      <w:hyperlink r:id="rId17" w:history="1">
        <w:r w:rsidRPr="00285923">
          <w:rPr>
            <w:rStyle w:val="Hyperlink"/>
            <w:rFonts w:ascii="Times New Roman" w:hAnsi="Times New Roman" w:cs="Times New Roman"/>
            <w:color w:val="auto"/>
            <w:sz w:val="24"/>
            <w:szCs w:val="24"/>
          </w:rPr>
          <w:t>https://scholar.google.com/scholar?hl=en&amp;as_sdt=0%2C5&amp;q=Brady%2C+N.C.%2C+Weil%2C+R.R.%2C+2017.+The+nature+and+properties+of+soils+%2815th+ed.%29.+Pearson&amp;btnG</w:t>
        </w:r>
      </w:hyperlink>
      <w:r w:rsidRPr="00285923">
        <w:rPr>
          <w:rFonts w:ascii="Times New Roman" w:hAnsi="Times New Roman" w:cs="Times New Roman"/>
          <w:sz w:val="24"/>
          <w:szCs w:val="24"/>
        </w:rPr>
        <w:t xml:space="preserve">= </w:t>
      </w:r>
    </w:p>
    <w:p w:rsidR="001669C1" w:rsidRPr="00285923" w:rsidRDefault="001669C1"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t xml:space="preserve">Britannica, 2024. Adamawa State, Nigeria. </w:t>
      </w:r>
      <w:proofErr w:type="spellStart"/>
      <w:r w:rsidRPr="00285923">
        <w:rPr>
          <w:rFonts w:ascii="Times New Roman" w:hAnsi="Times New Roman" w:cs="Times New Roman"/>
          <w:sz w:val="24"/>
          <w:szCs w:val="24"/>
        </w:rPr>
        <w:t>Encyclopaedia</w:t>
      </w:r>
      <w:proofErr w:type="spellEnd"/>
      <w:r w:rsidRPr="00285923">
        <w:rPr>
          <w:rFonts w:ascii="Times New Roman" w:hAnsi="Times New Roman" w:cs="Times New Roman"/>
          <w:sz w:val="24"/>
          <w:szCs w:val="24"/>
        </w:rPr>
        <w:t xml:space="preserve"> Britannica. [https://www.britannica.com/place/Adamawa-state </w:t>
      </w:r>
      <w:hyperlink r:id="rId18" w:history="1">
        <w:r w:rsidRPr="00285923">
          <w:rPr>
            <w:rStyle w:val="Hyperlink"/>
            <w:rFonts w:ascii="Times New Roman" w:hAnsi="Times New Roman" w:cs="Times New Roman"/>
            <w:color w:val="auto"/>
            <w:sz w:val="24"/>
            <w:szCs w:val="24"/>
          </w:rPr>
          <w:t>https://translate.academic.ru/encyclopaedia+britannica/xx/xx/2/</w:t>
        </w:r>
      </w:hyperlink>
    </w:p>
    <w:p w:rsidR="00260A68"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lastRenderedPageBreak/>
        <w:t xml:space="preserve">Chukwu, C. O., Nnaji, C. C., &amp; Anya, A. U. (2022). Effects of humidity and rainfall on soil organic matter decomposition in the humid tropics of Nigeria. Soil and Tillage Research, 221, 105425. </w:t>
      </w:r>
      <w:hyperlink r:id="rId19" w:history="1">
        <w:r w:rsidRPr="00285923">
          <w:rPr>
            <w:rStyle w:val="Hyperlink"/>
            <w:rFonts w:ascii="Times New Roman" w:hAnsi="Times New Roman" w:cs="Times New Roman"/>
            <w:color w:val="auto"/>
            <w:sz w:val="24"/>
            <w:szCs w:val="24"/>
          </w:rPr>
          <w:t>https://doi.org/10.1016/j.still.2022.105425</w:t>
        </w:r>
      </w:hyperlink>
    </w:p>
    <w:p w:rsidR="001B5F42" w:rsidRPr="00285923" w:rsidRDefault="001B5F42"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t xml:space="preserve">FAO, (Food and Agriculture Organization). (2017). </w:t>
      </w:r>
      <w:r w:rsidR="00FE4AC0" w:rsidRPr="00285923">
        <w:rPr>
          <w:rFonts w:ascii="Times New Roman" w:hAnsi="Times New Roman" w:cs="Times New Roman"/>
          <w:sz w:val="24"/>
          <w:szCs w:val="24"/>
        </w:rPr>
        <w:t>the</w:t>
      </w:r>
      <w:r w:rsidRPr="00285923">
        <w:rPr>
          <w:rFonts w:ascii="Times New Roman" w:hAnsi="Times New Roman" w:cs="Times New Roman"/>
          <w:sz w:val="24"/>
          <w:szCs w:val="24"/>
        </w:rPr>
        <w:t xml:space="preserve"> future of food and agriculture: Trends and challenges. Rome: Food and Agriculture Organization </w:t>
      </w:r>
      <w:hyperlink r:id="rId20" w:history="1">
        <w:r w:rsidRPr="00285923">
          <w:rPr>
            <w:rStyle w:val="Hyperlink"/>
            <w:rFonts w:ascii="Times New Roman" w:hAnsi="Times New Roman" w:cs="Times New Roman"/>
            <w:color w:val="auto"/>
            <w:sz w:val="24"/>
            <w:szCs w:val="24"/>
          </w:rPr>
          <w:t>https://scholar.google.com/scholar?hl=en&amp;as_sdt=0%2C5&amp;q=FAO%2C+2017.+The+future+of+food+and+agriculture%3A+Trends+and+challenges.+Rome%3A+Food+and+Agriculture+Organization&amp;btnG</w:t>
        </w:r>
      </w:hyperlink>
      <w:r w:rsidRPr="00285923">
        <w:rPr>
          <w:rFonts w:ascii="Times New Roman" w:hAnsi="Times New Roman" w:cs="Times New Roman"/>
          <w:sz w:val="24"/>
          <w:szCs w:val="24"/>
        </w:rPr>
        <w:t>=</w:t>
      </w:r>
    </w:p>
    <w:p w:rsidR="00342D02" w:rsidRPr="00285923" w:rsidRDefault="00BE4238"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t>FAO, 2019. The state of the world’s biodiversity for food and agriculture. FAO Commission on Genetic Resources for Food and Agriculture Assessments. Rome: FAO</w:t>
      </w:r>
      <w:hyperlink r:id="rId21" w:history="1">
        <w:r w:rsidRPr="00285923">
          <w:rPr>
            <w:rStyle w:val="Hyperlink"/>
            <w:rFonts w:ascii="Times New Roman" w:hAnsi="Times New Roman" w:cs="Times New Roman"/>
            <w:color w:val="auto"/>
            <w:sz w:val="24"/>
            <w:szCs w:val="24"/>
          </w:rPr>
          <w:t>https://scholar.google.com/scholar?hl=en&amp;as_sdt=0%2C5&amp;q=FAO%2C+2019.+The+state+of+the+world%E2%80%99s+biodiversity+for+food+and+agriculture.+FAO+Commission+on+Genetic+Resources+for+Food+and+Agriculture+Assessments.+Rome%3A+FAO&amp;btnG</w:t>
        </w:r>
      </w:hyperlink>
      <w:r w:rsidRPr="00285923">
        <w:rPr>
          <w:rFonts w:ascii="Times New Roman" w:hAnsi="Times New Roman" w:cs="Times New Roman"/>
          <w:sz w:val="24"/>
          <w:szCs w:val="24"/>
        </w:rPr>
        <w:t>=</w:t>
      </w:r>
    </w:p>
    <w:p w:rsidR="00342D02" w:rsidRPr="00285923" w:rsidRDefault="00342D02"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t xml:space="preserve">FAO/CIAT. (2024). Nurturing Africa’s soil health: Towards zero soil loss and runoff. Alliance of </w:t>
      </w:r>
      <w:proofErr w:type="spellStart"/>
      <w:r w:rsidRPr="00285923">
        <w:rPr>
          <w:rFonts w:ascii="Times New Roman" w:hAnsi="Times New Roman" w:cs="Times New Roman"/>
          <w:sz w:val="24"/>
          <w:szCs w:val="24"/>
        </w:rPr>
        <w:t>Bioversity</w:t>
      </w:r>
      <w:proofErr w:type="spellEnd"/>
      <w:r w:rsidRPr="00285923">
        <w:rPr>
          <w:rFonts w:ascii="Times New Roman" w:hAnsi="Times New Roman" w:cs="Times New Roman"/>
          <w:sz w:val="24"/>
          <w:szCs w:val="24"/>
        </w:rPr>
        <w:t xml:space="preserve"> International &amp; CIAT. </w:t>
      </w:r>
      <w:hyperlink r:id="rId22" w:tgtFrame="_new" w:history="1">
        <w:r w:rsidRPr="00285923">
          <w:rPr>
            <w:rStyle w:val="Hyperlink"/>
            <w:rFonts w:ascii="Times New Roman" w:hAnsi="Times New Roman" w:cs="Times New Roman"/>
            <w:color w:val="auto"/>
            <w:sz w:val="24"/>
            <w:szCs w:val="24"/>
          </w:rPr>
          <w:t>https://alliancebioversityciat.org/stories/nurturing-africas-soil-health-towards-zero-soil-loss-runoff</w:t>
        </w:r>
      </w:hyperlink>
      <w:r w:rsidRPr="00285923">
        <w:rPr>
          <w:rFonts w:ascii="Times New Roman" w:hAnsi="Times New Roman" w:cs="Times New Roman"/>
          <w:sz w:val="24"/>
          <w:szCs w:val="24"/>
        </w:rPr>
        <w:t xml:space="preserve"> </w:t>
      </w:r>
      <w:hyperlink r:id="rId23" w:tgtFrame="_blank" w:history="1">
        <w:r w:rsidRPr="00285923">
          <w:rPr>
            <w:rStyle w:val="max-w-15ch"/>
            <w:rFonts w:ascii="Times New Roman" w:hAnsi="Times New Roman" w:cs="Times New Roman"/>
            <w:sz w:val="24"/>
            <w:szCs w:val="24"/>
            <w:u w:val="single"/>
          </w:rPr>
          <w:t>alliancebioversityciat.org</w:t>
        </w:r>
      </w:hyperlink>
    </w:p>
    <w:p w:rsidR="00260A68"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proofErr w:type="spellStart"/>
      <w:r w:rsidRPr="00285923">
        <w:rPr>
          <w:rFonts w:ascii="Times New Roman" w:hAnsi="Times New Roman" w:cs="Times New Roman"/>
          <w:sz w:val="24"/>
          <w:szCs w:val="24"/>
        </w:rPr>
        <w:t>Holling</w:t>
      </w:r>
      <w:proofErr w:type="spellEnd"/>
      <w:r w:rsidRPr="00285923">
        <w:rPr>
          <w:rFonts w:ascii="Times New Roman" w:hAnsi="Times New Roman" w:cs="Times New Roman"/>
          <w:sz w:val="24"/>
          <w:szCs w:val="24"/>
        </w:rPr>
        <w:t xml:space="preserve">, C. S. (1973). Resilience and stability of ecological systems. Annual Review of Ecology and Systematics, 4, 1-23. </w:t>
      </w:r>
      <w:hyperlink r:id="rId24" w:history="1">
        <w:r w:rsidRPr="00285923">
          <w:rPr>
            <w:rStyle w:val="Hyperlink"/>
            <w:rFonts w:ascii="Times New Roman" w:hAnsi="Times New Roman" w:cs="Times New Roman"/>
            <w:color w:val="auto"/>
            <w:sz w:val="24"/>
            <w:szCs w:val="24"/>
          </w:rPr>
          <w:t>https://doi.org/10.1146/annurev.es.04.110173.000245</w:t>
        </w:r>
      </w:hyperlink>
    </w:p>
    <w:p w:rsidR="009D0F92" w:rsidRPr="00285923" w:rsidRDefault="009D0F92"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t xml:space="preserve">Intergovernmental Panel on Climate Change (IPCC). (2021). Climate Change 2021: The Physical Science Basis. Contribution of Working Group I to the Sixth Assessment Report of the Intergovernmental Panel on Climate Change. Cambridge University Press. </w:t>
      </w:r>
      <w:hyperlink r:id="rId25" w:history="1">
        <w:r w:rsidRPr="00285923">
          <w:rPr>
            <w:rStyle w:val="Hyperlink"/>
            <w:rFonts w:ascii="Times New Roman" w:hAnsi="Times New Roman" w:cs="Times New Roman"/>
            <w:color w:val="auto"/>
            <w:sz w:val="24"/>
            <w:szCs w:val="24"/>
          </w:rPr>
          <w:t>https://doi.org/10.1017/9781009157896</w:t>
        </w:r>
      </w:hyperlink>
      <w:r w:rsidRPr="00285923">
        <w:rPr>
          <w:rFonts w:ascii="Times New Roman" w:hAnsi="Times New Roman" w:cs="Times New Roman"/>
          <w:sz w:val="24"/>
          <w:szCs w:val="24"/>
        </w:rPr>
        <w:t xml:space="preserve"> </w:t>
      </w:r>
    </w:p>
    <w:p w:rsidR="00F56571" w:rsidRPr="00285923" w:rsidRDefault="00F56571" w:rsidP="00285923">
      <w:pPr>
        <w:pStyle w:val="ListParagraph"/>
        <w:numPr>
          <w:ilvl w:val="0"/>
          <w:numId w:val="12"/>
        </w:numPr>
        <w:spacing w:line="360" w:lineRule="auto"/>
        <w:jc w:val="both"/>
        <w:rPr>
          <w:rFonts w:ascii="Times New Roman" w:hAnsi="Times New Roman" w:cs="Times New Roman"/>
          <w:sz w:val="24"/>
          <w:szCs w:val="24"/>
        </w:rPr>
      </w:pPr>
      <w:proofErr w:type="spellStart"/>
      <w:r w:rsidRPr="00285923">
        <w:rPr>
          <w:rFonts w:ascii="Times New Roman" w:hAnsi="Times New Roman" w:cs="Times New Roman"/>
          <w:sz w:val="24"/>
          <w:szCs w:val="24"/>
        </w:rPr>
        <w:t>Ishaya</w:t>
      </w:r>
      <w:proofErr w:type="spellEnd"/>
      <w:r w:rsidRPr="00285923">
        <w:rPr>
          <w:rFonts w:ascii="Times New Roman" w:hAnsi="Times New Roman" w:cs="Times New Roman"/>
          <w:sz w:val="24"/>
          <w:szCs w:val="24"/>
        </w:rPr>
        <w:t xml:space="preserve">, S., </w:t>
      </w:r>
      <w:proofErr w:type="spellStart"/>
      <w:r w:rsidRPr="00285923">
        <w:rPr>
          <w:rFonts w:ascii="Times New Roman" w:hAnsi="Times New Roman" w:cs="Times New Roman"/>
          <w:sz w:val="24"/>
          <w:szCs w:val="24"/>
        </w:rPr>
        <w:t>Abaje</w:t>
      </w:r>
      <w:proofErr w:type="spellEnd"/>
      <w:r w:rsidRPr="00285923">
        <w:rPr>
          <w:rFonts w:ascii="Times New Roman" w:hAnsi="Times New Roman" w:cs="Times New Roman"/>
          <w:sz w:val="24"/>
          <w:szCs w:val="24"/>
        </w:rPr>
        <w:t xml:space="preserve">, I.B., 2008. Indigenous people’s perception on climate change and adaptation strategies in </w:t>
      </w:r>
      <w:proofErr w:type="spellStart"/>
      <w:r w:rsidRPr="00285923">
        <w:rPr>
          <w:rFonts w:ascii="Times New Roman" w:hAnsi="Times New Roman" w:cs="Times New Roman"/>
          <w:sz w:val="24"/>
          <w:szCs w:val="24"/>
        </w:rPr>
        <w:t>Jema’a</w:t>
      </w:r>
      <w:proofErr w:type="spellEnd"/>
      <w:r w:rsidRPr="00285923">
        <w:rPr>
          <w:rFonts w:ascii="Times New Roman" w:hAnsi="Times New Roman" w:cs="Times New Roman"/>
          <w:sz w:val="24"/>
          <w:szCs w:val="24"/>
        </w:rPr>
        <w:t xml:space="preserve"> Local Government Area of Kaduna State, Nigeria. J. </w:t>
      </w:r>
      <w:proofErr w:type="spellStart"/>
      <w:r w:rsidRPr="00285923">
        <w:rPr>
          <w:rFonts w:ascii="Times New Roman" w:hAnsi="Times New Roman" w:cs="Times New Roman"/>
          <w:sz w:val="24"/>
          <w:szCs w:val="24"/>
        </w:rPr>
        <w:t>Geogr</w:t>
      </w:r>
      <w:proofErr w:type="spellEnd"/>
      <w:r w:rsidRPr="00285923">
        <w:rPr>
          <w:rFonts w:ascii="Times New Roman" w:hAnsi="Times New Roman" w:cs="Times New Roman"/>
          <w:sz w:val="24"/>
          <w:szCs w:val="24"/>
        </w:rPr>
        <w:t xml:space="preserve">. Reg. </w:t>
      </w:r>
      <w:proofErr w:type="spellStart"/>
      <w:r w:rsidRPr="00285923">
        <w:rPr>
          <w:rFonts w:ascii="Times New Roman" w:hAnsi="Times New Roman" w:cs="Times New Roman"/>
          <w:sz w:val="24"/>
          <w:szCs w:val="24"/>
        </w:rPr>
        <w:t>Plann</w:t>
      </w:r>
      <w:proofErr w:type="spellEnd"/>
      <w:r w:rsidRPr="00285923">
        <w:rPr>
          <w:rFonts w:ascii="Times New Roman" w:hAnsi="Times New Roman" w:cs="Times New Roman"/>
          <w:sz w:val="24"/>
          <w:szCs w:val="24"/>
        </w:rPr>
        <w:t xml:space="preserve">., 1(8), 138–143 </w:t>
      </w:r>
      <w:hyperlink r:id="rId26" w:history="1">
        <w:r w:rsidRPr="00285923">
          <w:rPr>
            <w:rStyle w:val="Hyperlink"/>
            <w:rFonts w:ascii="Times New Roman" w:hAnsi="Times New Roman" w:cs="Times New Roman"/>
            <w:color w:val="auto"/>
            <w:sz w:val="24"/>
            <w:szCs w:val="24"/>
          </w:rPr>
          <w:t>https://academicjournals.org/journal/JGRP/article-full-text-pdf/9C67ADA919</w:t>
        </w:r>
      </w:hyperlink>
    </w:p>
    <w:p w:rsidR="00260A68"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t xml:space="preserve">Lal, R. (2015). Restoring soil quality to mitigate soil degradation. Sustainability, 7(5), 5875-5895. </w:t>
      </w:r>
      <w:hyperlink r:id="rId27" w:history="1">
        <w:r w:rsidRPr="00285923">
          <w:rPr>
            <w:rStyle w:val="Hyperlink"/>
            <w:rFonts w:ascii="Times New Roman" w:hAnsi="Times New Roman" w:cs="Times New Roman"/>
            <w:color w:val="auto"/>
            <w:sz w:val="24"/>
            <w:szCs w:val="24"/>
          </w:rPr>
          <w:t>https://doi.org/10.3390/su7055875</w:t>
        </w:r>
      </w:hyperlink>
    </w:p>
    <w:p w:rsidR="00260A68"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t xml:space="preserve">Lal, R. (2020). Managing soils for negative feedback to climate change and positive impact on food and nutritional security. Soil Science and Plant Nutrition, 66(1), 1-9. </w:t>
      </w:r>
      <w:hyperlink r:id="rId28" w:history="1">
        <w:r w:rsidRPr="00285923">
          <w:rPr>
            <w:rStyle w:val="Hyperlink"/>
            <w:rFonts w:ascii="Times New Roman" w:hAnsi="Times New Roman" w:cs="Times New Roman"/>
            <w:color w:val="auto"/>
            <w:sz w:val="24"/>
            <w:szCs w:val="24"/>
          </w:rPr>
          <w:t>https://doi.org/10.1080/00380768.2020.1718548</w:t>
        </w:r>
      </w:hyperlink>
    </w:p>
    <w:p w:rsidR="00A378F4"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lastRenderedPageBreak/>
        <w:t xml:space="preserve">Morton, J. F. (2007). The impact of climate change on smallholder and subsistence agriculture. Proceedings of the National Academy of Sciences, 104(50), 19680-19685. </w:t>
      </w:r>
      <w:hyperlink r:id="rId29" w:history="1">
        <w:r w:rsidRPr="00285923">
          <w:rPr>
            <w:rStyle w:val="Hyperlink"/>
            <w:rFonts w:ascii="Times New Roman" w:hAnsi="Times New Roman" w:cs="Times New Roman"/>
            <w:color w:val="auto"/>
            <w:sz w:val="24"/>
            <w:szCs w:val="24"/>
          </w:rPr>
          <w:t>https://doi.org/10.1073/pnas.0701855104</w:t>
        </w:r>
      </w:hyperlink>
      <w:r w:rsidR="00A378F4" w:rsidRPr="00285923">
        <w:rPr>
          <w:rFonts w:ascii="Times New Roman" w:hAnsi="Times New Roman" w:cs="Times New Roman"/>
          <w:sz w:val="24"/>
          <w:szCs w:val="24"/>
        </w:rPr>
        <w:t xml:space="preserve"> </w:t>
      </w:r>
    </w:p>
    <w:p w:rsidR="00260A68"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proofErr w:type="spellStart"/>
      <w:r w:rsidRPr="00285923">
        <w:rPr>
          <w:rFonts w:ascii="Times New Roman" w:hAnsi="Times New Roman" w:cs="Times New Roman"/>
          <w:sz w:val="24"/>
          <w:szCs w:val="24"/>
        </w:rPr>
        <w:t>Nyeko</w:t>
      </w:r>
      <w:proofErr w:type="spellEnd"/>
      <w:r w:rsidRPr="00285923">
        <w:rPr>
          <w:rFonts w:ascii="Times New Roman" w:hAnsi="Times New Roman" w:cs="Times New Roman"/>
          <w:sz w:val="24"/>
          <w:szCs w:val="24"/>
        </w:rPr>
        <w:t xml:space="preserve">, M. (2021). Climatic influences on soil fertility in tropical agroecosystems. Journal of Soil Science and Environmental Management, 12(3), 45-54. </w:t>
      </w:r>
      <w:hyperlink r:id="rId30" w:history="1">
        <w:r w:rsidRPr="00285923">
          <w:rPr>
            <w:rStyle w:val="Hyperlink"/>
            <w:rFonts w:ascii="Times New Roman" w:hAnsi="Times New Roman" w:cs="Times New Roman"/>
            <w:color w:val="auto"/>
            <w:sz w:val="24"/>
            <w:szCs w:val="24"/>
          </w:rPr>
          <w:t>https://doi.org/10.5897/JSSEM2021.0889</w:t>
        </w:r>
      </w:hyperlink>
    </w:p>
    <w:p w:rsidR="00260A68"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proofErr w:type="spellStart"/>
      <w:r w:rsidRPr="00285923">
        <w:rPr>
          <w:rFonts w:ascii="Times New Roman" w:hAnsi="Times New Roman" w:cs="Times New Roman"/>
          <w:sz w:val="24"/>
          <w:szCs w:val="24"/>
        </w:rPr>
        <w:t>Olaniyi</w:t>
      </w:r>
      <w:proofErr w:type="spellEnd"/>
      <w:r w:rsidRPr="00285923">
        <w:rPr>
          <w:rFonts w:ascii="Times New Roman" w:hAnsi="Times New Roman" w:cs="Times New Roman"/>
          <w:sz w:val="24"/>
          <w:szCs w:val="24"/>
        </w:rPr>
        <w:t xml:space="preserve">, A. O., Yusuf, O. A., &amp; </w:t>
      </w:r>
      <w:proofErr w:type="spellStart"/>
      <w:r w:rsidRPr="00285923">
        <w:rPr>
          <w:rFonts w:ascii="Times New Roman" w:hAnsi="Times New Roman" w:cs="Times New Roman"/>
          <w:sz w:val="24"/>
          <w:szCs w:val="24"/>
        </w:rPr>
        <w:t>Jimoh</w:t>
      </w:r>
      <w:proofErr w:type="spellEnd"/>
      <w:r w:rsidRPr="00285923">
        <w:rPr>
          <w:rFonts w:ascii="Times New Roman" w:hAnsi="Times New Roman" w:cs="Times New Roman"/>
          <w:sz w:val="24"/>
          <w:szCs w:val="24"/>
        </w:rPr>
        <w:t xml:space="preserve">, M. O. (2023). Climate variability and soil nutrient availability in sub-Saharan Africa: Emerging evidence and adaptation implications. Environmental Challenges, 10, 100726. </w:t>
      </w:r>
      <w:hyperlink r:id="rId31" w:history="1">
        <w:r w:rsidRPr="00285923">
          <w:rPr>
            <w:rStyle w:val="Hyperlink"/>
            <w:rFonts w:ascii="Times New Roman" w:hAnsi="Times New Roman" w:cs="Times New Roman"/>
            <w:color w:val="auto"/>
            <w:sz w:val="24"/>
            <w:szCs w:val="24"/>
          </w:rPr>
          <w:t>https://doi.org/10.1016/j.envc.2023.100726</w:t>
        </w:r>
      </w:hyperlink>
    </w:p>
    <w:p w:rsidR="00022B7C" w:rsidRPr="00285923" w:rsidRDefault="00022B7C" w:rsidP="00285923">
      <w:pPr>
        <w:pStyle w:val="ListParagraph"/>
        <w:numPr>
          <w:ilvl w:val="0"/>
          <w:numId w:val="12"/>
        </w:numPr>
        <w:spacing w:line="360" w:lineRule="auto"/>
        <w:jc w:val="both"/>
        <w:rPr>
          <w:rFonts w:ascii="Times New Roman" w:hAnsi="Times New Roman" w:cs="Times New Roman"/>
          <w:sz w:val="24"/>
          <w:szCs w:val="24"/>
        </w:rPr>
      </w:pPr>
      <w:r w:rsidRPr="00285923">
        <w:rPr>
          <w:rFonts w:ascii="Times New Roman" w:hAnsi="Times New Roman" w:cs="Times New Roman"/>
          <w:sz w:val="24"/>
          <w:szCs w:val="24"/>
        </w:rPr>
        <w:t xml:space="preserve">Palm, C.A., </w:t>
      </w:r>
      <w:proofErr w:type="spellStart"/>
      <w:r w:rsidRPr="00285923">
        <w:rPr>
          <w:rFonts w:ascii="Times New Roman" w:hAnsi="Times New Roman" w:cs="Times New Roman"/>
          <w:sz w:val="24"/>
          <w:szCs w:val="24"/>
        </w:rPr>
        <w:t>Smukler</w:t>
      </w:r>
      <w:proofErr w:type="spellEnd"/>
      <w:r w:rsidRPr="00285923">
        <w:rPr>
          <w:rFonts w:ascii="Times New Roman" w:hAnsi="Times New Roman" w:cs="Times New Roman"/>
          <w:sz w:val="24"/>
          <w:szCs w:val="24"/>
        </w:rPr>
        <w:t xml:space="preserve">, S.M., Sullivan, C.C., </w:t>
      </w:r>
      <w:proofErr w:type="spellStart"/>
      <w:r w:rsidRPr="00285923">
        <w:rPr>
          <w:rFonts w:ascii="Times New Roman" w:hAnsi="Times New Roman" w:cs="Times New Roman"/>
          <w:sz w:val="24"/>
          <w:szCs w:val="24"/>
        </w:rPr>
        <w:t>Mutuo</w:t>
      </w:r>
      <w:proofErr w:type="spellEnd"/>
      <w:r w:rsidRPr="00285923">
        <w:rPr>
          <w:rFonts w:ascii="Times New Roman" w:hAnsi="Times New Roman" w:cs="Times New Roman"/>
          <w:sz w:val="24"/>
          <w:szCs w:val="24"/>
        </w:rPr>
        <w:t>, P.K.,</w:t>
      </w:r>
      <w:r w:rsidR="00C90387" w:rsidRPr="00285923">
        <w:rPr>
          <w:rFonts w:ascii="Times New Roman" w:hAnsi="Times New Roman" w:cs="Times New Roman"/>
          <w:sz w:val="24"/>
          <w:szCs w:val="24"/>
        </w:rPr>
        <w:t xml:space="preserve"> </w:t>
      </w:r>
      <w:proofErr w:type="spellStart"/>
      <w:r w:rsidR="00C90387" w:rsidRPr="00285923">
        <w:rPr>
          <w:rFonts w:ascii="Times New Roman" w:hAnsi="Times New Roman" w:cs="Times New Roman"/>
          <w:sz w:val="24"/>
          <w:szCs w:val="24"/>
        </w:rPr>
        <w:t>Nyadzayo</w:t>
      </w:r>
      <w:proofErr w:type="spellEnd"/>
      <w:r w:rsidR="00C90387" w:rsidRPr="00285923">
        <w:rPr>
          <w:rFonts w:ascii="Times New Roman" w:hAnsi="Times New Roman" w:cs="Times New Roman"/>
          <w:sz w:val="24"/>
          <w:szCs w:val="24"/>
        </w:rPr>
        <w:t>, M., Walsh, M.G., 2010</w:t>
      </w:r>
      <w:r w:rsidRPr="00285923">
        <w:rPr>
          <w:rFonts w:ascii="Times New Roman" w:hAnsi="Times New Roman" w:cs="Times New Roman"/>
          <w:sz w:val="24"/>
          <w:szCs w:val="24"/>
        </w:rPr>
        <w:t>. Identifying potential synergies and trade-offs for meeting food security and climate change objectives in sub-Saharan Africa. Proc. Natl. Acad. Sci. USA, 111(14), 5079–5084</w:t>
      </w:r>
      <w:r w:rsidR="00DD336D" w:rsidRPr="00285923">
        <w:rPr>
          <w:rFonts w:ascii="Times New Roman" w:hAnsi="Times New Roman" w:cs="Times New Roman"/>
          <w:sz w:val="24"/>
          <w:szCs w:val="24"/>
        </w:rPr>
        <w:t xml:space="preserve"> </w:t>
      </w:r>
      <w:hyperlink r:id="rId32" w:history="1">
        <w:r w:rsidR="00DD336D" w:rsidRPr="00285923">
          <w:rPr>
            <w:rFonts w:ascii="Times New Roman" w:hAnsi="Times New Roman" w:cs="Times New Roman"/>
            <w:sz w:val="24"/>
            <w:szCs w:val="24"/>
            <w:u w:val="single"/>
          </w:rPr>
          <w:t>https://www.pnas.org/doi/abs/10.1073/pnas.0912248107</w:t>
        </w:r>
      </w:hyperlink>
    </w:p>
    <w:p w:rsidR="00AC76A6" w:rsidRPr="00285923" w:rsidRDefault="00260A68" w:rsidP="00285923">
      <w:pPr>
        <w:pStyle w:val="ListParagraph"/>
        <w:numPr>
          <w:ilvl w:val="0"/>
          <w:numId w:val="12"/>
        </w:numPr>
        <w:spacing w:line="360" w:lineRule="auto"/>
        <w:jc w:val="both"/>
        <w:rPr>
          <w:rFonts w:ascii="Times New Roman" w:hAnsi="Times New Roman" w:cs="Times New Roman"/>
          <w:sz w:val="24"/>
          <w:szCs w:val="24"/>
        </w:rPr>
      </w:pPr>
      <w:proofErr w:type="spellStart"/>
      <w:r w:rsidRPr="00285923">
        <w:rPr>
          <w:rFonts w:ascii="Times New Roman" w:hAnsi="Times New Roman" w:cs="Times New Roman"/>
          <w:sz w:val="24"/>
          <w:szCs w:val="24"/>
        </w:rPr>
        <w:t>Panagos</w:t>
      </w:r>
      <w:proofErr w:type="spellEnd"/>
      <w:r w:rsidRPr="00285923">
        <w:rPr>
          <w:rFonts w:ascii="Times New Roman" w:hAnsi="Times New Roman" w:cs="Times New Roman"/>
          <w:sz w:val="24"/>
          <w:szCs w:val="24"/>
        </w:rPr>
        <w:t xml:space="preserve">, P., Borrelli, P., </w:t>
      </w:r>
      <w:proofErr w:type="spellStart"/>
      <w:r w:rsidRPr="00285923">
        <w:rPr>
          <w:rFonts w:ascii="Times New Roman" w:hAnsi="Times New Roman" w:cs="Times New Roman"/>
          <w:sz w:val="24"/>
          <w:szCs w:val="24"/>
        </w:rPr>
        <w:t>Meusburger</w:t>
      </w:r>
      <w:proofErr w:type="spellEnd"/>
      <w:r w:rsidRPr="00285923">
        <w:rPr>
          <w:rFonts w:ascii="Times New Roman" w:hAnsi="Times New Roman" w:cs="Times New Roman"/>
          <w:sz w:val="24"/>
          <w:szCs w:val="24"/>
        </w:rPr>
        <w:t xml:space="preserve">, K., Yu, B., </w:t>
      </w:r>
      <w:proofErr w:type="spellStart"/>
      <w:r w:rsidRPr="00285923">
        <w:rPr>
          <w:rFonts w:ascii="Times New Roman" w:hAnsi="Times New Roman" w:cs="Times New Roman"/>
          <w:sz w:val="24"/>
          <w:szCs w:val="24"/>
        </w:rPr>
        <w:t>Klik</w:t>
      </w:r>
      <w:proofErr w:type="spellEnd"/>
      <w:r w:rsidRPr="00285923">
        <w:rPr>
          <w:rFonts w:ascii="Times New Roman" w:hAnsi="Times New Roman" w:cs="Times New Roman"/>
          <w:sz w:val="24"/>
          <w:szCs w:val="24"/>
        </w:rPr>
        <w:t xml:space="preserve">, A., Lim, K. J., et al. (2017). Global rainfall erosivity assessment based on high-temporal-resolution rainfall records. Scientific Reports, 7, 4175. </w:t>
      </w:r>
      <w:hyperlink r:id="rId33" w:history="1">
        <w:r w:rsidRPr="00285923">
          <w:rPr>
            <w:rStyle w:val="Hyperlink"/>
            <w:rFonts w:ascii="Times New Roman" w:hAnsi="Times New Roman" w:cs="Times New Roman"/>
            <w:color w:val="auto"/>
            <w:sz w:val="24"/>
            <w:szCs w:val="24"/>
          </w:rPr>
          <w:t>https://doi.org/10.1038/s41598-017-04282-8</w:t>
        </w:r>
      </w:hyperlink>
      <w:r w:rsidRPr="00285923">
        <w:rPr>
          <w:rFonts w:ascii="Times New Roman" w:hAnsi="Times New Roman" w:cs="Times New Roman"/>
          <w:sz w:val="24"/>
          <w:szCs w:val="24"/>
        </w:rPr>
        <w:t xml:space="preserve"> </w:t>
      </w:r>
    </w:p>
    <w:p w:rsidR="0075291F" w:rsidRPr="001821F6" w:rsidRDefault="0075291F" w:rsidP="00A378F4">
      <w:pPr>
        <w:spacing w:line="360" w:lineRule="auto"/>
        <w:ind w:left="720" w:hanging="720"/>
        <w:jc w:val="both"/>
        <w:rPr>
          <w:rFonts w:ascii="Times New Roman" w:hAnsi="Times New Roman" w:cs="Times New Roman"/>
          <w:color w:val="FF0000"/>
          <w:sz w:val="24"/>
          <w:szCs w:val="24"/>
        </w:rPr>
      </w:pPr>
    </w:p>
    <w:sectPr w:rsidR="0075291F" w:rsidRPr="001821F6" w:rsidSect="00200BB0">
      <w:headerReference w:type="even" r:id="rId34"/>
      <w:headerReference w:type="default" r:id="rId35"/>
      <w:footerReference w:type="default" r:id="rId36"/>
      <w:headerReference w:type="first" r:id="rId3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19F" w:rsidRDefault="004E619F" w:rsidP="00F66E3C">
      <w:pPr>
        <w:spacing w:after="0" w:line="240" w:lineRule="auto"/>
      </w:pPr>
      <w:r>
        <w:separator/>
      </w:r>
    </w:p>
  </w:endnote>
  <w:endnote w:type="continuationSeparator" w:id="0">
    <w:p w:rsidR="004E619F" w:rsidRDefault="004E619F" w:rsidP="00F6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340"/>
      <w:docPartObj>
        <w:docPartGallery w:val="Page Numbers (Bottom of Page)"/>
        <w:docPartUnique/>
      </w:docPartObj>
    </w:sdtPr>
    <w:sdtEndPr/>
    <w:sdtContent>
      <w:p w:rsidR="000D4E81" w:rsidRDefault="0040397E">
        <w:pPr>
          <w:pStyle w:val="Footer"/>
          <w:jc w:val="center"/>
        </w:pPr>
        <w:r>
          <w:fldChar w:fldCharType="begin"/>
        </w:r>
        <w:r>
          <w:instrText xml:space="preserve"> PAGE   \* MERGEFORMAT </w:instrText>
        </w:r>
        <w:r>
          <w:fldChar w:fldCharType="separate"/>
        </w:r>
        <w:r w:rsidR="00674A97">
          <w:rPr>
            <w:noProof/>
          </w:rPr>
          <w:t>1</w:t>
        </w:r>
        <w:r>
          <w:rPr>
            <w:noProof/>
          </w:rPr>
          <w:fldChar w:fldCharType="end"/>
        </w:r>
      </w:p>
    </w:sdtContent>
  </w:sdt>
  <w:p w:rsidR="000D4E81" w:rsidRDefault="000D4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81" w:rsidRDefault="00857EB7">
    <w:pPr>
      <w:pStyle w:val="Footer"/>
      <w:jc w:val="center"/>
    </w:pPr>
    <w:r>
      <w:fldChar w:fldCharType="begin"/>
    </w:r>
    <w:r>
      <w:instrText xml:space="preserve"> PAGE   \* MERGEFORMAT </w:instrText>
    </w:r>
    <w:r>
      <w:fldChar w:fldCharType="separate"/>
    </w:r>
    <w:r w:rsidR="00674A97">
      <w:rPr>
        <w:noProof/>
      </w:rPr>
      <w:t>18</w:t>
    </w:r>
    <w:r>
      <w:rPr>
        <w:noProof/>
      </w:rPr>
      <w:fldChar w:fldCharType="end"/>
    </w:r>
  </w:p>
  <w:p w:rsidR="000D4E81" w:rsidRDefault="000D4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19F" w:rsidRDefault="004E619F" w:rsidP="00F66E3C">
      <w:pPr>
        <w:spacing w:after="0" w:line="240" w:lineRule="auto"/>
      </w:pPr>
      <w:r>
        <w:separator/>
      </w:r>
    </w:p>
  </w:footnote>
  <w:footnote w:type="continuationSeparator" w:id="0">
    <w:p w:rsidR="004E619F" w:rsidRDefault="004E619F" w:rsidP="00F66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81" w:rsidRDefault="009806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57" o:spid="_x0000_s2054" type="#_x0000_t136" style="position:absolute;margin-left:0;margin-top:0;width:289.3pt;height:54.2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81" w:rsidRDefault="009806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58" o:spid="_x0000_s2053" type="#_x0000_t136" style="position:absolute;margin-left:0;margin-top:0;width:289.3pt;height:5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81" w:rsidRDefault="009806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56" o:spid="_x0000_s2052" type="#_x0000_t136" style="position:absolute;margin-left:0;margin-top:0;width:289.3pt;height:54.2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81" w:rsidRDefault="009806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60" o:spid="_x0000_s2051" type="#_x0000_t136" style="position:absolute;margin-left:0;margin-top:0;width:289.3pt;height:5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81" w:rsidRDefault="009806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61" o:spid="_x0000_s2050" type="#_x0000_t136" style="position:absolute;margin-left:0;margin-top:0;width:289.3pt;height:54.2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E81" w:rsidRDefault="009806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8159" o:spid="_x0000_s2049" type="#_x0000_t136" style="position:absolute;margin-left:0;margin-top:0;width:289.3pt;height:54.2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078B3"/>
    <w:multiLevelType w:val="hybridMultilevel"/>
    <w:tmpl w:val="01DCA67C"/>
    <w:lvl w:ilvl="0" w:tplc="670EFC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A4C1337"/>
    <w:multiLevelType w:val="hybridMultilevel"/>
    <w:tmpl w:val="5C28CF86"/>
    <w:lvl w:ilvl="0" w:tplc="E84C6086">
      <w:start w:val="4"/>
      <w:numFmt w:val="decimal"/>
      <w:lvlText w:val="%1."/>
      <w:lvlJc w:val="left"/>
      <w:pPr>
        <w:ind w:left="450" w:hanging="360"/>
      </w:pPr>
      <w:rPr>
        <w:rFonts w:cstheme="minorBid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A6B3C1C"/>
    <w:multiLevelType w:val="hybridMultilevel"/>
    <w:tmpl w:val="F56011EC"/>
    <w:lvl w:ilvl="0" w:tplc="2000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D5AD5"/>
    <w:multiLevelType w:val="hybridMultilevel"/>
    <w:tmpl w:val="CE7E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64E4E"/>
    <w:multiLevelType w:val="hybridMultilevel"/>
    <w:tmpl w:val="77289C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2A3CD7"/>
    <w:multiLevelType w:val="hybridMultilevel"/>
    <w:tmpl w:val="6772E81C"/>
    <w:lvl w:ilvl="0" w:tplc="8ADEE5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5D4B58"/>
    <w:multiLevelType w:val="hybridMultilevel"/>
    <w:tmpl w:val="6A28E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905B8"/>
    <w:multiLevelType w:val="hybridMultilevel"/>
    <w:tmpl w:val="0E8426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16EDB"/>
    <w:multiLevelType w:val="hybridMultilevel"/>
    <w:tmpl w:val="4F141B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853769E"/>
    <w:multiLevelType w:val="hybridMultilevel"/>
    <w:tmpl w:val="B2E8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44CA8"/>
    <w:multiLevelType w:val="hybridMultilevel"/>
    <w:tmpl w:val="F918B3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D31DD"/>
    <w:multiLevelType w:val="hybridMultilevel"/>
    <w:tmpl w:val="3086D9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7"/>
  </w:num>
  <w:num w:numId="5">
    <w:abstractNumId w:val="0"/>
  </w:num>
  <w:num w:numId="6">
    <w:abstractNumId w:val="1"/>
  </w:num>
  <w:num w:numId="7">
    <w:abstractNumId w:val="6"/>
  </w:num>
  <w:num w:numId="8">
    <w:abstractNumId w:val="11"/>
  </w:num>
  <w:num w:numId="9">
    <w:abstractNumId w:val="9"/>
  </w:num>
  <w:num w:numId="10">
    <w:abstractNumId w:val="2"/>
  </w:num>
  <w:num w:numId="11">
    <w:abstractNumId w:val="8"/>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C76"/>
    <w:rsid w:val="00002293"/>
    <w:rsid w:val="00021CF7"/>
    <w:rsid w:val="00022B7C"/>
    <w:rsid w:val="00046738"/>
    <w:rsid w:val="000548AB"/>
    <w:rsid w:val="00054A4D"/>
    <w:rsid w:val="00073B5C"/>
    <w:rsid w:val="000A4A16"/>
    <w:rsid w:val="000D4E81"/>
    <w:rsid w:val="00147FF6"/>
    <w:rsid w:val="001669C1"/>
    <w:rsid w:val="00176310"/>
    <w:rsid w:val="001821F6"/>
    <w:rsid w:val="001877F8"/>
    <w:rsid w:val="001924E8"/>
    <w:rsid w:val="001B2592"/>
    <w:rsid w:val="001B5F42"/>
    <w:rsid w:val="001E351C"/>
    <w:rsid w:val="001F1F28"/>
    <w:rsid w:val="00200BB0"/>
    <w:rsid w:val="00203831"/>
    <w:rsid w:val="00216220"/>
    <w:rsid w:val="00217EF6"/>
    <w:rsid w:val="00224376"/>
    <w:rsid w:val="00240C05"/>
    <w:rsid w:val="002452C5"/>
    <w:rsid w:val="002501B5"/>
    <w:rsid w:val="00260A68"/>
    <w:rsid w:val="00262B6A"/>
    <w:rsid w:val="00264786"/>
    <w:rsid w:val="00266089"/>
    <w:rsid w:val="002748E7"/>
    <w:rsid w:val="00285923"/>
    <w:rsid w:val="00295A83"/>
    <w:rsid w:val="002A45F6"/>
    <w:rsid w:val="002B1A9D"/>
    <w:rsid w:val="002B6E82"/>
    <w:rsid w:val="002E6A8B"/>
    <w:rsid w:val="002F1AE5"/>
    <w:rsid w:val="00317F31"/>
    <w:rsid w:val="00342D02"/>
    <w:rsid w:val="00346687"/>
    <w:rsid w:val="00351A59"/>
    <w:rsid w:val="00363082"/>
    <w:rsid w:val="00381F42"/>
    <w:rsid w:val="0038612A"/>
    <w:rsid w:val="00390517"/>
    <w:rsid w:val="00394BDB"/>
    <w:rsid w:val="003A31A5"/>
    <w:rsid w:val="003D0F8B"/>
    <w:rsid w:val="003F19C7"/>
    <w:rsid w:val="0040177A"/>
    <w:rsid w:val="00401FA3"/>
    <w:rsid w:val="0040397E"/>
    <w:rsid w:val="00407B6A"/>
    <w:rsid w:val="00410EA3"/>
    <w:rsid w:val="004318D1"/>
    <w:rsid w:val="0043382B"/>
    <w:rsid w:val="00444853"/>
    <w:rsid w:val="0044733E"/>
    <w:rsid w:val="004513D9"/>
    <w:rsid w:val="00464EEE"/>
    <w:rsid w:val="004A0F94"/>
    <w:rsid w:val="004A69B2"/>
    <w:rsid w:val="004B2136"/>
    <w:rsid w:val="004B6725"/>
    <w:rsid w:val="004C539D"/>
    <w:rsid w:val="004D1A6F"/>
    <w:rsid w:val="004D3398"/>
    <w:rsid w:val="004D53E8"/>
    <w:rsid w:val="004E619F"/>
    <w:rsid w:val="004F0661"/>
    <w:rsid w:val="00505B4C"/>
    <w:rsid w:val="00514275"/>
    <w:rsid w:val="00554492"/>
    <w:rsid w:val="005546BF"/>
    <w:rsid w:val="0055477F"/>
    <w:rsid w:val="0055717D"/>
    <w:rsid w:val="00565A58"/>
    <w:rsid w:val="00582DD1"/>
    <w:rsid w:val="00597F9C"/>
    <w:rsid w:val="005B2F3F"/>
    <w:rsid w:val="005B6069"/>
    <w:rsid w:val="005C28D9"/>
    <w:rsid w:val="005C384E"/>
    <w:rsid w:val="005F323C"/>
    <w:rsid w:val="00615869"/>
    <w:rsid w:val="006161C1"/>
    <w:rsid w:val="00617E7E"/>
    <w:rsid w:val="00644772"/>
    <w:rsid w:val="00644933"/>
    <w:rsid w:val="006460DE"/>
    <w:rsid w:val="00647FA6"/>
    <w:rsid w:val="00661FF2"/>
    <w:rsid w:val="00666235"/>
    <w:rsid w:val="00674A97"/>
    <w:rsid w:val="00674E77"/>
    <w:rsid w:val="00676AB2"/>
    <w:rsid w:val="006A2B60"/>
    <w:rsid w:val="006A36F2"/>
    <w:rsid w:val="006B469C"/>
    <w:rsid w:val="006B6C2B"/>
    <w:rsid w:val="006C0520"/>
    <w:rsid w:val="006C31C3"/>
    <w:rsid w:val="006C53EF"/>
    <w:rsid w:val="006F717A"/>
    <w:rsid w:val="00700196"/>
    <w:rsid w:val="00705472"/>
    <w:rsid w:val="00707C9F"/>
    <w:rsid w:val="00724AAA"/>
    <w:rsid w:val="00736989"/>
    <w:rsid w:val="0075291F"/>
    <w:rsid w:val="007559E5"/>
    <w:rsid w:val="00757438"/>
    <w:rsid w:val="007623F3"/>
    <w:rsid w:val="00792307"/>
    <w:rsid w:val="007A44B9"/>
    <w:rsid w:val="007B308E"/>
    <w:rsid w:val="007B3DA6"/>
    <w:rsid w:val="007D3162"/>
    <w:rsid w:val="007D3507"/>
    <w:rsid w:val="007E1303"/>
    <w:rsid w:val="007F4BFE"/>
    <w:rsid w:val="007F75FF"/>
    <w:rsid w:val="00802019"/>
    <w:rsid w:val="00813421"/>
    <w:rsid w:val="00817C76"/>
    <w:rsid w:val="00820AAB"/>
    <w:rsid w:val="00821A6A"/>
    <w:rsid w:val="008415EF"/>
    <w:rsid w:val="00842B38"/>
    <w:rsid w:val="00857EB7"/>
    <w:rsid w:val="008902C6"/>
    <w:rsid w:val="00890BD3"/>
    <w:rsid w:val="00895532"/>
    <w:rsid w:val="00897AF1"/>
    <w:rsid w:val="008A4D1B"/>
    <w:rsid w:val="008A56A3"/>
    <w:rsid w:val="008B2E85"/>
    <w:rsid w:val="008B355D"/>
    <w:rsid w:val="008B41E1"/>
    <w:rsid w:val="008C5DDA"/>
    <w:rsid w:val="008D09EA"/>
    <w:rsid w:val="008D32D2"/>
    <w:rsid w:val="008D3E74"/>
    <w:rsid w:val="008D77FE"/>
    <w:rsid w:val="008E1562"/>
    <w:rsid w:val="008E65DA"/>
    <w:rsid w:val="008F058B"/>
    <w:rsid w:val="008F2983"/>
    <w:rsid w:val="008F2A5C"/>
    <w:rsid w:val="008F7DE8"/>
    <w:rsid w:val="00905B0D"/>
    <w:rsid w:val="00911C65"/>
    <w:rsid w:val="009203F6"/>
    <w:rsid w:val="009303EB"/>
    <w:rsid w:val="00954F16"/>
    <w:rsid w:val="00962DC3"/>
    <w:rsid w:val="0098062F"/>
    <w:rsid w:val="00991A06"/>
    <w:rsid w:val="009952E9"/>
    <w:rsid w:val="009B1544"/>
    <w:rsid w:val="009D0F92"/>
    <w:rsid w:val="009D19BC"/>
    <w:rsid w:val="00A13126"/>
    <w:rsid w:val="00A1631B"/>
    <w:rsid w:val="00A17E3A"/>
    <w:rsid w:val="00A26DD0"/>
    <w:rsid w:val="00A378F4"/>
    <w:rsid w:val="00A42D83"/>
    <w:rsid w:val="00A432BC"/>
    <w:rsid w:val="00A50560"/>
    <w:rsid w:val="00A60197"/>
    <w:rsid w:val="00A678C7"/>
    <w:rsid w:val="00A83D9E"/>
    <w:rsid w:val="00A91D40"/>
    <w:rsid w:val="00A9283C"/>
    <w:rsid w:val="00AA0B1E"/>
    <w:rsid w:val="00AA5F1D"/>
    <w:rsid w:val="00AB363A"/>
    <w:rsid w:val="00AB6C71"/>
    <w:rsid w:val="00AC2616"/>
    <w:rsid w:val="00AC76A6"/>
    <w:rsid w:val="00AD020F"/>
    <w:rsid w:val="00AD487A"/>
    <w:rsid w:val="00AE1AE7"/>
    <w:rsid w:val="00AE5887"/>
    <w:rsid w:val="00B04390"/>
    <w:rsid w:val="00B312F3"/>
    <w:rsid w:val="00B33BD1"/>
    <w:rsid w:val="00B36DB9"/>
    <w:rsid w:val="00B52D00"/>
    <w:rsid w:val="00B77A7D"/>
    <w:rsid w:val="00B87EFA"/>
    <w:rsid w:val="00B91B0B"/>
    <w:rsid w:val="00B9224C"/>
    <w:rsid w:val="00B97500"/>
    <w:rsid w:val="00BC3CB1"/>
    <w:rsid w:val="00BE4238"/>
    <w:rsid w:val="00BF5EEA"/>
    <w:rsid w:val="00C04EC6"/>
    <w:rsid w:val="00C10588"/>
    <w:rsid w:val="00C11EAD"/>
    <w:rsid w:val="00C227E5"/>
    <w:rsid w:val="00C22D8B"/>
    <w:rsid w:val="00C274C4"/>
    <w:rsid w:val="00C36402"/>
    <w:rsid w:val="00C41922"/>
    <w:rsid w:val="00C53BE6"/>
    <w:rsid w:val="00C55999"/>
    <w:rsid w:val="00C5707A"/>
    <w:rsid w:val="00C64DF5"/>
    <w:rsid w:val="00C737D1"/>
    <w:rsid w:val="00C76C30"/>
    <w:rsid w:val="00C81CB7"/>
    <w:rsid w:val="00C83504"/>
    <w:rsid w:val="00C84E50"/>
    <w:rsid w:val="00C90387"/>
    <w:rsid w:val="00C92E20"/>
    <w:rsid w:val="00C94FD3"/>
    <w:rsid w:val="00C97308"/>
    <w:rsid w:val="00CA4320"/>
    <w:rsid w:val="00CA4A15"/>
    <w:rsid w:val="00CA4E46"/>
    <w:rsid w:val="00CA6329"/>
    <w:rsid w:val="00CB02A7"/>
    <w:rsid w:val="00CB33DC"/>
    <w:rsid w:val="00CB712E"/>
    <w:rsid w:val="00CC22FA"/>
    <w:rsid w:val="00CC3784"/>
    <w:rsid w:val="00CC585F"/>
    <w:rsid w:val="00CD3366"/>
    <w:rsid w:val="00CE2EA7"/>
    <w:rsid w:val="00CE67A5"/>
    <w:rsid w:val="00CF21C1"/>
    <w:rsid w:val="00D006DE"/>
    <w:rsid w:val="00D27EA6"/>
    <w:rsid w:val="00D303C1"/>
    <w:rsid w:val="00D350F1"/>
    <w:rsid w:val="00D55702"/>
    <w:rsid w:val="00D66A8B"/>
    <w:rsid w:val="00D70F27"/>
    <w:rsid w:val="00D754B1"/>
    <w:rsid w:val="00D84918"/>
    <w:rsid w:val="00D85FF1"/>
    <w:rsid w:val="00D944D0"/>
    <w:rsid w:val="00D978C1"/>
    <w:rsid w:val="00DA5DAE"/>
    <w:rsid w:val="00DB0FBD"/>
    <w:rsid w:val="00DB7E6A"/>
    <w:rsid w:val="00DC2E3E"/>
    <w:rsid w:val="00DC7368"/>
    <w:rsid w:val="00DD336D"/>
    <w:rsid w:val="00DD65AB"/>
    <w:rsid w:val="00DE1C32"/>
    <w:rsid w:val="00DE6A69"/>
    <w:rsid w:val="00E01D32"/>
    <w:rsid w:val="00E01F50"/>
    <w:rsid w:val="00E16CAB"/>
    <w:rsid w:val="00E221F5"/>
    <w:rsid w:val="00E25A96"/>
    <w:rsid w:val="00E402FA"/>
    <w:rsid w:val="00E53366"/>
    <w:rsid w:val="00E63A75"/>
    <w:rsid w:val="00E71D03"/>
    <w:rsid w:val="00E76D33"/>
    <w:rsid w:val="00E85A58"/>
    <w:rsid w:val="00EA2320"/>
    <w:rsid w:val="00EB62EE"/>
    <w:rsid w:val="00EC095A"/>
    <w:rsid w:val="00ED762F"/>
    <w:rsid w:val="00EE66B4"/>
    <w:rsid w:val="00F1119C"/>
    <w:rsid w:val="00F12C9A"/>
    <w:rsid w:val="00F21781"/>
    <w:rsid w:val="00F32CC2"/>
    <w:rsid w:val="00F56571"/>
    <w:rsid w:val="00F66E3C"/>
    <w:rsid w:val="00F766EF"/>
    <w:rsid w:val="00F832AC"/>
    <w:rsid w:val="00FB0177"/>
    <w:rsid w:val="00FB4DCD"/>
    <w:rsid w:val="00FC665F"/>
    <w:rsid w:val="00FE3262"/>
    <w:rsid w:val="00FE4AC0"/>
    <w:rsid w:val="00FF4267"/>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4925465"/>
  <w15:docId w15:val="{485926D0-22E0-46E0-B478-9421C745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C76"/>
  </w:style>
  <w:style w:type="paragraph" w:styleId="Heading1">
    <w:name w:val="heading 1"/>
    <w:basedOn w:val="Normal"/>
    <w:next w:val="Normal"/>
    <w:link w:val="Heading1Char"/>
    <w:uiPriority w:val="9"/>
    <w:qFormat/>
    <w:rsid w:val="00C419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419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84E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C4192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9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1922"/>
    <w:rPr>
      <w:rFonts w:ascii="Times New Roman" w:eastAsia="Times New Roman" w:hAnsi="Times New Roman" w:cs="Times New Roman"/>
      <w:b/>
      <w:bCs/>
      <w:sz w:val="36"/>
      <w:szCs w:val="36"/>
    </w:rPr>
  </w:style>
  <w:style w:type="paragraph" w:styleId="ListParagraph">
    <w:name w:val="List Paragraph"/>
    <w:basedOn w:val="Normal"/>
    <w:uiPriority w:val="34"/>
    <w:qFormat/>
    <w:rsid w:val="00D27EA6"/>
    <w:pPr>
      <w:ind w:left="720"/>
      <w:contextualSpacing/>
    </w:pPr>
  </w:style>
  <w:style w:type="paragraph" w:styleId="Header">
    <w:name w:val="header"/>
    <w:basedOn w:val="Normal"/>
    <w:link w:val="HeaderChar"/>
    <w:uiPriority w:val="99"/>
    <w:unhideWhenUsed/>
    <w:rsid w:val="00F66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3C"/>
  </w:style>
  <w:style w:type="paragraph" w:styleId="Footer">
    <w:name w:val="footer"/>
    <w:basedOn w:val="Normal"/>
    <w:link w:val="FooterChar"/>
    <w:uiPriority w:val="99"/>
    <w:unhideWhenUsed/>
    <w:rsid w:val="00F66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3C"/>
  </w:style>
  <w:style w:type="paragraph" w:styleId="BalloonText">
    <w:name w:val="Balloon Text"/>
    <w:basedOn w:val="Normal"/>
    <w:link w:val="BalloonTextChar"/>
    <w:uiPriority w:val="99"/>
    <w:semiHidden/>
    <w:unhideWhenUsed/>
    <w:rsid w:val="00F76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6EF"/>
    <w:rPr>
      <w:rFonts w:ascii="Tahoma" w:hAnsi="Tahoma" w:cs="Tahoma"/>
      <w:sz w:val="16"/>
      <w:szCs w:val="16"/>
    </w:rPr>
  </w:style>
  <w:style w:type="character" w:styleId="Hyperlink">
    <w:name w:val="Hyperlink"/>
    <w:basedOn w:val="DefaultParagraphFont"/>
    <w:uiPriority w:val="99"/>
    <w:unhideWhenUsed/>
    <w:rsid w:val="00F766EF"/>
    <w:rPr>
      <w:color w:val="0000FF" w:themeColor="hyperlink"/>
      <w:u w:val="single"/>
    </w:rPr>
  </w:style>
  <w:style w:type="character" w:customStyle="1" w:styleId="Heading6Char">
    <w:name w:val="Heading 6 Char"/>
    <w:basedOn w:val="DefaultParagraphFont"/>
    <w:link w:val="Heading6"/>
    <w:uiPriority w:val="9"/>
    <w:semiHidden/>
    <w:rsid w:val="00C41922"/>
    <w:rPr>
      <w:rFonts w:asciiTheme="majorHAnsi" w:eastAsiaTheme="majorEastAsia" w:hAnsiTheme="majorHAnsi" w:cstheme="majorBidi"/>
      <w:i/>
      <w:iCs/>
      <w:color w:val="243F60" w:themeColor="accent1" w:themeShade="7F"/>
    </w:rPr>
  </w:style>
  <w:style w:type="paragraph" w:styleId="NoSpacing">
    <w:name w:val="No Spacing"/>
    <w:uiPriority w:val="1"/>
    <w:qFormat/>
    <w:rsid w:val="00C41922"/>
    <w:pPr>
      <w:spacing w:after="0" w:line="240" w:lineRule="auto"/>
    </w:pPr>
    <w:rPr>
      <w:rFonts w:ascii="Calibri" w:eastAsia="Calibri" w:hAnsi="Calibri" w:cs="Times New Roman"/>
      <w:lang w:val="en-GB"/>
    </w:rPr>
  </w:style>
  <w:style w:type="paragraph" w:styleId="NormalWeb">
    <w:name w:val="Normal (Web)"/>
    <w:basedOn w:val="Normal"/>
    <w:uiPriority w:val="99"/>
    <w:unhideWhenUsed/>
    <w:rsid w:val="00C419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41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41922"/>
    <w:rPr>
      <w:b/>
      <w:bCs/>
    </w:rPr>
  </w:style>
  <w:style w:type="character" w:customStyle="1" w:styleId="mord">
    <w:name w:val="mord"/>
    <w:basedOn w:val="DefaultParagraphFont"/>
    <w:rsid w:val="00C41922"/>
  </w:style>
  <w:style w:type="character" w:customStyle="1" w:styleId="mrel">
    <w:name w:val="mrel"/>
    <w:basedOn w:val="DefaultParagraphFont"/>
    <w:rsid w:val="00C41922"/>
  </w:style>
  <w:style w:type="character" w:customStyle="1" w:styleId="vlist-s">
    <w:name w:val="vlist-s"/>
    <w:basedOn w:val="DefaultParagraphFont"/>
    <w:rsid w:val="00C41922"/>
  </w:style>
  <w:style w:type="character" w:customStyle="1" w:styleId="mbin">
    <w:name w:val="mbin"/>
    <w:basedOn w:val="DefaultParagraphFont"/>
    <w:rsid w:val="00C41922"/>
  </w:style>
  <w:style w:type="character" w:customStyle="1" w:styleId="mclose">
    <w:name w:val="mclose"/>
    <w:basedOn w:val="DefaultParagraphFont"/>
    <w:rsid w:val="00C41922"/>
  </w:style>
  <w:style w:type="character" w:customStyle="1" w:styleId="katex-mathml">
    <w:name w:val="katex-mathml"/>
    <w:basedOn w:val="DefaultParagraphFont"/>
    <w:rsid w:val="00C41922"/>
  </w:style>
  <w:style w:type="character" w:customStyle="1" w:styleId="mopen">
    <w:name w:val="mopen"/>
    <w:basedOn w:val="DefaultParagraphFont"/>
    <w:rsid w:val="00C41922"/>
  </w:style>
  <w:style w:type="character" w:customStyle="1" w:styleId="mpunct">
    <w:name w:val="mpunct"/>
    <w:basedOn w:val="DefaultParagraphFont"/>
    <w:rsid w:val="00C41922"/>
  </w:style>
  <w:style w:type="paragraph" w:styleId="BodyText">
    <w:name w:val="Body Text"/>
    <w:basedOn w:val="Normal"/>
    <w:link w:val="BodyTextChar"/>
    <w:uiPriority w:val="1"/>
    <w:qFormat/>
    <w:rsid w:val="00C41922"/>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C41922"/>
    <w:rPr>
      <w:rFonts w:ascii="Times New Roman" w:eastAsia="Times New Roman" w:hAnsi="Times New Roman" w:cs="Times New Roman"/>
      <w:sz w:val="18"/>
      <w:szCs w:val="18"/>
    </w:rPr>
  </w:style>
  <w:style w:type="character" w:customStyle="1" w:styleId="UnresolvedMention1">
    <w:name w:val="Unresolved Mention1"/>
    <w:basedOn w:val="DefaultParagraphFont"/>
    <w:uiPriority w:val="99"/>
    <w:semiHidden/>
    <w:unhideWhenUsed/>
    <w:rsid w:val="00C84E50"/>
    <w:rPr>
      <w:color w:val="605E5C"/>
      <w:shd w:val="clear" w:color="auto" w:fill="E1DFDD"/>
    </w:rPr>
  </w:style>
  <w:style w:type="character" w:customStyle="1" w:styleId="Heading3Char">
    <w:name w:val="Heading 3 Char"/>
    <w:basedOn w:val="DefaultParagraphFont"/>
    <w:link w:val="Heading3"/>
    <w:uiPriority w:val="9"/>
    <w:semiHidden/>
    <w:rsid w:val="00C84E50"/>
    <w:rPr>
      <w:rFonts w:asciiTheme="majorHAnsi" w:eastAsiaTheme="majorEastAsia" w:hAnsiTheme="majorHAnsi" w:cstheme="majorBidi"/>
      <w:color w:val="243F60" w:themeColor="accent1" w:themeShade="7F"/>
      <w:sz w:val="24"/>
      <w:szCs w:val="24"/>
    </w:rPr>
  </w:style>
  <w:style w:type="character" w:customStyle="1" w:styleId="ms-1">
    <w:name w:val="ms-1"/>
    <w:basedOn w:val="DefaultParagraphFont"/>
    <w:rsid w:val="00342D02"/>
  </w:style>
  <w:style w:type="character" w:customStyle="1" w:styleId="max-w-15ch">
    <w:name w:val="max-w-[15ch]"/>
    <w:basedOn w:val="DefaultParagraphFont"/>
    <w:rsid w:val="0034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014918">
      <w:bodyDiv w:val="1"/>
      <w:marLeft w:val="0"/>
      <w:marRight w:val="0"/>
      <w:marTop w:val="0"/>
      <w:marBottom w:val="0"/>
      <w:divBdr>
        <w:top w:val="none" w:sz="0" w:space="0" w:color="auto"/>
        <w:left w:val="none" w:sz="0" w:space="0" w:color="auto"/>
        <w:bottom w:val="none" w:sz="0" w:space="0" w:color="auto"/>
        <w:right w:val="none" w:sz="0" w:space="0" w:color="auto"/>
      </w:divBdr>
      <w:divsChild>
        <w:div w:id="115946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sChild>
        <w:div w:id="151525988">
          <w:marLeft w:val="0"/>
          <w:marRight w:val="0"/>
          <w:marTop w:val="0"/>
          <w:marBottom w:val="0"/>
          <w:divBdr>
            <w:top w:val="none" w:sz="0" w:space="0" w:color="auto"/>
            <w:left w:val="none" w:sz="0" w:space="0" w:color="auto"/>
            <w:bottom w:val="none" w:sz="0" w:space="0" w:color="auto"/>
            <w:right w:val="none" w:sz="0" w:space="0" w:color="auto"/>
          </w:divBdr>
          <w:divsChild>
            <w:div w:id="599216571">
              <w:marLeft w:val="0"/>
              <w:marRight w:val="0"/>
              <w:marTop w:val="0"/>
              <w:marBottom w:val="0"/>
              <w:divBdr>
                <w:top w:val="none" w:sz="0" w:space="0" w:color="auto"/>
                <w:left w:val="none" w:sz="0" w:space="0" w:color="auto"/>
                <w:bottom w:val="none" w:sz="0" w:space="0" w:color="auto"/>
                <w:right w:val="none" w:sz="0" w:space="0" w:color="auto"/>
              </w:divBdr>
              <w:divsChild>
                <w:div w:id="458958264">
                  <w:marLeft w:val="0"/>
                  <w:marRight w:val="0"/>
                  <w:marTop w:val="0"/>
                  <w:marBottom w:val="0"/>
                  <w:divBdr>
                    <w:top w:val="none" w:sz="0" w:space="0" w:color="auto"/>
                    <w:left w:val="none" w:sz="0" w:space="0" w:color="auto"/>
                    <w:bottom w:val="none" w:sz="0" w:space="0" w:color="auto"/>
                    <w:right w:val="none" w:sz="0" w:space="0" w:color="auto"/>
                  </w:divBdr>
                  <w:divsChild>
                    <w:div w:id="2067601607">
                      <w:marLeft w:val="0"/>
                      <w:marRight w:val="0"/>
                      <w:marTop w:val="0"/>
                      <w:marBottom w:val="0"/>
                      <w:divBdr>
                        <w:top w:val="none" w:sz="0" w:space="0" w:color="auto"/>
                        <w:left w:val="none" w:sz="0" w:space="0" w:color="auto"/>
                        <w:bottom w:val="none" w:sz="0" w:space="0" w:color="auto"/>
                        <w:right w:val="none" w:sz="0" w:space="0" w:color="auto"/>
                      </w:divBdr>
                      <w:divsChild>
                        <w:div w:id="92552753">
                          <w:marLeft w:val="0"/>
                          <w:marRight w:val="0"/>
                          <w:marTop w:val="0"/>
                          <w:marBottom w:val="0"/>
                          <w:divBdr>
                            <w:top w:val="none" w:sz="0" w:space="0" w:color="auto"/>
                            <w:left w:val="none" w:sz="0" w:space="0" w:color="auto"/>
                            <w:bottom w:val="none" w:sz="0" w:space="0" w:color="auto"/>
                            <w:right w:val="none" w:sz="0" w:space="0" w:color="auto"/>
                          </w:divBdr>
                          <w:divsChild>
                            <w:div w:id="924076437">
                              <w:marLeft w:val="0"/>
                              <w:marRight w:val="0"/>
                              <w:marTop w:val="0"/>
                              <w:marBottom w:val="0"/>
                              <w:divBdr>
                                <w:top w:val="none" w:sz="0" w:space="0" w:color="auto"/>
                                <w:left w:val="none" w:sz="0" w:space="0" w:color="auto"/>
                                <w:bottom w:val="none" w:sz="0" w:space="0" w:color="auto"/>
                                <w:right w:val="none" w:sz="0" w:space="0" w:color="auto"/>
                              </w:divBdr>
                              <w:divsChild>
                                <w:div w:id="356279598">
                                  <w:marLeft w:val="0"/>
                                  <w:marRight w:val="0"/>
                                  <w:marTop w:val="0"/>
                                  <w:marBottom w:val="0"/>
                                  <w:divBdr>
                                    <w:top w:val="none" w:sz="0" w:space="0" w:color="auto"/>
                                    <w:left w:val="none" w:sz="0" w:space="0" w:color="auto"/>
                                    <w:bottom w:val="none" w:sz="0" w:space="0" w:color="auto"/>
                                    <w:right w:val="none" w:sz="0" w:space="0" w:color="auto"/>
                                  </w:divBdr>
                                  <w:divsChild>
                                    <w:div w:id="82576712">
                                      <w:marLeft w:val="0"/>
                                      <w:marRight w:val="0"/>
                                      <w:marTop w:val="0"/>
                                      <w:marBottom w:val="0"/>
                                      <w:divBdr>
                                        <w:top w:val="none" w:sz="0" w:space="0" w:color="auto"/>
                                        <w:left w:val="none" w:sz="0" w:space="0" w:color="auto"/>
                                        <w:bottom w:val="none" w:sz="0" w:space="0" w:color="auto"/>
                                        <w:right w:val="none" w:sz="0" w:space="0" w:color="auto"/>
                                      </w:divBdr>
                                      <w:divsChild>
                                        <w:div w:id="681660515">
                                          <w:marLeft w:val="0"/>
                                          <w:marRight w:val="0"/>
                                          <w:marTop w:val="0"/>
                                          <w:marBottom w:val="0"/>
                                          <w:divBdr>
                                            <w:top w:val="none" w:sz="0" w:space="0" w:color="auto"/>
                                            <w:left w:val="none" w:sz="0" w:space="0" w:color="auto"/>
                                            <w:bottom w:val="none" w:sz="0" w:space="0" w:color="auto"/>
                                            <w:right w:val="none" w:sz="0" w:space="0" w:color="auto"/>
                                          </w:divBdr>
                                          <w:divsChild>
                                            <w:div w:id="1661153688">
                                              <w:marLeft w:val="0"/>
                                              <w:marRight w:val="0"/>
                                              <w:marTop w:val="0"/>
                                              <w:marBottom w:val="0"/>
                                              <w:divBdr>
                                                <w:top w:val="none" w:sz="0" w:space="0" w:color="auto"/>
                                                <w:left w:val="none" w:sz="0" w:space="0" w:color="auto"/>
                                                <w:bottom w:val="none" w:sz="0" w:space="0" w:color="auto"/>
                                                <w:right w:val="none" w:sz="0" w:space="0" w:color="auto"/>
                                              </w:divBdr>
                                              <w:divsChild>
                                                <w:div w:id="861746691">
                                                  <w:marLeft w:val="0"/>
                                                  <w:marRight w:val="0"/>
                                                  <w:marTop w:val="0"/>
                                                  <w:marBottom w:val="0"/>
                                                  <w:divBdr>
                                                    <w:top w:val="none" w:sz="0" w:space="0" w:color="auto"/>
                                                    <w:left w:val="none" w:sz="0" w:space="0" w:color="auto"/>
                                                    <w:bottom w:val="none" w:sz="0" w:space="0" w:color="auto"/>
                                                    <w:right w:val="none" w:sz="0" w:space="0" w:color="auto"/>
                                                  </w:divBdr>
                                                  <w:divsChild>
                                                    <w:div w:id="1496602875">
                                                      <w:marLeft w:val="0"/>
                                                      <w:marRight w:val="0"/>
                                                      <w:marTop w:val="0"/>
                                                      <w:marBottom w:val="0"/>
                                                      <w:divBdr>
                                                        <w:top w:val="none" w:sz="0" w:space="0" w:color="auto"/>
                                                        <w:left w:val="none" w:sz="0" w:space="0" w:color="auto"/>
                                                        <w:bottom w:val="none" w:sz="0" w:space="0" w:color="auto"/>
                                                        <w:right w:val="none" w:sz="0" w:space="0" w:color="auto"/>
                                                      </w:divBdr>
                                                      <w:divsChild>
                                                        <w:div w:id="1655062281">
                                                          <w:marLeft w:val="0"/>
                                                          <w:marRight w:val="0"/>
                                                          <w:marTop w:val="0"/>
                                                          <w:marBottom w:val="0"/>
                                                          <w:divBdr>
                                                            <w:top w:val="none" w:sz="0" w:space="0" w:color="auto"/>
                                                            <w:left w:val="none" w:sz="0" w:space="0" w:color="auto"/>
                                                            <w:bottom w:val="none" w:sz="0" w:space="0" w:color="auto"/>
                                                            <w:right w:val="none" w:sz="0" w:space="0" w:color="auto"/>
                                                          </w:divBdr>
                                                          <w:divsChild>
                                                            <w:div w:id="2115175303">
                                                              <w:marLeft w:val="0"/>
                                                              <w:marRight w:val="0"/>
                                                              <w:marTop w:val="0"/>
                                                              <w:marBottom w:val="0"/>
                                                              <w:divBdr>
                                                                <w:top w:val="none" w:sz="0" w:space="0" w:color="auto"/>
                                                                <w:left w:val="none" w:sz="0" w:space="0" w:color="auto"/>
                                                                <w:bottom w:val="none" w:sz="0" w:space="0" w:color="auto"/>
                                                                <w:right w:val="none" w:sz="0" w:space="0" w:color="auto"/>
                                                              </w:divBdr>
                                                              <w:divsChild>
                                                                <w:div w:id="1898667792">
                                                                  <w:marLeft w:val="0"/>
                                                                  <w:marRight w:val="0"/>
                                                                  <w:marTop w:val="0"/>
                                                                  <w:marBottom w:val="0"/>
                                                                  <w:divBdr>
                                                                    <w:top w:val="none" w:sz="0" w:space="0" w:color="auto"/>
                                                                    <w:left w:val="none" w:sz="0" w:space="0" w:color="auto"/>
                                                                    <w:bottom w:val="none" w:sz="0" w:space="0" w:color="auto"/>
                                                                    <w:right w:val="none" w:sz="0" w:space="0" w:color="auto"/>
                                                                  </w:divBdr>
                                                                  <w:divsChild>
                                                                    <w:div w:id="11345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606650">
                                                  <w:marLeft w:val="0"/>
                                                  <w:marRight w:val="0"/>
                                                  <w:marTop w:val="0"/>
                                                  <w:marBottom w:val="0"/>
                                                  <w:divBdr>
                                                    <w:top w:val="none" w:sz="0" w:space="0" w:color="auto"/>
                                                    <w:left w:val="none" w:sz="0" w:space="0" w:color="auto"/>
                                                    <w:bottom w:val="none" w:sz="0" w:space="0" w:color="auto"/>
                                                    <w:right w:val="none" w:sz="0" w:space="0" w:color="auto"/>
                                                  </w:divBdr>
                                                  <w:divsChild>
                                                    <w:div w:id="1968270931">
                                                      <w:marLeft w:val="0"/>
                                                      <w:marRight w:val="0"/>
                                                      <w:marTop w:val="0"/>
                                                      <w:marBottom w:val="0"/>
                                                      <w:divBdr>
                                                        <w:top w:val="none" w:sz="0" w:space="0" w:color="auto"/>
                                                        <w:left w:val="none" w:sz="0" w:space="0" w:color="auto"/>
                                                        <w:bottom w:val="none" w:sz="0" w:space="0" w:color="auto"/>
                                                        <w:right w:val="none" w:sz="0" w:space="0" w:color="auto"/>
                                                      </w:divBdr>
                                                      <w:divsChild>
                                                        <w:div w:id="874125777">
                                                          <w:marLeft w:val="0"/>
                                                          <w:marRight w:val="0"/>
                                                          <w:marTop w:val="0"/>
                                                          <w:marBottom w:val="0"/>
                                                          <w:divBdr>
                                                            <w:top w:val="none" w:sz="0" w:space="0" w:color="auto"/>
                                                            <w:left w:val="none" w:sz="0" w:space="0" w:color="auto"/>
                                                            <w:bottom w:val="none" w:sz="0" w:space="0" w:color="auto"/>
                                                            <w:right w:val="none" w:sz="0" w:space="0" w:color="auto"/>
                                                          </w:divBdr>
                                                          <w:divsChild>
                                                            <w:div w:id="984435188">
                                                              <w:marLeft w:val="0"/>
                                                              <w:marRight w:val="0"/>
                                                              <w:marTop w:val="0"/>
                                                              <w:marBottom w:val="0"/>
                                                              <w:divBdr>
                                                                <w:top w:val="none" w:sz="0" w:space="0" w:color="auto"/>
                                                                <w:left w:val="none" w:sz="0" w:space="0" w:color="auto"/>
                                                                <w:bottom w:val="none" w:sz="0" w:space="0" w:color="auto"/>
                                                                <w:right w:val="none" w:sz="0" w:space="0" w:color="auto"/>
                                                              </w:divBdr>
                                                              <w:divsChild>
                                                                <w:div w:id="979001449">
                                                                  <w:marLeft w:val="0"/>
                                                                  <w:marRight w:val="0"/>
                                                                  <w:marTop w:val="0"/>
                                                                  <w:marBottom w:val="0"/>
                                                                  <w:divBdr>
                                                                    <w:top w:val="none" w:sz="0" w:space="0" w:color="auto"/>
                                                                    <w:left w:val="none" w:sz="0" w:space="0" w:color="auto"/>
                                                                    <w:bottom w:val="none" w:sz="0" w:space="0" w:color="auto"/>
                                                                    <w:right w:val="none" w:sz="0" w:space="0" w:color="auto"/>
                                                                  </w:divBdr>
                                                                  <w:divsChild>
                                                                    <w:div w:id="1501503205">
                                                                      <w:marLeft w:val="0"/>
                                                                      <w:marRight w:val="0"/>
                                                                      <w:marTop w:val="0"/>
                                                                      <w:marBottom w:val="0"/>
                                                                      <w:divBdr>
                                                                        <w:top w:val="none" w:sz="0" w:space="0" w:color="auto"/>
                                                                        <w:left w:val="none" w:sz="0" w:space="0" w:color="auto"/>
                                                                        <w:bottom w:val="none" w:sz="0" w:space="0" w:color="auto"/>
                                                                        <w:right w:val="none" w:sz="0" w:space="0" w:color="auto"/>
                                                                      </w:divBdr>
                                                                      <w:divsChild>
                                                                        <w:div w:id="7167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596036">
                                                  <w:marLeft w:val="0"/>
                                                  <w:marRight w:val="0"/>
                                                  <w:marTop w:val="0"/>
                                                  <w:marBottom w:val="0"/>
                                                  <w:divBdr>
                                                    <w:top w:val="none" w:sz="0" w:space="0" w:color="auto"/>
                                                    <w:left w:val="none" w:sz="0" w:space="0" w:color="auto"/>
                                                    <w:bottom w:val="none" w:sz="0" w:space="0" w:color="auto"/>
                                                    <w:right w:val="none" w:sz="0" w:space="0" w:color="auto"/>
                                                  </w:divBdr>
                                                  <w:divsChild>
                                                    <w:div w:id="359283564">
                                                      <w:marLeft w:val="0"/>
                                                      <w:marRight w:val="0"/>
                                                      <w:marTop w:val="0"/>
                                                      <w:marBottom w:val="0"/>
                                                      <w:divBdr>
                                                        <w:top w:val="none" w:sz="0" w:space="0" w:color="auto"/>
                                                        <w:left w:val="none" w:sz="0" w:space="0" w:color="auto"/>
                                                        <w:bottom w:val="none" w:sz="0" w:space="0" w:color="auto"/>
                                                        <w:right w:val="none" w:sz="0" w:space="0" w:color="auto"/>
                                                      </w:divBdr>
                                                      <w:divsChild>
                                                        <w:div w:id="1227574011">
                                                          <w:marLeft w:val="0"/>
                                                          <w:marRight w:val="0"/>
                                                          <w:marTop w:val="0"/>
                                                          <w:marBottom w:val="0"/>
                                                          <w:divBdr>
                                                            <w:top w:val="none" w:sz="0" w:space="0" w:color="auto"/>
                                                            <w:left w:val="none" w:sz="0" w:space="0" w:color="auto"/>
                                                            <w:bottom w:val="none" w:sz="0" w:space="0" w:color="auto"/>
                                                            <w:right w:val="none" w:sz="0" w:space="0" w:color="auto"/>
                                                          </w:divBdr>
                                                          <w:divsChild>
                                                            <w:div w:id="249047265">
                                                              <w:marLeft w:val="0"/>
                                                              <w:marRight w:val="0"/>
                                                              <w:marTop w:val="0"/>
                                                              <w:marBottom w:val="0"/>
                                                              <w:divBdr>
                                                                <w:top w:val="none" w:sz="0" w:space="0" w:color="auto"/>
                                                                <w:left w:val="none" w:sz="0" w:space="0" w:color="auto"/>
                                                                <w:bottom w:val="none" w:sz="0" w:space="0" w:color="auto"/>
                                                                <w:right w:val="none" w:sz="0" w:space="0" w:color="auto"/>
                                                              </w:divBdr>
                                                              <w:divsChild>
                                                                <w:div w:id="1509171232">
                                                                  <w:marLeft w:val="0"/>
                                                                  <w:marRight w:val="0"/>
                                                                  <w:marTop w:val="0"/>
                                                                  <w:marBottom w:val="0"/>
                                                                  <w:divBdr>
                                                                    <w:top w:val="none" w:sz="0" w:space="0" w:color="auto"/>
                                                                    <w:left w:val="none" w:sz="0" w:space="0" w:color="auto"/>
                                                                    <w:bottom w:val="none" w:sz="0" w:space="0" w:color="auto"/>
                                                                    <w:right w:val="none" w:sz="0" w:space="0" w:color="auto"/>
                                                                  </w:divBdr>
                                                                  <w:divsChild>
                                                                    <w:div w:id="6667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translate.academic.ru/encyclopaedia+britannica/xx/xx/2/" TargetMode="External"/><Relationship Id="rId26" Type="http://schemas.openxmlformats.org/officeDocument/2006/relationships/hyperlink" Target="https://academicjournals.org/journal/JGRP/article-full-text-pdf/9C67ADA919" TargetMode="External"/><Relationship Id="rId39" Type="http://schemas.openxmlformats.org/officeDocument/2006/relationships/theme" Target="theme/theme1.xml"/><Relationship Id="rId21" Type="http://schemas.openxmlformats.org/officeDocument/2006/relationships/hyperlink" Target="https://scholar.google.com/scholar?hl=en&amp;as_sdt=0%2C5&amp;q=FAO%2C+2019.+The+state+of+the+world%E2%80%99s+biodiversity+for+food+and+agriculture.+FAO+Commission+on+Genetic+Resources+for+Food+and+Agriculture+Assessments.+Rome%3A+FAO&amp;btnG"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cholar.google.com/scholar?hl=en&amp;as_sdt=0%2C5&amp;q=Brady%2C+N.C.%2C+Weil%2C+R.R.%2C+2017.+The+nature+and+properties+of+soils+%2815th+ed.%29.+Pearson&amp;btnG" TargetMode="External"/><Relationship Id="rId25" Type="http://schemas.openxmlformats.org/officeDocument/2006/relationships/hyperlink" Target="https://doi.org/10.1017/9781009157896" TargetMode="External"/><Relationship Id="rId33" Type="http://schemas.openxmlformats.org/officeDocument/2006/relationships/hyperlink" Target="https://doi.org/10.1038/s41598-017-04282-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236/ojss.2014.42010" TargetMode="External"/><Relationship Id="rId20" Type="http://schemas.openxmlformats.org/officeDocument/2006/relationships/hyperlink" Target="https://scholar.google.com/scholar?hl=en&amp;as_sdt=0%2C5&amp;q=FAO%2C+2017.+The+future+of+food+and+agriculture%3A+Trends+and+challenges.+Rome%3A+Food+and+Agriculture+Organization&amp;btnG" TargetMode="External"/><Relationship Id="rId29" Type="http://schemas.openxmlformats.org/officeDocument/2006/relationships/hyperlink" Target="https://doi.org/10.1073/pnas.07018551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46/annurev.es.04.110173.000245" TargetMode="External"/><Relationship Id="rId32" Type="http://schemas.openxmlformats.org/officeDocument/2006/relationships/hyperlink" Target="https://www.pnas.org/doi/abs/10.1073/pnas.0912248107"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j.scitotenv.2024.177174" TargetMode="External"/><Relationship Id="rId23" Type="http://schemas.openxmlformats.org/officeDocument/2006/relationships/hyperlink" Target="https://alliancebioversityciat.org/stories/nurturing-africas-soil-health-towards-zero-soil-loss-runoff?utm_source=chatgpt.com" TargetMode="External"/><Relationship Id="rId28" Type="http://schemas.openxmlformats.org/officeDocument/2006/relationships/hyperlink" Target="https://doi.org/10.1080/00380768.2020.1718548" TargetMode="External"/><Relationship Id="rId36"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s://doi.org/10.1016/j.still.2022.105425" TargetMode="External"/><Relationship Id="rId31" Type="http://schemas.openxmlformats.org/officeDocument/2006/relationships/hyperlink" Target="https://doi.org/10.1016/j.envc.2023.100726" TargetMode="External"/><Relationship Id="rId4" Type="http://schemas.openxmlformats.org/officeDocument/2006/relationships/settings" Target="settings.xml"/><Relationship Id="rId9" Type="http://schemas.openxmlformats.org/officeDocument/2006/relationships/hyperlink" Target="https://doi.org/10.5281/zenodo.11078865" TargetMode="External"/><Relationship Id="rId14" Type="http://schemas.openxmlformats.org/officeDocument/2006/relationships/chart" Target="charts/chart1.xml"/><Relationship Id="rId22" Type="http://schemas.openxmlformats.org/officeDocument/2006/relationships/hyperlink" Target="https://alliancebioversityciat.org/stories/nurturing-africas-soil-health-towards-zero-soil-loss-runoff?utm_source=chatgpt.com" TargetMode="External"/><Relationship Id="rId27" Type="http://schemas.openxmlformats.org/officeDocument/2006/relationships/hyperlink" Target="https://doi.org/10.3390/su7055875" TargetMode="External"/><Relationship Id="rId30" Type="http://schemas.openxmlformats.org/officeDocument/2006/relationships/hyperlink" Target="https://doi.org/10.5897/JSSEM2021.0889" TargetMode="External"/><Relationship Id="rId35" Type="http://schemas.openxmlformats.org/officeDocument/2006/relationships/header" Target="header5.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adamawa_rainfall_erosivity_2001!$I$1</c:f>
              <c:strCache>
                <c:ptCount val="1"/>
                <c:pt idx="0">
                  <c:v>mean (MJ·mm·ha⁻¹·h⁻¹·year⁻¹)</c:v>
                </c:pt>
              </c:strCache>
            </c:strRef>
          </c:tx>
          <c:spPr>
            <a:ln w="22225" cap="rnd" cmpd="sng" algn="ctr">
              <a:solidFill>
                <a:schemeClr val="accent1"/>
              </a:solidFill>
              <a:round/>
            </a:ln>
            <a:effectLst/>
          </c:spPr>
          <c:marker>
            <c:symbol val="none"/>
          </c:marker>
          <c:cat>
            <c:numRef>
              <c:f>adamawa_rainfall_erosivity_2001!$H$2:$H$22</c:f>
              <c:numCache>
                <c:formatCode>General</c:formatCode>
                <c:ptCount val="21"/>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numCache>
            </c:numRef>
          </c:cat>
          <c:val>
            <c:numRef>
              <c:f>adamawa_rainfall_erosivity_2001!$I$2:$I$22</c:f>
              <c:numCache>
                <c:formatCode>General</c:formatCode>
                <c:ptCount val="21"/>
                <c:pt idx="0">
                  <c:v>201.18505338078299</c:v>
                </c:pt>
                <c:pt idx="1">
                  <c:v>284.64768683275099</c:v>
                </c:pt>
                <c:pt idx="2">
                  <c:v>282.964412811388</c:v>
                </c:pt>
                <c:pt idx="3">
                  <c:v>188.18861209964399</c:v>
                </c:pt>
                <c:pt idx="4">
                  <c:v>185.07829181494699</c:v>
                </c:pt>
                <c:pt idx="5">
                  <c:v>245.50177935943267</c:v>
                </c:pt>
                <c:pt idx="6">
                  <c:v>267.93238434163669</c:v>
                </c:pt>
                <c:pt idx="7">
                  <c:v>461.03202846975108</c:v>
                </c:pt>
                <c:pt idx="8">
                  <c:v>214.44483985765359</c:v>
                </c:pt>
                <c:pt idx="9">
                  <c:v>258.39857651245569</c:v>
                </c:pt>
                <c:pt idx="10">
                  <c:v>201.68327402134773</c:v>
                </c:pt>
                <c:pt idx="11">
                  <c:v>338.09252669039108</c:v>
                </c:pt>
                <c:pt idx="12">
                  <c:v>238.71886120996078</c:v>
                </c:pt>
                <c:pt idx="13">
                  <c:v>334.526690391459</c:v>
                </c:pt>
                <c:pt idx="14">
                  <c:v>165.71530249109998</c:v>
                </c:pt>
                <c:pt idx="15">
                  <c:v>218.04982206405353</c:v>
                </c:pt>
                <c:pt idx="16">
                  <c:v>264.61565836298894</c:v>
                </c:pt>
                <c:pt idx="17">
                  <c:v>312.54804270462608</c:v>
                </c:pt>
                <c:pt idx="18">
                  <c:v>308.64768683275099</c:v>
                </c:pt>
                <c:pt idx="19">
                  <c:v>185.48042704626704</c:v>
                </c:pt>
                <c:pt idx="20">
                  <c:v>478.07117437721746</c:v>
                </c:pt>
              </c:numCache>
            </c:numRef>
          </c:val>
          <c:smooth val="0"/>
          <c:extLst>
            <c:ext xmlns:c16="http://schemas.microsoft.com/office/drawing/2014/chart" uri="{C3380CC4-5D6E-409C-BE32-E72D297353CC}">
              <c16:uniqueId val="{00000000-7397-40FC-99F0-4DE41740C37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17585664"/>
        <c:axId val="147598144"/>
      </c:lineChart>
      <c:catAx>
        <c:axId val="6175856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dk1">
                        <a:lumMod val="65000"/>
                        <a:lumOff val="35000"/>
                      </a:schemeClr>
                    </a:solidFill>
                    <a:latin typeface="+mn-lt"/>
                    <a:ea typeface="+mn-ea"/>
                    <a:cs typeface="+mn-cs"/>
                  </a:defRPr>
                </a:pPr>
                <a:r>
                  <a:rPr lang="en-US" b="1"/>
                  <a:t>year</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spc="20" baseline="0">
                <a:solidFill>
                  <a:schemeClr val="dk1">
                    <a:lumMod val="65000"/>
                    <a:lumOff val="35000"/>
                  </a:schemeClr>
                </a:solidFill>
                <a:latin typeface="+mn-lt"/>
                <a:ea typeface="+mn-ea"/>
                <a:cs typeface="+mn-cs"/>
              </a:defRPr>
            </a:pPr>
            <a:endParaRPr lang="en-US"/>
          </a:p>
        </c:txPr>
        <c:crossAx val="147598144"/>
        <c:crosses val="autoZero"/>
        <c:auto val="1"/>
        <c:lblAlgn val="ctr"/>
        <c:lblOffset val="100"/>
        <c:noMultiLvlLbl val="0"/>
      </c:catAx>
      <c:valAx>
        <c:axId val="14759814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sz="800" b="1" i="0" u="none" strike="noStrike" kern="1200" cap="all" baseline="0">
                    <a:solidFill>
                      <a:sysClr val="windowText" lastClr="000000">
                        <a:lumMod val="65000"/>
                        <a:lumOff val="35000"/>
                      </a:sysClr>
                    </a:solidFill>
                  </a:rPr>
                  <a:t>mean (MJ·mm·ha⁻¹·h⁻¹·year</a:t>
                </a:r>
                <a:r>
                  <a:rPr lang="en-US" sz="800" b="0" i="0" u="none" strike="noStrike" kern="1200" cap="all" baseline="0">
                    <a:solidFill>
                      <a:sysClr val="windowText" lastClr="000000">
                        <a:lumMod val="65000"/>
                        <a:lumOff val="35000"/>
                      </a:sysClr>
                    </a:solidFill>
                  </a:rPr>
                  <a:t>⁻¹</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spc="20" baseline="0">
                <a:solidFill>
                  <a:schemeClr val="dk1">
                    <a:lumMod val="65000"/>
                    <a:lumOff val="35000"/>
                  </a:schemeClr>
                </a:solidFill>
                <a:latin typeface="+mn-lt"/>
                <a:ea typeface="+mn-ea"/>
                <a:cs typeface="+mn-cs"/>
              </a:defRPr>
            </a:pPr>
            <a:endParaRPr lang="en-US"/>
          </a:p>
        </c:txPr>
        <c:crossAx val="61758566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010B7-DFC3-43F6-8167-CEE00B20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5819</Words>
  <Characters>33169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SDI PC New 16</cp:lastModifiedBy>
  <cp:revision>7</cp:revision>
  <dcterms:created xsi:type="dcterms:W3CDTF">2025-10-24T02:10:00Z</dcterms:created>
  <dcterms:modified xsi:type="dcterms:W3CDTF">2025-10-27T10:16:00Z</dcterms:modified>
</cp:coreProperties>
</file>