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B3F03" w14:textId="1A70E348" w:rsidR="00656D42" w:rsidRPr="009D3408" w:rsidRDefault="00656D42" w:rsidP="00FA7226">
      <w:pPr>
        <w:jc w:val="center"/>
        <w:rPr>
          <w:b/>
        </w:rPr>
      </w:pPr>
      <w:bookmarkStart w:id="0" w:name="_Hlk209096859"/>
      <w:bookmarkStart w:id="1" w:name="_Toc65324940"/>
      <w:r w:rsidRPr="009D3408">
        <w:rPr>
          <w:b/>
        </w:rPr>
        <w:t>Strengthening public health responses to infectious diseases in low- and middle-income countries</w:t>
      </w:r>
      <w:r w:rsidR="0045024A" w:rsidRPr="009D3408">
        <w:rPr>
          <w:b/>
        </w:rPr>
        <w:t xml:space="preserve"> through </w:t>
      </w:r>
      <w:bookmarkStart w:id="2" w:name="_Hlk209276240"/>
      <w:r w:rsidRPr="009D3408">
        <w:rPr>
          <w:b/>
        </w:rPr>
        <w:t>vaccine</w:t>
      </w:r>
      <w:bookmarkEnd w:id="2"/>
      <w:r w:rsidRPr="009D3408">
        <w:rPr>
          <w:b/>
        </w:rPr>
        <w:t xml:space="preserve"> accessibility, antibiotic stewardship, and community engagement</w:t>
      </w:r>
    </w:p>
    <w:bookmarkEnd w:id="0"/>
    <w:p w14:paraId="38221DE7" w14:textId="7CDF034B" w:rsidR="007935A2" w:rsidRPr="009D3408" w:rsidRDefault="00130D36" w:rsidP="000626C6">
      <w:pPr>
        <w:spacing w:after="0"/>
        <w:rPr>
          <w:b/>
        </w:rPr>
      </w:pPr>
      <w:r w:rsidRPr="009D3408">
        <w:rPr>
          <w:b/>
        </w:rPr>
        <w:t>Abstract</w:t>
      </w:r>
      <w:bookmarkEnd w:id="1"/>
      <w:r w:rsidR="00E71419" w:rsidRPr="009D3408">
        <w:rPr>
          <w:b/>
        </w:rPr>
        <w:t xml:space="preserve"> </w:t>
      </w:r>
      <w:r w:rsidR="00551E5E" w:rsidRPr="009D3408">
        <w:rPr>
          <w:b/>
        </w:rPr>
        <w:t xml:space="preserve"> </w:t>
      </w:r>
    </w:p>
    <w:p w14:paraId="2740707B" w14:textId="77777777" w:rsidR="00A667F8" w:rsidRDefault="00A667F8" w:rsidP="004367C4">
      <w:pPr>
        <w:spacing w:after="0"/>
        <w:jc w:val="both"/>
        <w:rPr>
          <w:szCs w:val="24"/>
        </w:rPr>
      </w:pPr>
      <w:bookmarkStart w:id="3" w:name="_Toc65324941"/>
      <w:r w:rsidRPr="00A667F8">
        <w:rPr>
          <w:szCs w:val="24"/>
        </w:rPr>
        <w:t>Despite the various challenges we have encountered with infectious diseases, public health has advanced significantly in containing these infectious diseases, as illustrated by success in eradicating smallpox and near eradication of poliomyelitis. Low- and middle-income countries are confronted with enormous challenges, including chronic infectious disease foci fueled by political turmoil, poor living standards, and poor health infrastructure. The creation of antibiotic-resistant strains because of excessive use, and the absence of vaccines for most pathogens, is a life-and-death issue for public health. Due to delays in embracing cost-saving and effective vaccines hundreds of thousands of deaths have been reported annually in these areas. While there is a progressive advance against some of the tropical diseases, malaria, tuberculosis, and others still remain challenging global issues. To address these obstacles, new methods for vaccine access, antibiotic stewardship, and effective community outreach are necessary. Since almost one-quarter of child deaths under the age of five are due to vaccine-preventable disease, increasing vaccine delivery can have a dramatic impact on child survival worldwide. To be able to effectively address these obstacles, we need to strengthen policies for enhancing prevention, detection, and infectious disease control. These include promoting the integration of clinical practice into health care, promoting community engagement in disease prevention, developing global outbreak response capacity, addressing antimicrobial resistance, and promoting a "One Health" approach to reduce the emergence and spread of zoonotic diseases.</w:t>
      </w:r>
    </w:p>
    <w:p w14:paraId="38A59191" w14:textId="2F3F377D" w:rsidR="004367C4" w:rsidRPr="009D3408" w:rsidRDefault="004367C4" w:rsidP="004367C4">
      <w:pPr>
        <w:spacing w:after="0"/>
        <w:jc w:val="both"/>
        <w:rPr>
          <w:szCs w:val="24"/>
        </w:rPr>
      </w:pPr>
      <w:r w:rsidRPr="009D3408">
        <w:rPr>
          <w:b/>
          <w:bCs/>
          <w:szCs w:val="24"/>
        </w:rPr>
        <w:t>Keywords:</w:t>
      </w:r>
      <w:r w:rsidRPr="009D3408">
        <w:rPr>
          <w:szCs w:val="24"/>
        </w:rPr>
        <w:t xml:space="preserve"> Strengthening, public health, infectious diseases, strategies, vaccine accessibility, antibiotic, and community engagement</w:t>
      </w:r>
    </w:p>
    <w:p w14:paraId="58DF6561" w14:textId="77777777" w:rsidR="00966EFB" w:rsidRPr="009D3408" w:rsidRDefault="00966EFB" w:rsidP="004367C4">
      <w:pPr>
        <w:spacing w:before="240" w:after="0"/>
        <w:rPr>
          <w:b/>
          <w:bCs/>
        </w:rPr>
        <w:sectPr w:rsidR="00966EFB" w:rsidRPr="009D3408" w:rsidSect="00966EF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docGrid w:linePitch="360"/>
        </w:sectPr>
      </w:pPr>
    </w:p>
    <w:p w14:paraId="68C02CA0" w14:textId="0C0A55FE" w:rsidR="00551E5E" w:rsidRPr="009D3408" w:rsidRDefault="00551E5E" w:rsidP="004367C4">
      <w:pPr>
        <w:spacing w:before="240" w:after="0"/>
        <w:rPr>
          <w:b/>
          <w:bCs/>
        </w:rPr>
      </w:pPr>
      <w:r w:rsidRPr="009D3408">
        <w:rPr>
          <w:b/>
          <w:bCs/>
        </w:rPr>
        <w:t>Introduction</w:t>
      </w:r>
      <w:bookmarkEnd w:id="3"/>
    </w:p>
    <w:p w14:paraId="4F5E635A" w14:textId="77777777" w:rsidR="005721B9" w:rsidRPr="005721B9" w:rsidRDefault="005721B9" w:rsidP="005721B9">
      <w:pPr>
        <w:spacing w:after="0"/>
        <w:jc w:val="both"/>
        <w:rPr>
          <w:szCs w:val="24"/>
        </w:rPr>
      </w:pPr>
      <w:bookmarkStart w:id="4" w:name="_Toc65324942"/>
      <w:r w:rsidRPr="005721B9">
        <w:rPr>
          <w:szCs w:val="24"/>
        </w:rPr>
        <w:t xml:space="preserve">Infectious disease presented many challenges today and more complex and extensive than in 1998, when the CDC last released a strategic plan for responding to new and reemerging infectious diseases (CDC, 1998). New illnesses and new strains of old ones emerge practically every year since then, and these outbreaks have triggered </w:t>
      </w:r>
      <w:r w:rsidRPr="005721B9">
        <w:rPr>
          <w:szCs w:val="24"/>
        </w:rPr>
        <w:t>global action on every continent (</w:t>
      </w:r>
      <w:proofErr w:type="spellStart"/>
      <w:r w:rsidRPr="005721B9">
        <w:rPr>
          <w:szCs w:val="24"/>
        </w:rPr>
        <w:t>Tsantes</w:t>
      </w:r>
      <w:proofErr w:type="spellEnd"/>
      <w:r w:rsidRPr="005721B9">
        <w:rPr>
          <w:szCs w:val="24"/>
        </w:rPr>
        <w:t xml:space="preserve"> et al., 2025). The more recent pandemic (COVID-19), preceded by SARS and the H5N1 and H1N1 flu threats, highlights the need for a "One Health" strategy that unites human, animal, and environmental health plans based on world Health Organization report (WHO, 2021).</w:t>
      </w:r>
    </w:p>
    <w:p w14:paraId="73166416" w14:textId="77777777" w:rsidR="005721B9" w:rsidRPr="005721B9" w:rsidRDefault="005721B9" w:rsidP="005721B9">
      <w:pPr>
        <w:spacing w:after="0"/>
        <w:rPr>
          <w:szCs w:val="24"/>
        </w:rPr>
      </w:pPr>
      <w:r w:rsidRPr="005721B9">
        <w:rPr>
          <w:szCs w:val="24"/>
        </w:rPr>
        <w:t xml:space="preserve">Due to urbanization and increasing living standards in high- and middle-income nations, </w:t>
      </w:r>
      <w:r w:rsidRPr="005721B9">
        <w:rPr>
          <w:szCs w:val="24"/>
        </w:rPr>
        <w:lastRenderedPageBreak/>
        <w:t>there is epidemiologic transition of a demographic change from a high level of birth and death rates to lower levels, along with enhanced life expectancy (UN, 2019). Such epidemiologic transition is however uneven as low- and middle-income nations still experience a dual burden: though chronic non-communicable diseases are on the increase, new and emerging infectious diseases are still significant public health issues (IHME, 2025).</w:t>
      </w:r>
    </w:p>
    <w:p w14:paraId="0F2DA0AC" w14:textId="77777777" w:rsidR="005721B9" w:rsidRDefault="005721B9" w:rsidP="005721B9">
      <w:pPr>
        <w:spacing w:after="0"/>
        <w:rPr>
          <w:szCs w:val="24"/>
        </w:rPr>
      </w:pPr>
      <w:r w:rsidRPr="005721B9">
        <w:rPr>
          <w:szCs w:val="24"/>
        </w:rPr>
        <w:t>Even with rising incomes, education, nutrition, sanitation, and health, inequality persists (WHO, 2025). As per Kassebaum et al., (2014), the majority of low- and middle-income countries lag behind, with high mortality and morbidity due to infectious diseases. Poverty, malnutrition, illiteracy, unclean drinking water, and less use of health care facilities worsen health issues in these nations. The leading causes of death in these areas are listed as lower respiratory infections, diarrheal diseases, HIV, tuberculosis, and malaria by GBD, (2021) report.</w:t>
      </w:r>
    </w:p>
    <w:p w14:paraId="4AF952E4" w14:textId="4C6D10E3" w:rsidR="00202451" w:rsidRPr="009D3408" w:rsidRDefault="005721B9" w:rsidP="005721B9">
      <w:pPr>
        <w:spacing w:after="0"/>
        <w:rPr>
          <w:rStyle w:val="fontstyle01"/>
          <w:rFonts w:ascii="Times New Roman" w:hAnsi="Times New Roman"/>
          <w:b/>
          <w:bCs/>
          <w:color w:val="auto"/>
        </w:rPr>
      </w:pPr>
      <w:r>
        <w:rPr>
          <w:rStyle w:val="fontstyle01"/>
          <w:rFonts w:ascii="Times New Roman" w:hAnsi="Times New Roman"/>
          <w:b/>
          <w:bCs/>
          <w:color w:val="auto"/>
        </w:rPr>
        <w:t>N</w:t>
      </w:r>
      <w:r w:rsidR="00202451" w:rsidRPr="009D3408">
        <w:rPr>
          <w:rStyle w:val="fontstyle01"/>
          <w:rFonts w:ascii="Times New Roman" w:hAnsi="Times New Roman"/>
          <w:b/>
          <w:bCs/>
          <w:color w:val="auto"/>
        </w:rPr>
        <w:t>ever</w:t>
      </w:r>
      <w:r>
        <w:rPr>
          <w:rStyle w:val="fontstyle01"/>
          <w:rFonts w:ascii="Times New Roman" w:hAnsi="Times New Roman"/>
          <w:b/>
          <w:bCs/>
          <w:color w:val="auto"/>
        </w:rPr>
        <w:t xml:space="preserve"> </w:t>
      </w:r>
      <w:r w:rsidR="00202451" w:rsidRPr="009D3408">
        <w:rPr>
          <w:rStyle w:val="fontstyle01"/>
          <w:rFonts w:ascii="Times New Roman" w:hAnsi="Times New Roman"/>
          <w:b/>
          <w:bCs/>
          <w:color w:val="auto"/>
        </w:rPr>
        <w:t>ending struggle</w:t>
      </w:r>
      <w:bookmarkEnd w:id="4"/>
      <w:r w:rsidRPr="005721B9">
        <w:rPr>
          <w:rStyle w:val="fontstyle01"/>
          <w:rFonts w:ascii="Times New Roman" w:hAnsi="Times New Roman"/>
          <w:b/>
          <w:bCs/>
          <w:color w:val="auto"/>
        </w:rPr>
        <w:t xml:space="preserve"> </w:t>
      </w:r>
      <w:r>
        <w:rPr>
          <w:rStyle w:val="fontstyle01"/>
          <w:rFonts w:ascii="Times New Roman" w:hAnsi="Times New Roman"/>
          <w:b/>
          <w:bCs/>
          <w:color w:val="auto"/>
        </w:rPr>
        <w:t>with h</w:t>
      </w:r>
      <w:r w:rsidRPr="009D3408">
        <w:rPr>
          <w:rStyle w:val="fontstyle01"/>
          <w:rFonts w:ascii="Times New Roman" w:hAnsi="Times New Roman"/>
          <w:b/>
          <w:bCs/>
          <w:color w:val="auto"/>
        </w:rPr>
        <w:t>umans and microbes</w:t>
      </w:r>
    </w:p>
    <w:p w14:paraId="033D7806" w14:textId="77777777" w:rsidR="00C75867" w:rsidRPr="00C75867" w:rsidRDefault="00C75867" w:rsidP="00C75867">
      <w:pPr>
        <w:jc w:val="both"/>
        <w:rPr>
          <w:szCs w:val="24"/>
        </w:rPr>
      </w:pPr>
      <w:bookmarkStart w:id="5" w:name="_Toc65324943"/>
      <w:r w:rsidRPr="00C75867">
        <w:rPr>
          <w:szCs w:val="24"/>
        </w:rPr>
        <w:t>From studies, the first humans who left Africa were most likely infested with the same parasites that infest the other primates. Upon their migration to temperate areas, exposure to other infecting agents increased (</w:t>
      </w:r>
      <w:proofErr w:type="spellStart"/>
      <w:r w:rsidRPr="00C75867">
        <w:rPr>
          <w:szCs w:val="24"/>
        </w:rPr>
        <w:t>Nozais</w:t>
      </w:r>
      <w:proofErr w:type="spellEnd"/>
      <w:r w:rsidRPr="00C75867">
        <w:rPr>
          <w:szCs w:val="24"/>
        </w:rPr>
        <w:t>, 2003). Transference from a hunting to an agriculture way of life favored population increase and consolidation. However, domestication provided greater contact with wildlife, which favored zoonotic transmission. Increased population size and density provided a context for transmission from person to person of diseases (Buffa, 2022).</w:t>
      </w:r>
    </w:p>
    <w:p w14:paraId="7BAF0CA6" w14:textId="669123C2" w:rsidR="006C55B0" w:rsidRPr="009D3408" w:rsidRDefault="00C75867" w:rsidP="00C75867">
      <w:pPr>
        <w:jc w:val="both"/>
        <w:rPr>
          <w:szCs w:val="24"/>
        </w:rPr>
      </w:pPr>
      <w:r w:rsidRPr="00C75867">
        <w:rPr>
          <w:szCs w:val="24"/>
        </w:rPr>
        <w:t>With the development of civilizations, trade routes and wars led to the transmission of germs to susceptible populations. Diseases such as typhus, plague, and smallpox devastated and affected communities and shaped events in history. This led to mass hysteria and dramatically affected social organizations worldwide (Bollet and Jay 2004). The present interaction between human beings and animals keeps on exposing populations to new germs. This interdependence underscores the necessity of overarching global health policy to counteract the ever-looming specter of resurrecting infectious disease.</w:t>
      </w:r>
    </w:p>
    <w:p w14:paraId="466B751B" w14:textId="3F44CD41" w:rsidR="002573E8" w:rsidRPr="009D3408" w:rsidRDefault="008F3AD5" w:rsidP="003B5F5F">
      <w:pPr>
        <w:spacing w:after="0"/>
        <w:rPr>
          <w:szCs w:val="24"/>
        </w:rPr>
      </w:pPr>
      <w:r>
        <w:rPr>
          <w:b/>
          <w:bCs/>
          <w:szCs w:val="24"/>
        </w:rPr>
        <w:t>M</w:t>
      </w:r>
      <w:r w:rsidRPr="009D3408">
        <w:rPr>
          <w:b/>
          <w:bCs/>
          <w:szCs w:val="24"/>
        </w:rPr>
        <w:t>icrobial adaptation</w:t>
      </w:r>
      <w:r w:rsidRPr="009D3408">
        <w:rPr>
          <w:b/>
          <w:bCs/>
          <w:szCs w:val="24"/>
        </w:rPr>
        <w:t xml:space="preserve"> </w:t>
      </w:r>
      <w:r>
        <w:rPr>
          <w:b/>
          <w:bCs/>
          <w:szCs w:val="24"/>
        </w:rPr>
        <w:t xml:space="preserve">and the </w:t>
      </w:r>
      <w:r w:rsidR="002573E8" w:rsidRPr="009D3408">
        <w:rPr>
          <w:b/>
          <w:bCs/>
          <w:szCs w:val="24"/>
        </w:rPr>
        <w:t>evolving landscape of infectious diseases</w:t>
      </w:r>
    </w:p>
    <w:p w14:paraId="3A7E43B4" w14:textId="77777777" w:rsidR="00C75867" w:rsidRPr="00C75867" w:rsidRDefault="00C75867" w:rsidP="00C75867">
      <w:pPr>
        <w:jc w:val="both"/>
        <w:rPr>
          <w:szCs w:val="24"/>
        </w:rPr>
      </w:pPr>
      <w:r w:rsidRPr="00C75867">
        <w:rPr>
          <w:szCs w:val="24"/>
        </w:rPr>
        <w:t>Infectious diseases continue to be a prominent cause of mortality and morbidity globally. Lower respiratory tract infection was the world's fifth greatest cause of mortality in 2021 (WHO, 2024). The infectious disease environment is constantly evolving with changes in magnitude, geography spread, and limits of scientific intervention. Novel emerging infectious diseases like COVID-19 and Ebola and re-emerging diseases like TB are a matter of public health concern of extreme severity (Saba and Balwan, 2021).</w:t>
      </w:r>
    </w:p>
    <w:p w14:paraId="18F82FED" w14:textId="77777777" w:rsidR="00C75867" w:rsidRPr="00C75867" w:rsidRDefault="00C75867" w:rsidP="00C75867">
      <w:pPr>
        <w:jc w:val="both"/>
        <w:rPr>
          <w:szCs w:val="24"/>
        </w:rPr>
      </w:pPr>
      <w:r w:rsidRPr="00C75867">
        <w:rPr>
          <w:szCs w:val="24"/>
        </w:rPr>
        <w:t>Mpox (monkeypox) virus epidemics have also unveiled the ongoing zoonotic disease risk, especially in the era of international trade and transport (CDC, 2023). The risk is also augmented by the adaptive potential of microbes, which constantly evolve continuously due to selective pressures.</w:t>
      </w:r>
    </w:p>
    <w:p w14:paraId="04536148" w14:textId="77777777" w:rsidR="00C75867" w:rsidRPr="00C75867" w:rsidRDefault="00C75867" w:rsidP="00C75867">
      <w:pPr>
        <w:jc w:val="both"/>
        <w:rPr>
          <w:szCs w:val="24"/>
        </w:rPr>
      </w:pPr>
      <w:r w:rsidRPr="00C75867">
        <w:rPr>
          <w:szCs w:val="24"/>
        </w:rPr>
        <w:t xml:space="preserve">Microbial adaptation is among the main reasons for the evolving face of infectious diseases. Microorganisms are constantly changing, and resistant microbial agents as well as novel viral agent strains arise by mutation, frequently due to abuse of antimicrobials (Salam et al., 2023). In viral agents, change can occur in two general manners: antigenic drift and antigenic shift. Antigenic drift refers to gradual modifications of the infectious agent's genetic makeup, like seasonal flu virus, that can subsequently spread to partly immune hosts. Antigenic shift is where two distinct strains of an infectious agent merge to produce a new strain against which there is little immunity, with a possibility of quick spreading of the disease (Taubenberger &amp; </w:t>
      </w:r>
      <w:proofErr w:type="spellStart"/>
      <w:r w:rsidRPr="00C75867">
        <w:rPr>
          <w:szCs w:val="24"/>
        </w:rPr>
        <w:t>Morens</w:t>
      </w:r>
      <w:proofErr w:type="spellEnd"/>
      <w:r w:rsidRPr="00C75867">
        <w:rPr>
          <w:szCs w:val="24"/>
        </w:rPr>
        <w:t>, 2022).</w:t>
      </w:r>
    </w:p>
    <w:p w14:paraId="0DC7B3E4" w14:textId="77777777" w:rsidR="00C75867" w:rsidRPr="00C75867" w:rsidRDefault="00C75867" w:rsidP="00C75867">
      <w:pPr>
        <w:jc w:val="both"/>
        <w:rPr>
          <w:szCs w:val="24"/>
        </w:rPr>
      </w:pPr>
      <w:r w:rsidRPr="00C75867">
        <w:rPr>
          <w:szCs w:val="24"/>
        </w:rPr>
        <w:t>The economic cost of infectious disease outbreaks is getting more worrisome. Pandemics and epidemics do not come cheap, as the COVID-19 pandemic cost the world an estimated $11 trillion (</w:t>
      </w:r>
      <w:proofErr w:type="spellStart"/>
      <w:r w:rsidRPr="00C75867">
        <w:rPr>
          <w:szCs w:val="24"/>
        </w:rPr>
        <w:t>Wellcome</w:t>
      </w:r>
      <w:proofErr w:type="spellEnd"/>
      <w:r w:rsidRPr="00C75867">
        <w:rPr>
          <w:szCs w:val="24"/>
        </w:rPr>
        <w:t>, 2021). The economic consequences of such outbreaks as Ebola and Mpox only serve to reemphasize the necessity for effective economic and health interventions in curbing such outbreaks (Bloom et al., 2022).</w:t>
      </w:r>
    </w:p>
    <w:p w14:paraId="5C6EB4DF" w14:textId="414CF62A" w:rsidR="002573E8" w:rsidRPr="009D3408" w:rsidRDefault="00C75867" w:rsidP="00C75867">
      <w:pPr>
        <w:jc w:val="both"/>
        <w:rPr>
          <w:szCs w:val="24"/>
        </w:rPr>
      </w:pPr>
      <w:r w:rsidRPr="00C75867">
        <w:rPr>
          <w:szCs w:val="24"/>
        </w:rPr>
        <w:t>Control efforts are also confounded by the interactions of forces outside the immediate host-pathogen processes. The multifaceted shifts of pathogens, hosts, environments, and health systems present insurmountable challenges to infectious disease control (Frontiers in Microbiology, 2023). The recent epidemics of infectious diseases such as Ebola and re-emergence of Mpox are testaments to the fact that there remains an urgency for vigilance and preparedness in global health efforts. Human actions towards climate change, like modified water storing behavior, have also affected the spread of infectious disease, especially in low-resource communities across the globe (Titcomb et al., 2024).</w:t>
      </w:r>
    </w:p>
    <w:p w14:paraId="1D07BFE3" w14:textId="29721F00" w:rsidR="003F21B6" w:rsidRPr="009D3408" w:rsidRDefault="003F21B6" w:rsidP="003B5F5F">
      <w:pPr>
        <w:spacing w:after="0"/>
        <w:rPr>
          <w:b/>
          <w:bCs/>
        </w:rPr>
      </w:pPr>
      <w:bookmarkStart w:id="6" w:name="_Toc65324945"/>
      <w:bookmarkEnd w:id="5"/>
      <w:r w:rsidRPr="009D3408">
        <w:rPr>
          <w:b/>
          <w:bCs/>
        </w:rPr>
        <w:t>Politics, terrorism</w:t>
      </w:r>
      <w:r w:rsidR="005721B9">
        <w:rPr>
          <w:b/>
          <w:bCs/>
        </w:rPr>
        <w:t xml:space="preserve">, </w:t>
      </w:r>
      <w:r w:rsidR="005721B9" w:rsidRPr="009D3408">
        <w:rPr>
          <w:b/>
          <w:bCs/>
        </w:rPr>
        <w:t>conflict</w:t>
      </w:r>
      <w:r w:rsidR="005721B9" w:rsidRPr="009D3408">
        <w:rPr>
          <w:b/>
          <w:bCs/>
        </w:rPr>
        <w:t xml:space="preserve"> </w:t>
      </w:r>
      <w:r w:rsidRPr="009D3408">
        <w:rPr>
          <w:b/>
          <w:bCs/>
        </w:rPr>
        <w:t>and</w:t>
      </w:r>
      <w:r w:rsidR="005721B9" w:rsidRPr="009D3408">
        <w:rPr>
          <w:b/>
          <w:bCs/>
        </w:rPr>
        <w:t xml:space="preserve"> warfare</w:t>
      </w:r>
      <w:r w:rsidR="005721B9" w:rsidRPr="009D3408">
        <w:rPr>
          <w:b/>
          <w:bCs/>
        </w:rPr>
        <w:t xml:space="preserve"> </w:t>
      </w:r>
      <w:bookmarkEnd w:id="6"/>
    </w:p>
    <w:p w14:paraId="0928600F" w14:textId="77777777" w:rsidR="003F5C29" w:rsidRPr="003F5C29" w:rsidRDefault="003F5C29" w:rsidP="003F5C29">
      <w:pPr>
        <w:spacing w:after="0"/>
        <w:jc w:val="both"/>
        <w:rPr>
          <w:szCs w:val="24"/>
        </w:rPr>
      </w:pPr>
      <w:bookmarkStart w:id="7" w:name="_Toc65324946"/>
      <w:r w:rsidRPr="003F5C29">
        <w:rPr>
          <w:szCs w:val="24"/>
        </w:rPr>
        <w:t>Socio-political crisis and conflict greatly enhance the transmission of infectious diseases by developing microbial-exploratory environments. Poor conditions such as mass displacement of populations, poor hygiene, and destruction of vital public health infrastructure all contribute to compromised health systems. Such conditions enhance the transmission of current diseases and set the stage for emergence and re-emergence of infectious diseases, constituting a major threat to global health security (Marou et al., 2024).</w:t>
      </w:r>
    </w:p>
    <w:p w14:paraId="6CF9E4E8" w14:textId="77777777" w:rsidR="003F5C29" w:rsidRPr="003F5C29" w:rsidRDefault="003F5C29" w:rsidP="003F5C29">
      <w:pPr>
        <w:spacing w:after="0"/>
        <w:jc w:val="both"/>
        <w:rPr>
          <w:szCs w:val="24"/>
        </w:rPr>
      </w:pPr>
      <w:r w:rsidRPr="003F5C29">
        <w:rPr>
          <w:szCs w:val="24"/>
        </w:rPr>
        <w:t xml:space="preserve">Political instability and violence redirect valuable resources from critical public health activities, such as disease surveillance and control programs (Bloom et al., 2022). Disruption of health systems and lack of trained personnel and medication hinder the control of outbreaks. Consequently, infectious diseases spread at </w:t>
      </w:r>
      <w:proofErr w:type="spellStart"/>
      <w:r w:rsidRPr="003F5C29">
        <w:rPr>
          <w:szCs w:val="24"/>
        </w:rPr>
        <w:t>lightening</w:t>
      </w:r>
      <w:proofErr w:type="spellEnd"/>
      <w:r w:rsidRPr="003F5C29">
        <w:rPr>
          <w:szCs w:val="24"/>
        </w:rPr>
        <w:t xml:space="preserve"> speed with immense morbidity and mortality rates, especially among marginalized communities (Centers for Disease Control and Prevention, 2023; Frontiers in Microbiology, 2023).</w:t>
      </w:r>
    </w:p>
    <w:p w14:paraId="30BF72A3" w14:textId="77777777" w:rsidR="003F5C29" w:rsidRDefault="003F5C29" w:rsidP="003F5C29">
      <w:pPr>
        <w:spacing w:after="0"/>
        <w:jc w:val="both"/>
        <w:rPr>
          <w:szCs w:val="24"/>
        </w:rPr>
      </w:pPr>
      <w:r w:rsidRPr="003F5C29">
        <w:rPr>
          <w:szCs w:val="24"/>
        </w:rPr>
        <w:t>Societal and political instability resulting from conflict destroy government and public health agency trust, making it difficult to control disease (PMC, 2025). Misinformation and political polarization make public compliance with vaccination and quarantine difficult, thus making management of potential future health emergencies challenging. To prevent the spread of infectious diseases in conflict situations, there is a need for combined effort that brings together public health preparedness and peacebuilding and conflict resolution (Bloom et al., 2022; World Health Organization, 2024).</w:t>
      </w:r>
    </w:p>
    <w:p w14:paraId="2817A05E" w14:textId="77777777" w:rsidR="003F5C29" w:rsidRDefault="003F5C29" w:rsidP="003F5C29">
      <w:pPr>
        <w:spacing w:after="0"/>
        <w:jc w:val="both"/>
        <w:rPr>
          <w:szCs w:val="24"/>
        </w:rPr>
      </w:pPr>
    </w:p>
    <w:p w14:paraId="3D844135" w14:textId="77777777" w:rsidR="003F5C29" w:rsidRDefault="003F5C29" w:rsidP="003F5C29">
      <w:pPr>
        <w:spacing w:after="0"/>
        <w:jc w:val="both"/>
        <w:rPr>
          <w:szCs w:val="24"/>
        </w:rPr>
      </w:pPr>
    </w:p>
    <w:p w14:paraId="3B279020" w14:textId="2D700533" w:rsidR="005D1A1A" w:rsidRPr="009D3408" w:rsidRDefault="005D1A1A" w:rsidP="003F5C29">
      <w:pPr>
        <w:spacing w:after="0"/>
        <w:jc w:val="both"/>
        <w:rPr>
          <w:szCs w:val="24"/>
        </w:rPr>
      </w:pPr>
      <w:r w:rsidRPr="009D3408">
        <w:rPr>
          <w:b/>
          <w:bCs/>
          <w:szCs w:val="24"/>
        </w:rPr>
        <w:t xml:space="preserve">The </w:t>
      </w:r>
      <w:r w:rsidR="00E6117A" w:rsidRPr="009D3408">
        <w:rPr>
          <w:b/>
          <w:bCs/>
          <w:szCs w:val="24"/>
        </w:rPr>
        <w:t>i</w:t>
      </w:r>
      <w:r w:rsidRPr="009D3408">
        <w:rPr>
          <w:b/>
          <w:bCs/>
          <w:szCs w:val="24"/>
        </w:rPr>
        <w:t>nterw</w:t>
      </w:r>
      <w:r w:rsidR="003701A1" w:rsidRPr="009D3408">
        <w:rPr>
          <w:b/>
          <w:bCs/>
          <w:szCs w:val="24"/>
        </w:rPr>
        <w:t>oven</w:t>
      </w:r>
      <w:r w:rsidRPr="009D3408">
        <w:rPr>
          <w:b/>
          <w:bCs/>
          <w:szCs w:val="24"/>
        </w:rPr>
        <w:t xml:space="preserve"> </w:t>
      </w:r>
      <w:r w:rsidR="00E6117A" w:rsidRPr="009D3408">
        <w:rPr>
          <w:b/>
          <w:bCs/>
          <w:szCs w:val="24"/>
        </w:rPr>
        <w:t>c</w:t>
      </w:r>
      <w:r w:rsidRPr="009D3408">
        <w:rPr>
          <w:b/>
          <w:bCs/>
          <w:szCs w:val="24"/>
        </w:rPr>
        <w:t xml:space="preserve">hallenges of </w:t>
      </w:r>
      <w:r w:rsidR="00E6117A" w:rsidRPr="009D3408">
        <w:rPr>
          <w:b/>
          <w:bCs/>
          <w:szCs w:val="24"/>
        </w:rPr>
        <w:t>e</w:t>
      </w:r>
      <w:r w:rsidRPr="009D3408">
        <w:rPr>
          <w:b/>
          <w:bCs/>
          <w:szCs w:val="24"/>
        </w:rPr>
        <w:t xml:space="preserve">conomic </w:t>
      </w:r>
      <w:r w:rsidR="00E6117A" w:rsidRPr="009D3408">
        <w:rPr>
          <w:b/>
          <w:bCs/>
          <w:szCs w:val="24"/>
        </w:rPr>
        <w:t>d</w:t>
      </w:r>
      <w:r w:rsidRPr="009D3408">
        <w:rPr>
          <w:b/>
          <w:bCs/>
          <w:szCs w:val="24"/>
        </w:rPr>
        <w:t xml:space="preserve">isparity and </w:t>
      </w:r>
      <w:r w:rsidR="00E6117A" w:rsidRPr="009D3408">
        <w:rPr>
          <w:b/>
          <w:bCs/>
          <w:szCs w:val="24"/>
        </w:rPr>
        <w:t>i</w:t>
      </w:r>
      <w:r w:rsidRPr="009D3408">
        <w:rPr>
          <w:b/>
          <w:bCs/>
          <w:szCs w:val="24"/>
        </w:rPr>
        <w:t xml:space="preserve">nfectious </w:t>
      </w:r>
      <w:r w:rsidR="00E6117A" w:rsidRPr="009D3408">
        <w:rPr>
          <w:b/>
          <w:bCs/>
          <w:szCs w:val="24"/>
        </w:rPr>
        <w:t>d</w:t>
      </w:r>
      <w:r w:rsidRPr="009D3408">
        <w:rPr>
          <w:b/>
          <w:bCs/>
          <w:szCs w:val="24"/>
        </w:rPr>
        <w:t>iseases</w:t>
      </w:r>
    </w:p>
    <w:p w14:paraId="425A51B1" w14:textId="77777777" w:rsidR="003F5C29" w:rsidRPr="003F5C29" w:rsidRDefault="003F5C29" w:rsidP="003F5C29">
      <w:pPr>
        <w:jc w:val="both"/>
        <w:rPr>
          <w:szCs w:val="24"/>
        </w:rPr>
      </w:pPr>
      <w:bookmarkStart w:id="8" w:name="_Hlk210138791"/>
      <w:r w:rsidRPr="003F5C29">
        <w:rPr>
          <w:szCs w:val="24"/>
        </w:rPr>
        <w:t>Economic development and globalization, while for the most part beneficial, have been a dynamic balance with infectious disease, especially in low- and middle-income nations (LMICs). While globalization has transformed connectivity and improved economic opportunities, it has also assisted in spreading existing and emerging communicable diseases (Wu et al., 2017).</w:t>
      </w:r>
    </w:p>
    <w:p w14:paraId="1DFCD41C" w14:textId="77777777" w:rsidR="003F5C29" w:rsidRPr="003F5C29" w:rsidRDefault="003F5C29" w:rsidP="003F5C29">
      <w:pPr>
        <w:jc w:val="both"/>
        <w:rPr>
          <w:szCs w:val="24"/>
        </w:rPr>
      </w:pPr>
      <w:r w:rsidRPr="003F5C29">
        <w:rPr>
          <w:szCs w:val="24"/>
        </w:rPr>
        <w:t xml:space="preserve">The uneven allocation of resources compounds the issue, since most of the world population lives in abject poverty and has an incomplete access to minimal sanitation, medical care, and nutrition, and as such </w:t>
      </w:r>
      <w:proofErr w:type="gramStart"/>
      <w:r w:rsidRPr="003F5C29">
        <w:rPr>
          <w:szCs w:val="24"/>
        </w:rPr>
        <w:t>increases</w:t>
      </w:r>
      <w:proofErr w:type="gramEnd"/>
      <w:r w:rsidRPr="003F5C29">
        <w:rPr>
          <w:szCs w:val="24"/>
        </w:rPr>
        <w:t xml:space="preserve"> susceptibility to infectious diseases (Bhutta et al., 2022).</w:t>
      </w:r>
    </w:p>
    <w:p w14:paraId="7B22C5C4" w14:textId="77777777" w:rsidR="000F61BD" w:rsidRDefault="003F5C29" w:rsidP="000F61BD">
      <w:pPr>
        <w:jc w:val="both"/>
        <w:rPr>
          <w:szCs w:val="24"/>
        </w:rPr>
      </w:pPr>
      <w:r w:rsidRPr="003F5C29">
        <w:rPr>
          <w:szCs w:val="24"/>
        </w:rPr>
        <w:t>Neglected tropical diseases (NTDs) unequally burden more than a billion of the world's poorest and most marginalized individuals, creating a cycle of poor health and economic underdevelopment (Hotez et al., 2024). Progress towards the elimination of certain NTDs has been made, but recent cuts in funding risk undoing such gains and harm to vulnerable communities (Ehrenberg et al., 2021).</w:t>
      </w:r>
    </w:p>
    <w:p w14:paraId="18A2D583" w14:textId="28A5C928" w:rsidR="005770EB" w:rsidRPr="009D3408" w:rsidRDefault="003F5C29" w:rsidP="000F61BD">
      <w:pPr>
        <w:jc w:val="both"/>
        <w:rPr>
          <w:szCs w:val="24"/>
        </w:rPr>
      </w:pPr>
      <w:r w:rsidRPr="003F5C29">
        <w:rPr>
          <w:szCs w:val="24"/>
        </w:rPr>
        <w:t>The pandemic of COVID-19 has further emphasized deeper health inequities, disproportionately affected marginalized communities and emphasized the urgent need for interventional measures that can address economic and health inequities at the same time (Prentice et al., 2022).</w:t>
      </w:r>
    </w:p>
    <w:bookmarkEnd w:id="8"/>
    <w:p w14:paraId="7514E3DD" w14:textId="1FA29C80" w:rsidR="005E4E60" w:rsidRPr="009D3408" w:rsidRDefault="003701A1" w:rsidP="00D0498F">
      <w:pPr>
        <w:spacing w:after="0"/>
        <w:rPr>
          <w:szCs w:val="24"/>
        </w:rPr>
      </w:pPr>
      <w:r w:rsidRPr="009D3408">
        <w:rPr>
          <w:b/>
          <w:bCs/>
          <w:szCs w:val="24"/>
        </w:rPr>
        <w:t>C</w:t>
      </w:r>
      <w:r w:rsidR="00D0498F" w:rsidRPr="009D3408">
        <w:rPr>
          <w:b/>
          <w:bCs/>
          <w:szCs w:val="24"/>
        </w:rPr>
        <w:t>limate change and population growth</w:t>
      </w:r>
      <w:r w:rsidRPr="009D3408">
        <w:rPr>
          <w:b/>
          <w:bCs/>
          <w:szCs w:val="24"/>
        </w:rPr>
        <w:t>’s impact on</w:t>
      </w:r>
      <w:r w:rsidR="00D0498F" w:rsidRPr="009D3408">
        <w:rPr>
          <w:b/>
          <w:bCs/>
          <w:szCs w:val="24"/>
        </w:rPr>
        <w:t xml:space="preserve"> infectious diseases</w:t>
      </w:r>
    </w:p>
    <w:p w14:paraId="28DE0DC8" w14:textId="77777777" w:rsidR="000F61BD" w:rsidRPr="000F61BD" w:rsidRDefault="000F61BD" w:rsidP="000F61BD">
      <w:pPr>
        <w:spacing w:after="0"/>
        <w:rPr>
          <w:szCs w:val="24"/>
        </w:rPr>
      </w:pPr>
      <w:r w:rsidRPr="000F61BD">
        <w:rPr>
          <w:szCs w:val="24"/>
        </w:rPr>
        <w:t>Global warming will introduce radical changes that will have an impact on infectious diseases. Coastal areas will experience lower agricultural potential and freshwater resources as a result of flooding and contamination, while other areas will experience better agricultural yields. Therefore, massive migration of people is anticipated as people will attempt to achieve economic stability, given the fact that it has been estimated that 500 million people already live at or near sea level. Temperature and shifts in water distribution will alter disease vector habitats, leading to new outbreaks. Temperature changes and flooding due to climate, for example, created the 2007 Chikungunya outbreak in Italy, showing that malaria, dengue fever, and cholera are climatically sensitive infections (Pavia, 2025).</w:t>
      </w:r>
    </w:p>
    <w:p w14:paraId="69C37384" w14:textId="77777777" w:rsidR="000F61BD" w:rsidRPr="000F61BD" w:rsidRDefault="000F61BD" w:rsidP="000F61BD">
      <w:pPr>
        <w:spacing w:after="0"/>
        <w:rPr>
          <w:szCs w:val="24"/>
        </w:rPr>
      </w:pPr>
      <w:r w:rsidRPr="000F61BD">
        <w:rPr>
          <w:szCs w:val="24"/>
        </w:rPr>
        <w:t>Population growth, at a rate of about 1.5% per annum, is not evenly spread across the world, and while some countries experience decline, others, particularly the African continent, have a high population of young people. Such changes in populations may have unforeseen effects on disease dynamics and control strategies. Urban congestion, for example, may exacerbate the spread of infectious diseases such as COVID-19 and influenza (Hamidi et al., 2020).</w:t>
      </w:r>
    </w:p>
    <w:p w14:paraId="7A42EC31" w14:textId="77777777" w:rsidR="000F61BD" w:rsidRDefault="000F61BD" w:rsidP="000F61BD">
      <w:pPr>
        <w:spacing w:after="0"/>
        <w:rPr>
          <w:szCs w:val="24"/>
        </w:rPr>
      </w:pPr>
      <w:r w:rsidRPr="000F61BD">
        <w:rPr>
          <w:szCs w:val="24"/>
        </w:rPr>
        <w:t>In addition, with about 150 million individuals residing outside their country of origin and up to 2 million crossing worldwide borders daily for one reason or another, the speedy movement of human beings enables the exchange of infectious microbes. The SARS and COVID-19 pandemics illustrate how promptly diseases spread worldwide, indicating the necessity of good public health interventions to address such interconnected challenges (Sharma, 2022).</w:t>
      </w:r>
    </w:p>
    <w:p w14:paraId="33690FAA" w14:textId="75167993" w:rsidR="005E4E60" w:rsidRPr="009D3408" w:rsidRDefault="004C6E4E" w:rsidP="000F61BD">
      <w:pPr>
        <w:spacing w:after="0"/>
        <w:rPr>
          <w:szCs w:val="24"/>
        </w:rPr>
      </w:pPr>
      <w:r w:rsidRPr="009D3408">
        <w:rPr>
          <w:b/>
          <w:bCs/>
          <w:szCs w:val="24"/>
        </w:rPr>
        <w:t>H</w:t>
      </w:r>
      <w:r w:rsidR="0054103F" w:rsidRPr="009D3408">
        <w:rPr>
          <w:b/>
          <w:bCs/>
          <w:szCs w:val="24"/>
        </w:rPr>
        <w:t>ost genetic factors</w:t>
      </w:r>
      <w:r w:rsidRPr="009D3408">
        <w:rPr>
          <w:b/>
          <w:bCs/>
          <w:szCs w:val="24"/>
        </w:rPr>
        <w:t>/</w:t>
      </w:r>
      <w:r w:rsidR="0054103F" w:rsidRPr="009D3408">
        <w:rPr>
          <w:b/>
          <w:bCs/>
          <w:szCs w:val="24"/>
        </w:rPr>
        <w:t xml:space="preserve"> human behavior in infectious disease dynamics</w:t>
      </w:r>
    </w:p>
    <w:p w14:paraId="0DA38472" w14:textId="77777777" w:rsidR="001B2E20" w:rsidRDefault="001B2E20" w:rsidP="008A63CE">
      <w:pPr>
        <w:spacing w:after="0"/>
        <w:jc w:val="both"/>
        <w:rPr>
          <w:szCs w:val="24"/>
        </w:rPr>
      </w:pPr>
      <w:r w:rsidRPr="001B2E20">
        <w:rPr>
          <w:szCs w:val="24"/>
        </w:rPr>
        <w:t>Host genetic factors play a significant role in determining the susceptibility of a person to severe infectious diseases, including malaria, HIV/AIDS, tuberculosis, and hepatitis B. Gene polymorphisms determine the effectiveness with which the immune response can respond to infections, with individuals being more vulnerable to severe manifestations of diseases like influenza and dengue, particularly when they are immunocompromised (Khouri et al., 2023). Besides, infection generated by chronic disease associations with genetic risk factors can cause the generation of other diseases such as cardiovascular illness and cancer. An aging population also poses certain threats, as immune system senescence increases susceptibility to vaccine-preventable diseases such as pneumococcal disease and influenza during season, particularly in high-income countries, where tetanus incidence among older adults persists despite highly effective vaccine availability (Ehrenberg et al., 2023).</w:t>
      </w:r>
    </w:p>
    <w:p w14:paraId="64A03BE6" w14:textId="4A8C9100" w:rsidR="006C05F3" w:rsidRPr="009D3408" w:rsidRDefault="006C05F3" w:rsidP="008A63CE">
      <w:pPr>
        <w:spacing w:after="0"/>
        <w:jc w:val="both"/>
        <w:rPr>
          <w:b/>
          <w:bCs/>
          <w:szCs w:val="24"/>
        </w:rPr>
      </w:pPr>
      <w:r w:rsidRPr="009D3408">
        <w:rPr>
          <w:b/>
          <w:bCs/>
          <w:szCs w:val="24"/>
        </w:rPr>
        <w:t>Strategies for vaccine accessibility, antibiotic stewardship, and community engagement</w:t>
      </w:r>
    </w:p>
    <w:p w14:paraId="55FBAF68" w14:textId="77777777" w:rsidR="00135BD0" w:rsidRPr="00135BD0" w:rsidRDefault="00135BD0" w:rsidP="00135BD0">
      <w:pPr>
        <w:spacing w:after="0"/>
        <w:rPr>
          <w:szCs w:val="24"/>
        </w:rPr>
      </w:pPr>
      <w:bookmarkStart w:id="9" w:name="_Toc65324951"/>
      <w:bookmarkEnd w:id="7"/>
      <w:r w:rsidRPr="00135BD0">
        <w:rPr>
          <w:szCs w:val="24"/>
        </w:rPr>
        <w:t>To enhance the availability of vaccines in low- and middle-income countries, a multifaceted approach is needed. Establishing robust supply lines and partnerships with local health authorities and international organizations like the WHO can assure underserved areas of a constant vaccine supply. Mobile vaccine clinics can assist with outreach to hard-to-reach areas, and social awareness campaigns can educate populations on the importance of vaccination, thus enhancing uptake and acceptance and reducing hesitancy (</w:t>
      </w:r>
      <w:proofErr w:type="spellStart"/>
      <w:r w:rsidRPr="00135BD0">
        <w:rPr>
          <w:szCs w:val="24"/>
        </w:rPr>
        <w:t>Kakwi</w:t>
      </w:r>
      <w:proofErr w:type="spellEnd"/>
      <w:r w:rsidRPr="00135BD0">
        <w:rPr>
          <w:szCs w:val="24"/>
        </w:rPr>
        <w:t xml:space="preserve"> et al., 2023).</w:t>
      </w:r>
    </w:p>
    <w:p w14:paraId="33851F05" w14:textId="77777777" w:rsidR="00135BD0" w:rsidRPr="00135BD0" w:rsidRDefault="00135BD0" w:rsidP="00135BD0">
      <w:pPr>
        <w:spacing w:after="0"/>
        <w:rPr>
          <w:szCs w:val="24"/>
        </w:rPr>
      </w:pPr>
      <w:r w:rsidRPr="00135BD0">
        <w:rPr>
          <w:szCs w:val="24"/>
        </w:rPr>
        <w:t>Good antibiotic stewardship is central to combating antimicrobial resistance, particularly in regions with a heavy infectious disease burden. Clinician education and training programs should emphasize correct prescribing, supplemented by treatment guidelines for common infections. Public awareness campaigns can inform patients about the risks of antibiotic overuse and the importance of completing prescriptions. Monitoring antibiotic use and resistance patterns through surveillance systems will enable targeted interventions (Mathew et al., 2024).</w:t>
      </w:r>
    </w:p>
    <w:p w14:paraId="611BBC7E" w14:textId="77777777" w:rsidR="00135BD0" w:rsidRDefault="00135BD0" w:rsidP="00135BD0">
      <w:pPr>
        <w:spacing w:after="0"/>
        <w:rPr>
          <w:szCs w:val="24"/>
        </w:rPr>
      </w:pPr>
      <w:r w:rsidRPr="00135BD0">
        <w:rPr>
          <w:szCs w:val="24"/>
        </w:rPr>
        <w:t>It is necessary to involve communities for public health to achieve success in infectious disease control. Partnering with community leaders can create culturally specific health education interventions that resonate with populations. Community health workers are critical bridges, providing education and facilitating access to services. Involving community members in decision-making can foster trust and promote adherence to public health mandates (Khouri et al., 2023).</w:t>
      </w:r>
    </w:p>
    <w:p w14:paraId="23E20FEC" w14:textId="4AB6C7CC" w:rsidR="00551E5E" w:rsidRPr="009D3408" w:rsidRDefault="00551E5E" w:rsidP="00135BD0">
      <w:pPr>
        <w:spacing w:after="0"/>
        <w:rPr>
          <w:b/>
          <w:bCs/>
        </w:rPr>
      </w:pPr>
      <w:r w:rsidRPr="009D3408">
        <w:rPr>
          <w:b/>
          <w:bCs/>
        </w:rPr>
        <w:t>Conclusion</w:t>
      </w:r>
      <w:bookmarkEnd w:id="9"/>
      <w:r w:rsidRPr="009D3408">
        <w:rPr>
          <w:b/>
          <w:bCs/>
        </w:rPr>
        <w:t xml:space="preserve"> </w:t>
      </w:r>
    </w:p>
    <w:p w14:paraId="10E5345E" w14:textId="03498CD1" w:rsidR="005F7797" w:rsidRDefault="005F7797" w:rsidP="005F7797">
      <w:pPr>
        <w:spacing w:before="240" w:after="0"/>
        <w:jc w:val="both"/>
      </w:pPr>
      <w:bookmarkStart w:id="10" w:name="_Hlk204003461"/>
      <w:r>
        <w:t>Many</w:t>
      </w:r>
      <w:r>
        <w:t xml:space="preserve"> low- and middle-income nations are still vulnerable to having high infectious disease morbidity and mortality. In them, poverty, malnutrition, illiteracy, unsafe water for drinking, and lack of healthcare services are causative factors in their ailment.</w:t>
      </w:r>
    </w:p>
    <w:p w14:paraId="0C7496BA" w14:textId="77777777" w:rsidR="005F7797" w:rsidRDefault="005F7797" w:rsidP="005F7797">
      <w:pPr>
        <w:spacing w:before="240" w:after="0"/>
        <w:jc w:val="both"/>
      </w:pPr>
      <w:r>
        <w:t>Addressing the dangers of infectious diseases to low- and middle-income countries calls for an integrated approach focusing on vaccine availability, antibiotic stewardship, and community engagement. Increased access to vaccines by strong supply chains and mobile facilities, and campaigns for public education, can notably improve the rate of immunization. At the same time, promoting effective antibiotic stewardship programs is the best way to avoid antimicrobial resistance, which means clinician training and public education about the proper use of antibiotics. Lastly, bridging communities through collaboration and local health efforts generates trust and makes public health interventions culturally responsive and effective.</w:t>
      </w:r>
    </w:p>
    <w:p w14:paraId="12A58862" w14:textId="3731CC3A" w:rsidR="00AC474D" w:rsidRPr="009D3408" w:rsidRDefault="00AC474D" w:rsidP="005F7797">
      <w:pPr>
        <w:spacing w:before="240" w:after="0"/>
        <w:jc w:val="both"/>
        <w:rPr>
          <w:b/>
          <w:bCs/>
          <w:kern w:val="2"/>
        </w:rPr>
      </w:pPr>
      <w:r w:rsidRPr="009D3408">
        <w:rPr>
          <w:b/>
          <w:bCs/>
          <w:kern w:val="2"/>
        </w:rPr>
        <w:t>Disclaimer (Artificial intelligence)</w:t>
      </w:r>
    </w:p>
    <w:p w14:paraId="58B531AD" w14:textId="3874D65B" w:rsidR="00AC474D" w:rsidRPr="009D3408" w:rsidRDefault="00AC474D" w:rsidP="0003677E">
      <w:pPr>
        <w:jc w:val="both"/>
        <w:rPr>
          <w:kern w:val="2"/>
        </w:rPr>
      </w:pPr>
      <w:r w:rsidRPr="009D3408">
        <w:rPr>
          <w:kern w:val="2"/>
        </w:rPr>
        <w:t xml:space="preserve">Author(s) hereby </w:t>
      </w:r>
      <w:r w:rsidR="0003677E" w:rsidRPr="009D3408">
        <w:rPr>
          <w:kern w:val="2"/>
        </w:rPr>
        <w:t>declares</w:t>
      </w:r>
      <w:r w:rsidRPr="009D3408">
        <w:rPr>
          <w:kern w:val="2"/>
        </w:rPr>
        <w:t xml:space="preserve"> that NO generative AI technologies such as Large Language Models (ChatGPT, COPILOT, etc.) and text-to-image generators have been used during the writing or editing of this manuscript. </w:t>
      </w:r>
    </w:p>
    <w:p w14:paraId="79CE25C7" w14:textId="77EA016C" w:rsidR="0003677E" w:rsidRPr="009D3408" w:rsidRDefault="0003677E" w:rsidP="005F7797">
      <w:pPr>
        <w:spacing w:after="0"/>
        <w:jc w:val="both"/>
        <w:rPr>
          <w:b/>
          <w:bCs/>
          <w:kern w:val="2"/>
        </w:rPr>
      </w:pPr>
      <w:r w:rsidRPr="009D3408">
        <w:rPr>
          <w:b/>
          <w:bCs/>
          <w:kern w:val="2"/>
        </w:rPr>
        <w:t>Conflict of interest</w:t>
      </w:r>
    </w:p>
    <w:p w14:paraId="731AEB91" w14:textId="3E57B427" w:rsidR="0003677E" w:rsidRPr="009D3408" w:rsidRDefault="0003677E" w:rsidP="0003677E">
      <w:pPr>
        <w:jc w:val="both"/>
        <w:rPr>
          <w:kern w:val="2"/>
        </w:rPr>
      </w:pPr>
      <w:r w:rsidRPr="009D3408">
        <w:rPr>
          <w:kern w:val="2"/>
        </w:rPr>
        <w:t>Authors declare no conflict of interest</w:t>
      </w:r>
    </w:p>
    <w:bookmarkEnd w:id="10"/>
    <w:p w14:paraId="1DDF580A" w14:textId="77777777" w:rsidR="003B5F5F" w:rsidRPr="009D3408" w:rsidRDefault="003B5F5F" w:rsidP="002D24A8">
      <w:pPr>
        <w:spacing w:before="240" w:after="0"/>
        <w:rPr>
          <w:szCs w:val="24"/>
        </w:rPr>
      </w:pPr>
      <w:r w:rsidRPr="009D3408">
        <w:rPr>
          <w:b/>
          <w:bCs/>
          <w:szCs w:val="24"/>
        </w:rPr>
        <w:t>References</w:t>
      </w:r>
    </w:p>
    <w:p w14:paraId="3BE292CF" w14:textId="77777777" w:rsidR="009D3408" w:rsidRPr="009D3408" w:rsidRDefault="009D3408" w:rsidP="002D24A8">
      <w:pPr>
        <w:jc w:val="both"/>
        <w:rPr>
          <w:szCs w:val="24"/>
        </w:rPr>
      </w:pPr>
      <w:r w:rsidRPr="009D3408">
        <w:rPr>
          <w:szCs w:val="24"/>
        </w:rPr>
        <w:t xml:space="preserve">Bloom, D.E., Kuhn, M. &amp; Prettner, K. (2022) 'Modern Infectious Diseases: Macroeconomic Impacts and Policy Responses', </w:t>
      </w:r>
      <w:r w:rsidRPr="009D3408">
        <w:rPr>
          <w:i/>
          <w:iCs/>
          <w:szCs w:val="24"/>
        </w:rPr>
        <w:t>Journal of Economic Literature</w:t>
      </w:r>
      <w:r w:rsidRPr="009D3408">
        <w:rPr>
          <w:szCs w:val="24"/>
        </w:rPr>
        <w:t>, 60(1), pp. 85–131.</w:t>
      </w:r>
    </w:p>
    <w:p w14:paraId="7E26E464" w14:textId="77777777" w:rsidR="009D3408" w:rsidRPr="009D3408" w:rsidRDefault="009D3408" w:rsidP="000702F3">
      <w:pPr>
        <w:jc w:val="both"/>
        <w:rPr>
          <w:szCs w:val="24"/>
        </w:rPr>
      </w:pPr>
      <w:r w:rsidRPr="009D3408">
        <w:rPr>
          <w:szCs w:val="24"/>
        </w:rPr>
        <w:t>Bollet AJ, Jay AB. Plagues &amp; poxes: the impact of human history on epidemic disease. Demos Medical Publishing; 2004 Jun 1.</w:t>
      </w:r>
    </w:p>
    <w:p w14:paraId="3514BE53" w14:textId="77777777" w:rsidR="009D3408" w:rsidRPr="009D3408" w:rsidRDefault="009D3408" w:rsidP="000702F3">
      <w:pPr>
        <w:jc w:val="both"/>
        <w:rPr>
          <w:szCs w:val="24"/>
        </w:rPr>
      </w:pPr>
      <w:r w:rsidRPr="009D3408">
        <w:rPr>
          <w:szCs w:val="24"/>
        </w:rPr>
        <w:t xml:space="preserve">Buffa, A., 2022. The role of density and population size in the pandemic-crisis experience of Covid-19. </w:t>
      </w:r>
    </w:p>
    <w:p w14:paraId="77D64280" w14:textId="77777777" w:rsidR="009D3408" w:rsidRPr="009D3408" w:rsidRDefault="009D3408" w:rsidP="002D24A8">
      <w:pPr>
        <w:jc w:val="both"/>
        <w:rPr>
          <w:szCs w:val="24"/>
        </w:rPr>
      </w:pPr>
      <w:r w:rsidRPr="009D3408">
        <w:rPr>
          <w:szCs w:val="24"/>
        </w:rPr>
        <w:t>CDC (1998) 'Preventing Emerging Infectious Diseases: A Strategy for the 21st Century'. Available at: [</w:t>
      </w:r>
      <w:hyperlink r:id="rId14" w:tgtFrame="_blank" w:history="1">
        <w:r w:rsidRPr="009D3408">
          <w:rPr>
            <w:rStyle w:val="Hyperlink"/>
            <w:color w:val="auto"/>
            <w:szCs w:val="24"/>
          </w:rPr>
          <w:t>https://www.cdc.gov/ncidod/emergplan/</w:t>
        </w:r>
      </w:hyperlink>
      <w:r w:rsidRPr="009D3408">
        <w:rPr>
          <w:szCs w:val="24"/>
        </w:rPr>
        <w:t>] (Accessed: 18 September 2025).</w:t>
      </w:r>
    </w:p>
    <w:p w14:paraId="71C22C39" w14:textId="77777777" w:rsidR="009D3408" w:rsidRPr="009D3408" w:rsidRDefault="009D3408" w:rsidP="002D24A8">
      <w:pPr>
        <w:jc w:val="both"/>
        <w:rPr>
          <w:szCs w:val="24"/>
        </w:rPr>
      </w:pPr>
      <w:r w:rsidRPr="009D3408">
        <w:rPr>
          <w:szCs w:val="24"/>
        </w:rPr>
        <w:t>Centers for Disease Control and Prevention (2023) 'Mpox (Monkeypox) Outbreak: What You Need to Know'. Available at: [</w:t>
      </w:r>
      <w:hyperlink r:id="rId15" w:tgtFrame="_blank" w:history="1">
        <w:r w:rsidRPr="009D3408">
          <w:rPr>
            <w:rStyle w:val="Hyperlink"/>
            <w:color w:val="auto"/>
            <w:szCs w:val="24"/>
          </w:rPr>
          <w:t>https://www.cdc.gov/mpox/index.html](Accessed</w:t>
        </w:r>
      </w:hyperlink>
      <w:r w:rsidRPr="009D3408">
        <w:rPr>
          <w:szCs w:val="24"/>
        </w:rPr>
        <w:t>: 18 September 2025).</w:t>
      </w:r>
    </w:p>
    <w:p w14:paraId="41276D22" w14:textId="77777777" w:rsidR="009D3408" w:rsidRPr="009D3408" w:rsidRDefault="009D3408" w:rsidP="00C73310">
      <w:pPr>
        <w:jc w:val="both"/>
        <w:rPr>
          <w:szCs w:val="24"/>
        </w:rPr>
      </w:pPr>
      <w:r w:rsidRPr="009D3408">
        <w:rPr>
          <w:szCs w:val="24"/>
        </w:rPr>
        <w:t xml:space="preserve">Ehrenberg JP, Utzinger J, Fontes G, da Rocha EM, Ehrenberg N, Zhou XN, Steinmann P. Efforts to mitigate the economic impact of the COVID-19 pandemic: potential entry points for neglected tropical diseases. Infectious diseases of poverty. 2021 Feb 1;10(01):4-13. </w:t>
      </w:r>
    </w:p>
    <w:p w14:paraId="209296E2" w14:textId="77777777" w:rsidR="009D3408" w:rsidRPr="009D3408" w:rsidRDefault="009D3408" w:rsidP="002D24A8">
      <w:pPr>
        <w:rPr>
          <w:szCs w:val="24"/>
        </w:rPr>
      </w:pPr>
      <w:r w:rsidRPr="009D3408">
        <w:rPr>
          <w:szCs w:val="24"/>
        </w:rPr>
        <w:t>Frontiers in Microbiology (2023) 'Strategies to overcome HIV drug resistance - current and future perspectives'. Available at: [</w:t>
      </w:r>
      <w:hyperlink r:id="rId16" w:tgtFrame="_blank" w:history="1">
        <w:r w:rsidRPr="009D3408">
          <w:rPr>
            <w:rStyle w:val="Hyperlink"/>
            <w:color w:val="auto"/>
            <w:szCs w:val="24"/>
          </w:rPr>
          <w:t>https://www.frontiersin.org/journals/microbiology/articles/10.3389/fmicb.2023.1133407/full](Accessed</w:t>
        </w:r>
      </w:hyperlink>
      <w:r w:rsidRPr="009D3408">
        <w:rPr>
          <w:szCs w:val="24"/>
        </w:rPr>
        <w:t>: 18 September 2025).</w:t>
      </w:r>
    </w:p>
    <w:p w14:paraId="32B3144D" w14:textId="77777777" w:rsidR="009D3408" w:rsidRPr="009D3408" w:rsidRDefault="009D3408" w:rsidP="002D24A8">
      <w:pPr>
        <w:jc w:val="both"/>
        <w:rPr>
          <w:szCs w:val="24"/>
        </w:rPr>
      </w:pPr>
      <w:r w:rsidRPr="009D3408">
        <w:rPr>
          <w:szCs w:val="24"/>
        </w:rPr>
        <w:t xml:space="preserve">GBD (2021) 'Global Burden of Disease', </w:t>
      </w:r>
      <w:r w:rsidRPr="009D3408">
        <w:rPr>
          <w:i/>
          <w:iCs/>
          <w:szCs w:val="24"/>
        </w:rPr>
        <w:t>Institute for Health Metrics and Evaluation</w:t>
      </w:r>
      <w:r w:rsidRPr="009D3408">
        <w:rPr>
          <w:szCs w:val="24"/>
        </w:rPr>
        <w:t>. Available at: [</w:t>
      </w:r>
      <w:hyperlink r:id="rId17" w:tgtFrame="_blank" w:history="1">
        <w:r w:rsidRPr="009D3408">
          <w:rPr>
            <w:rStyle w:val="Hyperlink"/>
            <w:color w:val="auto"/>
            <w:szCs w:val="24"/>
          </w:rPr>
          <w:t>https://www.healthdata.org/research-analysis/gbd</w:t>
        </w:r>
      </w:hyperlink>
      <w:r w:rsidRPr="009D3408">
        <w:rPr>
          <w:szCs w:val="24"/>
        </w:rPr>
        <w:t>] (Accessed 18 September 2025)</w:t>
      </w:r>
    </w:p>
    <w:p w14:paraId="1B1E8A4B" w14:textId="77777777" w:rsidR="009D3408" w:rsidRPr="009D3408" w:rsidRDefault="009D3408" w:rsidP="00E6265C">
      <w:pPr>
        <w:jc w:val="both"/>
        <w:rPr>
          <w:szCs w:val="24"/>
        </w:rPr>
      </w:pPr>
      <w:r w:rsidRPr="009D3408">
        <w:rPr>
          <w:szCs w:val="24"/>
        </w:rPr>
        <w:t>Hamidi S, Sabouri S, Ewing R. Does density aggravate the COVID-19 pandemic? Early findings and lessons for planners. Journal of the American planning association. 2020 Oct 1;86(4):495-509.</w:t>
      </w:r>
    </w:p>
    <w:p w14:paraId="7DAC1B2F" w14:textId="77777777" w:rsidR="009D3408" w:rsidRPr="009D3408" w:rsidRDefault="009D3408" w:rsidP="002D2819">
      <w:pPr>
        <w:jc w:val="both"/>
        <w:rPr>
          <w:szCs w:val="24"/>
        </w:rPr>
      </w:pPr>
      <w:r w:rsidRPr="009D3408">
        <w:rPr>
          <w:szCs w:val="24"/>
        </w:rPr>
        <w:t xml:space="preserve">Hotez, P.J., Bottazzi, M.E., and Franco-Paredes, C. (2024) 'The Impact of Neglected Tropical Diseases on Global Health', </w:t>
      </w:r>
      <w:r w:rsidRPr="009D3408">
        <w:rPr>
          <w:i/>
          <w:iCs/>
          <w:szCs w:val="24"/>
        </w:rPr>
        <w:t>The Lancet Infectious Diseases</w:t>
      </w:r>
      <w:r w:rsidRPr="009D3408">
        <w:rPr>
          <w:szCs w:val="24"/>
        </w:rPr>
        <w:t>, 24(2), pp. 134-142.</w:t>
      </w:r>
    </w:p>
    <w:p w14:paraId="4E9BE644" w14:textId="77777777" w:rsidR="009D3408" w:rsidRPr="009D3408" w:rsidRDefault="009D3408" w:rsidP="002D24A8">
      <w:pPr>
        <w:jc w:val="both"/>
        <w:rPr>
          <w:szCs w:val="24"/>
        </w:rPr>
      </w:pPr>
      <w:bookmarkStart w:id="11" w:name="_Hlk210135367"/>
      <w:r w:rsidRPr="009D3408">
        <w:rPr>
          <w:szCs w:val="24"/>
        </w:rPr>
        <w:t>IHME (2025) 'Institute for Health Metrics and Evaluation: Homepage'. Available at: [</w:t>
      </w:r>
      <w:hyperlink r:id="rId18" w:tgtFrame="_blank" w:history="1">
        <w:r w:rsidRPr="009D3408">
          <w:rPr>
            <w:rStyle w:val="Hyperlink"/>
            <w:color w:val="auto"/>
            <w:szCs w:val="24"/>
          </w:rPr>
          <w:t>https://www.healthdata.org/</w:t>
        </w:r>
      </w:hyperlink>
      <w:r w:rsidRPr="009D3408">
        <w:rPr>
          <w:szCs w:val="24"/>
        </w:rPr>
        <w:t>] (Accessed 18 September 2025).</w:t>
      </w:r>
    </w:p>
    <w:p w14:paraId="4DDD92D9" w14:textId="77777777" w:rsidR="009D3408" w:rsidRPr="009D3408" w:rsidRDefault="009D3408" w:rsidP="00661DEC">
      <w:pPr>
        <w:jc w:val="both"/>
        <w:rPr>
          <w:szCs w:val="24"/>
        </w:rPr>
      </w:pPr>
      <w:proofErr w:type="spellStart"/>
      <w:r w:rsidRPr="009D3408">
        <w:rPr>
          <w:szCs w:val="24"/>
        </w:rPr>
        <w:t>Kakwi</w:t>
      </w:r>
      <w:proofErr w:type="spellEnd"/>
      <w:r w:rsidRPr="009D3408">
        <w:rPr>
          <w:szCs w:val="24"/>
        </w:rPr>
        <w:t xml:space="preserve"> JD, </w:t>
      </w:r>
      <w:proofErr w:type="spellStart"/>
      <w:r w:rsidRPr="009D3408">
        <w:rPr>
          <w:szCs w:val="24"/>
        </w:rPr>
        <w:t>Yakasai</w:t>
      </w:r>
      <w:proofErr w:type="spellEnd"/>
      <w:r w:rsidRPr="009D3408">
        <w:rPr>
          <w:szCs w:val="24"/>
        </w:rPr>
        <w:t xml:space="preserve"> KM, </w:t>
      </w:r>
      <w:proofErr w:type="spellStart"/>
      <w:r w:rsidRPr="009D3408">
        <w:rPr>
          <w:szCs w:val="24"/>
        </w:rPr>
        <w:t>Kakwi</w:t>
      </w:r>
      <w:proofErr w:type="spellEnd"/>
      <w:r w:rsidRPr="009D3408">
        <w:rPr>
          <w:szCs w:val="24"/>
        </w:rPr>
        <w:t xml:space="preserve"> JD, Raimi MO. Campaigning Against Vaccine Hesitancy: Evaluating the Effectiveness of Health Communication on COVID-19 Vaccination Uptake in Plateau State, Nigeria. JMIR Preprints. 2024;22(09):2024.</w:t>
      </w:r>
    </w:p>
    <w:p w14:paraId="485767FF" w14:textId="77777777" w:rsidR="009D3408" w:rsidRPr="009D3408" w:rsidRDefault="009D3408" w:rsidP="002D2819">
      <w:pPr>
        <w:jc w:val="both"/>
        <w:rPr>
          <w:szCs w:val="24"/>
        </w:rPr>
      </w:pPr>
      <w:r w:rsidRPr="009D3408">
        <w:rPr>
          <w:szCs w:val="24"/>
        </w:rPr>
        <w:t xml:space="preserve">Kassebaum, N.J., Arora, M., and Barber, R.M. (2014) 'Global, regional, and national mortality trends and projections for 226 causes of death, 1990–2020: a systematic analysis for the Global Burden of Disease Study 2013', </w:t>
      </w:r>
      <w:r w:rsidRPr="009D3408">
        <w:rPr>
          <w:i/>
          <w:iCs/>
          <w:szCs w:val="24"/>
        </w:rPr>
        <w:t>The Lancet</w:t>
      </w:r>
      <w:r w:rsidRPr="009D3408">
        <w:rPr>
          <w:szCs w:val="24"/>
        </w:rPr>
        <w:t>, 384(9947), pp. 966-978.</w:t>
      </w:r>
    </w:p>
    <w:p w14:paraId="5C3D8152" w14:textId="77777777" w:rsidR="009D3408" w:rsidRPr="009D3408" w:rsidRDefault="009D3408" w:rsidP="002D2819">
      <w:pPr>
        <w:jc w:val="both"/>
        <w:rPr>
          <w:szCs w:val="24"/>
        </w:rPr>
      </w:pPr>
      <w:r w:rsidRPr="009D3408">
        <w:rPr>
          <w:szCs w:val="24"/>
        </w:rPr>
        <w:t xml:space="preserve">Khouri, B.F., Matar, H.E., and Al-Mohammad, A. (2023) 'Host Genetics and COVID-19: Genes Underlying the Patterns of Susceptibility and Prognosis', </w:t>
      </w:r>
      <w:r w:rsidRPr="009D3408">
        <w:rPr>
          <w:i/>
          <w:iCs/>
          <w:szCs w:val="24"/>
        </w:rPr>
        <w:t>Genetics in Medicine</w:t>
      </w:r>
      <w:r w:rsidRPr="009D3408">
        <w:rPr>
          <w:szCs w:val="24"/>
        </w:rPr>
        <w:t>, 25(3), pp. 222-230.</w:t>
      </w:r>
    </w:p>
    <w:bookmarkEnd w:id="11"/>
    <w:p w14:paraId="3E96FEE8" w14:textId="77777777" w:rsidR="009D3408" w:rsidRPr="009D3408" w:rsidRDefault="009D3408" w:rsidP="002D2819">
      <w:pPr>
        <w:jc w:val="both"/>
        <w:rPr>
          <w:szCs w:val="24"/>
        </w:rPr>
      </w:pPr>
      <w:r w:rsidRPr="009D3408">
        <w:rPr>
          <w:szCs w:val="24"/>
        </w:rPr>
        <w:t xml:space="preserve">Laxminarayan, R., Duse, A., and Wattal, C. (2022) 'Antimicrobial Resistance: Global Trends and Implications', </w:t>
      </w:r>
      <w:r w:rsidRPr="009D3408">
        <w:rPr>
          <w:i/>
          <w:iCs/>
          <w:szCs w:val="24"/>
        </w:rPr>
        <w:t>The Lancet</w:t>
      </w:r>
      <w:r w:rsidRPr="009D3408">
        <w:rPr>
          <w:szCs w:val="24"/>
        </w:rPr>
        <w:t>, 401(10367), pp. 1123-1134.</w:t>
      </w:r>
    </w:p>
    <w:p w14:paraId="41BDD523" w14:textId="77777777" w:rsidR="009D3408" w:rsidRPr="009D3408" w:rsidRDefault="009D3408" w:rsidP="002D2819">
      <w:pPr>
        <w:jc w:val="both"/>
        <w:rPr>
          <w:szCs w:val="24"/>
        </w:rPr>
      </w:pPr>
      <w:r w:rsidRPr="009D3408">
        <w:rPr>
          <w:szCs w:val="24"/>
        </w:rPr>
        <w:t xml:space="preserve">Leroy, E.M., </w:t>
      </w:r>
      <w:proofErr w:type="spellStart"/>
      <w:r w:rsidRPr="009D3408">
        <w:rPr>
          <w:szCs w:val="24"/>
        </w:rPr>
        <w:t>Rouquet</w:t>
      </w:r>
      <w:proofErr w:type="spellEnd"/>
      <w:r w:rsidRPr="009D3408">
        <w:rPr>
          <w:szCs w:val="24"/>
        </w:rPr>
        <w:t xml:space="preserve">, P., and </w:t>
      </w:r>
      <w:proofErr w:type="spellStart"/>
      <w:r w:rsidRPr="009D3408">
        <w:rPr>
          <w:szCs w:val="24"/>
        </w:rPr>
        <w:t>Formenty</w:t>
      </w:r>
      <w:proofErr w:type="spellEnd"/>
      <w:r w:rsidRPr="009D3408">
        <w:rPr>
          <w:szCs w:val="24"/>
        </w:rPr>
        <w:t xml:space="preserve">, P. (2021) 'The evolution of human infectious diseases', </w:t>
      </w:r>
      <w:r w:rsidRPr="009D3408">
        <w:rPr>
          <w:i/>
          <w:iCs/>
          <w:szCs w:val="24"/>
        </w:rPr>
        <w:t>Nature Reviews Microbiology</w:t>
      </w:r>
      <w:r w:rsidRPr="009D3408">
        <w:rPr>
          <w:szCs w:val="24"/>
        </w:rPr>
        <w:t>, 19(2), pp. 119-134.</w:t>
      </w:r>
    </w:p>
    <w:p w14:paraId="2AA664CD" w14:textId="77777777" w:rsidR="009D3408" w:rsidRPr="009D3408" w:rsidRDefault="009D3408" w:rsidP="002D2819">
      <w:pPr>
        <w:jc w:val="both"/>
        <w:rPr>
          <w:szCs w:val="24"/>
        </w:rPr>
      </w:pPr>
      <w:r w:rsidRPr="009D3408">
        <w:rPr>
          <w:szCs w:val="24"/>
        </w:rPr>
        <w:t xml:space="preserve">Marou, A., Zeller, H., and Cattaneo, C. (2024) 'Conflict and Health', </w:t>
      </w:r>
      <w:r w:rsidRPr="009D3408">
        <w:rPr>
          <w:i/>
          <w:iCs/>
          <w:szCs w:val="24"/>
        </w:rPr>
        <w:t>Conflict and Health</w:t>
      </w:r>
      <w:r w:rsidRPr="009D3408">
        <w:rPr>
          <w:szCs w:val="24"/>
        </w:rPr>
        <w:t>, 18(27).</w:t>
      </w:r>
    </w:p>
    <w:p w14:paraId="4C75D215" w14:textId="77777777" w:rsidR="009D3408" w:rsidRPr="009D3408" w:rsidRDefault="009D3408" w:rsidP="00A65CA7">
      <w:pPr>
        <w:jc w:val="both"/>
        <w:rPr>
          <w:szCs w:val="24"/>
        </w:rPr>
      </w:pPr>
      <w:r w:rsidRPr="009D3408">
        <w:rPr>
          <w:szCs w:val="24"/>
        </w:rPr>
        <w:t>Mathew P, Sivaraman S, Chandy S. Communication strategies for improving public awareness on appropriate antibiotic use: Bridging a vital gap for action on antibiotic resistance. Journal of family medicine and primary care. 2019 Jun 1;8(6):1867-71.</w:t>
      </w:r>
    </w:p>
    <w:p w14:paraId="5F093FA7" w14:textId="77777777" w:rsidR="009D3408" w:rsidRPr="009D3408" w:rsidRDefault="009D3408" w:rsidP="002D2819">
      <w:pPr>
        <w:jc w:val="both"/>
        <w:rPr>
          <w:szCs w:val="24"/>
        </w:rPr>
      </w:pPr>
      <w:r w:rsidRPr="009D3408">
        <w:rPr>
          <w:szCs w:val="24"/>
        </w:rPr>
        <w:t xml:space="preserve">Morrison, A.C., Rojas, L., and Ghosh, S. (2023) 'Funding Challenges for Neglected Tropical Diseases', </w:t>
      </w:r>
      <w:r w:rsidRPr="009D3408">
        <w:rPr>
          <w:i/>
          <w:iCs/>
          <w:szCs w:val="24"/>
        </w:rPr>
        <w:t>Health Policy and Planning</w:t>
      </w:r>
      <w:r w:rsidRPr="009D3408">
        <w:rPr>
          <w:szCs w:val="24"/>
        </w:rPr>
        <w:t>, 38(3), pp. 287-295.</w:t>
      </w:r>
    </w:p>
    <w:p w14:paraId="00DBC336" w14:textId="77777777" w:rsidR="009D3408" w:rsidRPr="009D3408" w:rsidRDefault="009D3408" w:rsidP="000702F3">
      <w:pPr>
        <w:jc w:val="both"/>
        <w:rPr>
          <w:szCs w:val="24"/>
        </w:rPr>
      </w:pPr>
      <w:proofErr w:type="spellStart"/>
      <w:r w:rsidRPr="009D3408">
        <w:rPr>
          <w:szCs w:val="24"/>
        </w:rPr>
        <w:t>Nozais</w:t>
      </w:r>
      <w:proofErr w:type="spellEnd"/>
      <w:r w:rsidRPr="009D3408">
        <w:rPr>
          <w:szCs w:val="24"/>
        </w:rPr>
        <w:t xml:space="preserve"> JP. The origin and dispersion of human parasitic diseases in the old world (Africa, Europe and Madagascar). </w:t>
      </w:r>
      <w:proofErr w:type="spellStart"/>
      <w:r w:rsidRPr="009D3408">
        <w:rPr>
          <w:szCs w:val="24"/>
        </w:rPr>
        <w:t>Memórias</w:t>
      </w:r>
      <w:proofErr w:type="spellEnd"/>
      <w:r w:rsidRPr="009D3408">
        <w:rPr>
          <w:szCs w:val="24"/>
        </w:rPr>
        <w:t xml:space="preserve"> do Instituto Oswaldo Cruz. </w:t>
      </w:r>
      <w:proofErr w:type="gramStart"/>
      <w:r w:rsidRPr="009D3408">
        <w:rPr>
          <w:szCs w:val="24"/>
        </w:rPr>
        <w:t>2003;98:13</w:t>
      </w:r>
      <w:proofErr w:type="gramEnd"/>
      <w:r w:rsidRPr="009D3408">
        <w:rPr>
          <w:szCs w:val="24"/>
        </w:rPr>
        <w:t xml:space="preserve">-9. </w:t>
      </w:r>
    </w:p>
    <w:p w14:paraId="09DCA46B" w14:textId="77777777" w:rsidR="009D3408" w:rsidRPr="009D3408" w:rsidRDefault="009D3408" w:rsidP="002D24A8">
      <w:pPr>
        <w:jc w:val="both"/>
        <w:rPr>
          <w:szCs w:val="24"/>
        </w:rPr>
      </w:pPr>
      <w:r w:rsidRPr="009D3408">
        <w:rPr>
          <w:szCs w:val="24"/>
        </w:rPr>
        <w:t xml:space="preserve">Paltiel, A.D., Zheng, A. &amp; Zheng, A. (2022) 'The Role of Trade and Travel in the Spread of Infectious Diseases', </w:t>
      </w:r>
      <w:r w:rsidRPr="009D3408">
        <w:rPr>
          <w:i/>
          <w:iCs/>
          <w:szCs w:val="24"/>
        </w:rPr>
        <w:t>International Journal of Infectious Diseases</w:t>
      </w:r>
      <w:r w:rsidRPr="009D3408">
        <w:rPr>
          <w:szCs w:val="24"/>
        </w:rPr>
        <w:t>, 113, pp. 142-149.</w:t>
      </w:r>
    </w:p>
    <w:p w14:paraId="709C6061" w14:textId="77777777" w:rsidR="009D3408" w:rsidRPr="009D3408" w:rsidRDefault="009D3408" w:rsidP="002D24A8">
      <w:pPr>
        <w:jc w:val="both"/>
        <w:rPr>
          <w:szCs w:val="24"/>
        </w:rPr>
      </w:pPr>
      <w:r w:rsidRPr="009D3408">
        <w:rPr>
          <w:szCs w:val="24"/>
        </w:rPr>
        <w:t xml:space="preserve">Paltiel, A.D., Zheng, A., and Zheng, A. (2022) 'The COVID-19 Pandemic and Health Inequities', </w:t>
      </w:r>
      <w:r w:rsidRPr="009D3408">
        <w:rPr>
          <w:i/>
          <w:iCs/>
          <w:szCs w:val="24"/>
        </w:rPr>
        <w:t>New England Journal of Medicine</w:t>
      </w:r>
      <w:r w:rsidRPr="009D3408">
        <w:rPr>
          <w:szCs w:val="24"/>
        </w:rPr>
        <w:t>, 386(1), pp. 1-3.</w:t>
      </w:r>
    </w:p>
    <w:p w14:paraId="3A2A67D5" w14:textId="77777777" w:rsidR="009D3408" w:rsidRPr="009D3408" w:rsidRDefault="009D3408" w:rsidP="00E6265C">
      <w:pPr>
        <w:jc w:val="both"/>
        <w:rPr>
          <w:szCs w:val="24"/>
        </w:rPr>
      </w:pPr>
      <w:r w:rsidRPr="009D3408">
        <w:rPr>
          <w:szCs w:val="24"/>
        </w:rPr>
        <w:t xml:space="preserve">Pavia G, Branda F, </w:t>
      </w:r>
      <w:proofErr w:type="spellStart"/>
      <w:r w:rsidRPr="009D3408">
        <w:rPr>
          <w:szCs w:val="24"/>
        </w:rPr>
        <w:t>Ciccozzi</w:t>
      </w:r>
      <w:proofErr w:type="spellEnd"/>
      <w:r w:rsidRPr="009D3408">
        <w:rPr>
          <w:szCs w:val="24"/>
        </w:rPr>
        <w:t xml:space="preserve"> A, Romano C, </w:t>
      </w:r>
      <w:proofErr w:type="spellStart"/>
      <w:r w:rsidRPr="009D3408">
        <w:rPr>
          <w:szCs w:val="24"/>
        </w:rPr>
        <w:t>Locci</w:t>
      </w:r>
      <w:proofErr w:type="spellEnd"/>
      <w:r w:rsidRPr="009D3408">
        <w:rPr>
          <w:szCs w:val="24"/>
        </w:rPr>
        <w:t xml:space="preserve"> C, </w:t>
      </w:r>
      <w:proofErr w:type="spellStart"/>
      <w:r w:rsidRPr="009D3408">
        <w:rPr>
          <w:szCs w:val="24"/>
        </w:rPr>
        <w:t>Azzena</w:t>
      </w:r>
      <w:proofErr w:type="spellEnd"/>
      <w:r w:rsidRPr="009D3408">
        <w:rPr>
          <w:szCs w:val="24"/>
        </w:rPr>
        <w:t xml:space="preserve"> I, Pascale N, Marascio N, Quirino A, Gigliotti S, </w:t>
      </w:r>
      <w:proofErr w:type="spellStart"/>
      <w:r w:rsidRPr="009D3408">
        <w:rPr>
          <w:szCs w:val="24"/>
        </w:rPr>
        <w:t>Divenuto</w:t>
      </w:r>
      <w:proofErr w:type="spellEnd"/>
      <w:r w:rsidRPr="009D3408">
        <w:rPr>
          <w:szCs w:val="24"/>
        </w:rPr>
        <w:t xml:space="preserve"> F. The issue of climate change and the spread of tropical diseases in Europe and Italy: vector biology, disease transmission, genome-based monitoring and public health implications. Infectious Diseases. 2025 Feb 1;57(2):121-36.</w:t>
      </w:r>
    </w:p>
    <w:p w14:paraId="07DE188B" w14:textId="77777777" w:rsidR="009D3408" w:rsidRPr="009D3408" w:rsidRDefault="009D3408" w:rsidP="002D24A8">
      <w:pPr>
        <w:jc w:val="both"/>
        <w:rPr>
          <w:szCs w:val="24"/>
        </w:rPr>
      </w:pPr>
      <w:r w:rsidRPr="009D3408">
        <w:rPr>
          <w:szCs w:val="24"/>
        </w:rPr>
        <w:t>PMC (2025) 'Infectious disease outbreaks drive political mistrust'. Available at: [</w:t>
      </w:r>
      <w:hyperlink r:id="rId19" w:tgtFrame="_blank" w:history="1">
        <w:r w:rsidRPr="009D3408">
          <w:rPr>
            <w:rStyle w:val="Hyperlink"/>
            <w:color w:val="auto"/>
            <w:szCs w:val="24"/>
          </w:rPr>
          <w:t>https://www.ncbi.nlm.nih.gov/pmc/articles/PMC12304936](Accessed</w:t>
        </w:r>
      </w:hyperlink>
      <w:r w:rsidRPr="009D3408">
        <w:rPr>
          <w:szCs w:val="24"/>
        </w:rPr>
        <w:t>: 18 September 2025).</w:t>
      </w:r>
    </w:p>
    <w:p w14:paraId="6E604EE1" w14:textId="77777777" w:rsidR="009D3408" w:rsidRPr="009D3408" w:rsidRDefault="009D3408" w:rsidP="00C73310">
      <w:pPr>
        <w:jc w:val="both"/>
        <w:rPr>
          <w:szCs w:val="24"/>
        </w:rPr>
      </w:pPr>
      <w:r w:rsidRPr="009D3408">
        <w:rPr>
          <w:szCs w:val="24"/>
        </w:rPr>
        <w:t xml:space="preserve">Prentice KR, Williams BA, True JM, Jones CH. Advancing health equity in the aftermath of COVID-19: Confronting intensifying racial disparities. </w:t>
      </w:r>
      <w:proofErr w:type="spellStart"/>
      <w:r w:rsidRPr="009D3408">
        <w:rPr>
          <w:szCs w:val="24"/>
        </w:rPr>
        <w:t>Iscience</w:t>
      </w:r>
      <w:proofErr w:type="spellEnd"/>
      <w:r w:rsidRPr="009D3408">
        <w:rPr>
          <w:szCs w:val="24"/>
        </w:rPr>
        <w:t>. 2024 Jul 19;27(7).</w:t>
      </w:r>
    </w:p>
    <w:p w14:paraId="7FBF0B64" w14:textId="77777777" w:rsidR="009D3408" w:rsidRPr="009D3408" w:rsidRDefault="009D3408" w:rsidP="002D24A8">
      <w:pPr>
        <w:jc w:val="both"/>
        <w:rPr>
          <w:szCs w:val="24"/>
        </w:rPr>
      </w:pPr>
      <w:proofErr w:type="spellStart"/>
      <w:r w:rsidRPr="009D3408">
        <w:rPr>
          <w:szCs w:val="24"/>
        </w:rPr>
        <w:t>Ravallion</w:t>
      </w:r>
      <w:proofErr w:type="spellEnd"/>
      <w:r w:rsidRPr="009D3408">
        <w:rPr>
          <w:szCs w:val="24"/>
        </w:rPr>
        <w:t xml:space="preserve">, M. (2022) 'Poverty and Inequality in the World', </w:t>
      </w:r>
      <w:r w:rsidRPr="009D3408">
        <w:rPr>
          <w:i/>
          <w:iCs/>
          <w:szCs w:val="24"/>
        </w:rPr>
        <w:t>World Development</w:t>
      </w:r>
      <w:r w:rsidRPr="009D3408">
        <w:rPr>
          <w:szCs w:val="24"/>
        </w:rPr>
        <w:t>, 151, pp. 1-12.</w:t>
      </w:r>
    </w:p>
    <w:p w14:paraId="5F24ECB1" w14:textId="77777777" w:rsidR="009D3408" w:rsidRPr="009D3408" w:rsidRDefault="009D3408" w:rsidP="000702F3">
      <w:pPr>
        <w:jc w:val="both"/>
        <w:rPr>
          <w:szCs w:val="24"/>
        </w:rPr>
      </w:pPr>
      <w:r w:rsidRPr="009D3408">
        <w:rPr>
          <w:szCs w:val="24"/>
        </w:rPr>
        <w:t xml:space="preserve">Saba N, Balwan WK. Potential threat of emerging and re-emerging zoonotic diseases. Annals of the Romanian Society for Cell Biology. 2021;25(5):29-36. </w:t>
      </w:r>
    </w:p>
    <w:p w14:paraId="26993BC3" w14:textId="77777777" w:rsidR="009D3408" w:rsidRPr="009D3408" w:rsidRDefault="009D3408" w:rsidP="000702F3">
      <w:pPr>
        <w:jc w:val="both"/>
        <w:rPr>
          <w:szCs w:val="24"/>
        </w:rPr>
      </w:pPr>
      <w:r w:rsidRPr="009D3408">
        <w:rPr>
          <w:szCs w:val="24"/>
        </w:rPr>
        <w:t xml:space="preserve">Salam MA, Al-Amin MY, Salam MT, Pawar JS, Akhter N, </w:t>
      </w:r>
      <w:proofErr w:type="spellStart"/>
      <w:r w:rsidRPr="009D3408">
        <w:rPr>
          <w:szCs w:val="24"/>
        </w:rPr>
        <w:t>Rabaan</w:t>
      </w:r>
      <w:proofErr w:type="spellEnd"/>
      <w:r w:rsidRPr="009D3408">
        <w:rPr>
          <w:szCs w:val="24"/>
        </w:rPr>
        <w:t xml:space="preserve"> AA, </w:t>
      </w:r>
      <w:proofErr w:type="spellStart"/>
      <w:r w:rsidRPr="009D3408">
        <w:rPr>
          <w:szCs w:val="24"/>
        </w:rPr>
        <w:t>Alqumber</w:t>
      </w:r>
      <w:proofErr w:type="spellEnd"/>
      <w:r w:rsidRPr="009D3408">
        <w:rPr>
          <w:szCs w:val="24"/>
        </w:rPr>
        <w:t xml:space="preserve"> MA. Antimicrobial resistance: a growing serious threat for global public health. </w:t>
      </w:r>
      <w:proofErr w:type="spellStart"/>
      <w:r w:rsidRPr="009D3408">
        <w:rPr>
          <w:szCs w:val="24"/>
        </w:rPr>
        <w:t>InHealthcare</w:t>
      </w:r>
      <w:proofErr w:type="spellEnd"/>
      <w:r w:rsidRPr="009D3408">
        <w:rPr>
          <w:szCs w:val="24"/>
        </w:rPr>
        <w:t xml:space="preserve"> 2023 Jul 5 (Vol. 11, No. 13, p. 1946). MDPI.</w:t>
      </w:r>
    </w:p>
    <w:p w14:paraId="5F966C2C" w14:textId="77777777" w:rsidR="009D3408" w:rsidRPr="009D3408" w:rsidRDefault="009D3408" w:rsidP="00E6265C">
      <w:pPr>
        <w:jc w:val="both"/>
        <w:rPr>
          <w:szCs w:val="24"/>
        </w:rPr>
      </w:pPr>
      <w:r w:rsidRPr="009D3408">
        <w:rPr>
          <w:szCs w:val="24"/>
        </w:rPr>
        <w:t>Sharma S. Public Health Challenges in the Global South Post-COVID-19 Pandemic. International Management Review. 2025 Jan 1;21(1):94-129.</w:t>
      </w:r>
    </w:p>
    <w:p w14:paraId="28C0C700" w14:textId="77777777" w:rsidR="009D3408" w:rsidRPr="009D3408" w:rsidRDefault="009D3408" w:rsidP="002D24A8">
      <w:pPr>
        <w:jc w:val="both"/>
        <w:rPr>
          <w:szCs w:val="24"/>
        </w:rPr>
      </w:pPr>
      <w:r w:rsidRPr="009D3408">
        <w:rPr>
          <w:szCs w:val="24"/>
        </w:rPr>
        <w:t xml:space="preserve">Smit, T., Hens, N. &amp; Van Oosterhout, C. (2023) 'Zoonotic Diseases and the Human-Animal Interface', </w:t>
      </w:r>
      <w:r w:rsidRPr="009D3408">
        <w:rPr>
          <w:i/>
          <w:iCs/>
          <w:szCs w:val="24"/>
        </w:rPr>
        <w:t>One Health</w:t>
      </w:r>
      <w:r w:rsidRPr="009D3408">
        <w:rPr>
          <w:szCs w:val="24"/>
        </w:rPr>
        <w:t>, 15, 100392.</w:t>
      </w:r>
    </w:p>
    <w:p w14:paraId="069F1DE0" w14:textId="77777777" w:rsidR="009D3408" w:rsidRPr="009D3408" w:rsidRDefault="009D3408" w:rsidP="002D24A8">
      <w:pPr>
        <w:jc w:val="both"/>
        <w:rPr>
          <w:szCs w:val="24"/>
        </w:rPr>
      </w:pPr>
      <w:r w:rsidRPr="009D3408">
        <w:rPr>
          <w:szCs w:val="24"/>
        </w:rPr>
        <w:t xml:space="preserve">Taubenberger, J.K. &amp; </w:t>
      </w:r>
      <w:proofErr w:type="spellStart"/>
      <w:r w:rsidRPr="009D3408">
        <w:rPr>
          <w:szCs w:val="24"/>
        </w:rPr>
        <w:t>Morens</w:t>
      </w:r>
      <w:proofErr w:type="spellEnd"/>
      <w:r w:rsidRPr="009D3408">
        <w:rPr>
          <w:szCs w:val="24"/>
        </w:rPr>
        <w:t xml:space="preserve">, D.M. (2022) 'Influenza: the once and future pandemic', </w:t>
      </w:r>
      <w:r w:rsidRPr="009D3408">
        <w:rPr>
          <w:i/>
          <w:iCs/>
          <w:szCs w:val="24"/>
        </w:rPr>
        <w:t>Nature Reviews Microbiology</w:t>
      </w:r>
      <w:r w:rsidRPr="009D3408">
        <w:rPr>
          <w:szCs w:val="24"/>
        </w:rPr>
        <w:t>, 20(1), pp. 1-13.</w:t>
      </w:r>
    </w:p>
    <w:p w14:paraId="2149C9CF" w14:textId="77777777" w:rsidR="009D3408" w:rsidRPr="009D3408" w:rsidRDefault="009D3408" w:rsidP="00C73310">
      <w:pPr>
        <w:jc w:val="both"/>
        <w:rPr>
          <w:szCs w:val="24"/>
        </w:rPr>
      </w:pPr>
      <w:r w:rsidRPr="009D3408">
        <w:rPr>
          <w:szCs w:val="24"/>
        </w:rPr>
        <w:t>Titcomb G, Uelmen J, Janko M, Nunn C. Infectious disease responses to human climate change adaptations. Global Change Biology. 2024 Aug;30(8</w:t>
      </w:r>
      <w:proofErr w:type="gramStart"/>
      <w:r w:rsidRPr="009D3408">
        <w:rPr>
          <w:szCs w:val="24"/>
        </w:rPr>
        <w:t>):e</w:t>
      </w:r>
      <w:proofErr w:type="gramEnd"/>
      <w:r w:rsidRPr="009D3408">
        <w:rPr>
          <w:szCs w:val="24"/>
        </w:rPr>
        <w:t>17433.</w:t>
      </w:r>
    </w:p>
    <w:p w14:paraId="26CFBCDA" w14:textId="77777777" w:rsidR="009D3408" w:rsidRPr="009D3408" w:rsidRDefault="009D3408" w:rsidP="002D24A8">
      <w:pPr>
        <w:jc w:val="both"/>
        <w:rPr>
          <w:szCs w:val="24"/>
        </w:rPr>
      </w:pPr>
      <w:proofErr w:type="spellStart"/>
      <w:r w:rsidRPr="009D3408">
        <w:rPr>
          <w:szCs w:val="24"/>
        </w:rPr>
        <w:t>Tsantes</w:t>
      </w:r>
      <w:proofErr w:type="spellEnd"/>
      <w:r w:rsidRPr="009D3408">
        <w:rPr>
          <w:szCs w:val="24"/>
        </w:rPr>
        <w:t xml:space="preserve">, A.G., </w:t>
      </w:r>
      <w:proofErr w:type="spellStart"/>
      <w:r w:rsidRPr="009D3408">
        <w:rPr>
          <w:szCs w:val="24"/>
        </w:rPr>
        <w:t>Sokou</w:t>
      </w:r>
      <w:proofErr w:type="spellEnd"/>
      <w:r w:rsidRPr="009D3408">
        <w:rPr>
          <w:szCs w:val="24"/>
        </w:rPr>
        <w:t xml:space="preserve">, R., </w:t>
      </w:r>
      <w:proofErr w:type="spellStart"/>
      <w:r w:rsidRPr="009D3408">
        <w:rPr>
          <w:szCs w:val="24"/>
        </w:rPr>
        <w:t>Bellou</w:t>
      </w:r>
      <w:proofErr w:type="spellEnd"/>
      <w:r w:rsidRPr="009D3408">
        <w:rPr>
          <w:szCs w:val="24"/>
        </w:rPr>
        <w:t xml:space="preserve">, V., &amp; Papadopoulos, D.V. (2025). 'Editorial for the Special Issue “Infectious Diseases: Emerging Diagnostic Methods, Updated Treatment Protocols and New Antimicrobial Agents”', </w:t>
      </w:r>
      <w:r w:rsidRPr="009D3408">
        <w:rPr>
          <w:i/>
          <w:iCs/>
          <w:szCs w:val="24"/>
        </w:rPr>
        <w:t>Biology</w:t>
      </w:r>
      <w:r w:rsidRPr="009D3408">
        <w:rPr>
          <w:szCs w:val="24"/>
        </w:rPr>
        <w:t>, 14(9), 1245.</w:t>
      </w:r>
    </w:p>
    <w:p w14:paraId="0A8CC8F2" w14:textId="77777777" w:rsidR="009D3408" w:rsidRPr="009D3408" w:rsidRDefault="009D3408" w:rsidP="002D24A8">
      <w:pPr>
        <w:jc w:val="both"/>
        <w:rPr>
          <w:szCs w:val="24"/>
        </w:rPr>
      </w:pPr>
      <w:r w:rsidRPr="009D3408">
        <w:rPr>
          <w:szCs w:val="24"/>
        </w:rPr>
        <w:t xml:space="preserve">UN (2019) 'World Population Prospects 2019', </w:t>
      </w:r>
      <w:r w:rsidRPr="009D3408">
        <w:rPr>
          <w:i/>
          <w:iCs/>
          <w:szCs w:val="24"/>
        </w:rPr>
        <w:t>United Nations</w:t>
      </w:r>
      <w:r w:rsidRPr="009D3408">
        <w:rPr>
          <w:szCs w:val="24"/>
        </w:rPr>
        <w:t>. Available at: [</w:t>
      </w:r>
      <w:hyperlink r:id="rId20" w:tgtFrame="_blank" w:history="1">
        <w:r w:rsidRPr="009D3408">
          <w:rPr>
            <w:rStyle w:val="Hyperlink"/>
            <w:color w:val="auto"/>
            <w:szCs w:val="24"/>
          </w:rPr>
          <w:t>https://www.un.org/development/desa/publications/world-population-prospects-2019.html</w:t>
        </w:r>
      </w:hyperlink>
      <w:r w:rsidRPr="009D3408">
        <w:rPr>
          <w:szCs w:val="24"/>
        </w:rPr>
        <w:t>] (Accessed: 18 September 2025).</w:t>
      </w:r>
    </w:p>
    <w:p w14:paraId="5605A5E8" w14:textId="77777777" w:rsidR="009D3408" w:rsidRPr="009D3408" w:rsidRDefault="009D3408" w:rsidP="00E6265C">
      <w:pPr>
        <w:jc w:val="both"/>
        <w:rPr>
          <w:szCs w:val="24"/>
        </w:rPr>
      </w:pPr>
      <w:r w:rsidRPr="009D3408">
        <w:rPr>
          <w:szCs w:val="24"/>
        </w:rPr>
        <w:t xml:space="preserve">Van Wees DA, den Daas C, Kretzschmar ME, Heijne JC. Modelling the impact of tailored </w:t>
      </w:r>
      <w:proofErr w:type="spellStart"/>
      <w:r w:rsidRPr="009D3408">
        <w:rPr>
          <w:szCs w:val="24"/>
        </w:rPr>
        <w:t>behavioural</w:t>
      </w:r>
      <w:proofErr w:type="spellEnd"/>
      <w:r w:rsidRPr="009D3408">
        <w:rPr>
          <w:szCs w:val="24"/>
        </w:rPr>
        <w:t xml:space="preserve"> interventions on chlamydia transmission. Scientific Reports. 2021 Jan 25;11(1):2148.</w:t>
      </w:r>
    </w:p>
    <w:p w14:paraId="31BAA5C0" w14:textId="77777777" w:rsidR="009D3408" w:rsidRPr="009D3408" w:rsidRDefault="009D3408" w:rsidP="002D24A8">
      <w:pPr>
        <w:jc w:val="both"/>
        <w:rPr>
          <w:szCs w:val="24"/>
        </w:rPr>
      </w:pPr>
      <w:proofErr w:type="spellStart"/>
      <w:r w:rsidRPr="009D3408">
        <w:rPr>
          <w:szCs w:val="24"/>
        </w:rPr>
        <w:t>Wellcome</w:t>
      </w:r>
      <w:proofErr w:type="spellEnd"/>
      <w:r w:rsidRPr="009D3408">
        <w:rPr>
          <w:szCs w:val="24"/>
        </w:rPr>
        <w:t xml:space="preserve"> (2021) 'The cost of not preparing for infectious diseases'. Available at: [</w:t>
      </w:r>
      <w:hyperlink r:id="rId21" w:tgtFrame="_blank" w:history="1">
        <w:r w:rsidRPr="009D3408">
          <w:rPr>
            <w:rStyle w:val="Hyperlink"/>
            <w:color w:val="auto"/>
            <w:szCs w:val="24"/>
          </w:rPr>
          <w:t>https://wellcome.org/news/cost-of-not-preparing-for-infectious-diseases](Accessed</w:t>
        </w:r>
      </w:hyperlink>
      <w:r w:rsidRPr="009D3408">
        <w:rPr>
          <w:szCs w:val="24"/>
        </w:rPr>
        <w:t>: 18 September 2025).</w:t>
      </w:r>
    </w:p>
    <w:p w14:paraId="607582E0" w14:textId="77777777" w:rsidR="009D3408" w:rsidRPr="009D3408" w:rsidRDefault="009D3408" w:rsidP="002D24A8">
      <w:pPr>
        <w:jc w:val="both"/>
        <w:rPr>
          <w:szCs w:val="24"/>
        </w:rPr>
      </w:pPr>
      <w:r w:rsidRPr="009D3408">
        <w:rPr>
          <w:szCs w:val="24"/>
        </w:rPr>
        <w:t xml:space="preserve">WHO (2021) 'One Health', </w:t>
      </w:r>
      <w:r w:rsidRPr="009D3408">
        <w:rPr>
          <w:i/>
          <w:iCs/>
          <w:szCs w:val="24"/>
        </w:rPr>
        <w:t>World Health Organization</w:t>
      </w:r>
      <w:r w:rsidRPr="009D3408">
        <w:rPr>
          <w:szCs w:val="24"/>
        </w:rPr>
        <w:t>. Available at: [</w:t>
      </w:r>
      <w:hyperlink r:id="rId22" w:tgtFrame="_blank" w:history="1">
        <w:r w:rsidRPr="009D3408">
          <w:rPr>
            <w:rStyle w:val="Hyperlink"/>
            <w:color w:val="auto"/>
            <w:szCs w:val="24"/>
          </w:rPr>
          <w:t>https://www.who.int/health-topics/one-health</w:t>
        </w:r>
      </w:hyperlink>
      <w:r w:rsidRPr="009D3408">
        <w:rPr>
          <w:szCs w:val="24"/>
        </w:rPr>
        <w:t>] (Accessed: 18 September 2025).</w:t>
      </w:r>
    </w:p>
    <w:p w14:paraId="172ABA32" w14:textId="77777777" w:rsidR="009D3408" w:rsidRPr="009D3408" w:rsidRDefault="009D3408" w:rsidP="002D24A8">
      <w:pPr>
        <w:jc w:val="both"/>
        <w:rPr>
          <w:szCs w:val="24"/>
        </w:rPr>
      </w:pPr>
      <w:r w:rsidRPr="009D3408">
        <w:rPr>
          <w:szCs w:val="24"/>
        </w:rPr>
        <w:t xml:space="preserve">WHO (2025) 'Health inequities are shortening lives by decades', </w:t>
      </w:r>
      <w:r w:rsidRPr="009D3408">
        <w:rPr>
          <w:i/>
          <w:iCs/>
          <w:szCs w:val="24"/>
        </w:rPr>
        <w:t>World Health Organization</w:t>
      </w:r>
      <w:r w:rsidRPr="009D3408">
        <w:rPr>
          <w:szCs w:val="24"/>
        </w:rPr>
        <w:t>. Available at: [</w:t>
      </w:r>
      <w:hyperlink r:id="rId23" w:tgtFrame="_blank" w:history="1">
        <w:r w:rsidRPr="009D3408">
          <w:rPr>
            <w:rStyle w:val="Hyperlink"/>
            <w:color w:val="auto"/>
            <w:szCs w:val="24"/>
          </w:rPr>
          <w:t>https://www.who.int/news/item/06-05-2025-health-inequities-are-shortening-lives-by-decades</w:t>
        </w:r>
      </w:hyperlink>
      <w:r w:rsidRPr="009D3408">
        <w:rPr>
          <w:szCs w:val="24"/>
        </w:rPr>
        <w:t>] (Accessed: 18 September 2025).</w:t>
      </w:r>
    </w:p>
    <w:p w14:paraId="5D35DC71" w14:textId="77777777" w:rsidR="009D3408" w:rsidRPr="009D3408" w:rsidRDefault="009D3408" w:rsidP="002D24A8">
      <w:pPr>
        <w:jc w:val="both"/>
        <w:rPr>
          <w:szCs w:val="24"/>
        </w:rPr>
      </w:pPr>
      <w:r w:rsidRPr="009D3408">
        <w:rPr>
          <w:szCs w:val="24"/>
        </w:rPr>
        <w:t>World Health Organization (2023) 'Global Leaders Group on Antimicrobial Resistance: Call to Action'. Available at: [</w:t>
      </w:r>
      <w:hyperlink r:id="rId24" w:tgtFrame="_blank" w:history="1">
        <w:r w:rsidRPr="009D3408">
          <w:rPr>
            <w:rStyle w:val="Hyperlink"/>
            <w:color w:val="auto"/>
            <w:szCs w:val="24"/>
          </w:rPr>
          <w:t>https://www.who.int/news-room/news/item/2023-09-14-global-leaders-group-on-antimicrobial-resistance-call-to-action](Accessed</w:t>
        </w:r>
      </w:hyperlink>
      <w:r w:rsidRPr="009D3408">
        <w:rPr>
          <w:szCs w:val="24"/>
        </w:rPr>
        <w:t>: 18 September 2025).</w:t>
      </w:r>
    </w:p>
    <w:p w14:paraId="7656B171" w14:textId="77777777" w:rsidR="009D3408" w:rsidRPr="009D3408" w:rsidRDefault="009D3408" w:rsidP="002D24A8">
      <w:pPr>
        <w:jc w:val="both"/>
        <w:rPr>
          <w:szCs w:val="24"/>
        </w:rPr>
      </w:pPr>
      <w:r w:rsidRPr="009D3408">
        <w:rPr>
          <w:szCs w:val="24"/>
        </w:rPr>
        <w:t>World Health Organization (2024) 'The top 10 causes of death'. Available at: [</w:t>
      </w:r>
      <w:hyperlink r:id="rId25" w:tgtFrame="_blank" w:history="1">
        <w:r w:rsidRPr="009D3408">
          <w:rPr>
            <w:rStyle w:val="Hyperlink"/>
            <w:color w:val="auto"/>
            <w:szCs w:val="24"/>
          </w:rPr>
          <w:t>https://www.who.int/news-room/fact-sheets/detail/the-top-10-causes-of-death](Accessed</w:t>
        </w:r>
      </w:hyperlink>
      <w:r w:rsidRPr="009D3408">
        <w:rPr>
          <w:szCs w:val="24"/>
        </w:rPr>
        <w:t>: 18 September 2025).</w:t>
      </w:r>
    </w:p>
    <w:p w14:paraId="76E22672" w14:textId="77777777" w:rsidR="009D3408" w:rsidRPr="005D1A1A" w:rsidRDefault="009D3408" w:rsidP="00C73310">
      <w:pPr>
        <w:jc w:val="both"/>
        <w:rPr>
          <w:szCs w:val="24"/>
        </w:rPr>
      </w:pPr>
      <w:r w:rsidRPr="009D3408">
        <w:rPr>
          <w:szCs w:val="24"/>
        </w:rPr>
        <w:t xml:space="preserve">Wu T, </w:t>
      </w:r>
      <w:proofErr w:type="spellStart"/>
      <w:r w:rsidRPr="009D3408">
        <w:rPr>
          <w:szCs w:val="24"/>
        </w:rPr>
        <w:t>Perrings</w:t>
      </w:r>
      <w:proofErr w:type="spellEnd"/>
      <w:r w:rsidRPr="009D3408">
        <w:rPr>
          <w:szCs w:val="24"/>
        </w:rPr>
        <w:t xml:space="preserve"> C, Kinzig A, Collins JP, Minteer BA, </w:t>
      </w:r>
      <w:proofErr w:type="spellStart"/>
      <w:r w:rsidRPr="009D3408">
        <w:rPr>
          <w:szCs w:val="24"/>
        </w:rPr>
        <w:t>Daszak</w:t>
      </w:r>
      <w:proofErr w:type="spellEnd"/>
      <w:r w:rsidRPr="009D3408">
        <w:rPr>
          <w:szCs w:val="24"/>
        </w:rPr>
        <w:t xml:space="preserve"> P. Economic growth, urbanization, globalization, and the risks of emerging infectious diseases in China: A review. </w:t>
      </w:r>
      <w:proofErr w:type="spellStart"/>
      <w:r w:rsidRPr="009D3408">
        <w:rPr>
          <w:szCs w:val="24"/>
        </w:rPr>
        <w:t>Ambio</w:t>
      </w:r>
      <w:proofErr w:type="spellEnd"/>
      <w:r w:rsidRPr="009D3408">
        <w:rPr>
          <w:szCs w:val="24"/>
        </w:rPr>
        <w:t>. 2017 Feb;46(1):18-29. Bhutta ZA, Sommerfeld J, Lassi ZS, Salam RA, Das JK. Global burden, distribution, and interventions for infectious diseases of poverty. Infectious diseases of poverty. 2014 Jul 31;3(1):21.</w:t>
      </w:r>
    </w:p>
    <w:sectPr w:rsidR="009D3408" w:rsidRPr="005D1A1A" w:rsidSect="00966EFB">
      <w:type w:val="continuous"/>
      <w:pgSz w:w="12240" w:h="15840"/>
      <w:pgMar w:top="1440" w:right="1080" w:bottom="1440" w:left="1080" w:header="720"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3EED" w14:textId="77777777" w:rsidR="003A46AE" w:rsidRDefault="003A46AE" w:rsidP="007015DB">
      <w:pPr>
        <w:spacing w:after="0" w:line="240" w:lineRule="auto"/>
      </w:pPr>
      <w:r>
        <w:separator/>
      </w:r>
    </w:p>
  </w:endnote>
  <w:endnote w:type="continuationSeparator" w:id="0">
    <w:p w14:paraId="11DEE39D" w14:textId="77777777" w:rsidR="003A46AE" w:rsidRDefault="003A46AE" w:rsidP="00701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D279" w14:textId="77777777" w:rsidR="00F979C9" w:rsidRDefault="00F97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778995"/>
      <w:docPartObj>
        <w:docPartGallery w:val="Page Numbers (Bottom of Page)"/>
        <w:docPartUnique/>
      </w:docPartObj>
    </w:sdtPr>
    <w:sdtEndPr>
      <w:rPr>
        <w:noProof/>
      </w:rPr>
    </w:sdtEndPr>
    <w:sdtContent>
      <w:p w14:paraId="543A31BB" w14:textId="77777777" w:rsidR="007015DB" w:rsidRDefault="007015DB">
        <w:pPr>
          <w:pStyle w:val="Footer"/>
          <w:jc w:val="center"/>
        </w:pPr>
        <w:r>
          <w:fldChar w:fldCharType="begin"/>
        </w:r>
        <w:r>
          <w:instrText xml:space="preserve"> PAGE   \* MERGEFORMAT </w:instrText>
        </w:r>
        <w:r>
          <w:fldChar w:fldCharType="separate"/>
        </w:r>
        <w:r w:rsidR="00FA7226">
          <w:rPr>
            <w:noProof/>
          </w:rPr>
          <w:t>1</w:t>
        </w:r>
        <w:r>
          <w:rPr>
            <w:noProof/>
          </w:rPr>
          <w:fldChar w:fldCharType="end"/>
        </w:r>
      </w:p>
    </w:sdtContent>
  </w:sdt>
  <w:p w14:paraId="5792B6A9" w14:textId="77777777" w:rsidR="007015DB" w:rsidRDefault="00701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09E0" w14:textId="77777777" w:rsidR="00F979C9" w:rsidRDefault="00F9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57D7" w14:textId="77777777" w:rsidR="003A46AE" w:rsidRDefault="003A46AE" w:rsidP="007015DB">
      <w:pPr>
        <w:spacing w:after="0" w:line="240" w:lineRule="auto"/>
      </w:pPr>
      <w:r>
        <w:separator/>
      </w:r>
    </w:p>
  </w:footnote>
  <w:footnote w:type="continuationSeparator" w:id="0">
    <w:p w14:paraId="1BD7C457" w14:textId="77777777" w:rsidR="003A46AE" w:rsidRDefault="003A46AE" w:rsidP="00701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1D59" w14:textId="6C2BB76B" w:rsidR="00F979C9" w:rsidRDefault="00000000">
    <w:pPr>
      <w:pStyle w:val="Header"/>
    </w:pPr>
    <w:r>
      <w:rPr>
        <w:noProof/>
      </w:rPr>
      <w:pict w14:anchorId="556DB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19"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7623" w14:textId="450F3B29" w:rsidR="00F979C9" w:rsidRDefault="00000000">
    <w:pPr>
      <w:pStyle w:val="Header"/>
    </w:pPr>
    <w:r>
      <w:rPr>
        <w:noProof/>
      </w:rPr>
      <w:pict w14:anchorId="02FD2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20"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93E0" w14:textId="6AE0B366" w:rsidR="00F979C9" w:rsidRDefault="00000000">
    <w:pPr>
      <w:pStyle w:val="Header"/>
    </w:pPr>
    <w:r>
      <w:rPr>
        <w:noProof/>
      </w:rPr>
      <w:pict w14:anchorId="16FFB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642718"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139AC"/>
    <w:multiLevelType w:val="multilevel"/>
    <w:tmpl w:val="7DF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82C5E"/>
    <w:multiLevelType w:val="hybridMultilevel"/>
    <w:tmpl w:val="833CFE0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940127"/>
    <w:multiLevelType w:val="multilevel"/>
    <w:tmpl w:val="B504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37701"/>
    <w:multiLevelType w:val="multilevel"/>
    <w:tmpl w:val="6C90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02B10"/>
    <w:multiLevelType w:val="hybridMultilevel"/>
    <w:tmpl w:val="E9ACE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F6DC6"/>
    <w:multiLevelType w:val="multilevel"/>
    <w:tmpl w:val="2452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4167F"/>
    <w:multiLevelType w:val="multilevel"/>
    <w:tmpl w:val="89AC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083B48"/>
    <w:multiLevelType w:val="multilevel"/>
    <w:tmpl w:val="0BBC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B52F5"/>
    <w:multiLevelType w:val="multilevel"/>
    <w:tmpl w:val="AC0C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3577CC"/>
    <w:multiLevelType w:val="multilevel"/>
    <w:tmpl w:val="1C4A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276FC"/>
    <w:multiLevelType w:val="multilevel"/>
    <w:tmpl w:val="ED9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D12BB"/>
    <w:multiLevelType w:val="multilevel"/>
    <w:tmpl w:val="646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656676">
    <w:abstractNumId w:val="4"/>
  </w:num>
  <w:num w:numId="2" w16cid:durableId="1342053385">
    <w:abstractNumId w:val="1"/>
  </w:num>
  <w:num w:numId="3" w16cid:durableId="1630015807">
    <w:abstractNumId w:val="8"/>
  </w:num>
  <w:num w:numId="4" w16cid:durableId="1410269501">
    <w:abstractNumId w:val="3"/>
  </w:num>
  <w:num w:numId="5" w16cid:durableId="1833526579">
    <w:abstractNumId w:val="5"/>
  </w:num>
  <w:num w:numId="6" w16cid:durableId="1210611151">
    <w:abstractNumId w:val="2"/>
  </w:num>
  <w:num w:numId="7" w16cid:durableId="2018998450">
    <w:abstractNumId w:val="0"/>
  </w:num>
  <w:num w:numId="8" w16cid:durableId="1797211713">
    <w:abstractNumId w:val="6"/>
  </w:num>
  <w:num w:numId="9" w16cid:durableId="2102600113">
    <w:abstractNumId w:val="11"/>
  </w:num>
  <w:num w:numId="10" w16cid:durableId="1604067323">
    <w:abstractNumId w:val="9"/>
  </w:num>
  <w:num w:numId="11" w16cid:durableId="688683536">
    <w:abstractNumId w:val="7"/>
  </w:num>
  <w:num w:numId="12" w16cid:durableId="2141066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A2"/>
    <w:rsid w:val="00007038"/>
    <w:rsid w:val="000077BB"/>
    <w:rsid w:val="00015C4C"/>
    <w:rsid w:val="00024E6D"/>
    <w:rsid w:val="00025EAA"/>
    <w:rsid w:val="00027C7D"/>
    <w:rsid w:val="0003677E"/>
    <w:rsid w:val="000430FA"/>
    <w:rsid w:val="00044590"/>
    <w:rsid w:val="00050582"/>
    <w:rsid w:val="000626C6"/>
    <w:rsid w:val="000702F3"/>
    <w:rsid w:val="00084478"/>
    <w:rsid w:val="000B0828"/>
    <w:rsid w:val="000E4A2C"/>
    <w:rsid w:val="000E79F3"/>
    <w:rsid w:val="000F61BD"/>
    <w:rsid w:val="00107065"/>
    <w:rsid w:val="00125105"/>
    <w:rsid w:val="00130D36"/>
    <w:rsid w:val="00135BD0"/>
    <w:rsid w:val="001527C4"/>
    <w:rsid w:val="00156796"/>
    <w:rsid w:val="00160278"/>
    <w:rsid w:val="00161224"/>
    <w:rsid w:val="00176ACB"/>
    <w:rsid w:val="00186D40"/>
    <w:rsid w:val="00196EFA"/>
    <w:rsid w:val="001A4EB7"/>
    <w:rsid w:val="001B2E20"/>
    <w:rsid w:val="001C5F15"/>
    <w:rsid w:val="001E2351"/>
    <w:rsid w:val="00202451"/>
    <w:rsid w:val="002246AF"/>
    <w:rsid w:val="00237ADF"/>
    <w:rsid w:val="00245B54"/>
    <w:rsid w:val="00250355"/>
    <w:rsid w:val="00251B98"/>
    <w:rsid w:val="002573E8"/>
    <w:rsid w:val="00297573"/>
    <w:rsid w:val="002A5644"/>
    <w:rsid w:val="002B78F9"/>
    <w:rsid w:val="002C0929"/>
    <w:rsid w:val="002D24A8"/>
    <w:rsid w:val="002D2819"/>
    <w:rsid w:val="002E4A81"/>
    <w:rsid w:val="00312976"/>
    <w:rsid w:val="00312D42"/>
    <w:rsid w:val="00323C60"/>
    <w:rsid w:val="00326F2D"/>
    <w:rsid w:val="00364C26"/>
    <w:rsid w:val="00366161"/>
    <w:rsid w:val="003701A1"/>
    <w:rsid w:val="003710BD"/>
    <w:rsid w:val="003732F1"/>
    <w:rsid w:val="00387A49"/>
    <w:rsid w:val="00397447"/>
    <w:rsid w:val="003A0E57"/>
    <w:rsid w:val="003A46AE"/>
    <w:rsid w:val="003A46BB"/>
    <w:rsid w:val="003B5F5F"/>
    <w:rsid w:val="003C50C2"/>
    <w:rsid w:val="003D0664"/>
    <w:rsid w:val="003E23E2"/>
    <w:rsid w:val="003F21B6"/>
    <w:rsid w:val="003F2918"/>
    <w:rsid w:val="003F504D"/>
    <w:rsid w:val="003F5C29"/>
    <w:rsid w:val="00427F1F"/>
    <w:rsid w:val="00431BC9"/>
    <w:rsid w:val="004367C4"/>
    <w:rsid w:val="0045024A"/>
    <w:rsid w:val="004511DA"/>
    <w:rsid w:val="00467BCC"/>
    <w:rsid w:val="004A5B4C"/>
    <w:rsid w:val="004B7245"/>
    <w:rsid w:val="004C6E4E"/>
    <w:rsid w:val="004D3D94"/>
    <w:rsid w:val="004D683A"/>
    <w:rsid w:val="005018BF"/>
    <w:rsid w:val="00506C2E"/>
    <w:rsid w:val="005142B0"/>
    <w:rsid w:val="00515EA0"/>
    <w:rsid w:val="00523010"/>
    <w:rsid w:val="0052360A"/>
    <w:rsid w:val="00532463"/>
    <w:rsid w:val="00534710"/>
    <w:rsid w:val="00540D2F"/>
    <w:rsid w:val="0054103F"/>
    <w:rsid w:val="005423D8"/>
    <w:rsid w:val="00543D9C"/>
    <w:rsid w:val="00546E9B"/>
    <w:rsid w:val="00551E5E"/>
    <w:rsid w:val="005721B9"/>
    <w:rsid w:val="005770EB"/>
    <w:rsid w:val="00580E9B"/>
    <w:rsid w:val="00586465"/>
    <w:rsid w:val="0059271C"/>
    <w:rsid w:val="005B3110"/>
    <w:rsid w:val="005D1A1A"/>
    <w:rsid w:val="005D5777"/>
    <w:rsid w:val="005D6276"/>
    <w:rsid w:val="005E4E60"/>
    <w:rsid w:val="005F1B20"/>
    <w:rsid w:val="005F5B44"/>
    <w:rsid w:val="005F7797"/>
    <w:rsid w:val="00613DA1"/>
    <w:rsid w:val="0062084D"/>
    <w:rsid w:val="006350B1"/>
    <w:rsid w:val="006559BA"/>
    <w:rsid w:val="00656D42"/>
    <w:rsid w:val="006573D0"/>
    <w:rsid w:val="00661DEC"/>
    <w:rsid w:val="006C05F3"/>
    <w:rsid w:val="006C3A8A"/>
    <w:rsid w:val="006C4322"/>
    <w:rsid w:val="006C55B0"/>
    <w:rsid w:val="006D1046"/>
    <w:rsid w:val="006D119C"/>
    <w:rsid w:val="006E3673"/>
    <w:rsid w:val="006F70BD"/>
    <w:rsid w:val="007015DB"/>
    <w:rsid w:val="007445A6"/>
    <w:rsid w:val="00760989"/>
    <w:rsid w:val="00771E6F"/>
    <w:rsid w:val="007935A2"/>
    <w:rsid w:val="007A33AC"/>
    <w:rsid w:val="007C282C"/>
    <w:rsid w:val="007C7177"/>
    <w:rsid w:val="007D3C7F"/>
    <w:rsid w:val="007D6DFC"/>
    <w:rsid w:val="007F19A8"/>
    <w:rsid w:val="007F2DE9"/>
    <w:rsid w:val="00801E72"/>
    <w:rsid w:val="00806E3B"/>
    <w:rsid w:val="00830609"/>
    <w:rsid w:val="0084579B"/>
    <w:rsid w:val="00852E5F"/>
    <w:rsid w:val="00865DAF"/>
    <w:rsid w:val="00875720"/>
    <w:rsid w:val="0088467F"/>
    <w:rsid w:val="00894564"/>
    <w:rsid w:val="008A63CE"/>
    <w:rsid w:val="008B0C2E"/>
    <w:rsid w:val="008D42FB"/>
    <w:rsid w:val="008D7A16"/>
    <w:rsid w:val="008F3AD5"/>
    <w:rsid w:val="008F5A14"/>
    <w:rsid w:val="00902B2A"/>
    <w:rsid w:val="0090476F"/>
    <w:rsid w:val="00934A3A"/>
    <w:rsid w:val="00950379"/>
    <w:rsid w:val="00950F61"/>
    <w:rsid w:val="00955088"/>
    <w:rsid w:val="009652A0"/>
    <w:rsid w:val="0096559F"/>
    <w:rsid w:val="00966EFB"/>
    <w:rsid w:val="00982DB1"/>
    <w:rsid w:val="009B6568"/>
    <w:rsid w:val="009C37FA"/>
    <w:rsid w:val="009D3408"/>
    <w:rsid w:val="009F65AD"/>
    <w:rsid w:val="00A65CA7"/>
    <w:rsid w:val="00A667F8"/>
    <w:rsid w:val="00AB6333"/>
    <w:rsid w:val="00AC089C"/>
    <w:rsid w:val="00AC324B"/>
    <w:rsid w:val="00AC474D"/>
    <w:rsid w:val="00AE1FF7"/>
    <w:rsid w:val="00AE29EB"/>
    <w:rsid w:val="00B0147B"/>
    <w:rsid w:val="00B02385"/>
    <w:rsid w:val="00B06096"/>
    <w:rsid w:val="00B158B2"/>
    <w:rsid w:val="00B303CF"/>
    <w:rsid w:val="00B50390"/>
    <w:rsid w:val="00B620FD"/>
    <w:rsid w:val="00B727F0"/>
    <w:rsid w:val="00B859E6"/>
    <w:rsid w:val="00B9268C"/>
    <w:rsid w:val="00BA5FC2"/>
    <w:rsid w:val="00BB59A6"/>
    <w:rsid w:val="00BD38C5"/>
    <w:rsid w:val="00BD4038"/>
    <w:rsid w:val="00BF0AEA"/>
    <w:rsid w:val="00BF2DBD"/>
    <w:rsid w:val="00BF7326"/>
    <w:rsid w:val="00C12C98"/>
    <w:rsid w:val="00C15916"/>
    <w:rsid w:val="00C303AD"/>
    <w:rsid w:val="00C33E8C"/>
    <w:rsid w:val="00C45244"/>
    <w:rsid w:val="00C5125D"/>
    <w:rsid w:val="00C65C8C"/>
    <w:rsid w:val="00C66DC1"/>
    <w:rsid w:val="00C73310"/>
    <w:rsid w:val="00C74F85"/>
    <w:rsid w:val="00C75867"/>
    <w:rsid w:val="00C81905"/>
    <w:rsid w:val="00C86153"/>
    <w:rsid w:val="00CD5AC5"/>
    <w:rsid w:val="00CD76DE"/>
    <w:rsid w:val="00CE15F0"/>
    <w:rsid w:val="00CE2BA3"/>
    <w:rsid w:val="00CF158B"/>
    <w:rsid w:val="00D0498F"/>
    <w:rsid w:val="00D229DD"/>
    <w:rsid w:val="00D32238"/>
    <w:rsid w:val="00D330ED"/>
    <w:rsid w:val="00D44386"/>
    <w:rsid w:val="00D72DB5"/>
    <w:rsid w:val="00D806CF"/>
    <w:rsid w:val="00DA194B"/>
    <w:rsid w:val="00DA4E0F"/>
    <w:rsid w:val="00DD7216"/>
    <w:rsid w:val="00DF6441"/>
    <w:rsid w:val="00E04D68"/>
    <w:rsid w:val="00E06736"/>
    <w:rsid w:val="00E336E0"/>
    <w:rsid w:val="00E42FC6"/>
    <w:rsid w:val="00E60716"/>
    <w:rsid w:val="00E6117A"/>
    <w:rsid w:val="00E6265C"/>
    <w:rsid w:val="00E71419"/>
    <w:rsid w:val="00E86864"/>
    <w:rsid w:val="00E9071D"/>
    <w:rsid w:val="00EA0F6E"/>
    <w:rsid w:val="00EA3446"/>
    <w:rsid w:val="00EA3CEE"/>
    <w:rsid w:val="00EF561D"/>
    <w:rsid w:val="00F04DF6"/>
    <w:rsid w:val="00F06DF9"/>
    <w:rsid w:val="00F86F60"/>
    <w:rsid w:val="00F97355"/>
    <w:rsid w:val="00F979C9"/>
    <w:rsid w:val="00FA7226"/>
    <w:rsid w:val="00FD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6130E"/>
  <w15:docId w15:val="{CC856DEF-C348-424B-8A85-AC78941A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F6"/>
    <w:pPr>
      <w:spacing w:line="360" w:lineRule="auto"/>
    </w:pPr>
    <w:rPr>
      <w:rFonts w:ascii="Times New Roman" w:hAnsi="Times New Roman" w:cs="Times New Roman"/>
      <w:sz w:val="24"/>
    </w:rPr>
  </w:style>
  <w:style w:type="paragraph" w:styleId="Heading1">
    <w:name w:val="heading 1"/>
    <w:basedOn w:val="Normal"/>
    <w:next w:val="Normal"/>
    <w:link w:val="Heading1Char"/>
    <w:autoRedefine/>
    <w:uiPriority w:val="9"/>
    <w:qFormat/>
    <w:rsid w:val="00DD7216"/>
    <w:pPr>
      <w:keepNext/>
      <w:spacing w:after="0"/>
      <w:outlineLvl w:val="0"/>
    </w:pPr>
    <w:rPr>
      <w:rFonts w:eastAsiaTheme="majorEastAsia"/>
      <w:b/>
      <w:bCs/>
      <w:kern w:val="32"/>
      <w:szCs w:val="32"/>
      <w:vertAlign w:val="superscript"/>
    </w:rPr>
  </w:style>
  <w:style w:type="paragraph" w:styleId="Heading2">
    <w:name w:val="heading 2"/>
    <w:basedOn w:val="Normal"/>
    <w:next w:val="Normal"/>
    <w:link w:val="Heading2Char"/>
    <w:autoRedefine/>
    <w:uiPriority w:val="9"/>
    <w:semiHidden/>
    <w:unhideWhenUsed/>
    <w:qFormat/>
    <w:rsid w:val="00D806CF"/>
    <w:pPr>
      <w:keepNext/>
      <w:spacing w:before="240" w:after="60" w:line="240" w:lineRule="auto"/>
      <w:outlineLvl w:val="1"/>
    </w:pPr>
    <w:rPr>
      <w:rFonts w:eastAsiaTheme="majorEastAsia" w:cstheme="majorBidi"/>
      <w:b/>
      <w:bCs/>
      <w:iCs/>
      <w:szCs w:val="28"/>
    </w:rPr>
  </w:style>
  <w:style w:type="paragraph" w:styleId="Heading3">
    <w:name w:val="heading 3"/>
    <w:basedOn w:val="Normal"/>
    <w:next w:val="Normal"/>
    <w:link w:val="Heading3Char"/>
    <w:autoRedefine/>
    <w:uiPriority w:val="9"/>
    <w:semiHidden/>
    <w:unhideWhenUsed/>
    <w:qFormat/>
    <w:rsid w:val="00D806CF"/>
    <w:pPr>
      <w:keepNext/>
      <w:spacing w:before="240" w:after="60" w:line="240" w:lineRule="auto"/>
      <w:outlineLvl w:val="2"/>
    </w:pPr>
    <w:rPr>
      <w:rFonts w:eastAsiaTheme="majorEastAsia"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52E5F"/>
    <w:pPr>
      <w:tabs>
        <w:tab w:val="right" w:leader="dot" w:pos="9350"/>
      </w:tabs>
      <w:spacing w:after="0" w:line="480" w:lineRule="auto"/>
    </w:pPr>
    <w:rPr>
      <w:rFonts w:cs="Arial"/>
      <w:szCs w:val="20"/>
    </w:rPr>
  </w:style>
  <w:style w:type="character" w:customStyle="1" w:styleId="Heading1Char">
    <w:name w:val="Heading 1 Char"/>
    <w:basedOn w:val="DefaultParagraphFont"/>
    <w:link w:val="Heading1"/>
    <w:uiPriority w:val="9"/>
    <w:rsid w:val="00DD7216"/>
    <w:rPr>
      <w:rFonts w:ascii="Times New Roman" w:eastAsiaTheme="majorEastAsia" w:hAnsi="Times New Roman" w:cs="Times New Roman"/>
      <w:b/>
      <w:bCs/>
      <w:kern w:val="32"/>
      <w:sz w:val="24"/>
      <w:szCs w:val="32"/>
      <w:vertAlign w:val="superscript"/>
    </w:rPr>
  </w:style>
  <w:style w:type="character" w:customStyle="1" w:styleId="Heading2Char">
    <w:name w:val="Heading 2 Char"/>
    <w:basedOn w:val="DefaultParagraphFont"/>
    <w:link w:val="Heading2"/>
    <w:uiPriority w:val="9"/>
    <w:semiHidden/>
    <w:rsid w:val="00D806CF"/>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semiHidden/>
    <w:rsid w:val="00D806CF"/>
    <w:rPr>
      <w:rFonts w:ascii="Times New Roman" w:eastAsiaTheme="majorEastAsia" w:hAnsi="Times New Roman" w:cstheme="majorBidi"/>
      <w:b/>
      <w:bCs/>
      <w:sz w:val="24"/>
      <w:szCs w:val="26"/>
    </w:rPr>
  </w:style>
  <w:style w:type="character" w:customStyle="1" w:styleId="fontstyle01">
    <w:name w:val="fontstyle01"/>
    <w:basedOn w:val="DefaultParagraphFont"/>
    <w:rsid w:val="007935A2"/>
    <w:rPr>
      <w:rFonts w:ascii="TimesNewRomanPSMT" w:hAnsi="TimesNewRomanPSMT" w:hint="default"/>
      <w:b w:val="0"/>
      <w:bCs w:val="0"/>
      <w:i w:val="0"/>
      <w:iCs w:val="0"/>
      <w:color w:val="000000"/>
      <w:sz w:val="24"/>
      <w:szCs w:val="24"/>
    </w:rPr>
  </w:style>
  <w:style w:type="character" w:styleId="Hyperlink">
    <w:name w:val="Hyperlink"/>
    <w:basedOn w:val="DefaultParagraphFont"/>
    <w:uiPriority w:val="99"/>
    <w:unhideWhenUsed/>
    <w:rsid w:val="001E2351"/>
    <w:rPr>
      <w:color w:val="0563C1" w:themeColor="hyperlink"/>
      <w:u w:val="single"/>
    </w:rPr>
  </w:style>
  <w:style w:type="paragraph" w:styleId="ListParagraph">
    <w:name w:val="List Paragraph"/>
    <w:basedOn w:val="Normal"/>
    <w:uiPriority w:val="34"/>
    <w:qFormat/>
    <w:rsid w:val="004D3D94"/>
    <w:pPr>
      <w:ind w:left="720"/>
      <w:contextualSpacing/>
    </w:pPr>
  </w:style>
  <w:style w:type="paragraph" w:styleId="BalloonText">
    <w:name w:val="Balloon Text"/>
    <w:basedOn w:val="Normal"/>
    <w:link w:val="BalloonTextChar"/>
    <w:uiPriority w:val="99"/>
    <w:semiHidden/>
    <w:unhideWhenUsed/>
    <w:rsid w:val="00E06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736"/>
    <w:rPr>
      <w:rFonts w:ascii="Segoe UI" w:hAnsi="Segoe UI" w:cs="Segoe UI"/>
      <w:sz w:val="18"/>
      <w:szCs w:val="18"/>
    </w:rPr>
  </w:style>
  <w:style w:type="paragraph" w:styleId="Header">
    <w:name w:val="header"/>
    <w:basedOn w:val="Normal"/>
    <w:link w:val="HeaderChar"/>
    <w:uiPriority w:val="99"/>
    <w:unhideWhenUsed/>
    <w:rsid w:val="00701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DB"/>
    <w:rPr>
      <w:rFonts w:ascii="Times New Roman" w:hAnsi="Times New Roman" w:cs="Times New Roman"/>
      <w:sz w:val="24"/>
    </w:rPr>
  </w:style>
  <w:style w:type="paragraph" w:styleId="Footer">
    <w:name w:val="footer"/>
    <w:basedOn w:val="Normal"/>
    <w:link w:val="FooterChar"/>
    <w:uiPriority w:val="99"/>
    <w:unhideWhenUsed/>
    <w:rsid w:val="00701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DB"/>
    <w:rPr>
      <w:rFonts w:ascii="Times New Roman" w:hAnsi="Times New Roman" w:cs="Times New Roman"/>
      <w:sz w:val="24"/>
    </w:rPr>
  </w:style>
  <w:style w:type="character" w:styleId="CommentReference">
    <w:name w:val="annotation reference"/>
    <w:basedOn w:val="DefaultParagraphFont"/>
    <w:uiPriority w:val="99"/>
    <w:semiHidden/>
    <w:unhideWhenUsed/>
    <w:rsid w:val="000E79F3"/>
    <w:rPr>
      <w:sz w:val="16"/>
      <w:szCs w:val="16"/>
    </w:rPr>
  </w:style>
  <w:style w:type="paragraph" w:styleId="CommentText">
    <w:name w:val="annotation text"/>
    <w:basedOn w:val="Normal"/>
    <w:link w:val="CommentTextChar"/>
    <w:uiPriority w:val="99"/>
    <w:semiHidden/>
    <w:unhideWhenUsed/>
    <w:rsid w:val="000E79F3"/>
    <w:pPr>
      <w:spacing w:line="240" w:lineRule="auto"/>
    </w:pPr>
    <w:rPr>
      <w:sz w:val="20"/>
      <w:szCs w:val="20"/>
    </w:rPr>
  </w:style>
  <w:style w:type="character" w:customStyle="1" w:styleId="CommentTextChar">
    <w:name w:val="Comment Text Char"/>
    <w:basedOn w:val="DefaultParagraphFont"/>
    <w:link w:val="CommentText"/>
    <w:uiPriority w:val="99"/>
    <w:semiHidden/>
    <w:rsid w:val="000E79F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79F3"/>
    <w:rPr>
      <w:b/>
      <w:bCs/>
    </w:rPr>
  </w:style>
  <w:style w:type="character" w:customStyle="1" w:styleId="CommentSubjectChar">
    <w:name w:val="Comment Subject Char"/>
    <w:basedOn w:val="CommentTextChar"/>
    <w:link w:val="CommentSubject"/>
    <w:uiPriority w:val="99"/>
    <w:semiHidden/>
    <w:rsid w:val="000E79F3"/>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AB6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33264">
      <w:bodyDiv w:val="1"/>
      <w:marLeft w:val="0"/>
      <w:marRight w:val="0"/>
      <w:marTop w:val="0"/>
      <w:marBottom w:val="0"/>
      <w:divBdr>
        <w:top w:val="none" w:sz="0" w:space="0" w:color="auto"/>
        <w:left w:val="none" w:sz="0" w:space="0" w:color="auto"/>
        <w:bottom w:val="none" w:sz="0" w:space="0" w:color="auto"/>
        <w:right w:val="none" w:sz="0" w:space="0" w:color="auto"/>
      </w:divBdr>
    </w:div>
    <w:div w:id="173069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data.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ellcome.org/news/cost-of-not-preparing-for-infectious-diseases%5D(Accesse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ealthdata.org/research-analysis/gbd" TargetMode="External"/><Relationship Id="rId25" Type="http://schemas.openxmlformats.org/officeDocument/2006/relationships/hyperlink" Target="https://www.who.int/news-room/fact-sheets/detail/the-top-10-causes-of-death%5D(Accessed" TargetMode="External"/><Relationship Id="rId2" Type="http://schemas.openxmlformats.org/officeDocument/2006/relationships/numbering" Target="numbering.xml"/><Relationship Id="rId16" Type="http://schemas.openxmlformats.org/officeDocument/2006/relationships/hyperlink" Target="https://www.frontiersin.org/journals/microbiology/articles/10.3389/fmicb.2023.1133407/full%5D(Accessed" TargetMode="External"/><Relationship Id="rId20" Type="http://schemas.openxmlformats.org/officeDocument/2006/relationships/hyperlink" Target="https://www.un.org/development/desa/publications/world-population-prospects-201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ho.int/news-room/news/item/2023-09-14-global-leaders-group-on-antimicrobial-resistance-call-to-action%5D(Accessed" TargetMode="External"/><Relationship Id="rId5" Type="http://schemas.openxmlformats.org/officeDocument/2006/relationships/webSettings" Target="webSettings.xml"/><Relationship Id="rId15" Type="http://schemas.openxmlformats.org/officeDocument/2006/relationships/hyperlink" Target="https://www.cdc.gov/mpox/index.html%5D(Accessed" TargetMode="External"/><Relationship Id="rId23" Type="http://schemas.openxmlformats.org/officeDocument/2006/relationships/hyperlink" Target="https://www.who.int/news/item/06-05-2025-health-inequities-are-shortening-lives-by-decades" TargetMode="External"/><Relationship Id="rId10" Type="http://schemas.openxmlformats.org/officeDocument/2006/relationships/footer" Target="footer1.xml"/><Relationship Id="rId19" Type="http://schemas.openxmlformats.org/officeDocument/2006/relationships/hyperlink" Target="https://www.ncbi.nlm.nih.gov/pmc/articles/PMC12304936%5D(Accesse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ncidod/emergplan/" TargetMode="External"/><Relationship Id="rId22" Type="http://schemas.openxmlformats.org/officeDocument/2006/relationships/hyperlink" Target="https://www.who.int/health-topics/one-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CB207-F1F7-488C-9699-2A2DBD87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10</Pages>
  <Words>3779</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DR.RICHARD</dc:creator>
  <cp:lastModifiedBy>Dr. Fomboh</cp:lastModifiedBy>
  <cp:revision>78</cp:revision>
  <cp:lastPrinted>2025-09-30T16:01:00Z</cp:lastPrinted>
  <dcterms:created xsi:type="dcterms:W3CDTF">2025-09-30T11:32:00Z</dcterms:created>
  <dcterms:modified xsi:type="dcterms:W3CDTF">2025-09-30T17:02:00Z</dcterms:modified>
</cp:coreProperties>
</file>