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3BE4" w14:textId="30CCE5A6" w:rsidR="00070C5A" w:rsidRDefault="00070C5A" w:rsidP="006C21BC">
      <w:pPr>
        <w:spacing w:after="0"/>
        <w:jc w:val="center"/>
        <w:rPr>
          <w:rFonts w:ascii="Arial" w:hAnsi="Arial" w:cs="Arial"/>
          <w:b/>
          <w:sz w:val="36"/>
          <w:szCs w:val="20"/>
          <w:lang w:val="en-GB"/>
        </w:rPr>
      </w:pPr>
      <w:r w:rsidRPr="00070C5A">
        <w:rPr>
          <w:rFonts w:ascii="Arial" w:hAnsi="Arial" w:cs="Arial"/>
          <w:b/>
          <w:bCs/>
          <w:i/>
          <w:iCs/>
          <w:sz w:val="36"/>
          <w:szCs w:val="20"/>
          <w:u w:val="single"/>
          <w:lang w:val="en-US"/>
        </w:rPr>
        <w:t>Original Research Article</w:t>
      </w:r>
    </w:p>
    <w:p w14:paraId="0257807E" w14:textId="09B55C9A" w:rsidR="00C35958" w:rsidRDefault="000E49B3" w:rsidP="0017487B">
      <w:pPr>
        <w:spacing w:after="0"/>
        <w:jc w:val="right"/>
        <w:rPr>
          <w:rFonts w:ascii="Arial" w:hAnsi="Arial" w:cs="Arial"/>
          <w:b/>
          <w:sz w:val="36"/>
          <w:szCs w:val="20"/>
          <w:lang w:val="en-GB"/>
        </w:rPr>
      </w:pPr>
      <w:r w:rsidRPr="000E49B3">
        <w:rPr>
          <w:rFonts w:ascii="Arial" w:hAnsi="Arial" w:cs="Arial"/>
          <w:b/>
          <w:sz w:val="36"/>
          <w:szCs w:val="20"/>
          <w:lang w:val="en-GB"/>
        </w:rPr>
        <w:t>Study of the spatial distributions of nitrogen and phosphorus diffusion fluxes at the water-se</w:t>
      </w:r>
      <w:r>
        <w:rPr>
          <w:rFonts w:ascii="Arial" w:hAnsi="Arial" w:cs="Arial"/>
          <w:b/>
          <w:sz w:val="36"/>
          <w:szCs w:val="20"/>
          <w:lang w:val="en-GB"/>
        </w:rPr>
        <w:t>diment interface in the Fresco Lagoon, Côte d’Ivoire</w:t>
      </w:r>
    </w:p>
    <w:p w14:paraId="71E90D9B" w14:textId="77777777" w:rsidR="00246D32" w:rsidRDefault="00246D32" w:rsidP="0017487B">
      <w:pPr>
        <w:spacing w:after="0"/>
        <w:jc w:val="both"/>
        <w:rPr>
          <w:rFonts w:ascii="Arial" w:hAnsi="Arial" w:cs="Arial"/>
          <w:b/>
          <w:sz w:val="36"/>
          <w:szCs w:val="20"/>
          <w:lang w:val="en-GB"/>
        </w:rPr>
      </w:pPr>
    </w:p>
    <w:p w14:paraId="326744AF" w14:textId="77777777" w:rsidR="00246D32" w:rsidRDefault="00246D32" w:rsidP="0017487B">
      <w:pPr>
        <w:spacing w:after="0"/>
        <w:jc w:val="both"/>
        <w:rPr>
          <w:lang w:val="en-GB"/>
        </w:rPr>
      </w:pPr>
    </w:p>
    <w:p w14:paraId="3EC2C1DE" w14:textId="77777777" w:rsidR="00246D32" w:rsidRDefault="00246D32" w:rsidP="0017487B">
      <w:pPr>
        <w:spacing w:after="0"/>
        <w:jc w:val="both"/>
        <w:rPr>
          <w:lang w:val="en-GB"/>
        </w:rPr>
      </w:pPr>
    </w:p>
    <w:p w14:paraId="509448C0" w14:textId="77777777" w:rsidR="00246D32" w:rsidRPr="00246D32" w:rsidRDefault="00246D32" w:rsidP="0017487B">
      <w:pPr>
        <w:spacing w:after="0"/>
        <w:jc w:val="both"/>
        <w:rPr>
          <w:rFonts w:ascii="Arial" w:hAnsi="Arial" w:cs="Arial"/>
          <w:b/>
          <w:szCs w:val="20"/>
          <w:lang w:val="en-GB"/>
        </w:rPr>
      </w:pPr>
      <w:r w:rsidRPr="00246D32">
        <w:rPr>
          <w:rFonts w:ascii="Arial" w:hAnsi="Arial" w:cs="Arial"/>
          <w:b/>
          <w:szCs w:val="20"/>
          <w:lang w:val="en-GB"/>
        </w:rPr>
        <w:t>ABSTRACT</w:t>
      </w:r>
    </w:p>
    <w:p w14:paraId="63B7C531" w14:textId="77777777" w:rsidR="00246D32" w:rsidRPr="00246D32" w:rsidRDefault="00246D32" w:rsidP="0017487B">
      <w:pPr>
        <w:spacing w:after="0"/>
        <w:jc w:val="both"/>
        <w:rPr>
          <w:rFonts w:ascii="Arial" w:hAnsi="Arial" w:cs="Arial"/>
          <w:b/>
          <w:sz w:val="20"/>
          <w:szCs w:val="20"/>
          <w:lang w:val="en-GB"/>
        </w:rPr>
      </w:pPr>
    </w:p>
    <w:p w14:paraId="1C14C1AB" w14:textId="40346F8D" w:rsidR="00173582" w:rsidRDefault="00173582" w:rsidP="0017487B">
      <w:pPr>
        <w:spacing w:after="0"/>
        <w:jc w:val="both"/>
        <w:rPr>
          <w:rFonts w:ascii="Arial" w:hAnsi="Arial" w:cs="Arial"/>
          <w:sz w:val="20"/>
          <w:szCs w:val="20"/>
          <w:lang w:val="en-GB"/>
        </w:rPr>
      </w:pPr>
      <w:r w:rsidRPr="00173582">
        <w:rPr>
          <w:rFonts w:ascii="Arial" w:hAnsi="Arial" w:cs="Arial"/>
          <w:sz w:val="20"/>
          <w:szCs w:val="20"/>
          <w:lang w:val="en-GB"/>
        </w:rPr>
        <w:t>Nutrients (nitrogen and phosphorus in particular) from sediments, after diffusion, can lead to an increase in their concentrations in the overlying waters, promoting the proliferation of aquatic plants (algae, macrophytes, etc.). This could present an ecological risk due to eutrophication. Thus, the objective of the present study is to evaluate the spatial distribution of diffusion fluxes of four nutrients (</w:t>
      </w:r>
      <w:r>
        <w:rPr>
          <w:rFonts w:ascii="Arial" w:hAnsi="Arial" w:cs="Arial"/>
          <w:sz w:val="20"/>
          <w:szCs w:val="20"/>
          <w:lang w:val="en-GB"/>
        </w:rPr>
        <w:t>NH</w:t>
      </w:r>
      <w:r>
        <w:rPr>
          <w:rFonts w:ascii="Arial" w:hAnsi="Arial" w:cs="Arial"/>
          <w:sz w:val="20"/>
          <w:szCs w:val="20"/>
          <w:vertAlign w:val="subscript"/>
          <w:lang w:val="en-GB"/>
        </w:rPr>
        <w:t>4</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w:t>
      </w:r>
      <w:r>
        <w:rPr>
          <w:rFonts w:ascii="Arial" w:hAnsi="Arial" w:cs="Arial"/>
          <w:sz w:val="20"/>
          <w:szCs w:val="20"/>
          <w:lang w:val="en-GB"/>
        </w:rPr>
        <w:t>NO</w:t>
      </w:r>
      <w:r>
        <w:rPr>
          <w:rFonts w:ascii="Arial" w:hAnsi="Arial" w:cs="Arial"/>
          <w:sz w:val="20"/>
          <w:szCs w:val="20"/>
          <w:vertAlign w:val="subscript"/>
          <w:lang w:val="en-GB"/>
        </w:rPr>
        <w:t>2</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w:t>
      </w:r>
      <w:r>
        <w:rPr>
          <w:rFonts w:ascii="Arial" w:hAnsi="Arial" w:cs="Arial"/>
          <w:sz w:val="20"/>
          <w:szCs w:val="20"/>
          <w:lang w:val="en-GB"/>
        </w:rPr>
        <w:t>NO</w:t>
      </w:r>
      <w:r>
        <w:rPr>
          <w:rFonts w:ascii="Arial" w:hAnsi="Arial" w:cs="Arial"/>
          <w:sz w:val="20"/>
          <w:szCs w:val="20"/>
          <w:vertAlign w:val="subscript"/>
          <w:lang w:val="en-GB"/>
        </w:rPr>
        <w:t>3</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w:t>
      </w:r>
      <w:r>
        <w:rPr>
          <w:rFonts w:ascii="Arial" w:hAnsi="Arial" w:cs="Arial"/>
          <w:sz w:val="20"/>
          <w:szCs w:val="20"/>
          <w:lang w:val="en-GB"/>
        </w:rPr>
        <w:t>PO</w:t>
      </w:r>
      <w:r>
        <w:rPr>
          <w:rFonts w:ascii="Arial" w:hAnsi="Arial" w:cs="Arial"/>
          <w:sz w:val="20"/>
          <w:szCs w:val="20"/>
          <w:vertAlign w:val="subscript"/>
          <w:lang w:val="en-GB"/>
        </w:rPr>
        <w:t>4</w:t>
      </w:r>
      <w:r>
        <w:rPr>
          <w:rFonts w:ascii="Arial" w:hAnsi="Arial" w:cs="Arial"/>
          <w:sz w:val="20"/>
          <w:szCs w:val="20"/>
          <w:vertAlign w:val="superscript"/>
          <w:lang w:val="en-GB"/>
        </w:rPr>
        <w:t>3-</w:t>
      </w:r>
      <w:r>
        <w:rPr>
          <w:rFonts w:ascii="Arial" w:hAnsi="Arial" w:cs="Arial"/>
          <w:sz w:val="20"/>
          <w:szCs w:val="20"/>
          <w:lang w:val="en-GB"/>
        </w:rPr>
        <w:t>-P</w:t>
      </w:r>
      <w:r w:rsidRPr="00173582">
        <w:rPr>
          <w:rFonts w:ascii="Arial" w:hAnsi="Arial" w:cs="Arial"/>
          <w:sz w:val="20"/>
          <w:szCs w:val="20"/>
          <w:lang w:val="en-GB"/>
        </w:rPr>
        <w:t xml:space="preserve">) at the water-sediment interface in the Fresco Lagoon. To do this, the physicochemical parameters of the bottom waters were measured using a multiparameter. The nutrient contents of the bottom and interstitial waters were determined by the spectrophotometric method. The diffusion fluxes of nutrients at the water-sediment interface were evaluated using Fick's first diffusion law. </w:t>
      </w:r>
      <w:r w:rsidR="00D40D28" w:rsidRPr="00D40D28">
        <w:rPr>
          <w:rFonts w:ascii="Arial" w:hAnsi="Arial" w:cs="Arial"/>
          <w:sz w:val="20"/>
          <w:highlight w:val="yellow"/>
          <w:lang w:val="en-GB"/>
        </w:rPr>
        <w:t>Over the study period, the results revealed relatively high temperatures (approximately 29.55 ± 1.37°C) in the open waters, due to the shallow depth of the environment, which is favorable to the penetration of sunlight. The open waters were reducing (-23.30 ± 9.78 mV) and poorly oxygenated (2.38 ± 0.57 mg/L) due to the oxidation of organic matter</w:t>
      </w:r>
      <w:r w:rsidRPr="00D40D28">
        <w:rPr>
          <w:rFonts w:ascii="Arial" w:hAnsi="Arial" w:cs="Arial"/>
          <w:sz w:val="20"/>
          <w:szCs w:val="20"/>
          <w:highlight w:val="yellow"/>
          <w:lang w:val="en-GB"/>
        </w:rPr>
        <w:t>.</w:t>
      </w:r>
      <w:r w:rsidRPr="00173582">
        <w:rPr>
          <w:rFonts w:ascii="Arial" w:hAnsi="Arial" w:cs="Arial"/>
          <w:sz w:val="20"/>
          <w:szCs w:val="20"/>
          <w:lang w:val="en-GB"/>
        </w:rPr>
        <w:t xml:space="preserve"> The rates of organic matter in the sediments were relatively high (20.44 ± 1.54%). The evaluation of nutrient diffusion fluxes showed that the fluxes of </w:t>
      </w:r>
      <w:r>
        <w:rPr>
          <w:rFonts w:ascii="Arial" w:hAnsi="Arial" w:cs="Arial"/>
          <w:sz w:val="20"/>
          <w:szCs w:val="20"/>
          <w:lang w:val="en-GB"/>
        </w:rPr>
        <w:t>NH</w:t>
      </w:r>
      <w:r>
        <w:rPr>
          <w:rFonts w:ascii="Arial" w:hAnsi="Arial" w:cs="Arial"/>
          <w:sz w:val="20"/>
          <w:szCs w:val="20"/>
          <w:vertAlign w:val="subscript"/>
          <w:lang w:val="en-GB"/>
        </w:rPr>
        <w:t>4</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(0.036 ± 0.016 </w:t>
      </w:r>
      <w:r w:rsidR="00707FB6">
        <w:rPr>
          <w:rFonts w:ascii="Arial" w:hAnsi="Arial" w:cs="Arial"/>
          <w:sz w:val="20"/>
          <w:szCs w:val="20"/>
          <w:lang w:val="en-GB"/>
        </w:rPr>
        <w:t>mg.m</w:t>
      </w:r>
      <w:r w:rsidR="00707FB6">
        <w:rPr>
          <w:rFonts w:ascii="Arial" w:hAnsi="Arial" w:cs="Arial"/>
          <w:sz w:val="20"/>
          <w:szCs w:val="20"/>
          <w:vertAlign w:val="superscript"/>
          <w:lang w:val="en-GB"/>
        </w:rPr>
        <w:t>-2</w:t>
      </w:r>
      <w:r w:rsidR="00707FB6">
        <w:rPr>
          <w:rFonts w:ascii="Arial" w:hAnsi="Arial" w:cs="Arial"/>
          <w:sz w:val="20"/>
          <w:szCs w:val="20"/>
          <w:lang w:val="en-GB"/>
        </w:rPr>
        <w:t>.d</w:t>
      </w:r>
      <w:r w:rsidR="00707FB6">
        <w:rPr>
          <w:rFonts w:ascii="Arial" w:hAnsi="Arial" w:cs="Arial"/>
          <w:sz w:val="20"/>
          <w:szCs w:val="20"/>
          <w:vertAlign w:val="superscript"/>
          <w:lang w:val="en-GB"/>
        </w:rPr>
        <w:t>-1</w:t>
      </w:r>
      <w:r w:rsidRPr="00173582">
        <w:rPr>
          <w:rFonts w:ascii="Arial" w:hAnsi="Arial" w:cs="Arial"/>
          <w:sz w:val="20"/>
          <w:szCs w:val="20"/>
          <w:lang w:val="en-GB"/>
        </w:rPr>
        <w:t xml:space="preserve">), </w:t>
      </w:r>
      <w:r>
        <w:rPr>
          <w:rFonts w:ascii="Arial" w:hAnsi="Arial" w:cs="Arial"/>
          <w:sz w:val="20"/>
          <w:szCs w:val="20"/>
          <w:lang w:val="en-GB"/>
        </w:rPr>
        <w:t>NO</w:t>
      </w:r>
      <w:r>
        <w:rPr>
          <w:rFonts w:ascii="Arial" w:hAnsi="Arial" w:cs="Arial"/>
          <w:sz w:val="20"/>
          <w:szCs w:val="20"/>
          <w:vertAlign w:val="subscript"/>
          <w:lang w:val="en-GB"/>
        </w:rPr>
        <w:t>2</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(0.002 ± 0.001 </w:t>
      </w:r>
      <w:r w:rsidR="00707FB6">
        <w:rPr>
          <w:rFonts w:ascii="Arial" w:hAnsi="Arial" w:cs="Arial"/>
          <w:sz w:val="20"/>
          <w:szCs w:val="20"/>
          <w:lang w:val="en-GB"/>
        </w:rPr>
        <w:t>mg.m</w:t>
      </w:r>
      <w:r w:rsidR="00707FB6">
        <w:rPr>
          <w:rFonts w:ascii="Arial" w:hAnsi="Arial" w:cs="Arial"/>
          <w:sz w:val="20"/>
          <w:szCs w:val="20"/>
          <w:vertAlign w:val="superscript"/>
          <w:lang w:val="en-GB"/>
        </w:rPr>
        <w:t>-2</w:t>
      </w:r>
      <w:r w:rsidR="00707FB6">
        <w:rPr>
          <w:rFonts w:ascii="Arial" w:hAnsi="Arial" w:cs="Arial"/>
          <w:sz w:val="20"/>
          <w:szCs w:val="20"/>
          <w:lang w:val="en-GB"/>
        </w:rPr>
        <w:t>.d</w:t>
      </w:r>
      <w:r w:rsidR="00707FB6">
        <w:rPr>
          <w:rFonts w:ascii="Arial" w:hAnsi="Arial" w:cs="Arial"/>
          <w:sz w:val="20"/>
          <w:szCs w:val="20"/>
          <w:vertAlign w:val="superscript"/>
          <w:lang w:val="en-GB"/>
        </w:rPr>
        <w:t>-1</w:t>
      </w:r>
      <w:r w:rsidRPr="00173582">
        <w:rPr>
          <w:rFonts w:ascii="Arial" w:hAnsi="Arial" w:cs="Arial"/>
          <w:sz w:val="20"/>
          <w:szCs w:val="20"/>
          <w:lang w:val="en-GB"/>
        </w:rPr>
        <w:t xml:space="preserve">) and </w:t>
      </w:r>
      <w:r>
        <w:rPr>
          <w:rFonts w:ascii="Arial" w:hAnsi="Arial" w:cs="Arial"/>
          <w:sz w:val="20"/>
          <w:szCs w:val="20"/>
          <w:lang w:val="en-GB"/>
        </w:rPr>
        <w:t>PO</w:t>
      </w:r>
      <w:r>
        <w:rPr>
          <w:rFonts w:ascii="Arial" w:hAnsi="Arial" w:cs="Arial"/>
          <w:sz w:val="20"/>
          <w:szCs w:val="20"/>
          <w:vertAlign w:val="subscript"/>
          <w:lang w:val="en-GB"/>
        </w:rPr>
        <w:t>4</w:t>
      </w:r>
      <w:r>
        <w:rPr>
          <w:rFonts w:ascii="Arial" w:hAnsi="Arial" w:cs="Arial"/>
          <w:sz w:val="20"/>
          <w:szCs w:val="20"/>
          <w:vertAlign w:val="superscript"/>
          <w:lang w:val="en-GB"/>
        </w:rPr>
        <w:t>3-</w:t>
      </w:r>
      <w:r>
        <w:rPr>
          <w:rFonts w:ascii="Arial" w:hAnsi="Arial" w:cs="Arial"/>
          <w:sz w:val="20"/>
          <w:szCs w:val="20"/>
          <w:lang w:val="en-GB"/>
        </w:rPr>
        <w:t>-P</w:t>
      </w:r>
      <w:r w:rsidRPr="00173582">
        <w:rPr>
          <w:rFonts w:ascii="Arial" w:hAnsi="Arial" w:cs="Arial"/>
          <w:sz w:val="20"/>
          <w:szCs w:val="20"/>
          <w:lang w:val="en-GB"/>
        </w:rPr>
        <w:t xml:space="preserve"> (0.05 ± 0.01 </w:t>
      </w:r>
      <w:r w:rsidR="00707FB6">
        <w:rPr>
          <w:rFonts w:ascii="Arial" w:hAnsi="Arial" w:cs="Arial"/>
          <w:sz w:val="20"/>
          <w:szCs w:val="20"/>
          <w:lang w:val="en-GB"/>
        </w:rPr>
        <w:t>mg.m</w:t>
      </w:r>
      <w:r w:rsidR="00707FB6">
        <w:rPr>
          <w:rFonts w:ascii="Arial" w:hAnsi="Arial" w:cs="Arial"/>
          <w:sz w:val="20"/>
          <w:szCs w:val="20"/>
          <w:vertAlign w:val="superscript"/>
          <w:lang w:val="en-GB"/>
        </w:rPr>
        <w:t>-2</w:t>
      </w:r>
      <w:r w:rsidR="00707FB6">
        <w:rPr>
          <w:rFonts w:ascii="Arial" w:hAnsi="Arial" w:cs="Arial"/>
          <w:sz w:val="20"/>
          <w:szCs w:val="20"/>
          <w:lang w:val="en-GB"/>
        </w:rPr>
        <w:t>.d</w:t>
      </w:r>
      <w:r w:rsidR="00707FB6">
        <w:rPr>
          <w:rFonts w:ascii="Arial" w:hAnsi="Arial" w:cs="Arial"/>
          <w:sz w:val="20"/>
          <w:szCs w:val="20"/>
          <w:vertAlign w:val="superscript"/>
          <w:lang w:val="en-GB"/>
        </w:rPr>
        <w:t>-1</w:t>
      </w:r>
      <w:r w:rsidRPr="00173582">
        <w:rPr>
          <w:rFonts w:ascii="Arial" w:hAnsi="Arial" w:cs="Arial"/>
          <w:sz w:val="20"/>
          <w:szCs w:val="20"/>
          <w:lang w:val="en-GB"/>
        </w:rPr>
        <w:t xml:space="preserve">) were positive and those of </w:t>
      </w:r>
      <w:r>
        <w:rPr>
          <w:rFonts w:ascii="Arial" w:hAnsi="Arial" w:cs="Arial"/>
          <w:sz w:val="20"/>
          <w:szCs w:val="20"/>
          <w:lang w:val="en-GB"/>
        </w:rPr>
        <w:t>NO</w:t>
      </w:r>
      <w:r>
        <w:rPr>
          <w:rFonts w:ascii="Arial" w:hAnsi="Arial" w:cs="Arial"/>
          <w:sz w:val="20"/>
          <w:szCs w:val="20"/>
          <w:vertAlign w:val="subscript"/>
          <w:lang w:val="en-GB"/>
        </w:rPr>
        <w:t>3</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were negative (-0.11 ± 0.43 mg.m</w:t>
      </w:r>
      <w:r w:rsidRPr="00173582">
        <w:rPr>
          <w:rFonts w:ascii="Arial" w:hAnsi="Arial" w:cs="Arial"/>
          <w:sz w:val="20"/>
          <w:szCs w:val="20"/>
          <w:vertAlign w:val="superscript"/>
          <w:lang w:val="en-GB"/>
        </w:rPr>
        <w:t>-2</w:t>
      </w:r>
      <w:r w:rsidRPr="00173582">
        <w:rPr>
          <w:rFonts w:ascii="Arial" w:hAnsi="Arial" w:cs="Arial"/>
          <w:sz w:val="20"/>
          <w:szCs w:val="20"/>
          <w:lang w:val="en-GB"/>
        </w:rPr>
        <w:t>.d</w:t>
      </w:r>
      <w:r w:rsidRPr="00173582">
        <w:rPr>
          <w:rFonts w:ascii="Arial" w:hAnsi="Arial" w:cs="Arial"/>
          <w:sz w:val="20"/>
          <w:szCs w:val="20"/>
          <w:vertAlign w:val="superscript"/>
          <w:lang w:val="en-GB"/>
        </w:rPr>
        <w:t>-1</w:t>
      </w:r>
      <w:r w:rsidRPr="00173582">
        <w:rPr>
          <w:rFonts w:ascii="Arial" w:hAnsi="Arial" w:cs="Arial"/>
          <w:sz w:val="20"/>
          <w:szCs w:val="20"/>
          <w:lang w:val="en-GB"/>
        </w:rPr>
        <w:t xml:space="preserve">). This would mean that </w:t>
      </w:r>
      <w:r>
        <w:rPr>
          <w:rFonts w:ascii="Arial" w:hAnsi="Arial" w:cs="Arial"/>
          <w:sz w:val="20"/>
          <w:szCs w:val="20"/>
          <w:lang w:val="en-GB"/>
        </w:rPr>
        <w:t>NH</w:t>
      </w:r>
      <w:r>
        <w:rPr>
          <w:rFonts w:ascii="Arial" w:hAnsi="Arial" w:cs="Arial"/>
          <w:sz w:val="20"/>
          <w:szCs w:val="20"/>
          <w:vertAlign w:val="subscript"/>
          <w:lang w:val="en-GB"/>
        </w:rPr>
        <w:t>4</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w:t>
      </w:r>
      <w:r>
        <w:rPr>
          <w:rFonts w:ascii="Arial" w:hAnsi="Arial" w:cs="Arial"/>
          <w:sz w:val="20"/>
          <w:szCs w:val="20"/>
          <w:lang w:val="en-GB"/>
        </w:rPr>
        <w:t>NO</w:t>
      </w:r>
      <w:r>
        <w:rPr>
          <w:rFonts w:ascii="Arial" w:hAnsi="Arial" w:cs="Arial"/>
          <w:sz w:val="20"/>
          <w:szCs w:val="20"/>
          <w:vertAlign w:val="subscript"/>
          <w:lang w:val="en-GB"/>
        </w:rPr>
        <w:t>2</w:t>
      </w:r>
      <w:r>
        <w:rPr>
          <w:rFonts w:ascii="Arial" w:hAnsi="Arial" w:cs="Arial"/>
          <w:sz w:val="20"/>
          <w:szCs w:val="20"/>
          <w:vertAlign w:val="superscript"/>
          <w:lang w:val="en-GB"/>
        </w:rPr>
        <w:t>-</w:t>
      </w:r>
      <w:r>
        <w:rPr>
          <w:rFonts w:ascii="Arial" w:hAnsi="Arial" w:cs="Arial"/>
          <w:sz w:val="20"/>
          <w:szCs w:val="20"/>
          <w:lang w:val="en-GB"/>
        </w:rPr>
        <w:t xml:space="preserve">-N </w:t>
      </w:r>
      <w:r w:rsidRPr="00173582">
        <w:rPr>
          <w:rFonts w:ascii="Arial" w:hAnsi="Arial" w:cs="Arial"/>
          <w:sz w:val="20"/>
          <w:szCs w:val="20"/>
          <w:lang w:val="en-GB"/>
        </w:rPr>
        <w:t xml:space="preserve">and </w:t>
      </w:r>
      <w:r>
        <w:rPr>
          <w:rFonts w:ascii="Arial" w:hAnsi="Arial" w:cs="Arial"/>
          <w:sz w:val="20"/>
          <w:szCs w:val="20"/>
          <w:lang w:val="en-GB"/>
        </w:rPr>
        <w:t>PO</w:t>
      </w:r>
      <w:r>
        <w:rPr>
          <w:rFonts w:ascii="Arial" w:hAnsi="Arial" w:cs="Arial"/>
          <w:sz w:val="20"/>
          <w:szCs w:val="20"/>
          <w:vertAlign w:val="subscript"/>
          <w:lang w:val="en-GB"/>
        </w:rPr>
        <w:t>4</w:t>
      </w:r>
      <w:r>
        <w:rPr>
          <w:rFonts w:ascii="Arial" w:hAnsi="Arial" w:cs="Arial"/>
          <w:sz w:val="20"/>
          <w:szCs w:val="20"/>
          <w:vertAlign w:val="superscript"/>
          <w:lang w:val="en-GB"/>
        </w:rPr>
        <w:t>3-</w:t>
      </w:r>
      <w:r>
        <w:rPr>
          <w:rFonts w:ascii="Arial" w:hAnsi="Arial" w:cs="Arial"/>
          <w:sz w:val="20"/>
          <w:szCs w:val="20"/>
          <w:lang w:val="en-GB"/>
        </w:rPr>
        <w:t>-P</w:t>
      </w:r>
      <w:r w:rsidRPr="00173582">
        <w:rPr>
          <w:rFonts w:ascii="Arial" w:hAnsi="Arial" w:cs="Arial"/>
          <w:sz w:val="20"/>
          <w:szCs w:val="20"/>
          <w:lang w:val="en-GB"/>
        </w:rPr>
        <w:t xml:space="preserve"> diffused into the water column while </w:t>
      </w:r>
      <w:r>
        <w:rPr>
          <w:rFonts w:ascii="Arial" w:hAnsi="Arial" w:cs="Arial"/>
          <w:sz w:val="20"/>
          <w:szCs w:val="20"/>
          <w:lang w:val="en-GB"/>
        </w:rPr>
        <w:t>NO</w:t>
      </w:r>
      <w:r>
        <w:rPr>
          <w:rFonts w:ascii="Arial" w:hAnsi="Arial" w:cs="Arial"/>
          <w:sz w:val="20"/>
          <w:szCs w:val="20"/>
          <w:vertAlign w:val="subscript"/>
          <w:lang w:val="en-GB"/>
        </w:rPr>
        <w:t>3</w:t>
      </w:r>
      <w:r>
        <w:rPr>
          <w:rFonts w:ascii="Arial" w:hAnsi="Arial" w:cs="Arial"/>
          <w:sz w:val="20"/>
          <w:szCs w:val="20"/>
          <w:vertAlign w:val="superscript"/>
          <w:lang w:val="en-GB"/>
        </w:rPr>
        <w:t>-</w:t>
      </w:r>
      <w:r>
        <w:rPr>
          <w:rFonts w:ascii="Arial" w:hAnsi="Arial" w:cs="Arial"/>
          <w:sz w:val="20"/>
          <w:szCs w:val="20"/>
          <w:lang w:val="en-GB"/>
        </w:rPr>
        <w:t>-N</w:t>
      </w:r>
      <w:r w:rsidRPr="00173582">
        <w:rPr>
          <w:rFonts w:ascii="Arial" w:hAnsi="Arial" w:cs="Arial"/>
          <w:sz w:val="20"/>
          <w:szCs w:val="20"/>
          <w:lang w:val="en-GB"/>
        </w:rPr>
        <w:t xml:space="preserve"> diffused into the sediments. It would appear that the sediments were a source of nutrients for the water column; this would be a serious threat to the aquatic environment. Research into decontamination techniques is envisaged to improve the quality of open waters.</w:t>
      </w:r>
    </w:p>
    <w:p w14:paraId="635680EE" w14:textId="77777777" w:rsidR="00173582" w:rsidRDefault="00173582" w:rsidP="0017487B">
      <w:pPr>
        <w:spacing w:after="0"/>
        <w:jc w:val="both"/>
        <w:rPr>
          <w:rFonts w:ascii="Arial" w:hAnsi="Arial" w:cs="Arial"/>
          <w:sz w:val="20"/>
          <w:szCs w:val="20"/>
          <w:lang w:val="en-GB"/>
        </w:rPr>
      </w:pPr>
    </w:p>
    <w:p w14:paraId="089D1311" w14:textId="77777777" w:rsidR="00246D32" w:rsidRDefault="00246D32" w:rsidP="0017487B">
      <w:pPr>
        <w:spacing w:after="0"/>
        <w:jc w:val="both"/>
        <w:rPr>
          <w:rFonts w:ascii="Arial" w:hAnsi="Arial" w:cs="Arial"/>
          <w:sz w:val="20"/>
          <w:szCs w:val="20"/>
          <w:lang w:val="en-GB"/>
        </w:rPr>
      </w:pPr>
      <w:r w:rsidRPr="0017487B">
        <w:rPr>
          <w:rFonts w:ascii="Arial" w:hAnsi="Arial" w:cs="Arial"/>
          <w:i/>
          <w:sz w:val="20"/>
          <w:szCs w:val="20"/>
          <w:lang w:val="en-GB"/>
        </w:rPr>
        <w:t>Keywords: eutrophication, nutrients, sediments, bottom water, pore water.</w:t>
      </w:r>
    </w:p>
    <w:p w14:paraId="0CF1162C" w14:textId="77777777" w:rsidR="0017487B" w:rsidRDefault="0017487B" w:rsidP="0017487B">
      <w:pPr>
        <w:spacing w:after="0"/>
        <w:jc w:val="both"/>
        <w:rPr>
          <w:rFonts w:ascii="Arial" w:hAnsi="Arial" w:cs="Arial"/>
          <w:sz w:val="20"/>
          <w:szCs w:val="20"/>
          <w:lang w:val="en-GB"/>
        </w:rPr>
      </w:pPr>
    </w:p>
    <w:p w14:paraId="17EC42CB" w14:textId="77777777" w:rsidR="0017487B" w:rsidRPr="0017487B" w:rsidRDefault="0017487B" w:rsidP="0017487B">
      <w:pPr>
        <w:spacing w:after="0"/>
        <w:jc w:val="both"/>
        <w:rPr>
          <w:rFonts w:ascii="Arial" w:hAnsi="Arial" w:cs="Arial"/>
          <w:b/>
          <w:szCs w:val="20"/>
          <w:lang w:val="en-GB"/>
        </w:rPr>
      </w:pPr>
      <w:r>
        <w:rPr>
          <w:rFonts w:ascii="Arial" w:hAnsi="Arial" w:cs="Arial"/>
          <w:b/>
          <w:szCs w:val="20"/>
          <w:lang w:val="en-GB"/>
        </w:rPr>
        <w:t>1. I</w:t>
      </w:r>
      <w:r w:rsidRPr="0017487B">
        <w:rPr>
          <w:rFonts w:ascii="Arial" w:hAnsi="Arial" w:cs="Arial"/>
          <w:b/>
          <w:szCs w:val="20"/>
          <w:lang w:val="en-GB"/>
        </w:rPr>
        <w:t>NTRODUCTION</w:t>
      </w:r>
    </w:p>
    <w:p w14:paraId="5DCB310C" w14:textId="77777777" w:rsidR="0017487B" w:rsidRPr="0017487B" w:rsidRDefault="0017487B" w:rsidP="0017487B">
      <w:pPr>
        <w:spacing w:after="0"/>
        <w:jc w:val="both"/>
        <w:rPr>
          <w:rFonts w:ascii="Arial" w:hAnsi="Arial" w:cs="Arial"/>
          <w:sz w:val="20"/>
          <w:szCs w:val="20"/>
          <w:lang w:val="en-GB"/>
        </w:rPr>
      </w:pPr>
    </w:p>
    <w:p w14:paraId="57258841" w14:textId="77777777" w:rsidR="0017487B" w:rsidRDefault="0017487B" w:rsidP="0017487B">
      <w:pPr>
        <w:spacing w:after="0"/>
        <w:jc w:val="both"/>
        <w:rPr>
          <w:rFonts w:ascii="Arial" w:hAnsi="Arial" w:cs="Arial"/>
          <w:sz w:val="20"/>
          <w:szCs w:val="20"/>
          <w:lang w:val="en-GB"/>
        </w:rPr>
      </w:pPr>
      <w:r w:rsidRPr="0017487B">
        <w:rPr>
          <w:rFonts w:ascii="Arial" w:hAnsi="Arial" w:cs="Arial"/>
          <w:sz w:val="20"/>
          <w:szCs w:val="20"/>
          <w:lang w:val="en-GB"/>
        </w:rPr>
        <w:t xml:space="preserve">In recent decades, anthropogenic pressures have increased, particularly in coastal areas, leading to the introduction of pollutants (nitrogen, phosphorus, and trace metals) into the surface sediments of natural water bodies (Pierre et al., 2021). Changes in certain aquatic environmental conditions often lead to the release of pollutants bound to sediments into the water column, resulting in a degradation of open water quality. Thus, sediments constitute a major source of pollutants and nutrients such as nitrogen and phosphorus into the water column (Lei et al., 2021; Li et al., 2023). Indeed, the biogeochemical transformations that occur in sediments induce transfers of nutrients (nitrogen and phosphorus in particular) from the sediments to the water column. These nutrients are at the origin of the phenomenon of eutrophication of aquatic environments (Pierre et al., 2021). Eutrophication is widespread throughout the world due to population growth, the establishment of industrial zones near waterways, the use of agricultural fertilizers and the increase in anthropogenic nutrient load of aquatic ecosystems (Lang et al., 2025; Pierre et al., 2021). The increase in nutrient load (nitrogen and phosphorus in particular) in waters promotes the proliferation of algae and macrophytes harmful to aquatic environments (Mu et al., 2017; Sun et al., 2021), leads to a decrease in dissolved oxygen levels (Sun et al., 2021) and consequently, the degradation of water quality in aquatic systems. Controlling anthropogenic nutrient inputs is one of the effective ways to reduce the risk of algal blooms and even eutrophication. However, in eutrophic lakes, reservoirs and lagoons, there is often a release of certain nutrients from the sediments (an important source of nutrients for the overlying waters) (Lei et al., 2021; Li et al., 2025). The release </w:t>
      </w:r>
      <w:r w:rsidRPr="0017487B">
        <w:rPr>
          <w:rFonts w:ascii="Arial" w:hAnsi="Arial" w:cs="Arial"/>
          <w:sz w:val="20"/>
          <w:szCs w:val="20"/>
          <w:lang w:val="en-GB"/>
        </w:rPr>
        <w:lastRenderedPageBreak/>
        <w:t>of certain nutrients from the sediments would also be a factor in increasing the trophic state of aquatic systems, particularly in shallow waters (Chen et al., 2022).</w:t>
      </w:r>
      <w:r w:rsidR="00BC0A21">
        <w:rPr>
          <w:rFonts w:ascii="Arial" w:hAnsi="Arial" w:cs="Arial"/>
          <w:sz w:val="20"/>
          <w:szCs w:val="20"/>
          <w:lang w:val="en-GB"/>
        </w:rPr>
        <w:t xml:space="preserve"> </w:t>
      </w:r>
      <w:r w:rsidR="00BC0A21" w:rsidRPr="00BC0A21">
        <w:rPr>
          <w:rFonts w:ascii="Arial" w:hAnsi="Arial" w:cs="Arial"/>
          <w:sz w:val="20"/>
          <w:szCs w:val="20"/>
          <w:lang w:val="en-GB"/>
        </w:rPr>
        <w:t>Thus, monitoring the internal load of nutrients bound to sediments is essential when assessing surface water quality. In addition, the biogeochemical cycles of nitrogen and phosphorus are dependent on sediment compartments where the mineralization of organic matter occurs regularly; this induces significant nutrient fluxes and increased oxygen consumption at the water-sediment interface (Xiang et al., 2023; Zhou et al., 2021). Nutrient flux at the water-sediment interface is a factor that affects nutrient balance and regulates primary productivity in water (Fielding et al., 2020). When organic matter accumulates as a result of high productivity, sediments can become a sink for phosphorus and nitrogen, then the total decomposition of this organic matter restores nitrogen and phosphorus to their soluble forms (Li et al., 2025). Thus, under anaerobic conditions, bacteria transform nitrate NO</w:t>
      </w:r>
      <w:r w:rsidR="00BC0A21" w:rsidRPr="00831E70">
        <w:rPr>
          <w:rFonts w:ascii="Arial" w:hAnsi="Arial" w:cs="Arial"/>
          <w:sz w:val="20"/>
          <w:szCs w:val="20"/>
          <w:vertAlign w:val="subscript"/>
          <w:lang w:val="en-GB"/>
        </w:rPr>
        <w:t>3</w:t>
      </w:r>
      <w:r w:rsidR="00BC0A21" w:rsidRPr="00831E70">
        <w:rPr>
          <w:rFonts w:ascii="Arial" w:hAnsi="Arial" w:cs="Arial"/>
          <w:sz w:val="20"/>
          <w:szCs w:val="20"/>
          <w:vertAlign w:val="superscript"/>
          <w:lang w:val="en-GB"/>
        </w:rPr>
        <w:t xml:space="preserve">- </w:t>
      </w:r>
      <w:r w:rsidR="00BC0A21" w:rsidRPr="00BC0A21">
        <w:rPr>
          <w:rFonts w:ascii="Arial" w:hAnsi="Arial" w:cs="Arial"/>
          <w:sz w:val="20"/>
          <w:szCs w:val="20"/>
          <w:lang w:val="en-GB"/>
        </w:rPr>
        <w:t>into ammonium NH</w:t>
      </w:r>
      <w:r w:rsidR="00BC0A21" w:rsidRPr="00831E70">
        <w:rPr>
          <w:rFonts w:ascii="Arial" w:hAnsi="Arial" w:cs="Arial"/>
          <w:sz w:val="20"/>
          <w:szCs w:val="20"/>
          <w:vertAlign w:val="subscript"/>
          <w:lang w:val="en-GB"/>
        </w:rPr>
        <w:t>4</w:t>
      </w:r>
      <w:r w:rsidR="00BC0A21" w:rsidRPr="00831E70">
        <w:rPr>
          <w:rFonts w:ascii="Arial" w:hAnsi="Arial" w:cs="Arial"/>
          <w:sz w:val="20"/>
          <w:szCs w:val="20"/>
          <w:vertAlign w:val="superscript"/>
          <w:lang w:val="en-GB"/>
        </w:rPr>
        <w:t>+</w:t>
      </w:r>
      <w:r w:rsidR="00BC0A21" w:rsidRPr="00BC0A21">
        <w:rPr>
          <w:rFonts w:ascii="Arial" w:hAnsi="Arial" w:cs="Arial"/>
          <w:sz w:val="20"/>
          <w:szCs w:val="20"/>
          <w:lang w:val="en-GB"/>
        </w:rPr>
        <w:t xml:space="preserve"> and nitrogen (N</w:t>
      </w:r>
      <w:r w:rsidR="00BC0A21" w:rsidRPr="00831E70">
        <w:rPr>
          <w:rFonts w:ascii="Arial" w:hAnsi="Arial" w:cs="Arial"/>
          <w:sz w:val="20"/>
          <w:szCs w:val="20"/>
          <w:vertAlign w:val="subscript"/>
          <w:lang w:val="en-GB"/>
        </w:rPr>
        <w:t>2</w:t>
      </w:r>
      <w:r w:rsidR="00BC0A21" w:rsidRPr="00BC0A21">
        <w:rPr>
          <w:rFonts w:ascii="Arial" w:hAnsi="Arial" w:cs="Arial"/>
          <w:sz w:val="20"/>
          <w:szCs w:val="20"/>
          <w:lang w:val="en-GB"/>
        </w:rPr>
        <w:t>); on the other hand, phosphate does not undergo transformation and remains soluble under these conditions (Chen et al., 2022). Species (ammonium and phosphate) from sediments can be released to the overlying water, increasing primary production by feedback (Qui et al., 2020; Zou et al., 2020). Reactions promoting the release of phosphorus into the water column from the underlying sediments are numerous (Zhou et al., 2021; Mu et al., 2017). These include phosphate desorption, dissolution of phosphate minerals (Li et al., 2020; Zhou et al., 2021), microbial mineralization of organic matter, and diffusion of dissolved phosphorus into sediment pore waters (Boström et al., 1988). Factors that appear to regulate the release rate of phosphate PO</w:t>
      </w:r>
      <w:r w:rsidR="00BC0A21" w:rsidRPr="00831E70">
        <w:rPr>
          <w:rFonts w:ascii="Arial" w:hAnsi="Arial" w:cs="Arial"/>
          <w:sz w:val="20"/>
          <w:szCs w:val="20"/>
          <w:vertAlign w:val="subscript"/>
          <w:lang w:val="en-GB"/>
        </w:rPr>
        <w:t>4</w:t>
      </w:r>
      <w:r w:rsidR="00BC0A21" w:rsidRPr="00831E70">
        <w:rPr>
          <w:rFonts w:ascii="Arial" w:hAnsi="Arial" w:cs="Arial"/>
          <w:sz w:val="20"/>
          <w:szCs w:val="20"/>
          <w:vertAlign w:val="superscript"/>
          <w:lang w:val="en-GB"/>
        </w:rPr>
        <w:t>3-</w:t>
      </w:r>
      <w:r w:rsidR="00BC0A21" w:rsidRPr="00BC0A21">
        <w:rPr>
          <w:rFonts w:ascii="Arial" w:hAnsi="Arial" w:cs="Arial"/>
          <w:sz w:val="20"/>
          <w:szCs w:val="20"/>
          <w:lang w:val="en-GB"/>
        </w:rPr>
        <w:t xml:space="preserve"> are temperature, dissolved oxygen (DO) concentration, pH, and redox potential (Zhou et al., 2021; </w:t>
      </w:r>
      <w:proofErr w:type="spellStart"/>
      <w:r w:rsidR="00BC0A21" w:rsidRPr="00BC0A21">
        <w:rPr>
          <w:rFonts w:ascii="Arial" w:hAnsi="Arial" w:cs="Arial"/>
          <w:sz w:val="20"/>
          <w:szCs w:val="20"/>
          <w:lang w:val="en-GB"/>
        </w:rPr>
        <w:t>Lengier</w:t>
      </w:r>
      <w:proofErr w:type="spellEnd"/>
      <w:r w:rsidR="00BC0A21" w:rsidRPr="00BC0A21">
        <w:rPr>
          <w:rFonts w:ascii="Arial" w:hAnsi="Arial" w:cs="Arial"/>
          <w:sz w:val="20"/>
          <w:szCs w:val="20"/>
          <w:lang w:val="en-GB"/>
        </w:rPr>
        <w:t xml:space="preserve"> et al., 2021). For example, in sediments at low redox potentials (&lt; 200 mV), trivalent iron (Fe(III)) is reduced to divalent iron (Fe(II)), resulting in the release of phosphate </w:t>
      </w:r>
      <w:r w:rsidR="00560F7E">
        <w:rPr>
          <w:rFonts w:ascii="Arial" w:hAnsi="Arial" w:cs="Arial"/>
          <w:sz w:val="20"/>
          <w:szCs w:val="20"/>
          <w:lang w:val="en-GB"/>
        </w:rPr>
        <w:t>PO</w:t>
      </w:r>
      <w:r w:rsidR="00560F7E">
        <w:rPr>
          <w:rFonts w:ascii="Arial" w:hAnsi="Arial" w:cs="Arial"/>
          <w:sz w:val="20"/>
          <w:szCs w:val="20"/>
          <w:vertAlign w:val="subscript"/>
          <w:lang w:val="en-GB"/>
        </w:rPr>
        <w:t>4</w:t>
      </w:r>
      <w:r w:rsidR="00560F7E">
        <w:rPr>
          <w:rFonts w:ascii="Arial" w:hAnsi="Arial" w:cs="Arial"/>
          <w:sz w:val="20"/>
          <w:szCs w:val="20"/>
          <w:vertAlign w:val="superscript"/>
          <w:lang w:val="en-GB"/>
        </w:rPr>
        <w:t>3-</w:t>
      </w:r>
      <w:r w:rsidR="00BC0A21" w:rsidRPr="00BC0A21">
        <w:rPr>
          <w:rFonts w:ascii="Arial" w:hAnsi="Arial" w:cs="Arial"/>
          <w:sz w:val="20"/>
          <w:szCs w:val="20"/>
          <w:lang w:val="en-GB"/>
        </w:rPr>
        <w:t xml:space="preserve"> and divalent iron (Boström et al., 1988; </w:t>
      </w:r>
      <w:proofErr w:type="spellStart"/>
      <w:r w:rsidR="00BC0A21" w:rsidRPr="00BC0A21">
        <w:rPr>
          <w:rFonts w:ascii="Arial" w:hAnsi="Arial" w:cs="Arial"/>
          <w:sz w:val="20"/>
          <w:szCs w:val="20"/>
          <w:lang w:val="en-GB"/>
        </w:rPr>
        <w:t>Lengier</w:t>
      </w:r>
      <w:proofErr w:type="spellEnd"/>
      <w:r w:rsidR="00BC0A21" w:rsidRPr="00BC0A21">
        <w:rPr>
          <w:rFonts w:ascii="Arial" w:hAnsi="Arial" w:cs="Arial"/>
          <w:sz w:val="20"/>
          <w:szCs w:val="20"/>
          <w:lang w:val="en-GB"/>
        </w:rPr>
        <w:t xml:space="preserve"> et al., 2021). Coastal ecosystems such as bays, lakes, rivers and lagoons appear to be suitable systems for the study of factors affecting nutrient release from sediments due to the significant longitudinal gradient in the physical and chemical properties of their waters. The Fresco lagoon, being part of the lagoon system of Côte d'Ivoire, is subject to intense anthropogenic pressures due to its rural environment dominated by agriculture, which generates pollutants from the use of fertilizers and phytosanitary products. The accumulation of these pollutants can have an impact on the quality of its environment (</w:t>
      </w:r>
      <w:proofErr w:type="spellStart"/>
      <w:r w:rsidR="00BC0A21" w:rsidRPr="00BC0A21">
        <w:rPr>
          <w:rFonts w:ascii="Arial" w:hAnsi="Arial" w:cs="Arial"/>
          <w:sz w:val="20"/>
          <w:szCs w:val="20"/>
          <w:lang w:val="en-GB"/>
        </w:rPr>
        <w:t>Issola</w:t>
      </w:r>
      <w:proofErr w:type="spellEnd"/>
      <w:r w:rsidR="00BC0A21" w:rsidRPr="00BC0A21">
        <w:rPr>
          <w:rFonts w:ascii="Arial" w:hAnsi="Arial" w:cs="Arial"/>
          <w:sz w:val="20"/>
          <w:szCs w:val="20"/>
          <w:lang w:val="en-GB"/>
        </w:rPr>
        <w:t xml:space="preserve"> et al., 2008; 2009). In addition, fishing activities by poisoning, discharge of domestic wastewater, solid waste, etc. are sources of introduction of pollutants into this lagoon. Pollutants bound to sediments are likely to be released under certain conditions, which could lead to a degradation of the water quality of this aquatic ecosystem. The objective of this study is therefore to study the spatial distribution of diffusive fluxes of nutrients (</w:t>
      </w:r>
      <w:r w:rsidR="00560F7E">
        <w:rPr>
          <w:rFonts w:ascii="Arial" w:hAnsi="Arial" w:cs="Arial"/>
          <w:sz w:val="20"/>
          <w:szCs w:val="20"/>
          <w:lang w:val="en-GB"/>
        </w:rPr>
        <w:t>NH</w:t>
      </w:r>
      <w:r w:rsidR="00560F7E">
        <w:rPr>
          <w:rFonts w:ascii="Arial" w:hAnsi="Arial" w:cs="Arial"/>
          <w:sz w:val="20"/>
          <w:szCs w:val="20"/>
          <w:vertAlign w:val="subscript"/>
          <w:lang w:val="en-GB"/>
        </w:rPr>
        <w:t>4</w:t>
      </w:r>
      <w:r w:rsidR="00560F7E">
        <w:rPr>
          <w:rFonts w:ascii="Arial" w:hAnsi="Arial" w:cs="Arial"/>
          <w:sz w:val="20"/>
          <w:szCs w:val="20"/>
          <w:vertAlign w:val="superscript"/>
          <w:lang w:val="en-GB"/>
        </w:rPr>
        <w:t>+</w:t>
      </w:r>
      <w:r w:rsidR="00560F7E">
        <w:rPr>
          <w:rFonts w:ascii="Arial" w:hAnsi="Arial" w:cs="Arial"/>
          <w:sz w:val="20"/>
          <w:szCs w:val="20"/>
          <w:lang w:val="en-GB"/>
        </w:rPr>
        <w:t>-N</w:t>
      </w:r>
      <w:r w:rsidR="00BC0A21" w:rsidRPr="00BC0A21">
        <w:rPr>
          <w:rFonts w:ascii="Arial" w:hAnsi="Arial" w:cs="Arial"/>
          <w:sz w:val="20"/>
          <w:szCs w:val="20"/>
          <w:lang w:val="en-GB"/>
        </w:rPr>
        <w:t xml:space="preserve">, </w:t>
      </w:r>
      <w:r w:rsidR="00560F7E">
        <w:rPr>
          <w:rFonts w:ascii="Arial" w:hAnsi="Arial" w:cs="Arial"/>
          <w:sz w:val="20"/>
          <w:szCs w:val="20"/>
          <w:lang w:val="en-GB"/>
        </w:rPr>
        <w:t>NO</w:t>
      </w:r>
      <w:r w:rsidR="00560F7E">
        <w:rPr>
          <w:rFonts w:ascii="Arial" w:hAnsi="Arial" w:cs="Arial"/>
          <w:sz w:val="20"/>
          <w:szCs w:val="20"/>
          <w:vertAlign w:val="subscript"/>
          <w:lang w:val="en-GB"/>
        </w:rPr>
        <w:t>2</w:t>
      </w:r>
      <w:r w:rsidR="00560F7E">
        <w:rPr>
          <w:rFonts w:ascii="Arial" w:hAnsi="Arial" w:cs="Arial"/>
          <w:sz w:val="20"/>
          <w:szCs w:val="20"/>
          <w:vertAlign w:val="superscript"/>
          <w:lang w:val="en-GB"/>
        </w:rPr>
        <w:t>-</w:t>
      </w:r>
      <w:r w:rsidR="00560F7E">
        <w:rPr>
          <w:rFonts w:ascii="Arial" w:hAnsi="Arial" w:cs="Arial"/>
          <w:sz w:val="20"/>
          <w:szCs w:val="20"/>
          <w:lang w:val="en-GB"/>
        </w:rPr>
        <w:t>-N</w:t>
      </w:r>
      <w:r w:rsidR="00BC0A21" w:rsidRPr="00BC0A21">
        <w:rPr>
          <w:rFonts w:ascii="Arial" w:hAnsi="Arial" w:cs="Arial"/>
          <w:sz w:val="20"/>
          <w:szCs w:val="20"/>
          <w:lang w:val="en-GB"/>
        </w:rPr>
        <w:t xml:space="preserve">, </w:t>
      </w:r>
      <w:r w:rsidR="00560F7E">
        <w:rPr>
          <w:rFonts w:ascii="Arial" w:hAnsi="Arial" w:cs="Arial"/>
          <w:sz w:val="20"/>
          <w:szCs w:val="20"/>
          <w:lang w:val="en-GB"/>
        </w:rPr>
        <w:t>NO</w:t>
      </w:r>
      <w:r w:rsidR="00560F7E">
        <w:rPr>
          <w:rFonts w:ascii="Arial" w:hAnsi="Arial" w:cs="Arial"/>
          <w:sz w:val="20"/>
          <w:szCs w:val="20"/>
          <w:vertAlign w:val="subscript"/>
          <w:lang w:val="en-GB"/>
        </w:rPr>
        <w:t>3</w:t>
      </w:r>
      <w:r w:rsidR="00560F7E">
        <w:rPr>
          <w:rFonts w:ascii="Arial" w:hAnsi="Arial" w:cs="Arial"/>
          <w:sz w:val="20"/>
          <w:szCs w:val="20"/>
          <w:vertAlign w:val="superscript"/>
          <w:lang w:val="en-GB"/>
        </w:rPr>
        <w:t>-</w:t>
      </w:r>
      <w:r w:rsidR="00560F7E">
        <w:rPr>
          <w:rFonts w:ascii="Arial" w:hAnsi="Arial" w:cs="Arial"/>
          <w:sz w:val="20"/>
          <w:szCs w:val="20"/>
          <w:lang w:val="en-GB"/>
        </w:rPr>
        <w:t>-N</w:t>
      </w:r>
      <w:r w:rsidR="00BC0A21" w:rsidRPr="00BC0A21">
        <w:rPr>
          <w:rFonts w:ascii="Arial" w:hAnsi="Arial" w:cs="Arial"/>
          <w:sz w:val="20"/>
          <w:szCs w:val="20"/>
          <w:lang w:val="en-GB"/>
        </w:rPr>
        <w:t xml:space="preserve">, </w:t>
      </w:r>
      <w:r w:rsidR="00560F7E">
        <w:rPr>
          <w:rFonts w:ascii="Arial" w:hAnsi="Arial" w:cs="Arial"/>
          <w:sz w:val="20"/>
          <w:szCs w:val="20"/>
          <w:lang w:val="en-GB"/>
        </w:rPr>
        <w:t>PO</w:t>
      </w:r>
      <w:r w:rsidR="00560F7E">
        <w:rPr>
          <w:rFonts w:ascii="Arial" w:hAnsi="Arial" w:cs="Arial"/>
          <w:sz w:val="20"/>
          <w:szCs w:val="20"/>
          <w:vertAlign w:val="subscript"/>
          <w:lang w:val="en-GB"/>
        </w:rPr>
        <w:t>4</w:t>
      </w:r>
      <w:r w:rsidR="00560F7E">
        <w:rPr>
          <w:rFonts w:ascii="Arial" w:hAnsi="Arial" w:cs="Arial"/>
          <w:sz w:val="20"/>
          <w:szCs w:val="20"/>
          <w:vertAlign w:val="superscript"/>
          <w:lang w:val="en-GB"/>
        </w:rPr>
        <w:t>3-</w:t>
      </w:r>
      <w:r w:rsidR="00560F7E">
        <w:rPr>
          <w:rFonts w:ascii="Arial" w:hAnsi="Arial" w:cs="Arial"/>
          <w:sz w:val="20"/>
          <w:szCs w:val="20"/>
          <w:lang w:val="en-GB"/>
        </w:rPr>
        <w:t>-P</w:t>
      </w:r>
      <w:r w:rsidR="00BC0A21" w:rsidRPr="00BC0A21">
        <w:rPr>
          <w:rFonts w:ascii="Arial" w:hAnsi="Arial" w:cs="Arial"/>
          <w:sz w:val="20"/>
          <w:szCs w:val="20"/>
          <w:lang w:val="en-GB"/>
        </w:rPr>
        <w:t xml:space="preserve">) at the water-sediment interface in the Fresco lagoon and to identify the physicochemical factors </w:t>
      </w:r>
      <w:proofErr w:type="spellStart"/>
      <w:r w:rsidR="00BC0A21" w:rsidRPr="00BC0A21">
        <w:rPr>
          <w:rFonts w:ascii="Arial" w:hAnsi="Arial" w:cs="Arial"/>
          <w:sz w:val="20"/>
          <w:szCs w:val="20"/>
          <w:lang w:val="en-GB"/>
        </w:rPr>
        <w:t>favoring</w:t>
      </w:r>
      <w:proofErr w:type="spellEnd"/>
      <w:r w:rsidR="00BC0A21" w:rsidRPr="00BC0A21">
        <w:rPr>
          <w:rFonts w:ascii="Arial" w:hAnsi="Arial" w:cs="Arial"/>
          <w:sz w:val="20"/>
          <w:szCs w:val="20"/>
          <w:lang w:val="en-GB"/>
        </w:rPr>
        <w:t xml:space="preserve"> these diffusion fluxes. The results of this study could serve as databases for the prevention and control of eutro</w:t>
      </w:r>
      <w:r w:rsidR="00560F7E">
        <w:rPr>
          <w:rFonts w:ascii="Arial" w:hAnsi="Arial" w:cs="Arial"/>
          <w:sz w:val="20"/>
          <w:szCs w:val="20"/>
          <w:lang w:val="en-GB"/>
        </w:rPr>
        <w:t>phication of this body of water.</w:t>
      </w:r>
    </w:p>
    <w:p w14:paraId="55E8F8DC" w14:textId="77777777" w:rsidR="003E797A" w:rsidRDefault="003E797A" w:rsidP="00D634C5">
      <w:pPr>
        <w:spacing w:after="0" w:line="240" w:lineRule="auto"/>
        <w:jc w:val="both"/>
        <w:rPr>
          <w:rFonts w:ascii="Arial" w:hAnsi="Arial" w:cs="Arial"/>
          <w:sz w:val="20"/>
          <w:szCs w:val="20"/>
          <w:lang w:val="en-GB"/>
        </w:rPr>
      </w:pPr>
    </w:p>
    <w:p w14:paraId="659FE231" w14:textId="77777777" w:rsidR="003E797A" w:rsidRPr="003E797A" w:rsidRDefault="003E797A" w:rsidP="003E797A">
      <w:pPr>
        <w:spacing w:after="0"/>
        <w:jc w:val="both"/>
        <w:rPr>
          <w:rFonts w:ascii="Arial" w:hAnsi="Arial" w:cs="Arial"/>
          <w:b/>
          <w:szCs w:val="20"/>
          <w:lang w:val="en-GB"/>
        </w:rPr>
      </w:pPr>
      <w:r w:rsidRPr="003E797A">
        <w:rPr>
          <w:rFonts w:ascii="Arial" w:hAnsi="Arial" w:cs="Arial"/>
          <w:b/>
          <w:szCs w:val="20"/>
          <w:lang w:val="en-GB"/>
        </w:rPr>
        <w:t>2. MATERIALS AND METHODS</w:t>
      </w:r>
    </w:p>
    <w:p w14:paraId="41B55C93" w14:textId="77777777" w:rsidR="003E797A" w:rsidRPr="003E797A" w:rsidRDefault="003E797A" w:rsidP="003E797A">
      <w:pPr>
        <w:spacing w:after="0"/>
        <w:jc w:val="both"/>
        <w:rPr>
          <w:rFonts w:ascii="Arial" w:hAnsi="Arial" w:cs="Arial"/>
          <w:b/>
          <w:sz w:val="20"/>
          <w:szCs w:val="20"/>
          <w:lang w:val="en-GB"/>
        </w:rPr>
      </w:pPr>
    </w:p>
    <w:p w14:paraId="65AD4705" w14:textId="77777777" w:rsidR="003E797A" w:rsidRDefault="003E797A" w:rsidP="003E797A">
      <w:pPr>
        <w:spacing w:after="0"/>
        <w:jc w:val="both"/>
        <w:rPr>
          <w:rFonts w:ascii="Arial" w:hAnsi="Arial" w:cs="Arial"/>
          <w:szCs w:val="20"/>
          <w:lang w:val="en-GB"/>
        </w:rPr>
      </w:pPr>
      <w:r w:rsidRPr="003E797A">
        <w:rPr>
          <w:rFonts w:ascii="Arial" w:hAnsi="Arial" w:cs="Arial"/>
          <w:b/>
          <w:szCs w:val="20"/>
          <w:lang w:val="en-GB"/>
        </w:rPr>
        <w:t>2.1 Presentation of the Study Area</w:t>
      </w:r>
    </w:p>
    <w:p w14:paraId="438A7FEE" w14:textId="77777777" w:rsidR="003E797A" w:rsidRDefault="003E797A" w:rsidP="003E797A">
      <w:pPr>
        <w:spacing w:after="0"/>
        <w:jc w:val="both"/>
        <w:rPr>
          <w:rFonts w:ascii="Arial" w:hAnsi="Arial" w:cs="Arial"/>
          <w:sz w:val="20"/>
          <w:szCs w:val="20"/>
          <w:lang w:val="en-GB"/>
        </w:rPr>
      </w:pPr>
    </w:p>
    <w:p w14:paraId="335AA3A1" w14:textId="77777777" w:rsidR="003E797A" w:rsidRPr="003E797A" w:rsidRDefault="003E797A" w:rsidP="003E797A">
      <w:pPr>
        <w:spacing w:after="0"/>
        <w:jc w:val="both"/>
        <w:rPr>
          <w:rFonts w:ascii="Arial" w:hAnsi="Arial" w:cs="Arial"/>
          <w:sz w:val="20"/>
          <w:szCs w:val="20"/>
          <w:lang w:val="en-GB"/>
        </w:rPr>
      </w:pPr>
      <w:r w:rsidRPr="003E797A">
        <w:rPr>
          <w:rFonts w:ascii="Arial" w:hAnsi="Arial" w:cs="Arial"/>
          <w:sz w:val="20"/>
          <w:szCs w:val="20"/>
          <w:lang w:val="en-GB"/>
        </w:rPr>
        <w:t xml:space="preserve">Belonging to the </w:t>
      </w:r>
      <w:proofErr w:type="spellStart"/>
      <w:r w:rsidRPr="003E797A">
        <w:rPr>
          <w:rFonts w:ascii="Arial" w:hAnsi="Arial" w:cs="Arial"/>
          <w:sz w:val="20"/>
          <w:szCs w:val="20"/>
          <w:lang w:val="en-GB"/>
        </w:rPr>
        <w:t>Gbôklè</w:t>
      </w:r>
      <w:proofErr w:type="spellEnd"/>
      <w:r w:rsidRPr="003E797A">
        <w:rPr>
          <w:rFonts w:ascii="Arial" w:hAnsi="Arial" w:cs="Arial"/>
          <w:sz w:val="20"/>
          <w:szCs w:val="20"/>
          <w:lang w:val="en-GB"/>
        </w:rPr>
        <w:t xml:space="preserve"> region, the department of Fresco is located in the southwest of Côte d'Ivoire. The city of Fresco is the largest in this department with an estimated population of 101,298 inhabitants (Ouattara et al., 2025). The major activity in the department of Fresco is agriculture, mainly coffee, rubber, oil palm and cocoa (Dibo et al., 2021). The food crops grown are dominated by cassava, rice, banana and corn (Dibo et al., 2021). Artisanal fishing and aquaculture on the lagoon are also practiced in this city (</w:t>
      </w:r>
      <w:proofErr w:type="spellStart"/>
      <w:r w:rsidRPr="003E797A">
        <w:rPr>
          <w:rFonts w:ascii="Arial" w:hAnsi="Arial" w:cs="Arial"/>
          <w:sz w:val="20"/>
          <w:szCs w:val="20"/>
          <w:lang w:val="en-GB"/>
        </w:rPr>
        <w:t>N'guessan</w:t>
      </w:r>
      <w:proofErr w:type="spellEnd"/>
      <w:r w:rsidRPr="003E797A">
        <w:rPr>
          <w:rFonts w:ascii="Arial" w:hAnsi="Arial" w:cs="Arial"/>
          <w:sz w:val="20"/>
          <w:szCs w:val="20"/>
          <w:lang w:val="en-GB"/>
        </w:rPr>
        <w:t xml:space="preserve"> et al., 2013). Tourism is poorly developed (Dibo et al., 2021). The department of Fresco does not have industrial units for processing agricultural products. Mining potential is underexploited due to a lack of transportation infrastructure and low electrification, which hinders the establishment of mining companies (</w:t>
      </w:r>
      <w:proofErr w:type="spellStart"/>
      <w:r w:rsidRPr="003E797A">
        <w:rPr>
          <w:rFonts w:ascii="Arial" w:hAnsi="Arial" w:cs="Arial"/>
          <w:sz w:val="20"/>
          <w:szCs w:val="20"/>
          <w:lang w:val="en-GB"/>
        </w:rPr>
        <w:t>N'guessan</w:t>
      </w:r>
      <w:proofErr w:type="spellEnd"/>
      <w:r w:rsidRPr="003E797A">
        <w:rPr>
          <w:rFonts w:ascii="Arial" w:hAnsi="Arial" w:cs="Arial"/>
          <w:sz w:val="20"/>
          <w:szCs w:val="20"/>
          <w:lang w:val="en-GB"/>
        </w:rPr>
        <w:t xml:space="preserve"> et al., 2013). However, artisanal and clandestine mining is increasingly widespread in this region (</w:t>
      </w:r>
      <w:proofErr w:type="spellStart"/>
      <w:r w:rsidRPr="003E797A">
        <w:rPr>
          <w:rFonts w:ascii="Arial" w:hAnsi="Arial" w:cs="Arial"/>
          <w:sz w:val="20"/>
          <w:szCs w:val="20"/>
          <w:lang w:val="en-GB"/>
        </w:rPr>
        <w:t>N'guessan</w:t>
      </w:r>
      <w:proofErr w:type="spellEnd"/>
      <w:r w:rsidRPr="003E797A">
        <w:rPr>
          <w:rFonts w:ascii="Arial" w:hAnsi="Arial" w:cs="Arial"/>
          <w:sz w:val="20"/>
          <w:szCs w:val="20"/>
          <w:lang w:val="en-GB"/>
        </w:rPr>
        <w:t xml:space="preserve"> et al., 2013).</w:t>
      </w:r>
    </w:p>
    <w:p w14:paraId="37442CFB" w14:textId="77777777" w:rsidR="003E797A" w:rsidRDefault="003E797A" w:rsidP="003E797A">
      <w:pPr>
        <w:spacing w:after="0"/>
        <w:jc w:val="both"/>
        <w:rPr>
          <w:rFonts w:ascii="Arial" w:hAnsi="Arial" w:cs="Arial"/>
          <w:sz w:val="20"/>
          <w:szCs w:val="20"/>
          <w:lang w:val="en-GB"/>
        </w:rPr>
      </w:pPr>
      <w:r w:rsidRPr="003E797A">
        <w:rPr>
          <w:rFonts w:ascii="Arial" w:hAnsi="Arial" w:cs="Arial"/>
          <w:sz w:val="20"/>
          <w:szCs w:val="20"/>
          <w:lang w:val="en-GB"/>
        </w:rPr>
        <w:t>This study was conducted on the Fresco lagoon, located in the Fresco department. It extends between 5°03' and 5°11' North latitude and between 5°29' and 5°44' West longitude. In the coastal zone, there is a succession of four terrestrial hydroclimatic seasons (</w:t>
      </w:r>
      <w:proofErr w:type="spellStart"/>
      <w:r w:rsidRPr="003E797A">
        <w:rPr>
          <w:rFonts w:ascii="Arial" w:hAnsi="Arial" w:cs="Arial"/>
          <w:sz w:val="20"/>
          <w:szCs w:val="20"/>
          <w:lang w:val="en-GB"/>
        </w:rPr>
        <w:t>Etilé</w:t>
      </w:r>
      <w:proofErr w:type="spellEnd"/>
      <w:r w:rsidRPr="003E797A">
        <w:rPr>
          <w:rFonts w:ascii="Arial" w:hAnsi="Arial" w:cs="Arial"/>
          <w:sz w:val="20"/>
          <w:szCs w:val="20"/>
          <w:lang w:val="en-GB"/>
        </w:rPr>
        <w:t xml:space="preserve"> et al., 2020). These are the long dry season from December to April, the long rainy season from May to July, the short dry season from August to September and the short rainy season from October to November (Ouattara et al., 2025). This lagoon, which is about 4 m</w:t>
      </w:r>
      <w:r>
        <w:rPr>
          <w:rFonts w:ascii="Arial" w:hAnsi="Arial" w:cs="Arial"/>
          <w:sz w:val="20"/>
          <w:szCs w:val="20"/>
          <w:lang w:val="en-GB"/>
        </w:rPr>
        <w:t xml:space="preserve">eters deep and has an area of </w:t>
      </w:r>
      <w:r w:rsidRPr="003E797A">
        <w:rPr>
          <w:rFonts w:ascii="Arial" w:hAnsi="Arial" w:cs="Arial"/>
          <w:sz w:val="20"/>
          <w:szCs w:val="20"/>
          <w:lang w:val="en-GB"/>
        </w:rPr>
        <w:t>17 km</w:t>
      </w:r>
      <w:r w:rsidRPr="00D634C5">
        <w:rPr>
          <w:rFonts w:ascii="Arial" w:hAnsi="Arial" w:cs="Arial"/>
          <w:sz w:val="20"/>
          <w:szCs w:val="20"/>
          <w:vertAlign w:val="superscript"/>
          <w:lang w:val="en-GB"/>
        </w:rPr>
        <w:t>2</w:t>
      </w:r>
      <w:r w:rsidRPr="003E797A">
        <w:rPr>
          <w:rFonts w:ascii="Arial" w:hAnsi="Arial" w:cs="Arial"/>
          <w:sz w:val="20"/>
          <w:szCs w:val="20"/>
          <w:lang w:val="en-GB"/>
        </w:rPr>
        <w:t xml:space="preserve">, communicates with the Atlantic Ocean. It </w:t>
      </w:r>
      <w:r w:rsidRPr="003E797A">
        <w:rPr>
          <w:rFonts w:ascii="Arial" w:hAnsi="Arial" w:cs="Arial"/>
          <w:sz w:val="20"/>
          <w:szCs w:val="20"/>
          <w:lang w:val="en-GB"/>
        </w:rPr>
        <w:lastRenderedPageBreak/>
        <w:t xml:space="preserve">extends over a length of 6 km and a width of between 2 and 4 km (Ouattara et al., 2025). It receives the waters of two main coastal rivers, the Bolo River and the </w:t>
      </w:r>
      <w:proofErr w:type="spellStart"/>
      <w:r w:rsidRPr="003E797A">
        <w:rPr>
          <w:rFonts w:ascii="Arial" w:hAnsi="Arial" w:cs="Arial"/>
          <w:sz w:val="20"/>
          <w:szCs w:val="20"/>
          <w:lang w:val="en-GB"/>
        </w:rPr>
        <w:t>Niouniourou</w:t>
      </w:r>
      <w:proofErr w:type="spellEnd"/>
      <w:r w:rsidRPr="003E797A">
        <w:rPr>
          <w:rFonts w:ascii="Arial" w:hAnsi="Arial" w:cs="Arial"/>
          <w:sz w:val="20"/>
          <w:szCs w:val="20"/>
          <w:lang w:val="en-GB"/>
        </w:rPr>
        <w:t xml:space="preserve"> River (Fig. 1). The volume of ocean water received by this lagoon is maximum during low water periods of the Bolo and </w:t>
      </w:r>
      <w:proofErr w:type="spellStart"/>
      <w:r w:rsidRPr="003E797A">
        <w:rPr>
          <w:rFonts w:ascii="Arial" w:hAnsi="Arial" w:cs="Arial"/>
          <w:sz w:val="20"/>
          <w:szCs w:val="20"/>
          <w:lang w:val="en-GB"/>
        </w:rPr>
        <w:t>Niouniourou</w:t>
      </w:r>
      <w:proofErr w:type="spellEnd"/>
      <w:r w:rsidRPr="003E797A">
        <w:rPr>
          <w:rFonts w:ascii="Arial" w:hAnsi="Arial" w:cs="Arial"/>
          <w:sz w:val="20"/>
          <w:szCs w:val="20"/>
          <w:lang w:val="en-GB"/>
        </w:rPr>
        <w:t xml:space="preserve"> Rivers and minimum during flood periods. During flood periods of the Bolo and </w:t>
      </w:r>
      <w:proofErr w:type="spellStart"/>
      <w:r w:rsidRPr="003E797A">
        <w:rPr>
          <w:rFonts w:ascii="Arial" w:hAnsi="Arial" w:cs="Arial"/>
          <w:sz w:val="20"/>
          <w:szCs w:val="20"/>
          <w:lang w:val="en-GB"/>
        </w:rPr>
        <w:t>Niouniourou</w:t>
      </w:r>
      <w:proofErr w:type="spellEnd"/>
      <w:r w:rsidRPr="003E797A">
        <w:rPr>
          <w:rFonts w:ascii="Arial" w:hAnsi="Arial" w:cs="Arial"/>
          <w:sz w:val="20"/>
          <w:szCs w:val="20"/>
          <w:lang w:val="en-GB"/>
        </w:rPr>
        <w:t xml:space="preserve"> rivers, an effect known as the flushing of ocean waters by continental waters occurs (</w:t>
      </w:r>
      <w:proofErr w:type="spellStart"/>
      <w:r w:rsidRPr="003E797A">
        <w:rPr>
          <w:rFonts w:ascii="Arial" w:hAnsi="Arial" w:cs="Arial"/>
          <w:sz w:val="20"/>
          <w:szCs w:val="20"/>
          <w:lang w:val="en-GB"/>
        </w:rPr>
        <w:t>Issola</w:t>
      </w:r>
      <w:proofErr w:type="spellEnd"/>
      <w:r w:rsidRPr="003E797A">
        <w:rPr>
          <w:rFonts w:ascii="Arial" w:hAnsi="Arial" w:cs="Arial"/>
          <w:sz w:val="20"/>
          <w:szCs w:val="20"/>
          <w:lang w:val="en-GB"/>
        </w:rPr>
        <w:t xml:space="preserve"> et al., 2008; 2009).</w:t>
      </w:r>
    </w:p>
    <w:p w14:paraId="4D7E7CB0" w14:textId="77777777" w:rsidR="00327528" w:rsidRDefault="00327528" w:rsidP="003E797A">
      <w:pPr>
        <w:spacing w:after="0"/>
        <w:jc w:val="both"/>
        <w:rPr>
          <w:rFonts w:ascii="Arial" w:hAnsi="Arial" w:cs="Arial"/>
          <w:sz w:val="20"/>
          <w:szCs w:val="20"/>
          <w:lang w:val="en-GB"/>
        </w:rPr>
      </w:pPr>
    </w:p>
    <w:p w14:paraId="08824E2C" w14:textId="77777777" w:rsidR="00327528" w:rsidRDefault="00327528" w:rsidP="003E797A">
      <w:pPr>
        <w:spacing w:after="0"/>
        <w:jc w:val="both"/>
        <w:rPr>
          <w:rFonts w:ascii="Arial" w:hAnsi="Arial" w:cs="Arial"/>
          <w:sz w:val="20"/>
          <w:szCs w:val="20"/>
          <w:lang w:val="en-GB"/>
        </w:rPr>
      </w:pPr>
      <w:r w:rsidRPr="006B6F8F">
        <w:rPr>
          <w:noProof/>
          <w:lang w:eastAsia="fr-FR"/>
        </w:rPr>
        <w:drawing>
          <wp:inline distT="0" distB="0" distL="0" distR="0" wp14:anchorId="3F9819C3" wp14:editId="492114DF">
            <wp:extent cx="5687219" cy="4572638"/>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87219" cy="4572638"/>
                    </a:xfrm>
                    <a:prstGeom prst="rect">
                      <a:avLst/>
                    </a:prstGeom>
                  </pic:spPr>
                </pic:pic>
              </a:graphicData>
            </a:graphic>
          </wp:inline>
        </w:drawing>
      </w:r>
    </w:p>
    <w:p w14:paraId="09FDA67C" w14:textId="77777777" w:rsidR="00327528" w:rsidRDefault="00327528" w:rsidP="003E797A">
      <w:pPr>
        <w:spacing w:after="0"/>
        <w:jc w:val="both"/>
        <w:rPr>
          <w:rFonts w:ascii="Arial" w:hAnsi="Arial" w:cs="Arial"/>
          <w:sz w:val="20"/>
          <w:szCs w:val="20"/>
          <w:lang w:val="en-GB"/>
        </w:rPr>
      </w:pPr>
    </w:p>
    <w:p w14:paraId="62E894DF" w14:textId="0FEF68EE" w:rsidR="00327528" w:rsidRDefault="00327528" w:rsidP="003E797A">
      <w:pPr>
        <w:spacing w:after="0"/>
        <w:jc w:val="both"/>
        <w:rPr>
          <w:rFonts w:ascii="Arial" w:hAnsi="Arial" w:cs="Arial"/>
          <w:b/>
          <w:sz w:val="20"/>
          <w:szCs w:val="20"/>
          <w:lang w:val="en-GB"/>
        </w:rPr>
      </w:pPr>
      <w:r w:rsidRPr="00CE23C5">
        <w:rPr>
          <w:rFonts w:ascii="Arial" w:hAnsi="Arial" w:cs="Arial"/>
          <w:b/>
          <w:sz w:val="20"/>
          <w:szCs w:val="20"/>
          <w:highlight w:val="yellow"/>
          <w:lang w:val="en-GB"/>
        </w:rPr>
        <w:t>Fig. 1. Presentation of the study area</w:t>
      </w:r>
      <w:r w:rsidRPr="00327528">
        <w:rPr>
          <w:rFonts w:ascii="Arial" w:hAnsi="Arial" w:cs="Arial"/>
          <w:b/>
          <w:sz w:val="20"/>
          <w:szCs w:val="20"/>
          <w:lang w:val="en-GB"/>
        </w:rPr>
        <w:t xml:space="preserve"> </w:t>
      </w:r>
    </w:p>
    <w:p w14:paraId="0FA42733" w14:textId="77777777" w:rsidR="00272E6C" w:rsidRDefault="00272E6C" w:rsidP="00272E6C">
      <w:pPr>
        <w:spacing w:after="0" w:line="240" w:lineRule="auto"/>
        <w:jc w:val="both"/>
        <w:rPr>
          <w:rFonts w:ascii="Arial" w:hAnsi="Arial" w:cs="Arial"/>
          <w:b/>
          <w:sz w:val="20"/>
          <w:szCs w:val="20"/>
          <w:lang w:val="en-GB"/>
        </w:rPr>
      </w:pPr>
    </w:p>
    <w:p w14:paraId="2780907E" w14:textId="77777777" w:rsidR="00272E6C" w:rsidRPr="00272E6C" w:rsidRDefault="00BD2CBD" w:rsidP="00272E6C">
      <w:pPr>
        <w:spacing w:after="0" w:line="240" w:lineRule="auto"/>
        <w:jc w:val="both"/>
        <w:rPr>
          <w:rFonts w:ascii="Arial" w:hAnsi="Arial" w:cs="Arial"/>
          <w:b/>
          <w:szCs w:val="20"/>
          <w:lang w:val="en-GB"/>
        </w:rPr>
      </w:pPr>
      <w:r>
        <w:rPr>
          <w:rFonts w:ascii="Arial" w:hAnsi="Arial" w:cs="Arial"/>
          <w:b/>
          <w:szCs w:val="20"/>
          <w:lang w:val="en-GB"/>
        </w:rPr>
        <w:t>2.2 Sampling and analysis m</w:t>
      </w:r>
      <w:r w:rsidR="00272E6C" w:rsidRPr="00272E6C">
        <w:rPr>
          <w:rFonts w:ascii="Arial" w:hAnsi="Arial" w:cs="Arial"/>
          <w:b/>
          <w:szCs w:val="20"/>
          <w:lang w:val="en-GB"/>
        </w:rPr>
        <w:t>ethods</w:t>
      </w:r>
    </w:p>
    <w:p w14:paraId="0A33F7C3" w14:textId="77777777" w:rsidR="00272E6C" w:rsidRPr="00272E6C" w:rsidRDefault="00272E6C" w:rsidP="00272E6C">
      <w:pPr>
        <w:spacing w:after="0" w:line="240" w:lineRule="auto"/>
        <w:jc w:val="both"/>
        <w:rPr>
          <w:rFonts w:ascii="Arial" w:hAnsi="Arial" w:cs="Arial"/>
          <w:b/>
          <w:sz w:val="20"/>
          <w:szCs w:val="20"/>
          <w:lang w:val="en-GB"/>
        </w:rPr>
      </w:pPr>
    </w:p>
    <w:p w14:paraId="06B499FB" w14:textId="77777777" w:rsidR="00272E6C" w:rsidRDefault="00896D19" w:rsidP="00272E6C">
      <w:pPr>
        <w:spacing w:after="0" w:line="240" w:lineRule="auto"/>
        <w:jc w:val="both"/>
        <w:rPr>
          <w:rFonts w:ascii="Arial" w:hAnsi="Arial" w:cs="Arial"/>
          <w:sz w:val="20"/>
          <w:szCs w:val="20"/>
          <w:lang w:val="en-GB"/>
        </w:rPr>
      </w:pPr>
      <w:r>
        <w:rPr>
          <w:rFonts w:ascii="Arial" w:hAnsi="Arial" w:cs="Arial"/>
          <w:b/>
          <w:sz w:val="20"/>
          <w:szCs w:val="20"/>
          <w:u w:val="single"/>
          <w:lang w:val="en-GB"/>
        </w:rPr>
        <w:t>2.2.1 Sampling and pretreatment of water s</w:t>
      </w:r>
      <w:r w:rsidR="00272E6C" w:rsidRPr="00272E6C">
        <w:rPr>
          <w:rFonts w:ascii="Arial" w:hAnsi="Arial" w:cs="Arial"/>
          <w:b/>
          <w:sz w:val="20"/>
          <w:szCs w:val="20"/>
          <w:u w:val="single"/>
          <w:lang w:val="en-GB"/>
        </w:rPr>
        <w:t>amples</w:t>
      </w:r>
    </w:p>
    <w:p w14:paraId="5983F71E" w14:textId="77777777" w:rsidR="00272E6C" w:rsidRDefault="00272E6C" w:rsidP="00272E6C">
      <w:pPr>
        <w:spacing w:after="0" w:line="240" w:lineRule="auto"/>
        <w:jc w:val="both"/>
        <w:rPr>
          <w:rFonts w:ascii="Arial" w:hAnsi="Arial" w:cs="Arial"/>
          <w:sz w:val="20"/>
          <w:szCs w:val="20"/>
          <w:lang w:val="en-GB"/>
        </w:rPr>
      </w:pPr>
    </w:p>
    <w:p w14:paraId="36AC17EF" w14:textId="77777777" w:rsidR="00272E6C" w:rsidRDefault="00272E6C" w:rsidP="00272E6C">
      <w:pPr>
        <w:spacing w:after="0" w:line="240" w:lineRule="auto"/>
        <w:jc w:val="both"/>
        <w:rPr>
          <w:rFonts w:ascii="Arial" w:hAnsi="Arial" w:cs="Arial"/>
          <w:sz w:val="20"/>
          <w:szCs w:val="20"/>
          <w:lang w:val="en-GB"/>
        </w:rPr>
      </w:pPr>
      <w:r w:rsidRPr="00272E6C">
        <w:rPr>
          <w:rFonts w:ascii="Arial" w:hAnsi="Arial" w:cs="Arial"/>
          <w:sz w:val="20"/>
          <w:szCs w:val="20"/>
          <w:lang w:val="en-GB"/>
        </w:rPr>
        <w:t>This study was conducted over the period June 2019 - May 2020, i.e. over 12 months. A number of seven (7) stations noted S1, S2, S3, S4, S5, S6 and S7 were chosen for sampling (Fig. 2). This sampling took place over the four seasons and monthly. These sampling stations were selected during the work of Ouattara et al. (2025). The geographical coordinates of the sampling stations were determined using a GPS and are shown in Table 1.</w:t>
      </w:r>
    </w:p>
    <w:p w14:paraId="031F0418" w14:textId="77777777" w:rsidR="00272E6C" w:rsidRDefault="00272E6C" w:rsidP="00272E6C">
      <w:pPr>
        <w:spacing w:after="0" w:line="240" w:lineRule="auto"/>
        <w:jc w:val="both"/>
        <w:rPr>
          <w:rFonts w:ascii="Arial" w:hAnsi="Arial" w:cs="Arial"/>
          <w:sz w:val="20"/>
          <w:szCs w:val="20"/>
          <w:lang w:val="en-GB"/>
        </w:rPr>
      </w:pPr>
    </w:p>
    <w:p w14:paraId="57ECBF25" w14:textId="77777777" w:rsidR="00272E6C" w:rsidRDefault="00272E6C" w:rsidP="00272E6C">
      <w:pPr>
        <w:spacing w:after="0" w:line="240" w:lineRule="auto"/>
        <w:jc w:val="both"/>
        <w:rPr>
          <w:rFonts w:ascii="Arial" w:hAnsi="Arial" w:cs="Arial"/>
          <w:sz w:val="20"/>
          <w:szCs w:val="20"/>
          <w:lang w:val="en-GB"/>
        </w:rPr>
      </w:pPr>
      <w:r w:rsidRPr="0056226E">
        <w:rPr>
          <w:rFonts w:ascii="Arial" w:eastAsia="Times New Roman" w:hAnsi="Arial" w:cs="Arial"/>
          <w:noProof/>
          <w:sz w:val="20"/>
          <w:szCs w:val="20"/>
          <w:lang w:eastAsia="fr-FR"/>
        </w:rPr>
        <w:lastRenderedPageBreak/>
        <w:drawing>
          <wp:inline distT="0" distB="0" distL="0" distR="0" wp14:anchorId="152A9059" wp14:editId="1CF057F0">
            <wp:extent cx="5760720" cy="235189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351897"/>
                    </a:xfrm>
                    <a:prstGeom prst="rect">
                      <a:avLst/>
                    </a:prstGeom>
                    <a:noFill/>
                    <a:ln>
                      <a:noFill/>
                    </a:ln>
                  </pic:spPr>
                </pic:pic>
              </a:graphicData>
            </a:graphic>
          </wp:inline>
        </w:drawing>
      </w:r>
    </w:p>
    <w:p w14:paraId="306DD1A6" w14:textId="77777777" w:rsidR="00272E6C" w:rsidRDefault="00272E6C" w:rsidP="00272E6C">
      <w:pPr>
        <w:spacing w:after="0" w:line="240" w:lineRule="auto"/>
        <w:jc w:val="both"/>
        <w:rPr>
          <w:rFonts w:ascii="Arial" w:hAnsi="Arial" w:cs="Arial"/>
          <w:sz w:val="20"/>
          <w:szCs w:val="20"/>
          <w:lang w:val="en-GB"/>
        </w:rPr>
      </w:pPr>
    </w:p>
    <w:p w14:paraId="0010AAAB" w14:textId="4D1559D8" w:rsidR="00272E6C" w:rsidRPr="00272E6C" w:rsidRDefault="00272E6C" w:rsidP="00272E6C">
      <w:pPr>
        <w:spacing w:after="0" w:line="240" w:lineRule="auto"/>
        <w:jc w:val="both"/>
        <w:rPr>
          <w:rFonts w:ascii="Arial" w:hAnsi="Arial" w:cs="Arial"/>
          <w:b/>
          <w:sz w:val="20"/>
          <w:szCs w:val="20"/>
          <w:lang w:val="en-GB"/>
        </w:rPr>
      </w:pPr>
      <w:r w:rsidRPr="00CE23C5">
        <w:rPr>
          <w:rFonts w:ascii="Arial" w:hAnsi="Arial" w:cs="Arial"/>
          <w:b/>
          <w:sz w:val="20"/>
          <w:szCs w:val="20"/>
          <w:highlight w:val="yellow"/>
          <w:lang w:val="en-GB"/>
        </w:rPr>
        <w:t>Fig. 2. Sampling stations in the Fresco lagoon</w:t>
      </w:r>
      <w:r w:rsidRPr="00272E6C">
        <w:rPr>
          <w:rFonts w:ascii="Arial" w:hAnsi="Arial" w:cs="Arial"/>
          <w:b/>
          <w:sz w:val="20"/>
          <w:szCs w:val="20"/>
          <w:lang w:val="en-GB"/>
        </w:rPr>
        <w:t xml:space="preserve"> </w:t>
      </w:r>
    </w:p>
    <w:p w14:paraId="1A70220A" w14:textId="77777777" w:rsidR="00272E6C" w:rsidRPr="00272E6C" w:rsidRDefault="00272E6C" w:rsidP="00272E6C">
      <w:pPr>
        <w:spacing w:after="0" w:line="240" w:lineRule="auto"/>
        <w:jc w:val="both"/>
        <w:rPr>
          <w:rFonts w:ascii="Arial" w:hAnsi="Arial" w:cs="Arial"/>
          <w:sz w:val="20"/>
          <w:szCs w:val="20"/>
          <w:lang w:val="en-GB"/>
        </w:rPr>
      </w:pPr>
    </w:p>
    <w:p w14:paraId="5AD68AC9" w14:textId="472498EC" w:rsidR="00272E6C" w:rsidRDefault="00272E6C" w:rsidP="00272E6C">
      <w:pPr>
        <w:spacing w:after="0" w:line="240" w:lineRule="auto"/>
        <w:jc w:val="both"/>
        <w:rPr>
          <w:rFonts w:ascii="Arial" w:hAnsi="Arial" w:cs="Arial"/>
          <w:b/>
          <w:sz w:val="20"/>
          <w:szCs w:val="20"/>
          <w:lang w:val="en-GB"/>
        </w:rPr>
      </w:pPr>
      <w:r w:rsidRPr="00CE23C5">
        <w:rPr>
          <w:rFonts w:ascii="Arial" w:hAnsi="Arial" w:cs="Arial"/>
          <w:b/>
          <w:sz w:val="20"/>
          <w:szCs w:val="20"/>
          <w:highlight w:val="yellow"/>
          <w:lang w:val="en-GB"/>
        </w:rPr>
        <w:t>Table 1. Geographic coordinates of the sampling stations</w:t>
      </w:r>
      <w:r w:rsidRPr="00272E6C">
        <w:rPr>
          <w:rFonts w:ascii="Arial" w:hAnsi="Arial" w:cs="Arial"/>
          <w:b/>
          <w:sz w:val="20"/>
          <w:szCs w:val="20"/>
          <w:lang w:val="en-GB"/>
        </w:rPr>
        <w:t xml:space="preserve"> </w:t>
      </w:r>
    </w:p>
    <w:p w14:paraId="73972E81" w14:textId="77777777" w:rsidR="00272E6C" w:rsidRDefault="00272E6C" w:rsidP="00272E6C">
      <w:pPr>
        <w:spacing w:after="0" w:line="240" w:lineRule="auto"/>
        <w:jc w:val="both"/>
        <w:rPr>
          <w:rFonts w:ascii="Arial" w:hAnsi="Arial" w:cs="Arial"/>
          <w:b/>
          <w:sz w:val="20"/>
          <w:szCs w:val="20"/>
          <w:lang w:val="en-GB"/>
        </w:rPr>
      </w:pPr>
    </w:p>
    <w:tbl>
      <w:tblPr>
        <w:tblW w:w="5245" w:type="dxa"/>
        <w:jc w:val="center"/>
        <w:tblBorders>
          <w:top w:val="single" w:sz="4" w:space="0" w:color="auto"/>
          <w:bottom w:val="single" w:sz="4" w:space="0" w:color="auto"/>
        </w:tblBorders>
        <w:tblLook w:val="04A0" w:firstRow="1" w:lastRow="0" w:firstColumn="1" w:lastColumn="0" w:noHBand="0" w:noVBand="1"/>
      </w:tblPr>
      <w:tblGrid>
        <w:gridCol w:w="993"/>
        <w:gridCol w:w="1134"/>
        <w:gridCol w:w="1559"/>
        <w:gridCol w:w="1559"/>
      </w:tblGrid>
      <w:tr w:rsidR="00272E6C" w:rsidRPr="00272E6C" w14:paraId="21ED4712" w14:textId="77777777" w:rsidTr="00272E6C">
        <w:trPr>
          <w:trHeight w:val="295"/>
          <w:jc w:val="center"/>
        </w:trPr>
        <w:tc>
          <w:tcPr>
            <w:tcW w:w="993" w:type="dxa"/>
            <w:tcBorders>
              <w:top w:val="single" w:sz="4" w:space="0" w:color="auto"/>
              <w:left w:val="nil"/>
              <w:bottom w:val="single" w:sz="4" w:space="0" w:color="auto"/>
              <w:right w:val="nil"/>
            </w:tcBorders>
            <w:vAlign w:val="center"/>
            <w:hideMark/>
          </w:tcPr>
          <w:p w14:paraId="09E011AA"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N°</w:t>
            </w:r>
          </w:p>
        </w:tc>
        <w:tc>
          <w:tcPr>
            <w:tcW w:w="1134" w:type="dxa"/>
            <w:tcBorders>
              <w:top w:val="single" w:sz="4" w:space="0" w:color="auto"/>
              <w:left w:val="nil"/>
              <w:bottom w:val="single" w:sz="4" w:space="0" w:color="auto"/>
              <w:right w:val="nil"/>
            </w:tcBorders>
            <w:vAlign w:val="center"/>
            <w:hideMark/>
          </w:tcPr>
          <w:p w14:paraId="7412518A"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Station</w:t>
            </w:r>
          </w:p>
        </w:tc>
        <w:tc>
          <w:tcPr>
            <w:tcW w:w="1559" w:type="dxa"/>
            <w:tcBorders>
              <w:top w:val="single" w:sz="4" w:space="0" w:color="auto"/>
              <w:left w:val="nil"/>
              <w:bottom w:val="single" w:sz="4" w:space="0" w:color="auto"/>
              <w:right w:val="nil"/>
            </w:tcBorders>
            <w:vAlign w:val="center"/>
            <w:hideMark/>
          </w:tcPr>
          <w:p w14:paraId="7DCF1078"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Latitude</w:t>
            </w:r>
          </w:p>
        </w:tc>
        <w:tc>
          <w:tcPr>
            <w:tcW w:w="1559" w:type="dxa"/>
            <w:tcBorders>
              <w:top w:val="single" w:sz="4" w:space="0" w:color="auto"/>
              <w:left w:val="nil"/>
              <w:bottom w:val="single" w:sz="4" w:space="0" w:color="auto"/>
              <w:right w:val="nil"/>
            </w:tcBorders>
            <w:vAlign w:val="center"/>
            <w:hideMark/>
          </w:tcPr>
          <w:p w14:paraId="0BB7B6D2"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Longitude</w:t>
            </w:r>
          </w:p>
        </w:tc>
      </w:tr>
      <w:tr w:rsidR="00272E6C" w:rsidRPr="00272E6C" w14:paraId="410BC6D3" w14:textId="77777777" w:rsidTr="00272E6C">
        <w:trPr>
          <w:trHeight w:val="168"/>
          <w:jc w:val="center"/>
        </w:trPr>
        <w:tc>
          <w:tcPr>
            <w:tcW w:w="993" w:type="dxa"/>
            <w:tcBorders>
              <w:top w:val="nil"/>
              <w:left w:val="nil"/>
              <w:bottom w:val="nil"/>
              <w:right w:val="nil"/>
            </w:tcBorders>
            <w:vAlign w:val="center"/>
            <w:hideMark/>
          </w:tcPr>
          <w:p w14:paraId="26CC3A88" w14:textId="77777777" w:rsidR="00272E6C" w:rsidRPr="00272E6C" w:rsidRDefault="00272E6C" w:rsidP="00272E6C">
            <w:pPr>
              <w:spacing w:before="120" w:after="0" w:line="240" w:lineRule="auto"/>
              <w:jc w:val="both"/>
              <w:rPr>
                <w:rFonts w:ascii="Arial" w:eastAsia="Calibri" w:hAnsi="Arial" w:cs="Arial"/>
                <w:sz w:val="20"/>
                <w:szCs w:val="20"/>
              </w:rPr>
            </w:pPr>
            <w:r w:rsidRPr="00272E6C">
              <w:rPr>
                <w:rFonts w:ascii="Arial" w:eastAsia="Calibri" w:hAnsi="Arial" w:cs="Arial"/>
                <w:sz w:val="20"/>
                <w:szCs w:val="20"/>
              </w:rPr>
              <w:t>1</w:t>
            </w:r>
          </w:p>
        </w:tc>
        <w:tc>
          <w:tcPr>
            <w:tcW w:w="1134" w:type="dxa"/>
            <w:tcBorders>
              <w:top w:val="nil"/>
              <w:left w:val="nil"/>
              <w:bottom w:val="nil"/>
              <w:right w:val="nil"/>
            </w:tcBorders>
            <w:vAlign w:val="center"/>
            <w:hideMark/>
          </w:tcPr>
          <w:p w14:paraId="03EE47B4" w14:textId="77777777" w:rsidR="00272E6C" w:rsidRPr="00272E6C" w:rsidRDefault="00272E6C" w:rsidP="00272E6C">
            <w:pPr>
              <w:spacing w:before="120" w:after="0" w:line="240" w:lineRule="auto"/>
              <w:jc w:val="both"/>
              <w:rPr>
                <w:rFonts w:ascii="Arial" w:eastAsia="Calibri" w:hAnsi="Arial" w:cs="Arial"/>
                <w:sz w:val="20"/>
                <w:szCs w:val="20"/>
              </w:rPr>
            </w:pPr>
            <w:r w:rsidRPr="00272E6C">
              <w:rPr>
                <w:rFonts w:ascii="Arial" w:eastAsia="Calibri" w:hAnsi="Arial" w:cs="Arial"/>
                <w:sz w:val="20"/>
                <w:szCs w:val="20"/>
              </w:rPr>
              <w:t>S1</w:t>
            </w:r>
          </w:p>
        </w:tc>
        <w:tc>
          <w:tcPr>
            <w:tcW w:w="1559" w:type="dxa"/>
            <w:tcBorders>
              <w:top w:val="nil"/>
              <w:left w:val="nil"/>
              <w:bottom w:val="nil"/>
              <w:right w:val="nil"/>
            </w:tcBorders>
            <w:vAlign w:val="center"/>
            <w:hideMark/>
          </w:tcPr>
          <w:p w14:paraId="67418520" w14:textId="77777777" w:rsidR="00272E6C" w:rsidRPr="00272E6C" w:rsidRDefault="00272E6C" w:rsidP="00272E6C">
            <w:pPr>
              <w:spacing w:before="120" w:after="0" w:line="240" w:lineRule="auto"/>
              <w:jc w:val="both"/>
              <w:rPr>
                <w:rFonts w:ascii="Arial" w:eastAsia="Calibri" w:hAnsi="Arial" w:cs="Arial"/>
                <w:sz w:val="20"/>
                <w:szCs w:val="20"/>
              </w:rPr>
            </w:pPr>
            <w:r w:rsidRPr="00272E6C">
              <w:rPr>
                <w:rFonts w:ascii="Arial" w:eastAsia="Calibri" w:hAnsi="Arial" w:cs="Arial"/>
                <w:sz w:val="20"/>
                <w:szCs w:val="20"/>
              </w:rPr>
              <w:t>5°06’15’’N</w:t>
            </w:r>
          </w:p>
        </w:tc>
        <w:tc>
          <w:tcPr>
            <w:tcW w:w="1559" w:type="dxa"/>
            <w:tcBorders>
              <w:top w:val="nil"/>
              <w:left w:val="nil"/>
              <w:bottom w:val="nil"/>
              <w:right w:val="nil"/>
            </w:tcBorders>
            <w:vAlign w:val="center"/>
            <w:hideMark/>
          </w:tcPr>
          <w:p w14:paraId="579D1A6E" w14:textId="77777777" w:rsidR="00272E6C" w:rsidRPr="00272E6C" w:rsidRDefault="00272E6C" w:rsidP="00272E6C">
            <w:pPr>
              <w:spacing w:before="120" w:after="0" w:line="240" w:lineRule="auto"/>
              <w:jc w:val="both"/>
              <w:rPr>
                <w:rFonts w:ascii="Arial" w:eastAsia="Calibri" w:hAnsi="Arial" w:cs="Arial"/>
                <w:sz w:val="20"/>
                <w:szCs w:val="20"/>
              </w:rPr>
            </w:pPr>
            <w:r w:rsidRPr="00272E6C">
              <w:rPr>
                <w:rFonts w:ascii="Arial" w:eastAsia="Calibri" w:hAnsi="Arial" w:cs="Arial"/>
                <w:sz w:val="20"/>
                <w:szCs w:val="20"/>
              </w:rPr>
              <w:t>5°33’47’’W</w:t>
            </w:r>
          </w:p>
        </w:tc>
      </w:tr>
      <w:tr w:rsidR="00272E6C" w:rsidRPr="00272E6C" w14:paraId="69231427" w14:textId="77777777" w:rsidTr="00272E6C">
        <w:trPr>
          <w:trHeight w:val="295"/>
          <w:jc w:val="center"/>
        </w:trPr>
        <w:tc>
          <w:tcPr>
            <w:tcW w:w="993" w:type="dxa"/>
            <w:tcBorders>
              <w:top w:val="nil"/>
              <w:left w:val="nil"/>
              <w:bottom w:val="nil"/>
              <w:right w:val="nil"/>
            </w:tcBorders>
            <w:vAlign w:val="center"/>
            <w:hideMark/>
          </w:tcPr>
          <w:p w14:paraId="7BD776D3"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2</w:t>
            </w:r>
          </w:p>
        </w:tc>
        <w:tc>
          <w:tcPr>
            <w:tcW w:w="1134" w:type="dxa"/>
            <w:tcBorders>
              <w:top w:val="nil"/>
              <w:left w:val="nil"/>
              <w:bottom w:val="nil"/>
              <w:right w:val="nil"/>
            </w:tcBorders>
            <w:vAlign w:val="center"/>
            <w:hideMark/>
          </w:tcPr>
          <w:p w14:paraId="13F66541"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S2</w:t>
            </w:r>
          </w:p>
        </w:tc>
        <w:tc>
          <w:tcPr>
            <w:tcW w:w="1559" w:type="dxa"/>
            <w:tcBorders>
              <w:top w:val="nil"/>
              <w:left w:val="nil"/>
              <w:bottom w:val="nil"/>
              <w:right w:val="nil"/>
            </w:tcBorders>
            <w:vAlign w:val="center"/>
            <w:hideMark/>
          </w:tcPr>
          <w:p w14:paraId="6E9737F7"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5°06’09’’N</w:t>
            </w:r>
          </w:p>
        </w:tc>
        <w:tc>
          <w:tcPr>
            <w:tcW w:w="1559" w:type="dxa"/>
            <w:tcBorders>
              <w:top w:val="nil"/>
              <w:left w:val="nil"/>
              <w:bottom w:val="nil"/>
              <w:right w:val="nil"/>
            </w:tcBorders>
            <w:vAlign w:val="center"/>
            <w:hideMark/>
          </w:tcPr>
          <w:p w14:paraId="3A4AF844"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5°34’57’’W</w:t>
            </w:r>
          </w:p>
        </w:tc>
      </w:tr>
      <w:tr w:rsidR="00272E6C" w:rsidRPr="00272E6C" w14:paraId="7C7B4DF2" w14:textId="77777777" w:rsidTr="00272E6C">
        <w:trPr>
          <w:trHeight w:val="315"/>
          <w:jc w:val="center"/>
        </w:trPr>
        <w:tc>
          <w:tcPr>
            <w:tcW w:w="993" w:type="dxa"/>
            <w:tcBorders>
              <w:top w:val="nil"/>
              <w:left w:val="nil"/>
              <w:bottom w:val="nil"/>
              <w:right w:val="nil"/>
            </w:tcBorders>
            <w:vAlign w:val="center"/>
            <w:hideMark/>
          </w:tcPr>
          <w:p w14:paraId="01C91901"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3</w:t>
            </w:r>
          </w:p>
        </w:tc>
        <w:tc>
          <w:tcPr>
            <w:tcW w:w="1134" w:type="dxa"/>
            <w:tcBorders>
              <w:top w:val="nil"/>
              <w:left w:val="nil"/>
              <w:bottom w:val="nil"/>
              <w:right w:val="nil"/>
            </w:tcBorders>
            <w:vAlign w:val="center"/>
            <w:hideMark/>
          </w:tcPr>
          <w:p w14:paraId="1AD0E001"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S3</w:t>
            </w:r>
          </w:p>
        </w:tc>
        <w:tc>
          <w:tcPr>
            <w:tcW w:w="1559" w:type="dxa"/>
            <w:tcBorders>
              <w:top w:val="nil"/>
              <w:left w:val="nil"/>
              <w:bottom w:val="nil"/>
              <w:right w:val="nil"/>
            </w:tcBorders>
            <w:vAlign w:val="center"/>
            <w:hideMark/>
          </w:tcPr>
          <w:p w14:paraId="5A2E5963"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5°06’07’’N</w:t>
            </w:r>
          </w:p>
        </w:tc>
        <w:tc>
          <w:tcPr>
            <w:tcW w:w="1559" w:type="dxa"/>
            <w:tcBorders>
              <w:top w:val="nil"/>
              <w:left w:val="nil"/>
              <w:bottom w:val="nil"/>
              <w:right w:val="nil"/>
            </w:tcBorders>
            <w:vAlign w:val="center"/>
            <w:hideMark/>
          </w:tcPr>
          <w:p w14:paraId="3F27FF56"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5°35’16’’W</w:t>
            </w:r>
          </w:p>
        </w:tc>
      </w:tr>
      <w:tr w:rsidR="00272E6C" w:rsidRPr="00272E6C" w14:paraId="68BE2C17" w14:textId="77777777" w:rsidTr="00272E6C">
        <w:trPr>
          <w:trHeight w:val="295"/>
          <w:jc w:val="center"/>
        </w:trPr>
        <w:tc>
          <w:tcPr>
            <w:tcW w:w="993" w:type="dxa"/>
            <w:tcBorders>
              <w:top w:val="nil"/>
              <w:left w:val="nil"/>
              <w:bottom w:val="nil"/>
              <w:right w:val="nil"/>
            </w:tcBorders>
            <w:vAlign w:val="center"/>
            <w:hideMark/>
          </w:tcPr>
          <w:p w14:paraId="216A369A"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4</w:t>
            </w:r>
          </w:p>
        </w:tc>
        <w:tc>
          <w:tcPr>
            <w:tcW w:w="1134" w:type="dxa"/>
            <w:tcBorders>
              <w:top w:val="nil"/>
              <w:left w:val="nil"/>
              <w:bottom w:val="nil"/>
              <w:right w:val="nil"/>
            </w:tcBorders>
            <w:vAlign w:val="center"/>
            <w:hideMark/>
          </w:tcPr>
          <w:p w14:paraId="02BD64D3"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S4</w:t>
            </w:r>
          </w:p>
        </w:tc>
        <w:tc>
          <w:tcPr>
            <w:tcW w:w="1559" w:type="dxa"/>
            <w:tcBorders>
              <w:top w:val="nil"/>
              <w:left w:val="nil"/>
              <w:bottom w:val="nil"/>
              <w:right w:val="nil"/>
            </w:tcBorders>
            <w:vAlign w:val="center"/>
            <w:hideMark/>
          </w:tcPr>
          <w:p w14:paraId="36D1B2F1"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5°05’26’’N</w:t>
            </w:r>
          </w:p>
        </w:tc>
        <w:tc>
          <w:tcPr>
            <w:tcW w:w="1559" w:type="dxa"/>
            <w:tcBorders>
              <w:top w:val="nil"/>
              <w:left w:val="nil"/>
              <w:bottom w:val="nil"/>
              <w:right w:val="nil"/>
            </w:tcBorders>
            <w:vAlign w:val="center"/>
            <w:hideMark/>
          </w:tcPr>
          <w:p w14:paraId="25CA9B8D"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5°36’47’’W</w:t>
            </w:r>
          </w:p>
        </w:tc>
      </w:tr>
      <w:tr w:rsidR="00272E6C" w:rsidRPr="00272E6C" w14:paraId="5B01BB3D" w14:textId="77777777" w:rsidTr="00272E6C">
        <w:trPr>
          <w:trHeight w:val="295"/>
          <w:jc w:val="center"/>
        </w:trPr>
        <w:tc>
          <w:tcPr>
            <w:tcW w:w="993" w:type="dxa"/>
            <w:tcBorders>
              <w:top w:val="nil"/>
              <w:left w:val="nil"/>
              <w:bottom w:val="nil"/>
              <w:right w:val="nil"/>
            </w:tcBorders>
            <w:vAlign w:val="center"/>
            <w:hideMark/>
          </w:tcPr>
          <w:p w14:paraId="62AE4D37"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w:t>
            </w:r>
          </w:p>
        </w:tc>
        <w:tc>
          <w:tcPr>
            <w:tcW w:w="1134" w:type="dxa"/>
            <w:tcBorders>
              <w:top w:val="nil"/>
              <w:left w:val="nil"/>
              <w:bottom w:val="nil"/>
              <w:right w:val="nil"/>
            </w:tcBorders>
            <w:vAlign w:val="center"/>
            <w:hideMark/>
          </w:tcPr>
          <w:p w14:paraId="53D50F2C"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S5</w:t>
            </w:r>
          </w:p>
        </w:tc>
        <w:tc>
          <w:tcPr>
            <w:tcW w:w="1559" w:type="dxa"/>
            <w:tcBorders>
              <w:top w:val="nil"/>
              <w:left w:val="nil"/>
              <w:bottom w:val="nil"/>
              <w:right w:val="nil"/>
            </w:tcBorders>
            <w:vAlign w:val="center"/>
            <w:hideMark/>
          </w:tcPr>
          <w:p w14:paraId="2FB3DCCF"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5°06’14’’N</w:t>
            </w:r>
          </w:p>
        </w:tc>
        <w:tc>
          <w:tcPr>
            <w:tcW w:w="1559" w:type="dxa"/>
            <w:tcBorders>
              <w:top w:val="nil"/>
              <w:left w:val="nil"/>
              <w:bottom w:val="nil"/>
              <w:right w:val="nil"/>
            </w:tcBorders>
            <w:vAlign w:val="center"/>
            <w:hideMark/>
          </w:tcPr>
          <w:p w14:paraId="222AB22A"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5°36’37’’W</w:t>
            </w:r>
          </w:p>
        </w:tc>
      </w:tr>
      <w:tr w:rsidR="00272E6C" w:rsidRPr="00272E6C" w14:paraId="1C44A8E4" w14:textId="77777777" w:rsidTr="00272E6C">
        <w:trPr>
          <w:trHeight w:val="235"/>
          <w:jc w:val="center"/>
        </w:trPr>
        <w:tc>
          <w:tcPr>
            <w:tcW w:w="993" w:type="dxa"/>
            <w:tcBorders>
              <w:top w:val="nil"/>
              <w:left w:val="nil"/>
              <w:bottom w:val="nil"/>
              <w:right w:val="nil"/>
            </w:tcBorders>
            <w:vAlign w:val="center"/>
            <w:hideMark/>
          </w:tcPr>
          <w:p w14:paraId="6C790606"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6</w:t>
            </w:r>
          </w:p>
        </w:tc>
        <w:tc>
          <w:tcPr>
            <w:tcW w:w="1134" w:type="dxa"/>
            <w:tcBorders>
              <w:top w:val="nil"/>
              <w:left w:val="nil"/>
              <w:bottom w:val="nil"/>
              <w:right w:val="nil"/>
            </w:tcBorders>
            <w:vAlign w:val="center"/>
            <w:hideMark/>
          </w:tcPr>
          <w:p w14:paraId="79E8FF79"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S6</w:t>
            </w:r>
          </w:p>
        </w:tc>
        <w:tc>
          <w:tcPr>
            <w:tcW w:w="1559" w:type="dxa"/>
            <w:tcBorders>
              <w:top w:val="nil"/>
              <w:left w:val="nil"/>
              <w:bottom w:val="nil"/>
              <w:right w:val="nil"/>
            </w:tcBorders>
            <w:vAlign w:val="center"/>
            <w:hideMark/>
          </w:tcPr>
          <w:p w14:paraId="7A9DC95A"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5°06’29’’N</w:t>
            </w:r>
          </w:p>
        </w:tc>
        <w:tc>
          <w:tcPr>
            <w:tcW w:w="1559" w:type="dxa"/>
            <w:tcBorders>
              <w:top w:val="nil"/>
              <w:left w:val="nil"/>
              <w:bottom w:val="nil"/>
              <w:right w:val="nil"/>
            </w:tcBorders>
            <w:vAlign w:val="center"/>
            <w:hideMark/>
          </w:tcPr>
          <w:p w14:paraId="12428067"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5°36’00’’W</w:t>
            </w:r>
          </w:p>
        </w:tc>
      </w:tr>
      <w:tr w:rsidR="00272E6C" w:rsidRPr="00272E6C" w14:paraId="6D21D785" w14:textId="77777777" w:rsidTr="00272E6C">
        <w:trPr>
          <w:trHeight w:val="379"/>
          <w:jc w:val="center"/>
        </w:trPr>
        <w:tc>
          <w:tcPr>
            <w:tcW w:w="993" w:type="dxa"/>
            <w:tcBorders>
              <w:top w:val="nil"/>
              <w:left w:val="nil"/>
              <w:bottom w:val="single" w:sz="4" w:space="0" w:color="auto"/>
              <w:right w:val="nil"/>
            </w:tcBorders>
            <w:vAlign w:val="center"/>
            <w:hideMark/>
          </w:tcPr>
          <w:p w14:paraId="110FF285"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7</w:t>
            </w:r>
          </w:p>
        </w:tc>
        <w:tc>
          <w:tcPr>
            <w:tcW w:w="1134" w:type="dxa"/>
            <w:tcBorders>
              <w:top w:val="nil"/>
              <w:left w:val="nil"/>
              <w:bottom w:val="single" w:sz="4" w:space="0" w:color="auto"/>
              <w:right w:val="nil"/>
            </w:tcBorders>
            <w:vAlign w:val="center"/>
            <w:hideMark/>
          </w:tcPr>
          <w:p w14:paraId="2BD79AEE"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S7</w:t>
            </w:r>
          </w:p>
        </w:tc>
        <w:tc>
          <w:tcPr>
            <w:tcW w:w="1559" w:type="dxa"/>
            <w:tcBorders>
              <w:top w:val="nil"/>
              <w:left w:val="nil"/>
              <w:bottom w:val="single" w:sz="4" w:space="0" w:color="auto"/>
              <w:right w:val="nil"/>
            </w:tcBorders>
            <w:vAlign w:val="center"/>
            <w:hideMark/>
          </w:tcPr>
          <w:p w14:paraId="095F624C"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5°06’40’’N</w:t>
            </w:r>
          </w:p>
        </w:tc>
        <w:tc>
          <w:tcPr>
            <w:tcW w:w="1559" w:type="dxa"/>
            <w:tcBorders>
              <w:top w:val="nil"/>
              <w:left w:val="nil"/>
              <w:bottom w:val="single" w:sz="4" w:space="0" w:color="auto"/>
              <w:right w:val="nil"/>
            </w:tcBorders>
            <w:vAlign w:val="center"/>
            <w:hideMark/>
          </w:tcPr>
          <w:p w14:paraId="2B4ABC2D" w14:textId="77777777" w:rsidR="00272E6C" w:rsidRPr="00272E6C" w:rsidRDefault="00272E6C" w:rsidP="00272E6C">
            <w:pPr>
              <w:spacing w:after="0" w:line="240" w:lineRule="auto"/>
              <w:jc w:val="both"/>
              <w:rPr>
                <w:rFonts w:ascii="Arial" w:eastAsia="Calibri" w:hAnsi="Arial" w:cs="Arial"/>
                <w:sz w:val="20"/>
                <w:szCs w:val="20"/>
              </w:rPr>
            </w:pPr>
            <w:r w:rsidRPr="00272E6C">
              <w:rPr>
                <w:rFonts w:ascii="Arial" w:eastAsia="Calibri" w:hAnsi="Arial" w:cs="Arial"/>
                <w:sz w:val="20"/>
                <w:szCs w:val="20"/>
              </w:rPr>
              <w:t>5°35’05’’W</w:t>
            </w:r>
          </w:p>
        </w:tc>
      </w:tr>
    </w:tbl>
    <w:p w14:paraId="46560CF7" w14:textId="77777777" w:rsidR="00272E6C" w:rsidRDefault="00272E6C" w:rsidP="00272E6C">
      <w:pPr>
        <w:spacing w:after="0" w:line="240" w:lineRule="auto"/>
        <w:jc w:val="both"/>
        <w:rPr>
          <w:rFonts w:ascii="Arial" w:hAnsi="Arial" w:cs="Arial"/>
          <w:b/>
          <w:sz w:val="20"/>
          <w:szCs w:val="20"/>
          <w:lang w:val="en-GB"/>
        </w:rPr>
      </w:pPr>
    </w:p>
    <w:p w14:paraId="6E3C3F1D" w14:textId="77777777" w:rsidR="00272E6C" w:rsidRPr="00272E6C" w:rsidRDefault="00272E6C" w:rsidP="00272E6C">
      <w:pPr>
        <w:spacing w:after="0" w:line="240" w:lineRule="auto"/>
        <w:jc w:val="both"/>
        <w:rPr>
          <w:rFonts w:ascii="Arial" w:hAnsi="Arial" w:cs="Arial"/>
          <w:sz w:val="20"/>
          <w:szCs w:val="20"/>
          <w:lang w:val="en-GB"/>
        </w:rPr>
      </w:pPr>
      <w:r w:rsidRPr="00272E6C">
        <w:rPr>
          <w:rFonts w:ascii="Arial" w:hAnsi="Arial" w:cs="Arial"/>
          <w:sz w:val="20"/>
          <w:szCs w:val="20"/>
          <w:lang w:val="en-GB"/>
        </w:rPr>
        <w:t xml:space="preserve">The movement across the lagoon water body was carried out using a pinnace. Overlying water and surface sediment samples were collected at each sampling station. Bottom water samples were collected 0.5 m above the sediment surface using a 5 L </w:t>
      </w:r>
      <w:proofErr w:type="spellStart"/>
      <w:r w:rsidRPr="00272E6C">
        <w:rPr>
          <w:rFonts w:ascii="Arial" w:hAnsi="Arial" w:cs="Arial"/>
          <w:sz w:val="20"/>
          <w:szCs w:val="20"/>
          <w:lang w:val="en-GB"/>
        </w:rPr>
        <w:t>Niskin</w:t>
      </w:r>
      <w:proofErr w:type="spellEnd"/>
      <w:r w:rsidRPr="00272E6C">
        <w:rPr>
          <w:rFonts w:ascii="Arial" w:hAnsi="Arial" w:cs="Arial"/>
          <w:sz w:val="20"/>
          <w:szCs w:val="20"/>
          <w:lang w:val="en-GB"/>
        </w:rPr>
        <w:t xml:space="preserve"> bottle. Upon the bottle being brought on board, the temperature (T), salinity (Sal), hydrogen potential (pH), redox potential (Eh) and dissolved oxygen (DO) of the water sample were measured using a HANNA HI 9828 pH/ORP/EC/DO multiparameter meter. The bottom water samples were placed in polyethylene bottles and kept cold at 4 °C in a cooler containing a large quantity of ice. Seven open water samples were collected monthly, for a total of 84 open water samples over the study period.</w:t>
      </w:r>
    </w:p>
    <w:p w14:paraId="184E1E25" w14:textId="77777777" w:rsidR="00272E6C" w:rsidRDefault="00A51300" w:rsidP="00272E6C">
      <w:pPr>
        <w:spacing w:after="0" w:line="240" w:lineRule="auto"/>
        <w:jc w:val="both"/>
        <w:rPr>
          <w:rFonts w:ascii="Arial" w:hAnsi="Arial" w:cs="Arial"/>
          <w:sz w:val="20"/>
          <w:szCs w:val="20"/>
          <w:lang w:val="en-GB"/>
        </w:rPr>
      </w:pPr>
      <w:r>
        <w:rPr>
          <w:rFonts w:ascii="Arial" w:hAnsi="Arial" w:cs="Arial"/>
          <w:sz w:val="20"/>
          <w:szCs w:val="20"/>
          <w:lang w:val="en-GB"/>
        </w:rPr>
        <w:t>Surface sediment samples (0</w:t>
      </w:r>
      <w:r w:rsidR="00272E6C" w:rsidRPr="00272E6C">
        <w:rPr>
          <w:rFonts w:ascii="Arial" w:hAnsi="Arial" w:cs="Arial"/>
          <w:sz w:val="20"/>
          <w:szCs w:val="20"/>
          <w:lang w:val="en-GB"/>
        </w:rPr>
        <w:t xml:space="preserve"> to 2 cm deep) were collected using a stainless steel Van Veen sediment grab and placed in polyethylene bags, then stored at 4°C in a cooler containing a large quantity of ice. Seven surface sediment samples were collected monthly, for a total of 84 sediment samples over the study period.</w:t>
      </w:r>
    </w:p>
    <w:p w14:paraId="07E7266B" w14:textId="77777777" w:rsidR="00272E6C" w:rsidRDefault="00272E6C" w:rsidP="00272E6C">
      <w:pPr>
        <w:spacing w:after="0" w:line="240" w:lineRule="auto"/>
        <w:jc w:val="both"/>
        <w:rPr>
          <w:rFonts w:ascii="Arial" w:hAnsi="Arial" w:cs="Arial"/>
          <w:sz w:val="20"/>
          <w:szCs w:val="20"/>
          <w:lang w:val="en-GB"/>
        </w:rPr>
      </w:pPr>
    </w:p>
    <w:p w14:paraId="49B99A75" w14:textId="77777777" w:rsidR="00A51300" w:rsidRPr="00A51300" w:rsidRDefault="00896D19" w:rsidP="00A51300">
      <w:pPr>
        <w:spacing w:after="0" w:line="240" w:lineRule="auto"/>
        <w:jc w:val="both"/>
        <w:rPr>
          <w:rFonts w:ascii="Arial" w:hAnsi="Arial" w:cs="Arial"/>
          <w:b/>
          <w:sz w:val="20"/>
          <w:szCs w:val="20"/>
          <w:u w:val="single"/>
          <w:lang w:val="en-GB"/>
        </w:rPr>
      </w:pPr>
      <w:r>
        <w:rPr>
          <w:rFonts w:ascii="Arial" w:hAnsi="Arial" w:cs="Arial"/>
          <w:b/>
          <w:sz w:val="20"/>
          <w:szCs w:val="20"/>
          <w:u w:val="single"/>
          <w:lang w:val="en-GB"/>
        </w:rPr>
        <w:t>2.2.2 Sample processing in the l</w:t>
      </w:r>
      <w:r w:rsidR="00A51300" w:rsidRPr="00A51300">
        <w:rPr>
          <w:rFonts w:ascii="Arial" w:hAnsi="Arial" w:cs="Arial"/>
          <w:b/>
          <w:sz w:val="20"/>
          <w:szCs w:val="20"/>
          <w:u w:val="single"/>
          <w:lang w:val="en-GB"/>
        </w:rPr>
        <w:t>aboratory</w:t>
      </w:r>
    </w:p>
    <w:p w14:paraId="70674E32" w14:textId="77777777" w:rsidR="00A51300" w:rsidRPr="00A51300" w:rsidRDefault="00A51300" w:rsidP="00A51300">
      <w:pPr>
        <w:spacing w:after="0" w:line="240" w:lineRule="auto"/>
        <w:jc w:val="both"/>
        <w:rPr>
          <w:rFonts w:ascii="Arial" w:hAnsi="Arial" w:cs="Arial"/>
          <w:sz w:val="20"/>
          <w:szCs w:val="20"/>
          <w:lang w:val="en-GB"/>
        </w:rPr>
      </w:pPr>
    </w:p>
    <w:p w14:paraId="462FD03F" w14:textId="77777777" w:rsidR="00272E6C" w:rsidRDefault="00A51300" w:rsidP="00A51300">
      <w:pPr>
        <w:spacing w:after="0" w:line="240" w:lineRule="auto"/>
        <w:jc w:val="both"/>
        <w:rPr>
          <w:rFonts w:ascii="Arial" w:hAnsi="Arial" w:cs="Arial"/>
          <w:sz w:val="20"/>
          <w:szCs w:val="20"/>
          <w:lang w:val="en-GB"/>
        </w:rPr>
      </w:pPr>
      <w:r w:rsidRPr="00A51300">
        <w:rPr>
          <w:rFonts w:ascii="Arial" w:hAnsi="Arial" w:cs="Arial"/>
          <w:sz w:val="20"/>
          <w:szCs w:val="20"/>
          <w:lang w:val="en-GB"/>
        </w:rPr>
        <w:t>Each sediment sample was centrifuged at 4000 rpm for 20 minutes to separate the solid phase from the liquid phase (pore water). The pore water samples were then filtered using 0.45 µm diameter cellulose acetate filters, pre-cleaned and soaked in a centimolar hydrochloric acid solution for 24 hours, then rinsed with Milli-Q water. After filtration, all pore water samples were stored in polyethylene bottles in a -20°C freezer. The solid phases of the sediment were oven-dried at 105°C for 24 hours, allowing the determination of several physical and chemical parameters such as relative humidity (water content), porosity, and organic matter content. Sediment water content (W) was determined by the gravimetric method. Sediment porosity was obtained through a calculation involving water content (Zhao et al., 2023). Sediment organic matter content was determined by loss on ignition. The loss on ignition protocol is described in the previous work of Ouattara et al., (2022a).</w:t>
      </w:r>
    </w:p>
    <w:p w14:paraId="3354D2EF" w14:textId="77777777" w:rsidR="003C1CFA" w:rsidRDefault="003C1CFA" w:rsidP="00A51300">
      <w:pPr>
        <w:spacing w:after="0" w:line="240" w:lineRule="auto"/>
        <w:jc w:val="both"/>
        <w:rPr>
          <w:rFonts w:ascii="Arial" w:hAnsi="Arial" w:cs="Arial"/>
          <w:sz w:val="20"/>
          <w:szCs w:val="20"/>
          <w:lang w:val="en-GB"/>
        </w:rPr>
      </w:pPr>
    </w:p>
    <w:p w14:paraId="582CF0B1" w14:textId="77777777" w:rsidR="003C1CFA" w:rsidRDefault="003C1CFA" w:rsidP="003C1CFA">
      <w:pPr>
        <w:spacing w:after="0" w:line="240" w:lineRule="auto"/>
        <w:jc w:val="both"/>
        <w:rPr>
          <w:rFonts w:ascii="Arial" w:hAnsi="Arial" w:cs="Arial"/>
          <w:b/>
          <w:sz w:val="20"/>
          <w:szCs w:val="20"/>
          <w:u w:val="single"/>
          <w:lang w:val="en-GB"/>
        </w:rPr>
      </w:pPr>
    </w:p>
    <w:p w14:paraId="4F1A9649" w14:textId="77777777" w:rsidR="003C1CFA" w:rsidRPr="003C1CFA" w:rsidRDefault="000175FC" w:rsidP="003C1CFA">
      <w:pPr>
        <w:spacing w:after="0" w:line="240" w:lineRule="auto"/>
        <w:jc w:val="both"/>
        <w:rPr>
          <w:rFonts w:ascii="Arial" w:hAnsi="Arial" w:cs="Arial"/>
          <w:b/>
          <w:sz w:val="20"/>
          <w:szCs w:val="20"/>
          <w:u w:val="single"/>
          <w:lang w:val="en-GB"/>
        </w:rPr>
      </w:pPr>
      <w:r>
        <w:rPr>
          <w:rFonts w:ascii="Arial" w:hAnsi="Arial" w:cs="Arial"/>
          <w:b/>
          <w:sz w:val="20"/>
          <w:szCs w:val="20"/>
          <w:u w:val="single"/>
          <w:lang w:val="en-GB"/>
        </w:rPr>
        <w:lastRenderedPageBreak/>
        <w:t>2.2.3 Nutrient content d</w:t>
      </w:r>
      <w:r w:rsidR="003C1CFA" w:rsidRPr="003C1CFA">
        <w:rPr>
          <w:rFonts w:ascii="Arial" w:hAnsi="Arial" w:cs="Arial"/>
          <w:b/>
          <w:sz w:val="20"/>
          <w:szCs w:val="20"/>
          <w:u w:val="single"/>
          <w:lang w:val="en-GB"/>
        </w:rPr>
        <w:t>etermination</w:t>
      </w:r>
    </w:p>
    <w:p w14:paraId="4A043C25" w14:textId="77777777" w:rsidR="003C1CFA" w:rsidRPr="003C1CFA" w:rsidRDefault="003C1CFA" w:rsidP="003C1CFA">
      <w:pPr>
        <w:spacing w:after="0" w:line="240" w:lineRule="auto"/>
        <w:jc w:val="both"/>
        <w:rPr>
          <w:rFonts w:ascii="Arial" w:hAnsi="Arial" w:cs="Arial"/>
          <w:sz w:val="20"/>
          <w:szCs w:val="20"/>
          <w:lang w:val="en-GB"/>
        </w:rPr>
      </w:pPr>
    </w:p>
    <w:p w14:paraId="1F84382D" w14:textId="77777777" w:rsidR="003C1CFA" w:rsidRPr="003C1CFA" w:rsidRDefault="003C1CFA" w:rsidP="003C1CFA">
      <w:pPr>
        <w:spacing w:after="0" w:line="240" w:lineRule="auto"/>
        <w:jc w:val="both"/>
        <w:rPr>
          <w:rFonts w:ascii="Arial" w:hAnsi="Arial" w:cs="Arial"/>
          <w:sz w:val="20"/>
          <w:szCs w:val="20"/>
          <w:lang w:val="en-GB"/>
        </w:rPr>
      </w:pPr>
      <w:r w:rsidRPr="003C1CFA">
        <w:rPr>
          <w:rFonts w:ascii="Arial" w:hAnsi="Arial" w:cs="Arial"/>
          <w:sz w:val="20"/>
          <w:szCs w:val="20"/>
          <w:lang w:val="en-GB"/>
        </w:rPr>
        <w:t>In the bottom and pore water samples, the contents of nutrients such as nitrite (</w:t>
      </w:r>
      <w:r w:rsidR="00F07211">
        <w:rPr>
          <w:rFonts w:ascii="Arial" w:hAnsi="Arial" w:cs="Arial"/>
          <w:sz w:val="20"/>
          <w:szCs w:val="20"/>
          <w:lang w:val="en-GB"/>
        </w:rPr>
        <w:t>NO</w:t>
      </w:r>
      <w:r w:rsidR="00F07211">
        <w:rPr>
          <w:rFonts w:ascii="Arial" w:hAnsi="Arial" w:cs="Arial"/>
          <w:sz w:val="20"/>
          <w:szCs w:val="20"/>
          <w:vertAlign w:val="subscript"/>
          <w:lang w:val="en-GB"/>
        </w:rPr>
        <w:t>2</w:t>
      </w:r>
      <w:r w:rsidR="00F07211">
        <w:rPr>
          <w:rFonts w:ascii="Arial" w:hAnsi="Arial" w:cs="Arial"/>
          <w:sz w:val="20"/>
          <w:szCs w:val="20"/>
          <w:vertAlign w:val="superscript"/>
          <w:lang w:val="en-GB"/>
        </w:rPr>
        <w:t>-</w:t>
      </w:r>
      <w:r w:rsidR="00F07211">
        <w:rPr>
          <w:rFonts w:ascii="Arial" w:hAnsi="Arial" w:cs="Arial"/>
          <w:sz w:val="20"/>
          <w:szCs w:val="20"/>
          <w:lang w:val="en-GB"/>
        </w:rPr>
        <w:t>-N</w:t>
      </w:r>
      <w:r w:rsidRPr="003C1CFA">
        <w:rPr>
          <w:rFonts w:ascii="Arial" w:hAnsi="Arial" w:cs="Arial"/>
          <w:sz w:val="20"/>
          <w:szCs w:val="20"/>
          <w:lang w:val="en-GB"/>
        </w:rPr>
        <w:t>), nitrate (</w:t>
      </w:r>
      <w:r w:rsidR="00F07211">
        <w:rPr>
          <w:rFonts w:ascii="Arial" w:hAnsi="Arial" w:cs="Arial"/>
          <w:sz w:val="20"/>
          <w:szCs w:val="20"/>
          <w:lang w:val="en-GB"/>
        </w:rPr>
        <w:t>NO</w:t>
      </w:r>
      <w:r w:rsidR="00F07211">
        <w:rPr>
          <w:rFonts w:ascii="Arial" w:hAnsi="Arial" w:cs="Arial"/>
          <w:sz w:val="20"/>
          <w:szCs w:val="20"/>
          <w:vertAlign w:val="subscript"/>
          <w:lang w:val="en-GB"/>
        </w:rPr>
        <w:t>3</w:t>
      </w:r>
      <w:r w:rsidR="00F07211">
        <w:rPr>
          <w:rFonts w:ascii="Arial" w:hAnsi="Arial" w:cs="Arial"/>
          <w:sz w:val="20"/>
          <w:szCs w:val="20"/>
          <w:vertAlign w:val="superscript"/>
          <w:lang w:val="en-GB"/>
        </w:rPr>
        <w:t>-</w:t>
      </w:r>
      <w:r w:rsidR="00F07211">
        <w:rPr>
          <w:rFonts w:ascii="Arial" w:hAnsi="Arial" w:cs="Arial"/>
          <w:sz w:val="20"/>
          <w:szCs w:val="20"/>
          <w:lang w:val="en-GB"/>
        </w:rPr>
        <w:t>-N</w:t>
      </w:r>
      <w:r w:rsidRPr="003C1CFA">
        <w:rPr>
          <w:rFonts w:ascii="Arial" w:hAnsi="Arial" w:cs="Arial"/>
          <w:sz w:val="20"/>
          <w:szCs w:val="20"/>
          <w:lang w:val="en-GB"/>
        </w:rPr>
        <w:t>), ammonium (</w:t>
      </w:r>
      <w:r w:rsidR="00F07211">
        <w:rPr>
          <w:rFonts w:ascii="Arial" w:hAnsi="Arial" w:cs="Arial"/>
          <w:sz w:val="20"/>
          <w:szCs w:val="20"/>
          <w:lang w:val="en-GB"/>
        </w:rPr>
        <w:t>NH</w:t>
      </w:r>
      <w:r w:rsidR="00F07211">
        <w:rPr>
          <w:rFonts w:ascii="Arial" w:hAnsi="Arial" w:cs="Arial"/>
          <w:sz w:val="20"/>
          <w:szCs w:val="20"/>
          <w:vertAlign w:val="subscript"/>
          <w:lang w:val="en-GB"/>
        </w:rPr>
        <w:t>4</w:t>
      </w:r>
      <w:r w:rsidR="00F07211">
        <w:rPr>
          <w:rFonts w:ascii="Arial" w:hAnsi="Arial" w:cs="Arial"/>
          <w:sz w:val="20"/>
          <w:szCs w:val="20"/>
          <w:vertAlign w:val="superscript"/>
          <w:lang w:val="en-GB"/>
        </w:rPr>
        <w:t>+</w:t>
      </w:r>
      <w:r w:rsidR="00F07211">
        <w:rPr>
          <w:rFonts w:ascii="Arial" w:hAnsi="Arial" w:cs="Arial"/>
          <w:sz w:val="20"/>
          <w:szCs w:val="20"/>
          <w:lang w:val="en-GB"/>
        </w:rPr>
        <w:t>-N</w:t>
      </w:r>
      <w:r w:rsidRPr="003C1CFA">
        <w:rPr>
          <w:rFonts w:ascii="Arial" w:hAnsi="Arial" w:cs="Arial"/>
          <w:sz w:val="20"/>
          <w:szCs w:val="20"/>
          <w:lang w:val="en-GB"/>
        </w:rPr>
        <w:t>), and phosphate (</w:t>
      </w:r>
      <w:r w:rsidR="00F07211">
        <w:rPr>
          <w:rFonts w:ascii="Arial" w:hAnsi="Arial" w:cs="Arial"/>
          <w:sz w:val="20"/>
          <w:szCs w:val="20"/>
          <w:lang w:val="en-GB"/>
        </w:rPr>
        <w:t>PO</w:t>
      </w:r>
      <w:r w:rsidR="00F07211">
        <w:rPr>
          <w:rFonts w:ascii="Arial" w:hAnsi="Arial" w:cs="Arial"/>
          <w:sz w:val="20"/>
          <w:szCs w:val="20"/>
          <w:vertAlign w:val="subscript"/>
          <w:lang w:val="en-GB"/>
        </w:rPr>
        <w:t>4</w:t>
      </w:r>
      <w:r w:rsidR="00F07211">
        <w:rPr>
          <w:rFonts w:ascii="Arial" w:hAnsi="Arial" w:cs="Arial"/>
          <w:sz w:val="20"/>
          <w:szCs w:val="20"/>
          <w:vertAlign w:val="superscript"/>
          <w:lang w:val="en-GB"/>
        </w:rPr>
        <w:t>3-</w:t>
      </w:r>
      <w:r w:rsidR="00F07211">
        <w:rPr>
          <w:rFonts w:ascii="Arial" w:hAnsi="Arial" w:cs="Arial"/>
          <w:sz w:val="20"/>
          <w:szCs w:val="20"/>
          <w:lang w:val="en-GB"/>
        </w:rPr>
        <w:t>-P</w:t>
      </w:r>
      <w:r w:rsidRPr="003C1CFA">
        <w:rPr>
          <w:rFonts w:ascii="Arial" w:hAnsi="Arial" w:cs="Arial"/>
          <w:sz w:val="20"/>
          <w:szCs w:val="20"/>
          <w:lang w:val="en-GB"/>
        </w:rPr>
        <w:t>) were determined. These contents were determined by spectrophotometric assay using a HACH DR 3900 UV/Visible spectrophotometer.</w:t>
      </w:r>
    </w:p>
    <w:p w14:paraId="3A246FD7" w14:textId="77777777" w:rsidR="005F6D1E" w:rsidRDefault="005F6D1E" w:rsidP="003C1CFA">
      <w:pPr>
        <w:spacing w:after="0" w:line="240" w:lineRule="auto"/>
        <w:jc w:val="both"/>
        <w:rPr>
          <w:rFonts w:ascii="Arial" w:hAnsi="Arial" w:cs="Arial"/>
          <w:sz w:val="20"/>
          <w:szCs w:val="20"/>
          <w:lang w:val="en-GB"/>
        </w:rPr>
      </w:pPr>
    </w:p>
    <w:p w14:paraId="6C23FB04" w14:textId="0C3F09CA" w:rsidR="005F6D1E" w:rsidRDefault="007E24A0" w:rsidP="003C1CFA">
      <w:pPr>
        <w:spacing w:after="0" w:line="240" w:lineRule="auto"/>
        <w:jc w:val="both"/>
        <w:rPr>
          <w:rFonts w:ascii="Arial" w:hAnsi="Arial" w:cs="Arial"/>
          <w:sz w:val="20"/>
          <w:szCs w:val="20"/>
          <w:lang w:val="en-GB"/>
        </w:rPr>
      </w:pPr>
      <w:r w:rsidRPr="00206301">
        <w:rPr>
          <w:rFonts w:ascii="Arial" w:hAnsi="Arial" w:cs="Arial"/>
          <w:sz w:val="20"/>
          <w:szCs w:val="20"/>
          <w:highlight w:val="yellow"/>
          <w:lang w:val="en-GB"/>
        </w:rPr>
        <w:t>For the determination of ammonium (NH</w:t>
      </w:r>
      <w:r w:rsidRPr="00206301">
        <w:rPr>
          <w:rFonts w:ascii="Arial" w:hAnsi="Arial" w:cs="Arial"/>
          <w:sz w:val="20"/>
          <w:szCs w:val="20"/>
          <w:highlight w:val="yellow"/>
          <w:vertAlign w:val="subscript"/>
          <w:lang w:val="en-GB"/>
        </w:rPr>
        <w:t>4</w:t>
      </w:r>
      <w:r w:rsidRPr="00206301">
        <w:rPr>
          <w:rFonts w:ascii="Arial" w:hAnsi="Arial" w:cs="Arial"/>
          <w:sz w:val="20"/>
          <w:szCs w:val="20"/>
          <w:highlight w:val="yellow"/>
          <w:vertAlign w:val="superscript"/>
          <w:lang w:val="en-GB"/>
        </w:rPr>
        <w:t>+</w:t>
      </w:r>
      <w:r w:rsidRPr="00206301">
        <w:rPr>
          <w:rFonts w:ascii="Arial" w:hAnsi="Arial" w:cs="Arial"/>
          <w:sz w:val="20"/>
          <w:szCs w:val="20"/>
          <w:highlight w:val="yellow"/>
          <w:lang w:val="en-GB"/>
        </w:rPr>
        <w:t>-N), a reagent consisting of sodium hypochlorite, phenol and nitroprusside was added to each water sample in an alkaline medium; this made it possible to obtain blue-</w:t>
      </w:r>
      <w:proofErr w:type="spellStart"/>
      <w:r w:rsidRPr="00206301">
        <w:rPr>
          <w:rFonts w:ascii="Arial" w:hAnsi="Arial" w:cs="Arial"/>
          <w:sz w:val="20"/>
          <w:szCs w:val="20"/>
          <w:highlight w:val="yellow"/>
          <w:lang w:val="en-GB"/>
        </w:rPr>
        <w:t>colored</w:t>
      </w:r>
      <w:proofErr w:type="spellEnd"/>
      <w:r w:rsidRPr="00206301">
        <w:rPr>
          <w:rFonts w:ascii="Arial" w:hAnsi="Arial" w:cs="Arial"/>
          <w:sz w:val="20"/>
          <w:szCs w:val="20"/>
          <w:highlight w:val="yellow"/>
          <w:lang w:val="en-GB"/>
        </w:rPr>
        <w:t xml:space="preserve"> indophenol. The determination was carried out at the wavelength of 630 nm. In practice, 1 mL of reagent 1 (mixture of 35 g/L of phenol and 0.4 g/L of sodium nitroprusside) is added to the 20 mL test sample. The mixture is stirred vigorously for a few seconds, then 1 mL of reagent 2 (obtained by dissolving 20 g of sodium hydroxide, 380 g of trisodium citrate and 4 g of </w:t>
      </w:r>
      <w:proofErr w:type="spellStart"/>
      <w:r w:rsidRPr="00206301">
        <w:rPr>
          <w:rFonts w:ascii="Arial" w:hAnsi="Arial" w:cs="Arial"/>
          <w:sz w:val="20"/>
          <w:szCs w:val="20"/>
          <w:highlight w:val="yellow"/>
          <w:lang w:val="en-GB"/>
        </w:rPr>
        <w:t>dichlorocyanuric</w:t>
      </w:r>
      <w:proofErr w:type="spellEnd"/>
      <w:r w:rsidRPr="00206301">
        <w:rPr>
          <w:rFonts w:ascii="Arial" w:hAnsi="Arial" w:cs="Arial"/>
          <w:sz w:val="20"/>
          <w:szCs w:val="20"/>
          <w:highlight w:val="yellow"/>
          <w:lang w:val="en-GB"/>
        </w:rPr>
        <w:t xml:space="preserve"> acid in 1 L of double-distilled water) is added. A blank, which was ultrapure water, was produced under the same conditions. The vials were kept away from light for 6 hours and the indophenol blue compound formed was then measured by spectrophotometry. This measurement was carried out at a wavelength of 630 nm.</w:t>
      </w:r>
    </w:p>
    <w:p w14:paraId="3157564D" w14:textId="77777777" w:rsidR="007E24A0" w:rsidRDefault="007E24A0" w:rsidP="0064020D">
      <w:pPr>
        <w:spacing w:after="0" w:line="240" w:lineRule="auto"/>
        <w:jc w:val="both"/>
        <w:rPr>
          <w:rFonts w:ascii="Arial" w:hAnsi="Arial" w:cs="Arial"/>
          <w:sz w:val="20"/>
          <w:szCs w:val="20"/>
          <w:highlight w:val="yellow"/>
          <w:lang w:val="en-GB"/>
        </w:rPr>
      </w:pPr>
    </w:p>
    <w:p w14:paraId="0A259843" w14:textId="514444C9" w:rsidR="005F6D1E" w:rsidRDefault="0064020D" w:rsidP="0064020D">
      <w:pPr>
        <w:spacing w:after="0" w:line="240" w:lineRule="auto"/>
        <w:jc w:val="both"/>
        <w:rPr>
          <w:rFonts w:ascii="Arial" w:hAnsi="Arial" w:cs="Arial"/>
          <w:sz w:val="20"/>
          <w:szCs w:val="20"/>
          <w:lang w:val="en-GB"/>
        </w:rPr>
      </w:pPr>
      <w:r w:rsidRPr="009110AF">
        <w:rPr>
          <w:rFonts w:ascii="Arial" w:hAnsi="Arial" w:cs="Arial"/>
          <w:sz w:val="20"/>
          <w:szCs w:val="20"/>
          <w:highlight w:val="yellow"/>
          <w:lang w:val="en-GB"/>
        </w:rPr>
        <w:t>To measure nitrite (NO</w:t>
      </w:r>
      <w:r w:rsidRPr="009110AF">
        <w:rPr>
          <w:rFonts w:ascii="Arial" w:hAnsi="Arial" w:cs="Arial"/>
          <w:sz w:val="20"/>
          <w:szCs w:val="20"/>
          <w:highlight w:val="yellow"/>
          <w:vertAlign w:val="subscript"/>
          <w:lang w:val="en-GB"/>
        </w:rPr>
        <w:t>2</w:t>
      </w:r>
      <w:r w:rsidRPr="009110AF">
        <w:rPr>
          <w:rFonts w:ascii="Arial" w:hAnsi="Arial" w:cs="Arial"/>
          <w:sz w:val="20"/>
          <w:szCs w:val="20"/>
          <w:highlight w:val="yellow"/>
          <w:vertAlign w:val="superscript"/>
          <w:lang w:val="en-GB"/>
        </w:rPr>
        <w:t>-</w:t>
      </w:r>
      <w:r w:rsidRPr="009110AF">
        <w:rPr>
          <w:rFonts w:ascii="Arial" w:hAnsi="Arial" w:cs="Arial"/>
          <w:sz w:val="20"/>
          <w:szCs w:val="20"/>
          <w:highlight w:val="yellow"/>
          <w:lang w:val="en-GB"/>
        </w:rPr>
        <w:t xml:space="preserve">-N), a diazotization reagent consisting of </w:t>
      </w:r>
      <w:proofErr w:type="spellStart"/>
      <w:r w:rsidRPr="009110AF">
        <w:rPr>
          <w:rFonts w:ascii="Arial" w:hAnsi="Arial" w:cs="Arial"/>
          <w:sz w:val="20"/>
          <w:szCs w:val="20"/>
          <w:highlight w:val="yellow"/>
          <w:lang w:val="en-GB"/>
        </w:rPr>
        <w:t>sulfanilamide</w:t>
      </w:r>
      <w:proofErr w:type="spellEnd"/>
      <w:r w:rsidRPr="009110AF">
        <w:rPr>
          <w:rFonts w:ascii="Arial" w:hAnsi="Arial" w:cs="Arial"/>
          <w:sz w:val="20"/>
          <w:szCs w:val="20"/>
          <w:highlight w:val="yellow"/>
          <w:lang w:val="en-GB"/>
        </w:rPr>
        <w:t xml:space="preserve"> and N-(1-naphthyl) ethylenediamine was added to each water sample in an acidic medium. The mixture yielded a purple-</w:t>
      </w:r>
      <w:proofErr w:type="spellStart"/>
      <w:r w:rsidRPr="009110AF">
        <w:rPr>
          <w:rFonts w:ascii="Arial" w:hAnsi="Arial" w:cs="Arial"/>
          <w:sz w:val="20"/>
          <w:szCs w:val="20"/>
          <w:highlight w:val="yellow"/>
          <w:lang w:val="en-GB"/>
        </w:rPr>
        <w:t>colored</w:t>
      </w:r>
      <w:proofErr w:type="spellEnd"/>
      <w:r w:rsidRPr="009110AF">
        <w:rPr>
          <w:rFonts w:ascii="Arial" w:hAnsi="Arial" w:cs="Arial"/>
          <w:sz w:val="20"/>
          <w:szCs w:val="20"/>
          <w:highlight w:val="yellow"/>
          <w:lang w:val="en-GB"/>
        </w:rPr>
        <w:t xml:space="preserve"> complex. This complex was measured at a wavelength of 540 nm. In practice, 1 mL of a </w:t>
      </w:r>
      <w:proofErr w:type="spellStart"/>
      <w:r w:rsidRPr="009110AF">
        <w:rPr>
          <w:rFonts w:ascii="Arial" w:hAnsi="Arial" w:cs="Arial"/>
          <w:sz w:val="20"/>
          <w:szCs w:val="20"/>
          <w:highlight w:val="yellow"/>
          <w:lang w:val="en-GB"/>
        </w:rPr>
        <w:t>colored</w:t>
      </w:r>
      <w:proofErr w:type="spellEnd"/>
      <w:r w:rsidRPr="009110AF">
        <w:rPr>
          <w:rFonts w:ascii="Arial" w:hAnsi="Arial" w:cs="Arial"/>
          <w:sz w:val="20"/>
          <w:szCs w:val="20"/>
          <w:highlight w:val="yellow"/>
          <w:lang w:val="en-GB"/>
        </w:rPr>
        <w:t xml:space="preserve"> reagent (obtained by mixing 40 g of 4-aminobenzenesulfonamide, 1 mL of a 15 mol/L orthophosphoric acid solution, and 2 g of N-(1-naphthyl)</w:t>
      </w:r>
      <w:r w:rsidR="0038717C" w:rsidRPr="009110AF">
        <w:rPr>
          <w:rFonts w:ascii="Arial" w:hAnsi="Arial" w:cs="Arial"/>
          <w:sz w:val="20"/>
          <w:szCs w:val="20"/>
          <w:highlight w:val="yellow"/>
          <w:lang w:val="en-GB"/>
        </w:rPr>
        <w:t xml:space="preserve"> </w:t>
      </w:r>
      <w:r w:rsidRPr="009110AF">
        <w:rPr>
          <w:rFonts w:ascii="Arial" w:hAnsi="Arial" w:cs="Arial"/>
          <w:sz w:val="20"/>
          <w:szCs w:val="20"/>
          <w:highlight w:val="yellow"/>
          <w:lang w:val="en-GB"/>
        </w:rPr>
        <w:t>diamino-1,2-ethane dihydrochloride) was added to a 10 mL sample. The mixture was stirred vigorously by hand for at least 30 seconds and allowed to stand for 20 minutes at room temperature. A blank, consisting of ultrapure water, was produced under the same conditions. The nitrite content of the test sample was obtained by spectrophotometric determination of the final solution at 540 nm.</w:t>
      </w:r>
    </w:p>
    <w:p w14:paraId="518EDA6A" w14:textId="77777777" w:rsidR="0064020D" w:rsidRDefault="0064020D" w:rsidP="003C1CFA">
      <w:pPr>
        <w:spacing w:after="0" w:line="240" w:lineRule="auto"/>
        <w:jc w:val="both"/>
        <w:rPr>
          <w:rFonts w:ascii="Arial" w:hAnsi="Arial" w:cs="Arial"/>
          <w:sz w:val="20"/>
          <w:szCs w:val="20"/>
          <w:lang w:val="en-GB"/>
        </w:rPr>
      </w:pPr>
    </w:p>
    <w:p w14:paraId="5F4EE63B" w14:textId="27F24967" w:rsidR="005F6D1E" w:rsidRDefault="008A4590" w:rsidP="008A4590">
      <w:pPr>
        <w:spacing w:after="0" w:line="240" w:lineRule="auto"/>
        <w:jc w:val="both"/>
        <w:rPr>
          <w:rFonts w:ascii="Arial" w:hAnsi="Arial" w:cs="Arial"/>
          <w:sz w:val="20"/>
          <w:szCs w:val="20"/>
          <w:lang w:val="en-GB"/>
        </w:rPr>
      </w:pPr>
      <w:r w:rsidRPr="00FF72B2">
        <w:rPr>
          <w:rFonts w:ascii="Arial" w:hAnsi="Arial" w:cs="Arial"/>
          <w:sz w:val="20"/>
          <w:szCs w:val="20"/>
          <w:highlight w:val="yellow"/>
          <w:lang w:val="en-GB"/>
        </w:rPr>
        <w:t>To measure nitrate (NO</w:t>
      </w:r>
      <w:r w:rsidRPr="00FF72B2">
        <w:rPr>
          <w:rFonts w:ascii="Arial" w:hAnsi="Arial" w:cs="Arial"/>
          <w:sz w:val="20"/>
          <w:szCs w:val="20"/>
          <w:highlight w:val="yellow"/>
          <w:vertAlign w:val="subscript"/>
          <w:lang w:val="en-GB"/>
        </w:rPr>
        <w:t>3</w:t>
      </w:r>
      <w:r w:rsidRPr="00FF72B2">
        <w:rPr>
          <w:rFonts w:ascii="Arial" w:hAnsi="Arial" w:cs="Arial"/>
          <w:sz w:val="20"/>
          <w:szCs w:val="20"/>
          <w:highlight w:val="yellow"/>
          <w:vertAlign w:val="superscript"/>
          <w:lang w:val="en-GB"/>
        </w:rPr>
        <w:t>-</w:t>
      </w:r>
      <w:r w:rsidRPr="00FF72B2">
        <w:rPr>
          <w:rFonts w:ascii="Arial" w:hAnsi="Arial" w:cs="Arial"/>
          <w:sz w:val="20"/>
          <w:szCs w:val="20"/>
          <w:highlight w:val="yellow"/>
          <w:lang w:val="en-GB"/>
        </w:rPr>
        <w:t xml:space="preserve">-N), sulfosalicylic acid, obtained from the reaction between sodium salicylate and sulfuric acid, was added to each water sample. Sulfosalicylic acid reacts with NO3- in an anhydrous medium and produces a yellow </w:t>
      </w:r>
      <w:proofErr w:type="spellStart"/>
      <w:r w:rsidRPr="00FF72B2">
        <w:rPr>
          <w:rFonts w:ascii="Arial" w:hAnsi="Arial" w:cs="Arial"/>
          <w:sz w:val="20"/>
          <w:szCs w:val="20"/>
          <w:highlight w:val="yellow"/>
          <w:lang w:val="en-GB"/>
        </w:rPr>
        <w:t>nitrosalicylate</w:t>
      </w:r>
      <w:proofErr w:type="spellEnd"/>
      <w:r w:rsidRPr="00FF72B2">
        <w:rPr>
          <w:rFonts w:ascii="Arial" w:hAnsi="Arial" w:cs="Arial"/>
          <w:sz w:val="20"/>
          <w:szCs w:val="20"/>
          <w:highlight w:val="yellow"/>
          <w:lang w:val="en-GB"/>
        </w:rPr>
        <w:t xml:space="preserve"> complex in a basic medium. This complex was measured at a wavelength of 420 nm. In practice, a 20 mL sample was placed in an evaporating dish. 0.5 mL of 10 g/L sodium </w:t>
      </w:r>
      <w:proofErr w:type="spellStart"/>
      <w:r w:rsidRPr="00FF72B2">
        <w:rPr>
          <w:rFonts w:ascii="Arial" w:hAnsi="Arial" w:cs="Arial"/>
          <w:sz w:val="20"/>
          <w:szCs w:val="20"/>
          <w:highlight w:val="yellow"/>
          <w:lang w:val="en-GB"/>
        </w:rPr>
        <w:t>azide</w:t>
      </w:r>
      <w:proofErr w:type="spellEnd"/>
      <w:r w:rsidRPr="00FF72B2">
        <w:rPr>
          <w:rFonts w:ascii="Arial" w:hAnsi="Arial" w:cs="Arial"/>
          <w:sz w:val="20"/>
          <w:szCs w:val="20"/>
          <w:highlight w:val="yellow"/>
          <w:lang w:val="en-GB"/>
        </w:rPr>
        <w:t xml:space="preserve"> solution and 0.2 mL of pure glacial acetic acid were successively added. The mixture was allowed to stand for 5 minutes, then evaporated to dryness in a water bath at 100 °C. The dry residue was taken up in 1 mL of sodium salicylate solution. The mixture was homogenized again until dry. The new dry residue was taken up in 1 mL of 97% pure sulfuric acid for dissolution. The resulting mixture was left to stand at room temperature, then taken up in 10 mL of ultrapure water, followed by 10 mL of an alkali solution (obtained by mixing 200 g of NaOH and 50 g of Na</w:t>
      </w:r>
      <w:r w:rsidRPr="00FF72B2">
        <w:rPr>
          <w:rFonts w:ascii="Arial" w:hAnsi="Arial" w:cs="Arial"/>
          <w:sz w:val="20"/>
          <w:szCs w:val="20"/>
          <w:highlight w:val="yellow"/>
          <w:vertAlign w:val="subscript"/>
          <w:lang w:val="en-GB"/>
        </w:rPr>
        <w:t>2</w:t>
      </w:r>
      <w:r w:rsidRPr="00FF72B2">
        <w:rPr>
          <w:rFonts w:ascii="Arial" w:hAnsi="Arial" w:cs="Arial"/>
          <w:sz w:val="20"/>
          <w:szCs w:val="20"/>
          <w:highlight w:val="yellow"/>
          <w:lang w:val="en-GB"/>
        </w:rPr>
        <w:t>EDTA, 2H</w:t>
      </w:r>
      <w:r w:rsidRPr="00FF72B2">
        <w:rPr>
          <w:rFonts w:ascii="Arial" w:hAnsi="Arial" w:cs="Arial"/>
          <w:sz w:val="20"/>
          <w:szCs w:val="20"/>
          <w:highlight w:val="yellow"/>
          <w:vertAlign w:val="subscript"/>
          <w:lang w:val="en-GB"/>
        </w:rPr>
        <w:t>2</w:t>
      </w:r>
      <w:r w:rsidRPr="00FF72B2">
        <w:rPr>
          <w:rFonts w:ascii="Arial" w:hAnsi="Arial" w:cs="Arial"/>
          <w:sz w:val="20"/>
          <w:szCs w:val="20"/>
          <w:highlight w:val="yellow"/>
          <w:lang w:val="en-GB"/>
        </w:rPr>
        <w:t xml:space="preserve">O). The resulting solution was transferred into a 25 mL graduated flask. The flasks were then placed in a water bath at 25 °C for 10 minutes. Then, ultrapure water was added to obtain a final solution of 25 </w:t>
      </w:r>
      <w:proofErr w:type="spellStart"/>
      <w:r w:rsidRPr="00FF72B2">
        <w:rPr>
          <w:rFonts w:ascii="Arial" w:hAnsi="Arial" w:cs="Arial"/>
          <w:sz w:val="20"/>
          <w:szCs w:val="20"/>
          <w:highlight w:val="yellow"/>
          <w:lang w:val="en-GB"/>
        </w:rPr>
        <w:t>mL.</w:t>
      </w:r>
      <w:proofErr w:type="spellEnd"/>
      <w:r w:rsidRPr="00FF72B2">
        <w:rPr>
          <w:rFonts w:ascii="Arial" w:hAnsi="Arial" w:cs="Arial"/>
          <w:sz w:val="20"/>
          <w:szCs w:val="20"/>
          <w:highlight w:val="yellow"/>
          <w:lang w:val="en-GB"/>
        </w:rPr>
        <w:t xml:space="preserve"> The nitrate concentration of the test sample was obtained by spectrophotometric determination at 420 nm of the final solution.</w:t>
      </w:r>
    </w:p>
    <w:p w14:paraId="39A2AEFB" w14:textId="77777777" w:rsidR="008A4590" w:rsidRDefault="008A4590" w:rsidP="003C1CFA">
      <w:pPr>
        <w:spacing w:after="0" w:line="240" w:lineRule="auto"/>
        <w:jc w:val="both"/>
        <w:rPr>
          <w:rFonts w:ascii="Arial" w:hAnsi="Arial" w:cs="Arial"/>
          <w:sz w:val="20"/>
          <w:szCs w:val="20"/>
          <w:lang w:val="en-GB"/>
        </w:rPr>
      </w:pPr>
    </w:p>
    <w:p w14:paraId="79E1E86C" w14:textId="67AF8718" w:rsidR="003C1CFA" w:rsidRDefault="008E5778" w:rsidP="003C1CFA">
      <w:pPr>
        <w:spacing w:after="0" w:line="240" w:lineRule="auto"/>
        <w:jc w:val="both"/>
        <w:rPr>
          <w:rFonts w:ascii="Arial" w:hAnsi="Arial" w:cs="Arial"/>
          <w:sz w:val="20"/>
          <w:szCs w:val="20"/>
          <w:lang w:val="en-GB"/>
        </w:rPr>
      </w:pPr>
      <w:r w:rsidRPr="008E5778">
        <w:rPr>
          <w:rFonts w:ascii="Arial" w:hAnsi="Arial" w:cs="Arial"/>
          <w:sz w:val="20"/>
          <w:szCs w:val="20"/>
          <w:highlight w:val="yellow"/>
          <w:lang w:val="en-GB"/>
        </w:rPr>
        <w:t>For the determination of phosphate (PO</w:t>
      </w:r>
      <w:r w:rsidRPr="008E5778">
        <w:rPr>
          <w:rFonts w:ascii="Arial" w:hAnsi="Arial" w:cs="Arial"/>
          <w:sz w:val="20"/>
          <w:szCs w:val="20"/>
          <w:highlight w:val="yellow"/>
          <w:vertAlign w:val="subscript"/>
          <w:lang w:val="en-GB"/>
        </w:rPr>
        <w:t>4</w:t>
      </w:r>
      <w:r w:rsidRPr="008E5778">
        <w:rPr>
          <w:rFonts w:ascii="Arial" w:hAnsi="Arial" w:cs="Arial"/>
          <w:sz w:val="20"/>
          <w:szCs w:val="20"/>
          <w:highlight w:val="yellow"/>
          <w:vertAlign w:val="superscript"/>
          <w:lang w:val="en-GB"/>
        </w:rPr>
        <w:t>3-</w:t>
      </w:r>
      <w:r w:rsidRPr="008E5778">
        <w:rPr>
          <w:rFonts w:ascii="Arial" w:hAnsi="Arial" w:cs="Arial"/>
          <w:sz w:val="20"/>
          <w:szCs w:val="20"/>
          <w:highlight w:val="yellow"/>
          <w:lang w:val="en-GB"/>
        </w:rPr>
        <w:t>-P), a reagent based on ammonium molybdate, antimony and sulfuric acid was added to the water samples; this gives a blue-</w:t>
      </w:r>
      <w:proofErr w:type="spellStart"/>
      <w:r w:rsidRPr="008E5778">
        <w:rPr>
          <w:rFonts w:ascii="Arial" w:hAnsi="Arial" w:cs="Arial"/>
          <w:sz w:val="20"/>
          <w:szCs w:val="20"/>
          <w:highlight w:val="yellow"/>
          <w:lang w:val="en-GB"/>
        </w:rPr>
        <w:t>colored</w:t>
      </w:r>
      <w:proofErr w:type="spellEnd"/>
      <w:r w:rsidRPr="008E5778">
        <w:rPr>
          <w:rFonts w:ascii="Arial" w:hAnsi="Arial" w:cs="Arial"/>
          <w:sz w:val="20"/>
          <w:szCs w:val="20"/>
          <w:highlight w:val="yellow"/>
          <w:lang w:val="en-GB"/>
        </w:rPr>
        <w:t xml:space="preserve"> phosphomolybdic complex after reduction with ascorbic acid. It is this complex that was determined at the wavelength of 885 nm. In practice, 10 mL of a combined reagent (obtained with 30 g of ammonium molybdate, 1.36 g of antimony and potassium </w:t>
      </w:r>
      <w:proofErr w:type="spellStart"/>
      <w:r w:rsidRPr="008E5778">
        <w:rPr>
          <w:rFonts w:ascii="Arial" w:hAnsi="Arial" w:cs="Arial"/>
          <w:sz w:val="20"/>
          <w:szCs w:val="20"/>
          <w:highlight w:val="yellow"/>
          <w:lang w:val="en-GB"/>
        </w:rPr>
        <w:t>oxytartrate</w:t>
      </w:r>
      <w:proofErr w:type="spellEnd"/>
      <w:r w:rsidRPr="008E5778">
        <w:rPr>
          <w:rFonts w:ascii="Arial" w:hAnsi="Arial" w:cs="Arial"/>
          <w:sz w:val="20"/>
          <w:szCs w:val="20"/>
          <w:highlight w:val="yellow"/>
          <w:lang w:val="en-GB"/>
        </w:rPr>
        <w:t>, 108 g of ascorbic acid and 25 mL of 2.5 mol/L sulfuric acid) was added to 10 mL of a test sample. The whole is vigorously stirred for about 30 seconds and left to stand for 10 minutes at room temperature. A blank, which was ultrapure water, was carried out under the same conditions. The orthophosphate concentration content was obtained by spectrophotometric determination at 885 nm.</w:t>
      </w:r>
    </w:p>
    <w:p w14:paraId="6A9E800D" w14:textId="77777777" w:rsidR="003C1CFA" w:rsidRDefault="003C1CFA" w:rsidP="003C1CFA">
      <w:pPr>
        <w:spacing w:after="0" w:line="240" w:lineRule="auto"/>
        <w:jc w:val="both"/>
        <w:rPr>
          <w:rFonts w:ascii="Arial" w:hAnsi="Arial" w:cs="Arial"/>
          <w:sz w:val="20"/>
          <w:szCs w:val="20"/>
          <w:lang w:val="en-GB"/>
        </w:rPr>
      </w:pPr>
    </w:p>
    <w:p w14:paraId="5DA366A3" w14:textId="77777777" w:rsidR="003C1CFA" w:rsidRPr="003C1CFA" w:rsidRDefault="00563375" w:rsidP="003C1CFA">
      <w:pPr>
        <w:spacing w:after="0" w:line="240" w:lineRule="auto"/>
        <w:jc w:val="both"/>
        <w:rPr>
          <w:rFonts w:ascii="Arial" w:hAnsi="Arial" w:cs="Arial"/>
          <w:b/>
          <w:szCs w:val="20"/>
          <w:lang w:val="en-GB"/>
        </w:rPr>
      </w:pPr>
      <w:r>
        <w:rPr>
          <w:rFonts w:ascii="Arial" w:hAnsi="Arial" w:cs="Arial"/>
          <w:b/>
          <w:szCs w:val="20"/>
          <w:lang w:val="en-GB"/>
        </w:rPr>
        <w:t>2.3 Calculation of diffusion fluxes at the water-sediment i</w:t>
      </w:r>
      <w:r w:rsidR="003C1CFA" w:rsidRPr="003C1CFA">
        <w:rPr>
          <w:rFonts w:ascii="Arial" w:hAnsi="Arial" w:cs="Arial"/>
          <w:b/>
          <w:szCs w:val="20"/>
          <w:lang w:val="en-GB"/>
        </w:rPr>
        <w:t>nterface</w:t>
      </w:r>
    </w:p>
    <w:p w14:paraId="60A554FA" w14:textId="77777777" w:rsidR="003C1CFA" w:rsidRPr="003C1CFA" w:rsidRDefault="003C1CFA" w:rsidP="003C1CFA">
      <w:pPr>
        <w:spacing w:after="0" w:line="240" w:lineRule="auto"/>
        <w:jc w:val="both"/>
        <w:rPr>
          <w:rFonts w:ascii="Arial" w:hAnsi="Arial" w:cs="Arial"/>
          <w:sz w:val="20"/>
          <w:szCs w:val="20"/>
          <w:lang w:val="en-GB"/>
        </w:rPr>
      </w:pPr>
    </w:p>
    <w:p w14:paraId="41B9EBE3" w14:textId="77777777" w:rsidR="003C1CFA" w:rsidRDefault="003C1CFA" w:rsidP="003C1CFA">
      <w:pPr>
        <w:spacing w:after="0" w:line="240" w:lineRule="auto"/>
        <w:jc w:val="both"/>
        <w:rPr>
          <w:rFonts w:ascii="Arial" w:hAnsi="Arial" w:cs="Arial"/>
          <w:sz w:val="20"/>
          <w:szCs w:val="20"/>
          <w:lang w:val="en-GB"/>
        </w:rPr>
      </w:pPr>
      <w:r w:rsidRPr="003C1CFA">
        <w:rPr>
          <w:rFonts w:ascii="Arial" w:hAnsi="Arial" w:cs="Arial"/>
          <w:sz w:val="20"/>
          <w:szCs w:val="20"/>
          <w:lang w:val="en-GB"/>
        </w:rPr>
        <w:t>The diffusion flux is estimated from the nutrient concentration gradient measured between the overlying water and the sediment pore water. A positive flux indicates the release of nutrients from the sediment to the overlying water, while a negative flux indicates the release of nutrients from the overlying water to the sediment (Zhao et al., 2023). The diffusion fluxes of ammonium (</w:t>
      </w:r>
      <w:r w:rsidR="001D2B26">
        <w:rPr>
          <w:rFonts w:ascii="Arial" w:hAnsi="Arial" w:cs="Arial"/>
          <w:sz w:val="20"/>
          <w:szCs w:val="20"/>
          <w:lang w:val="en-GB"/>
        </w:rPr>
        <w:t>NH</w:t>
      </w:r>
      <w:r w:rsidR="001D2B26">
        <w:rPr>
          <w:rFonts w:ascii="Arial" w:hAnsi="Arial" w:cs="Arial"/>
          <w:sz w:val="20"/>
          <w:szCs w:val="20"/>
          <w:vertAlign w:val="subscript"/>
          <w:lang w:val="en-GB"/>
        </w:rPr>
        <w:t>4</w:t>
      </w:r>
      <w:r w:rsidR="001D2B26">
        <w:rPr>
          <w:rFonts w:ascii="Arial" w:hAnsi="Arial" w:cs="Arial"/>
          <w:sz w:val="20"/>
          <w:szCs w:val="20"/>
          <w:vertAlign w:val="superscript"/>
          <w:lang w:val="en-GB"/>
        </w:rPr>
        <w:t>+</w:t>
      </w:r>
      <w:r w:rsidR="001D2B26">
        <w:rPr>
          <w:rFonts w:ascii="Arial" w:hAnsi="Arial" w:cs="Arial"/>
          <w:sz w:val="20"/>
          <w:szCs w:val="20"/>
          <w:lang w:val="en-GB"/>
        </w:rPr>
        <w:t>-N</w:t>
      </w:r>
      <w:r w:rsidRPr="003C1CFA">
        <w:rPr>
          <w:rFonts w:ascii="Arial" w:hAnsi="Arial" w:cs="Arial"/>
          <w:sz w:val="20"/>
          <w:szCs w:val="20"/>
          <w:lang w:val="en-GB"/>
        </w:rPr>
        <w:t>), nitrite (</w:t>
      </w:r>
      <w:r w:rsidR="001D2B26">
        <w:rPr>
          <w:rFonts w:ascii="Arial" w:hAnsi="Arial" w:cs="Arial"/>
          <w:sz w:val="20"/>
          <w:szCs w:val="20"/>
          <w:lang w:val="en-GB"/>
        </w:rPr>
        <w:t>NO</w:t>
      </w:r>
      <w:r w:rsidR="001D2B26">
        <w:rPr>
          <w:rFonts w:ascii="Arial" w:hAnsi="Arial" w:cs="Arial"/>
          <w:sz w:val="20"/>
          <w:szCs w:val="20"/>
          <w:vertAlign w:val="subscript"/>
          <w:lang w:val="en-GB"/>
        </w:rPr>
        <w:t>2</w:t>
      </w:r>
      <w:r w:rsidR="001D2B26">
        <w:rPr>
          <w:rFonts w:ascii="Arial" w:hAnsi="Arial" w:cs="Arial"/>
          <w:sz w:val="20"/>
          <w:szCs w:val="20"/>
          <w:vertAlign w:val="superscript"/>
          <w:lang w:val="en-GB"/>
        </w:rPr>
        <w:t>-</w:t>
      </w:r>
      <w:r w:rsidR="001D2B26">
        <w:rPr>
          <w:rFonts w:ascii="Arial" w:hAnsi="Arial" w:cs="Arial"/>
          <w:sz w:val="20"/>
          <w:szCs w:val="20"/>
          <w:lang w:val="en-GB"/>
        </w:rPr>
        <w:t>-N</w:t>
      </w:r>
      <w:r w:rsidRPr="003C1CFA">
        <w:rPr>
          <w:rFonts w:ascii="Arial" w:hAnsi="Arial" w:cs="Arial"/>
          <w:sz w:val="20"/>
          <w:szCs w:val="20"/>
          <w:lang w:val="en-GB"/>
        </w:rPr>
        <w:t>), nitrate (</w:t>
      </w:r>
      <w:r w:rsidR="001D2B26">
        <w:rPr>
          <w:rFonts w:ascii="Arial" w:hAnsi="Arial" w:cs="Arial"/>
          <w:sz w:val="20"/>
          <w:szCs w:val="20"/>
          <w:lang w:val="en-GB"/>
        </w:rPr>
        <w:t>NO</w:t>
      </w:r>
      <w:r w:rsidR="001D2B26">
        <w:rPr>
          <w:rFonts w:ascii="Arial" w:hAnsi="Arial" w:cs="Arial"/>
          <w:sz w:val="20"/>
          <w:szCs w:val="20"/>
          <w:vertAlign w:val="subscript"/>
          <w:lang w:val="en-GB"/>
        </w:rPr>
        <w:t>3</w:t>
      </w:r>
      <w:r w:rsidR="001D2B26">
        <w:rPr>
          <w:rFonts w:ascii="Arial" w:hAnsi="Arial" w:cs="Arial"/>
          <w:sz w:val="20"/>
          <w:szCs w:val="20"/>
          <w:vertAlign w:val="superscript"/>
          <w:lang w:val="en-GB"/>
        </w:rPr>
        <w:t>-</w:t>
      </w:r>
      <w:r w:rsidR="001D2B26">
        <w:rPr>
          <w:rFonts w:ascii="Arial" w:hAnsi="Arial" w:cs="Arial"/>
          <w:sz w:val="20"/>
          <w:szCs w:val="20"/>
          <w:lang w:val="en-GB"/>
        </w:rPr>
        <w:t>-N</w:t>
      </w:r>
      <w:r w:rsidRPr="003C1CFA">
        <w:rPr>
          <w:rFonts w:ascii="Arial" w:hAnsi="Arial" w:cs="Arial"/>
          <w:sz w:val="20"/>
          <w:szCs w:val="20"/>
          <w:lang w:val="en-GB"/>
        </w:rPr>
        <w:t>), and phosphate (</w:t>
      </w:r>
      <w:r w:rsidR="001D2B26">
        <w:rPr>
          <w:rFonts w:ascii="Arial" w:hAnsi="Arial" w:cs="Arial"/>
          <w:sz w:val="20"/>
          <w:szCs w:val="20"/>
          <w:lang w:val="en-GB"/>
        </w:rPr>
        <w:t>PO</w:t>
      </w:r>
      <w:r w:rsidR="001D2B26">
        <w:rPr>
          <w:rFonts w:ascii="Arial" w:hAnsi="Arial" w:cs="Arial"/>
          <w:sz w:val="20"/>
          <w:szCs w:val="20"/>
          <w:vertAlign w:val="subscript"/>
          <w:lang w:val="en-GB"/>
        </w:rPr>
        <w:t>4</w:t>
      </w:r>
      <w:r w:rsidR="001D2B26">
        <w:rPr>
          <w:rFonts w:ascii="Arial" w:hAnsi="Arial" w:cs="Arial"/>
          <w:sz w:val="20"/>
          <w:szCs w:val="20"/>
          <w:vertAlign w:val="superscript"/>
          <w:lang w:val="en-GB"/>
        </w:rPr>
        <w:t>3-</w:t>
      </w:r>
      <w:r w:rsidR="001D2B26">
        <w:rPr>
          <w:rFonts w:ascii="Arial" w:hAnsi="Arial" w:cs="Arial"/>
          <w:sz w:val="20"/>
          <w:szCs w:val="20"/>
          <w:lang w:val="en-GB"/>
        </w:rPr>
        <w:t>-P</w:t>
      </w:r>
      <w:r w:rsidRPr="003C1CFA">
        <w:rPr>
          <w:rFonts w:ascii="Arial" w:hAnsi="Arial" w:cs="Arial"/>
          <w:sz w:val="20"/>
          <w:szCs w:val="20"/>
          <w:lang w:val="en-GB"/>
        </w:rPr>
        <w:t xml:space="preserve">) were calculated using Fick's first law of diffusion, given by the following relationship (Berner, 1980; </w:t>
      </w:r>
      <w:proofErr w:type="spellStart"/>
      <w:r w:rsidRPr="003C1CFA">
        <w:rPr>
          <w:rFonts w:ascii="Arial" w:hAnsi="Arial" w:cs="Arial"/>
          <w:sz w:val="20"/>
          <w:szCs w:val="20"/>
          <w:lang w:val="en-GB"/>
        </w:rPr>
        <w:t>Lengier</w:t>
      </w:r>
      <w:proofErr w:type="spellEnd"/>
      <w:r w:rsidRPr="003C1CFA">
        <w:rPr>
          <w:rFonts w:ascii="Arial" w:hAnsi="Arial" w:cs="Arial"/>
          <w:sz w:val="20"/>
          <w:szCs w:val="20"/>
          <w:lang w:val="en-GB"/>
        </w:rPr>
        <w:t xml:space="preserve"> et al., 2021):</w:t>
      </w:r>
    </w:p>
    <w:p w14:paraId="149B40FA" w14:textId="77777777" w:rsidR="008A30DF" w:rsidRDefault="008A30DF" w:rsidP="003C1CFA">
      <w:pPr>
        <w:spacing w:after="0" w:line="240" w:lineRule="auto"/>
        <w:jc w:val="both"/>
        <w:rPr>
          <w:rFonts w:ascii="Arial" w:hAnsi="Arial" w:cs="Arial"/>
          <w:sz w:val="20"/>
          <w:szCs w:val="20"/>
          <w:lang w:val="en-GB"/>
        </w:rPr>
      </w:pPr>
    </w:p>
    <w:p w14:paraId="231884AC" w14:textId="77777777" w:rsidR="008A30DF" w:rsidRPr="008A30DF" w:rsidRDefault="008A30DF" w:rsidP="008A30DF">
      <w:pPr>
        <w:spacing w:line="240" w:lineRule="auto"/>
        <w:jc w:val="center"/>
        <w:rPr>
          <w:rFonts w:ascii="Arial" w:eastAsia="Calibri" w:hAnsi="Arial" w:cs="Arial"/>
          <w:sz w:val="20"/>
          <w:szCs w:val="20"/>
          <w:lang w:val="en-GB"/>
        </w:rPr>
      </w:pPr>
      <w:r w:rsidRPr="008A30DF">
        <w:rPr>
          <w:rFonts w:ascii="Arial" w:eastAsia="Calibri" w:hAnsi="Arial" w:cs="Arial"/>
          <w:sz w:val="20"/>
          <w:szCs w:val="20"/>
        </w:rPr>
        <w:fldChar w:fldCharType="begin"/>
      </w:r>
      <w:r w:rsidRPr="008A30DF">
        <w:rPr>
          <w:rFonts w:ascii="Arial" w:eastAsia="Calibri" w:hAnsi="Arial" w:cs="Arial"/>
          <w:sz w:val="20"/>
          <w:szCs w:val="20"/>
          <w:lang w:val="en-GB"/>
        </w:rPr>
        <w:instrText xml:space="preserve"> QUOTE </w:instrText>
      </w:r>
      <m:oMath>
        <m:r>
          <m:rPr>
            <m:sty m:val="p"/>
          </m:rPr>
          <w:rPr>
            <w:rFonts w:ascii="Cambria Math" w:hAnsi="Cambria Math" w:cs="Arial"/>
            <w:sz w:val="20"/>
            <w:szCs w:val="20"/>
            <w:lang w:val="en-GB"/>
          </w:rPr>
          <m:t>F=-Ø×</m:t>
        </m:r>
        <m:sSub>
          <m:sSubPr>
            <m:ctrlPr>
              <w:rPr>
                <w:rFonts w:ascii="Cambria Math" w:hAnsi="Cambria Math" w:cs="Arial"/>
                <w:sz w:val="20"/>
                <w:szCs w:val="20"/>
              </w:rPr>
            </m:ctrlPr>
          </m:sSubPr>
          <m:e>
            <m:r>
              <m:rPr>
                <m:sty m:val="p"/>
              </m:rPr>
              <w:rPr>
                <w:rFonts w:ascii="Cambria Math" w:hAnsi="Cambria Math" w:cs="Arial"/>
                <w:sz w:val="20"/>
                <w:szCs w:val="20"/>
                <w:lang w:val="en-GB"/>
              </w:rPr>
              <m:t>D</m:t>
            </m:r>
          </m:e>
          <m:sub>
            <m:r>
              <m:rPr>
                <m:sty m:val="p"/>
              </m:rPr>
              <w:rPr>
                <w:rFonts w:ascii="Cambria Math" w:hAnsi="Cambria Math" w:cs="Arial"/>
                <w:sz w:val="20"/>
                <w:szCs w:val="20"/>
                <w:lang w:val="en-GB"/>
              </w:rPr>
              <m:t>s</m:t>
            </m:r>
          </m:sub>
        </m:sSub>
        <m:r>
          <m:rPr>
            <m:sty m:val="p"/>
          </m:rPr>
          <w:rPr>
            <w:rFonts w:ascii="Cambria Math" w:hAnsi="Cambria Math" w:cs="Arial"/>
            <w:sz w:val="20"/>
            <w:szCs w:val="20"/>
            <w:lang w:val="en-GB"/>
          </w:rPr>
          <m:t>×</m:t>
        </m:r>
        <m:f>
          <m:fPr>
            <m:ctrlPr>
              <w:rPr>
                <w:rFonts w:ascii="Cambria Math" w:hAnsi="Cambria Math" w:cs="Arial"/>
                <w:sz w:val="20"/>
                <w:szCs w:val="20"/>
              </w:rPr>
            </m:ctrlPr>
          </m:fPr>
          <m:num>
            <m:r>
              <m:rPr>
                <m:sty m:val="p"/>
              </m:rPr>
              <w:rPr>
                <w:rFonts w:ascii="Cambria Math" w:hAnsi="Cambria Math" w:cs="Arial"/>
                <w:sz w:val="20"/>
                <w:szCs w:val="20"/>
                <w:lang w:val="en-GB"/>
              </w:rPr>
              <m:t>∂C</m:t>
            </m:r>
          </m:num>
          <m:den>
            <m:r>
              <m:rPr>
                <m:sty m:val="p"/>
              </m:rPr>
              <w:rPr>
                <w:rFonts w:ascii="Cambria Math" w:hAnsi="Cambria Math" w:cs="Arial"/>
                <w:sz w:val="20"/>
                <w:szCs w:val="20"/>
                <w:lang w:val="en-GB"/>
              </w:rPr>
              <m:t>∂x</m:t>
            </m:r>
          </m:den>
        </m:f>
      </m:oMath>
      <w:r w:rsidRPr="008A30DF">
        <w:rPr>
          <w:rFonts w:ascii="Arial" w:eastAsia="Calibri" w:hAnsi="Arial" w:cs="Arial"/>
          <w:sz w:val="20"/>
          <w:szCs w:val="20"/>
          <w:lang w:val="en-GB"/>
        </w:rPr>
        <w:instrText xml:space="preserve"> </w:instrText>
      </w:r>
      <w:r w:rsidRPr="008A30DF">
        <w:rPr>
          <w:rFonts w:ascii="Arial" w:eastAsia="Calibri" w:hAnsi="Arial" w:cs="Arial"/>
          <w:sz w:val="20"/>
          <w:szCs w:val="20"/>
        </w:rPr>
        <w:fldChar w:fldCharType="end"/>
      </w:r>
      <w:r w:rsidRPr="008A30DF">
        <w:rPr>
          <w:rFonts w:ascii="Calibri" w:eastAsia="Calibri" w:hAnsi="Calibri" w:cs="Times New Roman"/>
          <w:position w:val="-24"/>
        </w:rPr>
        <w:object w:dxaOrig="1480" w:dyaOrig="620" w14:anchorId="4B6A4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5pt;height:42.1pt" o:ole="">
            <v:imagedata r:id="rId8" o:title=""/>
          </v:shape>
          <o:OLEObject Type="Embed" ProgID="Equation.DSMT4" ShapeID="_x0000_i1025" DrawAspect="Content" ObjectID="_1820561166" r:id="rId9"/>
        </w:object>
      </w:r>
      <w:r w:rsidRPr="008A30DF">
        <w:rPr>
          <w:rFonts w:ascii="Arial" w:eastAsia="Calibri" w:hAnsi="Arial" w:cs="Arial"/>
          <w:sz w:val="20"/>
          <w:szCs w:val="20"/>
          <w:lang w:val="en-GB"/>
        </w:rPr>
        <w:t xml:space="preserve">                                                                                                            Eq.1</w:t>
      </w:r>
    </w:p>
    <w:p w14:paraId="7EA689C1" w14:textId="77777777" w:rsidR="008A30DF" w:rsidRDefault="008A30DF" w:rsidP="003C1CFA">
      <w:pPr>
        <w:spacing w:after="0" w:line="240" w:lineRule="auto"/>
        <w:jc w:val="both"/>
        <w:rPr>
          <w:rFonts w:ascii="Arial" w:hAnsi="Arial" w:cs="Arial"/>
          <w:sz w:val="20"/>
          <w:szCs w:val="20"/>
          <w:lang w:val="en-GB"/>
        </w:rPr>
      </w:pPr>
      <w:r w:rsidRPr="008A30DF">
        <w:rPr>
          <w:rFonts w:ascii="Arial" w:hAnsi="Arial" w:cs="Arial"/>
          <w:sz w:val="20"/>
          <w:szCs w:val="20"/>
          <w:lang w:val="en-GB"/>
        </w:rPr>
        <w:t>Where F is the diffusive flux of nutrients at the water-sediment interface (mg.m</w:t>
      </w:r>
      <w:r w:rsidRPr="008A30DF">
        <w:rPr>
          <w:rFonts w:ascii="Arial" w:hAnsi="Arial" w:cs="Arial"/>
          <w:sz w:val="20"/>
          <w:szCs w:val="20"/>
          <w:vertAlign w:val="superscript"/>
          <w:lang w:val="en-GB"/>
        </w:rPr>
        <w:t>-2</w:t>
      </w:r>
      <w:r w:rsidRPr="008A30DF">
        <w:rPr>
          <w:rFonts w:ascii="Arial" w:hAnsi="Arial" w:cs="Arial"/>
          <w:sz w:val="20"/>
          <w:szCs w:val="20"/>
          <w:lang w:val="en-GB"/>
        </w:rPr>
        <w:t>.d</w:t>
      </w:r>
      <w:r w:rsidRPr="008A30DF">
        <w:rPr>
          <w:rFonts w:ascii="Arial" w:hAnsi="Arial" w:cs="Arial"/>
          <w:sz w:val="20"/>
          <w:szCs w:val="20"/>
          <w:vertAlign w:val="superscript"/>
          <w:lang w:val="en-GB"/>
        </w:rPr>
        <w:t>-1</w:t>
      </w:r>
      <w:r w:rsidRPr="008A30DF">
        <w:rPr>
          <w:rFonts w:ascii="Arial" w:hAnsi="Arial" w:cs="Arial"/>
          <w:sz w:val="20"/>
          <w:szCs w:val="20"/>
          <w:lang w:val="en-GB"/>
        </w:rPr>
        <w:t>), Ø is the porosity of the sediment, Ds is the effective diffusion coefficient corrected for tortuosity in the sediment (in cm</w:t>
      </w:r>
      <w:r w:rsidRPr="008A30DF">
        <w:rPr>
          <w:rFonts w:ascii="Arial" w:hAnsi="Arial" w:cs="Arial"/>
          <w:sz w:val="20"/>
          <w:szCs w:val="20"/>
          <w:vertAlign w:val="superscript"/>
          <w:lang w:val="en-GB"/>
        </w:rPr>
        <w:t>2</w:t>
      </w:r>
      <w:r w:rsidRPr="008A30DF">
        <w:rPr>
          <w:rFonts w:ascii="Arial" w:hAnsi="Arial" w:cs="Arial"/>
          <w:sz w:val="20"/>
          <w:szCs w:val="20"/>
          <w:lang w:val="en-GB"/>
        </w:rPr>
        <w:t>.s</w:t>
      </w:r>
      <w:r w:rsidRPr="008A30DF">
        <w:rPr>
          <w:rFonts w:ascii="Arial" w:hAnsi="Arial" w:cs="Arial"/>
          <w:sz w:val="20"/>
          <w:szCs w:val="20"/>
          <w:vertAlign w:val="superscript"/>
          <w:lang w:val="en-GB"/>
        </w:rPr>
        <w:t>-1</w:t>
      </w:r>
      <w:r w:rsidRPr="008A30DF">
        <w:rPr>
          <w:rFonts w:ascii="Arial" w:hAnsi="Arial" w:cs="Arial"/>
          <w:sz w:val="20"/>
          <w:szCs w:val="20"/>
          <w:lang w:val="en-GB"/>
        </w:rPr>
        <w:t>), and</w:t>
      </w:r>
      <w:r>
        <w:rPr>
          <w:rFonts w:ascii="Arial" w:hAnsi="Arial" w:cs="Arial"/>
          <w:sz w:val="20"/>
          <w:szCs w:val="20"/>
          <w:lang w:val="en-GB"/>
        </w:rPr>
        <w:t xml:space="preserve"> </w:t>
      </w:r>
      <w:r w:rsidRPr="0056226E">
        <w:rPr>
          <w:rFonts w:ascii="Calibri" w:eastAsia="Calibri" w:hAnsi="Calibri" w:cs="Times New Roman"/>
          <w:position w:val="-24"/>
        </w:rPr>
        <w:object w:dxaOrig="400" w:dyaOrig="620" w14:anchorId="48698C22">
          <v:shape id="_x0000_i1026" type="#_x0000_t75" style="width:23.75pt;height:30.55pt" o:ole="">
            <v:imagedata r:id="rId10" o:title=""/>
          </v:shape>
          <o:OLEObject Type="Embed" ProgID="Equation.DSMT4" ShapeID="_x0000_i1026" DrawAspect="Content" ObjectID="_1820561167" r:id="rId11"/>
        </w:object>
      </w:r>
      <w:r w:rsidRPr="008A30DF">
        <w:rPr>
          <w:rFonts w:ascii="Arial" w:hAnsi="Arial" w:cs="Arial"/>
          <w:sz w:val="20"/>
          <w:szCs w:val="20"/>
          <w:lang w:val="en-GB"/>
        </w:rPr>
        <w:t xml:space="preserve"> is the nutrient concentration gradient (in mg.m</w:t>
      </w:r>
      <w:r w:rsidRPr="001D2B26">
        <w:rPr>
          <w:rFonts w:ascii="Arial" w:hAnsi="Arial" w:cs="Arial"/>
          <w:sz w:val="20"/>
          <w:szCs w:val="20"/>
          <w:vertAlign w:val="superscript"/>
          <w:lang w:val="en-GB"/>
        </w:rPr>
        <w:t>-4</w:t>
      </w:r>
      <w:r w:rsidRPr="008A30DF">
        <w:rPr>
          <w:rFonts w:ascii="Arial" w:hAnsi="Arial" w:cs="Arial"/>
          <w:sz w:val="20"/>
          <w:szCs w:val="20"/>
          <w:lang w:val="en-GB"/>
        </w:rPr>
        <w:t>). This gradient is calculated from the difference in nutrient concentrations between bottom water and pore water (Boudreau, 1997):</w:t>
      </w:r>
    </w:p>
    <w:p w14:paraId="55FFB80F" w14:textId="77777777" w:rsidR="00E028BF" w:rsidRPr="00A60839" w:rsidRDefault="00E028BF" w:rsidP="00E028BF">
      <w:pPr>
        <w:spacing w:after="0" w:line="240" w:lineRule="auto"/>
        <w:jc w:val="both"/>
        <w:rPr>
          <w:rFonts w:ascii="Arial" w:eastAsia="Calibri" w:hAnsi="Arial" w:cs="Arial"/>
          <w:sz w:val="20"/>
          <w:szCs w:val="20"/>
          <w:lang w:val="en-GB"/>
        </w:rPr>
      </w:pPr>
    </w:p>
    <w:p w14:paraId="4E44F688" w14:textId="77777777" w:rsidR="00E028BF" w:rsidRPr="00E028BF" w:rsidRDefault="00E028BF" w:rsidP="00E028BF">
      <w:pPr>
        <w:spacing w:after="0" w:line="240" w:lineRule="auto"/>
        <w:jc w:val="center"/>
        <w:rPr>
          <w:rFonts w:ascii="Arial" w:eastAsia="Times New Roman" w:hAnsi="Arial" w:cs="Arial"/>
          <w:sz w:val="20"/>
          <w:szCs w:val="20"/>
          <w:lang w:val="en-GB"/>
        </w:rPr>
      </w:pPr>
      <w:r w:rsidRPr="00E028BF">
        <w:rPr>
          <w:rFonts w:ascii="Arial" w:eastAsia="Times New Roman" w:hAnsi="Arial" w:cs="Arial"/>
          <w:sz w:val="20"/>
          <w:szCs w:val="20"/>
        </w:rPr>
        <w:fldChar w:fldCharType="begin"/>
      </w:r>
      <w:r w:rsidRPr="00A60839">
        <w:rPr>
          <w:rFonts w:ascii="Arial" w:eastAsia="Times New Roman" w:hAnsi="Arial" w:cs="Arial"/>
          <w:sz w:val="20"/>
          <w:szCs w:val="20"/>
          <w:lang w:val="en-GB"/>
        </w:rPr>
        <w:instrText xml:space="preserve"> QUOTE </w:instrText>
      </w:r>
      <m:oMath>
        <m:sSub>
          <m:sSubPr>
            <m:ctrlPr>
              <w:rPr>
                <w:rFonts w:ascii="Cambria Math" w:hAnsi="Cambria Math" w:cs="Arial"/>
                <w:sz w:val="20"/>
                <w:szCs w:val="20"/>
              </w:rPr>
            </m:ctrlPr>
          </m:sSubPr>
          <m:e>
            <m:r>
              <m:rPr>
                <m:sty m:val="p"/>
              </m:rPr>
              <w:rPr>
                <w:rFonts w:ascii="Cambria Math" w:hAnsi="Cambria Math" w:cs="Arial"/>
                <w:sz w:val="20"/>
                <w:szCs w:val="20"/>
                <w:lang w:val="en-GB"/>
              </w:rPr>
              <m:t>D</m:t>
            </m:r>
          </m:e>
          <m:sub>
            <m:r>
              <m:rPr>
                <m:sty m:val="p"/>
              </m:rPr>
              <w:rPr>
                <w:rFonts w:ascii="Cambria Math" w:hAnsi="Cambria Math" w:cs="Arial"/>
                <w:sz w:val="20"/>
                <w:szCs w:val="20"/>
                <w:lang w:val="en-GB"/>
              </w:rPr>
              <m:t>s</m:t>
            </m:r>
          </m:sub>
        </m:sSub>
        <m:r>
          <m:rPr>
            <m:sty m:val="p"/>
          </m:rPr>
          <w:rPr>
            <w:rFonts w:ascii="Cambria Math" w:hAnsi="Cambria Math" w:cs="Arial"/>
            <w:sz w:val="20"/>
            <w:szCs w:val="20"/>
            <w:lang w:val="en-GB"/>
          </w:rPr>
          <m:t>=</m:t>
        </m:r>
        <m:f>
          <m:fPr>
            <m:ctrlPr>
              <w:rPr>
                <w:rFonts w:ascii="Cambria Math" w:hAnsi="Cambria Math" w:cs="Arial"/>
                <w:sz w:val="20"/>
                <w:szCs w:val="20"/>
              </w:rPr>
            </m:ctrlPr>
          </m:fPr>
          <m:num>
            <m:sSub>
              <m:sSubPr>
                <m:ctrlPr>
                  <w:rPr>
                    <w:rFonts w:ascii="Cambria Math" w:hAnsi="Cambria Math" w:cs="Arial"/>
                    <w:sz w:val="20"/>
                    <w:szCs w:val="20"/>
                  </w:rPr>
                </m:ctrlPr>
              </m:sSubPr>
              <m:e>
                <m:r>
                  <m:rPr>
                    <m:sty m:val="p"/>
                  </m:rPr>
                  <w:rPr>
                    <w:rFonts w:ascii="Cambria Math" w:hAnsi="Cambria Math" w:cs="Arial"/>
                    <w:sz w:val="20"/>
                    <w:szCs w:val="20"/>
                    <w:lang w:val="en-GB"/>
                  </w:rPr>
                  <m:t>D</m:t>
                </m:r>
              </m:e>
              <m:sub>
                <m:r>
                  <m:rPr>
                    <m:sty m:val="p"/>
                  </m:rPr>
                  <w:rPr>
                    <w:rFonts w:ascii="Cambria Math" w:hAnsi="Cambria Math" w:cs="Arial"/>
                    <w:sz w:val="20"/>
                    <w:szCs w:val="20"/>
                    <w:lang w:val="en-GB"/>
                  </w:rPr>
                  <m:t>0</m:t>
                </m:r>
              </m:sub>
            </m:sSub>
          </m:num>
          <m:den>
            <m:sSup>
              <m:sSupPr>
                <m:ctrlPr>
                  <w:rPr>
                    <w:rFonts w:ascii="Cambria Math" w:hAnsi="Cambria Math" w:cs="Arial"/>
                    <w:sz w:val="20"/>
                    <w:szCs w:val="20"/>
                  </w:rPr>
                </m:ctrlPr>
              </m:sSupPr>
              <m:e>
                <m:r>
                  <m:rPr>
                    <m:sty m:val="p"/>
                  </m:rPr>
                  <w:rPr>
                    <w:rFonts w:ascii="Cambria Math" w:hAnsi="Cambria Math" w:cs="Arial"/>
                    <w:sz w:val="20"/>
                    <w:szCs w:val="20"/>
                  </w:rPr>
                  <m:t>θ</m:t>
                </m:r>
              </m:e>
              <m:sup>
                <m:r>
                  <m:rPr>
                    <m:sty m:val="p"/>
                  </m:rPr>
                  <w:rPr>
                    <w:rFonts w:ascii="Cambria Math" w:hAnsi="Cambria Math" w:cs="Arial"/>
                    <w:sz w:val="20"/>
                    <w:szCs w:val="20"/>
                    <w:lang w:val="en-GB"/>
                  </w:rPr>
                  <m:t>2</m:t>
                </m:r>
              </m:sup>
            </m:sSup>
          </m:den>
        </m:f>
      </m:oMath>
      <w:r w:rsidRPr="00A60839">
        <w:rPr>
          <w:rFonts w:ascii="Arial" w:eastAsia="Times New Roman" w:hAnsi="Arial" w:cs="Arial"/>
          <w:sz w:val="20"/>
          <w:szCs w:val="20"/>
          <w:lang w:val="en-GB"/>
        </w:rPr>
        <w:instrText xml:space="preserve"> </w:instrText>
      </w:r>
      <w:r w:rsidRPr="00E028BF">
        <w:rPr>
          <w:rFonts w:ascii="Arial" w:eastAsia="Times New Roman" w:hAnsi="Arial" w:cs="Arial"/>
          <w:sz w:val="20"/>
          <w:szCs w:val="20"/>
        </w:rPr>
        <w:fldChar w:fldCharType="end"/>
      </w:r>
      <w:r w:rsidRPr="00E028BF">
        <w:rPr>
          <w:rFonts w:ascii="Calibri" w:eastAsia="Calibri" w:hAnsi="Calibri" w:cs="Times New Roman"/>
          <w:position w:val="-24"/>
        </w:rPr>
        <w:object w:dxaOrig="900" w:dyaOrig="620" w14:anchorId="1431DF94">
          <v:shape id="_x0000_i1027" type="#_x0000_t75" style="width:65.2pt;height:40.1pt" o:ole="">
            <v:imagedata r:id="rId12" o:title=""/>
          </v:shape>
          <o:OLEObject Type="Embed" ProgID="Equation.DSMT4" ShapeID="_x0000_i1027" DrawAspect="Content" ObjectID="_1820561168" r:id="rId13"/>
        </w:object>
      </w:r>
      <w:r w:rsidRPr="00E028BF">
        <w:rPr>
          <w:rFonts w:ascii="Arial" w:eastAsia="Times New Roman" w:hAnsi="Arial" w:cs="Arial"/>
          <w:sz w:val="20"/>
          <w:szCs w:val="20"/>
          <w:lang w:val="en-GB"/>
        </w:rPr>
        <w:t xml:space="preserve">                                                                                                                     Eq.2</w:t>
      </w:r>
    </w:p>
    <w:p w14:paraId="46B2AC80" w14:textId="77777777" w:rsidR="00E028BF" w:rsidRPr="00E028BF" w:rsidRDefault="00E028BF" w:rsidP="00E028BF">
      <w:pPr>
        <w:spacing w:after="0" w:line="240" w:lineRule="auto"/>
        <w:jc w:val="center"/>
        <w:rPr>
          <w:rFonts w:ascii="Arial" w:eastAsia="Calibri" w:hAnsi="Arial" w:cs="Arial"/>
          <w:sz w:val="20"/>
          <w:szCs w:val="20"/>
          <w:lang w:val="en-GB"/>
        </w:rPr>
      </w:pPr>
      <w:r w:rsidRPr="00E028BF">
        <w:rPr>
          <w:rFonts w:ascii="Calibri" w:eastAsia="Calibri" w:hAnsi="Calibri" w:cs="Times New Roman"/>
          <w:position w:val="-10"/>
        </w:rPr>
        <w:object w:dxaOrig="1460" w:dyaOrig="360" w14:anchorId="585AE178">
          <v:shape id="_x0000_i1028" type="#_x0000_t75" style="width:122.95pt;height:23.1pt" o:ole="">
            <v:imagedata r:id="rId14" o:title=""/>
          </v:shape>
          <o:OLEObject Type="Embed" ProgID="Equation.DSMT4" ShapeID="_x0000_i1028" DrawAspect="Content" ObjectID="_1820561169" r:id="rId15"/>
        </w:object>
      </w:r>
      <w:r w:rsidRPr="00E028BF">
        <w:rPr>
          <w:rFonts w:ascii="Arial" w:eastAsia="Times New Roman" w:hAnsi="Arial" w:cs="Arial"/>
          <w:sz w:val="20"/>
          <w:szCs w:val="20"/>
          <w:lang w:val="en-GB"/>
        </w:rPr>
        <w:t xml:space="preserve">                                                                                                         Eq.3</w:t>
      </w:r>
    </w:p>
    <w:p w14:paraId="4F909652" w14:textId="77777777" w:rsidR="00E028BF" w:rsidRDefault="00E028BF" w:rsidP="003C1CFA">
      <w:pPr>
        <w:spacing w:after="0" w:line="240" w:lineRule="auto"/>
        <w:jc w:val="both"/>
        <w:rPr>
          <w:rFonts w:ascii="Arial" w:hAnsi="Arial" w:cs="Arial"/>
          <w:sz w:val="20"/>
          <w:szCs w:val="20"/>
          <w:lang w:val="en-GB"/>
        </w:rPr>
      </w:pPr>
    </w:p>
    <w:p w14:paraId="78E3B03C" w14:textId="77777777" w:rsidR="00E028BF" w:rsidRDefault="00E028BF" w:rsidP="00E028BF">
      <w:pPr>
        <w:spacing w:after="0" w:line="240" w:lineRule="auto"/>
        <w:jc w:val="both"/>
        <w:rPr>
          <w:rFonts w:ascii="Arial" w:hAnsi="Arial" w:cs="Arial"/>
          <w:sz w:val="20"/>
          <w:szCs w:val="20"/>
          <w:lang w:val="en-GB"/>
        </w:rPr>
      </w:pPr>
      <w:r w:rsidRPr="00E028BF">
        <w:rPr>
          <w:rFonts w:ascii="Arial" w:hAnsi="Arial" w:cs="Arial"/>
          <w:sz w:val="20"/>
          <w:szCs w:val="20"/>
          <w:lang w:val="en-GB"/>
        </w:rPr>
        <w:t>Where Do is the apparent diffusion coefficient in water (cm².s</w:t>
      </w:r>
      <w:r w:rsidRPr="004306BD">
        <w:rPr>
          <w:rFonts w:ascii="Arial" w:hAnsi="Arial" w:cs="Arial"/>
          <w:sz w:val="20"/>
          <w:szCs w:val="20"/>
          <w:vertAlign w:val="superscript"/>
          <w:lang w:val="en-GB"/>
        </w:rPr>
        <w:t>-1</w:t>
      </w:r>
      <w:r w:rsidRPr="00E028BF">
        <w:rPr>
          <w:rFonts w:ascii="Arial" w:hAnsi="Arial" w:cs="Arial"/>
          <w:sz w:val="20"/>
          <w:szCs w:val="20"/>
          <w:lang w:val="en-GB"/>
        </w:rPr>
        <w:t>) and θ is the sediment tortuosity. The apparent diffusion coefficients D</w:t>
      </w:r>
      <w:r w:rsidRPr="001D2B26">
        <w:rPr>
          <w:rFonts w:ascii="Arial" w:hAnsi="Arial" w:cs="Arial"/>
          <w:sz w:val="20"/>
          <w:szCs w:val="20"/>
          <w:vertAlign w:val="subscript"/>
          <w:lang w:val="en-GB"/>
        </w:rPr>
        <w:t xml:space="preserve">0 </w:t>
      </w:r>
      <w:r w:rsidRPr="00E028BF">
        <w:rPr>
          <w:rFonts w:ascii="Arial" w:hAnsi="Arial" w:cs="Arial"/>
          <w:sz w:val="20"/>
          <w:szCs w:val="20"/>
          <w:lang w:val="en-GB"/>
        </w:rPr>
        <w:t xml:space="preserve">for ammonium, nitrate, nitrite, and phosphate are taken from the work of Li and Gregory (1974). However, the diffusion coefficients were corrected for bottom water temperature using the </w:t>
      </w:r>
      <w:proofErr w:type="spellStart"/>
      <w:r w:rsidRPr="00E028BF">
        <w:rPr>
          <w:rFonts w:ascii="Arial" w:hAnsi="Arial" w:cs="Arial"/>
          <w:sz w:val="20"/>
          <w:szCs w:val="20"/>
          <w:lang w:val="en-GB"/>
        </w:rPr>
        <w:t>Stockes</w:t>
      </w:r>
      <w:proofErr w:type="spellEnd"/>
      <w:r w:rsidRPr="00E028BF">
        <w:rPr>
          <w:rFonts w:ascii="Arial" w:hAnsi="Arial" w:cs="Arial"/>
          <w:sz w:val="20"/>
          <w:szCs w:val="20"/>
          <w:lang w:val="en-GB"/>
        </w:rPr>
        <w:t>-Einstein</w:t>
      </w:r>
      <w:r w:rsidR="001D2B26">
        <w:rPr>
          <w:rFonts w:ascii="Arial" w:hAnsi="Arial" w:cs="Arial"/>
          <w:sz w:val="20"/>
          <w:szCs w:val="20"/>
          <w:lang w:val="en-GB"/>
        </w:rPr>
        <w:t xml:space="preserve"> relationship (Einstein, 1905). </w:t>
      </w:r>
      <w:r w:rsidRPr="00E028BF">
        <w:rPr>
          <w:rFonts w:ascii="Arial" w:hAnsi="Arial" w:cs="Arial"/>
          <w:sz w:val="20"/>
          <w:szCs w:val="20"/>
          <w:lang w:val="en-GB"/>
        </w:rPr>
        <w:t xml:space="preserve">Porosity was determined using the following relationship (Zhao et al., 2023; </w:t>
      </w:r>
      <w:proofErr w:type="spellStart"/>
      <w:r w:rsidRPr="00E028BF">
        <w:rPr>
          <w:rFonts w:ascii="Arial" w:hAnsi="Arial" w:cs="Arial"/>
          <w:sz w:val="20"/>
          <w:szCs w:val="20"/>
          <w:lang w:val="en-GB"/>
        </w:rPr>
        <w:t>Lengier</w:t>
      </w:r>
      <w:proofErr w:type="spellEnd"/>
      <w:r w:rsidRPr="00E028BF">
        <w:rPr>
          <w:rFonts w:ascii="Arial" w:hAnsi="Arial" w:cs="Arial"/>
          <w:sz w:val="20"/>
          <w:szCs w:val="20"/>
          <w:lang w:val="en-GB"/>
        </w:rPr>
        <w:t xml:space="preserve"> et al., 2021):</w:t>
      </w:r>
    </w:p>
    <w:p w14:paraId="51ECF5F1" w14:textId="77777777" w:rsidR="004306BD" w:rsidRDefault="004306BD" w:rsidP="00E028BF">
      <w:pPr>
        <w:spacing w:after="0" w:line="240" w:lineRule="auto"/>
        <w:jc w:val="both"/>
        <w:rPr>
          <w:rFonts w:ascii="Arial" w:hAnsi="Arial" w:cs="Arial"/>
          <w:sz w:val="20"/>
          <w:szCs w:val="20"/>
          <w:lang w:val="en-GB"/>
        </w:rPr>
      </w:pPr>
    </w:p>
    <w:p w14:paraId="0AA3FA0B" w14:textId="77777777" w:rsidR="004306BD" w:rsidRPr="00A60839" w:rsidRDefault="004306BD" w:rsidP="004306BD">
      <w:pPr>
        <w:spacing w:after="0" w:line="240" w:lineRule="auto"/>
        <w:jc w:val="center"/>
        <w:rPr>
          <w:rFonts w:ascii="Arial" w:eastAsia="Calibri" w:hAnsi="Arial" w:cs="Arial"/>
          <w:sz w:val="20"/>
          <w:szCs w:val="20"/>
          <w:lang w:val="en-GB"/>
        </w:rPr>
      </w:pPr>
      <w:r w:rsidRPr="004306BD">
        <w:rPr>
          <w:rFonts w:ascii="Calibri" w:eastAsia="Calibri" w:hAnsi="Calibri" w:cs="Times New Roman"/>
          <w:position w:val="-54"/>
        </w:rPr>
        <w:object w:dxaOrig="1600" w:dyaOrig="920" w14:anchorId="318894FB">
          <v:shape id="_x0000_i1029" type="#_x0000_t75" style="width:118.2pt;height:63.15pt" o:ole="">
            <v:imagedata r:id="rId16" o:title=""/>
          </v:shape>
          <o:OLEObject Type="Embed" ProgID="Equation.DSMT4" ShapeID="_x0000_i1029" DrawAspect="Content" ObjectID="_1820561170" r:id="rId17"/>
        </w:object>
      </w:r>
      <w:r w:rsidRPr="00A60839">
        <w:rPr>
          <w:rFonts w:ascii="Arial" w:eastAsia="Times New Roman" w:hAnsi="Arial" w:cs="Arial"/>
          <w:sz w:val="20"/>
          <w:szCs w:val="20"/>
          <w:lang w:val="en-GB"/>
        </w:rPr>
        <w:t xml:space="preserve">                                                                                                                Eq.4</w:t>
      </w:r>
    </w:p>
    <w:p w14:paraId="4FBC2327" w14:textId="77777777" w:rsidR="001D2B26" w:rsidRDefault="001D2B26" w:rsidP="00E028BF">
      <w:pPr>
        <w:spacing w:after="0" w:line="240" w:lineRule="auto"/>
        <w:jc w:val="both"/>
        <w:rPr>
          <w:rFonts w:ascii="Arial" w:hAnsi="Arial" w:cs="Arial"/>
          <w:sz w:val="20"/>
          <w:szCs w:val="20"/>
          <w:lang w:val="en-GB"/>
        </w:rPr>
      </w:pPr>
    </w:p>
    <w:p w14:paraId="7F9D80FB" w14:textId="77777777" w:rsidR="004306BD" w:rsidRDefault="004306BD" w:rsidP="00E028BF">
      <w:pPr>
        <w:spacing w:after="0" w:line="240" w:lineRule="auto"/>
        <w:jc w:val="both"/>
        <w:rPr>
          <w:rFonts w:ascii="Arial" w:hAnsi="Arial" w:cs="Arial"/>
          <w:sz w:val="20"/>
          <w:szCs w:val="20"/>
          <w:lang w:val="en-GB"/>
        </w:rPr>
      </w:pPr>
      <w:r w:rsidRPr="004306BD">
        <w:rPr>
          <w:rFonts w:ascii="Arial" w:hAnsi="Arial" w:cs="Arial"/>
          <w:sz w:val="20"/>
          <w:szCs w:val="20"/>
          <w:lang w:val="en-GB"/>
        </w:rPr>
        <w:t>Where W is the water content of the sediment (%) and d is the bulk density of the sediment generally equal to 2.5 (Zhao et al., 2023).</w:t>
      </w:r>
    </w:p>
    <w:p w14:paraId="586A1A03" w14:textId="77777777" w:rsidR="00AB1165" w:rsidRPr="00AB1165" w:rsidRDefault="00A029D5" w:rsidP="00AB1165">
      <w:pPr>
        <w:spacing w:after="0" w:line="240" w:lineRule="auto"/>
        <w:jc w:val="both"/>
        <w:rPr>
          <w:rFonts w:ascii="Arial" w:hAnsi="Arial" w:cs="Arial"/>
          <w:b/>
          <w:szCs w:val="20"/>
          <w:lang w:val="en-GB"/>
        </w:rPr>
      </w:pPr>
      <w:r>
        <w:rPr>
          <w:rFonts w:ascii="Arial" w:hAnsi="Arial" w:cs="Arial"/>
          <w:b/>
          <w:szCs w:val="20"/>
          <w:lang w:val="en-GB"/>
        </w:rPr>
        <w:t>2.4 Statistical a</w:t>
      </w:r>
      <w:r w:rsidR="00AB1165" w:rsidRPr="00AB1165">
        <w:rPr>
          <w:rFonts w:ascii="Arial" w:hAnsi="Arial" w:cs="Arial"/>
          <w:b/>
          <w:szCs w:val="20"/>
          <w:lang w:val="en-GB"/>
        </w:rPr>
        <w:t>nalyses</w:t>
      </w:r>
    </w:p>
    <w:p w14:paraId="7974D69A" w14:textId="77777777" w:rsidR="00AB1165" w:rsidRPr="00AB1165" w:rsidRDefault="00AB1165" w:rsidP="00AB1165">
      <w:pPr>
        <w:spacing w:after="0" w:line="240" w:lineRule="auto"/>
        <w:jc w:val="both"/>
        <w:rPr>
          <w:rFonts w:ascii="Arial" w:hAnsi="Arial" w:cs="Arial"/>
          <w:sz w:val="20"/>
          <w:szCs w:val="20"/>
          <w:lang w:val="en-GB"/>
        </w:rPr>
      </w:pPr>
    </w:p>
    <w:p w14:paraId="1259D945" w14:textId="77777777" w:rsidR="00AB1165" w:rsidRPr="00AB1165" w:rsidRDefault="00AB1165" w:rsidP="00AB1165">
      <w:pPr>
        <w:spacing w:after="0" w:line="240" w:lineRule="auto"/>
        <w:jc w:val="both"/>
        <w:rPr>
          <w:rFonts w:ascii="Arial" w:hAnsi="Arial" w:cs="Arial"/>
          <w:sz w:val="20"/>
          <w:szCs w:val="20"/>
          <w:lang w:val="en-GB"/>
        </w:rPr>
      </w:pPr>
      <w:r w:rsidRPr="00AB1165">
        <w:rPr>
          <w:rFonts w:ascii="Arial" w:hAnsi="Arial" w:cs="Arial"/>
          <w:sz w:val="20"/>
          <w:szCs w:val="20"/>
          <w:lang w:val="en-GB"/>
        </w:rPr>
        <w:t>Means, standard deviations, and graphical representations were obtained using Microsoft Excel. Principal component analysis, correlation matrix, and one-way ANOVA tests were obtained using Statistica 2005 (version 7.1).</w:t>
      </w:r>
    </w:p>
    <w:p w14:paraId="1BF0E158" w14:textId="77777777" w:rsidR="00AB1165" w:rsidRPr="00AB1165" w:rsidRDefault="00AB1165" w:rsidP="00AB1165">
      <w:pPr>
        <w:spacing w:after="0" w:line="240" w:lineRule="auto"/>
        <w:jc w:val="both"/>
        <w:rPr>
          <w:rFonts w:ascii="Arial" w:hAnsi="Arial" w:cs="Arial"/>
          <w:sz w:val="20"/>
          <w:szCs w:val="20"/>
          <w:lang w:val="en-GB"/>
        </w:rPr>
      </w:pPr>
    </w:p>
    <w:p w14:paraId="0301A611" w14:textId="77777777" w:rsidR="00AB1165" w:rsidRPr="00AB1165" w:rsidRDefault="00AB1165" w:rsidP="00AB1165">
      <w:pPr>
        <w:spacing w:after="0" w:line="240" w:lineRule="auto"/>
        <w:jc w:val="both"/>
        <w:rPr>
          <w:rFonts w:ascii="Arial" w:hAnsi="Arial" w:cs="Arial"/>
          <w:b/>
          <w:szCs w:val="20"/>
          <w:lang w:val="en-GB"/>
        </w:rPr>
      </w:pPr>
      <w:r w:rsidRPr="00AB1165">
        <w:rPr>
          <w:rFonts w:ascii="Arial" w:hAnsi="Arial" w:cs="Arial"/>
          <w:b/>
          <w:szCs w:val="20"/>
          <w:lang w:val="en-GB"/>
        </w:rPr>
        <w:t>3. RESULTS AND DISCUSSION</w:t>
      </w:r>
    </w:p>
    <w:p w14:paraId="714C9D62" w14:textId="77777777" w:rsidR="00AB1165" w:rsidRPr="00AB1165" w:rsidRDefault="00AB1165" w:rsidP="00AB1165">
      <w:pPr>
        <w:spacing w:after="0" w:line="240" w:lineRule="auto"/>
        <w:jc w:val="both"/>
        <w:rPr>
          <w:rFonts w:ascii="Arial" w:hAnsi="Arial" w:cs="Arial"/>
          <w:sz w:val="20"/>
          <w:szCs w:val="20"/>
          <w:lang w:val="en-GB"/>
        </w:rPr>
      </w:pPr>
    </w:p>
    <w:p w14:paraId="233EB630" w14:textId="77777777" w:rsidR="00AB1165" w:rsidRPr="00AB1165" w:rsidRDefault="00AB1165" w:rsidP="00AB1165">
      <w:pPr>
        <w:spacing w:after="0" w:line="240" w:lineRule="auto"/>
        <w:jc w:val="both"/>
        <w:rPr>
          <w:rFonts w:ascii="Arial" w:hAnsi="Arial" w:cs="Arial"/>
          <w:b/>
          <w:szCs w:val="20"/>
          <w:lang w:val="en-GB"/>
        </w:rPr>
      </w:pPr>
      <w:r w:rsidRPr="00AB1165">
        <w:rPr>
          <w:rFonts w:ascii="Arial" w:hAnsi="Arial" w:cs="Arial"/>
          <w:b/>
          <w:szCs w:val="20"/>
          <w:lang w:val="en-GB"/>
        </w:rPr>
        <w:t>3.1 Results</w:t>
      </w:r>
    </w:p>
    <w:p w14:paraId="37E0041D" w14:textId="77777777" w:rsidR="00AB1165" w:rsidRPr="00AB1165" w:rsidRDefault="00AB1165" w:rsidP="00AB1165">
      <w:pPr>
        <w:spacing w:after="0" w:line="240" w:lineRule="auto"/>
        <w:jc w:val="both"/>
        <w:rPr>
          <w:rFonts w:ascii="Arial" w:hAnsi="Arial" w:cs="Arial"/>
          <w:sz w:val="20"/>
          <w:szCs w:val="20"/>
          <w:lang w:val="en-GB"/>
        </w:rPr>
      </w:pPr>
    </w:p>
    <w:p w14:paraId="280A9A9D" w14:textId="77777777" w:rsidR="00AB1165" w:rsidRDefault="00BC4CEB" w:rsidP="00AB1165">
      <w:pPr>
        <w:spacing w:after="0" w:line="240" w:lineRule="auto"/>
        <w:jc w:val="both"/>
        <w:rPr>
          <w:rFonts w:ascii="Arial" w:hAnsi="Arial" w:cs="Arial"/>
          <w:b/>
          <w:sz w:val="20"/>
          <w:szCs w:val="20"/>
          <w:lang w:val="en-GB"/>
        </w:rPr>
      </w:pPr>
      <w:r>
        <w:rPr>
          <w:rFonts w:ascii="Arial" w:hAnsi="Arial" w:cs="Arial"/>
          <w:b/>
          <w:sz w:val="20"/>
          <w:szCs w:val="20"/>
          <w:u w:val="single"/>
          <w:lang w:val="en-GB"/>
        </w:rPr>
        <w:t>3.1.1 Physicochemical parameters of bottom w</w:t>
      </w:r>
      <w:r w:rsidR="00AB1165" w:rsidRPr="00AB1165">
        <w:rPr>
          <w:rFonts w:ascii="Arial" w:hAnsi="Arial" w:cs="Arial"/>
          <w:b/>
          <w:sz w:val="20"/>
          <w:szCs w:val="20"/>
          <w:u w:val="single"/>
          <w:lang w:val="en-GB"/>
        </w:rPr>
        <w:t>aters</w:t>
      </w:r>
    </w:p>
    <w:p w14:paraId="39DA36DA" w14:textId="77777777" w:rsidR="00AB1165" w:rsidRDefault="00AB1165" w:rsidP="00AB1165">
      <w:pPr>
        <w:spacing w:after="0" w:line="240" w:lineRule="auto"/>
        <w:jc w:val="both"/>
        <w:rPr>
          <w:rFonts w:ascii="Arial" w:hAnsi="Arial" w:cs="Arial"/>
          <w:b/>
          <w:sz w:val="20"/>
          <w:szCs w:val="20"/>
          <w:lang w:val="en-GB"/>
        </w:rPr>
      </w:pPr>
    </w:p>
    <w:p w14:paraId="03771D6B" w14:textId="77777777" w:rsidR="00AB1165" w:rsidRPr="00F06C91" w:rsidRDefault="00AB1165" w:rsidP="00AB1165">
      <w:pPr>
        <w:spacing w:after="0" w:line="240" w:lineRule="auto"/>
        <w:jc w:val="both"/>
        <w:rPr>
          <w:rFonts w:ascii="Arial" w:hAnsi="Arial" w:cs="Arial"/>
          <w:sz w:val="20"/>
          <w:szCs w:val="20"/>
          <w:highlight w:val="yellow"/>
          <w:lang w:val="en-GB"/>
        </w:rPr>
      </w:pPr>
      <w:r w:rsidRPr="00F06C91">
        <w:rPr>
          <w:rFonts w:ascii="Arial" w:hAnsi="Arial" w:cs="Arial"/>
          <w:sz w:val="20"/>
          <w:szCs w:val="20"/>
          <w:highlight w:val="yellow"/>
          <w:lang w:val="en-GB"/>
        </w:rPr>
        <w:t>The average values of the physicochemical parameters of the bottom waters are shown in Table 2.</w:t>
      </w:r>
    </w:p>
    <w:p w14:paraId="7E0E3678" w14:textId="77777777" w:rsidR="00F06C91" w:rsidRDefault="00F06C91" w:rsidP="00F06C91">
      <w:pPr>
        <w:spacing w:after="0" w:line="240" w:lineRule="auto"/>
        <w:jc w:val="both"/>
        <w:rPr>
          <w:rFonts w:ascii="Arial" w:hAnsi="Arial" w:cs="Arial"/>
          <w:sz w:val="20"/>
          <w:szCs w:val="20"/>
          <w:lang w:val="en-GB"/>
        </w:rPr>
      </w:pPr>
      <w:r w:rsidRPr="00F06C91">
        <w:rPr>
          <w:rFonts w:ascii="Arial" w:hAnsi="Arial" w:cs="Arial"/>
          <w:sz w:val="20"/>
          <w:szCs w:val="20"/>
          <w:highlight w:val="yellow"/>
          <w:lang w:val="en-GB"/>
        </w:rPr>
        <w:t>Over the study period, water temperatures ranged from 26.65 ± 4.21 °C (station S1) to 31.30 ± 2.53 °C (station S6). These temperatures are relatively high with an average value of approximately 29.55 ± 1.37 °C. The waters of the Fresco lagoon appear neutral since the pH of the waters varies between 6.91 ± 0.51 (station S1) and 7.56 ± 1.18 (station S4) for an average of 7.19 ± 0.36. The pH varies little along the water body. The conductivity is between 31.19 ± 10.85 mS/cm (station S3) and 38.18 ± 9.17 mS/cm (station S2). The salinity of the waters varies between 19.38 ± 7.53 (station S3) and 24.26 ± 6.56 (station S2). The average conductivity and salinity are respectively 33.63 ± 6.15 mS/cm and 20.56 ± 2.03. These two quantities are relatively high. The redox potentials between -33.47 ± 59.05 mV (station S6) and -8.87 ± 45.48 mV (station S7) are negative at all stations. The dissolved oxygen contents vary between 1.74 ± 1.23 (station S3) and 3.45 ± 1.90 mg/L (station S4) for an average content of approximately 2.38 ± 0.57 mg/L. These levels are relatively low.</w:t>
      </w:r>
    </w:p>
    <w:p w14:paraId="0BB04BA5" w14:textId="77777777" w:rsidR="00AB1165" w:rsidRPr="00AB1165" w:rsidRDefault="00AB1165" w:rsidP="00AB1165">
      <w:pPr>
        <w:spacing w:after="0" w:line="240" w:lineRule="auto"/>
        <w:jc w:val="both"/>
        <w:rPr>
          <w:rFonts w:ascii="Arial" w:hAnsi="Arial" w:cs="Arial"/>
          <w:sz w:val="20"/>
          <w:szCs w:val="20"/>
          <w:lang w:val="en-GB"/>
        </w:rPr>
      </w:pPr>
    </w:p>
    <w:p w14:paraId="2ADCBA5E" w14:textId="77777777" w:rsidR="00F06C91" w:rsidRDefault="00F06C91" w:rsidP="00AB1165">
      <w:pPr>
        <w:spacing w:after="0" w:line="240" w:lineRule="auto"/>
        <w:jc w:val="both"/>
        <w:rPr>
          <w:rFonts w:ascii="Arial" w:hAnsi="Arial" w:cs="Arial"/>
          <w:b/>
          <w:sz w:val="20"/>
          <w:szCs w:val="20"/>
          <w:lang w:val="en-GB"/>
        </w:rPr>
      </w:pPr>
    </w:p>
    <w:p w14:paraId="70E67911" w14:textId="77777777" w:rsidR="00F06C91" w:rsidRDefault="00F06C91" w:rsidP="00AB1165">
      <w:pPr>
        <w:spacing w:after="0" w:line="240" w:lineRule="auto"/>
        <w:jc w:val="both"/>
        <w:rPr>
          <w:rFonts w:ascii="Arial" w:hAnsi="Arial" w:cs="Arial"/>
          <w:b/>
          <w:sz w:val="20"/>
          <w:szCs w:val="20"/>
          <w:lang w:val="en-GB"/>
        </w:rPr>
      </w:pPr>
    </w:p>
    <w:p w14:paraId="39BDA509" w14:textId="77777777" w:rsidR="00F06C91" w:rsidRDefault="00F06C91" w:rsidP="00AB1165">
      <w:pPr>
        <w:spacing w:after="0" w:line="240" w:lineRule="auto"/>
        <w:jc w:val="both"/>
        <w:rPr>
          <w:rFonts w:ascii="Arial" w:hAnsi="Arial" w:cs="Arial"/>
          <w:b/>
          <w:sz w:val="20"/>
          <w:szCs w:val="20"/>
          <w:lang w:val="en-GB"/>
        </w:rPr>
      </w:pPr>
    </w:p>
    <w:p w14:paraId="0552AE25" w14:textId="77777777" w:rsidR="00AB1165" w:rsidRDefault="00AB1165" w:rsidP="00AB1165">
      <w:pPr>
        <w:spacing w:after="0" w:line="240" w:lineRule="auto"/>
        <w:jc w:val="both"/>
        <w:rPr>
          <w:rFonts w:ascii="Arial" w:hAnsi="Arial" w:cs="Arial"/>
          <w:sz w:val="20"/>
          <w:szCs w:val="20"/>
          <w:lang w:val="en-GB"/>
        </w:rPr>
      </w:pPr>
      <w:r w:rsidRPr="009C2B95">
        <w:rPr>
          <w:rFonts w:ascii="Arial" w:hAnsi="Arial" w:cs="Arial"/>
          <w:b/>
          <w:sz w:val="20"/>
          <w:szCs w:val="20"/>
          <w:lang w:val="en-GB"/>
        </w:rPr>
        <w:t>Table 2. Average values of the physicochemical parameters of the bottom waters</w:t>
      </w:r>
    </w:p>
    <w:p w14:paraId="4FEF7391" w14:textId="77777777" w:rsidR="009C2B95" w:rsidRDefault="009C2B95" w:rsidP="00AB1165">
      <w:pPr>
        <w:spacing w:after="0" w:line="240" w:lineRule="auto"/>
        <w:jc w:val="both"/>
        <w:rPr>
          <w:rFonts w:ascii="Arial" w:hAnsi="Arial" w:cs="Arial"/>
          <w:sz w:val="20"/>
          <w:szCs w:val="20"/>
          <w:lang w:val="en-GB"/>
        </w:rPr>
      </w:pPr>
    </w:p>
    <w:tbl>
      <w:tblPr>
        <w:tblW w:w="9451" w:type="dxa"/>
        <w:jc w:val="center"/>
        <w:tblLayout w:type="fixed"/>
        <w:tblLook w:val="04A0" w:firstRow="1" w:lastRow="0" w:firstColumn="1" w:lastColumn="0" w:noHBand="0" w:noVBand="1"/>
      </w:tblPr>
      <w:tblGrid>
        <w:gridCol w:w="962"/>
        <w:gridCol w:w="1344"/>
        <w:gridCol w:w="1236"/>
        <w:gridCol w:w="1444"/>
        <w:gridCol w:w="1444"/>
        <w:gridCol w:w="1445"/>
        <w:gridCol w:w="1576"/>
      </w:tblGrid>
      <w:tr w:rsidR="009C2B95" w:rsidRPr="009C2B95" w14:paraId="2FB61A98" w14:textId="77777777" w:rsidTr="00D634C5">
        <w:trPr>
          <w:trHeight w:val="349"/>
          <w:jc w:val="center"/>
        </w:trPr>
        <w:tc>
          <w:tcPr>
            <w:tcW w:w="962" w:type="dxa"/>
            <w:tcBorders>
              <w:top w:val="single" w:sz="4" w:space="0" w:color="auto"/>
              <w:bottom w:val="single" w:sz="4" w:space="0" w:color="auto"/>
            </w:tcBorders>
            <w:vAlign w:val="center"/>
          </w:tcPr>
          <w:p w14:paraId="30316F5F" w14:textId="77777777" w:rsidR="009C2B95" w:rsidRPr="009C2B95" w:rsidRDefault="009C2B95" w:rsidP="009C2B95">
            <w:pPr>
              <w:spacing w:after="0" w:line="240" w:lineRule="auto"/>
              <w:jc w:val="both"/>
              <w:rPr>
                <w:rFonts w:ascii="Arial" w:eastAsia="Calibri" w:hAnsi="Arial" w:cs="Arial"/>
                <w:b/>
                <w:bCs/>
                <w:sz w:val="20"/>
                <w:szCs w:val="20"/>
              </w:rPr>
            </w:pPr>
            <w:r w:rsidRPr="009C2B95">
              <w:rPr>
                <w:rFonts w:ascii="Arial" w:eastAsia="Calibri" w:hAnsi="Arial" w:cs="Arial"/>
                <w:b/>
                <w:bCs/>
                <w:sz w:val="20"/>
                <w:szCs w:val="20"/>
              </w:rPr>
              <w:t>Station</w:t>
            </w:r>
          </w:p>
        </w:tc>
        <w:tc>
          <w:tcPr>
            <w:tcW w:w="1344" w:type="dxa"/>
            <w:tcBorders>
              <w:top w:val="single" w:sz="4" w:space="0" w:color="auto"/>
              <w:bottom w:val="single" w:sz="4" w:space="0" w:color="auto"/>
            </w:tcBorders>
            <w:vAlign w:val="center"/>
          </w:tcPr>
          <w:p w14:paraId="738A665A" w14:textId="77777777" w:rsidR="009C2B95" w:rsidRPr="009C2B95" w:rsidRDefault="009C2B95" w:rsidP="009C2B95">
            <w:pPr>
              <w:spacing w:after="0" w:line="240" w:lineRule="auto"/>
              <w:jc w:val="both"/>
              <w:rPr>
                <w:rFonts w:ascii="Arial" w:eastAsia="Calibri" w:hAnsi="Arial" w:cs="Arial"/>
                <w:b/>
                <w:bCs/>
                <w:sz w:val="20"/>
                <w:szCs w:val="20"/>
              </w:rPr>
            </w:pPr>
            <w:r w:rsidRPr="009C2B95">
              <w:rPr>
                <w:rFonts w:ascii="Arial" w:eastAsia="Calibri" w:hAnsi="Arial" w:cs="Arial"/>
                <w:b/>
                <w:bCs/>
                <w:sz w:val="20"/>
                <w:szCs w:val="20"/>
              </w:rPr>
              <w:t>T (°C)</w:t>
            </w:r>
          </w:p>
        </w:tc>
        <w:tc>
          <w:tcPr>
            <w:tcW w:w="1236" w:type="dxa"/>
            <w:tcBorders>
              <w:top w:val="single" w:sz="4" w:space="0" w:color="auto"/>
              <w:bottom w:val="single" w:sz="4" w:space="0" w:color="auto"/>
            </w:tcBorders>
            <w:vAlign w:val="center"/>
          </w:tcPr>
          <w:p w14:paraId="1F85788B" w14:textId="77777777" w:rsidR="009C2B95" w:rsidRPr="009C2B95" w:rsidRDefault="009C2B95" w:rsidP="009C2B95">
            <w:pPr>
              <w:spacing w:after="0" w:line="240" w:lineRule="auto"/>
              <w:jc w:val="both"/>
              <w:rPr>
                <w:rFonts w:ascii="Arial" w:eastAsia="Calibri" w:hAnsi="Arial" w:cs="Arial"/>
                <w:b/>
                <w:bCs/>
                <w:sz w:val="20"/>
                <w:szCs w:val="20"/>
              </w:rPr>
            </w:pPr>
            <w:r>
              <w:rPr>
                <w:rFonts w:ascii="Arial" w:eastAsia="Calibri" w:hAnsi="Arial" w:cs="Arial"/>
                <w:b/>
                <w:bCs/>
                <w:sz w:val="20"/>
                <w:szCs w:val="20"/>
              </w:rPr>
              <w:t>pH</w:t>
            </w:r>
          </w:p>
        </w:tc>
        <w:tc>
          <w:tcPr>
            <w:tcW w:w="1444" w:type="dxa"/>
            <w:tcBorders>
              <w:top w:val="single" w:sz="4" w:space="0" w:color="auto"/>
              <w:bottom w:val="single" w:sz="4" w:space="0" w:color="auto"/>
            </w:tcBorders>
            <w:vAlign w:val="center"/>
          </w:tcPr>
          <w:p w14:paraId="5E6E2B0F" w14:textId="77777777" w:rsidR="009C2B95" w:rsidRPr="009C2B95" w:rsidRDefault="009C2B95" w:rsidP="009C2B95">
            <w:pPr>
              <w:spacing w:after="0" w:line="240" w:lineRule="auto"/>
              <w:jc w:val="both"/>
              <w:rPr>
                <w:rFonts w:ascii="Arial" w:eastAsia="Calibri" w:hAnsi="Arial" w:cs="Arial"/>
                <w:b/>
                <w:bCs/>
                <w:sz w:val="20"/>
                <w:szCs w:val="20"/>
              </w:rPr>
            </w:pPr>
            <w:r w:rsidRPr="009C2B95">
              <w:rPr>
                <w:rFonts w:ascii="Arial" w:eastAsia="Calibri" w:hAnsi="Arial" w:cs="Arial"/>
                <w:b/>
                <w:bCs/>
                <w:sz w:val="20"/>
                <w:szCs w:val="20"/>
              </w:rPr>
              <w:t>DO (mg/L)</w:t>
            </w:r>
          </w:p>
        </w:tc>
        <w:tc>
          <w:tcPr>
            <w:tcW w:w="1444" w:type="dxa"/>
            <w:tcBorders>
              <w:top w:val="single" w:sz="4" w:space="0" w:color="auto"/>
              <w:bottom w:val="single" w:sz="4" w:space="0" w:color="auto"/>
            </w:tcBorders>
            <w:vAlign w:val="center"/>
          </w:tcPr>
          <w:p w14:paraId="4376D1FD" w14:textId="77777777" w:rsidR="009C2B95" w:rsidRPr="009C2B95" w:rsidRDefault="009C2B95" w:rsidP="009C2B95">
            <w:pPr>
              <w:spacing w:after="0" w:line="240" w:lineRule="auto"/>
              <w:jc w:val="both"/>
              <w:rPr>
                <w:rFonts w:ascii="Arial" w:eastAsia="Calibri" w:hAnsi="Arial" w:cs="Arial"/>
                <w:b/>
                <w:bCs/>
                <w:sz w:val="20"/>
                <w:szCs w:val="20"/>
              </w:rPr>
            </w:pPr>
            <w:r w:rsidRPr="009C2B95">
              <w:rPr>
                <w:rFonts w:ascii="Arial" w:eastAsia="Calibri" w:hAnsi="Arial" w:cs="Arial"/>
                <w:b/>
                <w:bCs/>
                <w:sz w:val="20"/>
                <w:szCs w:val="20"/>
              </w:rPr>
              <w:t>EC (</w:t>
            </w:r>
            <w:proofErr w:type="spellStart"/>
            <w:r w:rsidRPr="009C2B95">
              <w:rPr>
                <w:rFonts w:ascii="Arial" w:eastAsia="Calibri" w:hAnsi="Arial" w:cs="Arial"/>
                <w:b/>
                <w:bCs/>
                <w:sz w:val="20"/>
                <w:szCs w:val="20"/>
              </w:rPr>
              <w:t>mS</w:t>
            </w:r>
            <w:proofErr w:type="spellEnd"/>
            <w:r w:rsidRPr="009C2B95">
              <w:rPr>
                <w:rFonts w:ascii="Arial" w:eastAsia="Calibri" w:hAnsi="Arial" w:cs="Arial"/>
                <w:b/>
                <w:bCs/>
                <w:sz w:val="20"/>
                <w:szCs w:val="20"/>
              </w:rPr>
              <w:t>/cm)</w:t>
            </w:r>
          </w:p>
        </w:tc>
        <w:tc>
          <w:tcPr>
            <w:tcW w:w="1445" w:type="dxa"/>
            <w:tcBorders>
              <w:top w:val="single" w:sz="4" w:space="0" w:color="auto"/>
              <w:bottom w:val="single" w:sz="4" w:space="0" w:color="auto"/>
            </w:tcBorders>
            <w:vAlign w:val="center"/>
          </w:tcPr>
          <w:p w14:paraId="4062B432" w14:textId="77777777" w:rsidR="009C2B95" w:rsidRPr="009C2B95" w:rsidRDefault="009C2B95" w:rsidP="009C2B95">
            <w:pPr>
              <w:spacing w:after="0" w:line="240" w:lineRule="auto"/>
              <w:jc w:val="both"/>
              <w:rPr>
                <w:rFonts w:ascii="Arial" w:eastAsia="Calibri" w:hAnsi="Arial" w:cs="Arial"/>
                <w:b/>
                <w:bCs/>
                <w:sz w:val="20"/>
                <w:szCs w:val="20"/>
              </w:rPr>
            </w:pPr>
            <w:proofErr w:type="spellStart"/>
            <w:r w:rsidRPr="009C2B95">
              <w:rPr>
                <w:rFonts w:ascii="Arial" w:eastAsia="Calibri" w:hAnsi="Arial" w:cs="Arial"/>
                <w:b/>
                <w:bCs/>
                <w:sz w:val="20"/>
                <w:szCs w:val="20"/>
              </w:rPr>
              <w:t>Salinity</w:t>
            </w:r>
            <w:proofErr w:type="spellEnd"/>
          </w:p>
        </w:tc>
        <w:tc>
          <w:tcPr>
            <w:tcW w:w="1576" w:type="dxa"/>
            <w:tcBorders>
              <w:top w:val="single" w:sz="4" w:space="0" w:color="auto"/>
              <w:bottom w:val="single" w:sz="4" w:space="0" w:color="auto"/>
            </w:tcBorders>
            <w:vAlign w:val="center"/>
          </w:tcPr>
          <w:p w14:paraId="25A7C17A" w14:textId="77777777" w:rsidR="009C2B95" w:rsidRPr="009C2B95" w:rsidRDefault="009C2B95" w:rsidP="009C2B95">
            <w:pPr>
              <w:spacing w:after="0" w:line="240" w:lineRule="auto"/>
              <w:jc w:val="both"/>
              <w:rPr>
                <w:rFonts w:ascii="Arial" w:eastAsia="Calibri" w:hAnsi="Arial" w:cs="Arial"/>
                <w:b/>
                <w:bCs/>
                <w:sz w:val="20"/>
                <w:szCs w:val="20"/>
              </w:rPr>
            </w:pPr>
            <w:r w:rsidRPr="009C2B95">
              <w:rPr>
                <w:rFonts w:ascii="Arial" w:eastAsia="Calibri" w:hAnsi="Arial" w:cs="Arial"/>
                <w:b/>
                <w:bCs/>
                <w:sz w:val="20"/>
                <w:szCs w:val="20"/>
              </w:rPr>
              <w:t>Eh (mV)</w:t>
            </w:r>
          </w:p>
        </w:tc>
      </w:tr>
      <w:tr w:rsidR="009C2B95" w:rsidRPr="009C2B95" w14:paraId="78844AC6" w14:textId="77777777" w:rsidTr="00D634C5">
        <w:trPr>
          <w:trHeight w:val="349"/>
          <w:jc w:val="center"/>
        </w:trPr>
        <w:tc>
          <w:tcPr>
            <w:tcW w:w="962" w:type="dxa"/>
            <w:tcBorders>
              <w:top w:val="single" w:sz="4" w:space="0" w:color="auto"/>
            </w:tcBorders>
            <w:vAlign w:val="center"/>
          </w:tcPr>
          <w:p w14:paraId="782718AD"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S1</w:t>
            </w:r>
          </w:p>
        </w:tc>
        <w:tc>
          <w:tcPr>
            <w:tcW w:w="1344" w:type="dxa"/>
            <w:tcBorders>
              <w:top w:val="single" w:sz="4" w:space="0" w:color="auto"/>
            </w:tcBorders>
            <w:vAlign w:val="center"/>
          </w:tcPr>
          <w:p w14:paraId="0EEA8E6D"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26.65 ±4.21</w:t>
            </w:r>
          </w:p>
        </w:tc>
        <w:tc>
          <w:tcPr>
            <w:tcW w:w="1236" w:type="dxa"/>
            <w:tcBorders>
              <w:top w:val="single" w:sz="4" w:space="0" w:color="auto"/>
            </w:tcBorders>
            <w:vAlign w:val="center"/>
          </w:tcPr>
          <w:p w14:paraId="57669C86"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6.91±0.51</w:t>
            </w:r>
          </w:p>
        </w:tc>
        <w:tc>
          <w:tcPr>
            <w:tcW w:w="1444" w:type="dxa"/>
            <w:tcBorders>
              <w:top w:val="single" w:sz="4" w:space="0" w:color="auto"/>
            </w:tcBorders>
            <w:vAlign w:val="center"/>
          </w:tcPr>
          <w:p w14:paraId="168FB1F9"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2.06±0.46</w:t>
            </w:r>
          </w:p>
        </w:tc>
        <w:tc>
          <w:tcPr>
            <w:tcW w:w="1444" w:type="dxa"/>
            <w:tcBorders>
              <w:top w:val="single" w:sz="4" w:space="0" w:color="auto"/>
            </w:tcBorders>
            <w:vAlign w:val="center"/>
          </w:tcPr>
          <w:p w14:paraId="21AB6983"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33.36±23.25</w:t>
            </w:r>
          </w:p>
        </w:tc>
        <w:tc>
          <w:tcPr>
            <w:tcW w:w="1445" w:type="dxa"/>
            <w:tcBorders>
              <w:top w:val="single" w:sz="4" w:space="0" w:color="auto"/>
            </w:tcBorders>
            <w:vAlign w:val="center"/>
          </w:tcPr>
          <w:p w14:paraId="47FB8814"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21.55±15.22</w:t>
            </w:r>
          </w:p>
        </w:tc>
        <w:tc>
          <w:tcPr>
            <w:tcW w:w="1576" w:type="dxa"/>
            <w:tcBorders>
              <w:top w:val="single" w:sz="4" w:space="0" w:color="auto"/>
            </w:tcBorders>
            <w:vAlign w:val="center"/>
          </w:tcPr>
          <w:p w14:paraId="17A037AB"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-24.87±38.48</w:t>
            </w:r>
          </w:p>
        </w:tc>
      </w:tr>
      <w:tr w:rsidR="009C2B95" w:rsidRPr="009C2B95" w14:paraId="565822FB" w14:textId="77777777" w:rsidTr="00D634C5">
        <w:trPr>
          <w:trHeight w:val="349"/>
          <w:jc w:val="center"/>
        </w:trPr>
        <w:tc>
          <w:tcPr>
            <w:tcW w:w="962" w:type="dxa"/>
            <w:vAlign w:val="center"/>
          </w:tcPr>
          <w:p w14:paraId="06357BDA"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S2</w:t>
            </w:r>
          </w:p>
        </w:tc>
        <w:tc>
          <w:tcPr>
            <w:tcW w:w="1344" w:type="dxa"/>
            <w:vAlign w:val="center"/>
          </w:tcPr>
          <w:p w14:paraId="4CDD1FA7"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27.38±5.21</w:t>
            </w:r>
          </w:p>
        </w:tc>
        <w:tc>
          <w:tcPr>
            <w:tcW w:w="1236" w:type="dxa"/>
            <w:vAlign w:val="center"/>
          </w:tcPr>
          <w:p w14:paraId="5A14321E"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7.54±0.84</w:t>
            </w:r>
          </w:p>
        </w:tc>
        <w:tc>
          <w:tcPr>
            <w:tcW w:w="1444" w:type="dxa"/>
            <w:vAlign w:val="center"/>
          </w:tcPr>
          <w:p w14:paraId="53D38AAE"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2.97±1.12</w:t>
            </w:r>
          </w:p>
        </w:tc>
        <w:tc>
          <w:tcPr>
            <w:tcW w:w="1444" w:type="dxa"/>
            <w:vAlign w:val="center"/>
          </w:tcPr>
          <w:p w14:paraId="757C109F"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38.18±9.17</w:t>
            </w:r>
          </w:p>
        </w:tc>
        <w:tc>
          <w:tcPr>
            <w:tcW w:w="1445" w:type="dxa"/>
            <w:vAlign w:val="center"/>
          </w:tcPr>
          <w:p w14:paraId="339694AE"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24.26±6.56</w:t>
            </w:r>
          </w:p>
        </w:tc>
        <w:tc>
          <w:tcPr>
            <w:tcW w:w="1576" w:type="dxa"/>
            <w:vAlign w:val="center"/>
          </w:tcPr>
          <w:p w14:paraId="32D2A6DC"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-23.95±48.44</w:t>
            </w:r>
          </w:p>
        </w:tc>
      </w:tr>
      <w:tr w:rsidR="009C2B95" w:rsidRPr="009C2B95" w14:paraId="55A8DF5E" w14:textId="77777777" w:rsidTr="00D634C5">
        <w:trPr>
          <w:trHeight w:val="373"/>
          <w:jc w:val="center"/>
        </w:trPr>
        <w:tc>
          <w:tcPr>
            <w:tcW w:w="962" w:type="dxa"/>
            <w:vAlign w:val="center"/>
          </w:tcPr>
          <w:p w14:paraId="0E42E7F4"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S3</w:t>
            </w:r>
          </w:p>
        </w:tc>
        <w:tc>
          <w:tcPr>
            <w:tcW w:w="1344" w:type="dxa"/>
            <w:vAlign w:val="center"/>
          </w:tcPr>
          <w:p w14:paraId="37C93D47"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30.49±1.98</w:t>
            </w:r>
          </w:p>
        </w:tc>
        <w:tc>
          <w:tcPr>
            <w:tcW w:w="1236" w:type="dxa"/>
            <w:vAlign w:val="center"/>
          </w:tcPr>
          <w:p w14:paraId="3E40AB21"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7.23±1.41</w:t>
            </w:r>
          </w:p>
        </w:tc>
        <w:tc>
          <w:tcPr>
            <w:tcW w:w="1444" w:type="dxa"/>
            <w:vAlign w:val="center"/>
          </w:tcPr>
          <w:p w14:paraId="51F1DEC3"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1.74±1.23</w:t>
            </w:r>
          </w:p>
        </w:tc>
        <w:tc>
          <w:tcPr>
            <w:tcW w:w="1444" w:type="dxa"/>
            <w:vAlign w:val="center"/>
          </w:tcPr>
          <w:p w14:paraId="46FBCD82"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31.19±10.85</w:t>
            </w:r>
          </w:p>
        </w:tc>
        <w:tc>
          <w:tcPr>
            <w:tcW w:w="1445" w:type="dxa"/>
            <w:vAlign w:val="center"/>
          </w:tcPr>
          <w:p w14:paraId="4507D8EE" w14:textId="77777777" w:rsidR="009C2B95" w:rsidRPr="009C2B95" w:rsidRDefault="005C36FD" w:rsidP="009C2B95">
            <w:pPr>
              <w:spacing w:after="0" w:line="240" w:lineRule="auto"/>
              <w:jc w:val="both"/>
              <w:rPr>
                <w:rFonts w:ascii="Arial" w:eastAsia="Calibri" w:hAnsi="Arial" w:cs="Arial"/>
                <w:sz w:val="20"/>
                <w:szCs w:val="20"/>
              </w:rPr>
            </w:pPr>
            <w:r>
              <w:rPr>
                <w:rFonts w:ascii="Arial" w:eastAsia="Calibri" w:hAnsi="Arial" w:cs="Arial"/>
                <w:sz w:val="20"/>
                <w:szCs w:val="20"/>
              </w:rPr>
              <w:t>19.</w:t>
            </w:r>
            <w:r w:rsidR="009C2B95" w:rsidRPr="009C2B95">
              <w:rPr>
                <w:rFonts w:ascii="Arial" w:eastAsia="Calibri" w:hAnsi="Arial" w:cs="Arial"/>
                <w:sz w:val="20"/>
                <w:szCs w:val="20"/>
              </w:rPr>
              <w:t>38±7.53</w:t>
            </w:r>
          </w:p>
        </w:tc>
        <w:tc>
          <w:tcPr>
            <w:tcW w:w="1576" w:type="dxa"/>
            <w:vAlign w:val="center"/>
          </w:tcPr>
          <w:p w14:paraId="591A0118"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-24.73±56.54</w:t>
            </w:r>
          </w:p>
        </w:tc>
      </w:tr>
      <w:tr w:rsidR="009C2B95" w:rsidRPr="009C2B95" w14:paraId="4A9E5CC6" w14:textId="77777777" w:rsidTr="00D634C5">
        <w:trPr>
          <w:trHeight w:val="349"/>
          <w:jc w:val="center"/>
        </w:trPr>
        <w:tc>
          <w:tcPr>
            <w:tcW w:w="962" w:type="dxa"/>
            <w:vAlign w:val="center"/>
          </w:tcPr>
          <w:p w14:paraId="4A8DF755"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S4</w:t>
            </w:r>
          </w:p>
        </w:tc>
        <w:tc>
          <w:tcPr>
            <w:tcW w:w="1344" w:type="dxa"/>
            <w:vAlign w:val="center"/>
          </w:tcPr>
          <w:p w14:paraId="43565E15"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29.97±2.23</w:t>
            </w:r>
          </w:p>
        </w:tc>
        <w:tc>
          <w:tcPr>
            <w:tcW w:w="1236" w:type="dxa"/>
            <w:vAlign w:val="center"/>
          </w:tcPr>
          <w:p w14:paraId="63641C2D"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7.56±1.18</w:t>
            </w:r>
          </w:p>
        </w:tc>
        <w:tc>
          <w:tcPr>
            <w:tcW w:w="1444" w:type="dxa"/>
            <w:vAlign w:val="center"/>
          </w:tcPr>
          <w:p w14:paraId="1299CE4E"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3.45±1.90</w:t>
            </w:r>
          </w:p>
        </w:tc>
        <w:tc>
          <w:tcPr>
            <w:tcW w:w="1444" w:type="dxa"/>
            <w:vAlign w:val="center"/>
          </w:tcPr>
          <w:p w14:paraId="318C45A7"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33.26±6.92</w:t>
            </w:r>
          </w:p>
        </w:tc>
        <w:tc>
          <w:tcPr>
            <w:tcW w:w="1445" w:type="dxa"/>
            <w:vAlign w:val="center"/>
          </w:tcPr>
          <w:p w14:paraId="6D58DDCC"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20.74±4.86</w:t>
            </w:r>
          </w:p>
        </w:tc>
        <w:tc>
          <w:tcPr>
            <w:tcW w:w="1576" w:type="dxa"/>
            <w:vAlign w:val="center"/>
          </w:tcPr>
          <w:p w14:paraId="0541DBEA"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-31.05±62.00</w:t>
            </w:r>
          </w:p>
        </w:tc>
      </w:tr>
      <w:tr w:rsidR="009C2B95" w:rsidRPr="009C2B95" w14:paraId="49294B58" w14:textId="77777777" w:rsidTr="00D634C5">
        <w:trPr>
          <w:trHeight w:val="349"/>
          <w:jc w:val="center"/>
        </w:trPr>
        <w:tc>
          <w:tcPr>
            <w:tcW w:w="962" w:type="dxa"/>
            <w:vAlign w:val="center"/>
          </w:tcPr>
          <w:p w14:paraId="3859FDAF"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S5</w:t>
            </w:r>
          </w:p>
        </w:tc>
        <w:tc>
          <w:tcPr>
            <w:tcW w:w="1344" w:type="dxa"/>
            <w:vAlign w:val="center"/>
          </w:tcPr>
          <w:p w14:paraId="6F65EFAC"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30.87±2.10</w:t>
            </w:r>
          </w:p>
        </w:tc>
        <w:tc>
          <w:tcPr>
            <w:tcW w:w="1236" w:type="dxa"/>
            <w:vAlign w:val="center"/>
          </w:tcPr>
          <w:p w14:paraId="34A8962B"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7.36±1.03</w:t>
            </w:r>
          </w:p>
        </w:tc>
        <w:tc>
          <w:tcPr>
            <w:tcW w:w="1444" w:type="dxa"/>
            <w:vAlign w:val="center"/>
          </w:tcPr>
          <w:p w14:paraId="4295ACB0"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1.75±0.66</w:t>
            </w:r>
          </w:p>
        </w:tc>
        <w:tc>
          <w:tcPr>
            <w:tcW w:w="1444" w:type="dxa"/>
            <w:vAlign w:val="center"/>
          </w:tcPr>
          <w:p w14:paraId="030EB734"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32.35±4.84</w:t>
            </w:r>
          </w:p>
        </w:tc>
        <w:tc>
          <w:tcPr>
            <w:tcW w:w="1445" w:type="dxa"/>
            <w:vAlign w:val="center"/>
          </w:tcPr>
          <w:p w14:paraId="66970281"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20.07±3.39</w:t>
            </w:r>
          </w:p>
        </w:tc>
        <w:tc>
          <w:tcPr>
            <w:tcW w:w="1576" w:type="dxa"/>
            <w:vAlign w:val="center"/>
          </w:tcPr>
          <w:p w14:paraId="4A480D0B"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-28.05±53.56</w:t>
            </w:r>
          </w:p>
        </w:tc>
      </w:tr>
      <w:tr w:rsidR="009C2B95" w:rsidRPr="009C2B95" w14:paraId="553A34F7" w14:textId="77777777" w:rsidTr="00D634C5">
        <w:trPr>
          <w:trHeight w:val="373"/>
          <w:jc w:val="center"/>
        </w:trPr>
        <w:tc>
          <w:tcPr>
            <w:tcW w:w="962" w:type="dxa"/>
            <w:vAlign w:val="center"/>
          </w:tcPr>
          <w:p w14:paraId="503C3B78"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S6</w:t>
            </w:r>
          </w:p>
        </w:tc>
        <w:tc>
          <w:tcPr>
            <w:tcW w:w="1344" w:type="dxa"/>
            <w:vAlign w:val="center"/>
          </w:tcPr>
          <w:p w14:paraId="31C255E4"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31.30±2.53</w:t>
            </w:r>
          </w:p>
        </w:tc>
        <w:tc>
          <w:tcPr>
            <w:tcW w:w="1236" w:type="dxa"/>
            <w:vAlign w:val="center"/>
          </w:tcPr>
          <w:p w14:paraId="0765E9DE"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7.47±1.10</w:t>
            </w:r>
          </w:p>
        </w:tc>
        <w:tc>
          <w:tcPr>
            <w:tcW w:w="1444" w:type="dxa"/>
            <w:vAlign w:val="center"/>
          </w:tcPr>
          <w:p w14:paraId="6BC99B8C"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2.56±0.74</w:t>
            </w:r>
          </w:p>
        </w:tc>
        <w:tc>
          <w:tcPr>
            <w:tcW w:w="1444" w:type="dxa"/>
            <w:vAlign w:val="center"/>
          </w:tcPr>
          <w:p w14:paraId="30614904"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33.82±6.68</w:t>
            </w:r>
          </w:p>
        </w:tc>
        <w:tc>
          <w:tcPr>
            <w:tcW w:w="1445" w:type="dxa"/>
            <w:vAlign w:val="center"/>
          </w:tcPr>
          <w:p w14:paraId="1F3ADB5F"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21.09±4.68</w:t>
            </w:r>
          </w:p>
        </w:tc>
        <w:tc>
          <w:tcPr>
            <w:tcW w:w="1576" w:type="dxa"/>
            <w:vAlign w:val="center"/>
          </w:tcPr>
          <w:p w14:paraId="2FFE98D7"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-33.47±59.05</w:t>
            </w:r>
          </w:p>
        </w:tc>
      </w:tr>
      <w:tr w:rsidR="009C2B95" w:rsidRPr="009C2B95" w14:paraId="139E1E3B" w14:textId="77777777" w:rsidTr="00D634C5">
        <w:trPr>
          <w:trHeight w:val="125"/>
          <w:jc w:val="center"/>
        </w:trPr>
        <w:tc>
          <w:tcPr>
            <w:tcW w:w="962" w:type="dxa"/>
            <w:vAlign w:val="center"/>
          </w:tcPr>
          <w:p w14:paraId="350EBECC"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S7</w:t>
            </w:r>
          </w:p>
        </w:tc>
        <w:tc>
          <w:tcPr>
            <w:tcW w:w="1344" w:type="dxa"/>
            <w:vAlign w:val="center"/>
          </w:tcPr>
          <w:p w14:paraId="11BA7480"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30.18±1.43</w:t>
            </w:r>
          </w:p>
        </w:tc>
        <w:tc>
          <w:tcPr>
            <w:tcW w:w="1236" w:type="dxa"/>
            <w:vAlign w:val="center"/>
          </w:tcPr>
          <w:p w14:paraId="3914048E"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7.34±1.15</w:t>
            </w:r>
          </w:p>
        </w:tc>
        <w:tc>
          <w:tcPr>
            <w:tcW w:w="1444" w:type="dxa"/>
            <w:vAlign w:val="center"/>
          </w:tcPr>
          <w:p w14:paraId="4FFF7BF3"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2.14±1.83</w:t>
            </w:r>
          </w:p>
        </w:tc>
        <w:tc>
          <w:tcPr>
            <w:tcW w:w="1444" w:type="dxa"/>
            <w:vAlign w:val="center"/>
          </w:tcPr>
          <w:p w14:paraId="1742F43E"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33.26±8.26</w:t>
            </w:r>
          </w:p>
        </w:tc>
        <w:tc>
          <w:tcPr>
            <w:tcW w:w="1445" w:type="dxa"/>
            <w:vAlign w:val="center"/>
          </w:tcPr>
          <w:p w14:paraId="7EA0B5A0"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20.76±5.69</w:t>
            </w:r>
          </w:p>
        </w:tc>
        <w:tc>
          <w:tcPr>
            <w:tcW w:w="1576" w:type="dxa"/>
            <w:vAlign w:val="center"/>
          </w:tcPr>
          <w:p w14:paraId="7664C9C9" w14:textId="77777777" w:rsidR="009C2B95" w:rsidRPr="009C2B95" w:rsidRDefault="009C2B95" w:rsidP="009C2B95">
            <w:pPr>
              <w:spacing w:after="0" w:line="240" w:lineRule="auto"/>
              <w:jc w:val="both"/>
              <w:rPr>
                <w:rFonts w:ascii="Arial" w:eastAsia="Calibri" w:hAnsi="Arial" w:cs="Arial"/>
                <w:sz w:val="20"/>
                <w:szCs w:val="20"/>
              </w:rPr>
            </w:pPr>
            <w:r w:rsidRPr="009C2B95">
              <w:rPr>
                <w:rFonts w:ascii="Arial" w:eastAsia="Calibri" w:hAnsi="Arial" w:cs="Arial"/>
                <w:sz w:val="20"/>
                <w:szCs w:val="20"/>
              </w:rPr>
              <w:t>-8.87±45.48</w:t>
            </w:r>
          </w:p>
        </w:tc>
      </w:tr>
      <w:tr w:rsidR="009C2B95" w:rsidRPr="009C2B95" w14:paraId="5FE8815E" w14:textId="77777777" w:rsidTr="00D634C5">
        <w:trPr>
          <w:trHeight w:val="373"/>
          <w:jc w:val="center"/>
        </w:trPr>
        <w:tc>
          <w:tcPr>
            <w:tcW w:w="962" w:type="dxa"/>
            <w:tcBorders>
              <w:bottom w:val="single" w:sz="4" w:space="0" w:color="auto"/>
            </w:tcBorders>
            <w:vAlign w:val="center"/>
          </w:tcPr>
          <w:p w14:paraId="33FA7ACD" w14:textId="77777777" w:rsidR="009C2B95" w:rsidRPr="009C2B95" w:rsidRDefault="009C2B95" w:rsidP="009C2B95">
            <w:pPr>
              <w:tabs>
                <w:tab w:val="right" w:pos="1865"/>
              </w:tabs>
              <w:spacing w:after="0" w:line="240" w:lineRule="auto"/>
              <w:jc w:val="both"/>
              <w:rPr>
                <w:rFonts w:ascii="Arial" w:eastAsia="Calibri" w:hAnsi="Arial" w:cs="Arial"/>
                <w:bCs/>
                <w:sz w:val="20"/>
                <w:szCs w:val="20"/>
              </w:rPr>
            </w:pPr>
            <w:proofErr w:type="spellStart"/>
            <w:r w:rsidRPr="009C2B95">
              <w:rPr>
                <w:rFonts w:ascii="Arial" w:eastAsia="Calibri" w:hAnsi="Arial" w:cs="Arial"/>
                <w:bCs/>
                <w:sz w:val="20"/>
                <w:szCs w:val="20"/>
              </w:rPr>
              <w:t>Mean</w:t>
            </w:r>
            <w:proofErr w:type="spellEnd"/>
          </w:p>
        </w:tc>
        <w:tc>
          <w:tcPr>
            <w:tcW w:w="1344" w:type="dxa"/>
            <w:tcBorders>
              <w:bottom w:val="single" w:sz="4" w:space="0" w:color="auto"/>
            </w:tcBorders>
            <w:vAlign w:val="center"/>
          </w:tcPr>
          <w:p w14:paraId="2B45DB3F"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29.55±1.37</w:t>
            </w:r>
          </w:p>
        </w:tc>
        <w:tc>
          <w:tcPr>
            <w:tcW w:w="1236" w:type="dxa"/>
            <w:tcBorders>
              <w:bottom w:val="single" w:sz="4" w:space="0" w:color="auto"/>
            </w:tcBorders>
            <w:vAlign w:val="center"/>
          </w:tcPr>
          <w:p w14:paraId="31F8D262" w14:textId="77777777" w:rsidR="009C2B95" w:rsidRPr="009C2B95" w:rsidRDefault="009C2B95" w:rsidP="009C2B95">
            <w:pPr>
              <w:spacing w:after="0" w:line="240" w:lineRule="auto"/>
              <w:jc w:val="both"/>
              <w:rPr>
                <w:rFonts w:ascii="Arial" w:eastAsia="Calibri" w:hAnsi="Arial" w:cs="Arial"/>
                <w:bCs/>
                <w:sz w:val="20"/>
                <w:szCs w:val="20"/>
              </w:rPr>
            </w:pPr>
            <w:r w:rsidRPr="009C2B95">
              <w:rPr>
                <w:rFonts w:ascii="Arial" w:eastAsia="Calibri" w:hAnsi="Arial" w:cs="Arial"/>
                <w:bCs/>
                <w:sz w:val="20"/>
                <w:szCs w:val="20"/>
              </w:rPr>
              <w:t>7.19 ± 0.36</w:t>
            </w:r>
          </w:p>
        </w:tc>
        <w:tc>
          <w:tcPr>
            <w:tcW w:w="1444" w:type="dxa"/>
            <w:tcBorders>
              <w:bottom w:val="single" w:sz="4" w:space="0" w:color="auto"/>
            </w:tcBorders>
            <w:vAlign w:val="center"/>
          </w:tcPr>
          <w:p w14:paraId="31ABD2EB"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2.38±0.57</w:t>
            </w:r>
          </w:p>
        </w:tc>
        <w:tc>
          <w:tcPr>
            <w:tcW w:w="1444" w:type="dxa"/>
            <w:tcBorders>
              <w:bottom w:val="single" w:sz="4" w:space="0" w:color="auto"/>
            </w:tcBorders>
            <w:vAlign w:val="center"/>
          </w:tcPr>
          <w:p w14:paraId="27C748A1" w14:textId="77777777" w:rsidR="009C2B95" w:rsidRPr="009C2B95" w:rsidRDefault="009C2B95" w:rsidP="009C2B95">
            <w:pPr>
              <w:spacing w:after="0" w:line="240" w:lineRule="auto"/>
              <w:jc w:val="both"/>
              <w:rPr>
                <w:rFonts w:ascii="Arial" w:eastAsia="Calibri" w:hAnsi="Arial" w:cs="Arial"/>
                <w:color w:val="000000"/>
                <w:sz w:val="20"/>
                <w:szCs w:val="20"/>
              </w:rPr>
            </w:pPr>
            <w:r w:rsidRPr="009C2B95">
              <w:rPr>
                <w:rFonts w:ascii="Arial" w:eastAsia="Calibri" w:hAnsi="Arial" w:cs="Arial"/>
                <w:color w:val="000000"/>
                <w:sz w:val="20"/>
                <w:szCs w:val="20"/>
              </w:rPr>
              <w:t>33.63±6.15</w:t>
            </w:r>
          </w:p>
        </w:tc>
        <w:tc>
          <w:tcPr>
            <w:tcW w:w="1445" w:type="dxa"/>
            <w:tcBorders>
              <w:bottom w:val="single" w:sz="4" w:space="0" w:color="auto"/>
            </w:tcBorders>
            <w:vAlign w:val="center"/>
          </w:tcPr>
          <w:p w14:paraId="233A185D" w14:textId="77777777" w:rsidR="009C2B95" w:rsidRPr="009C2B95" w:rsidRDefault="009C2B95" w:rsidP="009C2B95">
            <w:pPr>
              <w:spacing w:after="0" w:line="240" w:lineRule="auto"/>
              <w:jc w:val="both"/>
              <w:rPr>
                <w:rFonts w:ascii="Arial" w:eastAsia="Calibri" w:hAnsi="Arial" w:cs="Arial"/>
                <w:bCs/>
                <w:sz w:val="20"/>
                <w:szCs w:val="20"/>
              </w:rPr>
            </w:pPr>
            <w:r w:rsidRPr="009C2B95">
              <w:rPr>
                <w:rFonts w:ascii="Arial" w:eastAsia="Calibri" w:hAnsi="Arial" w:cs="Arial"/>
                <w:bCs/>
                <w:sz w:val="20"/>
                <w:szCs w:val="20"/>
              </w:rPr>
              <w:t>20.56 ± 2.03</w:t>
            </w:r>
          </w:p>
        </w:tc>
        <w:tc>
          <w:tcPr>
            <w:tcW w:w="1576" w:type="dxa"/>
            <w:tcBorders>
              <w:bottom w:val="single" w:sz="4" w:space="0" w:color="auto"/>
            </w:tcBorders>
            <w:vAlign w:val="center"/>
          </w:tcPr>
          <w:p w14:paraId="06C57364" w14:textId="77777777" w:rsidR="009C2B95" w:rsidRPr="009C2B95" w:rsidRDefault="009C2B95" w:rsidP="009C2B95">
            <w:pPr>
              <w:spacing w:after="0" w:line="240" w:lineRule="auto"/>
              <w:jc w:val="both"/>
              <w:rPr>
                <w:rFonts w:ascii="Arial" w:eastAsia="Calibri" w:hAnsi="Arial" w:cs="Arial"/>
                <w:bCs/>
                <w:sz w:val="20"/>
                <w:szCs w:val="20"/>
              </w:rPr>
            </w:pPr>
            <w:r w:rsidRPr="009C2B95">
              <w:rPr>
                <w:rFonts w:ascii="Arial" w:eastAsia="Calibri" w:hAnsi="Arial" w:cs="Arial"/>
                <w:bCs/>
                <w:sz w:val="20"/>
                <w:szCs w:val="20"/>
              </w:rPr>
              <w:t>-23.30 ± 9.78</w:t>
            </w:r>
          </w:p>
        </w:tc>
      </w:tr>
    </w:tbl>
    <w:p w14:paraId="75B7DC45" w14:textId="77777777" w:rsidR="009C2B95" w:rsidRDefault="009C2B95" w:rsidP="009C2B95">
      <w:pPr>
        <w:spacing w:after="0" w:line="240" w:lineRule="auto"/>
        <w:jc w:val="both"/>
        <w:rPr>
          <w:rFonts w:ascii="Arial" w:hAnsi="Arial" w:cs="Arial"/>
          <w:sz w:val="18"/>
          <w:szCs w:val="20"/>
          <w:lang w:val="en-GB"/>
        </w:rPr>
      </w:pPr>
      <w:r w:rsidRPr="009C2B95">
        <w:rPr>
          <w:rFonts w:ascii="Arial" w:hAnsi="Arial" w:cs="Arial"/>
          <w:i/>
          <w:sz w:val="18"/>
          <w:szCs w:val="20"/>
          <w:lang w:val="en-GB"/>
        </w:rPr>
        <w:t>Values are expressed as mean ± standard deviation; T: temperature; DO: dissolved oxygen; EC: electrical conductivity; Eh: redox potential.</w:t>
      </w:r>
    </w:p>
    <w:p w14:paraId="2C468DA6" w14:textId="77777777" w:rsidR="002701E9" w:rsidRDefault="002701E9" w:rsidP="009C2B95">
      <w:pPr>
        <w:spacing w:after="0" w:line="240" w:lineRule="auto"/>
        <w:jc w:val="both"/>
        <w:rPr>
          <w:rFonts w:ascii="Arial" w:hAnsi="Arial" w:cs="Arial"/>
          <w:sz w:val="20"/>
          <w:szCs w:val="20"/>
          <w:lang w:val="en-GB"/>
        </w:rPr>
      </w:pPr>
    </w:p>
    <w:p w14:paraId="29B4E74F" w14:textId="77777777" w:rsidR="002701E9" w:rsidRPr="002701E9" w:rsidRDefault="005C36FD" w:rsidP="002701E9">
      <w:pPr>
        <w:spacing w:after="0" w:line="240" w:lineRule="auto"/>
        <w:jc w:val="both"/>
        <w:rPr>
          <w:rFonts w:ascii="Arial" w:hAnsi="Arial" w:cs="Arial"/>
          <w:b/>
          <w:sz w:val="20"/>
          <w:szCs w:val="20"/>
          <w:u w:val="single"/>
          <w:lang w:val="en-GB"/>
        </w:rPr>
      </w:pPr>
      <w:r>
        <w:rPr>
          <w:rFonts w:ascii="Arial" w:hAnsi="Arial" w:cs="Arial"/>
          <w:b/>
          <w:sz w:val="20"/>
          <w:szCs w:val="20"/>
          <w:u w:val="single"/>
          <w:lang w:val="en-GB"/>
        </w:rPr>
        <w:t>3.1.2 Physicochemical parameters of surface s</w:t>
      </w:r>
      <w:r w:rsidR="002701E9" w:rsidRPr="002701E9">
        <w:rPr>
          <w:rFonts w:ascii="Arial" w:hAnsi="Arial" w:cs="Arial"/>
          <w:b/>
          <w:sz w:val="20"/>
          <w:szCs w:val="20"/>
          <w:u w:val="single"/>
          <w:lang w:val="en-GB"/>
        </w:rPr>
        <w:t>ediments</w:t>
      </w:r>
    </w:p>
    <w:p w14:paraId="1C1A788D" w14:textId="77777777" w:rsidR="002701E9" w:rsidRPr="002701E9" w:rsidRDefault="002701E9" w:rsidP="002701E9">
      <w:pPr>
        <w:spacing w:after="0" w:line="240" w:lineRule="auto"/>
        <w:jc w:val="both"/>
        <w:rPr>
          <w:rFonts w:ascii="Arial" w:hAnsi="Arial" w:cs="Arial"/>
          <w:sz w:val="20"/>
          <w:szCs w:val="20"/>
          <w:lang w:val="en-GB"/>
        </w:rPr>
      </w:pPr>
    </w:p>
    <w:p w14:paraId="3E8F6B33" w14:textId="77777777" w:rsidR="00B14673" w:rsidRPr="00B14673" w:rsidRDefault="002701E9" w:rsidP="002701E9">
      <w:pPr>
        <w:spacing w:after="0" w:line="240" w:lineRule="auto"/>
        <w:jc w:val="both"/>
        <w:rPr>
          <w:rFonts w:ascii="Arial" w:hAnsi="Arial" w:cs="Arial"/>
          <w:sz w:val="20"/>
          <w:szCs w:val="20"/>
          <w:lang w:val="en-GB"/>
        </w:rPr>
      </w:pPr>
      <w:r>
        <w:rPr>
          <w:rFonts w:ascii="Arial" w:hAnsi="Arial" w:cs="Arial"/>
          <w:sz w:val="20"/>
          <w:szCs w:val="20"/>
          <w:lang w:val="en-GB"/>
        </w:rPr>
        <w:t xml:space="preserve">The average values </w:t>
      </w:r>
      <w:r w:rsidRPr="002701E9">
        <w:rPr>
          <w:rFonts w:ascii="Arial" w:hAnsi="Arial" w:cs="Arial"/>
          <w:sz w:val="20"/>
          <w:szCs w:val="20"/>
          <w:lang w:val="en-GB"/>
        </w:rPr>
        <w:t xml:space="preserve">of the physicochemical parameters of the sediments, measured at the various </w:t>
      </w:r>
      <w:r w:rsidR="00B14673">
        <w:rPr>
          <w:rFonts w:ascii="Arial" w:hAnsi="Arial" w:cs="Arial"/>
          <w:sz w:val="20"/>
          <w:szCs w:val="20"/>
          <w:lang w:val="en-GB"/>
        </w:rPr>
        <w:t>stations, are shown in Table 3.</w:t>
      </w:r>
    </w:p>
    <w:p w14:paraId="1F10634A" w14:textId="77777777" w:rsidR="00B14673" w:rsidRDefault="00B14673" w:rsidP="002701E9">
      <w:pPr>
        <w:spacing w:after="0" w:line="240" w:lineRule="auto"/>
        <w:jc w:val="both"/>
        <w:rPr>
          <w:rFonts w:ascii="Arial" w:hAnsi="Arial" w:cs="Arial"/>
          <w:b/>
          <w:sz w:val="20"/>
          <w:szCs w:val="20"/>
          <w:lang w:val="en-GB"/>
        </w:rPr>
      </w:pPr>
    </w:p>
    <w:p w14:paraId="52BDC69A" w14:textId="77777777" w:rsidR="002701E9" w:rsidRDefault="000B0823" w:rsidP="002701E9">
      <w:pPr>
        <w:spacing w:after="0" w:line="240" w:lineRule="auto"/>
        <w:jc w:val="both"/>
        <w:rPr>
          <w:rFonts w:ascii="Arial" w:hAnsi="Arial" w:cs="Arial"/>
          <w:b/>
          <w:sz w:val="20"/>
          <w:szCs w:val="20"/>
          <w:lang w:val="en-GB"/>
        </w:rPr>
      </w:pPr>
      <w:r>
        <w:rPr>
          <w:rFonts w:ascii="Arial" w:hAnsi="Arial" w:cs="Arial"/>
          <w:b/>
          <w:sz w:val="20"/>
          <w:szCs w:val="20"/>
          <w:lang w:val="en-GB"/>
        </w:rPr>
        <w:t>Table 3. Physicochemical p</w:t>
      </w:r>
      <w:r w:rsidR="002701E9" w:rsidRPr="002701E9">
        <w:rPr>
          <w:rFonts w:ascii="Arial" w:hAnsi="Arial" w:cs="Arial"/>
          <w:b/>
          <w:sz w:val="20"/>
          <w:szCs w:val="20"/>
          <w:lang w:val="en-GB"/>
        </w:rPr>
        <w:t>aram</w:t>
      </w:r>
      <w:r>
        <w:rPr>
          <w:rFonts w:ascii="Arial" w:hAnsi="Arial" w:cs="Arial"/>
          <w:b/>
          <w:sz w:val="20"/>
          <w:szCs w:val="20"/>
          <w:lang w:val="en-GB"/>
        </w:rPr>
        <w:t>eters of surface s</w:t>
      </w:r>
      <w:r w:rsidR="002701E9" w:rsidRPr="002701E9">
        <w:rPr>
          <w:rFonts w:ascii="Arial" w:hAnsi="Arial" w:cs="Arial"/>
          <w:b/>
          <w:sz w:val="20"/>
          <w:szCs w:val="20"/>
          <w:lang w:val="en-GB"/>
        </w:rPr>
        <w:t>ediments</w:t>
      </w:r>
    </w:p>
    <w:p w14:paraId="5578EF0A" w14:textId="77777777" w:rsidR="00B14673" w:rsidRDefault="00B14673" w:rsidP="002701E9">
      <w:pPr>
        <w:spacing w:after="0" w:line="240" w:lineRule="auto"/>
        <w:jc w:val="both"/>
        <w:rPr>
          <w:rFonts w:ascii="Arial" w:hAnsi="Arial" w:cs="Arial"/>
          <w:b/>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B14673" w14:paraId="59EE350A" w14:textId="77777777" w:rsidTr="00B14673">
        <w:trPr>
          <w:jc w:val="center"/>
        </w:trPr>
        <w:tc>
          <w:tcPr>
            <w:tcW w:w="2265" w:type="dxa"/>
            <w:tcBorders>
              <w:top w:val="single" w:sz="4" w:space="0" w:color="auto"/>
              <w:bottom w:val="single" w:sz="4" w:space="0" w:color="auto"/>
            </w:tcBorders>
            <w:vAlign w:val="center"/>
          </w:tcPr>
          <w:p w14:paraId="1B773E75" w14:textId="77777777" w:rsidR="00B14673" w:rsidRDefault="00B14673" w:rsidP="00B14673">
            <w:pPr>
              <w:rPr>
                <w:rFonts w:ascii="Arial" w:eastAsia="Calibri" w:hAnsi="Arial" w:cs="Arial"/>
                <w:b/>
                <w:sz w:val="20"/>
                <w:szCs w:val="20"/>
              </w:rPr>
            </w:pPr>
            <w:r>
              <w:rPr>
                <w:rFonts w:ascii="Arial" w:eastAsia="Calibri" w:hAnsi="Arial" w:cs="Arial"/>
                <w:b/>
                <w:sz w:val="20"/>
                <w:szCs w:val="20"/>
              </w:rPr>
              <w:t>Station</w:t>
            </w:r>
          </w:p>
        </w:tc>
        <w:tc>
          <w:tcPr>
            <w:tcW w:w="2265" w:type="dxa"/>
            <w:tcBorders>
              <w:top w:val="single" w:sz="4" w:space="0" w:color="auto"/>
              <w:bottom w:val="single" w:sz="4" w:space="0" w:color="auto"/>
            </w:tcBorders>
            <w:vAlign w:val="center"/>
          </w:tcPr>
          <w:p w14:paraId="48A3D097" w14:textId="77777777" w:rsidR="00B14673" w:rsidRDefault="00B14673" w:rsidP="00B14673">
            <w:pPr>
              <w:tabs>
                <w:tab w:val="left" w:pos="960"/>
              </w:tabs>
              <w:rPr>
                <w:rFonts w:ascii="Arial" w:eastAsia="Calibri" w:hAnsi="Arial" w:cs="Arial"/>
                <w:b/>
                <w:sz w:val="20"/>
                <w:szCs w:val="20"/>
              </w:rPr>
            </w:pPr>
            <w:r>
              <w:rPr>
                <w:rFonts w:ascii="Arial" w:eastAsia="Calibri" w:hAnsi="Arial" w:cs="Arial"/>
                <w:b/>
                <w:sz w:val="20"/>
                <w:szCs w:val="20"/>
              </w:rPr>
              <w:t>W (%)</w:t>
            </w:r>
          </w:p>
        </w:tc>
        <w:tc>
          <w:tcPr>
            <w:tcW w:w="2266" w:type="dxa"/>
            <w:tcBorders>
              <w:top w:val="single" w:sz="4" w:space="0" w:color="auto"/>
              <w:bottom w:val="single" w:sz="4" w:space="0" w:color="auto"/>
            </w:tcBorders>
            <w:vAlign w:val="center"/>
          </w:tcPr>
          <w:p w14:paraId="4F8612A3" w14:textId="77777777" w:rsidR="00B14673" w:rsidRDefault="00B14673" w:rsidP="00B14673">
            <w:pPr>
              <w:rPr>
                <w:rFonts w:ascii="Arial" w:eastAsia="Calibri" w:hAnsi="Arial" w:cs="Arial"/>
                <w:b/>
                <w:sz w:val="20"/>
                <w:szCs w:val="20"/>
              </w:rPr>
            </w:pPr>
            <w:r>
              <w:rPr>
                <w:rFonts w:ascii="Arial" w:eastAsia="Calibri" w:hAnsi="Arial" w:cs="Arial"/>
                <w:b/>
                <w:sz w:val="20"/>
                <w:szCs w:val="20"/>
              </w:rPr>
              <w:t>Ø (%)</w:t>
            </w:r>
          </w:p>
        </w:tc>
        <w:tc>
          <w:tcPr>
            <w:tcW w:w="2266" w:type="dxa"/>
            <w:tcBorders>
              <w:top w:val="single" w:sz="4" w:space="0" w:color="auto"/>
              <w:bottom w:val="single" w:sz="4" w:space="0" w:color="auto"/>
            </w:tcBorders>
            <w:vAlign w:val="center"/>
          </w:tcPr>
          <w:p w14:paraId="6585D2A0" w14:textId="77777777" w:rsidR="00B14673" w:rsidRDefault="00B14673" w:rsidP="00B14673">
            <w:pPr>
              <w:rPr>
                <w:rFonts w:ascii="Arial" w:eastAsia="Calibri" w:hAnsi="Arial" w:cs="Arial"/>
                <w:b/>
                <w:sz w:val="20"/>
                <w:szCs w:val="20"/>
              </w:rPr>
            </w:pPr>
            <w:r>
              <w:rPr>
                <w:rFonts w:ascii="Arial" w:eastAsia="Calibri" w:hAnsi="Arial" w:cs="Arial"/>
                <w:b/>
                <w:sz w:val="20"/>
                <w:szCs w:val="20"/>
              </w:rPr>
              <w:t>O.M (%)</w:t>
            </w:r>
          </w:p>
        </w:tc>
      </w:tr>
      <w:tr w:rsidR="00B14673" w14:paraId="2CB995DC" w14:textId="77777777" w:rsidTr="00B14673">
        <w:trPr>
          <w:jc w:val="center"/>
        </w:trPr>
        <w:tc>
          <w:tcPr>
            <w:tcW w:w="2265" w:type="dxa"/>
            <w:tcBorders>
              <w:top w:val="single" w:sz="4" w:space="0" w:color="auto"/>
            </w:tcBorders>
            <w:vAlign w:val="center"/>
          </w:tcPr>
          <w:p w14:paraId="2275B692" w14:textId="77777777" w:rsidR="00B14673" w:rsidRDefault="00B14673" w:rsidP="00B14673">
            <w:pPr>
              <w:rPr>
                <w:rFonts w:ascii="Arial" w:eastAsia="Calibri" w:hAnsi="Arial" w:cs="Arial"/>
                <w:sz w:val="20"/>
                <w:szCs w:val="20"/>
              </w:rPr>
            </w:pPr>
            <w:r>
              <w:rPr>
                <w:rFonts w:ascii="Arial" w:eastAsia="Calibri" w:hAnsi="Arial" w:cs="Arial"/>
                <w:sz w:val="20"/>
                <w:szCs w:val="20"/>
              </w:rPr>
              <w:t>S1</w:t>
            </w:r>
          </w:p>
        </w:tc>
        <w:tc>
          <w:tcPr>
            <w:tcW w:w="2265" w:type="dxa"/>
            <w:tcBorders>
              <w:top w:val="single" w:sz="4" w:space="0" w:color="auto"/>
            </w:tcBorders>
            <w:vAlign w:val="center"/>
          </w:tcPr>
          <w:p w14:paraId="18E9D522" w14:textId="77777777" w:rsidR="00B14673" w:rsidRDefault="00B14673" w:rsidP="00B14673">
            <w:pPr>
              <w:rPr>
                <w:rFonts w:ascii="Arial" w:eastAsia="Calibri" w:hAnsi="Arial" w:cs="Arial"/>
                <w:sz w:val="20"/>
                <w:szCs w:val="20"/>
              </w:rPr>
            </w:pPr>
            <w:r>
              <w:rPr>
                <w:rFonts w:ascii="Arial" w:eastAsia="Calibri" w:hAnsi="Arial" w:cs="Arial"/>
                <w:sz w:val="20"/>
                <w:szCs w:val="20"/>
              </w:rPr>
              <w:t>56.96 ± 42.42</w:t>
            </w:r>
          </w:p>
        </w:tc>
        <w:tc>
          <w:tcPr>
            <w:tcW w:w="2266" w:type="dxa"/>
            <w:tcBorders>
              <w:top w:val="single" w:sz="4" w:space="0" w:color="auto"/>
            </w:tcBorders>
            <w:vAlign w:val="center"/>
          </w:tcPr>
          <w:p w14:paraId="5DA247E0" w14:textId="77777777" w:rsidR="00B14673" w:rsidRDefault="00B14673" w:rsidP="00B14673">
            <w:pPr>
              <w:rPr>
                <w:rFonts w:ascii="Arial" w:eastAsia="Calibri" w:hAnsi="Arial" w:cs="Arial"/>
                <w:sz w:val="20"/>
                <w:szCs w:val="20"/>
              </w:rPr>
            </w:pPr>
            <w:r>
              <w:rPr>
                <w:rFonts w:ascii="Arial" w:eastAsia="Calibri" w:hAnsi="Arial" w:cs="Arial"/>
                <w:sz w:val="20"/>
                <w:szCs w:val="20"/>
              </w:rPr>
              <w:t>52.69 ± 13.97</w:t>
            </w:r>
          </w:p>
        </w:tc>
        <w:tc>
          <w:tcPr>
            <w:tcW w:w="2266" w:type="dxa"/>
            <w:tcBorders>
              <w:top w:val="single" w:sz="4" w:space="0" w:color="auto"/>
            </w:tcBorders>
            <w:vAlign w:val="center"/>
          </w:tcPr>
          <w:p w14:paraId="35AC4400" w14:textId="77777777" w:rsidR="00B14673" w:rsidRDefault="00B14673" w:rsidP="00B14673">
            <w:pPr>
              <w:rPr>
                <w:rFonts w:ascii="Arial" w:eastAsia="Calibri" w:hAnsi="Arial" w:cs="Arial"/>
                <w:sz w:val="20"/>
                <w:szCs w:val="20"/>
              </w:rPr>
            </w:pPr>
            <w:r>
              <w:rPr>
                <w:rFonts w:ascii="Arial" w:eastAsia="Calibri" w:hAnsi="Arial" w:cs="Arial"/>
                <w:sz w:val="20"/>
                <w:szCs w:val="20"/>
              </w:rPr>
              <w:t>12.15 ± 3.13</w:t>
            </w:r>
          </w:p>
        </w:tc>
      </w:tr>
      <w:tr w:rsidR="00B14673" w14:paraId="4B2E2009" w14:textId="77777777" w:rsidTr="00B14673">
        <w:trPr>
          <w:jc w:val="center"/>
        </w:trPr>
        <w:tc>
          <w:tcPr>
            <w:tcW w:w="2265" w:type="dxa"/>
            <w:vAlign w:val="center"/>
          </w:tcPr>
          <w:p w14:paraId="66B6D4F0" w14:textId="77777777" w:rsidR="00B14673" w:rsidRDefault="00B14673" w:rsidP="00B14673">
            <w:pPr>
              <w:rPr>
                <w:rFonts w:ascii="Arial" w:eastAsia="Calibri" w:hAnsi="Arial" w:cs="Arial"/>
                <w:sz w:val="20"/>
                <w:szCs w:val="20"/>
              </w:rPr>
            </w:pPr>
            <w:r>
              <w:rPr>
                <w:rFonts w:ascii="Arial" w:eastAsia="Calibri" w:hAnsi="Arial" w:cs="Arial"/>
                <w:sz w:val="20"/>
                <w:szCs w:val="20"/>
              </w:rPr>
              <w:t>S2</w:t>
            </w:r>
          </w:p>
        </w:tc>
        <w:tc>
          <w:tcPr>
            <w:tcW w:w="2265" w:type="dxa"/>
            <w:vAlign w:val="center"/>
          </w:tcPr>
          <w:p w14:paraId="0F13E7FD" w14:textId="77777777" w:rsidR="00B14673" w:rsidRDefault="00B14673" w:rsidP="00B14673">
            <w:pPr>
              <w:rPr>
                <w:rFonts w:ascii="Arial" w:eastAsia="Calibri" w:hAnsi="Arial" w:cs="Arial"/>
                <w:sz w:val="20"/>
                <w:szCs w:val="20"/>
              </w:rPr>
            </w:pPr>
            <w:r>
              <w:rPr>
                <w:rFonts w:ascii="Arial" w:eastAsia="Calibri" w:hAnsi="Arial" w:cs="Arial"/>
                <w:sz w:val="20"/>
                <w:szCs w:val="20"/>
              </w:rPr>
              <w:t>21.87 ± 5.54</w:t>
            </w:r>
          </w:p>
        </w:tc>
        <w:tc>
          <w:tcPr>
            <w:tcW w:w="2266" w:type="dxa"/>
            <w:vAlign w:val="center"/>
          </w:tcPr>
          <w:p w14:paraId="09B77E80" w14:textId="77777777" w:rsidR="00B14673" w:rsidRDefault="00B14673" w:rsidP="00B14673">
            <w:pPr>
              <w:rPr>
                <w:rFonts w:ascii="Arial" w:eastAsia="Calibri" w:hAnsi="Arial" w:cs="Arial"/>
                <w:sz w:val="20"/>
                <w:szCs w:val="20"/>
              </w:rPr>
            </w:pPr>
            <w:r>
              <w:rPr>
                <w:rFonts w:ascii="Arial" w:eastAsia="Calibri" w:hAnsi="Arial" w:cs="Arial"/>
                <w:sz w:val="20"/>
                <w:szCs w:val="20"/>
              </w:rPr>
              <w:t>36.11 ± 5.68</w:t>
            </w:r>
          </w:p>
        </w:tc>
        <w:tc>
          <w:tcPr>
            <w:tcW w:w="2266" w:type="dxa"/>
            <w:vAlign w:val="center"/>
          </w:tcPr>
          <w:p w14:paraId="5F7CA0B5" w14:textId="77777777" w:rsidR="00B14673" w:rsidRDefault="00B14673" w:rsidP="00B14673">
            <w:pPr>
              <w:rPr>
                <w:rFonts w:ascii="Arial" w:eastAsia="Calibri" w:hAnsi="Arial" w:cs="Arial"/>
                <w:sz w:val="20"/>
                <w:szCs w:val="20"/>
              </w:rPr>
            </w:pPr>
            <w:r>
              <w:rPr>
                <w:rFonts w:ascii="Arial" w:eastAsia="Calibri" w:hAnsi="Arial" w:cs="Arial"/>
                <w:sz w:val="20"/>
                <w:szCs w:val="20"/>
              </w:rPr>
              <w:t>5.68 ± 4.81</w:t>
            </w:r>
          </w:p>
        </w:tc>
      </w:tr>
      <w:tr w:rsidR="00B14673" w14:paraId="217FD7AF" w14:textId="77777777" w:rsidTr="00B14673">
        <w:trPr>
          <w:jc w:val="center"/>
        </w:trPr>
        <w:tc>
          <w:tcPr>
            <w:tcW w:w="2265" w:type="dxa"/>
            <w:vAlign w:val="center"/>
          </w:tcPr>
          <w:p w14:paraId="438FE2C5" w14:textId="77777777" w:rsidR="00B14673" w:rsidRDefault="00B14673" w:rsidP="00B14673">
            <w:pPr>
              <w:rPr>
                <w:rFonts w:ascii="Arial" w:eastAsia="Calibri" w:hAnsi="Arial" w:cs="Arial"/>
                <w:sz w:val="20"/>
                <w:szCs w:val="20"/>
              </w:rPr>
            </w:pPr>
            <w:r>
              <w:rPr>
                <w:rFonts w:ascii="Arial" w:eastAsia="Calibri" w:hAnsi="Arial" w:cs="Arial"/>
                <w:sz w:val="20"/>
                <w:szCs w:val="20"/>
              </w:rPr>
              <w:t>S3</w:t>
            </w:r>
          </w:p>
        </w:tc>
        <w:tc>
          <w:tcPr>
            <w:tcW w:w="2265" w:type="dxa"/>
            <w:vAlign w:val="center"/>
          </w:tcPr>
          <w:p w14:paraId="01FB6FD2" w14:textId="77777777" w:rsidR="00B14673" w:rsidRDefault="00B14673" w:rsidP="00B14673">
            <w:pPr>
              <w:rPr>
                <w:rFonts w:ascii="Arial" w:eastAsia="Calibri" w:hAnsi="Arial" w:cs="Arial"/>
                <w:sz w:val="20"/>
                <w:szCs w:val="20"/>
              </w:rPr>
            </w:pPr>
            <w:r>
              <w:rPr>
                <w:rFonts w:ascii="Arial" w:eastAsia="Calibri" w:hAnsi="Arial" w:cs="Arial"/>
                <w:sz w:val="20"/>
                <w:szCs w:val="20"/>
              </w:rPr>
              <w:t>201.71 ± 42.62</w:t>
            </w:r>
          </w:p>
        </w:tc>
        <w:tc>
          <w:tcPr>
            <w:tcW w:w="2266" w:type="dxa"/>
            <w:vAlign w:val="center"/>
          </w:tcPr>
          <w:p w14:paraId="25FD6D02" w14:textId="77777777" w:rsidR="00B14673" w:rsidRDefault="00B14673" w:rsidP="00B14673">
            <w:pPr>
              <w:rPr>
                <w:rFonts w:ascii="Arial" w:eastAsia="Calibri" w:hAnsi="Arial" w:cs="Arial"/>
                <w:sz w:val="20"/>
                <w:szCs w:val="20"/>
              </w:rPr>
            </w:pPr>
            <w:r>
              <w:rPr>
                <w:rFonts w:ascii="Arial" w:eastAsia="Calibri" w:hAnsi="Arial" w:cs="Arial"/>
                <w:sz w:val="20"/>
                <w:szCs w:val="20"/>
              </w:rPr>
              <w:t>79.39 ± 6.67</w:t>
            </w:r>
          </w:p>
        </w:tc>
        <w:tc>
          <w:tcPr>
            <w:tcW w:w="2266" w:type="dxa"/>
            <w:vAlign w:val="center"/>
          </w:tcPr>
          <w:p w14:paraId="064BB588" w14:textId="77777777" w:rsidR="00B14673" w:rsidRDefault="00B14673" w:rsidP="00B14673">
            <w:pPr>
              <w:rPr>
                <w:rFonts w:ascii="Arial" w:eastAsia="Calibri" w:hAnsi="Arial" w:cs="Arial"/>
                <w:sz w:val="20"/>
                <w:szCs w:val="20"/>
              </w:rPr>
            </w:pPr>
            <w:r>
              <w:rPr>
                <w:rFonts w:ascii="Arial" w:eastAsia="Calibri" w:hAnsi="Arial" w:cs="Arial"/>
                <w:sz w:val="20"/>
                <w:szCs w:val="20"/>
              </w:rPr>
              <w:t>25.09 ± 6.10</w:t>
            </w:r>
          </w:p>
        </w:tc>
      </w:tr>
      <w:tr w:rsidR="00B14673" w14:paraId="4CF934FC" w14:textId="77777777" w:rsidTr="00B14673">
        <w:trPr>
          <w:jc w:val="center"/>
        </w:trPr>
        <w:tc>
          <w:tcPr>
            <w:tcW w:w="2265" w:type="dxa"/>
            <w:vAlign w:val="center"/>
          </w:tcPr>
          <w:p w14:paraId="40820DAB" w14:textId="77777777" w:rsidR="00B14673" w:rsidRDefault="00B14673" w:rsidP="00B14673">
            <w:pPr>
              <w:rPr>
                <w:rFonts w:ascii="Arial" w:eastAsia="Calibri" w:hAnsi="Arial" w:cs="Arial"/>
                <w:sz w:val="20"/>
                <w:szCs w:val="20"/>
              </w:rPr>
            </w:pPr>
            <w:r>
              <w:rPr>
                <w:rFonts w:ascii="Arial" w:eastAsia="Calibri" w:hAnsi="Arial" w:cs="Arial"/>
                <w:sz w:val="20"/>
                <w:szCs w:val="20"/>
              </w:rPr>
              <w:t>S4</w:t>
            </w:r>
          </w:p>
        </w:tc>
        <w:tc>
          <w:tcPr>
            <w:tcW w:w="2265" w:type="dxa"/>
            <w:vAlign w:val="center"/>
          </w:tcPr>
          <w:p w14:paraId="585342B2" w14:textId="77777777" w:rsidR="00B14673" w:rsidRDefault="00B14673" w:rsidP="00B14673">
            <w:pPr>
              <w:rPr>
                <w:rFonts w:ascii="Arial" w:eastAsia="Calibri" w:hAnsi="Arial" w:cs="Arial"/>
                <w:sz w:val="20"/>
                <w:szCs w:val="20"/>
              </w:rPr>
            </w:pPr>
            <w:r>
              <w:rPr>
                <w:rFonts w:ascii="Arial" w:eastAsia="Calibri" w:hAnsi="Arial" w:cs="Arial"/>
                <w:sz w:val="20"/>
                <w:szCs w:val="20"/>
              </w:rPr>
              <w:t>183.46 ± 54.62</w:t>
            </w:r>
          </w:p>
        </w:tc>
        <w:tc>
          <w:tcPr>
            <w:tcW w:w="2266" w:type="dxa"/>
            <w:vAlign w:val="center"/>
          </w:tcPr>
          <w:p w14:paraId="0D327DE2" w14:textId="77777777" w:rsidR="00B14673" w:rsidRDefault="00B14673" w:rsidP="00B14673">
            <w:pPr>
              <w:rPr>
                <w:rFonts w:ascii="Arial" w:eastAsia="Calibri" w:hAnsi="Arial" w:cs="Arial"/>
                <w:sz w:val="20"/>
                <w:szCs w:val="20"/>
              </w:rPr>
            </w:pPr>
            <w:r>
              <w:rPr>
                <w:rFonts w:ascii="Arial" w:eastAsia="Calibri" w:hAnsi="Arial" w:cs="Arial"/>
                <w:sz w:val="20"/>
                <w:szCs w:val="20"/>
              </w:rPr>
              <w:t>75.35 ± 6.38</w:t>
            </w:r>
          </w:p>
        </w:tc>
        <w:tc>
          <w:tcPr>
            <w:tcW w:w="2266" w:type="dxa"/>
            <w:vAlign w:val="center"/>
          </w:tcPr>
          <w:p w14:paraId="65140B0F" w14:textId="77777777" w:rsidR="00B14673" w:rsidRDefault="00B14673" w:rsidP="00B14673">
            <w:pPr>
              <w:rPr>
                <w:rFonts w:ascii="Arial" w:eastAsia="Calibri" w:hAnsi="Arial" w:cs="Arial"/>
                <w:sz w:val="20"/>
                <w:szCs w:val="20"/>
              </w:rPr>
            </w:pPr>
            <w:r>
              <w:rPr>
                <w:rFonts w:ascii="Arial" w:eastAsia="Calibri" w:hAnsi="Arial" w:cs="Arial"/>
                <w:sz w:val="20"/>
                <w:szCs w:val="20"/>
              </w:rPr>
              <w:t>25.13 ± 2.09</w:t>
            </w:r>
          </w:p>
        </w:tc>
      </w:tr>
      <w:tr w:rsidR="00B14673" w14:paraId="2B17E2AE" w14:textId="77777777" w:rsidTr="00B14673">
        <w:trPr>
          <w:jc w:val="center"/>
        </w:trPr>
        <w:tc>
          <w:tcPr>
            <w:tcW w:w="2265" w:type="dxa"/>
            <w:vAlign w:val="center"/>
          </w:tcPr>
          <w:p w14:paraId="0F728F07" w14:textId="77777777" w:rsidR="00B14673" w:rsidRDefault="00B14673" w:rsidP="00B14673">
            <w:pPr>
              <w:rPr>
                <w:rFonts w:ascii="Arial" w:eastAsia="Calibri" w:hAnsi="Arial" w:cs="Arial"/>
                <w:sz w:val="20"/>
                <w:szCs w:val="20"/>
              </w:rPr>
            </w:pPr>
            <w:r>
              <w:rPr>
                <w:rFonts w:ascii="Arial" w:eastAsia="Calibri" w:hAnsi="Arial" w:cs="Arial"/>
                <w:sz w:val="20"/>
                <w:szCs w:val="20"/>
              </w:rPr>
              <w:t>S5</w:t>
            </w:r>
          </w:p>
        </w:tc>
        <w:tc>
          <w:tcPr>
            <w:tcW w:w="2265" w:type="dxa"/>
            <w:vAlign w:val="center"/>
          </w:tcPr>
          <w:p w14:paraId="38E5AD1A" w14:textId="77777777" w:rsidR="00B14673" w:rsidRDefault="00B14673" w:rsidP="00B14673">
            <w:pPr>
              <w:rPr>
                <w:rFonts w:ascii="Arial" w:eastAsia="Calibri" w:hAnsi="Arial" w:cs="Arial"/>
                <w:sz w:val="20"/>
                <w:szCs w:val="20"/>
              </w:rPr>
            </w:pPr>
            <w:r>
              <w:rPr>
                <w:rFonts w:ascii="Arial" w:eastAsia="Calibri" w:hAnsi="Arial" w:cs="Arial"/>
                <w:sz w:val="20"/>
                <w:szCs w:val="20"/>
              </w:rPr>
              <w:t>196.01 ± 66.49</w:t>
            </w:r>
          </w:p>
        </w:tc>
        <w:tc>
          <w:tcPr>
            <w:tcW w:w="2266" w:type="dxa"/>
            <w:vAlign w:val="center"/>
          </w:tcPr>
          <w:p w14:paraId="5E2E82B4" w14:textId="77777777" w:rsidR="00B14673" w:rsidRDefault="00B14673" w:rsidP="00B14673">
            <w:pPr>
              <w:rPr>
                <w:rFonts w:ascii="Arial" w:eastAsia="Calibri" w:hAnsi="Arial" w:cs="Arial"/>
                <w:sz w:val="20"/>
                <w:szCs w:val="20"/>
              </w:rPr>
            </w:pPr>
            <w:r>
              <w:rPr>
                <w:rFonts w:ascii="Arial" w:eastAsia="Calibri" w:hAnsi="Arial" w:cs="Arial"/>
                <w:sz w:val="20"/>
                <w:szCs w:val="20"/>
              </w:rPr>
              <w:t>77.50 ± 7.57</w:t>
            </w:r>
          </w:p>
        </w:tc>
        <w:tc>
          <w:tcPr>
            <w:tcW w:w="2266" w:type="dxa"/>
            <w:vAlign w:val="center"/>
          </w:tcPr>
          <w:p w14:paraId="39591F70" w14:textId="77777777" w:rsidR="00B14673" w:rsidRDefault="00B14673" w:rsidP="00B14673">
            <w:pPr>
              <w:rPr>
                <w:rFonts w:ascii="Arial" w:eastAsia="Calibri" w:hAnsi="Arial" w:cs="Arial"/>
                <w:sz w:val="20"/>
                <w:szCs w:val="20"/>
              </w:rPr>
            </w:pPr>
            <w:r>
              <w:rPr>
                <w:rFonts w:ascii="Arial" w:eastAsia="Calibri" w:hAnsi="Arial" w:cs="Arial"/>
                <w:sz w:val="20"/>
                <w:szCs w:val="20"/>
              </w:rPr>
              <w:t>24.39 ± 6.09</w:t>
            </w:r>
          </w:p>
        </w:tc>
      </w:tr>
      <w:tr w:rsidR="00B14673" w14:paraId="589EA88A" w14:textId="77777777" w:rsidTr="00B14673">
        <w:trPr>
          <w:jc w:val="center"/>
        </w:trPr>
        <w:tc>
          <w:tcPr>
            <w:tcW w:w="2265" w:type="dxa"/>
            <w:vAlign w:val="center"/>
          </w:tcPr>
          <w:p w14:paraId="4E6002A1" w14:textId="77777777" w:rsidR="00B14673" w:rsidRDefault="00B14673" w:rsidP="00B14673">
            <w:pPr>
              <w:rPr>
                <w:rFonts w:ascii="Arial" w:eastAsia="Calibri" w:hAnsi="Arial" w:cs="Arial"/>
                <w:sz w:val="20"/>
                <w:szCs w:val="20"/>
              </w:rPr>
            </w:pPr>
            <w:r>
              <w:rPr>
                <w:rFonts w:ascii="Arial" w:eastAsia="Calibri" w:hAnsi="Arial" w:cs="Arial"/>
                <w:sz w:val="20"/>
                <w:szCs w:val="20"/>
              </w:rPr>
              <w:t>S6</w:t>
            </w:r>
          </w:p>
        </w:tc>
        <w:tc>
          <w:tcPr>
            <w:tcW w:w="2265" w:type="dxa"/>
            <w:vAlign w:val="center"/>
          </w:tcPr>
          <w:p w14:paraId="5451B706" w14:textId="77777777" w:rsidR="00B14673" w:rsidRDefault="00B14673" w:rsidP="00B14673">
            <w:pPr>
              <w:rPr>
                <w:rFonts w:ascii="Arial" w:eastAsia="Calibri" w:hAnsi="Arial" w:cs="Arial"/>
                <w:sz w:val="20"/>
                <w:szCs w:val="20"/>
              </w:rPr>
            </w:pPr>
            <w:r>
              <w:rPr>
                <w:rFonts w:ascii="Arial" w:eastAsia="Calibri" w:hAnsi="Arial" w:cs="Arial"/>
                <w:sz w:val="20"/>
                <w:szCs w:val="20"/>
              </w:rPr>
              <w:t>175.20 ± 34.49</w:t>
            </w:r>
          </w:p>
        </w:tc>
        <w:tc>
          <w:tcPr>
            <w:tcW w:w="2266" w:type="dxa"/>
            <w:vAlign w:val="center"/>
          </w:tcPr>
          <w:p w14:paraId="5DE74788" w14:textId="77777777" w:rsidR="00B14673" w:rsidRDefault="00B14673" w:rsidP="00B14673">
            <w:pPr>
              <w:rPr>
                <w:rFonts w:ascii="Arial" w:eastAsia="Calibri" w:hAnsi="Arial" w:cs="Arial"/>
                <w:sz w:val="20"/>
                <w:szCs w:val="20"/>
              </w:rPr>
            </w:pPr>
            <w:r>
              <w:rPr>
                <w:rFonts w:ascii="Arial" w:eastAsia="Calibri" w:hAnsi="Arial" w:cs="Arial"/>
                <w:sz w:val="20"/>
                <w:szCs w:val="20"/>
              </w:rPr>
              <w:t>75.73 ± 3.33</w:t>
            </w:r>
          </w:p>
        </w:tc>
        <w:tc>
          <w:tcPr>
            <w:tcW w:w="2266" w:type="dxa"/>
            <w:vAlign w:val="center"/>
          </w:tcPr>
          <w:p w14:paraId="0CB00AE5" w14:textId="77777777" w:rsidR="00B14673" w:rsidRDefault="00B14673" w:rsidP="00B14673">
            <w:pPr>
              <w:rPr>
                <w:rFonts w:ascii="Arial" w:eastAsia="Calibri" w:hAnsi="Arial" w:cs="Arial"/>
                <w:sz w:val="20"/>
                <w:szCs w:val="20"/>
              </w:rPr>
            </w:pPr>
            <w:r>
              <w:rPr>
                <w:rFonts w:ascii="Arial" w:eastAsia="Calibri" w:hAnsi="Arial" w:cs="Arial"/>
                <w:sz w:val="20"/>
                <w:szCs w:val="20"/>
              </w:rPr>
              <w:t>28.32 ± 4.94</w:t>
            </w:r>
          </w:p>
        </w:tc>
      </w:tr>
      <w:tr w:rsidR="00B14673" w14:paraId="2FD86971" w14:textId="77777777" w:rsidTr="00B14673">
        <w:trPr>
          <w:jc w:val="center"/>
        </w:trPr>
        <w:tc>
          <w:tcPr>
            <w:tcW w:w="2265" w:type="dxa"/>
            <w:vAlign w:val="center"/>
          </w:tcPr>
          <w:p w14:paraId="59B49C8F" w14:textId="77777777" w:rsidR="00B14673" w:rsidRDefault="00B14673" w:rsidP="00B14673">
            <w:pPr>
              <w:rPr>
                <w:rFonts w:ascii="Arial" w:eastAsia="Calibri" w:hAnsi="Arial" w:cs="Arial"/>
                <w:sz w:val="20"/>
                <w:szCs w:val="20"/>
              </w:rPr>
            </w:pPr>
            <w:r>
              <w:rPr>
                <w:rFonts w:ascii="Arial" w:eastAsia="Calibri" w:hAnsi="Arial" w:cs="Arial"/>
                <w:sz w:val="20"/>
                <w:szCs w:val="20"/>
              </w:rPr>
              <w:t>S7</w:t>
            </w:r>
          </w:p>
        </w:tc>
        <w:tc>
          <w:tcPr>
            <w:tcW w:w="2265" w:type="dxa"/>
            <w:vAlign w:val="center"/>
          </w:tcPr>
          <w:p w14:paraId="00E6FF68" w14:textId="77777777" w:rsidR="00B14673" w:rsidRDefault="00B14673" w:rsidP="00B14673">
            <w:pPr>
              <w:rPr>
                <w:rFonts w:ascii="Arial" w:eastAsia="Calibri" w:hAnsi="Arial" w:cs="Arial"/>
                <w:sz w:val="20"/>
                <w:szCs w:val="20"/>
              </w:rPr>
            </w:pPr>
            <w:r>
              <w:rPr>
                <w:rFonts w:ascii="Arial" w:eastAsia="Calibri" w:hAnsi="Arial" w:cs="Arial"/>
                <w:sz w:val="20"/>
                <w:szCs w:val="20"/>
              </w:rPr>
              <w:t>138.70 ± 36.23</w:t>
            </w:r>
          </w:p>
        </w:tc>
        <w:tc>
          <w:tcPr>
            <w:tcW w:w="2266" w:type="dxa"/>
            <w:vAlign w:val="center"/>
          </w:tcPr>
          <w:p w14:paraId="38E0EA03" w14:textId="77777777" w:rsidR="00B14673" w:rsidRDefault="00B14673" w:rsidP="00B14673">
            <w:pPr>
              <w:rPr>
                <w:rFonts w:ascii="Arial" w:eastAsia="Calibri" w:hAnsi="Arial" w:cs="Arial"/>
                <w:sz w:val="20"/>
                <w:szCs w:val="20"/>
              </w:rPr>
            </w:pPr>
            <w:r>
              <w:rPr>
                <w:rFonts w:ascii="Arial" w:eastAsia="Calibri" w:hAnsi="Arial" w:cs="Arial"/>
                <w:sz w:val="20"/>
                <w:szCs w:val="20"/>
              </w:rPr>
              <w:t>69.57 ± 5.01</w:t>
            </w:r>
          </w:p>
        </w:tc>
        <w:tc>
          <w:tcPr>
            <w:tcW w:w="2266" w:type="dxa"/>
            <w:vAlign w:val="center"/>
          </w:tcPr>
          <w:p w14:paraId="277E3588" w14:textId="77777777" w:rsidR="00B14673" w:rsidRDefault="00B14673" w:rsidP="00B14673">
            <w:pPr>
              <w:rPr>
                <w:rFonts w:ascii="Arial" w:eastAsia="Calibri" w:hAnsi="Arial" w:cs="Arial"/>
                <w:sz w:val="20"/>
                <w:szCs w:val="20"/>
              </w:rPr>
            </w:pPr>
            <w:r>
              <w:rPr>
                <w:rFonts w:ascii="Arial" w:eastAsia="Calibri" w:hAnsi="Arial" w:cs="Arial"/>
                <w:sz w:val="20"/>
                <w:szCs w:val="20"/>
              </w:rPr>
              <w:t>22.34 ± 3.36</w:t>
            </w:r>
          </w:p>
        </w:tc>
      </w:tr>
      <w:tr w:rsidR="00B14673" w14:paraId="1993A5D1" w14:textId="77777777" w:rsidTr="00B14673">
        <w:trPr>
          <w:jc w:val="center"/>
        </w:trPr>
        <w:tc>
          <w:tcPr>
            <w:tcW w:w="2265" w:type="dxa"/>
            <w:tcBorders>
              <w:bottom w:val="single" w:sz="4" w:space="0" w:color="auto"/>
            </w:tcBorders>
            <w:vAlign w:val="center"/>
          </w:tcPr>
          <w:p w14:paraId="1C51CF06" w14:textId="77777777" w:rsidR="00B14673" w:rsidRDefault="00B14673" w:rsidP="00B14673">
            <w:pPr>
              <w:rPr>
                <w:rFonts w:ascii="Arial" w:eastAsia="Calibri" w:hAnsi="Arial" w:cs="Arial"/>
                <w:sz w:val="20"/>
                <w:szCs w:val="20"/>
              </w:rPr>
            </w:pPr>
            <w:proofErr w:type="spellStart"/>
            <w:r>
              <w:rPr>
                <w:rFonts w:ascii="Arial" w:eastAsia="Calibri" w:hAnsi="Arial" w:cs="Arial"/>
                <w:bCs/>
                <w:sz w:val="20"/>
                <w:szCs w:val="20"/>
              </w:rPr>
              <w:t>Mean</w:t>
            </w:r>
            <w:proofErr w:type="spellEnd"/>
          </w:p>
        </w:tc>
        <w:tc>
          <w:tcPr>
            <w:tcW w:w="2265" w:type="dxa"/>
            <w:tcBorders>
              <w:bottom w:val="single" w:sz="4" w:space="0" w:color="auto"/>
            </w:tcBorders>
            <w:vAlign w:val="center"/>
          </w:tcPr>
          <w:p w14:paraId="097FCAC9" w14:textId="77777777" w:rsidR="00B14673" w:rsidRDefault="00B14673" w:rsidP="00B14673">
            <w:pPr>
              <w:rPr>
                <w:rFonts w:ascii="Arial" w:eastAsia="Calibri" w:hAnsi="Arial" w:cs="Arial"/>
                <w:bCs/>
                <w:sz w:val="20"/>
                <w:szCs w:val="20"/>
              </w:rPr>
            </w:pPr>
            <w:r>
              <w:rPr>
                <w:rFonts w:ascii="Arial" w:eastAsia="Calibri" w:hAnsi="Arial" w:cs="Arial"/>
                <w:bCs/>
                <w:sz w:val="20"/>
                <w:szCs w:val="20"/>
              </w:rPr>
              <w:t>115.87 ± 76.45</w:t>
            </w:r>
          </w:p>
        </w:tc>
        <w:tc>
          <w:tcPr>
            <w:tcW w:w="2266" w:type="dxa"/>
            <w:tcBorders>
              <w:bottom w:val="single" w:sz="4" w:space="0" w:color="auto"/>
            </w:tcBorders>
            <w:vAlign w:val="center"/>
          </w:tcPr>
          <w:p w14:paraId="06933DF1" w14:textId="77777777" w:rsidR="00B14673" w:rsidRDefault="00B14673" w:rsidP="00B14673">
            <w:pPr>
              <w:rPr>
                <w:rFonts w:ascii="Arial" w:eastAsia="Calibri" w:hAnsi="Arial" w:cs="Arial"/>
                <w:bCs/>
                <w:sz w:val="20"/>
                <w:szCs w:val="20"/>
              </w:rPr>
            </w:pPr>
            <w:r>
              <w:rPr>
                <w:rFonts w:ascii="Arial" w:eastAsia="Calibri" w:hAnsi="Arial" w:cs="Arial"/>
                <w:bCs/>
                <w:sz w:val="20"/>
                <w:szCs w:val="20"/>
              </w:rPr>
              <w:t>60.17 ± 18.61</w:t>
            </w:r>
          </w:p>
        </w:tc>
        <w:tc>
          <w:tcPr>
            <w:tcW w:w="2266" w:type="dxa"/>
            <w:tcBorders>
              <w:bottom w:val="single" w:sz="4" w:space="0" w:color="auto"/>
            </w:tcBorders>
            <w:vAlign w:val="center"/>
          </w:tcPr>
          <w:p w14:paraId="59BBED83" w14:textId="77777777" w:rsidR="00B14673" w:rsidRDefault="00B14673" w:rsidP="00B14673">
            <w:pPr>
              <w:rPr>
                <w:rFonts w:ascii="Arial" w:eastAsia="Calibri" w:hAnsi="Arial" w:cs="Arial"/>
                <w:sz w:val="20"/>
                <w:szCs w:val="20"/>
              </w:rPr>
            </w:pPr>
            <w:r>
              <w:rPr>
                <w:rFonts w:ascii="Arial" w:eastAsia="Calibri" w:hAnsi="Arial" w:cs="Arial"/>
                <w:sz w:val="20"/>
                <w:szCs w:val="20"/>
              </w:rPr>
              <w:t>20.44 ± 1.54</w:t>
            </w:r>
          </w:p>
        </w:tc>
      </w:tr>
    </w:tbl>
    <w:p w14:paraId="504CF3A1" w14:textId="77777777" w:rsidR="002701E9" w:rsidRDefault="00B14673" w:rsidP="002701E9">
      <w:pPr>
        <w:spacing w:after="0" w:line="240" w:lineRule="auto"/>
        <w:jc w:val="both"/>
        <w:rPr>
          <w:rFonts w:ascii="Arial" w:hAnsi="Arial" w:cs="Arial"/>
          <w:sz w:val="18"/>
          <w:szCs w:val="20"/>
          <w:lang w:val="en-GB"/>
        </w:rPr>
      </w:pPr>
      <w:r w:rsidRPr="00B14673">
        <w:rPr>
          <w:rFonts w:ascii="Arial" w:hAnsi="Arial" w:cs="Arial"/>
          <w:i/>
          <w:sz w:val="18"/>
          <w:szCs w:val="20"/>
          <w:lang w:val="en-GB"/>
        </w:rPr>
        <w:t>Values are given as mean ± standard deviation; OM: Organic matter; W: Water content; Ø: Porosity.</w:t>
      </w:r>
    </w:p>
    <w:p w14:paraId="332B43E0" w14:textId="77777777" w:rsidR="00B14673" w:rsidRDefault="00B14673" w:rsidP="002701E9">
      <w:pPr>
        <w:spacing w:after="0" w:line="240" w:lineRule="auto"/>
        <w:jc w:val="both"/>
        <w:rPr>
          <w:rFonts w:ascii="Arial" w:hAnsi="Arial" w:cs="Arial"/>
          <w:sz w:val="18"/>
          <w:szCs w:val="20"/>
          <w:lang w:val="en-GB"/>
        </w:rPr>
      </w:pPr>
    </w:p>
    <w:p w14:paraId="1DD7C0CB" w14:textId="77777777" w:rsidR="00B14673" w:rsidRPr="008A40FD" w:rsidRDefault="00B14673" w:rsidP="002701E9">
      <w:pPr>
        <w:spacing w:after="0" w:line="240" w:lineRule="auto"/>
        <w:jc w:val="both"/>
        <w:rPr>
          <w:rFonts w:ascii="Arial" w:hAnsi="Arial" w:cs="Arial"/>
          <w:sz w:val="20"/>
          <w:szCs w:val="20"/>
          <w:lang w:val="en-GB"/>
        </w:rPr>
      </w:pPr>
      <w:r w:rsidRPr="008A40FD">
        <w:rPr>
          <w:rFonts w:ascii="Arial" w:hAnsi="Arial" w:cs="Arial"/>
          <w:sz w:val="20"/>
          <w:szCs w:val="20"/>
          <w:lang w:val="en-GB"/>
        </w:rPr>
        <w:t>The sediments contain organic matter and the rate of this organic matter varies between 5.68 ± 4.81% (station S2) and 28.32 ± 4.94% (station S6). The average value of the rate of organic matter is about 20.44 ± 1.54%. The maximum value of the rate of organic matter was obtained at station S6 and the minimum value at station S2. The water content and porosity have average values of 115.87 ± 76.45% and 60.17 ± 18.61% respectively. The values of water content, ranging between 21.87 ± 5.54% (station S2) and 201.71 ± 42.62 (station S3), are relatively high. The porosity values, which range from 36.11 ± 5.68% (station S2) to 79.39 ± 6.67% (station S3), are also relatively high. The maximum value of water content and porosity were obtained at station S3 and the</w:t>
      </w:r>
      <w:r w:rsidR="000B0823">
        <w:rPr>
          <w:rFonts w:ascii="Arial" w:hAnsi="Arial" w:cs="Arial"/>
          <w:sz w:val="20"/>
          <w:szCs w:val="20"/>
          <w:lang w:val="en-GB"/>
        </w:rPr>
        <w:t xml:space="preserve"> minimum values </w:t>
      </w:r>
      <w:r w:rsidRPr="008A40FD">
        <w:rPr>
          <w:rFonts w:ascii="Arial" w:hAnsi="Arial" w:cs="Arial"/>
          <w:sz w:val="20"/>
          <w:szCs w:val="20"/>
          <w:lang w:val="en-GB"/>
        </w:rPr>
        <w:t>at station S2.</w:t>
      </w:r>
    </w:p>
    <w:p w14:paraId="790BEC1B" w14:textId="77777777" w:rsidR="00B14673" w:rsidRPr="008A40FD" w:rsidRDefault="00B14673" w:rsidP="002701E9">
      <w:pPr>
        <w:spacing w:after="0" w:line="240" w:lineRule="auto"/>
        <w:jc w:val="both"/>
        <w:rPr>
          <w:rFonts w:ascii="Arial" w:hAnsi="Arial" w:cs="Arial"/>
          <w:sz w:val="20"/>
          <w:szCs w:val="20"/>
          <w:lang w:val="en-GB"/>
        </w:rPr>
      </w:pPr>
    </w:p>
    <w:p w14:paraId="596DC922" w14:textId="77777777" w:rsidR="008A40FD" w:rsidRPr="008A40FD" w:rsidRDefault="00511973" w:rsidP="008A40FD">
      <w:pPr>
        <w:spacing w:after="0" w:line="240" w:lineRule="auto"/>
        <w:jc w:val="both"/>
        <w:rPr>
          <w:rFonts w:ascii="Arial" w:hAnsi="Arial" w:cs="Arial"/>
          <w:b/>
          <w:sz w:val="20"/>
          <w:szCs w:val="20"/>
          <w:u w:val="single"/>
          <w:lang w:val="en-GB"/>
        </w:rPr>
      </w:pPr>
      <w:r>
        <w:rPr>
          <w:rFonts w:ascii="Arial" w:hAnsi="Arial" w:cs="Arial"/>
          <w:b/>
          <w:sz w:val="20"/>
          <w:szCs w:val="20"/>
          <w:u w:val="single"/>
          <w:lang w:val="en-GB"/>
        </w:rPr>
        <w:t>3.1.3 Nutrient levels in bottom water and interstitial w</w:t>
      </w:r>
      <w:r w:rsidR="008A40FD" w:rsidRPr="008A40FD">
        <w:rPr>
          <w:rFonts w:ascii="Arial" w:hAnsi="Arial" w:cs="Arial"/>
          <w:b/>
          <w:sz w:val="20"/>
          <w:szCs w:val="20"/>
          <w:u w:val="single"/>
          <w:lang w:val="en-GB"/>
        </w:rPr>
        <w:t>ater</w:t>
      </w:r>
    </w:p>
    <w:p w14:paraId="63CA0AF8" w14:textId="77777777" w:rsidR="008A40FD" w:rsidRPr="008A40FD" w:rsidRDefault="008A40FD" w:rsidP="008A40FD">
      <w:pPr>
        <w:spacing w:after="0" w:line="240" w:lineRule="auto"/>
        <w:jc w:val="both"/>
        <w:rPr>
          <w:rFonts w:ascii="Arial" w:hAnsi="Arial" w:cs="Arial"/>
          <w:sz w:val="20"/>
          <w:szCs w:val="20"/>
          <w:lang w:val="en-GB"/>
        </w:rPr>
      </w:pPr>
    </w:p>
    <w:p w14:paraId="5913C254" w14:textId="77777777" w:rsidR="00B14673" w:rsidRDefault="008A40FD" w:rsidP="008A40FD">
      <w:pPr>
        <w:spacing w:after="0" w:line="240" w:lineRule="auto"/>
        <w:jc w:val="both"/>
        <w:rPr>
          <w:rFonts w:ascii="Arial" w:hAnsi="Arial" w:cs="Arial"/>
          <w:sz w:val="20"/>
          <w:szCs w:val="20"/>
          <w:lang w:val="en-GB"/>
        </w:rPr>
      </w:pPr>
      <w:r w:rsidRPr="008A40FD">
        <w:rPr>
          <w:rFonts w:ascii="Arial" w:hAnsi="Arial" w:cs="Arial"/>
          <w:sz w:val="20"/>
          <w:szCs w:val="20"/>
          <w:lang w:val="en-GB"/>
        </w:rPr>
        <w:t xml:space="preserve">The overlying water and pore water in the sediments were </w:t>
      </w:r>
      <w:proofErr w:type="spellStart"/>
      <w:r w:rsidRPr="008A40FD">
        <w:rPr>
          <w:rFonts w:ascii="Arial" w:hAnsi="Arial" w:cs="Arial"/>
          <w:sz w:val="20"/>
          <w:szCs w:val="20"/>
          <w:lang w:val="en-GB"/>
        </w:rPr>
        <w:t>analyzed</w:t>
      </w:r>
      <w:proofErr w:type="spellEnd"/>
      <w:r w:rsidRPr="008A40FD">
        <w:rPr>
          <w:rFonts w:ascii="Arial" w:hAnsi="Arial" w:cs="Arial"/>
          <w:sz w:val="20"/>
          <w:szCs w:val="20"/>
          <w:lang w:val="en-GB"/>
        </w:rPr>
        <w:t xml:space="preserve"> to study the spatial distribution of nitrogen and phosphorus. The results are presented in Table 4.</w:t>
      </w:r>
    </w:p>
    <w:p w14:paraId="693F3BCF" w14:textId="77777777" w:rsidR="008A40FD" w:rsidRDefault="008A40FD" w:rsidP="008A40FD">
      <w:pPr>
        <w:spacing w:after="0" w:line="240" w:lineRule="auto"/>
        <w:jc w:val="both"/>
        <w:rPr>
          <w:rFonts w:ascii="Arial" w:hAnsi="Arial" w:cs="Arial"/>
          <w:sz w:val="20"/>
          <w:szCs w:val="20"/>
          <w:lang w:val="en-GB"/>
        </w:rPr>
      </w:pPr>
    </w:p>
    <w:p w14:paraId="39E65F6C" w14:textId="77777777" w:rsidR="00FE32BD" w:rsidRDefault="00FE32BD" w:rsidP="008A40FD">
      <w:pPr>
        <w:spacing w:after="0" w:line="240" w:lineRule="auto"/>
        <w:jc w:val="both"/>
        <w:rPr>
          <w:rFonts w:ascii="Arial" w:hAnsi="Arial" w:cs="Arial"/>
          <w:sz w:val="20"/>
          <w:szCs w:val="20"/>
          <w:lang w:val="en-GB"/>
        </w:rPr>
        <w:sectPr w:rsidR="00FE32BD" w:rsidSect="00A6083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14:paraId="55E7894D" w14:textId="77777777" w:rsidR="008A40FD" w:rsidRPr="00FE32BD" w:rsidRDefault="00FE32BD" w:rsidP="008A40FD">
      <w:pPr>
        <w:spacing w:after="0" w:line="240" w:lineRule="auto"/>
        <w:jc w:val="both"/>
        <w:rPr>
          <w:rFonts w:ascii="Arial" w:hAnsi="Arial" w:cs="Arial"/>
          <w:b/>
          <w:sz w:val="20"/>
          <w:szCs w:val="20"/>
          <w:lang w:val="en-GB"/>
        </w:rPr>
      </w:pPr>
      <w:r w:rsidRPr="00FE32BD">
        <w:rPr>
          <w:rFonts w:ascii="Arial" w:hAnsi="Arial" w:cs="Arial"/>
          <w:b/>
          <w:sz w:val="20"/>
          <w:szCs w:val="20"/>
          <w:lang w:val="en-GB"/>
        </w:rPr>
        <w:lastRenderedPageBreak/>
        <w:t>Table 4. Average nutrient levels in bottom water and interstitial water (expressed in mg/L)</w:t>
      </w:r>
    </w:p>
    <w:p w14:paraId="2E8B2B5C" w14:textId="77777777" w:rsidR="00FE32BD" w:rsidRDefault="00FE32BD" w:rsidP="008A40FD">
      <w:pPr>
        <w:spacing w:after="0" w:line="240" w:lineRule="auto"/>
        <w:jc w:val="both"/>
        <w:rPr>
          <w:rFonts w:ascii="Arial" w:hAnsi="Arial" w:cs="Arial"/>
          <w:sz w:val="20"/>
          <w:szCs w:val="20"/>
          <w:lang w:val="en-GB"/>
        </w:rPr>
      </w:pPr>
    </w:p>
    <w:tbl>
      <w:tblPr>
        <w:tblW w:w="15656" w:type="dxa"/>
        <w:jc w:val="center"/>
        <w:tblLook w:val="04A0" w:firstRow="1" w:lastRow="0" w:firstColumn="1" w:lastColumn="0" w:noHBand="0" w:noVBand="1"/>
      </w:tblPr>
      <w:tblGrid>
        <w:gridCol w:w="894"/>
        <w:gridCol w:w="1118"/>
        <w:gridCol w:w="1341"/>
        <w:gridCol w:w="1230"/>
        <w:gridCol w:w="1230"/>
        <w:gridCol w:w="1119"/>
        <w:gridCol w:w="1341"/>
        <w:gridCol w:w="224"/>
        <w:gridCol w:w="1119"/>
        <w:gridCol w:w="1341"/>
        <w:gridCol w:w="1119"/>
        <w:gridCol w:w="1119"/>
        <w:gridCol w:w="1119"/>
        <w:gridCol w:w="1342"/>
      </w:tblGrid>
      <w:tr w:rsidR="00FE32BD" w:rsidRPr="00FE32BD" w14:paraId="511E6063" w14:textId="77777777" w:rsidTr="00F826EE">
        <w:trPr>
          <w:trHeight w:val="457"/>
          <w:jc w:val="center"/>
        </w:trPr>
        <w:tc>
          <w:tcPr>
            <w:tcW w:w="894" w:type="dxa"/>
            <w:tcBorders>
              <w:top w:val="single" w:sz="4" w:space="0" w:color="auto"/>
              <w:bottom w:val="single" w:sz="4" w:space="0" w:color="auto"/>
            </w:tcBorders>
          </w:tcPr>
          <w:p w14:paraId="2C0B40D7" w14:textId="77777777" w:rsidR="00FE32BD" w:rsidRPr="00A60839" w:rsidRDefault="00FE32BD" w:rsidP="00FE32BD">
            <w:pPr>
              <w:spacing w:after="0" w:line="240" w:lineRule="auto"/>
              <w:jc w:val="both"/>
              <w:rPr>
                <w:rFonts w:ascii="Arial" w:eastAsia="Calibri" w:hAnsi="Arial" w:cs="Arial"/>
                <w:sz w:val="20"/>
                <w:szCs w:val="20"/>
                <w:lang w:val="en-GB"/>
              </w:rPr>
            </w:pPr>
          </w:p>
        </w:tc>
        <w:tc>
          <w:tcPr>
            <w:tcW w:w="7379" w:type="dxa"/>
            <w:gridSpan w:val="6"/>
            <w:tcBorders>
              <w:top w:val="single" w:sz="4" w:space="0" w:color="auto"/>
              <w:bottom w:val="single" w:sz="4" w:space="0" w:color="auto"/>
            </w:tcBorders>
            <w:vAlign w:val="center"/>
          </w:tcPr>
          <w:p w14:paraId="46C33878"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Calibri" w:hAnsi="Arial" w:cs="Arial"/>
                <w:b/>
                <w:sz w:val="20"/>
                <w:szCs w:val="20"/>
              </w:rPr>
              <w:t>Bottom Water</w:t>
            </w:r>
          </w:p>
        </w:tc>
        <w:tc>
          <w:tcPr>
            <w:tcW w:w="224" w:type="dxa"/>
            <w:tcBorders>
              <w:top w:val="single" w:sz="4" w:space="0" w:color="auto"/>
            </w:tcBorders>
            <w:vAlign w:val="center"/>
          </w:tcPr>
          <w:p w14:paraId="4A5A2E8E" w14:textId="77777777" w:rsidR="00FE32BD" w:rsidRPr="00FE32BD" w:rsidRDefault="00FE32BD" w:rsidP="00FE32BD">
            <w:pPr>
              <w:spacing w:after="0" w:line="240" w:lineRule="auto"/>
              <w:jc w:val="both"/>
              <w:rPr>
                <w:rFonts w:ascii="Arial" w:eastAsia="Calibri" w:hAnsi="Arial" w:cs="Arial"/>
                <w:sz w:val="20"/>
                <w:szCs w:val="20"/>
              </w:rPr>
            </w:pPr>
          </w:p>
        </w:tc>
        <w:tc>
          <w:tcPr>
            <w:tcW w:w="7159" w:type="dxa"/>
            <w:gridSpan w:val="6"/>
            <w:tcBorders>
              <w:top w:val="single" w:sz="4" w:space="0" w:color="auto"/>
              <w:bottom w:val="single" w:sz="4" w:space="0" w:color="auto"/>
            </w:tcBorders>
            <w:vAlign w:val="center"/>
          </w:tcPr>
          <w:p w14:paraId="00B8EB0F" w14:textId="77777777" w:rsidR="00FE32BD" w:rsidRPr="00FE32BD" w:rsidRDefault="00FE32BD" w:rsidP="00FE32BD">
            <w:pPr>
              <w:spacing w:after="0" w:line="240" w:lineRule="auto"/>
              <w:jc w:val="both"/>
              <w:rPr>
                <w:rFonts w:ascii="Arial" w:eastAsia="Calibri" w:hAnsi="Arial" w:cs="Arial"/>
                <w:b/>
                <w:sz w:val="20"/>
                <w:szCs w:val="20"/>
              </w:rPr>
            </w:pPr>
            <w:r>
              <w:rPr>
                <w:rFonts w:ascii="Arial" w:eastAsia="Calibri" w:hAnsi="Arial" w:cs="Arial"/>
                <w:b/>
                <w:sz w:val="20"/>
                <w:szCs w:val="20"/>
              </w:rPr>
              <w:t xml:space="preserve">Pore </w:t>
            </w:r>
            <w:r w:rsidRPr="00FE32BD">
              <w:rPr>
                <w:rFonts w:ascii="Arial" w:eastAsia="Calibri" w:hAnsi="Arial" w:cs="Arial"/>
                <w:b/>
                <w:sz w:val="20"/>
                <w:szCs w:val="20"/>
              </w:rPr>
              <w:t>water</w:t>
            </w:r>
          </w:p>
        </w:tc>
      </w:tr>
      <w:tr w:rsidR="00FE32BD" w:rsidRPr="00FE32BD" w14:paraId="1078D6BB" w14:textId="77777777" w:rsidTr="00F826EE">
        <w:trPr>
          <w:trHeight w:val="329"/>
          <w:jc w:val="center"/>
        </w:trPr>
        <w:tc>
          <w:tcPr>
            <w:tcW w:w="894" w:type="dxa"/>
            <w:tcBorders>
              <w:top w:val="single" w:sz="4" w:space="0" w:color="auto"/>
              <w:bottom w:val="single" w:sz="4" w:space="0" w:color="auto"/>
            </w:tcBorders>
            <w:vAlign w:val="center"/>
          </w:tcPr>
          <w:p w14:paraId="156489D0"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Calibri" w:hAnsi="Arial" w:cs="Arial"/>
                <w:b/>
                <w:sz w:val="20"/>
                <w:szCs w:val="20"/>
              </w:rPr>
              <w:t>Station</w:t>
            </w:r>
          </w:p>
        </w:tc>
        <w:tc>
          <w:tcPr>
            <w:tcW w:w="1118" w:type="dxa"/>
            <w:tcBorders>
              <w:top w:val="single" w:sz="4" w:space="0" w:color="auto"/>
              <w:bottom w:val="single" w:sz="4" w:space="0" w:color="auto"/>
            </w:tcBorders>
            <w:vAlign w:val="center"/>
          </w:tcPr>
          <w:p w14:paraId="4D07B951"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NH</w:t>
            </w:r>
            <w:r w:rsidRPr="00FE32BD">
              <w:rPr>
                <w:rFonts w:ascii="Arial" w:eastAsia="Times New Roman" w:hAnsi="Arial" w:cs="Arial"/>
                <w:b/>
                <w:sz w:val="20"/>
                <w:szCs w:val="20"/>
                <w:vertAlign w:val="subscript"/>
                <w:lang w:eastAsia="fr-CI"/>
              </w:rPr>
              <w:t>4</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341" w:type="dxa"/>
            <w:tcBorders>
              <w:top w:val="single" w:sz="4" w:space="0" w:color="auto"/>
              <w:bottom w:val="single" w:sz="4" w:space="0" w:color="auto"/>
            </w:tcBorders>
            <w:vAlign w:val="center"/>
          </w:tcPr>
          <w:p w14:paraId="3C5D4094"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NO</w:t>
            </w:r>
            <w:r w:rsidRPr="00FE32BD">
              <w:rPr>
                <w:rFonts w:ascii="Arial" w:eastAsia="Times New Roman" w:hAnsi="Arial" w:cs="Arial"/>
                <w:b/>
                <w:sz w:val="20"/>
                <w:szCs w:val="20"/>
                <w:vertAlign w:val="subscript"/>
                <w:lang w:eastAsia="fr-CI"/>
              </w:rPr>
              <w:t>2</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230" w:type="dxa"/>
            <w:tcBorders>
              <w:top w:val="single" w:sz="4" w:space="0" w:color="auto"/>
              <w:bottom w:val="single" w:sz="4" w:space="0" w:color="auto"/>
            </w:tcBorders>
            <w:vAlign w:val="center"/>
          </w:tcPr>
          <w:p w14:paraId="608333AC"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NO</w:t>
            </w:r>
            <w:r w:rsidRPr="00FE32BD">
              <w:rPr>
                <w:rFonts w:ascii="Arial" w:eastAsia="Times New Roman" w:hAnsi="Arial" w:cs="Arial"/>
                <w:b/>
                <w:sz w:val="20"/>
                <w:szCs w:val="20"/>
                <w:vertAlign w:val="subscript"/>
                <w:lang w:eastAsia="fr-CI"/>
              </w:rPr>
              <w:t>3</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230" w:type="dxa"/>
            <w:tcBorders>
              <w:top w:val="single" w:sz="4" w:space="0" w:color="auto"/>
              <w:bottom w:val="single" w:sz="4" w:space="0" w:color="auto"/>
            </w:tcBorders>
            <w:vAlign w:val="center"/>
          </w:tcPr>
          <w:p w14:paraId="24623962"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DIN</w:t>
            </w:r>
          </w:p>
        </w:tc>
        <w:tc>
          <w:tcPr>
            <w:tcW w:w="1119" w:type="dxa"/>
            <w:tcBorders>
              <w:top w:val="single" w:sz="4" w:space="0" w:color="auto"/>
              <w:bottom w:val="single" w:sz="4" w:space="0" w:color="auto"/>
            </w:tcBorders>
            <w:vAlign w:val="center"/>
          </w:tcPr>
          <w:p w14:paraId="67402DA8"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PO</w:t>
            </w:r>
            <w:r w:rsidRPr="00FE32BD">
              <w:rPr>
                <w:rFonts w:ascii="Arial" w:eastAsia="Times New Roman" w:hAnsi="Arial" w:cs="Arial"/>
                <w:b/>
                <w:sz w:val="20"/>
                <w:szCs w:val="20"/>
                <w:vertAlign w:val="subscript"/>
                <w:lang w:eastAsia="fr-CI"/>
              </w:rPr>
              <w:t>4</w:t>
            </w:r>
            <w:r w:rsidRPr="00FE32BD">
              <w:rPr>
                <w:rFonts w:ascii="Arial" w:eastAsia="Times New Roman" w:hAnsi="Arial" w:cs="Arial"/>
                <w:b/>
                <w:sz w:val="20"/>
                <w:szCs w:val="20"/>
                <w:vertAlign w:val="superscript"/>
                <w:lang w:eastAsia="fr-CI"/>
              </w:rPr>
              <w:t>3-</w:t>
            </w:r>
            <w:r w:rsidRPr="00FE32BD">
              <w:rPr>
                <w:rFonts w:ascii="Arial" w:eastAsia="Times New Roman" w:hAnsi="Arial" w:cs="Arial"/>
                <w:b/>
                <w:sz w:val="20"/>
                <w:szCs w:val="20"/>
                <w:lang w:eastAsia="fr-CI"/>
              </w:rPr>
              <w:t>-P</w:t>
            </w:r>
          </w:p>
        </w:tc>
        <w:tc>
          <w:tcPr>
            <w:tcW w:w="1341" w:type="dxa"/>
            <w:tcBorders>
              <w:top w:val="single" w:sz="4" w:space="0" w:color="auto"/>
              <w:bottom w:val="single" w:sz="4" w:space="0" w:color="auto"/>
            </w:tcBorders>
            <w:vAlign w:val="center"/>
          </w:tcPr>
          <w:p w14:paraId="242463B2" w14:textId="77777777" w:rsidR="00FE32BD" w:rsidRPr="00FE32BD" w:rsidRDefault="00FE32BD" w:rsidP="00FE32BD">
            <w:pPr>
              <w:tabs>
                <w:tab w:val="left" w:pos="705"/>
              </w:tabs>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N/P*</w:t>
            </w:r>
          </w:p>
        </w:tc>
        <w:tc>
          <w:tcPr>
            <w:tcW w:w="224" w:type="dxa"/>
            <w:tcBorders>
              <w:bottom w:val="single" w:sz="4" w:space="0" w:color="auto"/>
            </w:tcBorders>
            <w:vAlign w:val="center"/>
          </w:tcPr>
          <w:p w14:paraId="23115917" w14:textId="77777777" w:rsidR="00FE32BD" w:rsidRPr="00FE32BD" w:rsidRDefault="00FE32BD" w:rsidP="00FE32BD">
            <w:pPr>
              <w:spacing w:after="0" w:line="240" w:lineRule="auto"/>
              <w:jc w:val="both"/>
              <w:rPr>
                <w:rFonts w:ascii="Arial" w:eastAsia="Calibri" w:hAnsi="Arial" w:cs="Arial"/>
                <w:b/>
                <w:sz w:val="20"/>
                <w:szCs w:val="20"/>
              </w:rPr>
            </w:pPr>
          </w:p>
        </w:tc>
        <w:tc>
          <w:tcPr>
            <w:tcW w:w="1119" w:type="dxa"/>
            <w:tcBorders>
              <w:top w:val="single" w:sz="4" w:space="0" w:color="auto"/>
              <w:bottom w:val="single" w:sz="4" w:space="0" w:color="auto"/>
            </w:tcBorders>
            <w:vAlign w:val="center"/>
          </w:tcPr>
          <w:p w14:paraId="6B938E63"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Times New Roman" w:hAnsi="Arial" w:cs="Arial"/>
                <w:b/>
                <w:sz w:val="20"/>
                <w:szCs w:val="20"/>
                <w:lang w:eastAsia="fr-CI"/>
              </w:rPr>
              <w:t>NH</w:t>
            </w:r>
            <w:r w:rsidRPr="00FE32BD">
              <w:rPr>
                <w:rFonts w:ascii="Arial" w:eastAsia="Times New Roman" w:hAnsi="Arial" w:cs="Arial"/>
                <w:b/>
                <w:sz w:val="20"/>
                <w:szCs w:val="20"/>
                <w:vertAlign w:val="subscript"/>
                <w:lang w:eastAsia="fr-CI"/>
              </w:rPr>
              <w:t>4</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341" w:type="dxa"/>
            <w:tcBorders>
              <w:top w:val="single" w:sz="4" w:space="0" w:color="auto"/>
              <w:bottom w:val="single" w:sz="4" w:space="0" w:color="auto"/>
            </w:tcBorders>
            <w:vAlign w:val="center"/>
          </w:tcPr>
          <w:p w14:paraId="16CA4D4D"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Times New Roman" w:hAnsi="Arial" w:cs="Arial"/>
                <w:b/>
                <w:sz w:val="20"/>
                <w:szCs w:val="20"/>
                <w:lang w:eastAsia="fr-CI"/>
              </w:rPr>
              <w:t>NO</w:t>
            </w:r>
            <w:r w:rsidRPr="00FE32BD">
              <w:rPr>
                <w:rFonts w:ascii="Arial" w:eastAsia="Times New Roman" w:hAnsi="Arial" w:cs="Arial"/>
                <w:b/>
                <w:sz w:val="20"/>
                <w:szCs w:val="20"/>
                <w:vertAlign w:val="subscript"/>
                <w:lang w:eastAsia="fr-CI"/>
              </w:rPr>
              <w:t>2</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119" w:type="dxa"/>
            <w:tcBorders>
              <w:top w:val="single" w:sz="4" w:space="0" w:color="auto"/>
              <w:bottom w:val="single" w:sz="4" w:space="0" w:color="auto"/>
            </w:tcBorders>
            <w:vAlign w:val="center"/>
          </w:tcPr>
          <w:p w14:paraId="6A0434A6"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Times New Roman" w:hAnsi="Arial" w:cs="Arial"/>
                <w:b/>
                <w:sz w:val="20"/>
                <w:szCs w:val="20"/>
                <w:lang w:eastAsia="fr-CI"/>
              </w:rPr>
              <w:t>NO</w:t>
            </w:r>
            <w:r w:rsidRPr="00FE32BD">
              <w:rPr>
                <w:rFonts w:ascii="Arial" w:eastAsia="Times New Roman" w:hAnsi="Arial" w:cs="Arial"/>
                <w:b/>
                <w:sz w:val="20"/>
                <w:szCs w:val="20"/>
                <w:vertAlign w:val="subscript"/>
                <w:lang w:eastAsia="fr-CI"/>
              </w:rPr>
              <w:t>3</w:t>
            </w:r>
            <w:r w:rsidRPr="00FE32BD">
              <w:rPr>
                <w:rFonts w:ascii="Arial" w:eastAsia="Times New Roman" w:hAnsi="Arial" w:cs="Arial"/>
                <w:b/>
                <w:sz w:val="20"/>
                <w:szCs w:val="20"/>
                <w:vertAlign w:val="superscript"/>
                <w:lang w:eastAsia="fr-CI"/>
              </w:rPr>
              <w:t>-</w:t>
            </w:r>
            <w:r w:rsidRPr="00FE32BD">
              <w:rPr>
                <w:rFonts w:ascii="Arial" w:eastAsia="Times New Roman" w:hAnsi="Arial" w:cs="Arial"/>
                <w:b/>
                <w:sz w:val="20"/>
                <w:szCs w:val="20"/>
                <w:lang w:eastAsia="fr-CI"/>
              </w:rPr>
              <w:t>-N</w:t>
            </w:r>
          </w:p>
        </w:tc>
        <w:tc>
          <w:tcPr>
            <w:tcW w:w="1119" w:type="dxa"/>
            <w:tcBorders>
              <w:top w:val="single" w:sz="4" w:space="0" w:color="auto"/>
              <w:bottom w:val="single" w:sz="4" w:space="0" w:color="auto"/>
            </w:tcBorders>
            <w:vAlign w:val="center"/>
          </w:tcPr>
          <w:p w14:paraId="3E64AE8E"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Calibri" w:hAnsi="Arial" w:cs="Arial"/>
                <w:b/>
                <w:sz w:val="20"/>
                <w:szCs w:val="20"/>
              </w:rPr>
              <w:t>DIN</w:t>
            </w:r>
          </w:p>
        </w:tc>
        <w:tc>
          <w:tcPr>
            <w:tcW w:w="1119" w:type="dxa"/>
            <w:tcBorders>
              <w:top w:val="single" w:sz="4" w:space="0" w:color="auto"/>
              <w:bottom w:val="single" w:sz="4" w:space="0" w:color="auto"/>
            </w:tcBorders>
            <w:vAlign w:val="center"/>
          </w:tcPr>
          <w:p w14:paraId="378946CB" w14:textId="77777777" w:rsidR="00FE32BD" w:rsidRPr="00FE32BD" w:rsidRDefault="00FE32BD" w:rsidP="00FE32BD">
            <w:pPr>
              <w:spacing w:after="0" w:line="240" w:lineRule="auto"/>
              <w:jc w:val="both"/>
              <w:rPr>
                <w:rFonts w:ascii="Arial" w:eastAsia="Calibri" w:hAnsi="Arial" w:cs="Arial"/>
                <w:b/>
                <w:sz w:val="20"/>
                <w:szCs w:val="20"/>
              </w:rPr>
            </w:pPr>
            <w:r w:rsidRPr="00FE32BD">
              <w:rPr>
                <w:rFonts w:ascii="Arial" w:eastAsia="Times New Roman" w:hAnsi="Arial" w:cs="Arial"/>
                <w:b/>
                <w:sz w:val="20"/>
                <w:szCs w:val="20"/>
                <w:lang w:eastAsia="fr-CI"/>
              </w:rPr>
              <w:t>PO</w:t>
            </w:r>
            <w:r w:rsidRPr="00FE32BD">
              <w:rPr>
                <w:rFonts w:ascii="Arial" w:eastAsia="Times New Roman" w:hAnsi="Arial" w:cs="Arial"/>
                <w:b/>
                <w:sz w:val="20"/>
                <w:szCs w:val="20"/>
                <w:vertAlign w:val="subscript"/>
                <w:lang w:eastAsia="fr-CI"/>
              </w:rPr>
              <w:t>4</w:t>
            </w:r>
            <w:r w:rsidRPr="00FE32BD">
              <w:rPr>
                <w:rFonts w:ascii="Arial" w:eastAsia="Times New Roman" w:hAnsi="Arial" w:cs="Arial"/>
                <w:b/>
                <w:sz w:val="20"/>
                <w:szCs w:val="20"/>
                <w:vertAlign w:val="superscript"/>
                <w:lang w:eastAsia="fr-CI"/>
              </w:rPr>
              <w:t>3-</w:t>
            </w:r>
            <w:r w:rsidRPr="00FE32BD">
              <w:rPr>
                <w:rFonts w:ascii="Arial" w:eastAsia="Times New Roman" w:hAnsi="Arial" w:cs="Arial"/>
                <w:b/>
                <w:sz w:val="20"/>
                <w:szCs w:val="20"/>
                <w:lang w:eastAsia="fr-CI"/>
              </w:rPr>
              <w:t>-P</w:t>
            </w:r>
          </w:p>
        </w:tc>
        <w:tc>
          <w:tcPr>
            <w:tcW w:w="1342" w:type="dxa"/>
            <w:tcBorders>
              <w:top w:val="single" w:sz="4" w:space="0" w:color="auto"/>
              <w:bottom w:val="single" w:sz="4" w:space="0" w:color="auto"/>
            </w:tcBorders>
            <w:vAlign w:val="center"/>
          </w:tcPr>
          <w:p w14:paraId="286D9EFB" w14:textId="77777777" w:rsidR="00FE32BD" w:rsidRPr="00FE32BD" w:rsidRDefault="00FE32BD" w:rsidP="00FE32BD">
            <w:pPr>
              <w:spacing w:after="0" w:line="240" w:lineRule="auto"/>
              <w:jc w:val="both"/>
              <w:rPr>
                <w:rFonts w:ascii="Arial" w:eastAsia="Times New Roman" w:hAnsi="Arial" w:cs="Arial"/>
                <w:b/>
                <w:sz w:val="20"/>
                <w:szCs w:val="20"/>
                <w:lang w:eastAsia="fr-CI"/>
              </w:rPr>
            </w:pPr>
            <w:r w:rsidRPr="00FE32BD">
              <w:rPr>
                <w:rFonts w:ascii="Arial" w:eastAsia="Times New Roman" w:hAnsi="Arial" w:cs="Arial"/>
                <w:b/>
                <w:sz w:val="20"/>
                <w:szCs w:val="20"/>
                <w:lang w:eastAsia="fr-CI"/>
              </w:rPr>
              <w:t>N/P*</w:t>
            </w:r>
          </w:p>
        </w:tc>
      </w:tr>
      <w:tr w:rsidR="00FE32BD" w:rsidRPr="00FE32BD" w14:paraId="0280DBAC" w14:textId="77777777" w:rsidTr="00F826EE">
        <w:trPr>
          <w:trHeight w:val="457"/>
          <w:jc w:val="center"/>
        </w:trPr>
        <w:tc>
          <w:tcPr>
            <w:tcW w:w="894" w:type="dxa"/>
            <w:tcBorders>
              <w:top w:val="single" w:sz="4" w:space="0" w:color="auto"/>
            </w:tcBorders>
            <w:vAlign w:val="center"/>
          </w:tcPr>
          <w:p w14:paraId="06D28BB8"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S1</w:t>
            </w:r>
          </w:p>
        </w:tc>
        <w:tc>
          <w:tcPr>
            <w:tcW w:w="1118" w:type="dxa"/>
            <w:tcBorders>
              <w:top w:val="single" w:sz="4" w:space="0" w:color="auto"/>
            </w:tcBorders>
            <w:vAlign w:val="center"/>
          </w:tcPr>
          <w:p w14:paraId="5646C5C5"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0.54±0.06</w:t>
            </w:r>
          </w:p>
        </w:tc>
        <w:tc>
          <w:tcPr>
            <w:tcW w:w="1341" w:type="dxa"/>
            <w:tcBorders>
              <w:top w:val="single" w:sz="4" w:space="0" w:color="auto"/>
            </w:tcBorders>
            <w:vAlign w:val="center"/>
          </w:tcPr>
          <w:p w14:paraId="741DEBAF"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0.028±0.007</w:t>
            </w:r>
          </w:p>
        </w:tc>
        <w:tc>
          <w:tcPr>
            <w:tcW w:w="1230" w:type="dxa"/>
            <w:tcBorders>
              <w:top w:val="single" w:sz="4" w:space="0" w:color="auto"/>
            </w:tcBorders>
            <w:vAlign w:val="center"/>
          </w:tcPr>
          <w:p w14:paraId="3AE77F9A"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9.80±3.86</w:t>
            </w:r>
          </w:p>
        </w:tc>
        <w:tc>
          <w:tcPr>
            <w:tcW w:w="1230" w:type="dxa"/>
            <w:tcBorders>
              <w:top w:val="single" w:sz="4" w:space="0" w:color="auto"/>
            </w:tcBorders>
            <w:vAlign w:val="center"/>
          </w:tcPr>
          <w:p w14:paraId="5E17077E"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10.37±2.94</w:t>
            </w:r>
          </w:p>
        </w:tc>
        <w:tc>
          <w:tcPr>
            <w:tcW w:w="1119" w:type="dxa"/>
            <w:tcBorders>
              <w:top w:val="single" w:sz="4" w:space="0" w:color="auto"/>
            </w:tcBorders>
            <w:vAlign w:val="center"/>
          </w:tcPr>
          <w:p w14:paraId="348750BB"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3.05±0.12</w:t>
            </w:r>
          </w:p>
        </w:tc>
        <w:tc>
          <w:tcPr>
            <w:tcW w:w="1341" w:type="dxa"/>
            <w:tcBorders>
              <w:top w:val="single" w:sz="4" w:space="0" w:color="auto"/>
            </w:tcBorders>
            <w:vAlign w:val="center"/>
          </w:tcPr>
          <w:p w14:paraId="4630D53F"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58.77±40.09</w:t>
            </w:r>
          </w:p>
        </w:tc>
        <w:tc>
          <w:tcPr>
            <w:tcW w:w="224" w:type="dxa"/>
            <w:tcBorders>
              <w:top w:val="single" w:sz="4" w:space="0" w:color="auto"/>
            </w:tcBorders>
            <w:vAlign w:val="center"/>
          </w:tcPr>
          <w:p w14:paraId="5A71BE62"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tcBorders>
              <w:top w:val="single" w:sz="4" w:space="0" w:color="auto"/>
            </w:tcBorders>
            <w:vAlign w:val="center"/>
          </w:tcPr>
          <w:p w14:paraId="58A1900A"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0.82±0.61</w:t>
            </w:r>
          </w:p>
        </w:tc>
        <w:tc>
          <w:tcPr>
            <w:tcW w:w="1341" w:type="dxa"/>
            <w:tcBorders>
              <w:top w:val="single" w:sz="4" w:space="0" w:color="auto"/>
            </w:tcBorders>
            <w:vAlign w:val="center"/>
          </w:tcPr>
          <w:p w14:paraId="491FB2B0"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0.019±0.017</w:t>
            </w:r>
          </w:p>
        </w:tc>
        <w:tc>
          <w:tcPr>
            <w:tcW w:w="1119" w:type="dxa"/>
            <w:tcBorders>
              <w:top w:val="single" w:sz="4" w:space="0" w:color="auto"/>
            </w:tcBorders>
            <w:vAlign w:val="center"/>
          </w:tcPr>
          <w:p w14:paraId="6016E8B8"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5.10±4.05</w:t>
            </w:r>
          </w:p>
        </w:tc>
        <w:tc>
          <w:tcPr>
            <w:tcW w:w="1119" w:type="dxa"/>
            <w:tcBorders>
              <w:top w:val="single" w:sz="4" w:space="0" w:color="auto"/>
            </w:tcBorders>
            <w:vAlign w:val="center"/>
          </w:tcPr>
          <w:p w14:paraId="69EAD26D"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5.94±1.64</w:t>
            </w:r>
          </w:p>
        </w:tc>
        <w:tc>
          <w:tcPr>
            <w:tcW w:w="1119" w:type="dxa"/>
            <w:tcBorders>
              <w:top w:val="single" w:sz="4" w:space="0" w:color="auto"/>
            </w:tcBorders>
            <w:vAlign w:val="center"/>
          </w:tcPr>
          <w:p w14:paraId="70979BE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4.12±0.61</w:t>
            </w:r>
          </w:p>
        </w:tc>
        <w:tc>
          <w:tcPr>
            <w:tcW w:w="1342" w:type="dxa"/>
            <w:tcBorders>
              <w:top w:val="single" w:sz="4" w:space="0" w:color="auto"/>
            </w:tcBorders>
            <w:vAlign w:val="center"/>
          </w:tcPr>
          <w:p w14:paraId="0344D3E0"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10.17±2.16</w:t>
            </w:r>
          </w:p>
        </w:tc>
      </w:tr>
      <w:tr w:rsidR="00FE32BD" w:rsidRPr="00FE32BD" w14:paraId="00BF6ACB" w14:textId="77777777" w:rsidTr="00F826EE">
        <w:trPr>
          <w:trHeight w:val="457"/>
          <w:jc w:val="center"/>
        </w:trPr>
        <w:tc>
          <w:tcPr>
            <w:tcW w:w="894" w:type="dxa"/>
            <w:vAlign w:val="center"/>
          </w:tcPr>
          <w:p w14:paraId="2477F7CE"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S2</w:t>
            </w:r>
          </w:p>
        </w:tc>
        <w:tc>
          <w:tcPr>
            <w:tcW w:w="1118" w:type="dxa"/>
            <w:vAlign w:val="center"/>
          </w:tcPr>
          <w:p w14:paraId="296A6BA8"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0.11±0.06</w:t>
            </w:r>
          </w:p>
        </w:tc>
        <w:tc>
          <w:tcPr>
            <w:tcW w:w="1341" w:type="dxa"/>
            <w:vAlign w:val="center"/>
          </w:tcPr>
          <w:p w14:paraId="72B0C559"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0.034±0.008</w:t>
            </w:r>
          </w:p>
        </w:tc>
        <w:tc>
          <w:tcPr>
            <w:tcW w:w="1230" w:type="dxa"/>
            <w:vAlign w:val="center"/>
          </w:tcPr>
          <w:p w14:paraId="028FE5D1"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10.85±9.28</w:t>
            </w:r>
          </w:p>
        </w:tc>
        <w:tc>
          <w:tcPr>
            <w:tcW w:w="1230" w:type="dxa"/>
            <w:vAlign w:val="center"/>
          </w:tcPr>
          <w:p w14:paraId="6570276A"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10.99±3.66</w:t>
            </w:r>
          </w:p>
        </w:tc>
        <w:tc>
          <w:tcPr>
            <w:tcW w:w="1119" w:type="dxa"/>
            <w:vAlign w:val="center"/>
          </w:tcPr>
          <w:p w14:paraId="1AA4F8F6"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0.38±0.23</w:t>
            </w:r>
          </w:p>
        </w:tc>
        <w:tc>
          <w:tcPr>
            <w:tcW w:w="1341" w:type="dxa"/>
            <w:vAlign w:val="center"/>
          </w:tcPr>
          <w:p w14:paraId="45EFAB9E"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19.70±1.69</w:t>
            </w:r>
          </w:p>
        </w:tc>
        <w:tc>
          <w:tcPr>
            <w:tcW w:w="224" w:type="dxa"/>
            <w:vAlign w:val="center"/>
          </w:tcPr>
          <w:p w14:paraId="1697935C"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4FFCE46C"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0.15±0.06</w:t>
            </w:r>
          </w:p>
        </w:tc>
        <w:tc>
          <w:tcPr>
            <w:tcW w:w="1341" w:type="dxa"/>
            <w:vAlign w:val="center"/>
          </w:tcPr>
          <w:p w14:paraId="33D3DF53"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0.032±0.013</w:t>
            </w:r>
          </w:p>
        </w:tc>
        <w:tc>
          <w:tcPr>
            <w:tcW w:w="1119" w:type="dxa"/>
            <w:vAlign w:val="center"/>
          </w:tcPr>
          <w:p w14:paraId="622B2FB1"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4.75±1.61</w:t>
            </w:r>
          </w:p>
        </w:tc>
        <w:tc>
          <w:tcPr>
            <w:tcW w:w="1119" w:type="dxa"/>
            <w:vAlign w:val="center"/>
          </w:tcPr>
          <w:p w14:paraId="2DD19083"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4.93±1.62</w:t>
            </w:r>
          </w:p>
        </w:tc>
        <w:tc>
          <w:tcPr>
            <w:tcW w:w="1119" w:type="dxa"/>
            <w:vAlign w:val="center"/>
          </w:tcPr>
          <w:p w14:paraId="5BA1CB0E"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0.72±0.59</w:t>
            </w:r>
          </w:p>
        </w:tc>
        <w:tc>
          <w:tcPr>
            <w:tcW w:w="1342" w:type="dxa"/>
            <w:vAlign w:val="center"/>
          </w:tcPr>
          <w:p w14:paraId="68F7AD4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26.39±10.62</w:t>
            </w:r>
          </w:p>
        </w:tc>
      </w:tr>
      <w:tr w:rsidR="00FE32BD" w:rsidRPr="00FE32BD" w14:paraId="46E0100A" w14:textId="77777777" w:rsidTr="00F826EE">
        <w:trPr>
          <w:trHeight w:val="457"/>
          <w:jc w:val="center"/>
        </w:trPr>
        <w:tc>
          <w:tcPr>
            <w:tcW w:w="894" w:type="dxa"/>
            <w:vAlign w:val="center"/>
          </w:tcPr>
          <w:p w14:paraId="4A7093BC"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S3</w:t>
            </w:r>
          </w:p>
        </w:tc>
        <w:tc>
          <w:tcPr>
            <w:tcW w:w="1118" w:type="dxa"/>
            <w:vAlign w:val="center"/>
          </w:tcPr>
          <w:p w14:paraId="5BE070A8"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0.07±0.04</w:t>
            </w:r>
          </w:p>
        </w:tc>
        <w:tc>
          <w:tcPr>
            <w:tcW w:w="1341" w:type="dxa"/>
            <w:vAlign w:val="center"/>
          </w:tcPr>
          <w:p w14:paraId="4C4ECEC6"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0.030±0.020</w:t>
            </w:r>
          </w:p>
        </w:tc>
        <w:tc>
          <w:tcPr>
            <w:tcW w:w="1230" w:type="dxa"/>
            <w:vAlign w:val="center"/>
          </w:tcPr>
          <w:p w14:paraId="065F516F"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4.18±4.13</w:t>
            </w:r>
          </w:p>
        </w:tc>
        <w:tc>
          <w:tcPr>
            <w:tcW w:w="1230" w:type="dxa"/>
            <w:vAlign w:val="center"/>
          </w:tcPr>
          <w:p w14:paraId="11C3B81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4.28±0.00</w:t>
            </w:r>
          </w:p>
        </w:tc>
        <w:tc>
          <w:tcPr>
            <w:tcW w:w="1119" w:type="dxa"/>
            <w:vAlign w:val="center"/>
          </w:tcPr>
          <w:p w14:paraId="1C79F6A4"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1.16±0.14</w:t>
            </w:r>
          </w:p>
        </w:tc>
        <w:tc>
          <w:tcPr>
            <w:tcW w:w="1341" w:type="dxa"/>
            <w:vAlign w:val="center"/>
          </w:tcPr>
          <w:p w14:paraId="0DF7B278"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26.36±0.00</w:t>
            </w:r>
          </w:p>
        </w:tc>
        <w:tc>
          <w:tcPr>
            <w:tcW w:w="224" w:type="dxa"/>
            <w:vAlign w:val="center"/>
          </w:tcPr>
          <w:p w14:paraId="7286649B"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28CE854C"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0.37±0.34</w:t>
            </w:r>
          </w:p>
        </w:tc>
        <w:tc>
          <w:tcPr>
            <w:tcW w:w="1341" w:type="dxa"/>
            <w:vAlign w:val="center"/>
          </w:tcPr>
          <w:p w14:paraId="15DC792C"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0.028±0.010</w:t>
            </w:r>
          </w:p>
        </w:tc>
        <w:tc>
          <w:tcPr>
            <w:tcW w:w="1119" w:type="dxa"/>
            <w:vAlign w:val="center"/>
          </w:tcPr>
          <w:p w14:paraId="4621482D"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4.80±4.27</w:t>
            </w:r>
          </w:p>
        </w:tc>
        <w:tc>
          <w:tcPr>
            <w:tcW w:w="1119" w:type="dxa"/>
            <w:vAlign w:val="center"/>
          </w:tcPr>
          <w:p w14:paraId="05DAD339"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5.20±3.27</w:t>
            </w:r>
          </w:p>
        </w:tc>
        <w:tc>
          <w:tcPr>
            <w:tcW w:w="1119" w:type="dxa"/>
            <w:vAlign w:val="center"/>
          </w:tcPr>
          <w:p w14:paraId="36E5E243"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1.55±0.73</w:t>
            </w:r>
          </w:p>
        </w:tc>
        <w:tc>
          <w:tcPr>
            <w:tcW w:w="1342" w:type="dxa"/>
            <w:vAlign w:val="center"/>
          </w:tcPr>
          <w:p w14:paraId="2C25F2CB"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10.25±2.78</w:t>
            </w:r>
          </w:p>
        </w:tc>
      </w:tr>
      <w:tr w:rsidR="00FE32BD" w:rsidRPr="00FE32BD" w14:paraId="5427A25F" w14:textId="77777777" w:rsidTr="00F826EE">
        <w:trPr>
          <w:trHeight w:val="485"/>
          <w:jc w:val="center"/>
        </w:trPr>
        <w:tc>
          <w:tcPr>
            <w:tcW w:w="894" w:type="dxa"/>
            <w:vAlign w:val="center"/>
          </w:tcPr>
          <w:p w14:paraId="1CD4359D"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S4</w:t>
            </w:r>
          </w:p>
        </w:tc>
        <w:tc>
          <w:tcPr>
            <w:tcW w:w="1118" w:type="dxa"/>
            <w:vAlign w:val="center"/>
          </w:tcPr>
          <w:p w14:paraId="141983AE"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0.06±0.03</w:t>
            </w:r>
          </w:p>
        </w:tc>
        <w:tc>
          <w:tcPr>
            <w:tcW w:w="1341" w:type="dxa"/>
            <w:vAlign w:val="center"/>
          </w:tcPr>
          <w:p w14:paraId="31DD742B"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0.014±0.010</w:t>
            </w:r>
          </w:p>
        </w:tc>
        <w:tc>
          <w:tcPr>
            <w:tcW w:w="1230" w:type="dxa"/>
            <w:vAlign w:val="center"/>
          </w:tcPr>
          <w:p w14:paraId="17BE53D0"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8.43±0.93</w:t>
            </w:r>
          </w:p>
        </w:tc>
        <w:tc>
          <w:tcPr>
            <w:tcW w:w="1230" w:type="dxa"/>
            <w:vAlign w:val="center"/>
          </w:tcPr>
          <w:p w14:paraId="7BA22342"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8.50±0.92</w:t>
            </w:r>
          </w:p>
        </w:tc>
        <w:tc>
          <w:tcPr>
            <w:tcW w:w="1119" w:type="dxa"/>
            <w:vAlign w:val="center"/>
          </w:tcPr>
          <w:p w14:paraId="162F8CDF"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1.14±0.78</w:t>
            </w:r>
          </w:p>
        </w:tc>
        <w:tc>
          <w:tcPr>
            <w:tcW w:w="1341" w:type="dxa"/>
            <w:vAlign w:val="center"/>
          </w:tcPr>
          <w:p w14:paraId="393BFE16"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18.87±5.07</w:t>
            </w:r>
          </w:p>
        </w:tc>
        <w:tc>
          <w:tcPr>
            <w:tcW w:w="224" w:type="dxa"/>
            <w:vAlign w:val="center"/>
          </w:tcPr>
          <w:p w14:paraId="4D8F58E0"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0F515CC6"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0.23±0.16</w:t>
            </w:r>
          </w:p>
        </w:tc>
        <w:tc>
          <w:tcPr>
            <w:tcW w:w="1341" w:type="dxa"/>
            <w:vAlign w:val="center"/>
          </w:tcPr>
          <w:p w14:paraId="3F60D1C6"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0.044±0.018</w:t>
            </w:r>
          </w:p>
        </w:tc>
        <w:tc>
          <w:tcPr>
            <w:tcW w:w="1119" w:type="dxa"/>
            <w:vAlign w:val="center"/>
          </w:tcPr>
          <w:p w14:paraId="005C7B77"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5.98±3.48</w:t>
            </w:r>
          </w:p>
        </w:tc>
        <w:tc>
          <w:tcPr>
            <w:tcW w:w="1119" w:type="dxa"/>
            <w:vAlign w:val="center"/>
          </w:tcPr>
          <w:p w14:paraId="76F9323C"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6.25±1.55</w:t>
            </w:r>
          </w:p>
        </w:tc>
        <w:tc>
          <w:tcPr>
            <w:tcW w:w="1119" w:type="dxa"/>
            <w:vAlign w:val="center"/>
          </w:tcPr>
          <w:p w14:paraId="510915DE"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1.65±0.74</w:t>
            </w:r>
          </w:p>
        </w:tc>
        <w:tc>
          <w:tcPr>
            <w:tcW w:w="1342" w:type="dxa"/>
            <w:vAlign w:val="center"/>
          </w:tcPr>
          <w:p w14:paraId="6498C76E"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7.46±3.43</w:t>
            </w:r>
          </w:p>
        </w:tc>
      </w:tr>
      <w:tr w:rsidR="00FE32BD" w:rsidRPr="00FE32BD" w14:paraId="6C364437" w14:textId="77777777" w:rsidTr="00F826EE">
        <w:trPr>
          <w:trHeight w:val="457"/>
          <w:jc w:val="center"/>
        </w:trPr>
        <w:tc>
          <w:tcPr>
            <w:tcW w:w="894" w:type="dxa"/>
            <w:vAlign w:val="center"/>
          </w:tcPr>
          <w:p w14:paraId="0F8D076F"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S5</w:t>
            </w:r>
          </w:p>
        </w:tc>
        <w:tc>
          <w:tcPr>
            <w:tcW w:w="1118" w:type="dxa"/>
            <w:vAlign w:val="center"/>
          </w:tcPr>
          <w:p w14:paraId="3062D689"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0.07±0.04</w:t>
            </w:r>
          </w:p>
        </w:tc>
        <w:tc>
          <w:tcPr>
            <w:tcW w:w="1341" w:type="dxa"/>
            <w:vAlign w:val="center"/>
          </w:tcPr>
          <w:p w14:paraId="5ACD1BDC"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0.014±0.008</w:t>
            </w:r>
          </w:p>
        </w:tc>
        <w:tc>
          <w:tcPr>
            <w:tcW w:w="1230" w:type="dxa"/>
            <w:vAlign w:val="center"/>
          </w:tcPr>
          <w:p w14:paraId="09B2BBD0"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3.18±2.28</w:t>
            </w:r>
          </w:p>
        </w:tc>
        <w:tc>
          <w:tcPr>
            <w:tcW w:w="1230" w:type="dxa"/>
            <w:vAlign w:val="center"/>
          </w:tcPr>
          <w:p w14:paraId="28DBDBD4"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3.26±1.37</w:t>
            </w:r>
          </w:p>
        </w:tc>
        <w:tc>
          <w:tcPr>
            <w:tcW w:w="1119" w:type="dxa"/>
            <w:vAlign w:val="center"/>
          </w:tcPr>
          <w:p w14:paraId="158D0F83"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0.63±0.10</w:t>
            </w:r>
          </w:p>
        </w:tc>
        <w:tc>
          <w:tcPr>
            <w:tcW w:w="1341" w:type="dxa"/>
            <w:vAlign w:val="center"/>
          </w:tcPr>
          <w:p w14:paraId="5F98D09B"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21.62±3.86</w:t>
            </w:r>
          </w:p>
        </w:tc>
        <w:tc>
          <w:tcPr>
            <w:tcW w:w="224" w:type="dxa"/>
            <w:vAlign w:val="center"/>
          </w:tcPr>
          <w:p w14:paraId="0487B71C"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658856C1"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0.36±0.22</w:t>
            </w:r>
          </w:p>
        </w:tc>
        <w:tc>
          <w:tcPr>
            <w:tcW w:w="1341" w:type="dxa"/>
            <w:vAlign w:val="center"/>
          </w:tcPr>
          <w:p w14:paraId="3A75230C"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0.034±0.029</w:t>
            </w:r>
          </w:p>
        </w:tc>
        <w:tc>
          <w:tcPr>
            <w:tcW w:w="1119" w:type="dxa"/>
            <w:vAlign w:val="center"/>
          </w:tcPr>
          <w:p w14:paraId="3ACE63A5"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5.45±2.37</w:t>
            </w:r>
          </w:p>
        </w:tc>
        <w:tc>
          <w:tcPr>
            <w:tcW w:w="1119" w:type="dxa"/>
            <w:vAlign w:val="center"/>
          </w:tcPr>
          <w:p w14:paraId="1AD17414"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5.84±0.69</w:t>
            </w:r>
          </w:p>
        </w:tc>
        <w:tc>
          <w:tcPr>
            <w:tcW w:w="1119" w:type="dxa"/>
            <w:vAlign w:val="center"/>
          </w:tcPr>
          <w:p w14:paraId="705EF383"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1.34±0.36</w:t>
            </w:r>
          </w:p>
        </w:tc>
        <w:tc>
          <w:tcPr>
            <w:tcW w:w="1342" w:type="dxa"/>
            <w:vAlign w:val="center"/>
          </w:tcPr>
          <w:p w14:paraId="05B0D70A"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8.34±0.98</w:t>
            </w:r>
          </w:p>
        </w:tc>
      </w:tr>
      <w:tr w:rsidR="00FE32BD" w:rsidRPr="00FE32BD" w14:paraId="2B112742" w14:textId="77777777" w:rsidTr="00F826EE">
        <w:trPr>
          <w:trHeight w:val="485"/>
          <w:jc w:val="center"/>
        </w:trPr>
        <w:tc>
          <w:tcPr>
            <w:tcW w:w="894" w:type="dxa"/>
            <w:vAlign w:val="center"/>
          </w:tcPr>
          <w:p w14:paraId="78E3EAE9"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S6</w:t>
            </w:r>
          </w:p>
        </w:tc>
        <w:tc>
          <w:tcPr>
            <w:tcW w:w="1118" w:type="dxa"/>
            <w:vAlign w:val="center"/>
          </w:tcPr>
          <w:p w14:paraId="5AB7F370"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0.04±0.01</w:t>
            </w:r>
          </w:p>
        </w:tc>
        <w:tc>
          <w:tcPr>
            <w:tcW w:w="1341" w:type="dxa"/>
            <w:vAlign w:val="center"/>
          </w:tcPr>
          <w:p w14:paraId="5E030732"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0.012±0.008</w:t>
            </w:r>
          </w:p>
        </w:tc>
        <w:tc>
          <w:tcPr>
            <w:tcW w:w="1230" w:type="dxa"/>
            <w:vAlign w:val="center"/>
          </w:tcPr>
          <w:p w14:paraId="3537FE81"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5.03±3.56</w:t>
            </w:r>
          </w:p>
        </w:tc>
        <w:tc>
          <w:tcPr>
            <w:tcW w:w="1230" w:type="dxa"/>
            <w:vAlign w:val="center"/>
          </w:tcPr>
          <w:p w14:paraId="402B5F93"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5.07±2.75</w:t>
            </w:r>
          </w:p>
        </w:tc>
        <w:tc>
          <w:tcPr>
            <w:tcW w:w="1119" w:type="dxa"/>
            <w:vAlign w:val="center"/>
          </w:tcPr>
          <w:p w14:paraId="5AFE5388"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0.46±0.08</w:t>
            </w:r>
          </w:p>
        </w:tc>
        <w:tc>
          <w:tcPr>
            <w:tcW w:w="1341" w:type="dxa"/>
            <w:vAlign w:val="center"/>
          </w:tcPr>
          <w:p w14:paraId="69D76D08"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49.44±1.15</w:t>
            </w:r>
          </w:p>
        </w:tc>
        <w:tc>
          <w:tcPr>
            <w:tcW w:w="224" w:type="dxa"/>
            <w:vAlign w:val="center"/>
          </w:tcPr>
          <w:p w14:paraId="087EC9F0"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0315C399"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0.24±0.18</w:t>
            </w:r>
          </w:p>
        </w:tc>
        <w:tc>
          <w:tcPr>
            <w:tcW w:w="1341" w:type="dxa"/>
            <w:vAlign w:val="center"/>
          </w:tcPr>
          <w:p w14:paraId="74FD7C07"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0.029±0.021</w:t>
            </w:r>
          </w:p>
        </w:tc>
        <w:tc>
          <w:tcPr>
            <w:tcW w:w="1119" w:type="dxa"/>
            <w:vAlign w:val="center"/>
          </w:tcPr>
          <w:p w14:paraId="3B8C0245"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3.88±1.95</w:t>
            </w:r>
          </w:p>
        </w:tc>
        <w:tc>
          <w:tcPr>
            <w:tcW w:w="1119" w:type="dxa"/>
            <w:vAlign w:val="center"/>
          </w:tcPr>
          <w:p w14:paraId="053FE6DD"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4.14±0.42</w:t>
            </w:r>
          </w:p>
        </w:tc>
        <w:tc>
          <w:tcPr>
            <w:tcW w:w="1119" w:type="dxa"/>
            <w:vAlign w:val="center"/>
          </w:tcPr>
          <w:p w14:paraId="7F885EEF"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2.07±0.86</w:t>
            </w:r>
          </w:p>
        </w:tc>
        <w:tc>
          <w:tcPr>
            <w:tcW w:w="1342" w:type="dxa"/>
            <w:vAlign w:val="center"/>
          </w:tcPr>
          <w:p w14:paraId="2DAEEEF0"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9.59±0.64</w:t>
            </w:r>
          </w:p>
        </w:tc>
      </w:tr>
      <w:tr w:rsidR="00FE32BD" w:rsidRPr="00FE32BD" w14:paraId="429EDDF9" w14:textId="77777777" w:rsidTr="00F826EE">
        <w:trPr>
          <w:trHeight w:val="457"/>
          <w:jc w:val="center"/>
        </w:trPr>
        <w:tc>
          <w:tcPr>
            <w:tcW w:w="894" w:type="dxa"/>
            <w:vAlign w:val="center"/>
          </w:tcPr>
          <w:p w14:paraId="4C1BE00C"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sz w:val="20"/>
                <w:szCs w:val="20"/>
              </w:rPr>
              <w:t>S7</w:t>
            </w:r>
          </w:p>
        </w:tc>
        <w:tc>
          <w:tcPr>
            <w:tcW w:w="1118" w:type="dxa"/>
            <w:vAlign w:val="center"/>
          </w:tcPr>
          <w:p w14:paraId="646F1ABA"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0.09±0.03</w:t>
            </w:r>
          </w:p>
        </w:tc>
        <w:tc>
          <w:tcPr>
            <w:tcW w:w="1341" w:type="dxa"/>
            <w:vAlign w:val="center"/>
          </w:tcPr>
          <w:p w14:paraId="156140C4"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0.013±0.006</w:t>
            </w:r>
          </w:p>
        </w:tc>
        <w:tc>
          <w:tcPr>
            <w:tcW w:w="1230" w:type="dxa"/>
            <w:vAlign w:val="center"/>
          </w:tcPr>
          <w:p w14:paraId="4EFE67F5"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3.23±2.38</w:t>
            </w:r>
          </w:p>
        </w:tc>
        <w:tc>
          <w:tcPr>
            <w:tcW w:w="1230" w:type="dxa"/>
            <w:vAlign w:val="center"/>
          </w:tcPr>
          <w:p w14:paraId="10E70A28"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3.33±0.56</w:t>
            </w:r>
          </w:p>
        </w:tc>
        <w:tc>
          <w:tcPr>
            <w:tcW w:w="1119" w:type="dxa"/>
            <w:vAlign w:val="center"/>
          </w:tcPr>
          <w:p w14:paraId="0A7D6671"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0.54±0.04</w:t>
            </w:r>
          </w:p>
        </w:tc>
        <w:tc>
          <w:tcPr>
            <w:tcW w:w="1341" w:type="dxa"/>
            <w:vAlign w:val="center"/>
          </w:tcPr>
          <w:p w14:paraId="07CFC29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20.62±7.67</w:t>
            </w:r>
          </w:p>
        </w:tc>
        <w:tc>
          <w:tcPr>
            <w:tcW w:w="224" w:type="dxa"/>
            <w:vAlign w:val="center"/>
          </w:tcPr>
          <w:p w14:paraId="4868BD8C"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vAlign w:val="center"/>
          </w:tcPr>
          <w:p w14:paraId="753C8184"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0.23±0.16</w:t>
            </w:r>
          </w:p>
        </w:tc>
        <w:tc>
          <w:tcPr>
            <w:tcW w:w="1341" w:type="dxa"/>
            <w:vAlign w:val="center"/>
          </w:tcPr>
          <w:p w14:paraId="2D41A71B"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0.023±0.011</w:t>
            </w:r>
          </w:p>
        </w:tc>
        <w:tc>
          <w:tcPr>
            <w:tcW w:w="1119" w:type="dxa"/>
            <w:vAlign w:val="center"/>
          </w:tcPr>
          <w:p w14:paraId="4AB47DEA" w14:textId="77777777" w:rsidR="00FE32BD" w:rsidRPr="00FE32BD" w:rsidRDefault="00FE32BD" w:rsidP="00FE32BD">
            <w:pPr>
              <w:spacing w:after="0" w:line="240" w:lineRule="auto"/>
              <w:jc w:val="both"/>
              <w:rPr>
                <w:rFonts w:ascii="Arial" w:eastAsia="Times New Roman" w:hAnsi="Arial" w:cs="Arial"/>
                <w:sz w:val="20"/>
                <w:szCs w:val="20"/>
                <w:lang w:eastAsia="fr-CI"/>
              </w:rPr>
            </w:pPr>
            <w:r w:rsidRPr="00FE32BD">
              <w:rPr>
                <w:rFonts w:ascii="Arial" w:eastAsia="Calibri" w:hAnsi="Arial" w:cs="Arial"/>
                <w:color w:val="000000"/>
                <w:sz w:val="20"/>
                <w:szCs w:val="20"/>
              </w:rPr>
              <w:t>4.58±2.87</w:t>
            </w:r>
          </w:p>
        </w:tc>
        <w:tc>
          <w:tcPr>
            <w:tcW w:w="1119" w:type="dxa"/>
            <w:vAlign w:val="center"/>
          </w:tcPr>
          <w:p w14:paraId="094F6250"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4.83±1.37</w:t>
            </w:r>
          </w:p>
        </w:tc>
        <w:tc>
          <w:tcPr>
            <w:tcW w:w="1119" w:type="dxa"/>
            <w:vAlign w:val="center"/>
          </w:tcPr>
          <w:p w14:paraId="457B448B"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1.12±0.66</w:t>
            </w:r>
          </w:p>
        </w:tc>
        <w:tc>
          <w:tcPr>
            <w:tcW w:w="1342" w:type="dxa"/>
            <w:vAlign w:val="center"/>
          </w:tcPr>
          <w:p w14:paraId="25016C2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10.38±0.64</w:t>
            </w:r>
          </w:p>
        </w:tc>
      </w:tr>
      <w:tr w:rsidR="00FE32BD" w:rsidRPr="00FE32BD" w14:paraId="2127CEAE" w14:textId="77777777" w:rsidTr="00F826EE">
        <w:trPr>
          <w:trHeight w:val="427"/>
          <w:jc w:val="center"/>
        </w:trPr>
        <w:tc>
          <w:tcPr>
            <w:tcW w:w="894" w:type="dxa"/>
            <w:tcBorders>
              <w:bottom w:val="single" w:sz="4" w:space="0" w:color="auto"/>
            </w:tcBorders>
            <w:vAlign w:val="center"/>
          </w:tcPr>
          <w:p w14:paraId="63B67013" w14:textId="77777777" w:rsidR="00FE32BD" w:rsidRPr="00FE32BD" w:rsidRDefault="00FE32BD" w:rsidP="00FE32BD">
            <w:pPr>
              <w:spacing w:after="0" w:line="240" w:lineRule="auto"/>
              <w:jc w:val="both"/>
              <w:rPr>
                <w:rFonts w:ascii="Arial" w:eastAsia="Calibri" w:hAnsi="Arial" w:cs="Arial"/>
                <w:sz w:val="20"/>
                <w:szCs w:val="20"/>
              </w:rPr>
            </w:pPr>
            <w:proofErr w:type="spellStart"/>
            <w:r w:rsidRPr="00FE32BD">
              <w:rPr>
                <w:rFonts w:ascii="Arial" w:eastAsia="Calibri" w:hAnsi="Arial" w:cs="Arial"/>
                <w:bCs/>
                <w:sz w:val="20"/>
                <w:szCs w:val="20"/>
              </w:rPr>
              <w:t>Mean</w:t>
            </w:r>
            <w:proofErr w:type="spellEnd"/>
          </w:p>
        </w:tc>
        <w:tc>
          <w:tcPr>
            <w:tcW w:w="1118" w:type="dxa"/>
            <w:tcBorders>
              <w:bottom w:val="single" w:sz="4" w:space="0" w:color="auto"/>
            </w:tcBorders>
            <w:vAlign w:val="center"/>
          </w:tcPr>
          <w:p w14:paraId="68F661D7"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0.14±0.04</w:t>
            </w:r>
          </w:p>
        </w:tc>
        <w:tc>
          <w:tcPr>
            <w:tcW w:w="1341" w:type="dxa"/>
            <w:tcBorders>
              <w:bottom w:val="single" w:sz="4" w:space="0" w:color="auto"/>
            </w:tcBorders>
            <w:vAlign w:val="center"/>
          </w:tcPr>
          <w:p w14:paraId="4F14663F"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0.021±0.011</w:t>
            </w:r>
          </w:p>
        </w:tc>
        <w:tc>
          <w:tcPr>
            <w:tcW w:w="1230" w:type="dxa"/>
            <w:tcBorders>
              <w:bottom w:val="single" w:sz="4" w:space="0" w:color="auto"/>
            </w:tcBorders>
            <w:vAlign w:val="center"/>
          </w:tcPr>
          <w:p w14:paraId="5CA3635D"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6.38±3.77</w:t>
            </w:r>
          </w:p>
        </w:tc>
        <w:tc>
          <w:tcPr>
            <w:tcW w:w="1230" w:type="dxa"/>
            <w:tcBorders>
              <w:bottom w:val="single" w:sz="4" w:space="0" w:color="auto"/>
            </w:tcBorders>
            <w:vAlign w:val="center"/>
          </w:tcPr>
          <w:p w14:paraId="0327D6E2"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6.54±1.38</w:t>
            </w:r>
          </w:p>
        </w:tc>
        <w:tc>
          <w:tcPr>
            <w:tcW w:w="1119" w:type="dxa"/>
            <w:tcBorders>
              <w:bottom w:val="single" w:sz="4" w:space="0" w:color="auto"/>
            </w:tcBorders>
            <w:vAlign w:val="center"/>
          </w:tcPr>
          <w:p w14:paraId="2A6B4564"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1.05±0.26</w:t>
            </w:r>
          </w:p>
        </w:tc>
        <w:tc>
          <w:tcPr>
            <w:tcW w:w="1341" w:type="dxa"/>
            <w:tcBorders>
              <w:bottom w:val="single" w:sz="4" w:space="0" w:color="auto"/>
            </w:tcBorders>
            <w:vAlign w:val="center"/>
          </w:tcPr>
          <w:p w14:paraId="7051C407"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30.77±2.85</w:t>
            </w:r>
          </w:p>
        </w:tc>
        <w:tc>
          <w:tcPr>
            <w:tcW w:w="224" w:type="dxa"/>
            <w:tcBorders>
              <w:bottom w:val="single" w:sz="4" w:space="0" w:color="auto"/>
            </w:tcBorders>
            <w:vAlign w:val="center"/>
          </w:tcPr>
          <w:p w14:paraId="0BDA21F4" w14:textId="77777777" w:rsidR="00FE32BD" w:rsidRPr="00FE32BD" w:rsidRDefault="00FE32BD" w:rsidP="00FE32BD">
            <w:pPr>
              <w:spacing w:after="0" w:line="240" w:lineRule="auto"/>
              <w:jc w:val="both"/>
              <w:rPr>
                <w:rFonts w:ascii="Arial" w:eastAsia="Calibri" w:hAnsi="Arial" w:cs="Arial"/>
                <w:sz w:val="20"/>
                <w:szCs w:val="20"/>
              </w:rPr>
            </w:pPr>
          </w:p>
        </w:tc>
        <w:tc>
          <w:tcPr>
            <w:tcW w:w="1119" w:type="dxa"/>
            <w:tcBorders>
              <w:bottom w:val="single" w:sz="4" w:space="0" w:color="auto"/>
            </w:tcBorders>
            <w:vAlign w:val="center"/>
          </w:tcPr>
          <w:p w14:paraId="4A554636"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0.34±0.25</w:t>
            </w:r>
          </w:p>
        </w:tc>
        <w:tc>
          <w:tcPr>
            <w:tcW w:w="1341" w:type="dxa"/>
            <w:tcBorders>
              <w:bottom w:val="single" w:sz="4" w:space="0" w:color="auto"/>
            </w:tcBorders>
            <w:vAlign w:val="center"/>
          </w:tcPr>
          <w:p w14:paraId="447364C7"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0.030±0.025</w:t>
            </w:r>
          </w:p>
        </w:tc>
        <w:tc>
          <w:tcPr>
            <w:tcW w:w="1119" w:type="dxa"/>
            <w:tcBorders>
              <w:bottom w:val="single" w:sz="4" w:space="0" w:color="auto"/>
            </w:tcBorders>
            <w:vAlign w:val="center"/>
          </w:tcPr>
          <w:p w14:paraId="19EDF3FF" w14:textId="77777777" w:rsidR="00FE32BD" w:rsidRPr="00FE32BD" w:rsidRDefault="00FE32BD" w:rsidP="00FE32BD">
            <w:pPr>
              <w:spacing w:after="0" w:line="240" w:lineRule="auto"/>
              <w:jc w:val="both"/>
              <w:rPr>
                <w:rFonts w:ascii="Arial" w:eastAsia="Calibri" w:hAnsi="Arial" w:cs="Arial"/>
                <w:sz w:val="20"/>
                <w:szCs w:val="20"/>
              </w:rPr>
            </w:pPr>
            <w:r w:rsidRPr="00FE32BD">
              <w:rPr>
                <w:rFonts w:ascii="Arial" w:eastAsia="Calibri" w:hAnsi="Arial" w:cs="Arial"/>
                <w:color w:val="000000"/>
                <w:sz w:val="20"/>
                <w:szCs w:val="20"/>
              </w:rPr>
              <w:t>4.93±2.94</w:t>
            </w:r>
          </w:p>
        </w:tc>
        <w:tc>
          <w:tcPr>
            <w:tcW w:w="1119" w:type="dxa"/>
            <w:tcBorders>
              <w:bottom w:val="single" w:sz="4" w:space="0" w:color="auto"/>
            </w:tcBorders>
            <w:vAlign w:val="center"/>
          </w:tcPr>
          <w:p w14:paraId="58B63EF9"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5.30±0.91</w:t>
            </w:r>
          </w:p>
        </w:tc>
        <w:tc>
          <w:tcPr>
            <w:tcW w:w="1119" w:type="dxa"/>
            <w:tcBorders>
              <w:bottom w:val="single" w:sz="4" w:space="0" w:color="auto"/>
            </w:tcBorders>
            <w:vAlign w:val="center"/>
          </w:tcPr>
          <w:p w14:paraId="629ABF48"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1.79±0.15</w:t>
            </w:r>
          </w:p>
        </w:tc>
        <w:tc>
          <w:tcPr>
            <w:tcW w:w="1342" w:type="dxa"/>
            <w:tcBorders>
              <w:bottom w:val="single" w:sz="4" w:space="0" w:color="auto"/>
            </w:tcBorders>
            <w:vAlign w:val="center"/>
          </w:tcPr>
          <w:p w14:paraId="65A90B6A" w14:textId="77777777" w:rsidR="00FE32BD" w:rsidRPr="00FE32BD" w:rsidRDefault="00FE32BD" w:rsidP="00FE32BD">
            <w:pPr>
              <w:spacing w:after="0" w:line="240" w:lineRule="auto"/>
              <w:jc w:val="both"/>
              <w:rPr>
                <w:rFonts w:ascii="Arial" w:eastAsia="Calibri" w:hAnsi="Arial" w:cs="Arial"/>
                <w:color w:val="000000"/>
                <w:sz w:val="20"/>
                <w:szCs w:val="20"/>
              </w:rPr>
            </w:pPr>
            <w:r w:rsidRPr="00FE32BD">
              <w:rPr>
                <w:rFonts w:ascii="Arial" w:eastAsia="Calibri" w:hAnsi="Arial" w:cs="Arial"/>
                <w:color w:val="000000"/>
                <w:sz w:val="20"/>
                <w:szCs w:val="20"/>
              </w:rPr>
              <w:t>11.80±3.52</w:t>
            </w:r>
          </w:p>
        </w:tc>
      </w:tr>
    </w:tbl>
    <w:p w14:paraId="0F30B5A4" w14:textId="77777777" w:rsidR="00FE32BD" w:rsidRPr="00F826EE" w:rsidRDefault="00F826EE" w:rsidP="008A40FD">
      <w:pPr>
        <w:spacing w:after="0" w:line="240" w:lineRule="auto"/>
        <w:jc w:val="both"/>
        <w:rPr>
          <w:rFonts w:ascii="Arial" w:hAnsi="Arial" w:cs="Arial"/>
          <w:i/>
          <w:sz w:val="18"/>
          <w:szCs w:val="20"/>
          <w:lang w:val="en-GB"/>
        </w:rPr>
      </w:pPr>
      <w:r w:rsidRPr="00F826EE">
        <w:rPr>
          <w:rFonts w:ascii="Arial" w:hAnsi="Arial" w:cs="Arial"/>
          <w:i/>
          <w:sz w:val="18"/>
          <w:szCs w:val="20"/>
          <w:lang w:val="en-GB"/>
        </w:rPr>
        <w:t xml:space="preserve">Values are given as mean ± standard deviation; DIN = </w:t>
      </w:r>
      <w:r w:rsidR="00F65AEF" w:rsidRPr="00F65AEF">
        <w:rPr>
          <w:rFonts w:ascii="Arial" w:hAnsi="Arial" w:cs="Arial"/>
          <w:i/>
          <w:sz w:val="18"/>
          <w:szCs w:val="20"/>
          <w:lang w:val="en-GB"/>
        </w:rPr>
        <w:t>NH</w:t>
      </w:r>
      <w:r w:rsidR="00F65AEF" w:rsidRPr="00F65AEF">
        <w:rPr>
          <w:rFonts w:ascii="Arial" w:hAnsi="Arial" w:cs="Arial"/>
          <w:i/>
          <w:sz w:val="18"/>
          <w:szCs w:val="20"/>
          <w:vertAlign w:val="subscript"/>
          <w:lang w:val="en-GB"/>
        </w:rPr>
        <w:t>4</w:t>
      </w:r>
      <w:r w:rsidR="00F65AEF" w:rsidRPr="00F65AEF">
        <w:rPr>
          <w:rFonts w:ascii="Arial" w:hAnsi="Arial" w:cs="Arial"/>
          <w:i/>
          <w:sz w:val="18"/>
          <w:szCs w:val="20"/>
          <w:vertAlign w:val="superscript"/>
          <w:lang w:val="en-GB"/>
        </w:rPr>
        <w:t>+</w:t>
      </w:r>
      <w:r w:rsidR="00F65AEF" w:rsidRPr="00F65AEF">
        <w:rPr>
          <w:rFonts w:ascii="Arial" w:hAnsi="Arial" w:cs="Arial"/>
          <w:i/>
          <w:sz w:val="18"/>
          <w:szCs w:val="20"/>
          <w:lang w:val="en-GB"/>
        </w:rPr>
        <w:t>-N</w:t>
      </w:r>
      <w:r w:rsidRPr="00F826EE">
        <w:rPr>
          <w:rFonts w:ascii="Arial" w:hAnsi="Arial" w:cs="Arial"/>
          <w:i/>
          <w:sz w:val="18"/>
          <w:szCs w:val="20"/>
          <w:lang w:val="en-GB"/>
        </w:rPr>
        <w:t>+</w:t>
      </w:r>
      <w:r w:rsidR="00F65AEF" w:rsidRPr="00F65AEF">
        <w:rPr>
          <w:rFonts w:ascii="Arial" w:hAnsi="Arial" w:cs="Arial"/>
          <w:sz w:val="20"/>
          <w:szCs w:val="20"/>
          <w:lang w:val="en-GB"/>
        </w:rPr>
        <w:t xml:space="preserve"> </w:t>
      </w:r>
      <w:r w:rsidR="00F65AEF" w:rsidRPr="00F65AEF">
        <w:rPr>
          <w:rFonts w:ascii="Arial" w:hAnsi="Arial" w:cs="Arial"/>
          <w:i/>
          <w:sz w:val="18"/>
          <w:szCs w:val="20"/>
          <w:lang w:val="en-GB"/>
        </w:rPr>
        <w:t>NO</w:t>
      </w:r>
      <w:r w:rsidR="00F65AEF" w:rsidRPr="00F65AEF">
        <w:rPr>
          <w:rFonts w:ascii="Arial" w:hAnsi="Arial" w:cs="Arial"/>
          <w:i/>
          <w:sz w:val="18"/>
          <w:szCs w:val="20"/>
          <w:vertAlign w:val="subscript"/>
          <w:lang w:val="en-GB"/>
        </w:rPr>
        <w:t>2</w:t>
      </w:r>
      <w:r w:rsidR="00F65AEF" w:rsidRPr="00F65AEF">
        <w:rPr>
          <w:rFonts w:ascii="Arial" w:hAnsi="Arial" w:cs="Arial"/>
          <w:i/>
          <w:sz w:val="18"/>
          <w:szCs w:val="20"/>
          <w:vertAlign w:val="superscript"/>
          <w:lang w:val="en-GB"/>
        </w:rPr>
        <w:t>-</w:t>
      </w:r>
      <w:r w:rsidR="00F65AEF" w:rsidRPr="00F65AEF">
        <w:rPr>
          <w:rFonts w:ascii="Arial" w:hAnsi="Arial" w:cs="Arial"/>
          <w:i/>
          <w:sz w:val="18"/>
          <w:szCs w:val="20"/>
          <w:lang w:val="en-GB"/>
        </w:rPr>
        <w:t>-N</w:t>
      </w:r>
      <w:r w:rsidRPr="00F826EE">
        <w:rPr>
          <w:rFonts w:ascii="Arial" w:hAnsi="Arial" w:cs="Arial"/>
          <w:i/>
          <w:sz w:val="18"/>
          <w:szCs w:val="20"/>
          <w:lang w:val="en-GB"/>
        </w:rPr>
        <w:t xml:space="preserve">+ </w:t>
      </w:r>
      <w:r w:rsidR="00F65AEF" w:rsidRPr="00F65AEF">
        <w:rPr>
          <w:rFonts w:ascii="Arial" w:hAnsi="Arial" w:cs="Arial"/>
          <w:i/>
          <w:sz w:val="18"/>
          <w:szCs w:val="20"/>
          <w:lang w:val="en-GB"/>
        </w:rPr>
        <w:t>NO</w:t>
      </w:r>
      <w:r w:rsidR="00F65AEF" w:rsidRPr="00F65AEF">
        <w:rPr>
          <w:rFonts w:ascii="Arial" w:hAnsi="Arial" w:cs="Arial"/>
          <w:i/>
          <w:sz w:val="18"/>
          <w:szCs w:val="20"/>
          <w:vertAlign w:val="subscript"/>
          <w:lang w:val="en-GB"/>
        </w:rPr>
        <w:t>3</w:t>
      </w:r>
      <w:r w:rsidR="00F65AEF" w:rsidRPr="00F65AEF">
        <w:rPr>
          <w:rFonts w:ascii="Arial" w:hAnsi="Arial" w:cs="Arial"/>
          <w:i/>
          <w:sz w:val="18"/>
          <w:szCs w:val="20"/>
          <w:vertAlign w:val="superscript"/>
          <w:lang w:val="en-GB"/>
        </w:rPr>
        <w:t>-</w:t>
      </w:r>
      <w:r w:rsidR="00F65AEF" w:rsidRPr="00F65AEF">
        <w:rPr>
          <w:rFonts w:ascii="Arial" w:hAnsi="Arial" w:cs="Arial"/>
          <w:i/>
          <w:sz w:val="18"/>
          <w:szCs w:val="20"/>
          <w:lang w:val="en-GB"/>
        </w:rPr>
        <w:t>-N</w:t>
      </w:r>
      <w:r w:rsidRPr="00F826EE">
        <w:rPr>
          <w:rFonts w:ascii="Arial" w:hAnsi="Arial" w:cs="Arial"/>
          <w:i/>
          <w:sz w:val="18"/>
          <w:szCs w:val="20"/>
          <w:lang w:val="en-GB"/>
        </w:rPr>
        <w:t xml:space="preserve">: dissolved inorganic nitrogen; DIP = </w:t>
      </w:r>
      <w:r w:rsidR="00F65AEF" w:rsidRPr="00F65AEF">
        <w:rPr>
          <w:rFonts w:ascii="Arial" w:hAnsi="Arial" w:cs="Arial"/>
          <w:i/>
          <w:sz w:val="18"/>
          <w:szCs w:val="20"/>
          <w:lang w:val="en-GB"/>
        </w:rPr>
        <w:t>PO</w:t>
      </w:r>
      <w:r w:rsidR="00F65AEF" w:rsidRPr="00F65AEF">
        <w:rPr>
          <w:rFonts w:ascii="Arial" w:hAnsi="Arial" w:cs="Arial"/>
          <w:i/>
          <w:sz w:val="18"/>
          <w:szCs w:val="20"/>
          <w:vertAlign w:val="subscript"/>
          <w:lang w:val="en-GB"/>
        </w:rPr>
        <w:t>4</w:t>
      </w:r>
      <w:r w:rsidR="00F65AEF" w:rsidRPr="00F65AEF">
        <w:rPr>
          <w:rFonts w:ascii="Arial" w:hAnsi="Arial" w:cs="Arial"/>
          <w:i/>
          <w:sz w:val="18"/>
          <w:szCs w:val="20"/>
          <w:vertAlign w:val="superscript"/>
          <w:lang w:val="en-GB"/>
        </w:rPr>
        <w:t>3-</w:t>
      </w:r>
      <w:r w:rsidR="00F65AEF" w:rsidRPr="00F65AEF">
        <w:rPr>
          <w:rFonts w:ascii="Arial" w:hAnsi="Arial" w:cs="Arial"/>
          <w:i/>
          <w:sz w:val="18"/>
          <w:szCs w:val="20"/>
          <w:lang w:val="en-GB"/>
        </w:rPr>
        <w:t>-P</w:t>
      </w:r>
      <w:r w:rsidRPr="00F826EE">
        <w:rPr>
          <w:rFonts w:ascii="Arial" w:hAnsi="Arial" w:cs="Arial"/>
          <w:i/>
          <w:sz w:val="18"/>
          <w:szCs w:val="20"/>
          <w:lang w:val="en-GB"/>
        </w:rPr>
        <w:t>: dissolved inorganic phosphorus; * N/P= DIN/DIP: molar ratio</w:t>
      </w:r>
    </w:p>
    <w:p w14:paraId="5AB5128B" w14:textId="77777777" w:rsidR="00FE32BD" w:rsidRDefault="00FE32BD" w:rsidP="008A40FD">
      <w:pPr>
        <w:spacing w:after="0" w:line="240" w:lineRule="auto"/>
        <w:jc w:val="both"/>
        <w:rPr>
          <w:rFonts w:ascii="Arial" w:hAnsi="Arial" w:cs="Arial"/>
          <w:sz w:val="20"/>
          <w:szCs w:val="20"/>
          <w:lang w:val="en-GB"/>
        </w:rPr>
      </w:pPr>
    </w:p>
    <w:p w14:paraId="6F9540A6" w14:textId="77777777" w:rsidR="00FE32BD" w:rsidRDefault="00FE32BD" w:rsidP="008A40FD">
      <w:pPr>
        <w:spacing w:after="0" w:line="240" w:lineRule="auto"/>
        <w:jc w:val="both"/>
        <w:rPr>
          <w:rFonts w:ascii="Arial" w:hAnsi="Arial" w:cs="Arial"/>
          <w:sz w:val="20"/>
          <w:szCs w:val="20"/>
          <w:lang w:val="en-GB"/>
        </w:rPr>
      </w:pPr>
    </w:p>
    <w:p w14:paraId="4BDE1E8F" w14:textId="77777777" w:rsidR="00FE32BD" w:rsidRDefault="00FE32BD" w:rsidP="008A40FD">
      <w:pPr>
        <w:spacing w:after="0" w:line="240" w:lineRule="auto"/>
        <w:jc w:val="both"/>
        <w:rPr>
          <w:rFonts w:ascii="Arial" w:hAnsi="Arial" w:cs="Arial"/>
          <w:sz w:val="20"/>
          <w:szCs w:val="20"/>
          <w:lang w:val="en-GB"/>
        </w:rPr>
      </w:pPr>
    </w:p>
    <w:p w14:paraId="23473056" w14:textId="77777777" w:rsidR="00FE32BD" w:rsidRDefault="00FE32BD" w:rsidP="008A40FD">
      <w:pPr>
        <w:spacing w:after="0" w:line="240" w:lineRule="auto"/>
        <w:jc w:val="both"/>
        <w:rPr>
          <w:rFonts w:ascii="Arial" w:hAnsi="Arial" w:cs="Arial"/>
          <w:sz w:val="20"/>
          <w:szCs w:val="20"/>
          <w:lang w:val="en-GB"/>
        </w:rPr>
        <w:sectPr w:rsidR="00FE32BD" w:rsidSect="00FE32BD">
          <w:pgSz w:w="16838" w:h="11906" w:orient="landscape"/>
          <w:pgMar w:top="1417" w:right="1417" w:bottom="1417" w:left="1417" w:header="708" w:footer="708" w:gutter="0"/>
          <w:cols w:space="708"/>
          <w:docGrid w:linePitch="360"/>
        </w:sectPr>
      </w:pPr>
    </w:p>
    <w:p w14:paraId="7D162BA7" w14:textId="77777777" w:rsidR="00F826EE" w:rsidRPr="00F826EE" w:rsidRDefault="00F826EE" w:rsidP="00F826EE">
      <w:pPr>
        <w:spacing w:after="0" w:line="240" w:lineRule="auto"/>
        <w:jc w:val="both"/>
        <w:rPr>
          <w:rFonts w:ascii="Arial" w:hAnsi="Arial" w:cs="Arial"/>
          <w:sz w:val="20"/>
          <w:szCs w:val="20"/>
          <w:lang w:val="en-GB"/>
        </w:rPr>
      </w:pPr>
      <w:r w:rsidRPr="00F826EE">
        <w:rPr>
          <w:rFonts w:ascii="Arial" w:hAnsi="Arial" w:cs="Arial"/>
          <w:sz w:val="20"/>
          <w:szCs w:val="20"/>
          <w:lang w:val="en-GB"/>
        </w:rPr>
        <w:lastRenderedPageBreak/>
        <w:t>The average contents of ammonium (</w:t>
      </w:r>
      <w:r w:rsidR="00F65AEF">
        <w:rPr>
          <w:rFonts w:ascii="Arial" w:hAnsi="Arial" w:cs="Arial"/>
          <w:sz w:val="20"/>
          <w:szCs w:val="20"/>
          <w:lang w:val="en-GB"/>
        </w:rPr>
        <w:t>NH</w:t>
      </w:r>
      <w:r w:rsidR="00F65AEF">
        <w:rPr>
          <w:rFonts w:ascii="Arial" w:hAnsi="Arial" w:cs="Arial"/>
          <w:sz w:val="20"/>
          <w:szCs w:val="20"/>
          <w:vertAlign w:val="subscript"/>
          <w:lang w:val="en-GB"/>
        </w:rPr>
        <w:t>4</w:t>
      </w:r>
      <w:r w:rsidR="00F65AEF">
        <w:rPr>
          <w:rFonts w:ascii="Arial" w:hAnsi="Arial" w:cs="Arial"/>
          <w:sz w:val="20"/>
          <w:szCs w:val="20"/>
          <w:vertAlign w:val="superscript"/>
          <w:lang w:val="en-GB"/>
        </w:rPr>
        <w:t>+</w:t>
      </w:r>
      <w:r w:rsidR="00F65AEF">
        <w:rPr>
          <w:rFonts w:ascii="Arial" w:hAnsi="Arial" w:cs="Arial"/>
          <w:sz w:val="20"/>
          <w:szCs w:val="20"/>
          <w:lang w:val="en-GB"/>
        </w:rPr>
        <w:t>-N</w:t>
      </w:r>
      <w:r w:rsidRPr="00F826EE">
        <w:rPr>
          <w:rFonts w:ascii="Arial" w:hAnsi="Arial" w:cs="Arial"/>
          <w:sz w:val="20"/>
          <w:szCs w:val="20"/>
          <w:lang w:val="en-GB"/>
        </w:rPr>
        <w:t>), nitrite (</w:t>
      </w:r>
      <w:r w:rsidR="00F65AEF">
        <w:rPr>
          <w:rFonts w:ascii="Arial" w:hAnsi="Arial" w:cs="Arial"/>
          <w:sz w:val="20"/>
          <w:szCs w:val="20"/>
          <w:lang w:val="en-GB"/>
        </w:rPr>
        <w:t>NO</w:t>
      </w:r>
      <w:r w:rsidR="00F65AEF">
        <w:rPr>
          <w:rFonts w:ascii="Arial" w:hAnsi="Arial" w:cs="Arial"/>
          <w:sz w:val="20"/>
          <w:szCs w:val="20"/>
          <w:vertAlign w:val="subscript"/>
          <w:lang w:val="en-GB"/>
        </w:rPr>
        <w:t>2</w:t>
      </w:r>
      <w:r w:rsidR="00F65AEF">
        <w:rPr>
          <w:rFonts w:ascii="Arial" w:hAnsi="Arial" w:cs="Arial"/>
          <w:sz w:val="20"/>
          <w:szCs w:val="20"/>
          <w:vertAlign w:val="superscript"/>
          <w:lang w:val="en-GB"/>
        </w:rPr>
        <w:t>-</w:t>
      </w:r>
      <w:r w:rsidR="00F65AEF">
        <w:rPr>
          <w:rFonts w:ascii="Arial" w:hAnsi="Arial" w:cs="Arial"/>
          <w:sz w:val="20"/>
          <w:szCs w:val="20"/>
          <w:lang w:val="en-GB"/>
        </w:rPr>
        <w:t>-N</w:t>
      </w:r>
      <w:r w:rsidRPr="00F826EE">
        <w:rPr>
          <w:rFonts w:ascii="Arial" w:hAnsi="Arial" w:cs="Arial"/>
          <w:sz w:val="20"/>
          <w:szCs w:val="20"/>
          <w:lang w:val="en-GB"/>
        </w:rPr>
        <w:t>), nitrate (</w:t>
      </w:r>
      <w:r w:rsidR="00F65AEF">
        <w:rPr>
          <w:rFonts w:ascii="Arial" w:hAnsi="Arial" w:cs="Arial"/>
          <w:sz w:val="20"/>
          <w:szCs w:val="20"/>
          <w:lang w:val="en-GB"/>
        </w:rPr>
        <w:t>NO</w:t>
      </w:r>
      <w:r w:rsidR="00F65AEF">
        <w:rPr>
          <w:rFonts w:ascii="Arial" w:hAnsi="Arial" w:cs="Arial"/>
          <w:sz w:val="20"/>
          <w:szCs w:val="20"/>
          <w:vertAlign w:val="subscript"/>
          <w:lang w:val="en-GB"/>
        </w:rPr>
        <w:t>3</w:t>
      </w:r>
      <w:r w:rsidR="00F65AEF">
        <w:rPr>
          <w:rFonts w:ascii="Arial" w:hAnsi="Arial" w:cs="Arial"/>
          <w:sz w:val="20"/>
          <w:szCs w:val="20"/>
          <w:vertAlign w:val="superscript"/>
          <w:lang w:val="en-GB"/>
        </w:rPr>
        <w:t>-</w:t>
      </w:r>
      <w:r w:rsidR="00F65AEF">
        <w:rPr>
          <w:rFonts w:ascii="Arial" w:hAnsi="Arial" w:cs="Arial"/>
          <w:sz w:val="20"/>
          <w:szCs w:val="20"/>
          <w:lang w:val="en-GB"/>
        </w:rPr>
        <w:t>-N</w:t>
      </w:r>
      <w:r w:rsidRPr="00F826EE">
        <w:rPr>
          <w:rFonts w:ascii="Arial" w:hAnsi="Arial" w:cs="Arial"/>
          <w:sz w:val="20"/>
          <w:szCs w:val="20"/>
          <w:lang w:val="en-GB"/>
        </w:rPr>
        <w:t>) and phosphate (</w:t>
      </w:r>
      <w:r w:rsidR="00F65AEF">
        <w:rPr>
          <w:rFonts w:ascii="Arial" w:hAnsi="Arial" w:cs="Arial"/>
          <w:sz w:val="20"/>
          <w:szCs w:val="20"/>
          <w:lang w:val="en-GB"/>
        </w:rPr>
        <w:t>PO</w:t>
      </w:r>
      <w:r w:rsidR="00F65AEF">
        <w:rPr>
          <w:rFonts w:ascii="Arial" w:hAnsi="Arial" w:cs="Arial"/>
          <w:sz w:val="20"/>
          <w:szCs w:val="20"/>
          <w:vertAlign w:val="subscript"/>
          <w:lang w:val="en-GB"/>
        </w:rPr>
        <w:t>4</w:t>
      </w:r>
      <w:r w:rsidR="00F65AEF">
        <w:rPr>
          <w:rFonts w:ascii="Arial" w:hAnsi="Arial" w:cs="Arial"/>
          <w:sz w:val="20"/>
          <w:szCs w:val="20"/>
          <w:vertAlign w:val="superscript"/>
          <w:lang w:val="en-GB"/>
        </w:rPr>
        <w:t>3-</w:t>
      </w:r>
      <w:r w:rsidR="00F65AEF">
        <w:rPr>
          <w:rFonts w:ascii="Arial" w:hAnsi="Arial" w:cs="Arial"/>
          <w:sz w:val="20"/>
          <w:szCs w:val="20"/>
          <w:lang w:val="en-GB"/>
        </w:rPr>
        <w:t>-P</w:t>
      </w:r>
      <w:r w:rsidRPr="00F826EE">
        <w:rPr>
          <w:rFonts w:ascii="Arial" w:hAnsi="Arial" w:cs="Arial"/>
          <w:sz w:val="20"/>
          <w:szCs w:val="20"/>
          <w:lang w:val="en-GB"/>
        </w:rPr>
        <w:t>) obtained in bottom waters are respectively 0.14 ± 0.04 mg/L; 0.021 ± 0.011 mg/L; 6.38 ± 3.77 mg/L and 1.05 ± 0.26 mg/L. In interstitial waters, they are respectively 0.34 ± 0.25 mg/L; 0.030 ± 0.025 mg/L; 4.93 ± 2.94 mg/L and 1.79 ± 0.15 mg/L. Except for nitrate, the average contents of nutrients in interstitial waters are higher than those in bottom waters. The average ammonium, nitrite and phosphate contents in the pore waters were 2.43, 1.43 and 1.70 times higher than those in the bottom waters, respectively. At all stations, the ammonium (</w:t>
      </w:r>
      <w:r w:rsidR="005F05E0">
        <w:rPr>
          <w:rFonts w:ascii="Arial" w:hAnsi="Arial" w:cs="Arial"/>
          <w:sz w:val="20"/>
          <w:szCs w:val="20"/>
          <w:lang w:val="en-GB"/>
        </w:rPr>
        <w:t>NH</w:t>
      </w:r>
      <w:r w:rsidR="005F05E0">
        <w:rPr>
          <w:rFonts w:ascii="Arial" w:hAnsi="Arial" w:cs="Arial"/>
          <w:sz w:val="20"/>
          <w:szCs w:val="20"/>
          <w:vertAlign w:val="subscript"/>
          <w:lang w:val="en-GB"/>
        </w:rPr>
        <w:t>4</w:t>
      </w:r>
      <w:r w:rsidR="005F05E0">
        <w:rPr>
          <w:rFonts w:ascii="Arial" w:hAnsi="Arial" w:cs="Arial"/>
          <w:sz w:val="20"/>
          <w:szCs w:val="20"/>
          <w:vertAlign w:val="superscript"/>
          <w:lang w:val="en-GB"/>
        </w:rPr>
        <w:t>+</w:t>
      </w:r>
      <w:r w:rsidR="005F05E0">
        <w:rPr>
          <w:rFonts w:ascii="Arial" w:hAnsi="Arial" w:cs="Arial"/>
          <w:sz w:val="20"/>
          <w:szCs w:val="20"/>
          <w:lang w:val="en-GB"/>
        </w:rPr>
        <w:t>-N</w:t>
      </w:r>
      <w:r w:rsidRPr="00F826EE">
        <w:rPr>
          <w:rFonts w:ascii="Arial" w:hAnsi="Arial" w:cs="Arial"/>
          <w:sz w:val="20"/>
          <w:szCs w:val="20"/>
          <w:lang w:val="en-GB"/>
        </w:rPr>
        <w:t>) and phosphate (</w:t>
      </w:r>
      <w:r w:rsidR="005F05E0">
        <w:rPr>
          <w:rFonts w:ascii="Arial" w:hAnsi="Arial" w:cs="Arial"/>
          <w:sz w:val="20"/>
          <w:szCs w:val="20"/>
          <w:lang w:val="en-GB"/>
        </w:rPr>
        <w:t>PO</w:t>
      </w:r>
      <w:r w:rsidR="005F05E0">
        <w:rPr>
          <w:rFonts w:ascii="Arial" w:hAnsi="Arial" w:cs="Arial"/>
          <w:sz w:val="20"/>
          <w:szCs w:val="20"/>
          <w:vertAlign w:val="subscript"/>
          <w:lang w:val="en-GB"/>
        </w:rPr>
        <w:t>4</w:t>
      </w:r>
      <w:r w:rsidR="005F05E0">
        <w:rPr>
          <w:rFonts w:ascii="Arial" w:hAnsi="Arial" w:cs="Arial"/>
          <w:sz w:val="20"/>
          <w:szCs w:val="20"/>
          <w:vertAlign w:val="superscript"/>
          <w:lang w:val="en-GB"/>
        </w:rPr>
        <w:t>3-</w:t>
      </w:r>
      <w:r w:rsidR="005F05E0">
        <w:rPr>
          <w:rFonts w:ascii="Arial" w:hAnsi="Arial" w:cs="Arial"/>
          <w:sz w:val="20"/>
          <w:szCs w:val="20"/>
          <w:lang w:val="en-GB"/>
        </w:rPr>
        <w:t>-P</w:t>
      </w:r>
      <w:r w:rsidRPr="00F826EE">
        <w:rPr>
          <w:rFonts w:ascii="Arial" w:hAnsi="Arial" w:cs="Arial"/>
          <w:sz w:val="20"/>
          <w:szCs w:val="20"/>
          <w:lang w:val="en-GB"/>
        </w:rPr>
        <w:t>) contents in the pore waters were higher than those in the bottom waters. In addition, the average nitrate content in the overlying waters was 1.29 times higher than that in the pore waters. Ammonium (</w:t>
      </w:r>
      <w:r w:rsidR="00E1338A">
        <w:rPr>
          <w:rFonts w:ascii="Arial" w:hAnsi="Arial" w:cs="Arial"/>
          <w:sz w:val="20"/>
          <w:szCs w:val="20"/>
          <w:lang w:val="en-GB"/>
        </w:rPr>
        <w:t>NH</w:t>
      </w:r>
      <w:r w:rsidR="00E1338A">
        <w:rPr>
          <w:rFonts w:ascii="Arial" w:hAnsi="Arial" w:cs="Arial"/>
          <w:sz w:val="20"/>
          <w:szCs w:val="20"/>
          <w:vertAlign w:val="subscript"/>
          <w:lang w:val="en-GB"/>
        </w:rPr>
        <w:t>4</w:t>
      </w:r>
      <w:r w:rsidR="00E1338A">
        <w:rPr>
          <w:rFonts w:ascii="Arial" w:hAnsi="Arial" w:cs="Arial"/>
          <w:sz w:val="20"/>
          <w:szCs w:val="20"/>
          <w:vertAlign w:val="superscript"/>
          <w:lang w:val="en-GB"/>
        </w:rPr>
        <w:t>+</w:t>
      </w:r>
      <w:r w:rsidR="00E1338A">
        <w:rPr>
          <w:rFonts w:ascii="Arial" w:hAnsi="Arial" w:cs="Arial"/>
          <w:sz w:val="20"/>
          <w:szCs w:val="20"/>
          <w:lang w:val="en-GB"/>
        </w:rPr>
        <w:t>-N</w:t>
      </w:r>
      <w:r w:rsidRPr="00F826EE">
        <w:rPr>
          <w:rFonts w:ascii="Arial" w:hAnsi="Arial" w:cs="Arial"/>
          <w:sz w:val="20"/>
          <w:szCs w:val="20"/>
          <w:lang w:val="en-GB"/>
        </w:rPr>
        <w:t>) levels ranged from 0.04 ± 0.01 mg/L (station S6) to 0.54 ± 0.06 mg/L (station S1) in bottom waters and from 0.15 ± 0.06 mg/L (station S2) to 0.82 ± 0.61 mg/L (station S1) in interstitial waters. Furthermore, the maximum ammonium levels were obtained at station S1. The relatively low nitrite (</w:t>
      </w:r>
      <w:r w:rsidR="00E1338A">
        <w:rPr>
          <w:rFonts w:ascii="Arial" w:hAnsi="Arial" w:cs="Arial"/>
          <w:sz w:val="20"/>
          <w:szCs w:val="20"/>
          <w:lang w:val="en-GB"/>
        </w:rPr>
        <w:t>NO</w:t>
      </w:r>
      <w:r w:rsidR="00E1338A">
        <w:rPr>
          <w:rFonts w:ascii="Arial" w:hAnsi="Arial" w:cs="Arial"/>
          <w:sz w:val="20"/>
          <w:szCs w:val="20"/>
          <w:vertAlign w:val="subscript"/>
          <w:lang w:val="en-GB"/>
        </w:rPr>
        <w:t>2</w:t>
      </w:r>
      <w:r w:rsidR="00E1338A">
        <w:rPr>
          <w:rFonts w:ascii="Arial" w:hAnsi="Arial" w:cs="Arial"/>
          <w:sz w:val="20"/>
          <w:szCs w:val="20"/>
          <w:vertAlign w:val="superscript"/>
          <w:lang w:val="en-GB"/>
        </w:rPr>
        <w:t>-</w:t>
      </w:r>
      <w:r w:rsidR="00E1338A">
        <w:rPr>
          <w:rFonts w:ascii="Arial" w:hAnsi="Arial" w:cs="Arial"/>
          <w:sz w:val="20"/>
          <w:szCs w:val="20"/>
          <w:lang w:val="en-GB"/>
        </w:rPr>
        <w:t>-N</w:t>
      </w:r>
      <w:r w:rsidRPr="00F826EE">
        <w:rPr>
          <w:rFonts w:ascii="Arial" w:hAnsi="Arial" w:cs="Arial"/>
          <w:sz w:val="20"/>
          <w:szCs w:val="20"/>
          <w:lang w:val="en-GB"/>
        </w:rPr>
        <w:t>) levels range from 0.012 ± 0.008 mg/L (station S6) to 0.034 ± 0.008 mg/L (station S2) in the bottom waters and from 0.019 ± 0.017 mg/L (station S1) to 0.044 ± 0.018 mg/L (</w:t>
      </w:r>
      <w:r w:rsidR="00E1338A">
        <w:rPr>
          <w:rFonts w:ascii="Arial" w:hAnsi="Arial" w:cs="Arial"/>
          <w:sz w:val="20"/>
          <w:szCs w:val="20"/>
          <w:lang w:val="en-GB"/>
        </w:rPr>
        <w:t>station S4) in the pore waters.</w:t>
      </w:r>
    </w:p>
    <w:p w14:paraId="5695B2C2" w14:textId="77777777" w:rsidR="00F826EE" w:rsidRPr="00F826EE" w:rsidRDefault="00F826EE" w:rsidP="00F826EE">
      <w:pPr>
        <w:spacing w:after="0" w:line="240" w:lineRule="auto"/>
        <w:jc w:val="both"/>
        <w:rPr>
          <w:rFonts w:ascii="Arial" w:hAnsi="Arial" w:cs="Arial"/>
          <w:sz w:val="20"/>
          <w:szCs w:val="20"/>
          <w:lang w:val="en-GB"/>
        </w:rPr>
      </w:pPr>
      <w:r w:rsidRPr="00F826EE">
        <w:rPr>
          <w:rFonts w:ascii="Arial" w:hAnsi="Arial" w:cs="Arial"/>
          <w:sz w:val="20"/>
          <w:szCs w:val="20"/>
          <w:lang w:val="en-GB"/>
        </w:rPr>
        <w:t>Nitrate (</w:t>
      </w:r>
      <w:r w:rsidR="00E1338A">
        <w:rPr>
          <w:rFonts w:ascii="Arial" w:hAnsi="Arial" w:cs="Arial"/>
          <w:sz w:val="20"/>
          <w:szCs w:val="20"/>
          <w:lang w:val="en-GB"/>
        </w:rPr>
        <w:t>NO</w:t>
      </w:r>
      <w:r w:rsidR="00E1338A">
        <w:rPr>
          <w:rFonts w:ascii="Arial" w:hAnsi="Arial" w:cs="Arial"/>
          <w:sz w:val="20"/>
          <w:szCs w:val="20"/>
          <w:vertAlign w:val="subscript"/>
          <w:lang w:val="en-GB"/>
        </w:rPr>
        <w:t>3</w:t>
      </w:r>
      <w:r w:rsidR="00E1338A">
        <w:rPr>
          <w:rFonts w:ascii="Arial" w:hAnsi="Arial" w:cs="Arial"/>
          <w:sz w:val="20"/>
          <w:szCs w:val="20"/>
          <w:vertAlign w:val="superscript"/>
          <w:lang w:val="en-GB"/>
        </w:rPr>
        <w:t>-</w:t>
      </w:r>
      <w:r w:rsidR="00E1338A">
        <w:rPr>
          <w:rFonts w:ascii="Arial" w:hAnsi="Arial" w:cs="Arial"/>
          <w:sz w:val="20"/>
          <w:szCs w:val="20"/>
          <w:lang w:val="en-GB"/>
        </w:rPr>
        <w:t>-N</w:t>
      </w:r>
      <w:r w:rsidRPr="00F826EE">
        <w:rPr>
          <w:rFonts w:ascii="Arial" w:hAnsi="Arial" w:cs="Arial"/>
          <w:sz w:val="20"/>
          <w:szCs w:val="20"/>
          <w:lang w:val="en-GB"/>
        </w:rPr>
        <w:t>) levels range from 3.18 ± 2.28 mg/L (station S5) to 10.85 ± 9.28 mg/L (station S2) in the bottom waters and from 3.88 ± 1.95 mg/L (station S6) to 5.98 ± 3.48 mg/L (station S4) in the pore waters. Phosphate (</w:t>
      </w:r>
      <w:r w:rsidR="00E1338A">
        <w:rPr>
          <w:rFonts w:ascii="Arial" w:hAnsi="Arial" w:cs="Arial"/>
          <w:sz w:val="20"/>
          <w:szCs w:val="20"/>
          <w:lang w:val="en-GB"/>
        </w:rPr>
        <w:t>PO</w:t>
      </w:r>
      <w:r w:rsidR="00E1338A">
        <w:rPr>
          <w:rFonts w:ascii="Arial" w:hAnsi="Arial" w:cs="Arial"/>
          <w:sz w:val="20"/>
          <w:szCs w:val="20"/>
          <w:vertAlign w:val="subscript"/>
          <w:lang w:val="en-GB"/>
        </w:rPr>
        <w:t>4</w:t>
      </w:r>
      <w:r w:rsidR="00E1338A">
        <w:rPr>
          <w:rFonts w:ascii="Arial" w:hAnsi="Arial" w:cs="Arial"/>
          <w:sz w:val="20"/>
          <w:szCs w:val="20"/>
          <w:vertAlign w:val="superscript"/>
          <w:lang w:val="en-GB"/>
        </w:rPr>
        <w:t>3-</w:t>
      </w:r>
      <w:r w:rsidR="00E1338A">
        <w:rPr>
          <w:rFonts w:ascii="Arial" w:hAnsi="Arial" w:cs="Arial"/>
          <w:sz w:val="20"/>
          <w:szCs w:val="20"/>
          <w:lang w:val="en-GB"/>
        </w:rPr>
        <w:t>-P</w:t>
      </w:r>
      <w:r w:rsidRPr="00F826EE">
        <w:rPr>
          <w:rFonts w:ascii="Arial" w:hAnsi="Arial" w:cs="Arial"/>
          <w:sz w:val="20"/>
          <w:szCs w:val="20"/>
          <w:lang w:val="en-GB"/>
        </w:rPr>
        <w:t>) levels ranged from 0.38 ± 0.23 mg/L (station S2) to 3.05 ± 0.12 mg/L (station S1) in the bottom waters and from 0.72 ± 0.59 mg/L (station S2) to 4.12 ± 0.61 mg/L (station S1) in the pore waters. The lowest phosphate levels were obtained at station S2, while the highest levels were obtained at station S1.</w:t>
      </w:r>
    </w:p>
    <w:p w14:paraId="47F79784" w14:textId="77777777" w:rsidR="00F826EE" w:rsidRPr="00F826EE" w:rsidRDefault="00F826EE" w:rsidP="00F826EE">
      <w:pPr>
        <w:spacing w:after="0" w:line="240" w:lineRule="auto"/>
        <w:jc w:val="both"/>
        <w:rPr>
          <w:rFonts w:ascii="Arial" w:hAnsi="Arial" w:cs="Arial"/>
          <w:sz w:val="20"/>
          <w:szCs w:val="20"/>
          <w:lang w:val="en-GB"/>
        </w:rPr>
      </w:pPr>
      <w:r w:rsidRPr="00F826EE">
        <w:rPr>
          <w:rFonts w:ascii="Arial" w:hAnsi="Arial" w:cs="Arial"/>
          <w:sz w:val="20"/>
          <w:szCs w:val="20"/>
          <w:lang w:val="en-GB"/>
        </w:rPr>
        <w:t>According to the data in Table 4, nitrate (</w:t>
      </w:r>
      <w:r w:rsidR="00FC5169">
        <w:rPr>
          <w:rFonts w:ascii="Arial" w:hAnsi="Arial" w:cs="Arial"/>
          <w:sz w:val="20"/>
          <w:szCs w:val="20"/>
          <w:lang w:val="en-GB"/>
        </w:rPr>
        <w:t>NO</w:t>
      </w:r>
      <w:r w:rsidR="00FC5169">
        <w:rPr>
          <w:rFonts w:ascii="Arial" w:hAnsi="Arial" w:cs="Arial"/>
          <w:sz w:val="20"/>
          <w:szCs w:val="20"/>
          <w:vertAlign w:val="subscript"/>
          <w:lang w:val="en-GB"/>
        </w:rPr>
        <w:t>3</w:t>
      </w:r>
      <w:r w:rsidR="00FC5169">
        <w:rPr>
          <w:rFonts w:ascii="Arial" w:hAnsi="Arial" w:cs="Arial"/>
          <w:sz w:val="20"/>
          <w:szCs w:val="20"/>
          <w:vertAlign w:val="superscript"/>
          <w:lang w:val="en-GB"/>
        </w:rPr>
        <w:t>-</w:t>
      </w:r>
      <w:r w:rsidR="00FC5169">
        <w:rPr>
          <w:rFonts w:ascii="Arial" w:hAnsi="Arial" w:cs="Arial"/>
          <w:sz w:val="20"/>
          <w:szCs w:val="20"/>
          <w:lang w:val="en-GB"/>
        </w:rPr>
        <w:t>-N</w:t>
      </w:r>
      <w:r w:rsidRPr="00F826EE">
        <w:rPr>
          <w:rFonts w:ascii="Arial" w:hAnsi="Arial" w:cs="Arial"/>
          <w:sz w:val="20"/>
          <w:szCs w:val="20"/>
          <w:lang w:val="en-GB"/>
        </w:rPr>
        <w:t>) appears to be the predominant dissolved inorganic nitrogen (DIN) species in both the bottom waters and pore waters. Dissolved inorganic nitrogen levels were higher than those of phosphate (</w:t>
      </w:r>
      <w:r w:rsidR="00FC5169">
        <w:rPr>
          <w:rFonts w:ascii="Arial" w:hAnsi="Arial" w:cs="Arial"/>
          <w:sz w:val="20"/>
          <w:szCs w:val="20"/>
          <w:lang w:val="en-GB"/>
        </w:rPr>
        <w:t>PO</w:t>
      </w:r>
      <w:r w:rsidR="00FC5169">
        <w:rPr>
          <w:rFonts w:ascii="Arial" w:hAnsi="Arial" w:cs="Arial"/>
          <w:sz w:val="20"/>
          <w:szCs w:val="20"/>
          <w:vertAlign w:val="subscript"/>
          <w:lang w:val="en-GB"/>
        </w:rPr>
        <w:t>4</w:t>
      </w:r>
      <w:r w:rsidR="00FC5169">
        <w:rPr>
          <w:rFonts w:ascii="Arial" w:hAnsi="Arial" w:cs="Arial"/>
          <w:sz w:val="20"/>
          <w:szCs w:val="20"/>
          <w:vertAlign w:val="superscript"/>
          <w:lang w:val="en-GB"/>
        </w:rPr>
        <w:t>3-</w:t>
      </w:r>
      <w:r w:rsidR="00FC5169">
        <w:rPr>
          <w:rFonts w:ascii="Arial" w:hAnsi="Arial" w:cs="Arial"/>
          <w:sz w:val="20"/>
          <w:szCs w:val="20"/>
          <w:lang w:val="en-GB"/>
        </w:rPr>
        <w:t>-P</w:t>
      </w:r>
      <w:r w:rsidRPr="00F826EE">
        <w:rPr>
          <w:rFonts w:ascii="Arial" w:hAnsi="Arial" w:cs="Arial"/>
          <w:sz w:val="20"/>
          <w:szCs w:val="20"/>
          <w:lang w:val="en-GB"/>
        </w:rPr>
        <w:t>). The maximum dissolved inorganic nitrogen concentrations were obtained at stations S2 and S4, in the bottom and interstitial waters, respectively.</w:t>
      </w:r>
    </w:p>
    <w:p w14:paraId="007C7108" w14:textId="77777777" w:rsidR="00FE32BD" w:rsidRDefault="00F826EE" w:rsidP="00F826EE">
      <w:pPr>
        <w:spacing w:after="0" w:line="240" w:lineRule="auto"/>
        <w:jc w:val="both"/>
        <w:rPr>
          <w:rFonts w:ascii="Arial" w:hAnsi="Arial" w:cs="Arial"/>
          <w:sz w:val="20"/>
          <w:szCs w:val="20"/>
          <w:lang w:val="en-GB"/>
        </w:rPr>
      </w:pPr>
      <w:r w:rsidRPr="00F826EE">
        <w:rPr>
          <w:rFonts w:ascii="Arial" w:hAnsi="Arial" w:cs="Arial"/>
          <w:sz w:val="20"/>
          <w:szCs w:val="20"/>
          <w:lang w:val="en-GB"/>
        </w:rPr>
        <w:t>The molar ratio of dissolved inorganic nitrogen to dissolved inorganic phosphorus (N/P) ranged from 18.87 ± 5.07 (station S4) to 58.77 ± 40.09 (station S1) in the bottom waters and from 7.46 ± 3.43 (station S4) to 26.39 ± 10.62 (station S2) in the interstitial waters. At the bottom water station</w:t>
      </w:r>
      <w:r w:rsidR="00A97ADC">
        <w:rPr>
          <w:rFonts w:ascii="Arial" w:hAnsi="Arial" w:cs="Arial"/>
          <w:sz w:val="20"/>
          <w:szCs w:val="20"/>
          <w:lang w:val="en-GB"/>
        </w:rPr>
        <w:t xml:space="preserve">s, the N/P molar ratio values </w:t>
      </w:r>
      <w:r w:rsidRPr="00F826EE">
        <w:rPr>
          <w:rFonts w:ascii="Arial" w:hAnsi="Arial" w:cs="Arial"/>
          <w:sz w:val="20"/>
          <w:szCs w:val="20"/>
          <w:lang w:val="en-GB"/>
        </w:rPr>
        <w:t>were higher than 16 and also high, indicating that phosphorus is the limiting nutrient for algal growth. At the interstitial water s</w:t>
      </w:r>
      <w:r w:rsidR="00A97ADC">
        <w:rPr>
          <w:rFonts w:ascii="Arial" w:hAnsi="Arial" w:cs="Arial"/>
          <w:sz w:val="20"/>
          <w:szCs w:val="20"/>
          <w:lang w:val="en-GB"/>
        </w:rPr>
        <w:t xml:space="preserve">tations, the N/P ratio values </w:t>
      </w:r>
      <w:r w:rsidRPr="00F826EE">
        <w:rPr>
          <w:rFonts w:ascii="Arial" w:hAnsi="Arial" w:cs="Arial"/>
          <w:sz w:val="20"/>
          <w:szCs w:val="20"/>
          <w:lang w:val="en-GB"/>
        </w:rPr>
        <w:t>were lower than 16, except for station S2.</w:t>
      </w:r>
    </w:p>
    <w:p w14:paraId="4108FDB9" w14:textId="77777777" w:rsidR="00FC5169" w:rsidRDefault="00FC5169" w:rsidP="008A40FD">
      <w:pPr>
        <w:spacing w:after="0" w:line="240" w:lineRule="auto"/>
        <w:jc w:val="both"/>
        <w:rPr>
          <w:rFonts w:ascii="Arial" w:hAnsi="Arial" w:cs="Arial"/>
          <w:sz w:val="20"/>
          <w:szCs w:val="20"/>
          <w:lang w:val="en-GB"/>
        </w:rPr>
      </w:pPr>
    </w:p>
    <w:p w14:paraId="10FA766E" w14:textId="77777777" w:rsidR="00A97ADC" w:rsidRPr="00A97ADC" w:rsidRDefault="00A97ADC" w:rsidP="00A97ADC">
      <w:pPr>
        <w:spacing w:after="0" w:line="240" w:lineRule="auto"/>
        <w:jc w:val="both"/>
        <w:rPr>
          <w:rFonts w:ascii="Arial" w:hAnsi="Arial" w:cs="Arial"/>
          <w:b/>
          <w:sz w:val="20"/>
          <w:szCs w:val="20"/>
          <w:u w:val="single"/>
          <w:lang w:val="en-GB"/>
        </w:rPr>
      </w:pPr>
      <w:r w:rsidRPr="00A97ADC">
        <w:rPr>
          <w:rFonts w:ascii="Arial" w:hAnsi="Arial" w:cs="Arial"/>
          <w:b/>
          <w:sz w:val="20"/>
          <w:szCs w:val="20"/>
          <w:u w:val="single"/>
          <w:lang w:val="en-GB"/>
        </w:rPr>
        <w:t>3.1.4 Diffusive fluxes of nutrients at the water-sediment interface</w:t>
      </w:r>
    </w:p>
    <w:p w14:paraId="739E1F31" w14:textId="77777777" w:rsidR="00A97ADC" w:rsidRPr="00A97ADC" w:rsidRDefault="00A97ADC" w:rsidP="00A97ADC">
      <w:pPr>
        <w:spacing w:after="0" w:line="240" w:lineRule="auto"/>
        <w:jc w:val="both"/>
        <w:rPr>
          <w:rFonts w:ascii="Arial" w:hAnsi="Arial" w:cs="Arial"/>
          <w:sz w:val="20"/>
          <w:szCs w:val="20"/>
          <w:lang w:val="en-GB"/>
        </w:rPr>
      </w:pPr>
    </w:p>
    <w:p w14:paraId="141F94B6" w14:textId="77777777" w:rsidR="00FE32BD" w:rsidRDefault="00A97ADC" w:rsidP="008A40FD">
      <w:pPr>
        <w:spacing w:after="0" w:line="240" w:lineRule="auto"/>
        <w:jc w:val="both"/>
        <w:rPr>
          <w:rFonts w:ascii="Arial" w:hAnsi="Arial" w:cs="Arial"/>
          <w:sz w:val="20"/>
          <w:szCs w:val="20"/>
          <w:lang w:val="en-GB"/>
        </w:rPr>
      </w:pPr>
      <w:r w:rsidRPr="00A97ADC">
        <w:rPr>
          <w:rFonts w:ascii="Arial" w:hAnsi="Arial" w:cs="Arial"/>
          <w:sz w:val="20"/>
          <w:szCs w:val="20"/>
          <w:lang w:val="en-GB"/>
        </w:rPr>
        <w:t>The spatial distributions of diffusion fluxes at the water-sediment interface of some nutrients are presented in Fig. 3.</w:t>
      </w:r>
    </w:p>
    <w:p w14:paraId="1A98D1FA" w14:textId="77777777" w:rsidR="003826D4" w:rsidRPr="00A60839" w:rsidRDefault="003826D4" w:rsidP="003826D4">
      <w:pPr>
        <w:spacing w:after="0"/>
        <w:jc w:val="both"/>
        <w:rPr>
          <w:rFonts w:ascii="Arial" w:eastAsia="Calibri" w:hAnsi="Arial" w:cs="Arial"/>
          <w:sz w:val="20"/>
          <w:szCs w:val="20"/>
          <w:lang w:val="en-GB"/>
        </w:rPr>
      </w:pPr>
    </w:p>
    <w:p w14:paraId="73BC1EB6" w14:textId="77777777" w:rsidR="003826D4" w:rsidRPr="003826D4" w:rsidRDefault="003826D4" w:rsidP="003826D4">
      <w:pPr>
        <w:spacing w:after="0"/>
        <w:jc w:val="both"/>
        <w:rPr>
          <w:rFonts w:ascii="Arial" w:eastAsia="Calibri" w:hAnsi="Arial" w:cs="Arial"/>
          <w:sz w:val="20"/>
          <w:szCs w:val="20"/>
        </w:rPr>
      </w:pPr>
      <w:r w:rsidRPr="003826D4">
        <w:rPr>
          <w:rFonts w:ascii="Arial" w:eastAsia="Calibri" w:hAnsi="Arial" w:cs="Arial"/>
          <w:noProof/>
          <w:sz w:val="20"/>
          <w:szCs w:val="20"/>
          <w:lang w:eastAsia="fr-FR"/>
        </w:rPr>
        <w:drawing>
          <wp:inline distT="0" distB="0" distL="0" distR="0" wp14:anchorId="5FC83999" wp14:editId="1F568950">
            <wp:extent cx="2771775" cy="2562225"/>
            <wp:effectExtent l="19050" t="19050" r="28575" b="285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1775" cy="2562225"/>
                    </a:xfrm>
                    <a:prstGeom prst="rect">
                      <a:avLst/>
                    </a:prstGeom>
                    <a:noFill/>
                    <a:ln>
                      <a:solidFill>
                        <a:sysClr val="windowText" lastClr="000000"/>
                      </a:solidFill>
                    </a:ln>
                  </pic:spPr>
                </pic:pic>
              </a:graphicData>
            </a:graphic>
          </wp:inline>
        </w:drawing>
      </w:r>
      <w:r w:rsidRPr="003826D4">
        <w:rPr>
          <w:rFonts w:ascii="Arial" w:eastAsia="Calibri" w:hAnsi="Arial" w:cs="Arial"/>
          <w:noProof/>
          <w:sz w:val="20"/>
          <w:szCs w:val="20"/>
          <w:lang w:eastAsia="fr-FR"/>
        </w:rPr>
        <w:drawing>
          <wp:inline distT="0" distB="0" distL="0" distR="0" wp14:anchorId="55DE76A9" wp14:editId="527B1EDD">
            <wp:extent cx="2676525" cy="2546350"/>
            <wp:effectExtent l="19050" t="19050" r="28575" b="2540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6525" cy="2546350"/>
                    </a:xfrm>
                    <a:prstGeom prst="rect">
                      <a:avLst/>
                    </a:prstGeom>
                    <a:noFill/>
                    <a:ln>
                      <a:solidFill>
                        <a:sysClr val="windowText" lastClr="000000"/>
                      </a:solidFill>
                    </a:ln>
                  </pic:spPr>
                </pic:pic>
              </a:graphicData>
            </a:graphic>
          </wp:inline>
        </w:drawing>
      </w:r>
    </w:p>
    <w:p w14:paraId="12F3237B" w14:textId="77777777" w:rsidR="003826D4" w:rsidRPr="003826D4" w:rsidRDefault="003826D4" w:rsidP="003826D4">
      <w:pPr>
        <w:spacing w:after="0"/>
        <w:jc w:val="both"/>
        <w:rPr>
          <w:rFonts w:ascii="Arial" w:eastAsia="Calibri" w:hAnsi="Arial" w:cs="Arial"/>
          <w:sz w:val="20"/>
          <w:szCs w:val="20"/>
        </w:rPr>
      </w:pPr>
      <w:r w:rsidRPr="003826D4">
        <w:rPr>
          <w:rFonts w:ascii="Arial" w:eastAsia="Calibri" w:hAnsi="Arial" w:cs="Arial"/>
          <w:noProof/>
          <w:sz w:val="20"/>
          <w:szCs w:val="20"/>
          <w:lang w:eastAsia="fr-FR"/>
        </w:rPr>
        <w:lastRenderedPageBreak/>
        <w:drawing>
          <wp:inline distT="0" distB="0" distL="0" distR="0" wp14:anchorId="585BEC96" wp14:editId="59900A56">
            <wp:extent cx="2705100" cy="2600325"/>
            <wp:effectExtent l="19050" t="19050" r="19050" b="285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5100" cy="2600325"/>
                    </a:xfrm>
                    <a:prstGeom prst="rect">
                      <a:avLst/>
                    </a:prstGeom>
                    <a:noFill/>
                    <a:ln>
                      <a:solidFill>
                        <a:sysClr val="windowText" lastClr="000000"/>
                      </a:solidFill>
                    </a:ln>
                  </pic:spPr>
                </pic:pic>
              </a:graphicData>
            </a:graphic>
          </wp:inline>
        </w:drawing>
      </w:r>
      <w:r w:rsidRPr="003826D4">
        <w:rPr>
          <w:rFonts w:ascii="Arial" w:eastAsia="Calibri" w:hAnsi="Arial" w:cs="Arial"/>
          <w:noProof/>
          <w:sz w:val="20"/>
          <w:szCs w:val="20"/>
          <w:lang w:eastAsia="fr-FR"/>
        </w:rPr>
        <w:drawing>
          <wp:inline distT="0" distB="0" distL="0" distR="0" wp14:anchorId="05E968E7" wp14:editId="666A095B">
            <wp:extent cx="2676525" cy="2609850"/>
            <wp:effectExtent l="19050" t="19050" r="28575" b="190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76525" cy="2609850"/>
                    </a:xfrm>
                    <a:prstGeom prst="rect">
                      <a:avLst/>
                    </a:prstGeom>
                    <a:noFill/>
                    <a:ln>
                      <a:solidFill>
                        <a:sysClr val="windowText" lastClr="000000"/>
                      </a:solidFill>
                    </a:ln>
                  </pic:spPr>
                </pic:pic>
              </a:graphicData>
            </a:graphic>
          </wp:inline>
        </w:drawing>
      </w:r>
    </w:p>
    <w:p w14:paraId="14A4E6CD" w14:textId="77777777" w:rsidR="00FE32BD" w:rsidRDefault="00FE32BD" w:rsidP="008A40FD">
      <w:pPr>
        <w:spacing w:after="0" w:line="240" w:lineRule="auto"/>
        <w:jc w:val="both"/>
        <w:rPr>
          <w:rFonts w:ascii="Arial" w:hAnsi="Arial" w:cs="Arial"/>
          <w:sz w:val="20"/>
          <w:szCs w:val="20"/>
          <w:lang w:val="en-GB"/>
        </w:rPr>
      </w:pPr>
    </w:p>
    <w:p w14:paraId="1536F408" w14:textId="77777777" w:rsidR="00FE32BD" w:rsidRDefault="0021073E" w:rsidP="008A40FD">
      <w:pPr>
        <w:spacing w:after="0" w:line="240" w:lineRule="auto"/>
        <w:jc w:val="both"/>
        <w:rPr>
          <w:rFonts w:ascii="Arial" w:hAnsi="Arial" w:cs="Arial"/>
          <w:sz w:val="20"/>
          <w:szCs w:val="20"/>
          <w:lang w:val="en-GB"/>
        </w:rPr>
      </w:pPr>
      <w:r w:rsidRPr="0021073E">
        <w:rPr>
          <w:rFonts w:ascii="Arial" w:hAnsi="Arial" w:cs="Arial"/>
          <w:b/>
          <w:sz w:val="20"/>
          <w:szCs w:val="20"/>
          <w:lang w:val="en-GB"/>
        </w:rPr>
        <w:t>Fig. 3. Spatial distributions of nutrient diffusion fluxes at the water-sediment interface</w:t>
      </w:r>
    </w:p>
    <w:p w14:paraId="783C9B2A" w14:textId="77777777" w:rsidR="00CB51CF" w:rsidRDefault="00CB51CF" w:rsidP="003B6A46">
      <w:pPr>
        <w:spacing w:after="0" w:line="240" w:lineRule="auto"/>
        <w:jc w:val="both"/>
        <w:rPr>
          <w:rFonts w:ascii="Arial" w:hAnsi="Arial" w:cs="Arial"/>
          <w:sz w:val="20"/>
          <w:szCs w:val="20"/>
          <w:lang w:val="en-GB"/>
        </w:rPr>
      </w:pPr>
    </w:p>
    <w:p w14:paraId="4819864E" w14:textId="77777777" w:rsidR="00F813FF" w:rsidRPr="003B6A46" w:rsidRDefault="003B6A46" w:rsidP="003B6A46">
      <w:pPr>
        <w:spacing w:after="0" w:line="240" w:lineRule="auto"/>
        <w:jc w:val="both"/>
        <w:rPr>
          <w:rFonts w:ascii="Arial" w:hAnsi="Arial" w:cs="Arial"/>
          <w:sz w:val="20"/>
          <w:szCs w:val="20"/>
          <w:lang w:val="en-GB"/>
        </w:rPr>
      </w:pPr>
      <w:r w:rsidRPr="003B6A46">
        <w:rPr>
          <w:rFonts w:ascii="Arial" w:hAnsi="Arial" w:cs="Arial"/>
          <w:sz w:val="20"/>
          <w:szCs w:val="20"/>
          <w:lang w:val="en-GB"/>
        </w:rPr>
        <w:t>Over the study period:</w:t>
      </w:r>
    </w:p>
    <w:p w14:paraId="1642357B" w14:textId="77777777" w:rsidR="00F62678" w:rsidRPr="003B6A46" w:rsidRDefault="00F62678" w:rsidP="003B6A46">
      <w:pPr>
        <w:spacing w:after="0" w:line="240" w:lineRule="auto"/>
        <w:jc w:val="both"/>
        <w:rPr>
          <w:rFonts w:ascii="Arial" w:hAnsi="Arial" w:cs="Arial"/>
          <w:sz w:val="20"/>
          <w:szCs w:val="20"/>
          <w:lang w:val="en-GB"/>
        </w:rPr>
      </w:pPr>
      <w:r>
        <w:rPr>
          <w:rFonts w:ascii="Arial" w:hAnsi="Arial" w:cs="Arial"/>
          <w:sz w:val="20"/>
          <w:szCs w:val="20"/>
          <w:lang w:val="en-GB"/>
        </w:rPr>
        <w:t xml:space="preserve">- </w:t>
      </w:r>
      <w:r w:rsidR="003B6A46" w:rsidRPr="003B6A46">
        <w:rPr>
          <w:rFonts w:ascii="Arial" w:hAnsi="Arial" w:cs="Arial"/>
          <w:sz w:val="20"/>
          <w:szCs w:val="20"/>
          <w:lang w:val="en-GB"/>
        </w:rPr>
        <w:t>Ammonium (</w:t>
      </w:r>
      <w:r w:rsidR="00DD15A0">
        <w:rPr>
          <w:rFonts w:ascii="Arial" w:hAnsi="Arial" w:cs="Arial"/>
          <w:sz w:val="20"/>
          <w:szCs w:val="20"/>
          <w:lang w:val="en-GB"/>
        </w:rPr>
        <w:t>NH</w:t>
      </w:r>
      <w:r w:rsidR="00DD15A0">
        <w:rPr>
          <w:rFonts w:ascii="Arial" w:hAnsi="Arial" w:cs="Arial"/>
          <w:sz w:val="20"/>
          <w:szCs w:val="20"/>
          <w:vertAlign w:val="subscript"/>
          <w:lang w:val="en-GB"/>
        </w:rPr>
        <w:t>4</w:t>
      </w:r>
      <w:r w:rsidR="00DD15A0">
        <w:rPr>
          <w:rFonts w:ascii="Arial" w:hAnsi="Arial" w:cs="Arial"/>
          <w:sz w:val="20"/>
          <w:szCs w:val="20"/>
          <w:vertAlign w:val="superscript"/>
          <w:lang w:val="en-GB"/>
        </w:rPr>
        <w:t>+</w:t>
      </w:r>
      <w:r w:rsidR="00DD15A0">
        <w:rPr>
          <w:rFonts w:ascii="Arial" w:hAnsi="Arial" w:cs="Arial"/>
          <w:sz w:val="20"/>
          <w:szCs w:val="20"/>
          <w:lang w:val="en-GB"/>
        </w:rPr>
        <w:t>-N</w:t>
      </w:r>
      <w:r w:rsidR="003B6A46" w:rsidRPr="003B6A46">
        <w:rPr>
          <w:rFonts w:ascii="Arial" w:hAnsi="Arial" w:cs="Arial"/>
          <w:sz w:val="20"/>
          <w:szCs w:val="20"/>
          <w:lang w:val="en-GB"/>
        </w:rPr>
        <w:t xml:space="preserve">) diffusion fluxes ranged from 0.002 ± 0.001 </w:t>
      </w:r>
      <w:r w:rsidR="00DD15A0">
        <w:rPr>
          <w:rFonts w:ascii="Arial" w:hAnsi="Arial" w:cs="Arial"/>
          <w:sz w:val="20"/>
          <w:szCs w:val="20"/>
          <w:lang w:val="en-GB"/>
        </w:rPr>
        <w:t>mg.m</w:t>
      </w:r>
      <w:r w:rsidR="00DD15A0">
        <w:rPr>
          <w:rFonts w:ascii="Arial" w:hAnsi="Arial" w:cs="Arial"/>
          <w:sz w:val="20"/>
          <w:szCs w:val="20"/>
          <w:vertAlign w:val="superscript"/>
          <w:lang w:val="en-GB"/>
        </w:rPr>
        <w:t>-2</w:t>
      </w:r>
      <w:r w:rsidR="00DD15A0">
        <w:rPr>
          <w:rFonts w:ascii="Arial" w:hAnsi="Arial" w:cs="Arial"/>
          <w:sz w:val="20"/>
          <w:szCs w:val="20"/>
          <w:lang w:val="en-GB"/>
        </w:rPr>
        <w:t>.d</w:t>
      </w:r>
      <w:r w:rsidR="00DD15A0">
        <w:rPr>
          <w:rFonts w:ascii="Arial" w:hAnsi="Arial" w:cs="Arial"/>
          <w:sz w:val="20"/>
          <w:szCs w:val="20"/>
          <w:vertAlign w:val="superscript"/>
          <w:lang w:val="en-GB"/>
        </w:rPr>
        <w:t>-1</w:t>
      </w:r>
      <w:r w:rsidR="003B6A46" w:rsidRPr="003B6A46">
        <w:rPr>
          <w:rFonts w:ascii="Arial" w:hAnsi="Arial" w:cs="Arial"/>
          <w:sz w:val="20"/>
          <w:szCs w:val="20"/>
          <w:lang w:val="en-GB"/>
        </w:rPr>
        <w:t xml:space="preserve"> (station S2) to 0.063 ± 0.050 </w:t>
      </w:r>
      <w:r w:rsidR="00CB51CF">
        <w:rPr>
          <w:rFonts w:ascii="Arial" w:hAnsi="Arial" w:cs="Arial"/>
          <w:sz w:val="20"/>
          <w:szCs w:val="20"/>
          <w:lang w:val="en-GB"/>
        </w:rPr>
        <w:t>mg.m</w:t>
      </w:r>
      <w:r w:rsidR="00CB51CF">
        <w:rPr>
          <w:rFonts w:ascii="Arial" w:hAnsi="Arial" w:cs="Arial"/>
          <w:sz w:val="20"/>
          <w:szCs w:val="20"/>
          <w:vertAlign w:val="superscript"/>
          <w:lang w:val="en-GB"/>
        </w:rPr>
        <w:t>-2</w:t>
      </w:r>
      <w:r w:rsidR="00CB51CF">
        <w:rPr>
          <w:rFonts w:ascii="Arial" w:hAnsi="Arial" w:cs="Arial"/>
          <w:sz w:val="20"/>
          <w:szCs w:val="20"/>
          <w:lang w:val="en-GB"/>
        </w:rPr>
        <w:t>.d</w:t>
      </w:r>
      <w:r w:rsidR="00CB51CF">
        <w:rPr>
          <w:rFonts w:ascii="Arial" w:hAnsi="Arial" w:cs="Arial"/>
          <w:sz w:val="20"/>
          <w:szCs w:val="20"/>
          <w:vertAlign w:val="superscript"/>
          <w:lang w:val="en-GB"/>
        </w:rPr>
        <w:t>-1</w:t>
      </w:r>
      <w:r w:rsidR="003B6A46" w:rsidRPr="003B6A46">
        <w:rPr>
          <w:rFonts w:ascii="Arial" w:hAnsi="Arial" w:cs="Arial"/>
          <w:sz w:val="20"/>
          <w:szCs w:val="20"/>
          <w:lang w:val="en-GB"/>
        </w:rPr>
        <w:t xml:space="preserve"> (station S5) (Fig. 3). The maximum value of ammonium diffusion fluxes was obtained at station S5. Regardless of the station, ammonium</w:t>
      </w:r>
      <w:r w:rsidR="00DD15A0">
        <w:rPr>
          <w:rFonts w:ascii="Arial" w:hAnsi="Arial" w:cs="Arial"/>
          <w:sz w:val="20"/>
          <w:szCs w:val="20"/>
          <w:lang w:val="en-GB"/>
        </w:rPr>
        <w:t xml:space="preserve"> diffusion fluxes were positive.</w:t>
      </w:r>
    </w:p>
    <w:p w14:paraId="050A6CAE" w14:textId="77777777" w:rsidR="003B6A46" w:rsidRPr="003B6A46" w:rsidRDefault="003B6A46" w:rsidP="003B6A46">
      <w:pPr>
        <w:spacing w:after="0" w:line="240" w:lineRule="auto"/>
        <w:jc w:val="both"/>
        <w:rPr>
          <w:rFonts w:ascii="Arial" w:hAnsi="Arial" w:cs="Arial"/>
          <w:sz w:val="20"/>
          <w:szCs w:val="20"/>
          <w:lang w:val="en-GB"/>
        </w:rPr>
      </w:pPr>
      <w:r w:rsidRPr="003B6A46">
        <w:rPr>
          <w:rFonts w:ascii="Arial" w:hAnsi="Arial" w:cs="Arial"/>
          <w:sz w:val="20"/>
          <w:szCs w:val="20"/>
          <w:lang w:val="en-GB"/>
        </w:rPr>
        <w:t xml:space="preserve">- Nitrite diffusion fluxes were relatively low, ranging from -0.001 ± 0.002 </w:t>
      </w:r>
      <w:r w:rsidR="00CB51CF">
        <w:rPr>
          <w:rFonts w:ascii="Arial" w:hAnsi="Arial" w:cs="Arial"/>
          <w:sz w:val="20"/>
          <w:szCs w:val="20"/>
          <w:lang w:val="en-GB"/>
        </w:rPr>
        <w:t>mg.m</w:t>
      </w:r>
      <w:r w:rsidR="00CB51CF">
        <w:rPr>
          <w:rFonts w:ascii="Arial" w:hAnsi="Arial" w:cs="Arial"/>
          <w:sz w:val="20"/>
          <w:szCs w:val="20"/>
          <w:vertAlign w:val="superscript"/>
          <w:lang w:val="en-GB"/>
        </w:rPr>
        <w:t>-2</w:t>
      </w:r>
      <w:r w:rsidR="00CB51CF">
        <w:rPr>
          <w:rFonts w:ascii="Arial" w:hAnsi="Arial" w:cs="Arial"/>
          <w:sz w:val="20"/>
          <w:szCs w:val="20"/>
          <w:lang w:val="en-GB"/>
        </w:rPr>
        <w:t>.d</w:t>
      </w:r>
      <w:r w:rsidR="00CB51CF">
        <w:rPr>
          <w:rFonts w:ascii="Arial" w:hAnsi="Arial" w:cs="Arial"/>
          <w:sz w:val="20"/>
          <w:szCs w:val="20"/>
          <w:vertAlign w:val="superscript"/>
          <w:lang w:val="en-GB"/>
        </w:rPr>
        <w:t>-1</w:t>
      </w:r>
      <w:r w:rsidRPr="003B6A46">
        <w:rPr>
          <w:rFonts w:ascii="Arial" w:hAnsi="Arial" w:cs="Arial"/>
          <w:sz w:val="20"/>
          <w:szCs w:val="20"/>
          <w:lang w:val="en-GB"/>
        </w:rPr>
        <w:t xml:space="preserve"> (station S1) to 0.006 ± 0.004 </w:t>
      </w:r>
      <w:r w:rsidR="00CB51CF">
        <w:rPr>
          <w:rFonts w:ascii="Arial" w:hAnsi="Arial" w:cs="Arial"/>
          <w:sz w:val="20"/>
          <w:szCs w:val="20"/>
          <w:lang w:val="en-GB"/>
        </w:rPr>
        <w:t>mg.m</w:t>
      </w:r>
      <w:r w:rsidR="00CB51CF">
        <w:rPr>
          <w:rFonts w:ascii="Arial" w:hAnsi="Arial" w:cs="Arial"/>
          <w:sz w:val="20"/>
          <w:szCs w:val="20"/>
          <w:vertAlign w:val="superscript"/>
          <w:lang w:val="en-GB"/>
        </w:rPr>
        <w:t>-2</w:t>
      </w:r>
      <w:r w:rsidR="00CB51CF">
        <w:rPr>
          <w:rFonts w:ascii="Arial" w:hAnsi="Arial" w:cs="Arial"/>
          <w:sz w:val="20"/>
          <w:szCs w:val="20"/>
          <w:lang w:val="en-GB"/>
        </w:rPr>
        <w:t>.d</w:t>
      </w:r>
      <w:r w:rsidR="00CB51CF">
        <w:rPr>
          <w:rFonts w:ascii="Arial" w:hAnsi="Arial" w:cs="Arial"/>
          <w:sz w:val="20"/>
          <w:szCs w:val="20"/>
          <w:vertAlign w:val="superscript"/>
          <w:lang w:val="en-GB"/>
        </w:rPr>
        <w:t>-1</w:t>
      </w:r>
      <w:r w:rsidRPr="003B6A46">
        <w:rPr>
          <w:rFonts w:ascii="Arial" w:hAnsi="Arial" w:cs="Arial"/>
          <w:sz w:val="20"/>
          <w:szCs w:val="20"/>
          <w:lang w:val="en-GB"/>
        </w:rPr>
        <w:t xml:space="preserve"> (station S4) (Fig. 3). The nitrite diffusion flux obtained at station S1 was negative.</w:t>
      </w:r>
    </w:p>
    <w:p w14:paraId="7BF7FD23" w14:textId="77777777" w:rsidR="003B6A46" w:rsidRPr="003B6A46" w:rsidRDefault="003B6A46" w:rsidP="003B6A46">
      <w:pPr>
        <w:spacing w:after="0" w:line="240" w:lineRule="auto"/>
        <w:jc w:val="both"/>
        <w:rPr>
          <w:rFonts w:ascii="Arial" w:hAnsi="Arial" w:cs="Arial"/>
          <w:sz w:val="20"/>
          <w:szCs w:val="20"/>
          <w:lang w:val="en-GB"/>
        </w:rPr>
      </w:pPr>
      <w:r w:rsidRPr="003B6A46">
        <w:rPr>
          <w:rFonts w:ascii="Arial" w:hAnsi="Arial" w:cs="Arial"/>
          <w:sz w:val="20"/>
          <w:szCs w:val="20"/>
          <w:lang w:val="en-GB"/>
        </w:rPr>
        <w:t xml:space="preserve">- Nitrate diffusion fluxes range from -0.50 ± 0.97 </w:t>
      </w:r>
      <w:r w:rsidR="00CB51CF">
        <w:rPr>
          <w:rFonts w:ascii="Arial" w:hAnsi="Arial" w:cs="Arial"/>
          <w:sz w:val="20"/>
          <w:szCs w:val="20"/>
          <w:lang w:val="en-GB"/>
        </w:rPr>
        <w:t>mg.m</w:t>
      </w:r>
      <w:r w:rsidR="00CB51CF">
        <w:rPr>
          <w:rFonts w:ascii="Arial" w:hAnsi="Arial" w:cs="Arial"/>
          <w:sz w:val="20"/>
          <w:szCs w:val="20"/>
          <w:vertAlign w:val="superscript"/>
          <w:lang w:val="en-GB"/>
        </w:rPr>
        <w:t>-2</w:t>
      </w:r>
      <w:r w:rsidR="00CB51CF">
        <w:rPr>
          <w:rFonts w:ascii="Arial" w:hAnsi="Arial" w:cs="Arial"/>
          <w:sz w:val="20"/>
          <w:szCs w:val="20"/>
          <w:lang w:val="en-GB"/>
        </w:rPr>
        <w:t>.d</w:t>
      </w:r>
      <w:r w:rsidR="00CB51CF">
        <w:rPr>
          <w:rFonts w:ascii="Arial" w:hAnsi="Arial" w:cs="Arial"/>
          <w:sz w:val="20"/>
          <w:szCs w:val="20"/>
          <w:vertAlign w:val="superscript"/>
          <w:lang w:val="en-GB"/>
        </w:rPr>
        <w:t>-1</w:t>
      </w:r>
      <w:r w:rsidRPr="003B6A46">
        <w:rPr>
          <w:rFonts w:ascii="Arial" w:hAnsi="Arial" w:cs="Arial"/>
          <w:sz w:val="20"/>
          <w:szCs w:val="20"/>
          <w:lang w:val="en-GB"/>
        </w:rPr>
        <w:t xml:space="preserve"> (station S1) to 0.40 ± 0.27 </w:t>
      </w:r>
      <w:r w:rsidR="00CB51CF">
        <w:rPr>
          <w:rFonts w:ascii="Arial" w:hAnsi="Arial" w:cs="Arial"/>
          <w:sz w:val="20"/>
          <w:szCs w:val="20"/>
          <w:lang w:val="en-GB"/>
        </w:rPr>
        <w:t>mg.m</w:t>
      </w:r>
      <w:r w:rsidR="00CB51CF">
        <w:rPr>
          <w:rFonts w:ascii="Arial" w:hAnsi="Arial" w:cs="Arial"/>
          <w:sz w:val="20"/>
          <w:szCs w:val="20"/>
          <w:vertAlign w:val="superscript"/>
          <w:lang w:val="en-GB"/>
        </w:rPr>
        <w:t>-2</w:t>
      </w:r>
      <w:r w:rsidR="00CB51CF">
        <w:rPr>
          <w:rFonts w:ascii="Arial" w:hAnsi="Arial" w:cs="Arial"/>
          <w:sz w:val="20"/>
          <w:szCs w:val="20"/>
          <w:lang w:val="en-GB"/>
        </w:rPr>
        <w:t>.d</w:t>
      </w:r>
      <w:r w:rsidR="00CB51CF">
        <w:rPr>
          <w:rFonts w:ascii="Arial" w:hAnsi="Arial" w:cs="Arial"/>
          <w:sz w:val="20"/>
          <w:szCs w:val="20"/>
          <w:vertAlign w:val="superscript"/>
          <w:lang w:val="en-GB"/>
        </w:rPr>
        <w:t>-1</w:t>
      </w:r>
      <w:r w:rsidRPr="003B6A46">
        <w:rPr>
          <w:rFonts w:ascii="Arial" w:hAnsi="Arial" w:cs="Arial"/>
          <w:sz w:val="20"/>
          <w:szCs w:val="20"/>
          <w:lang w:val="en-GB"/>
        </w:rPr>
        <w:t xml:space="preserve"> (station S5) (Fig. 3). In addition, nitrate diffusion fluxes at stations S5 and S7 are positive.</w:t>
      </w:r>
    </w:p>
    <w:p w14:paraId="73B7352D" w14:textId="77777777" w:rsidR="003B6A46" w:rsidRPr="003B6A46" w:rsidRDefault="003B6A46" w:rsidP="003B6A46">
      <w:pPr>
        <w:spacing w:after="0" w:line="240" w:lineRule="auto"/>
        <w:jc w:val="both"/>
        <w:rPr>
          <w:rFonts w:ascii="Arial" w:hAnsi="Arial" w:cs="Arial"/>
          <w:sz w:val="20"/>
          <w:szCs w:val="20"/>
          <w:lang w:val="en-GB"/>
        </w:rPr>
      </w:pPr>
      <w:r w:rsidRPr="003B6A46">
        <w:rPr>
          <w:rFonts w:ascii="Arial" w:hAnsi="Arial" w:cs="Arial"/>
          <w:sz w:val="20"/>
          <w:szCs w:val="20"/>
          <w:lang w:val="en-GB"/>
        </w:rPr>
        <w:t xml:space="preserve">- Regardless of the station, phosphate diffusion fluxes are positive. They range from 0.01 ± 0.00 </w:t>
      </w:r>
      <w:r w:rsidR="00F62678">
        <w:rPr>
          <w:rFonts w:ascii="Arial" w:hAnsi="Arial" w:cs="Arial"/>
          <w:sz w:val="20"/>
          <w:szCs w:val="20"/>
          <w:lang w:val="en-GB"/>
        </w:rPr>
        <w:t>mg.m</w:t>
      </w:r>
      <w:r w:rsidR="00F62678">
        <w:rPr>
          <w:rFonts w:ascii="Arial" w:hAnsi="Arial" w:cs="Arial"/>
          <w:sz w:val="20"/>
          <w:szCs w:val="20"/>
          <w:vertAlign w:val="superscript"/>
          <w:lang w:val="en-GB"/>
        </w:rPr>
        <w:t>-2</w:t>
      </w:r>
      <w:r w:rsidR="00F62678">
        <w:rPr>
          <w:rFonts w:ascii="Arial" w:hAnsi="Arial" w:cs="Arial"/>
          <w:sz w:val="20"/>
          <w:szCs w:val="20"/>
          <w:lang w:val="en-GB"/>
        </w:rPr>
        <w:t>.d</w:t>
      </w:r>
      <w:r w:rsidR="00F62678">
        <w:rPr>
          <w:rFonts w:ascii="Arial" w:hAnsi="Arial" w:cs="Arial"/>
          <w:sz w:val="20"/>
          <w:szCs w:val="20"/>
          <w:vertAlign w:val="superscript"/>
          <w:lang w:val="en-GB"/>
        </w:rPr>
        <w:t>-1</w:t>
      </w:r>
      <w:r w:rsidRPr="003B6A46">
        <w:rPr>
          <w:rFonts w:ascii="Arial" w:hAnsi="Arial" w:cs="Arial"/>
          <w:sz w:val="20"/>
          <w:szCs w:val="20"/>
          <w:lang w:val="en-GB"/>
        </w:rPr>
        <w:t xml:space="preserve"> (station S2) to 0.14 ± 0.02 </w:t>
      </w:r>
      <w:r w:rsidR="00F62678">
        <w:rPr>
          <w:rFonts w:ascii="Arial" w:hAnsi="Arial" w:cs="Arial"/>
          <w:sz w:val="20"/>
          <w:szCs w:val="20"/>
          <w:lang w:val="en-GB"/>
        </w:rPr>
        <w:t>mg.m</w:t>
      </w:r>
      <w:r w:rsidR="00F62678">
        <w:rPr>
          <w:rFonts w:ascii="Arial" w:hAnsi="Arial" w:cs="Arial"/>
          <w:sz w:val="20"/>
          <w:szCs w:val="20"/>
          <w:vertAlign w:val="superscript"/>
          <w:lang w:val="en-GB"/>
        </w:rPr>
        <w:t>-2</w:t>
      </w:r>
      <w:r w:rsidR="00F62678">
        <w:rPr>
          <w:rFonts w:ascii="Arial" w:hAnsi="Arial" w:cs="Arial"/>
          <w:sz w:val="20"/>
          <w:szCs w:val="20"/>
          <w:lang w:val="en-GB"/>
        </w:rPr>
        <w:t>.d</w:t>
      </w:r>
      <w:r w:rsidR="00F62678">
        <w:rPr>
          <w:rFonts w:ascii="Arial" w:hAnsi="Arial" w:cs="Arial"/>
          <w:sz w:val="20"/>
          <w:szCs w:val="20"/>
          <w:vertAlign w:val="superscript"/>
          <w:lang w:val="en-GB"/>
        </w:rPr>
        <w:t>-1</w:t>
      </w:r>
      <w:r w:rsidRPr="003B6A46">
        <w:rPr>
          <w:rFonts w:ascii="Arial" w:hAnsi="Arial" w:cs="Arial"/>
          <w:sz w:val="20"/>
          <w:szCs w:val="20"/>
          <w:lang w:val="en-GB"/>
        </w:rPr>
        <w:t xml:space="preserve"> (station S6). The maximum value of phosphate diffusion fluxes was obtained at station S6 (Fig. 3).</w:t>
      </w:r>
    </w:p>
    <w:p w14:paraId="567FFD27" w14:textId="77777777" w:rsidR="00971E8F" w:rsidRDefault="00F813FF" w:rsidP="00F813FF">
      <w:pPr>
        <w:spacing w:after="0" w:line="240" w:lineRule="auto"/>
        <w:jc w:val="both"/>
        <w:rPr>
          <w:rFonts w:ascii="Arial" w:hAnsi="Arial" w:cs="Arial"/>
          <w:sz w:val="20"/>
          <w:szCs w:val="20"/>
          <w:lang w:val="en-GB"/>
        </w:rPr>
      </w:pPr>
      <w:r>
        <w:rPr>
          <w:rFonts w:ascii="Arial" w:hAnsi="Arial" w:cs="Arial"/>
          <w:sz w:val="20"/>
          <w:szCs w:val="20"/>
          <w:lang w:val="en-GB"/>
        </w:rPr>
        <w:t xml:space="preserve">The average values </w:t>
      </w:r>
      <w:r w:rsidRPr="00F813FF">
        <w:rPr>
          <w:rFonts w:ascii="Arial" w:hAnsi="Arial" w:cs="Arial"/>
          <w:sz w:val="20"/>
          <w:szCs w:val="20"/>
          <w:lang w:val="en-GB"/>
        </w:rPr>
        <w:t xml:space="preserve">of ammonium, nitrite, nitrate, and phosphate diffusion fluxes are 0.036 ± 0.016 </w:t>
      </w:r>
      <w:r w:rsidR="00525B57">
        <w:rPr>
          <w:rFonts w:ascii="Arial" w:hAnsi="Arial" w:cs="Arial"/>
          <w:sz w:val="20"/>
          <w:szCs w:val="20"/>
          <w:lang w:val="en-GB"/>
        </w:rPr>
        <w:t>mg.m</w:t>
      </w:r>
      <w:r w:rsidR="00525B57">
        <w:rPr>
          <w:rFonts w:ascii="Arial" w:hAnsi="Arial" w:cs="Arial"/>
          <w:sz w:val="20"/>
          <w:szCs w:val="20"/>
          <w:vertAlign w:val="superscript"/>
          <w:lang w:val="en-GB"/>
        </w:rPr>
        <w:t>-2</w:t>
      </w:r>
      <w:r w:rsidR="00525B57">
        <w:rPr>
          <w:rFonts w:ascii="Arial" w:hAnsi="Arial" w:cs="Arial"/>
          <w:sz w:val="20"/>
          <w:szCs w:val="20"/>
          <w:lang w:val="en-GB"/>
        </w:rPr>
        <w:t>.d</w:t>
      </w:r>
      <w:r w:rsidR="00525B57">
        <w:rPr>
          <w:rFonts w:ascii="Arial" w:hAnsi="Arial" w:cs="Arial"/>
          <w:sz w:val="20"/>
          <w:szCs w:val="20"/>
          <w:vertAlign w:val="superscript"/>
          <w:lang w:val="en-GB"/>
        </w:rPr>
        <w:t>-1</w:t>
      </w:r>
      <w:r w:rsidRPr="00F813FF">
        <w:rPr>
          <w:rFonts w:ascii="Arial" w:hAnsi="Arial" w:cs="Arial"/>
          <w:sz w:val="20"/>
          <w:szCs w:val="20"/>
          <w:lang w:val="en-GB"/>
        </w:rPr>
        <w:t xml:space="preserve">; 0.002 ± 0.001 </w:t>
      </w:r>
      <w:r w:rsidR="00525B57">
        <w:rPr>
          <w:rFonts w:ascii="Arial" w:hAnsi="Arial" w:cs="Arial"/>
          <w:sz w:val="20"/>
          <w:szCs w:val="20"/>
          <w:lang w:val="en-GB"/>
        </w:rPr>
        <w:t>mg.m</w:t>
      </w:r>
      <w:r w:rsidR="00525B57">
        <w:rPr>
          <w:rFonts w:ascii="Arial" w:hAnsi="Arial" w:cs="Arial"/>
          <w:sz w:val="20"/>
          <w:szCs w:val="20"/>
          <w:vertAlign w:val="superscript"/>
          <w:lang w:val="en-GB"/>
        </w:rPr>
        <w:t>-2</w:t>
      </w:r>
      <w:r w:rsidR="00525B57">
        <w:rPr>
          <w:rFonts w:ascii="Arial" w:hAnsi="Arial" w:cs="Arial"/>
          <w:sz w:val="20"/>
          <w:szCs w:val="20"/>
          <w:lang w:val="en-GB"/>
        </w:rPr>
        <w:t>.d</w:t>
      </w:r>
      <w:r w:rsidR="00525B57">
        <w:rPr>
          <w:rFonts w:ascii="Arial" w:hAnsi="Arial" w:cs="Arial"/>
          <w:sz w:val="20"/>
          <w:szCs w:val="20"/>
          <w:vertAlign w:val="superscript"/>
          <w:lang w:val="en-GB"/>
        </w:rPr>
        <w:t>-1</w:t>
      </w:r>
      <w:r w:rsidRPr="00F813FF">
        <w:rPr>
          <w:rFonts w:ascii="Arial" w:hAnsi="Arial" w:cs="Arial"/>
          <w:sz w:val="20"/>
          <w:szCs w:val="20"/>
          <w:lang w:val="en-GB"/>
        </w:rPr>
        <w:t xml:space="preserve">; -0.11 ± 0.43 </w:t>
      </w:r>
      <w:r w:rsidR="00525B57">
        <w:rPr>
          <w:rFonts w:ascii="Arial" w:hAnsi="Arial" w:cs="Arial"/>
          <w:sz w:val="20"/>
          <w:szCs w:val="20"/>
          <w:lang w:val="en-GB"/>
        </w:rPr>
        <w:t>mg.m</w:t>
      </w:r>
      <w:r w:rsidR="00525B57">
        <w:rPr>
          <w:rFonts w:ascii="Arial" w:hAnsi="Arial" w:cs="Arial"/>
          <w:sz w:val="20"/>
          <w:szCs w:val="20"/>
          <w:vertAlign w:val="superscript"/>
          <w:lang w:val="en-GB"/>
        </w:rPr>
        <w:t>-2</w:t>
      </w:r>
      <w:r w:rsidR="00525B57">
        <w:rPr>
          <w:rFonts w:ascii="Arial" w:hAnsi="Arial" w:cs="Arial"/>
          <w:sz w:val="20"/>
          <w:szCs w:val="20"/>
          <w:lang w:val="en-GB"/>
        </w:rPr>
        <w:t>.d</w:t>
      </w:r>
      <w:r w:rsidR="00525B57">
        <w:rPr>
          <w:rFonts w:ascii="Arial" w:hAnsi="Arial" w:cs="Arial"/>
          <w:sz w:val="20"/>
          <w:szCs w:val="20"/>
          <w:vertAlign w:val="superscript"/>
          <w:lang w:val="en-GB"/>
        </w:rPr>
        <w:t>-1</w:t>
      </w:r>
      <w:r w:rsidRPr="00F813FF">
        <w:rPr>
          <w:rFonts w:ascii="Arial" w:hAnsi="Arial" w:cs="Arial"/>
          <w:sz w:val="20"/>
          <w:szCs w:val="20"/>
          <w:lang w:val="en-GB"/>
        </w:rPr>
        <w:t xml:space="preserve"> and 0.05 ± 0.01 </w:t>
      </w:r>
      <w:r w:rsidR="00525B57">
        <w:rPr>
          <w:rFonts w:ascii="Arial" w:hAnsi="Arial" w:cs="Arial"/>
          <w:sz w:val="20"/>
          <w:szCs w:val="20"/>
          <w:lang w:val="en-GB"/>
        </w:rPr>
        <w:t>mg.m</w:t>
      </w:r>
      <w:r w:rsidR="00525B57">
        <w:rPr>
          <w:rFonts w:ascii="Arial" w:hAnsi="Arial" w:cs="Arial"/>
          <w:sz w:val="20"/>
          <w:szCs w:val="20"/>
          <w:vertAlign w:val="superscript"/>
          <w:lang w:val="en-GB"/>
        </w:rPr>
        <w:t>-2</w:t>
      </w:r>
      <w:r w:rsidR="00525B57">
        <w:rPr>
          <w:rFonts w:ascii="Arial" w:hAnsi="Arial" w:cs="Arial"/>
          <w:sz w:val="20"/>
          <w:szCs w:val="20"/>
          <w:lang w:val="en-GB"/>
        </w:rPr>
        <w:t>.d</w:t>
      </w:r>
      <w:r w:rsidR="00525B57">
        <w:rPr>
          <w:rFonts w:ascii="Arial" w:hAnsi="Arial" w:cs="Arial"/>
          <w:sz w:val="20"/>
          <w:szCs w:val="20"/>
          <w:vertAlign w:val="superscript"/>
          <w:lang w:val="en-GB"/>
        </w:rPr>
        <w:t>-1</w:t>
      </w:r>
      <w:r w:rsidRPr="00F813FF">
        <w:rPr>
          <w:rFonts w:ascii="Arial" w:hAnsi="Arial" w:cs="Arial"/>
          <w:sz w:val="20"/>
          <w:szCs w:val="20"/>
          <w:lang w:val="en-GB"/>
        </w:rPr>
        <w:t xml:space="preserve">, respectively. The diffusion of nutrients at the water-sediment interface occurs in the following decreasing order: </w:t>
      </w:r>
    </w:p>
    <w:p w14:paraId="071F9A1D" w14:textId="77777777" w:rsidR="00F813FF" w:rsidRDefault="00971E8F" w:rsidP="003B6A46">
      <w:pPr>
        <w:spacing w:after="0" w:line="240" w:lineRule="auto"/>
        <w:jc w:val="both"/>
        <w:rPr>
          <w:rFonts w:ascii="Arial" w:hAnsi="Arial" w:cs="Arial"/>
          <w:sz w:val="20"/>
          <w:szCs w:val="20"/>
          <w:lang w:val="en-GB"/>
        </w:rPr>
      </w:pPr>
      <w:r>
        <w:rPr>
          <w:rFonts w:ascii="Arial" w:hAnsi="Arial" w:cs="Arial"/>
          <w:sz w:val="20"/>
          <w:szCs w:val="20"/>
          <w:lang w:val="en-GB"/>
        </w:rPr>
        <w:t>PO</w:t>
      </w:r>
      <w:r>
        <w:rPr>
          <w:rFonts w:ascii="Arial" w:hAnsi="Arial" w:cs="Arial"/>
          <w:sz w:val="20"/>
          <w:szCs w:val="20"/>
          <w:vertAlign w:val="subscript"/>
          <w:lang w:val="en-GB"/>
        </w:rPr>
        <w:t>4</w:t>
      </w:r>
      <w:r>
        <w:rPr>
          <w:rFonts w:ascii="Arial" w:hAnsi="Arial" w:cs="Arial"/>
          <w:sz w:val="20"/>
          <w:szCs w:val="20"/>
          <w:vertAlign w:val="superscript"/>
          <w:lang w:val="en-GB"/>
        </w:rPr>
        <w:t>3-</w:t>
      </w:r>
      <w:r>
        <w:rPr>
          <w:rFonts w:ascii="Arial" w:hAnsi="Arial" w:cs="Arial"/>
          <w:sz w:val="20"/>
          <w:szCs w:val="20"/>
          <w:lang w:val="en-GB"/>
        </w:rPr>
        <w:t>-P ˃ NH</w:t>
      </w:r>
      <w:r>
        <w:rPr>
          <w:rFonts w:ascii="Arial" w:hAnsi="Arial" w:cs="Arial"/>
          <w:sz w:val="20"/>
          <w:szCs w:val="20"/>
          <w:vertAlign w:val="subscript"/>
          <w:lang w:val="en-GB"/>
        </w:rPr>
        <w:t>4</w:t>
      </w:r>
      <w:r>
        <w:rPr>
          <w:rFonts w:ascii="Arial" w:hAnsi="Arial" w:cs="Arial"/>
          <w:sz w:val="20"/>
          <w:szCs w:val="20"/>
          <w:vertAlign w:val="superscript"/>
          <w:lang w:val="en-GB"/>
        </w:rPr>
        <w:t>+</w:t>
      </w:r>
      <w:r>
        <w:rPr>
          <w:rFonts w:ascii="Arial" w:hAnsi="Arial" w:cs="Arial"/>
          <w:sz w:val="20"/>
          <w:szCs w:val="20"/>
          <w:lang w:val="en-GB"/>
        </w:rPr>
        <w:t>-N ˃ NO</w:t>
      </w:r>
      <w:r>
        <w:rPr>
          <w:rFonts w:ascii="Arial" w:hAnsi="Arial" w:cs="Arial"/>
          <w:sz w:val="20"/>
          <w:szCs w:val="20"/>
          <w:vertAlign w:val="subscript"/>
          <w:lang w:val="en-GB"/>
        </w:rPr>
        <w:t>2</w:t>
      </w:r>
      <w:r>
        <w:rPr>
          <w:rFonts w:ascii="Arial" w:hAnsi="Arial" w:cs="Arial"/>
          <w:sz w:val="20"/>
          <w:szCs w:val="20"/>
          <w:vertAlign w:val="superscript"/>
          <w:lang w:val="en-GB"/>
        </w:rPr>
        <w:t>-</w:t>
      </w:r>
      <w:r>
        <w:rPr>
          <w:rFonts w:ascii="Arial" w:hAnsi="Arial" w:cs="Arial"/>
          <w:sz w:val="20"/>
          <w:szCs w:val="20"/>
          <w:lang w:val="en-GB"/>
        </w:rPr>
        <w:t>-N ˃ NO</w:t>
      </w:r>
      <w:r>
        <w:rPr>
          <w:rFonts w:ascii="Arial" w:hAnsi="Arial" w:cs="Arial"/>
          <w:sz w:val="20"/>
          <w:szCs w:val="20"/>
          <w:vertAlign w:val="subscript"/>
          <w:lang w:val="en-GB"/>
        </w:rPr>
        <w:t>3</w:t>
      </w:r>
      <w:r>
        <w:rPr>
          <w:rFonts w:ascii="Arial" w:hAnsi="Arial" w:cs="Arial"/>
          <w:sz w:val="20"/>
          <w:szCs w:val="20"/>
          <w:vertAlign w:val="superscript"/>
          <w:lang w:val="en-GB"/>
        </w:rPr>
        <w:t>-</w:t>
      </w:r>
      <w:r>
        <w:rPr>
          <w:rFonts w:ascii="Arial" w:hAnsi="Arial" w:cs="Arial"/>
          <w:sz w:val="20"/>
          <w:szCs w:val="20"/>
          <w:lang w:val="en-GB"/>
        </w:rPr>
        <w:t>-N.</w:t>
      </w:r>
    </w:p>
    <w:p w14:paraId="6267EEF3" w14:textId="77777777" w:rsidR="004E47F4" w:rsidRDefault="004E47F4" w:rsidP="003B6A46">
      <w:pPr>
        <w:spacing w:after="0" w:line="240" w:lineRule="auto"/>
        <w:jc w:val="both"/>
        <w:rPr>
          <w:rFonts w:ascii="Arial" w:hAnsi="Arial" w:cs="Arial"/>
          <w:sz w:val="20"/>
          <w:szCs w:val="20"/>
          <w:lang w:val="en-GB"/>
        </w:rPr>
      </w:pPr>
    </w:p>
    <w:p w14:paraId="4846C4C2" w14:textId="77777777" w:rsidR="00FE32BD" w:rsidRDefault="003B6A46" w:rsidP="003B6A46">
      <w:pPr>
        <w:spacing w:after="0" w:line="240" w:lineRule="auto"/>
        <w:jc w:val="both"/>
        <w:rPr>
          <w:rFonts w:ascii="Arial" w:hAnsi="Arial" w:cs="Arial"/>
          <w:sz w:val="20"/>
          <w:szCs w:val="20"/>
          <w:lang w:val="en-GB"/>
        </w:rPr>
      </w:pPr>
      <w:r w:rsidRPr="003B6A46">
        <w:rPr>
          <w:rFonts w:ascii="Arial" w:hAnsi="Arial" w:cs="Arial"/>
          <w:sz w:val="20"/>
          <w:szCs w:val="20"/>
          <w:lang w:val="en-GB"/>
        </w:rPr>
        <w:t xml:space="preserve">The diffusion fluxes of dissolved inorganic nitrogen (DIN) were calculated. The results give diffusion fluxes ranging from -0.47 ± 0.92 </w:t>
      </w:r>
      <w:r w:rsidR="004E47F4">
        <w:rPr>
          <w:rFonts w:ascii="Arial" w:hAnsi="Arial" w:cs="Arial"/>
          <w:sz w:val="20"/>
          <w:szCs w:val="20"/>
          <w:lang w:val="en-GB"/>
        </w:rPr>
        <w:t>mg.m</w:t>
      </w:r>
      <w:r w:rsidR="004E47F4">
        <w:rPr>
          <w:rFonts w:ascii="Arial" w:hAnsi="Arial" w:cs="Arial"/>
          <w:sz w:val="20"/>
          <w:szCs w:val="20"/>
          <w:vertAlign w:val="superscript"/>
          <w:lang w:val="en-GB"/>
        </w:rPr>
        <w:t>-2</w:t>
      </w:r>
      <w:r w:rsidR="004E47F4">
        <w:rPr>
          <w:rFonts w:ascii="Arial" w:hAnsi="Arial" w:cs="Arial"/>
          <w:sz w:val="20"/>
          <w:szCs w:val="20"/>
          <w:lang w:val="en-GB"/>
        </w:rPr>
        <w:t>.d</w:t>
      </w:r>
      <w:r w:rsidR="004E47F4">
        <w:rPr>
          <w:rFonts w:ascii="Arial" w:hAnsi="Arial" w:cs="Arial"/>
          <w:sz w:val="20"/>
          <w:szCs w:val="20"/>
          <w:vertAlign w:val="superscript"/>
          <w:lang w:val="en-GB"/>
        </w:rPr>
        <w:t>-1</w:t>
      </w:r>
      <w:r w:rsidRPr="003B6A46">
        <w:rPr>
          <w:rFonts w:ascii="Arial" w:hAnsi="Arial" w:cs="Arial"/>
          <w:sz w:val="20"/>
          <w:szCs w:val="20"/>
          <w:lang w:val="en-GB"/>
        </w:rPr>
        <w:t xml:space="preserve"> (station S1) to 0.47 ± 0.25 </w:t>
      </w:r>
      <w:r w:rsidR="004E47F4">
        <w:rPr>
          <w:rFonts w:ascii="Arial" w:hAnsi="Arial" w:cs="Arial"/>
          <w:sz w:val="20"/>
          <w:szCs w:val="20"/>
          <w:lang w:val="en-GB"/>
        </w:rPr>
        <w:t>mg.m</w:t>
      </w:r>
      <w:r w:rsidR="004E47F4">
        <w:rPr>
          <w:rFonts w:ascii="Arial" w:hAnsi="Arial" w:cs="Arial"/>
          <w:sz w:val="20"/>
          <w:szCs w:val="20"/>
          <w:vertAlign w:val="superscript"/>
          <w:lang w:val="en-GB"/>
        </w:rPr>
        <w:t>-2</w:t>
      </w:r>
      <w:r w:rsidR="004E47F4">
        <w:rPr>
          <w:rFonts w:ascii="Arial" w:hAnsi="Arial" w:cs="Arial"/>
          <w:sz w:val="20"/>
          <w:szCs w:val="20"/>
          <w:lang w:val="en-GB"/>
        </w:rPr>
        <w:t>.d</w:t>
      </w:r>
      <w:r w:rsidR="004E47F4">
        <w:rPr>
          <w:rFonts w:ascii="Arial" w:hAnsi="Arial" w:cs="Arial"/>
          <w:sz w:val="20"/>
          <w:szCs w:val="20"/>
          <w:vertAlign w:val="superscript"/>
          <w:lang w:val="en-GB"/>
        </w:rPr>
        <w:t>-1</w:t>
      </w:r>
      <w:r w:rsidRPr="003B6A46">
        <w:rPr>
          <w:rFonts w:ascii="Arial" w:hAnsi="Arial" w:cs="Arial"/>
          <w:sz w:val="20"/>
          <w:szCs w:val="20"/>
          <w:lang w:val="en-GB"/>
        </w:rPr>
        <w:t xml:space="preserve"> (station S5). The average value of these diffusion fluxes is approximately -0.07 ± 0.44 </w:t>
      </w:r>
      <w:r w:rsidR="004E47F4">
        <w:rPr>
          <w:rFonts w:ascii="Arial" w:hAnsi="Arial" w:cs="Arial"/>
          <w:sz w:val="20"/>
          <w:szCs w:val="20"/>
          <w:lang w:val="en-GB"/>
        </w:rPr>
        <w:t>mg.m</w:t>
      </w:r>
      <w:r w:rsidR="004E47F4">
        <w:rPr>
          <w:rFonts w:ascii="Arial" w:hAnsi="Arial" w:cs="Arial"/>
          <w:sz w:val="20"/>
          <w:szCs w:val="20"/>
          <w:vertAlign w:val="superscript"/>
          <w:lang w:val="en-GB"/>
        </w:rPr>
        <w:t>-2</w:t>
      </w:r>
      <w:r w:rsidR="004E47F4">
        <w:rPr>
          <w:rFonts w:ascii="Arial" w:hAnsi="Arial" w:cs="Arial"/>
          <w:sz w:val="20"/>
          <w:szCs w:val="20"/>
          <w:lang w:val="en-GB"/>
        </w:rPr>
        <w:t>.d</w:t>
      </w:r>
      <w:r w:rsidR="004E47F4">
        <w:rPr>
          <w:rFonts w:ascii="Arial" w:hAnsi="Arial" w:cs="Arial"/>
          <w:sz w:val="20"/>
          <w:szCs w:val="20"/>
          <w:vertAlign w:val="superscript"/>
          <w:lang w:val="en-GB"/>
        </w:rPr>
        <w:t>-1</w:t>
      </w:r>
      <w:r w:rsidRPr="003B6A46">
        <w:rPr>
          <w:rFonts w:ascii="Arial" w:hAnsi="Arial" w:cs="Arial"/>
          <w:sz w:val="20"/>
          <w:szCs w:val="20"/>
          <w:lang w:val="en-GB"/>
        </w:rPr>
        <w:t xml:space="preserve">. The daily diffusion fluxes of nutrients allowed an estimation of the average annual diffusion fluxes. The results indicate that the average annual diffusion fluxes of ammonium, nitrite, nitrate and phosphate are respectively 0.23 ± 0.07 t/year; 0.002 ± 0.001 t/year; -0.69 ± 2.65 t/year and 0.33 ± 0.08 t/year: the sediment would be a source of introduction of ammonium, nitrite and phosphate into the overlying waters. Over the study period, a total of -0.47 ± 1.51 tonnes of dissolved inorganic nitrogen diffused from bottom waters to surface sediments, while 0.33 tonnes of phosphate diffused from the sediment to open waters </w:t>
      </w:r>
      <w:r w:rsidR="004E47F4">
        <w:rPr>
          <w:rFonts w:ascii="Arial" w:hAnsi="Arial" w:cs="Arial"/>
          <w:sz w:val="20"/>
          <w:szCs w:val="20"/>
          <w:lang w:val="en-GB"/>
        </w:rPr>
        <w:t>at the water-sediment interface.</w:t>
      </w:r>
    </w:p>
    <w:p w14:paraId="5DF71034" w14:textId="77777777" w:rsidR="00FE32BD" w:rsidRDefault="00FE32BD" w:rsidP="008A40FD">
      <w:pPr>
        <w:spacing w:after="0" w:line="240" w:lineRule="auto"/>
        <w:jc w:val="both"/>
        <w:rPr>
          <w:rFonts w:ascii="Arial" w:hAnsi="Arial" w:cs="Arial"/>
          <w:sz w:val="20"/>
          <w:szCs w:val="20"/>
          <w:lang w:val="en-GB"/>
        </w:rPr>
      </w:pPr>
    </w:p>
    <w:p w14:paraId="6A3590E7" w14:textId="77777777" w:rsidR="008F3FE2" w:rsidRPr="008F3FE2" w:rsidRDefault="008F3FE2" w:rsidP="008F3FE2">
      <w:pPr>
        <w:spacing w:after="0" w:line="240" w:lineRule="auto"/>
        <w:jc w:val="both"/>
        <w:rPr>
          <w:rFonts w:ascii="Arial" w:hAnsi="Arial" w:cs="Arial"/>
          <w:b/>
          <w:sz w:val="20"/>
          <w:szCs w:val="20"/>
          <w:u w:val="single"/>
          <w:lang w:val="en-GB"/>
        </w:rPr>
      </w:pPr>
      <w:r w:rsidRPr="008F3FE2">
        <w:rPr>
          <w:rFonts w:ascii="Arial" w:hAnsi="Arial" w:cs="Arial"/>
          <w:b/>
          <w:sz w:val="20"/>
          <w:szCs w:val="20"/>
          <w:u w:val="single"/>
          <w:lang w:val="en-GB"/>
        </w:rPr>
        <w:t>3.1.5 Factors influencing nitrogen and phosphorus nutrient diffusion fluxes</w:t>
      </w:r>
    </w:p>
    <w:p w14:paraId="2404CAFB" w14:textId="77777777" w:rsidR="008F3FE2" w:rsidRPr="008F3FE2" w:rsidRDefault="008F3FE2" w:rsidP="008F3FE2">
      <w:pPr>
        <w:spacing w:after="0" w:line="240" w:lineRule="auto"/>
        <w:jc w:val="both"/>
        <w:rPr>
          <w:rFonts w:ascii="Arial" w:hAnsi="Arial" w:cs="Arial"/>
          <w:sz w:val="20"/>
          <w:szCs w:val="20"/>
          <w:lang w:val="en-GB"/>
        </w:rPr>
      </w:pPr>
    </w:p>
    <w:p w14:paraId="66EBC996" w14:textId="77777777" w:rsidR="00FE32BD" w:rsidRDefault="008F3FE2" w:rsidP="008F3FE2">
      <w:pPr>
        <w:spacing w:after="0" w:line="240" w:lineRule="auto"/>
        <w:jc w:val="both"/>
        <w:rPr>
          <w:rFonts w:ascii="Arial" w:hAnsi="Arial" w:cs="Arial"/>
          <w:sz w:val="20"/>
          <w:szCs w:val="20"/>
          <w:lang w:val="en-GB"/>
        </w:rPr>
      </w:pPr>
      <w:r w:rsidRPr="008F3FE2">
        <w:rPr>
          <w:rFonts w:ascii="Arial" w:hAnsi="Arial" w:cs="Arial"/>
          <w:sz w:val="20"/>
          <w:szCs w:val="20"/>
          <w:lang w:val="en-GB"/>
        </w:rPr>
        <w:t>A Pearson correlation analysis (Table 5) and a principal component analysis (Fig. 4) were performed to establish a relationship between nitrogen and phosphorus nutrient diffusion fluxes and the physicochemical parameters of the bottom waters. The results revealed that temperature showed a positive correlation with the diffusion fluxes of ammonium (r = 0.66), nitrite (r = 0.66), nitrate (r = 0.58), and phosphate (r = 0.64). In contrast, dissolved oxygen and redox potential showed negative correlations with the diffusion fluxes of ammonium (r = -0.57; r = -0.36) and phosphate (r = -0.08; r = -0.48). Furthermore, negative correlations were obtained between nitrate diffusion flux and dissolved oxygen (r = -0.47) and then between redox potential and nitrite diffusion flux (r = -0.39) (Table 5).</w:t>
      </w:r>
    </w:p>
    <w:p w14:paraId="7EA1677D" w14:textId="77777777" w:rsidR="00B5007A" w:rsidRDefault="00B5007A" w:rsidP="00AE1817">
      <w:pPr>
        <w:spacing w:after="0" w:line="240" w:lineRule="auto"/>
        <w:jc w:val="both"/>
        <w:rPr>
          <w:rFonts w:ascii="Arial" w:hAnsi="Arial" w:cs="Arial"/>
          <w:sz w:val="20"/>
          <w:szCs w:val="20"/>
          <w:lang w:val="en-GB"/>
        </w:rPr>
      </w:pPr>
    </w:p>
    <w:p w14:paraId="110C2B1D" w14:textId="77777777" w:rsidR="00AE1817" w:rsidRDefault="00B5007A" w:rsidP="00AE1817">
      <w:pPr>
        <w:spacing w:after="0" w:line="240" w:lineRule="auto"/>
        <w:jc w:val="both"/>
        <w:rPr>
          <w:rFonts w:ascii="Arial" w:hAnsi="Arial" w:cs="Arial"/>
          <w:sz w:val="20"/>
          <w:szCs w:val="20"/>
          <w:lang w:val="en-GB"/>
        </w:rPr>
      </w:pPr>
      <w:r w:rsidRPr="00B5007A">
        <w:rPr>
          <w:rFonts w:ascii="Arial" w:hAnsi="Arial" w:cs="Arial"/>
          <w:sz w:val="20"/>
          <w:szCs w:val="20"/>
          <w:lang w:val="en-GB"/>
        </w:rPr>
        <w:lastRenderedPageBreak/>
        <w:t>Regarding the principal component analysis (PCA), it indicated that two factors denoted F1 and F2 express respectively 43.64% and 27.01%, of the information due to the factors influencing the diffusion fluxes of nutrients at the water-sediment interface</w:t>
      </w:r>
      <w:r w:rsidR="00A55955">
        <w:rPr>
          <w:rFonts w:ascii="Arial" w:hAnsi="Arial" w:cs="Arial"/>
          <w:sz w:val="20"/>
          <w:szCs w:val="20"/>
          <w:lang w:val="en-GB"/>
        </w:rPr>
        <w:t xml:space="preserve"> (Fig. 4)</w:t>
      </w:r>
      <w:r w:rsidRPr="00B5007A">
        <w:rPr>
          <w:rFonts w:ascii="Arial" w:hAnsi="Arial" w:cs="Arial"/>
          <w:sz w:val="20"/>
          <w:szCs w:val="20"/>
          <w:lang w:val="en-GB"/>
        </w:rPr>
        <w:t>. Negative correlations were noted between the factor F1 and temperature, as well as the diffusion fluxes of ammonium, nitrate and phosphate as shown in Fig. 4. These correlation coefficients are respectively -0.837; -0.932; -0.511 and -0.567. In addition, as shown in Fig. 4, strong negative correlations were noted between the factor F2 and pH, as well as dissolved oxygen and nitrite diffusion flux. These correlation coefficients are respectively -0.871; -0.779; -0.758.</w:t>
      </w:r>
    </w:p>
    <w:p w14:paraId="1ADE9F06" w14:textId="77777777" w:rsidR="00B5007A" w:rsidRPr="00AE1817" w:rsidRDefault="00B5007A" w:rsidP="00AE1817">
      <w:pPr>
        <w:spacing w:after="0" w:line="240" w:lineRule="auto"/>
        <w:jc w:val="both"/>
        <w:rPr>
          <w:rFonts w:ascii="Arial" w:hAnsi="Arial" w:cs="Arial"/>
          <w:sz w:val="20"/>
          <w:szCs w:val="20"/>
          <w:lang w:val="en-GB"/>
        </w:rPr>
      </w:pPr>
    </w:p>
    <w:p w14:paraId="69877874" w14:textId="77777777" w:rsidR="00FE32BD" w:rsidRPr="00AE1817" w:rsidRDefault="00AE1817" w:rsidP="00AE1817">
      <w:pPr>
        <w:spacing w:after="0" w:line="240" w:lineRule="auto"/>
        <w:jc w:val="both"/>
        <w:rPr>
          <w:rFonts w:ascii="Arial" w:hAnsi="Arial" w:cs="Arial"/>
          <w:b/>
          <w:sz w:val="20"/>
          <w:szCs w:val="20"/>
          <w:lang w:val="en-GB"/>
        </w:rPr>
      </w:pPr>
      <w:r w:rsidRPr="00AE1817">
        <w:rPr>
          <w:rFonts w:ascii="Arial" w:hAnsi="Arial" w:cs="Arial"/>
          <w:b/>
          <w:sz w:val="20"/>
          <w:szCs w:val="20"/>
          <w:lang w:val="en-GB"/>
        </w:rPr>
        <w:t>Table 5. Correlation matrix between the physicochemical parameters of water and the diffusion fluxes of nitrogen and phosphorus nutrients</w:t>
      </w:r>
    </w:p>
    <w:p w14:paraId="0D24DABA" w14:textId="77777777" w:rsidR="00FE32BD" w:rsidRDefault="00FE32BD" w:rsidP="008A40FD">
      <w:pPr>
        <w:spacing w:after="0" w:line="240" w:lineRule="auto"/>
        <w:jc w:val="both"/>
        <w:rPr>
          <w:rFonts w:ascii="Arial" w:hAnsi="Arial" w:cs="Arial"/>
          <w:sz w:val="20"/>
          <w:szCs w:val="20"/>
          <w:lang w:val="en-GB"/>
        </w:rPr>
      </w:pPr>
    </w:p>
    <w:tbl>
      <w:tblPr>
        <w:tblW w:w="9760" w:type="dxa"/>
        <w:jc w:val="center"/>
        <w:tblLook w:val="04A0" w:firstRow="1" w:lastRow="0" w:firstColumn="1" w:lastColumn="0" w:noHBand="0" w:noVBand="1"/>
      </w:tblPr>
      <w:tblGrid>
        <w:gridCol w:w="1015"/>
        <w:gridCol w:w="860"/>
        <w:gridCol w:w="800"/>
        <w:gridCol w:w="800"/>
        <w:gridCol w:w="800"/>
        <w:gridCol w:w="800"/>
        <w:gridCol w:w="800"/>
        <w:gridCol w:w="1002"/>
        <w:gridCol w:w="961"/>
        <w:gridCol w:w="933"/>
        <w:gridCol w:w="989"/>
      </w:tblGrid>
      <w:tr w:rsidR="00AE1817" w:rsidRPr="00AE1817" w14:paraId="56B31B49" w14:textId="77777777" w:rsidTr="00D634C5">
        <w:trPr>
          <w:trHeight w:val="259"/>
          <w:jc w:val="center"/>
        </w:trPr>
        <w:tc>
          <w:tcPr>
            <w:tcW w:w="1015" w:type="dxa"/>
            <w:tcBorders>
              <w:top w:val="single" w:sz="4" w:space="0" w:color="auto"/>
              <w:left w:val="nil"/>
              <w:bottom w:val="single" w:sz="4" w:space="0" w:color="auto"/>
              <w:right w:val="nil"/>
            </w:tcBorders>
            <w:vAlign w:val="center"/>
          </w:tcPr>
          <w:p w14:paraId="59E7CA37" w14:textId="77777777" w:rsidR="00AE1817" w:rsidRPr="00A60839" w:rsidRDefault="00AE1817" w:rsidP="00AE1817">
            <w:pPr>
              <w:spacing w:after="0" w:line="240" w:lineRule="auto"/>
              <w:jc w:val="both"/>
              <w:rPr>
                <w:rFonts w:ascii="Arial" w:eastAsia="Calibri" w:hAnsi="Arial" w:cs="Arial"/>
                <w:b/>
                <w:sz w:val="20"/>
                <w:szCs w:val="20"/>
                <w:lang w:val="en-GB"/>
              </w:rPr>
            </w:pPr>
          </w:p>
        </w:tc>
        <w:tc>
          <w:tcPr>
            <w:tcW w:w="860" w:type="dxa"/>
            <w:tcBorders>
              <w:top w:val="single" w:sz="4" w:space="0" w:color="auto"/>
              <w:left w:val="nil"/>
              <w:bottom w:val="single" w:sz="4" w:space="0" w:color="auto"/>
              <w:right w:val="nil"/>
            </w:tcBorders>
            <w:vAlign w:val="center"/>
            <w:hideMark/>
          </w:tcPr>
          <w:p w14:paraId="2C45861C"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T</w:t>
            </w:r>
          </w:p>
        </w:tc>
        <w:tc>
          <w:tcPr>
            <w:tcW w:w="800" w:type="dxa"/>
            <w:tcBorders>
              <w:top w:val="single" w:sz="4" w:space="0" w:color="auto"/>
              <w:left w:val="nil"/>
              <w:bottom w:val="single" w:sz="4" w:space="0" w:color="auto"/>
              <w:right w:val="nil"/>
            </w:tcBorders>
            <w:vAlign w:val="center"/>
            <w:hideMark/>
          </w:tcPr>
          <w:p w14:paraId="0236A9C1"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pH</w:t>
            </w:r>
          </w:p>
        </w:tc>
        <w:tc>
          <w:tcPr>
            <w:tcW w:w="800" w:type="dxa"/>
            <w:tcBorders>
              <w:top w:val="single" w:sz="4" w:space="0" w:color="auto"/>
              <w:left w:val="nil"/>
              <w:bottom w:val="single" w:sz="4" w:space="0" w:color="auto"/>
              <w:right w:val="nil"/>
            </w:tcBorders>
            <w:vAlign w:val="center"/>
            <w:hideMark/>
          </w:tcPr>
          <w:p w14:paraId="061B12D4"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EC</w:t>
            </w:r>
          </w:p>
        </w:tc>
        <w:tc>
          <w:tcPr>
            <w:tcW w:w="800" w:type="dxa"/>
            <w:tcBorders>
              <w:top w:val="single" w:sz="4" w:space="0" w:color="auto"/>
              <w:left w:val="nil"/>
              <w:bottom w:val="single" w:sz="4" w:space="0" w:color="auto"/>
              <w:right w:val="nil"/>
            </w:tcBorders>
            <w:vAlign w:val="center"/>
            <w:hideMark/>
          </w:tcPr>
          <w:p w14:paraId="57AE0DF5"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Sal</w:t>
            </w:r>
          </w:p>
        </w:tc>
        <w:tc>
          <w:tcPr>
            <w:tcW w:w="800" w:type="dxa"/>
            <w:tcBorders>
              <w:top w:val="single" w:sz="4" w:space="0" w:color="auto"/>
              <w:left w:val="nil"/>
              <w:bottom w:val="single" w:sz="4" w:space="0" w:color="auto"/>
              <w:right w:val="nil"/>
            </w:tcBorders>
            <w:vAlign w:val="center"/>
            <w:hideMark/>
          </w:tcPr>
          <w:p w14:paraId="4B5A50A7"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Eh</w:t>
            </w:r>
          </w:p>
        </w:tc>
        <w:tc>
          <w:tcPr>
            <w:tcW w:w="800" w:type="dxa"/>
            <w:tcBorders>
              <w:top w:val="single" w:sz="4" w:space="0" w:color="auto"/>
              <w:left w:val="nil"/>
              <w:bottom w:val="single" w:sz="4" w:space="0" w:color="auto"/>
              <w:right w:val="nil"/>
            </w:tcBorders>
            <w:vAlign w:val="center"/>
            <w:hideMark/>
          </w:tcPr>
          <w:p w14:paraId="62D4ED5C"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DO</w:t>
            </w:r>
          </w:p>
        </w:tc>
        <w:tc>
          <w:tcPr>
            <w:tcW w:w="1002" w:type="dxa"/>
            <w:tcBorders>
              <w:top w:val="single" w:sz="4" w:space="0" w:color="auto"/>
              <w:left w:val="nil"/>
              <w:bottom w:val="single" w:sz="4" w:space="0" w:color="auto"/>
              <w:right w:val="nil"/>
            </w:tcBorders>
            <w:vAlign w:val="center"/>
            <w:hideMark/>
          </w:tcPr>
          <w:p w14:paraId="1DA2C255"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NH</w:t>
            </w:r>
            <w:r w:rsidRPr="00AE1817">
              <w:rPr>
                <w:rFonts w:ascii="Arial" w:eastAsia="Times New Roman" w:hAnsi="Arial" w:cs="Arial"/>
                <w:b/>
                <w:bCs/>
                <w:color w:val="000000"/>
                <w:sz w:val="20"/>
                <w:szCs w:val="20"/>
                <w:vertAlign w:val="subscript"/>
                <w:lang w:eastAsia="fr-FR"/>
              </w:rPr>
              <w:t>4</w:t>
            </w:r>
            <w:r w:rsidRPr="00AE1817">
              <w:rPr>
                <w:rFonts w:ascii="Arial" w:eastAsia="Times New Roman" w:hAnsi="Arial" w:cs="Arial"/>
                <w:b/>
                <w:bCs/>
                <w:color w:val="000000"/>
                <w:sz w:val="20"/>
                <w:szCs w:val="20"/>
                <w:vertAlign w:val="superscript"/>
                <w:lang w:eastAsia="fr-FR"/>
              </w:rPr>
              <w:t>+</w:t>
            </w:r>
            <w:r w:rsidRPr="00AE1817">
              <w:rPr>
                <w:rFonts w:ascii="Arial" w:eastAsia="Times New Roman" w:hAnsi="Arial" w:cs="Arial"/>
                <w:b/>
                <w:bCs/>
                <w:color w:val="000000"/>
                <w:sz w:val="20"/>
                <w:szCs w:val="20"/>
                <w:lang w:eastAsia="fr-FR"/>
              </w:rPr>
              <w:t>-N</w:t>
            </w:r>
          </w:p>
        </w:tc>
        <w:tc>
          <w:tcPr>
            <w:tcW w:w="961" w:type="dxa"/>
            <w:tcBorders>
              <w:top w:val="single" w:sz="4" w:space="0" w:color="auto"/>
              <w:left w:val="nil"/>
              <w:bottom w:val="single" w:sz="4" w:space="0" w:color="auto"/>
              <w:right w:val="nil"/>
            </w:tcBorders>
            <w:vAlign w:val="center"/>
            <w:hideMark/>
          </w:tcPr>
          <w:p w14:paraId="0805FD8A"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NO</w:t>
            </w:r>
            <w:r w:rsidRPr="00AE1817">
              <w:rPr>
                <w:rFonts w:ascii="Arial" w:eastAsia="Times New Roman" w:hAnsi="Arial" w:cs="Arial"/>
                <w:b/>
                <w:bCs/>
                <w:color w:val="000000"/>
                <w:sz w:val="20"/>
                <w:szCs w:val="20"/>
                <w:vertAlign w:val="subscript"/>
                <w:lang w:eastAsia="fr-FR"/>
              </w:rPr>
              <w:t>2</w:t>
            </w:r>
            <w:r w:rsidRPr="00AE1817">
              <w:rPr>
                <w:rFonts w:ascii="Arial" w:eastAsia="Times New Roman" w:hAnsi="Arial" w:cs="Arial"/>
                <w:b/>
                <w:bCs/>
                <w:color w:val="000000"/>
                <w:sz w:val="20"/>
                <w:szCs w:val="20"/>
                <w:vertAlign w:val="superscript"/>
                <w:lang w:eastAsia="fr-FR"/>
              </w:rPr>
              <w:t>-</w:t>
            </w:r>
            <w:r w:rsidRPr="00AE1817">
              <w:rPr>
                <w:rFonts w:ascii="Arial" w:eastAsia="Times New Roman" w:hAnsi="Arial" w:cs="Arial"/>
                <w:b/>
                <w:bCs/>
                <w:color w:val="000000"/>
                <w:sz w:val="20"/>
                <w:szCs w:val="20"/>
                <w:lang w:eastAsia="fr-FR"/>
              </w:rPr>
              <w:t>-N</w:t>
            </w:r>
          </w:p>
        </w:tc>
        <w:tc>
          <w:tcPr>
            <w:tcW w:w="933" w:type="dxa"/>
            <w:tcBorders>
              <w:top w:val="single" w:sz="4" w:space="0" w:color="auto"/>
              <w:left w:val="nil"/>
              <w:bottom w:val="single" w:sz="4" w:space="0" w:color="auto"/>
              <w:right w:val="nil"/>
            </w:tcBorders>
            <w:vAlign w:val="center"/>
            <w:hideMark/>
          </w:tcPr>
          <w:p w14:paraId="68DC559F"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NO</w:t>
            </w:r>
            <w:r w:rsidRPr="00AE1817">
              <w:rPr>
                <w:rFonts w:ascii="Arial" w:eastAsia="Times New Roman" w:hAnsi="Arial" w:cs="Arial"/>
                <w:b/>
                <w:bCs/>
                <w:color w:val="000000"/>
                <w:sz w:val="20"/>
                <w:szCs w:val="20"/>
                <w:vertAlign w:val="subscript"/>
                <w:lang w:eastAsia="fr-FR"/>
              </w:rPr>
              <w:t>3</w:t>
            </w:r>
            <w:r w:rsidRPr="00AE1817">
              <w:rPr>
                <w:rFonts w:ascii="Arial" w:eastAsia="Times New Roman" w:hAnsi="Arial" w:cs="Arial"/>
                <w:b/>
                <w:bCs/>
                <w:color w:val="000000"/>
                <w:sz w:val="20"/>
                <w:szCs w:val="20"/>
                <w:vertAlign w:val="superscript"/>
                <w:lang w:eastAsia="fr-FR"/>
              </w:rPr>
              <w:t>-</w:t>
            </w:r>
            <w:r w:rsidRPr="00AE1817">
              <w:rPr>
                <w:rFonts w:ascii="Arial" w:eastAsia="Times New Roman" w:hAnsi="Arial" w:cs="Arial"/>
                <w:b/>
                <w:bCs/>
                <w:color w:val="000000"/>
                <w:sz w:val="20"/>
                <w:szCs w:val="20"/>
                <w:lang w:eastAsia="fr-FR"/>
              </w:rPr>
              <w:t>-N</w:t>
            </w:r>
          </w:p>
        </w:tc>
        <w:tc>
          <w:tcPr>
            <w:tcW w:w="989" w:type="dxa"/>
            <w:tcBorders>
              <w:top w:val="single" w:sz="4" w:space="0" w:color="auto"/>
              <w:left w:val="nil"/>
              <w:bottom w:val="single" w:sz="4" w:space="0" w:color="auto"/>
              <w:right w:val="nil"/>
            </w:tcBorders>
            <w:vAlign w:val="center"/>
            <w:hideMark/>
          </w:tcPr>
          <w:p w14:paraId="67CDA155" w14:textId="77777777" w:rsidR="00AE1817" w:rsidRPr="00AE1817" w:rsidRDefault="00AE1817" w:rsidP="00AE1817">
            <w:pPr>
              <w:spacing w:after="0" w:line="240" w:lineRule="auto"/>
              <w:jc w:val="both"/>
              <w:rPr>
                <w:rFonts w:ascii="Arial" w:eastAsia="Times New Roman" w:hAnsi="Arial" w:cs="Arial"/>
                <w:b/>
                <w:bCs/>
                <w:sz w:val="20"/>
                <w:szCs w:val="20"/>
                <w:lang w:eastAsia="fr-FR"/>
              </w:rPr>
            </w:pPr>
            <w:r w:rsidRPr="00AE1817">
              <w:rPr>
                <w:rFonts w:ascii="Arial" w:eastAsia="Times New Roman" w:hAnsi="Arial" w:cs="Arial"/>
                <w:b/>
                <w:bCs/>
                <w:color w:val="000000"/>
                <w:sz w:val="20"/>
                <w:szCs w:val="20"/>
                <w:lang w:eastAsia="fr-FR"/>
              </w:rPr>
              <w:t>PO</w:t>
            </w:r>
            <w:r w:rsidRPr="00AE1817">
              <w:rPr>
                <w:rFonts w:ascii="Arial" w:eastAsia="Times New Roman" w:hAnsi="Arial" w:cs="Arial"/>
                <w:b/>
                <w:bCs/>
                <w:color w:val="000000"/>
                <w:sz w:val="20"/>
                <w:szCs w:val="20"/>
                <w:vertAlign w:val="subscript"/>
                <w:lang w:eastAsia="fr-FR"/>
              </w:rPr>
              <w:t>4</w:t>
            </w:r>
            <w:r w:rsidRPr="00AE1817">
              <w:rPr>
                <w:rFonts w:ascii="Arial" w:eastAsia="Times New Roman" w:hAnsi="Arial" w:cs="Arial"/>
                <w:b/>
                <w:bCs/>
                <w:color w:val="000000"/>
                <w:sz w:val="20"/>
                <w:szCs w:val="20"/>
                <w:vertAlign w:val="superscript"/>
                <w:lang w:eastAsia="fr-FR"/>
              </w:rPr>
              <w:t>3-</w:t>
            </w:r>
            <w:r w:rsidRPr="00AE1817">
              <w:rPr>
                <w:rFonts w:ascii="Arial" w:eastAsia="Times New Roman" w:hAnsi="Arial" w:cs="Arial"/>
                <w:b/>
                <w:bCs/>
                <w:color w:val="000000"/>
                <w:sz w:val="20"/>
                <w:szCs w:val="20"/>
                <w:lang w:eastAsia="fr-FR"/>
              </w:rPr>
              <w:t>-P</w:t>
            </w:r>
          </w:p>
        </w:tc>
      </w:tr>
      <w:tr w:rsidR="00AE1817" w:rsidRPr="00AE1817" w14:paraId="0FE03FC3" w14:textId="77777777" w:rsidTr="00D634C5">
        <w:trPr>
          <w:trHeight w:val="259"/>
          <w:jc w:val="center"/>
        </w:trPr>
        <w:tc>
          <w:tcPr>
            <w:tcW w:w="1015" w:type="dxa"/>
            <w:tcBorders>
              <w:top w:val="single" w:sz="4" w:space="0" w:color="auto"/>
              <w:left w:val="nil"/>
              <w:bottom w:val="nil"/>
              <w:right w:val="nil"/>
            </w:tcBorders>
            <w:vAlign w:val="center"/>
            <w:hideMark/>
          </w:tcPr>
          <w:p w14:paraId="302A9E74"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T</w:t>
            </w:r>
          </w:p>
        </w:tc>
        <w:tc>
          <w:tcPr>
            <w:tcW w:w="860" w:type="dxa"/>
            <w:tcBorders>
              <w:top w:val="single" w:sz="4" w:space="0" w:color="auto"/>
              <w:left w:val="nil"/>
              <w:bottom w:val="nil"/>
              <w:right w:val="nil"/>
            </w:tcBorders>
            <w:vAlign w:val="center"/>
            <w:hideMark/>
          </w:tcPr>
          <w:p w14:paraId="6E0DA74C"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800" w:type="dxa"/>
            <w:tcBorders>
              <w:top w:val="single" w:sz="4" w:space="0" w:color="auto"/>
              <w:left w:val="nil"/>
              <w:bottom w:val="nil"/>
              <w:right w:val="nil"/>
            </w:tcBorders>
            <w:vAlign w:val="center"/>
          </w:tcPr>
          <w:p w14:paraId="1CD802AD"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tcBorders>
              <w:top w:val="single" w:sz="4" w:space="0" w:color="auto"/>
              <w:left w:val="nil"/>
              <w:bottom w:val="nil"/>
              <w:right w:val="nil"/>
            </w:tcBorders>
            <w:vAlign w:val="center"/>
          </w:tcPr>
          <w:p w14:paraId="25EB6843"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tcBorders>
              <w:top w:val="single" w:sz="4" w:space="0" w:color="auto"/>
              <w:left w:val="nil"/>
              <w:bottom w:val="nil"/>
              <w:right w:val="nil"/>
            </w:tcBorders>
            <w:vAlign w:val="center"/>
          </w:tcPr>
          <w:p w14:paraId="530B9BC5"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tcBorders>
              <w:top w:val="single" w:sz="4" w:space="0" w:color="auto"/>
              <w:left w:val="nil"/>
              <w:bottom w:val="nil"/>
              <w:right w:val="nil"/>
            </w:tcBorders>
            <w:vAlign w:val="center"/>
          </w:tcPr>
          <w:p w14:paraId="7F63AEB4"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tcBorders>
              <w:top w:val="single" w:sz="4" w:space="0" w:color="auto"/>
              <w:left w:val="nil"/>
              <w:bottom w:val="nil"/>
              <w:right w:val="nil"/>
            </w:tcBorders>
            <w:vAlign w:val="center"/>
          </w:tcPr>
          <w:p w14:paraId="2E321CF0"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1002" w:type="dxa"/>
            <w:tcBorders>
              <w:top w:val="single" w:sz="4" w:space="0" w:color="auto"/>
              <w:left w:val="nil"/>
              <w:bottom w:val="nil"/>
              <w:right w:val="nil"/>
            </w:tcBorders>
            <w:vAlign w:val="center"/>
          </w:tcPr>
          <w:p w14:paraId="538CEC3E"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tcBorders>
              <w:top w:val="single" w:sz="4" w:space="0" w:color="auto"/>
              <w:left w:val="nil"/>
              <w:bottom w:val="nil"/>
              <w:right w:val="nil"/>
            </w:tcBorders>
            <w:vAlign w:val="center"/>
          </w:tcPr>
          <w:p w14:paraId="604FE42F"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tcBorders>
              <w:top w:val="single" w:sz="4" w:space="0" w:color="auto"/>
              <w:left w:val="nil"/>
              <w:bottom w:val="nil"/>
              <w:right w:val="nil"/>
            </w:tcBorders>
            <w:vAlign w:val="center"/>
          </w:tcPr>
          <w:p w14:paraId="73F1BADC"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tcBorders>
              <w:top w:val="single" w:sz="4" w:space="0" w:color="auto"/>
              <w:left w:val="nil"/>
              <w:bottom w:val="nil"/>
              <w:right w:val="nil"/>
            </w:tcBorders>
            <w:vAlign w:val="center"/>
          </w:tcPr>
          <w:p w14:paraId="1B9A7752"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2D010C70" w14:textId="77777777" w:rsidTr="00D634C5">
        <w:trPr>
          <w:trHeight w:val="277"/>
          <w:jc w:val="center"/>
        </w:trPr>
        <w:tc>
          <w:tcPr>
            <w:tcW w:w="1015" w:type="dxa"/>
            <w:vAlign w:val="center"/>
            <w:hideMark/>
          </w:tcPr>
          <w:p w14:paraId="28FACD72"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pH</w:t>
            </w:r>
          </w:p>
        </w:tc>
        <w:tc>
          <w:tcPr>
            <w:tcW w:w="860" w:type="dxa"/>
            <w:vAlign w:val="center"/>
            <w:hideMark/>
          </w:tcPr>
          <w:p w14:paraId="38A84B5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0.43</w:t>
            </w:r>
          </w:p>
        </w:tc>
        <w:tc>
          <w:tcPr>
            <w:tcW w:w="800" w:type="dxa"/>
            <w:vAlign w:val="center"/>
            <w:hideMark/>
          </w:tcPr>
          <w:p w14:paraId="2B5EC93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800" w:type="dxa"/>
            <w:vAlign w:val="center"/>
          </w:tcPr>
          <w:p w14:paraId="6E59BB1C"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036C1E9B"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65DED67B"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30D71309"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1002" w:type="dxa"/>
            <w:vAlign w:val="center"/>
          </w:tcPr>
          <w:p w14:paraId="46021EC1"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vAlign w:val="center"/>
          </w:tcPr>
          <w:p w14:paraId="5A62ADD3"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16B35E15"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7A2D0AB7"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18A5F509" w14:textId="77777777" w:rsidTr="00D634C5">
        <w:trPr>
          <w:trHeight w:val="277"/>
          <w:jc w:val="center"/>
        </w:trPr>
        <w:tc>
          <w:tcPr>
            <w:tcW w:w="1015" w:type="dxa"/>
            <w:vAlign w:val="center"/>
            <w:hideMark/>
          </w:tcPr>
          <w:p w14:paraId="1C46E534"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EC</w:t>
            </w:r>
          </w:p>
        </w:tc>
        <w:tc>
          <w:tcPr>
            <w:tcW w:w="860" w:type="dxa"/>
            <w:vAlign w:val="center"/>
            <w:hideMark/>
          </w:tcPr>
          <w:p w14:paraId="66D3BE6D"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-0.56</w:t>
            </w:r>
          </w:p>
        </w:tc>
        <w:tc>
          <w:tcPr>
            <w:tcW w:w="800" w:type="dxa"/>
            <w:vAlign w:val="center"/>
            <w:hideMark/>
          </w:tcPr>
          <w:p w14:paraId="643D40D3"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0.41</w:t>
            </w:r>
          </w:p>
        </w:tc>
        <w:tc>
          <w:tcPr>
            <w:tcW w:w="800" w:type="dxa"/>
            <w:vAlign w:val="center"/>
            <w:hideMark/>
          </w:tcPr>
          <w:p w14:paraId="1CECC7B4"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800" w:type="dxa"/>
            <w:vAlign w:val="center"/>
          </w:tcPr>
          <w:p w14:paraId="42B61131"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5DBE659B"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6C4CDF38"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1002" w:type="dxa"/>
            <w:vAlign w:val="center"/>
          </w:tcPr>
          <w:p w14:paraId="5C1C6778"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vAlign w:val="center"/>
          </w:tcPr>
          <w:p w14:paraId="48BA57CF"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2FC78BA6"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154524EA"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064BC7B1" w14:textId="77777777" w:rsidTr="00D634C5">
        <w:trPr>
          <w:trHeight w:val="277"/>
          <w:jc w:val="center"/>
        </w:trPr>
        <w:tc>
          <w:tcPr>
            <w:tcW w:w="1015" w:type="dxa"/>
            <w:vAlign w:val="center"/>
            <w:hideMark/>
          </w:tcPr>
          <w:p w14:paraId="31B60D72"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Sal</w:t>
            </w:r>
          </w:p>
        </w:tc>
        <w:tc>
          <w:tcPr>
            <w:tcW w:w="860" w:type="dxa"/>
            <w:vAlign w:val="center"/>
            <w:hideMark/>
          </w:tcPr>
          <w:p w14:paraId="302EAA94"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-0.69</w:t>
            </w:r>
          </w:p>
        </w:tc>
        <w:tc>
          <w:tcPr>
            <w:tcW w:w="800" w:type="dxa"/>
            <w:vAlign w:val="center"/>
            <w:hideMark/>
          </w:tcPr>
          <w:p w14:paraId="0952B348"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0.25</w:t>
            </w:r>
          </w:p>
        </w:tc>
        <w:tc>
          <w:tcPr>
            <w:tcW w:w="800" w:type="dxa"/>
            <w:vAlign w:val="center"/>
            <w:hideMark/>
          </w:tcPr>
          <w:p w14:paraId="44B47785" w14:textId="77777777" w:rsidR="00AE1817" w:rsidRPr="00AE1817" w:rsidRDefault="00AE1817" w:rsidP="00AE1817">
            <w:pPr>
              <w:spacing w:after="0" w:line="240" w:lineRule="auto"/>
              <w:jc w:val="both"/>
              <w:rPr>
                <w:rFonts w:ascii="Arial" w:eastAsia="Times New Roman" w:hAnsi="Arial" w:cs="Arial"/>
                <w:b/>
                <w:sz w:val="20"/>
                <w:szCs w:val="20"/>
                <w:lang w:eastAsia="fr-FR"/>
              </w:rPr>
            </w:pPr>
            <w:r w:rsidRPr="00AE1817">
              <w:rPr>
                <w:rFonts w:ascii="Arial" w:eastAsia="Times New Roman" w:hAnsi="Arial" w:cs="Arial"/>
                <w:b/>
                <w:color w:val="000000"/>
                <w:sz w:val="20"/>
                <w:szCs w:val="20"/>
                <w:lang w:eastAsia="fr-FR"/>
              </w:rPr>
              <w:t>0.98</w:t>
            </w:r>
          </w:p>
        </w:tc>
        <w:tc>
          <w:tcPr>
            <w:tcW w:w="800" w:type="dxa"/>
            <w:vAlign w:val="center"/>
            <w:hideMark/>
          </w:tcPr>
          <w:p w14:paraId="5A5A0327"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800" w:type="dxa"/>
            <w:vAlign w:val="center"/>
          </w:tcPr>
          <w:p w14:paraId="4A37E734"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800" w:type="dxa"/>
            <w:vAlign w:val="center"/>
          </w:tcPr>
          <w:p w14:paraId="5DAD8F47"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1002" w:type="dxa"/>
            <w:vAlign w:val="center"/>
          </w:tcPr>
          <w:p w14:paraId="665E8B61"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vAlign w:val="center"/>
          </w:tcPr>
          <w:p w14:paraId="5415FA5A"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6A324109"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24F5D727"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311A8F59" w14:textId="77777777" w:rsidTr="00D634C5">
        <w:trPr>
          <w:trHeight w:val="259"/>
          <w:jc w:val="center"/>
        </w:trPr>
        <w:tc>
          <w:tcPr>
            <w:tcW w:w="1015" w:type="dxa"/>
            <w:vAlign w:val="center"/>
            <w:hideMark/>
          </w:tcPr>
          <w:p w14:paraId="24388095"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Eh</w:t>
            </w:r>
          </w:p>
        </w:tc>
        <w:tc>
          <w:tcPr>
            <w:tcW w:w="860" w:type="dxa"/>
            <w:vAlign w:val="center"/>
            <w:hideMark/>
          </w:tcPr>
          <w:p w14:paraId="26A99F3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-0.16</w:t>
            </w:r>
          </w:p>
        </w:tc>
        <w:tc>
          <w:tcPr>
            <w:tcW w:w="800" w:type="dxa"/>
            <w:vAlign w:val="center"/>
            <w:hideMark/>
          </w:tcPr>
          <w:p w14:paraId="544D8E3E"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-0.22</w:t>
            </w:r>
          </w:p>
        </w:tc>
        <w:tc>
          <w:tcPr>
            <w:tcW w:w="800" w:type="dxa"/>
            <w:vAlign w:val="center"/>
            <w:hideMark/>
          </w:tcPr>
          <w:p w14:paraId="3E56C022"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0.03</w:t>
            </w:r>
          </w:p>
        </w:tc>
        <w:tc>
          <w:tcPr>
            <w:tcW w:w="800" w:type="dxa"/>
            <w:vAlign w:val="center"/>
            <w:hideMark/>
          </w:tcPr>
          <w:p w14:paraId="2115A980"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0.04</w:t>
            </w:r>
          </w:p>
        </w:tc>
        <w:tc>
          <w:tcPr>
            <w:tcW w:w="800" w:type="dxa"/>
            <w:vAlign w:val="center"/>
            <w:hideMark/>
          </w:tcPr>
          <w:p w14:paraId="57146279"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800" w:type="dxa"/>
            <w:vAlign w:val="center"/>
          </w:tcPr>
          <w:p w14:paraId="4412A708"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1002" w:type="dxa"/>
            <w:vAlign w:val="center"/>
          </w:tcPr>
          <w:p w14:paraId="1A9EA70A"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vAlign w:val="center"/>
          </w:tcPr>
          <w:p w14:paraId="537AE8E6"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2D459739"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61C72D1D"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6B9DF8E5" w14:textId="77777777" w:rsidTr="00D634C5">
        <w:trPr>
          <w:trHeight w:val="259"/>
          <w:jc w:val="center"/>
        </w:trPr>
        <w:tc>
          <w:tcPr>
            <w:tcW w:w="1015" w:type="dxa"/>
            <w:vAlign w:val="center"/>
            <w:hideMark/>
          </w:tcPr>
          <w:p w14:paraId="62FA0CB1"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DO</w:t>
            </w:r>
          </w:p>
        </w:tc>
        <w:tc>
          <w:tcPr>
            <w:tcW w:w="860" w:type="dxa"/>
            <w:vAlign w:val="center"/>
            <w:hideMark/>
          </w:tcPr>
          <w:p w14:paraId="2DC5C77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-0.17</w:t>
            </w:r>
          </w:p>
        </w:tc>
        <w:tc>
          <w:tcPr>
            <w:tcW w:w="800" w:type="dxa"/>
            <w:vAlign w:val="center"/>
            <w:hideMark/>
          </w:tcPr>
          <w:p w14:paraId="17818F39"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0.66</w:t>
            </w:r>
          </w:p>
        </w:tc>
        <w:tc>
          <w:tcPr>
            <w:tcW w:w="800" w:type="dxa"/>
            <w:vAlign w:val="center"/>
            <w:hideMark/>
          </w:tcPr>
          <w:p w14:paraId="60604EA1"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0.57</w:t>
            </w:r>
          </w:p>
        </w:tc>
        <w:tc>
          <w:tcPr>
            <w:tcW w:w="800" w:type="dxa"/>
            <w:vAlign w:val="center"/>
            <w:hideMark/>
          </w:tcPr>
          <w:p w14:paraId="69B556EB"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0.53</w:t>
            </w:r>
          </w:p>
        </w:tc>
        <w:tc>
          <w:tcPr>
            <w:tcW w:w="800" w:type="dxa"/>
            <w:vAlign w:val="center"/>
            <w:hideMark/>
          </w:tcPr>
          <w:p w14:paraId="6CD46CCE"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-0.31</w:t>
            </w:r>
          </w:p>
        </w:tc>
        <w:tc>
          <w:tcPr>
            <w:tcW w:w="800" w:type="dxa"/>
            <w:vAlign w:val="center"/>
            <w:hideMark/>
          </w:tcPr>
          <w:p w14:paraId="2C5F093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1002" w:type="dxa"/>
            <w:vAlign w:val="center"/>
          </w:tcPr>
          <w:p w14:paraId="54F0FF28"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61" w:type="dxa"/>
            <w:vAlign w:val="center"/>
          </w:tcPr>
          <w:p w14:paraId="3C79979E"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1FBA6C6E"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4DDE7E3E"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706A9F12" w14:textId="77777777" w:rsidTr="00D634C5">
        <w:trPr>
          <w:trHeight w:val="277"/>
          <w:jc w:val="center"/>
        </w:trPr>
        <w:tc>
          <w:tcPr>
            <w:tcW w:w="1015" w:type="dxa"/>
            <w:vAlign w:val="center"/>
            <w:hideMark/>
          </w:tcPr>
          <w:p w14:paraId="26626A5F"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NH</w:t>
            </w:r>
            <w:r w:rsidRPr="00AE1817">
              <w:rPr>
                <w:rFonts w:ascii="Arial" w:eastAsia="Times New Roman" w:hAnsi="Arial" w:cs="Arial"/>
                <w:bCs/>
                <w:color w:val="000000"/>
                <w:sz w:val="20"/>
                <w:szCs w:val="20"/>
                <w:vertAlign w:val="subscript"/>
                <w:lang w:eastAsia="fr-FR"/>
              </w:rPr>
              <w:t>4</w:t>
            </w:r>
            <w:r w:rsidRPr="00AE1817">
              <w:rPr>
                <w:rFonts w:ascii="Arial" w:eastAsia="Times New Roman" w:hAnsi="Arial" w:cs="Arial"/>
                <w:bCs/>
                <w:color w:val="000000"/>
                <w:sz w:val="20"/>
                <w:szCs w:val="20"/>
                <w:vertAlign w:val="superscript"/>
                <w:lang w:eastAsia="fr-FR"/>
              </w:rPr>
              <w:t>+</w:t>
            </w:r>
            <w:r w:rsidRPr="00AE1817">
              <w:rPr>
                <w:rFonts w:ascii="Arial" w:eastAsia="Times New Roman" w:hAnsi="Arial" w:cs="Arial"/>
                <w:bCs/>
                <w:color w:val="000000"/>
                <w:sz w:val="20"/>
                <w:szCs w:val="20"/>
                <w:lang w:eastAsia="fr-FR"/>
              </w:rPr>
              <w:t>-N</w:t>
            </w:r>
          </w:p>
        </w:tc>
        <w:tc>
          <w:tcPr>
            <w:tcW w:w="860" w:type="dxa"/>
            <w:vAlign w:val="center"/>
            <w:hideMark/>
          </w:tcPr>
          <w:p w14:paraId="289777AF"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0.66</w:t>
            </w:r>
          </w:p>
        </w:tc>
        <w:tc>
          <w:tcPr>
            <w:tcW w:w="800" w:type="dxa"/>
            <w:vAlign w:val="center"/>
            <w:hideMark/>
          </w:tcPr>
          <w:p w14:paraId="55D73EC1"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-0.20</w:t>
            </w:r>
          </w:p>
        </w:tc>
        <w:tc>
          <w:tcPr>
            <w:tcW w:w="800" w:type="dxa"/>
            <w:vAlign w:val="center"/>
            <w:hideMark/>
          </w:tcPr>
          <w:p w14:paraId="3D8F4536" w14:textId="77777777" w:rsidR="00AE1817" w:rsidRPr="00AE1817" w:rsidRDefault="00AE1817" w:rsidP="00AE1817">
            <w:pPr>
              <w:spacing w:after="0" w:line="240" w:lineRule="auto"/>
              <w:jc w:val="both"/>
              <w:rPr>
                <w:rFonts w:ascii="Arial" w:eastAsia="Times New Roman" w:hAnsi="Arial" w:cs="Arial"/>
                <w:b/>
                <w:sz w:val="20"/>
                <w:szCs w:val="20"/>
                <w:lang w:eastAsia="fr-FR"/>
              </w:rPr>
            </w:pPr>
            <w:r w:rsidRPr="00AE1817">
              <w:rPr>
                <w:rFonts w:ascii="Arial" w:eastAsia="Times New Roman" w:hAnsi="Arial" w:cs="Arial"/>
                <w:b/>
                <w:color w:val="000000"/>
                <w:sz w:val="20"/>
                <w:szCs w:val="20"/>
                <w:lang w:eastAsia="fr-FR"/>
              </w:rPr>
              <w:t>-0.86</w:t>
            </w:r>
          </w:p>
        </w:tc>
        <w:tc>
          <w:tcPr>
            <w:tcW w:w="800" w:type="dxa"/>
            <w:vAlign w:val="center"/>
            <w:hideMark/>
          </w:tcPr>
          <w:p w14:paraId="3C5EECF4" w14:textId="77777777" w:rsidR="00AE1817" w:rsidRPr="00AE1817" w:rsidRDefault="00AE1817" w:rsidP="00AE1817">
            <w:pPr>
              <w:spacing w:after="0" w:line="240" w:lineRule="auto"/>
              <w:jc w:val="both"/>
              <w:rPr>
                <w:rFonts w:ascii="Arial" w:eastAsia="Times New Roman" w:hAnsi="Arial" w:cs="Arial"/>
                <w:b/>
                <w:sz w:val="20"/>
                <w:szCs w:val="20"/>
                <w:lang w:eastAsia="fr-FR"/>
              </w:rPr>
            </w:pPr>
            <w:r w:rsidRPr="00AE1817">
              <w:rPr>
                <w:rFonts w:ascii="Arial" w:eastAsia="Times New Roman" w:hAnsi="Arial" w:cs="Arial"/>
                <w:b/>
                <w:color w:val="000000"/>
                <w:sz w:val="20"/>
                <w:szCs w:val="20"/>
                <w:lang w:eastAsia="fr-FR"/>
              </w:rPr>
              <w:t>-0.88</w:t>
            </w:r>
          </w:p>
        </w:tc>
        <w:tc>
          <w:tcPr>
            <w:tcW w:w="800" w:type="dxa"/>
            <w:vAlign w:val="center"/>
            <w:hideMark/>
          </w:tcPr>
          <w:p w14:paraId="20B5194B"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-0.36</w:t>
            </w:r>
          </w:p>
        </w:tc>
        <w:tc>
          <w:tcPr>
            <w:tcW w:w="800" w:type="dxa"/>
            <w:vAlign w:val="center"/>
            <w:hideMark/>
          </w:tcPr>
          <w:p w14:paraId="5E98251E"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-0.57</w:t>
            </w:r>
          </w:p>
        </w:tc>
        <w:tc>
          <w:tcPr>
            <w:tcW w:w="1002" w:type="dxa"/>
            <w:vAlign w:val="center"/>
            <w:hideMark/>
          </w:tcPr>
          <w:p w14:paraId="0DD4C5B2"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961" w:type="dxa"/>
            <w:vAlign w:val="center"/>
          </w:tcPr>
          <w:p w14:paraId="36B0F051"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33" w:type="dxa"/>
            <w:vAlign w:val="center"/>
          </w:tcPr>
          <w:p w14:paraId="3D00252C"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499EE958"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35C155F9" w14:textId="77777777" w:rsidTr="00D634C5">
        <w:trPr>
          <w:trHeight w:val="277"/>
          <w:jc w:val="center"/>
        </w:trPr>
        <w:tc>
          <w:tcPr>
            <w:tcW w:w="1015" w:type="dxa"/>
            <w:vAlign w:val="center"/>
            <w:hideMark/>
          </w:tcPr>
          <w:p w14:paraId="45656808"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NO</w:t>
            </w:r>
            <w:r w:rsidRPr="00AE1817">
              <w:rPr>
                <w:rFonts w:ascii="Arial" w:eastAsia="Times New Roman" w:hAnsi="Arial" w:cs="Arial"/>
                <w:bCs/>
                <w:color w:val="000000"/>
                <w:sz w:val="20"/>
                <w:szCs w:val="20"/>
                <w:vertAlign w:val="subscript"/>
                <w:lang w:eastAsia="fr-FR"/>
              </w:rPr>
              <w:t>2</w:t>
            </w:r>
            <w:r w:rsidRPr="00AE1817">
              <w:rPr>
                <w:rFonts w:ascii="Arial" w:eastAsia="Times New Roman" w:hAnsi="Arial" w:cs="Arial"/>
                <w:bCs/>
                <w:color w:val="000000"/>
                <w:sz w:val="20"/>
                <w:szCs w:val="20"/>
                <w:vertAlign w:val="superscript"/>
                <w:lang w:eastAsia="fr-FR"/>
              </w:rPr>
              <w:t>-</w:t>
            </w:r>
            <w:r w:rsidRPr="00AE1817">
              <w:rPr>
                <w:rFonts w:ascii="Arial" w:eastAsia="Times New Roman" w:hAnsi="Arial" w:cs="Arial"/>
                <w:bCs/>
                <w:color w:val="000000"/>
                <w:sz w:val="20"/>
                <w:szCs w:val="20"/>
                <w:lang w:eastAsia="fr-FR"/>
              </w:rPr>
              <w:t>-N</w:t>
            </w:r>
          </w:p>
        </w:tc>
        <w:tc>
          <w:tcPr>
            <w:tcW w:w="860" w:type="dxa"/>
            <w:vAlign w:val="center"/>
            <w:hideMark/>
          </w:tcPr>
          <w:p w14:paraId="5E54C35C"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0.66</w:t>
            </w:r>
          </w:p>
        </w:tc>
        <w:tc>
          <w:tcPr>
            <w:tcW w:w="800" w:type="dxa"/>
            <w:vAlign w:val="center"/>
            <w:hideMark/>
          </w:tcPr>
          <w:p w14:paraId="74D7930F"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0.60</w:t>
            </w:r>
          </w:p>
        </w:tc>
        <w:tc>
          <w:tcPr>
            <w:tcW w:w="800" w:type="dxa"/>
            <w:vAlign w:val="center"/>
            <w:hideMark/>
          </w:tcPr>
          <w:p w14:paraId="0D31A33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-0.27</w:t>
            </w:r>
          </w:p>
        </w:tc>
        <w:tc>
          <w:tcPr>
            <w:tcW w:w="800" w:type="dxa"/>
            <w:vAlign w:val="center"/>
            <w:hideMark/>
          </w:tcPr>
          <w:p w14:paraId="444EEC5D"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-0.37</w:t>
            </w:r>
          </w:p>
        </w:tc>
        <w:tc>
          <w:tcPr>
            <w:tcW w:w="800" w:type="dxa"/>
            <w:vAlign w:val="center"/>
            <w:hideMark/>
          </w:tcPr>
          <w:p w14:paraId="22CE89E6"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-0.39</w:t>
            </w:r>
          </w:p>
        </w:tc>
        <w:tc>
          <w:tcPr>
            <w:tcW w:w="800" w:type="dxa"/>
            <w:vAlign w:val="center"/>
            <w:hideMark/>
          </w:tcPr>
          <w:p w14:paraId="688CF56C"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0.43</w:t>
            </w:r>
          </w:p>
        </w:tc>
        <w:tc>
          <w:tcPr>
            <w:tcW w:w="1002" w:type="dxa"/>
            <w:vAlign w:val="center"/>
            <w:hideMark/>
          </w:tcPr>
          <w:p w14:paraId="02B02B4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0.35</w:t>
            </w:r>
          </w:p>
        </w:tc>
        <w:tc>
          <w:tcPr>
            <w:tcW w:w="961" w:type="dxa"/>
            <w:vAlign w:val="center"/>
            <w:hideMark/>
          </w:tcPr>
          <w:p w14:paraId="3B78B349"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933" w:type="dxa"/>
            <w:vAlign w:val="center"/>
          </w:tcPr>
          <w:p w14:paraId="2082BA5C"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c>
          <w:tcPr>
            <w:tcW w:w="989" w:type="dxa"/>
            <w:vAlign w:val="center"/>
          </w:tcPr>
          <w:p w14:paraId="523426CD"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304295CC" w14:textId="77777777" w:rsidTr="00D634C5">
        <w:trPr>
          <w:trHeight w:val="259"/>
          <w:jc w:val="center"/>
        </w:trPr>
        <w:tc>
          <w:tcPr>
            <w:tcW w:w="1015" w:type="dxa"/>
            <w:vAlign w:val="center"/>
            <w:hideMark/>
          </w:tcPr>
          <w:p w14:paraId="550C0095"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NO</w:t>
            </w:r>
            <w:r w:rsidRPr="00AE1817">
              <w:rPr>
                <w:rFonts w:ascii="Arial" w:eastAsia="Times New Roman" w:hAnsi="Arial" w:cs="Arial"/>
                <w:bCs/>
                <w:color w:val="000000"/>
                <w:sz w:val="20"/>
                <w:szCs w:val="20"/>
                <w:vertAlign w:val="subscript"/>
                <w:lang w:eastAsia="fr-FR"/>
              </w:rPr>
              <w:t>3</w:t>
            </w:r>
            <w:r w:rsidRPr="00AE1817">
              <w:rPr>
                <w:rFonts w:ascii="Arial" w:eastAsia="Times New Roman" w:hAnsi="Arial" w:cs="Arial"/>
                <w:bCs/>
                <w:color w:val="000000"/>
                <w:sz w:val="20"/>
                <w:szCs w:val="20"/>
                <w:vertAlign w:val="superscript"/>
                <w:lang w:eastAsia="fr-FR"/>
              </w:rPr>
              <w:t>-</w:t>
            </w:r>
            <w:r w:rsidRPr="00AE1817">
              <w:rPr>
                <w:rFonts w:ascii="Arial" w:eastAsia="Times New Roman" w:hAnsi="Arial" w:cs="Arial"/>
                <w:bCs/>
                <w:color w:val="000000"/>
                <w:sz w:val="20"/>
                <w:szCs w:val="20"/>
                <w:lang w:eastAsia="fr-FR"/>
              </w:rPr>
              <w:t>-N</w:t>
            </w:r>
          </w:p>
        </w:tc>
        <w:tc>
          <w:tcPr>
            <w:tcW w:w="860" w:type="dxa"/>
            <w:vAlign w:val="center"/>
            <w:hideMark/>
          </w:tcPr>
          <w:p w14:paraId="487F26C6"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0.58</w:t>
            </w:r>
          </w:p>
        </w:tc>
        <w:tc>
          <w:tcPr>
            <w:tcW w:w="800" w:type="dxa"/>
            <w:vAlign w:val="center"/>
            <w:hideMark/>
          </w:tcPr>
          <w:p w14:paraId="50FF612E"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0.22</w:t>
            </w:r>
          </w:p>
        </w:tc>
        <w:tc>
          <w:tcPr>
            <w:tcW w:w="800" w:type="dxa"/>
            <w:vAlign w:val="center"/>
            <w:hideMark/>
          </w:tcPr>
          <w:p w14:paraId="70400716"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-0.27</w:t>
            </w:r>
          </w:p>
        </w:tc>
        <w:tc>
          <w:tcPr>
            <w:tcW w:w="800" w:type="dxa"/>
            <w:vAlign w:val="center"/>
            <w:hideMark/>
          </w:tcPr>
          <w:p w14:paraId="635CCDFA"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-0.37</w:t>
            </w:r>
          </w:p>
        </w:tc>
        <w:tc>
          <w:tcPr>
            <w:tcW w:w="800" w:type="dxa"/>
            <w:vAlign w:val="center"/>
            <w:hideMark/>
          </w:tcPr>
          <w:p w14:paraId="7A56DABD"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0.40</w:t>
            </w:r>
          </w:p>
        </w:tc>
        <w:tc>
          <w:tcPr>
            <w:tcW w:w="800" w:type="dxa"/>
            <w:vAlign w:val="center"/>
            <w:hideMark/>
          </w:tcPr>
          <w:p w14:paraId="71128C94"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-0.47</w:t>
            </w:r>
          </w:p>
        </w:tc>
        <w:tc>
          <w:tcPr>
            <w:tcW w:w="1002" w:type="dxa"/>
            <w:vAlign w:val="center"/>
            <w:hideMark/>
          </w:tcPr>
          <w:p w14:paraId="6FA7F6C9"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0.38</w:t>
            </w:r>
          </w:p>
        </w:tc>
        <w:tc>
          <w:tcPr>
            <w:tcW w:w="961" w:type="dxa"/>
            <w:vAlign w:val="center"/>
            <w:hideMark/>
          </w:tcPr>
          <w:p w14:paraId="19B361F3"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0.29</w:t>
            </w:r>
          </w:p>
        </w:tc>
        <w:tc>
          <w:tcPr>
            <w:tcW w:w="933" w:type="dxa"/>
            <w:vAlign w:val="center"/>
            <w:hideMark/>
          </w:tcPr>
          <w:p w14:paraId="11C17488"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c>
          <w:tcPr>
            <w:tcW w:w="989" w:type="dxa"/>
            <w:vAlign w:val="center"/>
          </w:tcPr>
          <w:p w14:paraId="45A0434C" w14:textId="77777777" w:rsidR="00AE1817" w:rsidRPr="00AE1817" w:rsidRDefault="00AE1817" w:rsidP="00AE1817">
            <w:pPr>
              <w:spacing w:after="0" w:line="240" w:lineRule="auto"/>
              <w:jc w:val="both"/>
              <w:rPr>
                <w:rFonts w:ascii="Arial" w:eastAsia="Times New Roman" w:hAnsi="Arial" w:cs="Arial"/>
                <w:sz w:val="20"/>
                <w:szCs w:val="20"/>
                <w:lang w:eastAsia="fr-FR"/>
              </w:rPr>
            </w:pPr>
          </w:p>
        </w:tc>
      </w:tr>
      <w:tr w:rsidR="00AE1817" w:rsidRPr="00AE1817" w14:paraId="0EC281D3" w14:textId="77777777" w:rsidTr="00D634C5">
        <w:trPr>
          <w:trHeight w:val="277"/>
          <w:jc w:val="center"/>
        </w:trPr>
        <w:tc>
          <w:tcPr>
            <w:tcW w:w="1015" w:type="dxa"/>
            <w:tcBorders>
              <w:top w:val="nil"/>
              <w:left w:val="nil"/>
              <w:bottom w:val="single" w:sz="4" w:space="0" w:color="auto"/>
              <w:right w:val="nil"/>
            </w:tcBorders>
            <w:vAlign w:val="center"/>
            <w:hideMark/>
          </w:tcPr>
          <w:p w14:paraId="05798F20" w14:textId="77777777" w:rsidR="00AE1817" w:rsidRPr="00AE1817" w:rsidRDefault="00AE1817" w:rsidP="00AE1817">
            <w:pPr>
              <w:spacing w:after="0" w:line="240" w:lineRule="auto"/>
              <w:jc w:val="both"/>
              <w:rPr>
                <w:rFonts w:ascii="Arial" w:eastAsia="Times New Roman" w:hAnsi="Arial" w:cs="Arial"/>
                <w:bCs/>
                <w:sz w:val="20"/>
                <w:szCs w:val="20"/>
                <w:lang w:eastAsia="fr-FR"/>
              </w:rPr>
            </w:pPr>
            <w:r w:rsidRPr="00AE1817">
              <w:rPr>
                <w:rFonts w:ascii="Arial" w:eastAsia="Times New Roman" w:hAnsi="Arial" w:cs="Arial"/>
                <w:bCs/>
                <w:color w:val="000000"/>
                <w:sz w:val="20"/>
                <w:szCs w:val="20"/>
                <w:lang w:eastAsia="fr-FR"/>
              </w:rPr>
              <w:t>PO</w:t>
            </w:r>
            <w:r w:rsidRPr="00AE1817">
              <w:rPr>
                <w:rFonts w:ascii="Arial" w:eastAsia="Times New Roman" w:hAnsi="Arial" w:cs="Arial"/>
                <w:bCs/>
                <w:color w:val="000000"/>
                <w:sz w:val="20"/>
                <w:szCs w:val="20"/>
                <w:vertAlign w:val="subscript"/>
                <w:lang w:eastAsia="fr-FR"/>
              </w:rPr>
              <w:t>4</w:t>
            </w:r>
            <w:r w:rsidRPr="00AE1817">
              <w:rPr>
                <w:rFonts w:ascii="Arial" w:eastAsia="Times New Roman" w:hAnsi="Arial" w:cs="Arial"/>
                <w:bCs/>
                <w:color w:val="000000"/>
                <w:sz w:val="20"/>
                <w:szCs w:val="20"/>
                <w:vertAlign w:val="superscript"/>
                <w:lang w:eastAsia="fr-FR"/>
              </w:rPr>
              <w:t>3-</w:t>
            </w:r>
            <w:r w:rsidRPr="00AE1817">
              <w:rPr>
                <w:rFonts w:ascii="Arial" w:eastAsia="Times New Roman" w:hAnsi="Arial" w:cs="Arial"/>
                <w:bCs/>
                <w:color w:val="000000"/>
                <w:sz w:val="20"/>
                <w:szCs w:val="20"/>
                <w:lang w:eastAsia="fr-FR"/>
              </w:rPr>
              <w:t>-P</w:t>
            </w:r>
          </w:p>
        </w:tc>
        <w:tc>
          <w:tcPr>
            <w:tcW w:w="860" w:type="dxa"/>
            <w:tcBorders>
              <w:top w:val="nil"/>
              <w:left w:val="nil"/>
              <w:bottom w:val="single" w:sz="4" w:space="0" w:color="auto"/>
              <w:right w:val="nil"/>
            </w:tcBorders>
            <w:vAlign w:val="center"/>
            <w:hideMark/>
          </w:tcPr>
          <w:p w14:paraId="23747433"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0.64</w:t>
            </w:r>
          </w:p>
        </w:tc>
        <w:tc>
          <w:tcPr>
            <w:tcW w:w="800" w:type="dxa"/>
            <w:tcBorders>
              <w:top w:val="nil"/>
              <w:left w:val="nil"/>
              <w:bottom w:val="single" w:sz="4" w:space="0" w:color="auto"/>
              <w:right w:val="nil"/>
            </w:tcBorders>
            <w:vAlign w:val="center"/>
            <w:hideMark/>
          </w:tcPr>
          <w:p w14:paraId="459A9D7F"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0.12</w:t>
            </w:r>
          </w:p>
        </w:tc>
        <w:tc>
          <w:tcPr>
            <w:tcW w:w="800" w:type="dxa"/>
            <w:tcBorders>
              <w:top w:val="nil"/>
              <w:left w:val="nil"/>
              <w:bottom w:val="single" w:sz="4" w:space="0" w:color="auto"/>
              <w:right w:val="nil"/>
            </w:tcBorders>
            <w:vAlign w:val="center"/>
            <w:hideMark/>
          </w:tcPr>
          <w:p w14:paraId="5798EA3A"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-0.34</w:t>
            </w:r>
          </w:p>
        </w:tc>
        <w:tc>
          <w:tcPr>
            <w:tcW w:w="800" w:type="dxa"/>
            <w:tcBorders>
              <w:top w:val="nil"/>
              <w:left w:val="nil"/>
              <w:bottom w:val="single" w:sz="4" w:space="0" w:color="auto"/>
              <w:right w:val="nil"/>
            </w:tcBorders>
            <w:vAlign w:val="center"/>
            <w:hideMark/>
          </w:tcPr>
          <w:p w14:paraId="205E8BCA"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-0.38</w:t>
            </w:r>
          </w:p>
        </w:tc>
        <w:tc>
          <w:tcPr>
            <w:tcW w:w="800" w:type="dxa"/>
            <w:tcBorders>
              <w:top w:val="nil"/>
              <w:left w:val="nil"/>
              <w:bottom w:val="single" w:sz="4" w:space="0" w:color="auto"/>
              <w:right w:val="nil"/>
            </w:tcBorders>
            <w:vAlign w:val="center"/>
            <w:hideMark/>
          </w:tcPr>
          <w:p w14:paraId="66257A41"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-0.48</w:t>
            </w:r>
          </w:p>
        </w:tc>
        <w:tc>
          <w:tcPr>
            <w:tcW w:w="800" w:type="dxa"/>
            <w:tcBorders>
              <w:top w:val="nil"/>
              <w:left w:val="nil"/>
              <w:bottom w:val="single" w:sz="4" w:space="0" w:color="auto"/>
              <w:right w:val="nil"/>
            </w:tcBorders>
            <w:vAlign w:val="center"/>
            <w:hideMark/>
          </w:tcPr>
          <w:p w14:paraId="46D00075"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-0.08</w:t>
            </w:r>
          </w:p>
        </w:tc>
        <w:tc>
          <w:tcPr>
            <w:tcW w:w="1002" w:type="dxa"/>
            <w:tcBorders>
              <w:top w:val="nil"/>
              <w:left w:val="nil"/>
              <w:bottom w:val="single" w:sz="4" w:space="0" w:color="auto"/>
              <w:right w:val="nil"/>
            </w:tcBorders>
            <w:vAlign w:val="center"/>
            <w:hideMark/>
          </w:tcPr>
          <w:p w14:paraId="34AE511C"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0.44</w:t>
            </w:r>
          </w:p>
        </w:tc>
        <w:tc>
          <w:tcPr>
            <w:tcW w:w="961" w:type="dxa"/>
            <w:tcBorders>
              <w:top w:val="nil"/>
              <w:left w:val="nil"/>
              <w:bottom w:val="single" w:sz="4" w:space="0" w:color="auto"/>
              <w:right w:val="nil"/>
            </w:tcBorders>
            <w:vAlign w:val="center"/>
            <w:hideMark/>
          </w:tcPr>
          <w:p w14:paraId="1E6A7963"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0.37</w:t>
            </w:r>
          </w:p>
        </w:tc>
        <w:tc>
          <w:tcPr>
            <w:tcW w:w="933" w:type="dxa"/>
            <w:tcBorders>
              <w:top w:val="nil"/>
              <w:left w:val="nil"/>
              <w:bottom w:val="single" w:sz="4" w:space="0" w:color="auto"/>
              <w:right w:val="nil"/>
            </w:tcBorders>
            <w:vAlign w:val="center"/>
            <w:hideMark/>
          </w:tcPr>
          <w:p w14:paraId="75BF991D"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0.00</w:t>
            </w:r>
          </w:p>
        </w:tc>
        <w:tc>
          <w:tcPr>
            <w:tcW w:w="989" w:type="dxa"/>
            <w:tcBorders>
              <w:top w:val="nil"/>
              <w:left w:val="nil"/>
              <w:bottom w:val="single" w:sz="4" w:space="0" w:color="auto"/>
              <w:right w:val="nil"/>
            </w:tcBorders>
            <w:vAlign w:val="center"/>
            <w:hideMark/>
          </w:tcPr>
          <w:p w14:paraId="5261D8AF" w14:textId="77777777" w:rsidR="00AE1817" w:rsidRPr="00AE1817" w:rsidRDefault="00AE1817" w:rsidP="00AE1817">
            <w:pPr>
              <w:spacing w:after="0" w:line="240" w:lineRule="auto"/>
              <w:jc w:val="both"/>
              <w:rPr>
                <w:rFonts w:ascii="Arial" w:eastAsia="Times New Roman" w:hAnsi="Arial" w:cs="Arial"/>
                <w:sz w:val="20"/>
                <w:szCs w:val="20"/>
                <w:lang w:eastAsia="fr-FR"/>
              </w:rPr>
            </w:pPr>
            <w:r w:rsidRPr="00AE1817">
              <w:rPr>
                <w:rFonts w:ascii="Arial" w:eastAsia="Times New Roman" w:hAnsi="Arial" w:cs="Arial"/>
                <w:color w:val="000000"/>
                <w:sz w:val="20"/>
                <w:szCs w:val="20"/>
                <w:lang w:eastAsia="fr-FR"/>
              </w:rPr>
              <w:t>1.00</w:t>
            </w:r>
          </w:p>
        </w:tc>
      </w:tr>
    </w:tbl>
    <w:p w14:paraId="56FB43BB" w14:textId="77777777" w:rsidR="00AE1817" w:rsidRPr="00AE1817" w:rsidRDefault="00AE1817" w:rsidP="008A40FD">
      <w:pPr>
        <w:spacing w:after="0" w:line="240" w:lineRule="auto"/>
        <w:jc w:val="both"/>
        <w:rPr>
          <w:rFonts w:ascii="Arial" w:hAnsi="Arial" w:cs="Arial"/>
          <w:i/>
          <w:sz w:val="20"/>
          <w:szCs w:val="20"/>
        </w:rPr>
      </w:pPr>
      <w:r w:rsidRPr="00AE1817">
        <w:rPr>
          <w:rFonts w:ascii="Arial" w:hAnsi="Arial" w:cs="Arial"/>
          <w:i/>
          <w:sz w:val="18"/>
          <w:szCs w:val="20"/>
        </w:rPr>
        <w:t xml:space="preserve">T: </w:t>
      </w:r>
      <w:proofErr w:type="spellStart"/>
      <w:r w:rsidRPr="00AE1817">
        <w:rPr>
          <w:rFonts w:ascii="Arial" w:hAnsi="Arial" w:cs="Arial"/>
          <w:i/>
          <w:sz w:val="18"/>
          <w:szCs w:val="20"/>
        </w:rPr>
        <w:t>temperature</w:t>
      </w:r>
      <w:proofErr w:type="spellEnd"/>
      <w:r w:rsidRPr="00AE1817">
        <w:rPr>
          <w:rFonts w:ascii="Arial" w:hAnsi="Arial" w:cs="Arial"/>
          <w:i/>
          <w:sz w:val="18"/>
          <w:szCs w:val="20"/>
        </w:rPr>
        <w:t xml:space="preserve">; EC: </w:t>
      </w:r>
      <w:proofErr w:type="spellStart"/>
      <w:r w:rsidRPr="00AE1817">
        <w:rPr>
          <w:rFonts w:ascii="Arial" w:hAnsi="Arial" w:cs="Arial"/>
          <w:i/>
          <w:sz w:val="18"/>
          <w:szCs w:val="20"/>
        </w:rPr>
        <w:t>electrical</w:t>
      </w:r>
      <w:proofErr w:type="spellEnd"/>
      <w:r w:rsidRPr="00AE1817">
        <w:rPr>
          <w:rFonts w:ascii="Arial" w:hAnsi="Arial" w:cs="Arial"/>
          <w:i/>
          <w:sz w:val="18"/>
          <w:szCs w:val="20"/>
        </w:rPr>
        <w:t xml:space="preserve"> </w:t>
      </w:r>
      <w:proofErr w:type="spellStart"/>
      <w:r w:rsidRPr="00AE1817">
        <w:rPr>
          <w:rFonts w:ascii="Arial" w:hAnsi="Arial" w:cs="Arial"/>
          <w:i/>
          <w:sz w:val="18"/>
          <w:szCs w:val="20"/>
        </w:rPr>
        <w:t>conductivity</w:t>
      </w:r>
      <w:proofErr w:type="spellEnd"/>
      <w:r w:rsidRPr="00AE1817">
        <w:rPr>
          <w:rFonts w:ascii="Arial" w:hAnsi="Arial" w:cs="Arial"/>
          <w:i/>
          <w:sz w:val="18"/>
          <w:szCs w:val="20"/>
        </w:rPr>
        <w:t xml:space="preserve">; Sal: </w:t>
      </w:r>
      <w:proofErr w:type="spellStart"/>
      <w:r w:rsidRPr="00AE1817">
        <w:rPr>
          <w:rFonts w:ascii="Arial" w:hAnsi="Arial" w:cs="Arial"/>
          <w:i/>
          <w:sz w:val="18"/>
          <w:szCs w:val="20"/>
        </w:rPr>
        <w:t>salinity</w:t>
      </w:r>
      <w:proofErr w:type="spellEnd"/>
      <w:r w:rsidRPr="00AE1817">
        <w:rPr>
          <w:rFonts w:ascii="Arial" w:hAnsi="Arial" w:cs="Arial"/>
          <w:i/>
          <w:sz w:val="18"/>
          <w:szCs w:val="20"/>
        </w:rPr>
        <w:t xml:space="preserve">; DO: </w:t>
      </w:r>
      <w:proofErr w:type="spellStart"/>
      <w:r w:rsidRPr="00AE1817">
        <w:rPr>
          <w:rFonts w:ascii="Arial" w:hAnsi="Arial" w:cs="Arial"/>
          <w:i/>
          <w:sz w:val="18"/>
          <w:szCs w:val="20"/>
        </w:rPr>
        <w:t>dissolved</w:t>
      </w:r>
      <w:proofErr w:type="spellEnd"/>
      <w:r w:rsidRPr="00AE1817">
        <w:rPr>
          <w:rFonts w:ascii="Arial" w:hAnsi="Arial" w:cs="Arial"/>
          <w:i/>
          <w:sz w:val="18"/>
          <w:szCs w:val="20"/>
        </w:rPr>
        <w:t xml:space="preserve"> </w:t>
      </w:r>
      <w:proofErr w:type="spellStart"/>
      <w:r w:rsidRPr="00AE1817">
        <w:rPr>
          <w:rFonts w:ascii="Arial" w:hAnsi="Arial" w:cs="Arial"/>
          <w:i/>
          <w:sz w:val="18"/>
          <w:szCs w:val="20"/>
        </w:rPr>
        <w:t>oxygen</w:t>
      </w:r>
      <w:proofErr w:type="spellEnd"/>
      <w:r w:rsidRPr="00AE1817">
        <w:rPr>
          <w:rFonts w:ascii="Arial" w:hAnsi="Arial" w:cs="Arial"/>
          <w:i/>
          <w:sz w:val="18"/>
          <w:szCs w:val="20"/>
        </w:rPr>
        <w:t xml:space="preserve">; Eh: redox </w:t>
      </w:r>
      <w:proofErr w:type="spellStart"/>
      <w:r w:rsidRPr="00AE1817">
        <w:rPr>
          <w:rFonts w:ascii="Arial" w:hAnsi="Arial" w:cs="Arial"/>
          <w:i/>
          <w:sz w:val="18"/>
          <w:szCs w:val="20"/>
        </w:rPr>
        <w:t>potential</w:t>
      </w:r>
      <w:proofErr w:type="spellEnd"/>
      <w:r w:rsidRPr="00AE1817">
        <w:rPr>
          <w:rFonts w:ascii="Arial" w:hAnsi="Arial" w:cs="Arial"/>
          <w:i/>
          <w:sz w:val="18"/>
          <w:szCs w:val="20"/>
        </w:rPr>
        <w:t xml:space="preserve">; </w:t>
      </w:r>
      <w:r w:rsidR="00502F28" w:rsidRPr="00502F28">
        <w:rPr>
          <w:rFonts w:ascii="Arial" w:hAnsi="Arial" w:cs="Arial"/>
          <w:i/>
          <w:sz w:val="18"/>
          <w:szCs w:val="20"/>
        </w:rPr>
        <w:t>NO</w:t>
      </w:r>
      <w:r w:rsidR="00502F28" w:rsidRPr="00502F28">
        <w:rPr>
          <w:rFonts w:ascii="Arial" w:hAnsi="Arial" w:cs="Arial"/>
          <w:i/>
          <w:sz w:val="18"/>
          <w:szCs w:val="20"/>
          <w:vertAlign w:val="subscript"/>
        </w:rPr>
        <w:t>3</w:t>
      </w:r>
      <w:r w:rsidR="00502F28" w:rsidRPr="00502F28">
        <w:rPr>
          <w:rFonts w:ascii="Arial" w:hAnsi="Arial" w:cs="Arial"/>
          <w:i/>
          <w:sz w:val="18"/>
          <w:szCs w:val="20"/>
          <w:vertAlign w:val="superscript"/>
        </w:rPr>
        <w:t>-</w:t>
      </w:r>
      <w:r w:rsidR="00502F28" w:rsidRPr="00502F28">
        <w:rPr>
          <w:rFonts w:ascii="Arial" w:hAnsi="Arial" w:cs="Arial"/>
          <w:i/>
          <w:sz w:val="18"/>
          <w:szCs w:val="20"/>
        </w:rPr>
        <w:t>-N</w:t>
      </w:r>
      <w:r w:rsidRPr="00AE1817">
        <w:rPr>
          <w:rFonts w:ascii="Arial" w:hAnsi="Arial" w:cs="Arial"/>
          <w:i/>
          <w:sz w:val="18"/>
          <w:szCs w:val="20"/>
        </w:rPr>
        <w:t xml:space="preserve">: nitrate diffusion flux; </w:t>
      </w:r>
      <w:r w:rsidR="00502F28" w:rsidRPr="00502F28">
        <w:rPr>
          <w:rFonts w:ascii="Arial" w:hAnsi="Arial" w:cs="Arial"/>
          <w:i/>
          <w:sz w:val="18"/>
          <w:szCs w:val="20"/>
        </w:rPr>
        <w:t>NO</w:t>
      </w:r>
      <w:r w:rsidR="00502F28" w:rsidRPr="00502F28">
        <w:rPr>
          <w:rFonts w:ascii="Arial" w:hAnsi="Arial" w:cs="Arial"/>
          <w:i/>
          <w:sz w:val="18"/>
          <w:szCs w:val="20"/>
          <w:vertAlign w:val="subscript"/>
        </w:rPr>
        <w:t>2</w:t>
      </w:r>
      <w:r w:rsidR="00502F28" w:rsidRPr="00502F28">
        <w:rPr>
          <w:rFonts w:ascii="Arial" w:hAnsi="Arial" w:cs="Arial"/>
          <w:i/>
          <w:sz w:val="18"/>
          <w:szCs w:val="20"/>
          <w:vertAlign w:val="superscript"/>
        </w:rPr>
        <w:t>-</w:t>
      </w:r>
      <w:r w:rsidR="00502F28" w:rsidRPr="00502F28">
        <w:rPr>
          <w:rFonts w:ascii="Arial" w:hAnsi="Arial" w:cs="Arial"/>
          <w:i/>
          <w:sz w:val="18"/>
          <w:szCs w:val="20"/>
        </w:rPr>
        <w:t>-N</w:t>
      </w:r>
      <w:r w:rsidRPr="00AE1817">
        <w:rPr>
          <w:rFonts w:ascii="Arial" w:hAnsi="Arial" w:cs="Arial"/>
          <w:i/>
          <w:sz w:val="18"/>
          <w:szCs w:val="20"/>
        </w:rPr>
        <w:t xml:space="preserve">: nitrite diffusion flux; </w:t>
      </w:r>
      <w:r w:rsidR="00502F28" w:rsidRPr="00502F28">
        <w:rPr>
          <w:rFonts w:ascii="Arial" w:hAnsi="Arial" w:cs="Arial"/>
          <w:i/>
          <w:sz w:val="18"/>
          <w:szCs w:val="20"/>
        </w:rPr>
        <w:t>NH</w:t>
      </w:r>
      <w:r w:rsidR="00502F28" w:rsidRPr="00502F28">
        <w:rPr>
          <w:rFonts w:ascii="Arial" w:hAnsi="Arial" w:cs="Arial"/>
          <w:i/>
          <w:sz w:val="18"/>
          <w:szCs w:val="20"/>
          <w:vertAlign w:val="subscript"/>
        </w:rPr>
        <w:t>4</w:t>
      </w:r>
      <w:r w:rsidR="00502F28" w:rsidRPr="00502F28">
        <w:rPr>
          <w:rFonts w:ascii="Arial" w:hAnsi="Arial" w:cs="Arial"/>
          <w:i/>
          <w:sz w:val="18"/>
          <w:szCs w:val="20"/>
          <w:vertAlign w:val="superscript"/>
        </w:rPr>
        <w:t>+</w:t>
      </w:r>
      <w:r w:rsidR="00502F28" w:rsidRPr="00502F28">
        <w:rPr>
          <w:rFonts w:ascii="Arial" w:hAnsi="Arial" w:cs="Arial"/>
          <w:i/>
          <w:sz w:val="18"/>
          <w:szCs w:val="20"/>
        </w:rPr>
        <w:t>-N</w:t>
      </w:r>
      <w:r w:rsidRPr="00AE1817">
        <w:rPr>
          <w:rFonts w:ascii="Arial" w:hAnsi="Arial" w:cs="Arial"/>
          <w:i/>
          <w:sz w:val="18"/>
          <w:szCs w:val="20"/>
        </w:rPr>
        <w:t xml:space="preserve">: ammonium diffusion flux; </w:t>
      </w:r>
      <w:r w:rsidR="00502F28" w:rsidRPr="00CC13CA">
        <w:rPr>
          <w:rFonts w:ascii="Arial" w:hAnsi="Arial" w:cs="Arial"/>
          <w:i/>
          <w:sz w:val="18"/>
          <w:szCs w:val="20"/>
        </w:rPr>
        <w:t>PO</w:t>
      </w:r>
      <w:r w:rsidR="00502F28" w:rsidRPr="00CC13CA">
        <w:rPr>
          <w:rFonts w:ascii="Arial" w:hAnsi="Arial" w:cs="Arial"/>
          <w:i/>
          <w:sz w:val="18"/>
          <w:szCs w:val="20"/>
          <w:vertAlign w:val="subscript"/>
        </w:rPr>
        <w:t>4</w:t>
      </w:r>
      <w:r w:rsidR="00502F28" w:rsidRPr="00CC13CA">
        <w:rPr>
          <w:rFonts w:ascii="Arial" w:hAnsi="Arial" w:cs="Arial"/>
          <w:i/>
          <w:sz w:val="18"/>
          <w:szCs w:val="20"/>
          <w:vertAlign w:val="superscript"/>
        </w:rPr>
        <w:t>3-</w:t>
      </w:r>
      <w:r w:rsidR="00502F28" w:rsidRPr="00CC13CA">
        <w:rPr>
          <w:rFonts w:ascii="Arial" w:hAnsi="Arial" w:cs="Arial"/>
          <w:i/>
          <w:sz w:val="18"/>
          <w:szCs w:val="20"/>
        </w:rPr>
        <w:t>-P</w:t>
      </w:r>
      <w:r w:rsidRPr="00AE1817">
        <w:rPr>
          <w:rFonts w:ascii="Arial" w:hAnsi="Arial" w:cs="Arial"/>
          <w:i/>
          <w:sz w:val="18"/>
          <w:szCs w:val="20"/>
        </w:rPr>
        <w:t xml:space="preserve">: phosphate diffusion flux; values in </w:t>
      </w:r>
      <w:proofErr w:type="spellStart"/>
      <w:r w:rsidRPr="00AE1817">
        <w:rPr>
          <w:rFonts w:ascii="Arial" w:hAnsi="Arial" w:cs="Arial"/>
          <w:i/>
          <w:sz w:val="18"/>
          <w:szCs w:val="20"/>
        </w:rPr>
        <w:t>bold</w:t>
      </w:r>
      <w:proofErr w:type="spellEnd"/>
      <w:r w:rsidRPr="00AE1817">
        <w:rPr>
          <w:rFonts w:ascii="Arial" w:hAnsi="Arial" w:cs="Arial"/>
          <w:i/>
          <w:sz w:val="18"/>
          <w:szCs w:val="20"/>
        </w:rPr>
        <w:t xml:space="preserve"> are </w:t>
      </w:r>
      <w:proofErr w:type="spellStart"/>
      <w:r w:rsidRPr="00AE1817">
        <w:rPr>
          <w:rFonts w:ascii="Arial" w:hAnsi="Arial" w:cs="Arial"/>
          <w:i/>
          <w:sz w:val="18"/>
          <w:szCs w:val="20"/>
        </w:rPr>
        <w:t>significant</w:t>
      </w:r>
      <w:proofErr w:type="spellEnd"/>
      <w:r w:rsidRPr="00AE1817">
        <w:rPr>
          <w:rFonts w:ascii="Arial" w:hAnsi="Arial" w:cs="Arial"/>
          <w:i/>
          <w:sz w:val="18"/>
          <w:szCs w:val="20"/>
        </w:rPr>
        <w:t xml:space="preserve"> (p &lt; 0.05).</w:t>
      </w:r>
    </w:p>
    <w:p w14:paraId="0062531A" w14:textId="77777777" w:rsidR="00AE1817" w:rsidRDefault="00AE1817" w:rsidP="008A40FD">
      <w:pPr>
        <w:spacing w:after="0" w:line="240" w:lineRule="auto"/>
        <w:jc w:val="both"/>
        <w:rPr>
          <w:rFonts w:ascii="Arial" w:hAnsi="Arial" w:cs="Arial"/>
          <w:sz w:val="20"/>
          <w:szCs w:val="20"/>
        </w:rPr>
      </w:pPr>
    </w:p>
    <w:p w14:paraId="571AAAB7" w14:textId="77777777" w:rsidR="00AE1817" w:rsidRDefault="003A0DFE" w:rsidP="008A40FD">
      <w:pPr>
        <w:spacing w:after="0" w:line="240" w:lineRule="auto"/>
        <w:jc w:val="both"/>
        <w:rPr>
          <w:rFonts w:ascii="Arial" w:hAnsi="Arial" w:cs="Arial"/>
          <w:sz w:val="20"/>
          <w:szCs w:val="20"/>
        </w:rPr>
      </w:pPr>
      <w:r w:rsidRPr="0056226E">
        <w:rPr>
          <w:rFonts w:ascii="Arial" w:eastAsia="Calibri" w:hAnsi="Arial" w:cs="Arial"/>
          <w:b/>
          <w:noProof/>
          <w:sz w:val="20"/>
          <w:szCs w:val="20"/>
          <w:lang w:eastAsia="fr-FR"/>
        </w:rPr>
        <w:drawing>
          <wp:inline distT="0" distB="0" distL="0" distR="0" wp14:anchorId="0CF5E50B" wp14:editId="50608992">
            <wp:extent cx="3399652" cy="2808000"/>
            <wp:effectExtent l="19050" t="19050" r="10795" b="1143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99652" cy="2808000"/>
                    </a:xfrm>
                    <a:prstGeom prst="rect">
                      <a:avLst/>
                    </a:prstGeom>
                    <a:noFill/>
                    <a:ln w="12700" cmpd="sng">
                      <a:solidFill>
                        <a:srgbClr val="000000"/>
                      </a:solidFill>
                      <a:miter lim="800000"/>
                      <a:headEnd/>
                      <a:tailEnd/>
                    </a:ln>
                    <a:effectLst/>
                  </pic:spPr>
                </pic:pic>
              </a:graphicData>
            </a:graphic>
          </wp:inline>
        </w:drawing>
      </w:r>
    </w:p>
    <w:p w14:paraId="35141702" w14:textId="77777777" w:rsidR="00AE1817" w:rsidRDefault="00AE1817" w:rsidP="008A40FD">
      <w:pPr>
        <w:spacing w:after="0" w:line="240" w:lineRule="auto"/>
        <w:jc w:val="both"/>
        <w:rPr>
          <w:rFonts w:ascii="Arial" w:hAnsi="Arial" w:cs="Arial"/>
          <w:sz w:val="20"/>
          <w:szCs w:val="20"/>
        </w:rPr>
      </w:pPr>
    </w:p>
    <w:p w14:paraId="5EC3787F" w14:textId="77777777" w:rsidR="003A0DFE" w:rsidRPr="003A0DFE" w:rsidRDefault="003A0DFE" w:rsidP="008A40FD">
      <w:pPr>
        <w:spacing w:after="0" w:line="240" w:lineRule="auto"/>
        <w:jc w:val="both"/>
        <w:rPr>
          <w:rFonts w:ascii="Arial" w:hAnsi="Arial" w:cs="Arial"/>
          <w:b/>
          <w:sz w:val="20"/>
          <w:szCs w:val="20"/>
          <w:lang w:val="en-GB"/>
        </w:rPr>
      </w:pPr>
      <w:r w:rsidRPr="003A0DFE">
        <w:rPr>
          <w:rFonts w:ascii="Arial" w:hAnsi="Arial" w:cs="Arial"/>
          <w:b/>
          <w:sz w:val="20"/>
          <w:szCs w:val="20"/>
          <w:lang w:val="en-GB"/>
        </w:rPr>
        <w:t>Fig. 4. Principal component analysis of the main parameters studied</w:t>
      </w:r>
    </w:p>
    <w:p w14:paraId="0BF29900" w14:textId="77777777" w:rsidR="003A0DFE" w:rsidRDefault="003A0DFE" w:rsidP="008A40FD">
      <w:pPr>
        <w:spacing w:after="0" w:line="240" w:lineRule="auto"/>
        <w:jc w:val="both"/>
        <w:rPr>
          <w:rFonts w:ascii="Arial" w:hAnsi="Arial" w:cs="Arial"/>
          <w:sz w:val="20"/>
          <w:szCs w:val="20"/>
          <w:lang w:val="en-GB"/>
        </w:rPr>
      </w:pPr>
    </w:p>
    <w:p w14:paraId="74E447F3" w14:textId="77777777" w:rsidR="003A0DFE" w:rsidRPr="003A0DFE" w:rsidRDefault="003A0DFE" w:rsidP="003A0DFE">
      <w:pPr>
        <w:spacing w:after="0" w:line="240" w:lineRule="auto"/>
        <w:jc w:val="both"/>
        <w:rPr>
          <w:rFonts w:ascii="Arial" w:hAnsi="Arial" w:cs="Arial"/>
          <w:b/>
          <w:szCs w:val="20"/>
          <w:lang w:val="en-GB"/>
        </w:rPr>
      </w:pPr>
      <w:r w:rsidRPr="003A0DFE">
        <w:rPr>
          <w:rFonts w:ascii="Arial" w:hAnsi="Arial" w:cs="Arial"/>
          <w:b/>
          <w:szCs w:val="20"/>
          <w:lang w:val="en-GB"/>
        </w:rPr>
        <w:t>3.2 Discussion</w:t>
      </w:r>
    </w:p>
    <w:p w14:paraId="74A922E5" w14:textId="77777777" w:rsidR="003A0DFE" w:rsidRPr="003A0DFE" w:rsidRDefault="003A0DFE" w:rsidP="003A0DFE">
      <w:pPr>
        <w:spacing w:after="0" w:line="240" w:lineRule="auto"/>
        <w:jc w:val="both"/>
        <w:rPr>
          <w:rFonts w:ascii="Arial" w:hAnsi="Arial" w:cs="Arial"/>
          <w:sz w:val="20"/>
          <w:szCs w:val="20"/>
          <w:lang w:val="en-GB"/>
        </w:rPr>
      </w:pPr>
    </w:p>
    <w:p w14:paraId="17ACA182" w14:textId="77777777" w:rsidR="003A0DFE" w:rsidRDefault="003A0DFE" w:rsidP="003A0DFE">
      <w:pPr>
        <w:spacing w:after="0" w:line="240" w:lineRule="auto"/>
        <w:jc w:val="both"/>
        <w:rPr>
          <w:rFonts w:ascii="Arial" w:hAnsi="Arial" w:cs="Arial"/>
          <w:sz w:val="20"/>
          <w:szCs w:val="20"/>
          <w:lang w:val="en-GB"/>
        </w:rPr>
      </w:pPr>
      <w:r w:rsidRPr="003A0DFE">
        <w:rPr>
          <w:rFonts w:ascii="Arial" w:hAnsi="Arial" w:cs="Arial"/>
          <w:sz w:val="20"/>
          <w:szCs w:val="20"/>
          <w:lang w:val="en-GB"/>
        </w:rPr>
        <w:t xml:space="preserve">The study of the physicochemical parameters of the bottom waters reveals that the water temperatures of the Fresco Lagoon are uniform throughout the lagoon. On average, the temperature is approximately 29.55 ± 1.37 °C. The relatively shallow average depth of the lagoon, the mixing of the waters by winds, fishing activities, and navigation on the lagoon create significant hydrodynamics that promote the mixing of the surface and bottom water layers, contributing to the uniformity of the temperature throughout the water column. The recorded temperatures correspond to those of tropical lagoons, which range between 25 and 35 °C (Ouattara et al., 2025; Tuo et al., 2021). The pH values, with an average of 7.19 ± 0.36, </w:t>
      </w:r>
      <w:r w:rsidRPr="003A0DFE">
        <w:rPr>
          <w:rFonts w:ascii="Arial" w:hAnsi="Arial" w:cs="Arial"/>
          <w:sz w:val="20"/>
          <w:szCs w:val="20"/>
          <w:lang w:val="en-GB"/>
        </w:rPr>
        <w:lastRenderedPageBreak/>
        <w:t>indicate that the waters of the Fresco lagoon appear neutral and therefore favorabl</w:t>
      </w:r>
      <w:r w:rsidR="00A2259C">
        <w:rPr>
          <w:rFonts w:ascii="Arial" w:hAnsi="Arial" w:cs="Arial"/>
          <w:sz w:val="20"/>
          <w:szCs w:val="20"/>
          <w:lang w:val="en-GB"/>
        </w:rPr>
        <w:t xml:space="preserve">e to aquatic life. The values </w:t>
      </w:r>
      <w:r w:rsidRPr="003A0DFE">
        <w:rPr>
          <w:rFonts w:ascii="Arial" w:hAnsi="Arial" w:cs="Arial"/>
          <w:sz w:val="20"/>
          <w:szCs w:val="20"/>
          <w:lang w:val="en-GB"/>
        </w:rPr>
        <w:t>obtained are in accordance with the WHO standard, which sets the pH of aquatic environments between 6.5 and 8.5 (WHO, 2017).</w:t>
      </w:r>
      <w:r w:rsidR="00427EC1">
        <w:rPr>
          <w:rFonts w:ascii="Arial" w:hAnsi="Arial" w:cs="Arial"/>
          <w:sz w:val="20"/>
          <w:szCs w:val="20"/>
          <w:lang w:val="en-GB"/>
        </w:rPr>
        <w:t xml:space="preserve"> </w:t>
      </w:r>
      <w:r w:rsidR="00D8695B">
        <w:rPr>
          <w:rFonts w:ascii="Arial" w:hAnsi="Arial" w:cs="Arial"/>
          <w:sz w:val="20"/>
          <w:szCs w:val="20"/>
          <w:lang w:val="en-GB"/>
        </w:rPr>
        <w:t xml:space="preserve">Similar pH values </w:t>
      </w:r>
      <w:r w:rsidR="00427EC1" w:rsidRPr="00427EC1">
        <w:rPr>
          <w:rFonts w:ascii="Arial" w:hAnsi="Arial" w:cs="Arial"/>
          <w:sz w:val="20"/>
          <w:szCs w:val="20"/>
          <w:lang w:val="en-GB"/>
        </w:rPr>
        <w:t xml:space="preserve">were recorded in the </w:t>
      </w:r>
      <w:proofErr w:type="spellStart"/>
      <w:r w:rsidR="00427EC1" w:rsidRPr="00427EC1">
        <w:rPr>
          <w:rFonts w:ascii="Arial" w:hAnsi="Arial" w:cs="Arial"/>
          <w:sz w:val="20"/>
          <w:szCs w:val="20"/>
          <w:lang w:val="en-GB"/>
        </w:rPr>
        <w:t>Tafna</w:t>
      </w:r>
      <w:proofErr w:type="spellEnd"/>
      <w:r w:rsidR="00427EC1" w:rsidRPr="00427EC1">
        <w:rPr>
          <w:rFonts w:ascii="Arial" w:hAnsi="Arial" w:cs="Arial"/>
          <w:sz w:val="20"/>
          <w:szCs w:val="20"/>
          <w:lang w:val="en-GB"/>
        </w:rPr>
        <w:t xml:space="preserve"> River in northwest Algeria by </w:t>
      </w:r>
      <w:proofErr w:type="spellStart"/>
      <w:r w:rsidR="00427EC1" w:rsidRPr="00427EC1">
        <w:rPr>
          <w:rFonts w:ascii="Arial" w:hAnsi="Arial" w:cs="Arial"/>
          <w:sz w:val="20"/>
          <w:szCs w:val="20"/>
          <w:lang w:val="en-GB"/>
        </w:rPr>
        <w:t>Mechouet</w:t>
      </w:r>
      <w:proofErr w:type="spellEnd"/>
      <w:r w:rsidR="00427EC1" w:rsidRPr="00427EC1">
        <w:rPr>
          <w:rFonts w:ascii="Arial" w:hAnsi="Arial" w:cs="Arial"/>
          <w:sz w:val="20"/>
          <w:szCs w:val="20"/>
          <w:lang w:val="en-GB"/>
        </w:rPr>
        <w:t xml:space="preserve"> et al. (2024). The waters of station S1, whose pH is lower than 7 (pH = 6.91 ± 0.51), appear to be due to inputs of organic matter from the Bolo and </w:t>
      </w:r>
      <w:proofErr w:type="spellStart"/>
      <w:r w:rsidR="00427EC1" w:rsidRPr="00427EC1">
        <w:rPr>
          <w:rFonts w:ascii="Arial" w:hAnsi="Arial" w:cs="Arial"/>
          <w:sz w:val="20"/>
          <w:szCs w:val="20"/>
          <w:lang w:val="en-GB"/>
        </w:rPr>
        <w:t>Niouniourou</w:t>
      </w:r>
      <w:proofErr w:type="spellEnd"/>
      <w:r w:rsidR="00427EC1" w:rsidRPr="00427EC1">
        <w:rPr>
          <w:rFonts w:ascii="Arial" w:hAnsi="Arial" w:cs="Arial"/>
          <w:sz w:val="20"/>
          <w:szCs w:val="20"/>
          <w:lang w:val="en-GB"/>
        </w:rPr>
        <w:t xml:space="preserve"> rivers. Conductivity and salinity have r</w:t>
      </w:r>
      <w:r w:rsidR="00D8695B">
        <w:rPr>
          <w:rFonts w:ascii="Arial" w:hAnsi="Arial" w:cs="Arial"/>
          <w:sz w:val="20"/>
          <w:szCs w:val="20"/>
          <w:lang w:val="en-GB"/>
        </w:rPr>
        <w:t xml:space="preserve">elatively high average values </w:t>
      </w:r>
      <w:r w:rsidR="00427EC1" w:rsidRPr="00427EC1">
        <w:rPr>
          <w:rFonts w:ascii="Arial" w:hAnsi="Arial" w:cs="Arial"/>
          <w:sz w:val="20"/>
          <w:szCs w:val="20"/>
          <w:lang w:val="en-GB"/>
        </w:rPr>
        <w:t>(33.63 ± 6.15 mS/cm for conductivity and 20.56 ± 2.03 for salinity). These conductivity and salinity va</w:t>
      </w:r>
      <w:r w:rsidR="00D8695B">
        <w:rPr>
          <w:rFonts w:ascii="Arial" w:hAnsi="Arial" w:cs="Arial"/>
          <w:sz w:val="20"/>
          <w:szCs w:val="20"/>
          <w:lang w:val="en-GB"/>
        </w:rPr>
        <w:t xml:space="preserve">lues </w:t>
      </w:r>
      <w:r w:rsidR="00427EC1" w:rsidRPr="00427EC1">
        <w:rPr>
          <w:rFonts w:ascii="Arial" w:hAnsi="Arial" w:cs="Arial"/>
          <w:sz w:val="20"/>
          <w:szCs w:val="20"/>
          <w:lang w:val="en-GB"/>
        </w:rPr>
        <w:t xml:space="preserve">reveal that the waters of the Fresco lagoon are poorly renewed and salty due to the marine waters flowing deep into this lagoon on the one hand, and on the other hand, due to the low hydrodynamics of this lagoon. The redox potentials, which are negative in all stations and whose average value is approximately -23.30 ± 9.78 mV, reveal that this environment is reducing. This reducing character would be due to the insufficient dissolved oxygen in the water. Indeed, the dissolved oxygen contents are relatively low with an average content of approximately 2.38 ± 0.57 mg/L. This insufficient dissolved oxygen could be linked to the use of oxygen during the respiration of aquatic organisms on the one hand, and on the other hand, to the oxidation of organic matter by bacteria which requires oxygen. These low dissolved oxygen contents indicate that the degree of pollution is significant; which is detrimental to aquatic organisms living in this environment. Such an observation was previously made by Wang et al., (2021). Furthermore, the work of Ouattara et al., (2025) reported that a quantity of dissolved oxygen lower than 2 mg/L is characteristic of an environment where many aquatic organisms perish due to the lack of dissolved oxygen which is also used during the process of decomposition of organic matter. The results of this study show that the waters of the Fresco lagoon are hypoxic since the dissolved oxygen levels are lower than 5 mg/L, a threshold considered critical for aquatic life (Ouattara et al., 2025; Tuo et al., 2021). Thus, the waters of the Fresco lagoon appear to be of poor quality and the level of eutrophication of this body of water is high as indicated by MESD </w:t>
      </w:r>
      <w:r w:rsidR="00A3067E">
        <w:rPr>
          <w:rFonts w:ascii="Arial" w:hAnsi="Arial" w:cs="Arial"/>
          <w:sz w:val="20"/>
          <w:szCs w:val="20"/>
          <w:lang w:val="en-GB"/>
        </w:rPr>
        <w:t>&amp;</w:t>
      </w:r>
      <w:r w:rsidR="00427EC1" w:rsidRPr="00427EC1">
        <w:rPr>
          <w:rFonts w:ascii="Arial" w:hAnsi="Arial" w:cs="Arial"/>
          <w:sz w:val="20"/>
          <w:szCs w:val="20"/>
          <w:lang w:val="en-GB"/>
        </w:rPr>
        <w:t xml:space="preserve"> Water Agency, (2003</w:t>
      </w:r>
      <w:r w:rsidR="00A3067E">
        <w:rPr>
          <w:rFonts w:ascii="Arial" w:hAnsi="Arial" w:cs="Arial"/>
          <w:sz w:val="20"/>
          <w:szCs w:val="20"/>
          <w:lang w:val="en-GB"/>
        </w:rPr>
        <w:t>)</w:t>
      </w:r>
      <w:r w:rsidR="00427EC1" w:rsidRPr="00427EC1">
        <w:rPr>
          <w:rFonts w:ascii="Arial" w:hAnsi="Arial" w:cs="Arial"/>
          <w:sz w:val="20"/>
          <w:szCs w:val="20"/>
          <w:lang w:val="en-GB"/>
        </w:rPr>
        <w:t xml:space="preserve">; Ouattara et al., (2025). The Fresco lagoon can be considered as an environment of stress and avoidance of aquatic fauna where, according to Pinay et al. (2017), more or less significant mortalities of aquatic fauna are observed. Similar remarks were made in Lake </w:t>
      </w:r>
      <w:proofErr w:type="spellStart"/>
      <w:r w:rsidR="00427EC1" w:rsidRPr="00427EC1">
        <w:rPr>
          <w:rFonts w:ascii="Arial" w:hAnsi="Arial" w:cs="Arial"/>
          <w:sz w:val="20"/>
          <w:szCs w:val="20"/>
          <w:lang w:val="en-GB"/>
        </w:rPr>
        <w:t>Hongfeng</w:t>
      </w:r>
      <w:proofErr w:type="spellEnd"/>
      <w:r w:rsidR="00427EC1" w:rsidRPr="00427EC1">
        <w:rPr>
          <w:rFonts w:ascii="Arial" w:hAnsi="Arial" w:cs="Arial"/>
          <w:sz w:val="20"/>
          <w:szCs w:val="20"/>
          <w:lang w:val="en-GB"/>
        </w:rPr>
        <w:t xml:space="preserve"> in China by Sun et al. (2021).</w:t>
      </w:r>
    </w:p>
    <w:p w14:paraId="54BCA482" w14:textId="77777777" w:rsidR="00A2259C" w:rsidRDefault="00A2259C" w:rsidP="003A0DFE">
      <w:pPr>
        <w:spacing w:after="0" w:line="240" w:lineRule="auto"/>
        <w:jc w:val="both"/>
        <w:rPr>
          <w:rFonts w:ascii="Arial" w:hAnsi="Arial" w:cs="Arial"/>
          <w:sz w:val="20"/>
          <w:szCs w:val="20"/>
          <w:lang w:val="en-GB"/>
        </w:rPr>
      </w:pPr>
    </w:p>
    <w:p w14:paraId="63FFF67A" w14:textId="77777777" w:rsidR="009777FE" w:rsidRDefault="009777FE" w:rsidP="003A0DFE">
      <w:pPr>
        <w:spacing w:after="0" w:line="240" w:lineRule="auto"/>
        <w:jc w:val="both"/>
        <w:rPr>
          <w:rFonts w:ascii="Arial" w:hAnsi="Arial" w:cs="Arial"/>
          <w:sz w:val="20"/>
          <w:szCs w:val="20"/>
          <w:lang w:val="en-GB"/>
        </w:rPr>
      </w:pPr>
      <w:r w:rsidRPr="009777FE">
        <w:rPr>
          <w:rFonts w:ascii="Arial" w:hAnsi="Arial" w:cs="Arial"/>
          <w:sz w:val="20"/>
          <w:szCs w:val="20"/>
          <w:lang w:val="en-GB"/>
        </w:rPr>
        <w:t>In the present study, the evaluation of organic matter levels showed that the sediments of the Fresco lagoon contained high levels of organic matter, the average of which is estimated at 20.44 ± 1.54%. The sediments collected at stations S3; S4; S5; S6 and S7 presented relatively high levels of organic matter. These high levels of organic matter reveal that this aquatic environment is an area where the waters are little renewed above the sediment; which creates hypoxic conditions in the bottom waters. Consequently, the organic matter, which is partially oxidized, accumulates in the sediment (Ouattara et al, 2022b). Furthermore, the organic matter of continental origin, which is drained by coastal rivers and wastewater discharges from the agglomerations of the city of Fresco, could also explain these relatively high levels of organic matter. The sediments of stations S3; S4; S5; S6 and S7 are muddy in nature; this explains the high values of porosity and water content at these stations. In fact, water-rich sediments are likely to be more easily mobilized during a change in environmental conditions at the sediment-water interface (Hall et al., 2017). On the other hand, the relatively low organic matter content obtained at station S2 (5.68 ± 4.81%), could be due to the influence of marine waters which cause a dilution of pollutant masses. The sediments at station S2 are sandy in texture. This characteristic could expl</w:t>
      </w:r>
      <w:r>
        <w:rPr>
          <w:rFonts w:ascii="Arial" w:hAnsi="Arial" w:cs="Arial"/>
          <w:sz w:val="20"/>
          <w:szCs w:val="20"/>
          <w:lang w:val="en-GB"/>
        </w:rPr>
        <w:t xml:space="preserve">ain the relatively low values </w:t>
      </w:r>
      <w:r w:rsidRPr="009777FE">
        <w:rPr>
          <w:rFonts w:ascii="Arial" w:hAnsi="Arial" w:cs="Arial"/>
          <w:sz w:val="20"/>
          <w:szCs w:val="20"/>
          <w:lang w:val="en-GB"/>
        </w:rPr>
        <w:t>of porosity (36.11 ± 5.68%) and water content (21.87 ± 5.54%) recorded at this station.</w:t>
      </w:r>
    </w:p>
    <w:p w14:paraId="6D9F8BB2" w14:textId="77777777" w:rsidR="00E0443B" w:rsidRDefault="00E0443B" w:rsidP="003A0DFE">
      <w:pPr>
        <w:spacing w:after="0" w:line="240" w:lineRule="auto"/>
        <w:jc w:val="both"/>
        <w:rPr>
          <w:rFonts w:ascii="Arial" w:hAnsi="Arial" w:cs="Arial"/>
          <w:sz w:val="20"/>
          <w:szCs w:val="20"/>
          <w:lang w:val="en-GB"/>
        </w:rPr>
      </w:pPr>
    </w:p>
    <w:p w14:paraId="1CBF22A7" w14:textId="77777777" w:rsidR="009777FE" w:rsidRDefault="00426F29" w:rsidP="003A0DFE">
      <w:pPr>
        <w:spacing w:after="0" w:line="240" w:lineRule="auto"/>
        <w:jc w:val="both"/>
        <w:rPr>
          <w:rFonts w:ascii="Arial" w:hAnsi="Arial" w:cs="Arial"/>
          <w:sz w:val="20"/>
          <w:szCs w:val="20"/>
          <w:lang w:val="en-GB"/>
        </w:rPr>
      </w:pPr>
      <w:r w:rsidRPr="00426F29">
        <w:rPr>
          <w:rFonts w:ascii="Arial" w:hAnsi="Arial" w:cs="Arial"/>
          <w:sz w:val="20"/>
          <w:szCs w:val="20"/>
          <w:lang w:val="en-GB"/>
        </w:rPr>
        <w:t>Nitrate (</w:t>
      </w:r>
      <w:r w:rsidR="00295D27">
        <w:rPr>
          <w:rFonts w:ascii="Arial" w:hAnsi="Arial" w:cs="Arial"/>
          <w:sz w:val="20"/>
          <w:szCs w:val="20"/>
          <w:lang w:val="en-GB"/>
        </w:rPr>
        <w:t>NO</w:t>
      </w:r>
      <w:r w:rsidR="00295D27">
        <w:rPr>
          <w:rFonts w:ascii="Arial" w:hAnsi="Arial" w:cs="Arial"/>
          <w:sz w:val="20"/>
          <w:szCs w:val="20"/>
          <w:vertAlign w:val="subscript"/>
          <w:lang w:val="en-GB"/>
        </w:rPr>
        <w:t>3</w:t>
      </w:r>
      <w:r w:rsidR="00295D27">
        <w:rPr>
          <w:rFonts w:ascii="Arial" w:hAnsi="Arial" w:cs="Arial"/>
          <w:sz w:val="20"/>
          <w:szCs w:val="20"/>
          <w:vertAlign w:val="superscript"/>
          <w:lang w:val="en-GB"/>
        </w:rPr>
        <w:t>-</w:t>
      </w:r>
      <w:r w:rsidR="00295D27">
        <w:rPr>
          <w:rFonts w:ascii="Arial" w:hAnsi="Arial" w:cs="Arial"/>
          <w:sz w:val="20"/>
          <w:szCs w:val="20"/>
          <w:lang w:val="en-GB"/>
        </w:rPr>
        <w:t>-N</w:t>
      </w:r>
      <w:r w:rsidRPr="00426F29">
        <w:rPr>
          <w:rFonts w:ascii="Arial" w:hAnsi="Arial" w:cs="Arial"/>
          <w:sz w:val="20"/>
          <w:szCs w:val="20"/>
          <w:lang w:val="en-GB"/>
        </w:rPr>
        <w:t>) is the element with the highest levels, compared to nitrite (</w:t>
      </w:r>
      <w:r w:rsidR="00295D27">
        <w:rPr>
          <w:rFonts w:ascii="Arial" w:hAnsi="Arial" w:cs="Arial"/>
          <w:sz w:val="20"/>
          <w:szCs w:val="20"/>
          <w:lang w:val="en-GB"/>
        </w:rPr>
        <w:t>NO</w:t>
      </w:r>
      <w:r w:rsidR="00295D27">
        <w:rPr>
          <w:rFonts w:ascii="Arial" w:hAnsi="Arial" w:cs="Arial"/>
          <w:sz w:val="20"/>
          <w:szCs w:val="20"/>
          <w:vertAlign w:val="subscript"/>
          <w:lang w:val="en-GB"/>
        </w:rPr>
        <w:t>2</w:t>
      </w:r>
      <w:r w:rsidR="00295D27">
        <w:rPr>
          <w:rFonts w:ascii="Arial" w:hAnsi="Arial" w:cs="Arial"/>
          <w:sz w:val="20"/>
          <w:szCs w:val="20"/>
          <w:vertAlign w:val="superscript"/>
          <w:lang w:val="en-GB"/>
        </w:rPr>
        <w:t>-</w:t>
      </w:r>
      <w:r w:rsidR="00295D27">
        <w:rPr>
          <w:rFonts w:ascii="Arial" w:hAnsi="Arial" w:cs="Arial"/>
          <w:sz w:val="20"/>
          <w:szCs w:val="20"/>
          <w:lang w:val="en-GB"/>
        </w:rPr>
        <w:t>-N</w:t>
      </w:r>
      <w:r w:rsidRPr="00426F29">
        <w:rPr>
          <w:rFonts w:ascii="Arial" w:hAnsi="Arial" w:cs="Arial"/>
          <w:sz w:val="20"/>
          <w:szCs w:val="20"/>
          <w:lang w:val="en-GB"/>
        </w:rPr>
        <w:t>), ammonium (</w:t>
      </w:r>
      <w:r w:rsidR="00295D27">
        <w:rPr>
          <w:rFonts w:ascii="Arial" w:hAnsi="Arial" w:cs="Arial"/>
          <w:sz w:val="20"/>
          <w:szCs w:val="20"/>
          <w:lang w:val="en-GB"/>
        </w:rPr>
        <w:t>NH</w:t>
      </w:r>
      <w:r w:rsidR="00295D27">
        <w:rPr>
          <w:rFonts w:ascii="Arial" w:hAnsi="Arial" w:cs="Arial"/>
          <w:sz w:val="20"/>
          <w:szCs w:val="20"/>
          <w:vertAlign w:val="subscript"/>
          <w:lang w:val="en-GB"/>
        </w:rPr>
        <w:t>4</w:t>
      </w:r>
      <w:r w:rsidR="00295D27">
        <w:rPr>
          <w:rFonts w:ascii="Arial" w:hAnsi="Arial" w:cs="Arial"/>
          <w:sz w:val="20"/>
          <w:szCs w:val="20"/>
          <w:vertAlign w:val="superscript"/>
          <w:lang w:val="en-GB"/>
        </w:rPr>
        <w:t>+</w:t>
      </w:r>
      <w:r w:rsidR="00295D27">
        <w:rPr>
          <w:rFonts w:ascii="Arial" w:hAnsi="Arial" w:cs="Arial"/>
          <w:sz w:val="20"/>
          <w:szCs w:val="20"/>
          <w:lang w:val="en-GB"/>
        </w:rPr>
        <w:t>-N</w:t>
      </w:r>
      <w:r w:rsidRPr="00426F29">
        <w:rPr>
          <w:rFonts w:ascii="Arial" w:hAnsi="Arial" w:cs="Arial"/>
          <w:sz w:val="20"/>
          <w:szCs w:val="20"/>
          <w:lang w:val="en-GB"/>
        </w:rPr>
        <w:t>) and phosphate (</w:t>
      </w:r>
      <w:r w:rsidR="00E0443B">
        <w:rPr>
          <w:rFonts w:ascii="Arial" w:hAnsi="Arial" w:cs="Arial"/>
          <w:sz w:val="20"/>
          <w:szCs w:val="20"/>
          <w:lang w:val="en-GB"/>
        </w:rPr>
        <w:t>PO</w:t>
      </w:r>
      <w:r w:rsidR="00E0443B">
        <w:rPr>
          <w:rFonts w:ascii="Arial" w:hAnsi="Arial" w:cs="Arial"/>
          <w:sz w:val="20"/>
          <w:szCs w:val="20"/>
          <w:vertAlign w:val="subscript"/>
          <w:lang w:val="en-GB"/>
        </w:rPr>
        <w:t>4</w:t>
      </w:r>
      <w:r w:rsidR="00E0443B">
        <w:rPr>
          <w:rFonts w:ascii="Arial" w:hAnsi="Arial" w:cs="Arial"/>
          <w:sz w:val="20"/>
          <w:szCs w:val="20"/>
          <w:vertAlign w:val="superscript"/>
          <w:lang w:val="en-GB"/>
        </w:rPr>
        <w:t>3-</w:t>
      </w:r>
      <w:r w:rsidR="00E0443B">
        <w:rPr>
          <w:rFonts w:ascii="Arial" w:hAnsi="Arial" w:cs="Arial"/>
          <w:sz w:val="20"/>
          <w:szCs w:val="20"/>
          <w:lang w:val="en-GB"/>
        </w:rPr>
        <w:t>-P</w:t>
      </w:r>
      <w:r w:rsidRPr="00426F29">
        <w:rPr>
          <w:rFonts w:ascii="Arial" w:hAnsi="Arial" w:cs="Arial"/>
          <w:sz w:val="20"/>
          <w:szCs w:val="20"/>
          <w:lang w:val="en-GB"/>
        </w:rPr>
        <w:t>), both in bottom waters and in sediment interstitial waters. These nitrate levels suggest that the depth of the sampling stations is shallow, which is favorable to the penetration of atmospheric oxygen by causing the nitrification of ammonium (</w:t>
      </w:r>
      <w:proofErr w:type="spellStart"/>
      <w:r w:rsidRPr="00426F29">
        <w:rPr>
          <w:rFonts w:ascii="Arial" w:hAnsi="Arial" w:cs="Arial"/>
          <w:sz w:val="20"/>
          <w:szCs w:val="20"/>
          <w:lang w:val="en-GB"/>
        </w:rPr>
        <w:t>Lengier</w:t>
      </w:r>
      <w:proofErr w:type="spellEnd"/>
      <w:r w:rsidRPr="00426F29">
        <w:rPr>
          <w:rFonts w:ascii="Arial" w:hAnsi="Arial" w:cs="Arial"/>
          <w:sz w:val="20"/>
          <w:szCs w:val="20"/>
          <w:lang w:val="en-GB"/>
        </w:rPr>
        <w:t xml:space="preserve"> et al., 2021; Zhong et al., 2022). The uptake of ammonium by phytoplankton could also explain the nitrate levels in these waters. Indeed, a large amount of ammonium (</w:t>
      </w:r>
      <w:r w:rsidR="00E0443B">
        <w:rPr>
          <w:rFonts w:ascii="Arial" w:hAnsi="Arial" w:cs="Arial"/>
          <w:sz w:val="20"/>
          <w:szCs w:val="20"/>
          <w:lang w:val="en-GB"/>
        </w:rPr>
        <w:t>NH</w:t>
      </w:r>
      <w:r w:rsidR="00E0443B">
        <w:rPr>
          <w:rFonts w:ascii="Arial" w:hAnsi="Arial" w:cs="Arial"/>
          <w:sz w:val="20"/>
          <w:szCs w:val="20"/>
          <w:vertAlign w:val="subscript"/>
          <w:lang w:val="en-GB"/>
        </w:rPr>
        <w:t>4</w:t>
      </w:r>
      <w:r w:rsidR="00E0443B">
        <w:rPr>
          <w:rFonts w:ascii="Arial" w:hAnsi="Arial" w:cs="Arial"/>
          <w:sz w:val="20"/>
          <w:szCs w:val="20"/>
          <w:vertAlign w:val="superscript"/>
          <w:lang w:val="en-GB"/>
        </w:rPr>
        <w:t>+</w:t>
      </w:r>
      <w:r w:rsidR="00E0443B">
        <w:rPr>
          <w:rFonts w:ascii="Arial" w:hAnsi="Arial" w:cs="Arial"/>
          <w:sz w:val="20"/>
          <w:szCs w:val="20"/>
          <w:lang w:val="en-GB"/>
        </w:rPr>
        <w:t>-N</w:t>
      </w:r>
      <w:r w:rsidRPr="00426F29">
        <w:rPr>
          <w:rFonts w:ascii="Arial" w:hAnsi="Arial" w:cs="Arial"/>
          <w:sz w:val="20"/>
          <w:szCs w:val="20"/>
          <w:lang w:val="en-GB"/>
        </w:rPr>
        <w:t>) would have been consumed by phytoplankton because of its preference over nitrate (</w:t>
      </w:r>
      <w:r w:rsidR="00E0443B">
        <w:rPr>
          <w:rFonts w:ascii="Arial" w:hAnsi="Arial" w:cs="Arial"/>
          <w:sz w:val="20"/>
          <w:szCs w:val="20"/>
          <w:lang w:val="en-GB"/>
        </w:rPr>
        <w:t>NO</w:t>
      </w:r>
      <w:r w:rsidR="00E0443B">
        <w:rPr>
          <w:rFonts w:ascii="Arial" w:hAnsi="Arial" w:cs="Arial"/>
          <w:sz w:val="20"/>
          <w:szCs w:val="20"/>
          <w:vertAlign w:val="subscript"/>
          <w:lang w:val="en-GB"/>
        </w:rPr>
        <w:t>3</w:t>
      </w:r>
      <w:r w:rsidR="00E0443B">
        <w:rPr>
          <w:rFonts w:ascii="Arial" w:hAnsi="Arial" w:cs="Arial"/>
          <w:sz w:val="20"/>
          <w:szCs w:val="20"/>
          <w:vertAlign w:val="superscript"/>
          <w:lang w:val="en-GB"/>
        </w:rPr>
        <w:t>-</w:t>
      </w:r>
      <w:r w:rsidR="00E0443B">
        <w:rPr>
          <w:rFonts w:ascii="Arial" w:hAnsi="Arial" w:cs="Arial"/>
          <w:sz w:val="20"/>
          <w:szCs w:val="20"/>
          <w:lang w:val="en-GB"/>
        </w:rPr>
        <w:t>-N</w:t>
      </w:r>
      <w:r w:rsidRPr="00426F29">
        <w:rPr>
          <w:rFonts w:ascii="Arial" w:hAnsi="Arial" w:cs="Arial"/>
          <w:sz w:val="20"/>
          <w:szCs w:val="20"/>
          <w:lang w:val="en-GB"/>
        </w:rPr>
        <w:t>) (Wen et al., 2019). At all stations, the ammonium and phosphate contents of the interstitial waters are higher than those of the bottom waters.</w:t>
      </w:r>
      <w:r w:rsidR="00D436FE">
        <w:rPr>
          <w:rFonts w:ascii="Arial" w:hAnsi="Arial" w:cs="Arial"/>
          <w:sz w:val="20"/>
          <w:szCs w:val="20"/>
          <w:lang w:val="en-GB"/>
        </w:rPr>
        <w:t xml:space="preserve"> </w:t>
      </w:r>
      <w:r w:rsidR="00D436FE" w:rsidRPr="00D436FE">
        <w:rPr>
          <w:rFonts w:ascii="Arial" w:hAnsi="Arial" w:cs="Arial"/>
          <w:sz w:val="20"/>
          <w:szCs w:val="20"/>
          <w:lang w:val="en-GB"/>
        </w:rPr>
        <w:t xml:space="preserve">This observation seems to be related to the mineralization of sedimented organic matter given the relatively low dissolved oxygen contents. This observation was also reported in the work of Yang et al., (2020). Moreover, the increase in </w:t>
      </w:r>
      <w:r w:rsidR="00E0443B">
        <w:rPr>
          <w:rFonts w:ascii="Arial" w:hAnsi="Arial" w:cs="Arial"/>
          <w:sz w:val="20"/>
          <w:szCs w:val="20"/>
          <w:lang w:val="en-GB"/>
        </w:rPr>
        <w:t>PO</w:t>
      </w:r>
      <w:r w:rsidR="00E0443B">
        <w:rPr>
          <w:rFonts w:ascii="Arial" w:hAnsi="Arial" w:cs="Arial"/>
          <w:sz w:val="20"/>
          <w:szCs w:val="20"/>
          <w:vertAlign w:val="subscript"/>
          <w:lang w:val="en-GB"/>
        </w:rPr>
        <w:t>4</w:t>
      </w:r>
      <w:r w:rsidR="00E0443B">
        <w:rPr>
          <w:rFonts w:ascii="Arial" w:hAnsi="Arial" w:cs="Arial"/>
          <w:sz w:val="20"/>
          <w:szCs w:val="20"/>
          <w:vertAlign w:val="superscript"/>
          <w:lang w:val="en-GB"/>
        </w:rPr>
        <w:t>3-</w:t>
      </w:r>
      <w:r w:rsidR="00E0443B">
        <w:rPr>
          <w:rFonts w:ascii="Arial" w:hAnsi="Arial" w:cs="Arial"/>
          <w:sz w:val="20"/>
          <w:szCs w:val="20"/>
          <w:lang w:val="en-GB"/>
        </w:rPr>
        <w:t xml:space="preserve">-P </w:t>
      </w:r>
      <w:r w:rsidR="00D436FE" w:rsidRPr="00D436FE">
        <w:rPr>
          <w:rFonts w:ascii="Arial" w:hAnsi="Arial" w:cs="Arial"/>
          <w:sz w:val="20"/>
          <w:szCs w:val="20"/>
          <w:lang w:val="en-GB"/>
        </w:rPr>
        <w:t xml:space="preserve">concentration coincides with the decrease in </w:t>
      </w:r>
      <w:r w:rsidR="00946F36">
        <w:rPr>
          <w:rFonts w:ascii="Arial" w:hAnsi="Arial" w:cs="Arial"/>
          <w:sz w:val="20"/>
          <w:szCs w:val="20"/>
          <w:lang w:val="en-GB"/>
        </w:rPr>
        <w:t>NO</w:t>
      </w:r>
      <w:r w:rsidR="00946F36">
        <w:rPr>
          <w:rFonts w:ascii="Arial" w:hAnsi="Arial" w:cs="Arial"/>
          <w:sz w:val="20"/>
          <w:szCs w:val="20"/>
          <w:vertAlign w:val="subscript"/>
          <w:lang w:val="en-GB"/>
        </w:rPr>
        <w:t>3</w:t>
      </w:r>
      <w:r w:rsidR="00946F36">
        <w:rPr>
          <w:rFonts w:ascii="Arial" w:hAnsi="Arial" w:cs="Arial"/>
          <w:sz w:val="20"/>
          <w:szCs w:val="20"/>
          <w:vertAlign w:val="superscript"/>
          <w:lang w:val="en-GB"/>
        </w:rPr>
        <w:t>-</w:t>
      </w:r>
      <w:r w:rsidR="00946F36">
        <w:rPr>
          <w:rFonts w:ascii="Arial" w:hAnsi="Arial" w:cs="Arial"/>
          <w:sz w:val="20"/>
          <w:szCs w:val="20"/>
          <w:lang w:val="en-GB"/>
        </w:rPr>
        <w:t xml:space="preserve">-N </w:t>
      </w:r>
      <w:r w:rsidR="00D436FE" w:rsidRPr="00D436FE">
        <w:rPr>
          <w:rFonts w:ascii="Arial" w:hAnsi="Arial" w:cs="Arial"/>
          <w:sz w:val="20"/>
          <w:szCs w:val="20"/>
          <w:lang w:val="en-GB"/>
        </w:rPr>
        <w:t xml:space="preserve">concentration in sediment pore waters. It has been reported that nitrate can resist the reduction of ferric iron to ferrous iron because the redox potential for nitrate reduction is higher than that for iron reduction (Meng et al., 2020). Therefore, nitrate can influence the release of iron-bound phosphorus from sediments (Meng et al., 2020). The results obtained are in agreement with those of Wen et al. (2019) in Yuqiao Reservoir, China, and Yang et al. (2020) in </w:t>
      </w:r>
      <w:proofErr w:type="spellStart"/>
      <w:r w:rsidR="00D436FE" w:rsidRPr="00D436FE">
        <w:rPr>
          <w:rFonts w:ascii="Arial" w:hAnsi="Arial" w:cs="Arial"/>
          <w:sz w:val="20"/>
          <w:szCs w:val="20"/>
          <w:lang w:val="en-GB"/>
        </w:rPr>
        <w:t>Chaohu</w:t>
      </w:r>
      <w:proofErr w:type="spellEnd"/>
      <w:r w:rsidR="00D436FE" w:rsidRPr="00D436FE">
        <w:rPr>
          <w:rFonts w:ascii="Arial" w:hAnsi="Arial" w:cs="Arial"/>
          <w:sz w:val="20"/>
          <w:szCs w:val="20"/>
          <w:lang w:val="en-GB"/>
        </w:rPr>
        <w:t xml:space="preserve"> Lake, China. The relatively high content of dissolved inorganic nitrogen obtained in </w:t>
      </w:r>
      <w:r w:rsidR="00D436FE" w:rsidRPr="00D436FE">
        <w:rPr>
          <w:rFonts w:ascii="Arial" w:hAnsi="Arial" w:cs="Arial"/>
          <w:sz w:val="20"/>
          <w:szCs w:val="20"/>
          <w:lang w:val="en-GB"/>
        </w:rPr>
        <w:lastRenderedPageBreak/>
        <w:t xml:space="preserve">the bottom waters at station S2 (10.99 ± 3.66 mg/L) could be explained by the inputs of nitrogen nutrients from the Bolo and </w:t>
      </w:r>
      <w:proofErr w:type="spellStart"/>
      <w:r w:rsidR="00D436FE" w:rsidRPr="00D436FE">
        <w:rPr>
          <w:rFonts w:ascii="Arial" w:hAnsi="Arial" w:cs="Arial"/>
          <w:sz w:val="20"/>
          <w:szCs w:val="20"/>
          <w:lang w:val="en-GB"/>
        </w:rPr>
        <w:t>Niouniourou</w:t>
      </w:r>
      <w:proofErr w:type="spellEnd"/>
      <w:r w:rsidR="00D436FE" w:rsidRPr="00D436FE">
        <w:rPr>
          <w:rFonts w:ascii="Arial" w:hAnsi="Arial" w:cs="Arial"/>
          <w:sz w:val="20"/>
          <w:szCs w:val="20"/>
          <w:lang w:val="en-GB"/>
        </w:rPr>
        <w:t xml:space="preserve"> rivers and those from the Atlantic Ocean.</w:t>
      </w:r>
    </w:p>
    <w:p w14:paraId="6BA1253A" w14:textId="77777777" w:rsidR="00D22215" w:rsidRDefault="00D22215" w:rsidP="003A0DFE">
      <w:pPr>
        <w:spacing w:after="0" w:line="240" w:lineRule="auto"/>
        <w:jc w:val="both"/>
        <w:rPr>
          <w:rFonts w:ascii="Arial" w:hAnsi="Arial" w:cs="Arial"/>
          <w:sz w:val="20"/>
          <w:szCs w:val="20"/>
          <w:lang w:val="en-GB"/>
        </w:rPr>
      </w:pPr>
      <w:r w:rsidRPr="00D22215">
        <w:rPr>
          <w:rFonts w:ascii="Arial" w:hAnsi="Arial" w:cs="Arial"/>
          <w:sz w:val="20"/>
          <w:szCs w:val="20"/>
          <w:lang w:val="en-GB"/>
        </w:rPr>
        <w:t>The calculation of the N/P molar rati</w:t>
      </w:r>
      <w:r>
        <w:rPr>
          <w:rFonts w:ascii="Arial" w:hAnsi="Arial" w:cs="Arial"/>
          <w:sz w:val="20"/>
          <w:szCs w:val="20"/>
          <w:lang w:val="en-GB"/>
        </w:rPr>
        <w:t xml:space="preserve">o gave relatively high values </w:t>
      </w:r>
      <w:r w:rsidRPr="00D22215">
        <w:rPr>
          <w:rFonts w:ascii="Arial" w:hAnsi="Arial" w:cs="Arial"/>
          <w:sz w:val="20"/>
          <w:szCs w:val="20"/>
          <w:lang w:val="en-GB"/>
        </w:rPr>
        <w:t xml:space="preserve">at stations S1 (58.77 ± 40.09) and S2 (26.39 ± 10.62) in the overlying waters and interstitial waters respectively. These high values of the N/P ratio would be related to an excess of dissolved inorganic nitrogen which was brought by the Atlantic Ocean and the Bolo and </w:t>
      </w:r>
      <w:proofErr w:type="spellStart"/>
      <w:r w:rsidRPr="00D22215">
        <w:rPr>
          <w:rFonts w:ascii="Arial" w:hAnsi="Arial" w:cs="Arial"/>
          <w:sz w:val="20"/>
          <w:szCs w:val="20"/>
          <w:lang w:val="en-GB"/>
        </w:rPr>
        <w:t>Niouniourou</w:t>
      </w:r>
      <w:proofErr w:type="spellEnd"/>
      <w:r w:rsidRPr="00D22215">
        <w:rPr>
          <w:rFonts w:ascii="Arial" w:hAnsi="Arial" w:cs="Arial"/>
          <w:sz w:val="20"/>
          <w:szCs w:val="20"/>
          <w:lang w:val="en-GB"/>
        </w:rPr>
        <w:t xml:space="preserve"> rivers. Compared to the N/P ratio of planktonic algae of 16:1 (Redfield et al., 1963), the N/P molar ratio (between 18.87 ± 5.07 and 58.77 ± 40.09) in the bottom waters is much higher. The average value of this ratio is 30.77 ± 2.85; which indicates a depletion of phosphorus which is either assimilated by phytoplankton or adsorbed on sediment particles or organic matter. This result is consistent with the work of Sun et al., (2021) in Lake </w:t>
      </w:r>
      <w:proofErr w:type="spellStart"/>
      <w:r w:rsidRPr="00D22215">
        <w:rPr>
          <w:rFonts w:ascii="Arial" w:hAnsi="Arial" w:cs="Arial"/>
          <w:sz w:val="20"/>
          <w:szCs w:val="20"/>
          <w:lang w:val="en-GB"/>
        </w:rPr>
        <w:t>Hongfeng</w:t>
      </w:r>
      <w:proofErr w:type="spellEnd"/>
      <w:r w:rsidRPr="00D22215">
        <w:rPr>
          <w:rFonts w:ascii="Arial" w:hAnsi="Arial" w:cs="Arial"/>
          <w:sz w:val="20"/>
          <w:szCs w:val="20"/>
          <w:lang w:val="en-GB"/>
        </w:rPr>
        <w:t xml:space="preserve"> in China. On the other hand, the N/P molar ratio in the interstitial waters is relatively low (between 7.46 ± 3.43 and 26.39 ± 10.62). The average value of this ratio</w:t>
      </w:r>
      <w:r w:rsidR="00A82107">
        <w:rPr>
          <w:rFonts w:ascii="Arial" w:hAnsi="Arial" w:cs="Arial"/>
          <w:sz w:val="20"/>
          <w:szCs w:val="20"/>
          <w:lang w:val="en-GB"/>
        </w:rPr>
        <w:t xml:space="preserve"> (11.80 ± 3.52) is less than 16:</w:t>
      </w:r>
      <w:r w:rsidRPr="00D22215">
        <w:rPr>
          <w:rFonts w:ascii="Arial" w:hAnsi="Arial" w:cs="Arial"/>
          <w:sz w:val="20"/>
          <w:szCs w:val="20"/>
          <w:lang w:val="en-GB"/>
        </w:rPr>
        <w:t xml:space="preserve">1° (Redfield et al., 1963); which indicates that nitrogen is the nutrient limiting primary production. Phosphorus would therefore be in excess compared to nitrogen in the interstitial waters. This difference is attributable to the mineralization of sedimented organic matter given the high water temperatures and insufficient dissolved oxygen levels. These results are consistent with those of the work of Yang et al. (2020) in Lake </w:t>
      </w:r>
      <w:proofErr w:type="spellStart"/>
      <w:r w:rsidRPr="00D22215">
        <w:rPr>
          <w:rFonts w:ascii="Arial" w:hAnsi="Arial" w:cs="Arial"/>
          <w:sz w:val="20"/>
          <w:szCs w:val="20"/>
          <w:lang w:val="en-GB"/>
        </w:rPr>
        <w:t>Chaohu</w:t>
      </w:r>
      <w:proofErr w:type="spellEnd"/>
      <w:r w:rsidRPr="00D22215">
        <w:rPr>
          <w:rFonts w:ascii="Arial" w:hAnsi="Arial" w:cs="Arial"/>
          <w:sz w:val="20"/>
          <w:szCs w:val="20"/>
          <w:lang w:val="en-GB"/>
        </w:rPr>
        <w:t xml:space="preserve"> in China.</w:t>
      </w:r>
    </w:p>
    <w:p w14:paraId="201E03A1" w14:textId="77777777" w:rsidR="00A82107" w:rsidRDefault="00A82107" w:rsidP="003A0DFE">
      <w:pPr>
        <w:spacing w:after="0" w:line="240" w:lineRule="auto"/>
        <w:jc w:val="both"/>
        <w:rPr>
          <w:rFonts w:ascii="Arial" w:hAnsi="Arial" w:cs="Arial"/>
          <w:sz w:val="20"/>
          <w:szCs w:val="20"/>
          <w:lang w:val="en-GB"/>
        </w:rPr>
      </w:pPr>
    </w:p>
    <w:p w14:paraId="3A7DFE25" w14:textId="77777777" w:rsidR="00BE4248" w:rsidRDefault="00721B47" w:rsidP="003A0DFE">
      <w:pPr>
        <w:spacing w:after="0" w:line="240" w:lineRule="auto"/>
        <w:jc w:val="both"/>
        <w:rPr>
          <w:rFonts w:ascii="Arial" w:hAnsi="Arial" w:cs="Arial"/>
          <w:sz w:val="20"/>
          <w:szCs w:val="20"/>
          <w:lang w:val="en-GB"/>
        </w:rPr>
      </w:pPr>
      <w:r w:rsidRPr="00721B47">
        <w:rPr>
          <w:rFonts w:ascii="Arial" w:hAnsi="Arial" w:cs="Arial"/>
          <w:sz w:val="20"/>
          <w:szCs w:val="20"/>
          <w:lang w:val="en-GB"/>
        </w:rPr>
        <w:t xml:space="preserve">The results of the analysis of water nutrient contents show that there is a distinct concentration gradient between the nitrogen and phosphorus nutrient contents of the overlying waters and the interstitial waters of the Fresco Lagoon. This concentration gradient is the origin of the nutrient diffusion fluxes at the water-sediment interface. In all stations, the ammonium diffusion flux is positive and its average value is approximately 0.036 ± 0.016 </w:t>
      </w:r>
      <w:r w:rsidR="00A82107">
        <w:rPr>
          <w:rFonts w:ascii="Arial" w:hAnsi="Arial" w:cs="Arial"/>
          <w:sz w:val="20"/>
          <w:szCs w:val="20"/>
          <w:lang w:val="en-GB"/>
        </w:rPr>
        <w:t>mg.m</w:t>
      </w:r>
      <w:r w:rsidR="00A82107">
        <w:rPr>
          <w:rFonts w:ascii="Arial" w:hAnsi="Arial" w:cs="Arial"/>
          <w:sz w:val="20"/>
          <w:szCs w:val="20"/>
          <w:vertAlign w:val="superscript"/>
          <w:lang w:val="en-GB"/>
        </w:rPr>
        <w:t>-2</w:t>
      </w:r>
      <w:r w:rsidR="00A82107">
        <w:rPr>
          <w:rFonts w:ascii="Arial" w:hAnsi="Arial" w:cs="Arial"/>
          <w:sz w:val="20"/>
          <w:szCs w:val="20"/>
          <w:lang w:val="en-GB"/>
        </w:rPr>
        <w:t>.d</w:t>
      </w:r>
      <w:r w:rsidR="00A82107">
        <w:rPr>
          <w:rFonts w:ascii="Arial" w:hAnsi="Arial" w:cs="Arial"/>
          <w:sz w:val="20"/>
          <w:szCs w:val="20"/>
          <w:vertAlign w:val="superscript"/>
          <w:lang w:val="en-GB"/>
        </w:rPr>
        <w:t>-1</w:t>
      </w:r>
      <w:r w:rsidRPr="00721B47">
        <w:rPr>
          <w:rFonts w:ascii="Arial" w:hAnsi="Arial" w:cs="Arial"/>
          <w:sz w:val="20"/>
          <w:szCs w:val="20"/>
          <w:lang w:val="en-GB"/>
        </w:rPr>
        <w:t>. This positive flux indicates that ammonium is transferred from the interstitial waters to the bottom waters. The sediments therefore become sources of contaminants for the water column given the ammonium concentration gradient and the relatively high temperatures at the water-sediment interface (29.55 ± 1.37°C on average). High temperatures are favorable to the decomposition of cyanobacteria, causing a decrease in dissolved oxygen levels. The sediments are then poor in dissolved oxygen, creating anoxic or anaerobic conditions. These anoxic environmental conditions promote the release of ammonium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-N</w:t>
      </w:r>
      <w:r w:rsidRPr="00721B47">
        <w:rPr>
          <w:rFonts w:ascii="Arial" w:hAnsi="Arial" w:cs="Arial"/>
          <w:sz w:val="20"/>
          <w:szCs w:val="20"/>
          <w:lang w:val="en-GB"/>
        </w:rPr>
        <w:t xml:space="preserve">) from the sediments. Miatta </w:t>
      </w:r>
      <w:r w:rsidR="00A82107">
        <w:rPr>
          <w:rFonts w:ascii="Arial" w:hAnsi="Arial" w:cs="Arial"/>
          <w:sz w:val="20"/>
          <w:szCs w:val="20"/>
          <w:lang w:val="en-GB"/>
        </w:rPr>
        <w:t>&amp;</w:t>
      </w:r>
      <w:r w:rsidRPr="00721B47">
        <w:rPr>
          <w:rFonts w:ascii="Arial" w:hAnsi="Arial" w:cs="Arial"/>
          <w:sz w:val="20"/>
          <w:szCs w:val="20"/>
          <w:lang w:val="en-GB"/>
        </w:rPr>
        <w:t xml:space="preserve"> Snelgrove (2021) found that an increase in temperature mainly led to the release of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 xml:space="preserve">-N </w:t>
      </w:r>
      <w:r w:rsidRPr="00721B47">
        <w:rPr>
          <w:rFonts w:ascii="Arial" w:hAnsi="Arial" w:cs="Arial"/>
          <w:sz w:val="20"/>
          <w:szCs w:val="20"/>
          <w:lang w:val="en-GB"/>
        </w:rPr>
        <w:t xml:space="preserve">from the sediments, because the rise in temperature could enhance the ammonification rate of organic matter in the sediments. In addition, high bottom water temperatures could increase the process of bioturbation, linked to the activity of benthic fauna through the creation of galleries in the sediments; which facilitates the release of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 xml:space="preserve">-N </w:t>
      </w:r>
      <w:r w:rsidRPr="00721B47">
        <w:rPr>
          <w:rFonts w:ascii="Arial" w:hAnsi="Arial" w:cs="Arial"/>
          <w:sz w:val="20"/>
          <w:szCs w:val="20"/>
          <w:lang w:val="en-GB"/>
        </w:rPr>
        <w:t>from the sediments to the bottom waters (Wen et al., 2024). The reducing nature of the waters could also explain the diffusion fluxes of ammonium from pore waters to the bottom waters. Indeed, the reduction of nitrate (</w:t>
      </w:r>
      <w:r w:rsidR="00A82107">
        <w:rPr>
          <w:rFonts w:ascii="Arial" w:hAnsi="Arial" w:cs="Arial"/>
          <w:sz w:val="20"/>
          <w:szCs w:val="20"/>
          <w:lang w:val="en-GB"/>
        </w:rPr>
        <w:t>NO</w:t>
      </w:r>
      <w:r w:rsidR="00A82107">
        <w:rPr>
          <w:rFonts w:ascii="Arial" w:hAnsi="Arial" w:cs="Arial"/>
          <w:sz w:val="20"/>
          <w:szCs w:val="20"/>
          <w:vertAlign w:val="subscript"/>
          <w:lang w:val="en-GB"/>
        </w:rPr>
        <w:t>3</w:t>
      </w:r>
      <w:r w:rsidR="00A82107">
        <w:rPr>
          <w:rFonts w:ascii="Arial" w:hAnsi="Arial" w:cs="Arial"/>
          <w:sz w:val="20"/>
          <w:szCs w:val="20"/>
          <w:vertAlign w:val="superscript"/>
          <w:lang w:val="en-GB"/>
        </w:rPr>
        <w:t>-</w:t>
      </w:r>
      <w:r w:rsidR="00A82107">
        <w:rPr>
          <w:rFonts w:ascii="Arial" w:hAnsi="Arial" w:cs="Arial"/>
          <w:sz w:val="20"/>
          <w:szCs w:val="20"/>
          <w:lang w:val="en-GB"/>
        </w:rPr>
        <w:t>-N</w:t>
      </w:r>
      <w:r w:rsidRPr="00721B47">
        <w:rPr>
          <w:rFonts w:ascii="Arial" w:hAnsi="Arial" w:cs="Arial"/>
          <w:sz w:val="20"/>
          <w:szCs w:val="20"/>
          <w:lang w:val="en-GB"/>
        </w:rPr>
        <w:t>) to ammonium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-N</w:t>
      </w:r>
      <w:r w:rsidRPr="00721B47">
        <w:rPr>
          <w:rFonts w:ascii="Arial" w:hAnsi="Arial" w:cs="Arial"/>
          <w:sz w:val="20"/>
          <w:szCs w:val="20"/>
          <w:lang w:val="en-GB"/>
        </w:rPr>
        <w:t xml:space="preserve">) is either the result of denitrification or the result of dissimilatory </w:t>
      </w:r>
      <w:r w:rsidR="00A82107">
        <w:rPr>
          <w:rFonts w:ascii="Arial" w:hAnsi="Arial" w:cs="Arial"/>
          <w:sz w:val="20"/>
          <w:szCs w:val="20"/>
          <w:lang w:val="en-GB"/>
        </w:rPr>
        <w:t>NO</w:t>
      </w:r>
      <w:r w:rsidR="00A82107">
        <w:rPr>
          <w:rFonts w:ascii="Arial" w:hAnsi="Arial" w:cs="Arial"/>
          <w:sz w:val="20"/>
          <w:szCs w:val="20"/>
          <w:vertAlign w:val="subscript"/>
          <w:lang w:val="en-GB"/>
        </w:rPr>
        <w:t>3</w:t>
      </w:r>
      <w:r w:rsidR="00A82107">
        <w:rPr>
          <w:rFonts w:ascii="Arial" w:hAnsi="Arial" w:cs="Arial"/>
          <w:sz w:val="20"/>
          <w:szCs w:val="20"/>
          <w:vertAlign w:val="superscript"/>
          <w:lang w:val="en-GB"/>
        </w:rPr>
        <w:t>-</w:t>
      </w:r>
      <w:r w:rsidR="00A82107">
        <w:rPr>
          <w:rFonts w:ascii="Arial" w:hAnsi="Arial" w:cs="Arial"/>
          <w:sz w:val="20"/>
          <w:szCs w:val="20"/>
          <w:lang w:val="en-GB"/>
        </w:rPr>
        <w:t xml:space="preserve">-N </w:t>
      </w:r>
      <w:r w:rsidRPr="00721B47">
        <w:rPr>
          <w:rFonts w:ascii="Arial" w:hAnsi="Arial" w:cs="Arial"/>
          <w:sz w:val="20"/>
          <w:szCs w:val="20"/>
          <w:lang w:val="en-GB"/>
        </w:rPr>
        <w:t xml:space="preserve">reduction that releases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-N</w:t>
      </w:r>
      <w:r w:rsidRPr="00721B47">
        <w:rPr>
          <w:rFonts w:ascii="Arial" w:hAnsi="Arial" w:cs="Arial"/>
          <w:sz w:val="20"/>
          <w:szCs w:val="20"/>
          <w:lang w:val="en-GB"/>
        </w:rPr>
        <w:t xml:space="preserve"> into the sediment pore water; the latter diffuses rapidly along the concentration gradient to the overlying water (Sommer et al., 2017). High salinity is also an important factor influencing the transfer of ammonium from pore water to bottom water. Some works have reported that the percentage of </w:t>
      </w:r>
      <w:r w:rsidR="00A82107">
        <w:rPr>
          <w:rFonts w:ascii="Arial" w:hAnsi="Arial" w:cs="Arial"/>
          <w:sz w:val="20"/>
          <w:szCs w:val="20"/>
          <w:lang w:val="en-GB"/>
        </w:rPr>
        <w:t>NH</w:t>
      </w:r>
      <w:r w:rsidR="00A82107">
        <w:rPr>
          <w:rFonts w:ascii="Arial" w:hAnsi="Arial" w:cs="Arial"/>
          <w:sz w:val="20"/>
          <w:szCs w:val="20"/>
          <w:vertAlign w:val="subscript"/>
          <w:lang w:val="en-GB"/>
        </w:rPr>
        <w:t>4</w:t>
      </w:r>
      <w:r w:rsidR="00A82107">
        <w:rPr>
          <w:rFonts w:ascii="Arial" w:hAnsi="Arial" w:cs="Arial"/>
          <w:sz w:val="20"/>
          <w:szCs w:val="20"/>
          <w:vertAlign w:val="superscript"/>
          <w:lang w:val="en-GB"/>
        </w:rPr>
        <w:t>+</w:t>
      </w:r>
      <w:r w:rsidR="00A82107">
        <w:rPr>
          <w:rFonts w:ascii="Arial" w:hAnsi="Arial" w:cs="Arial"/>
          <w:sz w:val="20"/>
          <w:szCs w:val="20"/>
          <w:lang w:val="en-GB"/>
        </w:rPr>
        <w:t xml:space="preserve">-N </w:t>
      </w:r>
      <w:r w:rsidRPr="00721B47">
        <w:rPr>
          <w:rFonts w:ascii="Arial" w:hAnsi="Arial" w:cs="Arial"/>
          <w:sz w:val="20"/>
          <w:szCs w:val="20"/>
          <w:lang w:val="en-GB"/>
        </w:rPr>
        <w:t xml:space="preserve">released into the water column is higher compared to the nitrified-denitrified amount in saline environments (Hall et al., 2017; Miatta </w:t>
      </w:r>
      <w:r w:rsidR="00A82107">
        <w:rPr>
          <w:rFonts w:ascii="Arial" w:hAnsi="Arial" w:cs="Arial"/>
          <w:sz w:val="20"/>
          <w:szCs w:val="20"/>
          <w:lang w:val="en-GB"/>
        </w:rPr>
        <w:t>&amp;</w:t>
      </w:r>
      <w:r w:rsidRPr="00721B47">
        <w:rPr>
          <w:rFonts w:ascii="Arial" w:hAnsi="Arial" w:cs="Arial"/>
          <w:sz w:val="20"/>
          <w:szCs w:val="20"/>
          <w:lang w:val="en-GB"/>
        </w:rPr>
        <w:t xml:space="preserve"> Snelgrove, 2021). The results obtained are in agreement with those of the work of Wen et al (2019) in the Yuqiao reservoir in China and those of Li et al (2023) in the </w:t>
      </w:r>
      <w:proofErr w:type="spellStart"/>
      <w:r w:rsidRPr="00721B47">
        <w:rPr>
          <w:rFonts w:ascii="Arial" w:hAnsi="Arial" w:cs="Arial"/>
          <w:sz w:val="20"/>
          <w:szCs w:val="20"/>
          <w:lang w:val="en-GB"/>
        </w:rPr>
        <w:t>Biliuhe</w:t>
      </w:r>
      <w:proofErr w:type="spellEnd"/>
      <w:r w:rsidRPr="00721B47">
        <w:rPr>
          <w:rFonts w:ascii="Arial" w:hAnsi="Arial" w:cs="Arial"/>
          <w:sz w:val="20"/>
          <w:szCs w:val="20"/>
          <w:lang w:val="en-GB"/>
        </w:rPr>
        <w:t xml:space="preserve"> reservoir in China.</w:t>
      </w:r>
    </w:p>
    <w:p w14:paraId="0E8BB64C" w14:textId="77777777" w:rsidR="00A62F85" w:rsidRDefault="00A62F85" w:rsidP="003A0DFE">
      <w:pPr>
        <w:spacing w:after="0" w:line="240" w:lineRule="auto"/>
        <w:jc w:val="both"/>
        <w:rPr>
          <w:rFonts w:ascii="Arial" w:hAnsi="Arial" w:cs="Arial"/>
          <w:sz w:val="20"/>
          <w:szCs w:val="20"/>
          <w:lang w:val="en-GB"/>
        </w:rPr>
      </w:pPr>
    </w:p>
    <w:p w14:paraId="20DD47D2" w14:textId="77777777" w:rsidR="00A62F85" w:rsidRDefault="00A62F85" w:rsidP="003A0DFE">
      <w:pPr>
        <w:spacing w:after="0" w:line="240" w:lineRule="auto"/>
        <w:jc w:val="both"/>
        <w:rPr>
          <w:rFonts w:ascii="Arial" w:hAnsi="Arial" w:cs="Arial"/>
          <w:sz w:val="20"/>
          <w:szCs w:val="20"/>
          <w:lang w:val="en-GB"/>
        </w:rPr>
      </w:pPr>
      <w:r w:rsidRPr="00A62F85">
        <w:rPr>
          <w:rFonts w:ascii="Arial" w:hAnsi="Arial" w:cs="Arial"/>
          <w:sz w:val="20"/>
          <w:szCs w:val="20"/>
          <w:lang w:val="en-GB"/>
        </w:rPr>
        <w:t>The diffusion flux of nitrite (</w:t>
      </w:r>
      <w:r w:rsidR="00A82107">
        <w:rPr>
          <w:rFonts w:ascii="Arial" w:hAnsi="Arial" w:cs="Arial"/>
          <w:sz w:val="20"/>
          <w:szCs w:val="20"/>
          <w:lang w:val="en-GB"/>
        </w:rPr>
        <w:t>NO</w:t>
      </w:r>
      <w:r w:rsidR="00A82107">
        <w:rPr>
          <w:rFonts w:ascii="Arial" w:hAnsi="Arial" w:cs="Arial"/>
          <w:sz w:val="20"/>
          <w:szCs w:val="20"/>
          <w:vertAlign w:val="subscript"/>
          <w:lang w:val="en-GB"/>
        </w:rPr>
        <w:t>2</w:t>
      </w:r>
      <w:r w:rsidR="00A82107">
        <w:rPr>
          <w:rFonts w:ascii="Arial" w:hAnsi="Arial" w:cs="Arial"/>
          <w:sz w:val="20"/>
          <w:szCs w:val="20"/>
          <w:vertAlign w:val="superscript"/>
          <w:lang w:val="en-GB"/>
        </w:rPr>
        <w:t>-</w:t>
      </w:r>
      <w:r w:rsidR="00A82107">
        <w:rPr>
          <w:rFonts w:ascii="Arial" w:hAnsi="Arial" w:cs="Arial"/>
          <w:sz w:val="20"/>
          <w:szCs w:val="20"/>
          <w:lang w:val="en-GB"/>
        </w:rPr>
        <w:t>-N</w:t>
      </w:r>
      <w:r w:rsidRPr="00A62F85">
        <w:rPr>
          <w:rFonts w:ascii="Arial" w:hAnsi="Arial" w:cs="Arial"/>
          <w:sz w:val="20"/>
          <w:szCs w:val="20"/>
          <w:lang w:val="en-GB"/>
        </w:rPr>
        <w:t xml:space="preserve">) at the sediment-water interface is very low in all stations (0.002 ± 0.001 </w:t>
      </w:r>
      <w:r w:rsidR="00A82107">
        <w:rPr>
          <w:rFonts w:ascii="Arial" w:hAnsi="Arial" w:cs="Arial"/>
          <w:sz w:val="20"/>
          <w:szCs w:val="20"/>
          <w:lang w:val="en-GB"/>
        </w:rPr>
        <w:t>mg.m</w:t>
      </w:r>
      <w:r w:rsidR="00A82107">
        <w:rPr>
          <w:rFonts w:ascii="Arial" w:hAnsi="Arial" w:cs="Arial"/>
          <w:sz w:val="20"/>
          <w:szCs w:val="20"/>
          <w:vertAlign w:val="superscript"/>
          <w:lang w:val="en-GB"/>
        </w:rPr>
        <w:t>-2</w:t>
      </w:r>
      <w:r w:rsidR="00A82107">
        <w:rPr>
          <w:rFonts w:ascii="Arial" w:hAnsi="Arial" w:cs="Arial"/>
          <w:sz w:val="20"/>
          <w:szCs w:val="20"/>
          <w:lang w:val="en-GB"/>
        </w:rPr>
        <w:t>.d</w:t>
      </w:r>
      <w:r w:rsidR="00A82107">
        <w:rPr>
          <w:rFonts w:ascii="Arial" w:hAnsi="Arial" w:cs="Arial"/>
          <w:sz w:val="20"/>
          <w:szCs w:val="20"/>
          <w:vertAlign w:val="superscript"/>
          <w:lang w:val="en-GB"/>
        </w:rPr>
        <w:t>-1</w:t>
      </w:r>
      <w:r w:rsidRPr="00A62F85">
        <w:rPr>
          <w:rFonts w:ascii="Arial" w:hAnsi="Arial" w:cs="Arial"/>
          <w:sz w:val="20"/>
          <w:szCs w:val="20"/>
          <w:lang w:val="en-GB"/>
        </w:rPr>
        <w:t xml:space="preserve"> on average). This flux represents a relatively small fraction of that of dissolved inorganic nitrogen. The generally low flux of nitrite reflects its role as an intermediate product of nitrogen transformation during nitrification and denitrification processes. Ammonium and nitrate are therefore the main forms of dissolved inorganic nitrogen exchanged at the water-sediment interface. The trend observed in this study highlights the importance of nitrification, which causes the absorption of ammonium from the water column to meet bacterial demand, on the one hand, and of denitrification, which results in the consumption of nitrite, nitrate, and associated fluxes at the water-sediment interface, on the other hand.</w:t>
      </w:r>
    </w:p>
    <w:p w14:paraId="6418FE55" w14:textId="77777777" w:rsidR="00A82107" w:rsidRDefault="00A82107" w:rsidP="003A0DFE">
      <w:pPr>
        <w:spacing w:after="0" w:line="240" w:lineRule="auto"/>
        <w:jc w:val="both"/>
        <w:rPr>
          <w:rFonts w:ascii="Arial" w:hAnsi="Arial" w:cs="Arial"/>
          <w:sz w:val="20"/>
          <w:szCs w:val="20"/>
          <w:lang w:val="en-GB"/>
        </w:rPr>
      </w:pPr>
    </w:p>
    <w:p w14:paraId="2DE1E1D1" w14:textId="77777777" w:rsidR="00A62F85" w:rsidRDefault="00164BBB" w:rsidP="003A0DFE">
      <w:pPr>
        <w:spacing w:after="0" w:line="240" w:lineRule="auto"/>
        <w:jc w:val="both"/>
        <w:rPr>
          <w:rFonts w:ascii="Arial" w:hAnsi="Arial" w:cs="Arial"/>
          <w:sz w:val="20"/>
          <w:szCs w:val="20"/>
          <w:lang w:val="en-GB"/>
        </w:rPr>
      </w:pPr>
      <w:r w:rsidRPr="00164BBB">
        <w:rPr>
          <w:rFonts w:ascii="Arial" w:hAnsi="Arial" w:cs="Arial"/>
          <w:sz w:val="20"/>
          <w:szCs w:val="20"/>
          <w:lang w:val="en-GB"/>
        </w:rPr>
        <w:t>The mean diffusion flux of nitrate (</w:t>
      </w:r>
      <w:r w:rsidR="00A82107">
        <w:rPr>
          <w:rFonts w:ascii="Arial" w:hAnsi="Arial" w:cs="Arial"/>
          <w:sz w:val="20"/>
          <w:szCs w:val="20"/>
          <w:lang w:val="en-GB"/>
        </w:rPr>
        <w:t>NO</w:t>
      </w:r>
      <w:r w:rsidR="00A82107">
        <w:rPr>
          <w:rFonts w:ascii="Arial" w:hAnsi="Arial" w:cs="Arial"/>
          <w:sz w:val="20"/>
          <w:szCs w:val="20"/>
          <w:vertAlign w:val="subscript"/>
          <w:lang w:val="en-GB"/>
        </w:rPr>
        <w:t>3</w:t>
      </w:r>
      <w:r w:rsidR="00A82107">
        <w:rPr>
          <w:rFonts w:ascii="Arial" w:hAnsi="Arial" w:cs="Arial"/>
          <w:sz w:val="20"/>
          <w:szCs w:val="20"/>
          <w:vertAlign w:val="superscript"/>
          <w:lang w:val="en-GB"/>
        </w:rPr>
        <w:t>-</w:t>
      </w:r>
      <w:r w:rsidR="00A82107">
        <w:rPr>
          <w:rFonts w:ascii="Arial" w:hAnsi="Arial" w:cs="Arial"/>
          <w:sz w:val="20"/>
          <w:szCs w:val="20"/>
          <w:lang w:val="en-GB"/>
        </w:rPr>
        <w:t>-N</w:t>
      </w:r>
      <w:r w:rsidRPr="00164BBB">
        <w:rPr>
          <w:rFonts w:ascii="Arial" w:hAnsi="Arial" w:cs="Arial"/>
          <w:sz w:val="20"/>
          <w:szCs w:val="20"/>
          <w:lang w:val="en-GB"/>
        </w:rPr>
        <w:t xml:space="preserve">), which is negative (-0.11±0.43 </w:t>
      </w:r>
      <w:r w:rsidR="00A82107">
        <w:rPr>
          <w:rFonts w:ascii="Arial" w:hAnsi="Arial" w:cs="Arial"/>
          <w:sz w:val="20"/>
          <w:szCs w:val="20"/>
          <w:lang w:val="en-GB"/>
        </w:rPr>
        <w:t>mg.m</w:t>
      </w:r>
      <w:r w:rsidR="00A82107">
        <w:rPr>
          <w:rFonts w:ascii="Arial" w:hAnsi="Arial" w:cs="Arial"/>
          <w:sz w:val="20"/>
          <w:szCs w:val="20"/>
          <w:vertAlign w:val="superscript"/>
          <w:lang w:val="en-GB"/>
        </w:rPr>
        <w:t>-2</w:t>
      </w:r>
      <w:r w:rsidR="00A82107">
        <w:rPr>
          <w:rFonts w:ascii="Arial" w:hAnsi="Arial" w:cs="Arial"/>
          <w:sz w:val="20"/>
          <w:szCs w:val="20"/>
          <w:lang w:val="en-GB"/>
        </w:rPr>
        <w:t>.d</w:t>
      </w:r>
      <w:r w:rsidR="00A82107">
        <w:rPr>
          <w:rFonts w:ascii="Arial" w:hAnsi="Arial" w:cs="Arial"/>
          <w:sz w:val="20"/>
          <w:szCs w:val="20"/>
          <w:vertAlign w:val="superscript"/>
          <w:lang w:val="en-GB"/>
        </w:rPr>
        <w:t>-1</w:t>
      </w:r>
      <w:r w:rsidRPr="00164BBB">
        <w:rPr>
          <w:rFonts w:ascii="Arial" w:hAnsi="Arial" w:cs="Arial"/>
          <w:sz w:val="20"/>
          <w:szCs w:val="20"/>
          <w:lang w:val="en-GB"/>
        </w:rPr>
        <w:t xml:space="preserve">), indicates that nitrate is transferred from the overlying waters to the pore waters where sediments act as nutrient sinks. This suggests that nitrate present in the surface sediments is in a state of adsorption. Sediments appear to play an important role in the process of nitrate removal from the water column. The diffusion flux of nitrate from the overlying waters to the sediments is an important source of denitrification, especially in streams with high nitrate concentrations (Miatta </w:t>
      </w:r>
      <w:r w:rsidR="00A82107">
        <w:rPr>
          <w:rFonts w:ascii="Arial" w:hAnsi="Arial" w:cs="Arial"/>
          <w:sz w:val="20"/>
          <w:szCs w:val="20"/>
          <w:lang w:val="en-GB"/>
        </w:rPr>
        <w:t>&amp;</w:t>
      </w:r>
      <w:r w:rsidRPr="00164BBB">
        <w:rPr>
          <w:rFonts w:ascii="Arial" w:hAnsi="Arial" w:cs="Arial"/>
          <w:sz w:val="20"/>
          <w:szCs w:val="20"/>
          <w:lang w:val="en-GB"/>
        </w:rPr>
        <w:t xml:space="preserve"> Snelgrove 2021). According to Yang et al. (2020), nitrate diffusion in sediments is a factor controlling the denitrification rate. Nitrate transfer in sediments </w:t>
      </w:r>
      <w:r w:rsidRPr="00164BBB">
        <w:rPr>
          <w:rFonts w:ascii="Arial" w:hAnsi="Arial" w:cs="Arial"/>
          <w:sz w:val="20"/>
          <w:szCs w:val="20"/>
          <w:lang w:val="en-GB"/>
        </w:rPr>
        <w:lastRenderedPageBreak/>
        <w:t>indicates that denitrification actively occurs in surface sediments due to the concentration gradient and reducing nature of waters at the interface. In the nitrogen cycle, the transport and transition of nitrogen at the water-sediment interface are complex (Wang et al., 2020; Danyang et al., 20</w:t>
      </w:r>
      <w:r w:rsidR="003B2F21">
        <w:rPr>
          <w:rFonts w:ascii="Arial" w:hAnsi="Arial" w:cs="Arial"/>
          <w:sz w:val="20"/>
          <w:szCs w:val="20"/>
          <w:lang w:val="en-GB"/>
        </w:rPr>
        <w:t>21). According to Sommer et al. (2017); Li et al.</w:t>
      </w:r>
      <w:r w:rsidRPr="00164BBB">
        <w:rPr>
          <w:rFonts w:ascii="Arial" w:hAnsi="Arial" w:cs="Arial"/>
          <w:sz w:val="20"/>
          <w:szCs w:val="20"/>
          <w:lang w:val="en-GB"/>
        </w:rPr>
        <w:t xml:space="preserve"> (2023), temperature, porosity, concentration gradient, dissolved oxygen, bioturbation, nitrification, denitrification, and ammonification are factors collectively influencing the reactions at the water-sediment interface. Under </w:t>
      </w:r>
      <w:proofErr w:type="spellStart"/>
      <w:r w:rsidRPr="00164BBB">
        <w:rPr>
          <w:rFonts w:ascii="Arial" w:hAnsi="Arial" w:cs="Arial"/>
          <w:sz w:val="20"/>
          <w:szCs w:val="20"/>
          <w:lang w:val="en-GB"/>
        </w:rPr>
        <w:t>oxic</w:t>
      </w:r>
      <w:proofErr w:type="spellEnd"/>
      <w:r w:rsidRPr="00164BBB">
        <w:rPr>
          <w:rFonts w:ascii="Arial" w:hAnsi="Arial" w:cs="Arial"/>
          <w:sz w:val="20"/>
          <w:szCs w:val="20"/>
          <w:lang w:val="en-GB"/>
        </w:rPr>
        <w:t xml:space="preserve"> conditions, nitrification can easily occur, and </w:t>
      </w:r>
      <w:r w:rsidR="003B2F21">
        <w:rPr>
          <w:rFonts w:ascii="Arial" w:hAnsi="Arial" w:cs="Arial"/>
          <w:sz w:val="20"/>
          <w:szCs w:val="20"/>
          <w:lang w:val="en-GB"/>
        </w:rPr>
        <w:t>NO</w:t>
      </w:r>
      <w:r w:rsidR="003B2F21">
        <w:rPr>
          <w:rFonts w:ascii="Arial" w:hAnsi="Arial" w:cs="Arial"/>
          <w:sz w:val="20"/>
          <w:szCs w:val="20"/>
          <w:vertAlign w:val="subscript"/>
          <w:lang w:val="en-GB"/>
        </w:rPr>
        <w:t>3</w:t>
      </w:r>
      <w:r w:rsidR="003B2F21">
        <w:rPr>
          <w:rFonts w:ascii="Arial" w:hAnsi="Arial" w:cs="Arial"/>
          <w:sz w:val="20"/>
          <w:szCs w:val="20"/>
          <w:vertAlign w:val="superscript"/>
          <w:lang w:val="en-GB"/>
        </w:rPr>
        <w:t>-</w:t>
      </w:r>
      <w:r w:rsidR="003B2F21">
        <w:rPr>
          <w:rFonts w:ascii="Arial" w:hAnsi="Arial" w:cs="Arial"/>
          <w:sz w:val="20"/>
          <w:szCs w:val="20"/>
          <w:lang w:val="en-GB"/>
        </w:rPr>
        <w:t>-N</w:t>
      </w:r>
      <w:r w:rsidRPr="00164BBB">
        <w:rPr>
          <w:rFonts w:ascii="Arial" w:hAnsi="Arial" w:cs="Arial"/>
          <w:sz w:val="20"/>
          <w:szCs w:val="20"/>
          <w:lang w:val="en-GB"/>
        </w:rPr>
        <w:t xml:space="preserve"> concentrations in the sediment can increase; this results in the diffusion of </w:t>
      </w:r>
      <w:r w:rsidR="003B2F21">
        <w:rPr>
          <w:rFonts w:ascii="Arial" w:hAnsi="Arial" w:cs="Arial"/>
          <w:sz w:val="20"/>
          <w:szCs w:val="20"/>
          <w:lang w:val="en-GB"/>
        </w:rPr>
        <w:t>NO</w:t>
      </w:r>
      <w:r w:rsidR="003B2F21">
        <w:rPr>
          <w:rFonts w:ascii="Arial" w:hAnsi="Arial" w:cs="Arial"/>
          <w:sz w:val="20"/>
          <w:szCs w:val="20"/>
          <w:vertAlign w:val="subscript"/>
          <w:lang w:val="en-GB"/>
        </w:rPr>
        <w:t>3</w:t>
      </w:r>
      <w:r w:rsidR="003B2F21">
        <w:rPr>
          <w:rFonts w:ascii="Arial" w:hAnsi="Arial" w:cs="Arial"/>
          <w:sz w:val="20"/>
          <w:szCs w:val="20"/>
          <w:vertAlign w:val="superscript"/>
          <w:lang w:val="en-GB"/>
        </w:rPr>
        <w:t>-</w:t>
      </w:r>
      <w:r w:rsidR="003B2F21">
        <w:rPr>
          <w:rFonts w:ascii="Arial" w:hAnsi="Arial" w:cs="Arial"/>
          <w:sz w:val="20"/>
          <w:szCs w:val="20"/>
          <w:lang w:val="en-GB"/>
        </w:rPr>
        <w:t>-N</w:t>
      </w:r>
      <w:r w:rsidRPr="00164BBB">
        <w:rPr>
          <w:rFonts w:ascii="Arial" w:hAnsi="Arial" w:cs="Arial"/>
          <w:sz w:val="20"/>
          <w:szCs w:val="20"/>
          <w:lang w:val="en-GB"/>
        </w:rPr>
        <w:t xml:space="preserve"> from the sediment to the overlying water. However, nitrification is limited and denitrification occurs under reducing conditions, so that </w:t>
      </w:r>
      <w:r w:rsidR="003B2F21">
        <w:rPr>
          <w:rFonts w:ascii="Arial" w:hAnsi="Arial" w:cs="Arial"/>
          <w:sz w:val="20"/>
          <w:szCs w:val="20"/>
          <w:lang w:val="en-GB"/>
        </w:rPr>
        <w:t>NO</w:t>
      </w:r>
      <w:r w:rsidR="003B2F21">
        <w:rPr>
          <w:rFonts w:ascii="Arial" w:hAnsi="Arial" w:cs="Arial"/>
          <w:sz w:val="20"/>
          <w:szCs w:val="20"/>
          <w:vertAlign w:val="subscript"/>
          <w:lang w:val="en-GB"/>
        </w:rPr>
        <w:t>3</w:t>
      </w:r>
      <w:r w:rsidR="003B2F21">
        <w:rPr>
          <w:rFonts w:ascii="Arial" w:hAnsi="Arial" w:cs="Arial"/>
          <w:sz w:val="20"/>
          <w:szCs w:val="20"/>
          <w:vertAlign w:val="superscript"/>
          <w:lang w:val="en-GB"/>
        </w:rPr>
        <w:t>-</w:t>
      </w:r>
      <w:r w:rsidR="003B2F21">
        <w:rPr>
          <w:rFonts w:ascii="Arial" w:hAnsi="Arial" w:cs="Arial"/>
          <w:sz w:val="20"/>
          <w:szCs w:val="20"/>
          <w:lang w:val="en-GB"/>
        </w:rPr>
        <w:t>-N</w:t>
      </w:r>
      <w:r w:rsidRPr="00164BBB">
        <w:rPr>
          <w:rFonts w:ascii="Arial" w:hAnsi="Arial" w:cs="Arial"/>
          <w:sz w:val="20"/>
          <w:szCs w:val="20"/>
          <w:lang w:val="en-GB"/>
        </w:rPr>
        <w:t xml:space="preserve"> is reduced and </w:t>
      </w:r>
      <w:r w:rsidR="003B2F21">
        <w:rPr>
          <w:rFonts w:ascii="Arial" w:hAnsi="Arial" w:cs="Arial"/>
          <w:sz w:val="20"/>
          <w:szCs w:val="20"/>
          <w:lang w:val="en-GB"/>
        </w:rPr>
        <w:t>NO</w:t>
      </w:r>
      <w:r w:rsidR="003B2F21">
        <w:rPr>
          <w:rFonts w:ascii="Arial" w:hAnsi="Arial" w:cs="Arial"/>
          <w:sz w:val="20"/>
          <w:szCs w:val="20"/>
          <w:vertAlign w:val="subscript"/>
          <w:lang w:val="en-GB"/>
        </w:rPr>
        <w:t>2</w:t>
      </w:r>
      <w:r w:rsidR="003B2F21">
        <w:rPr>
          <w:rFonts w:ascii="Arial" w:hAnsi="Arial" w:cs="Arial"/>
          <w:sz w:val="20"/>
          <w:szCs w:val="20"/>
          <w:vertAlign w:val="superscript"/>
          <w:lang w:val="en-GB"/>
        </w:rPr>
        <w:t>-</w:t>
      </w:r>
      <w:r w:rsidR="003B2F21">
        <w:rPr>
          <w:rFonts w:ascii="Arial" w:hAnsi="Arial" w:cs="Arial"/>
          <w:sz w:val="20"/>
          <w:szCs w:val="20"/>
          <w:lang w:val="en-GB"/>
        </w:rPr>
        <w:t>-N</w:t>
      </w:r>
      <w:r w:rsidRPr="00164BBB">
        <w:rPr>
          <w:rFonts w:ascii="Arial" w:hAnsi="Arial" w:cs="Arial"/>
          <w:sz w:val="20"/>
          <w:szCs w:val="20"/>
          <w:lang w:val="en-GB"/>
        </w:rPr>
        <w:t xml:space="preserve"> and N</w:t>
      </w:r>
      <w:r w:rsidRPr="003B2F21">
        <w:rPr>
          <w:rFonts w:ascii="Arial" w:hAnsi="Arial" w:cs="Arial"/>
          <w:sz w:val="20"/>
          <w:szCs w:val="20"/>
          <w:vertAlign w:val="subscript"/>
          <w:lang w:val="en-GB"/>
        </w:rPr>
        <w:t>2</w:t>
      </w:r>
      <w:r w:rsidRPr="00164BBB">
        <w:rPr>
          <w:rFonts w:ascii="Arial" w:hAnsi="Arial" w:cs="Arial"/>
          <w:sz w:val="20"/>
          <w:szCs w:val="20"/>
          <w:lang w:val="en-GB"/>
        </w:rPr>
        <w:t xml:space="preserve"> are generated (Sun et al., 2021). The results obtained are consistent with those of the work of Sun et al., (2021) in </w:t>
      </w:r>
      <w:proofErr w:type="spellStart"/>
      <w:r w:rsidRPr="00164BBB">
        <w:rPr>
          <w:rFonts w:ascii="Arial" w:hAnsi="Arial" w:cs="Arial"/>
          <w:sz w:val="20"/>
          <w:szCs w:val="20"/>
          <w:lang w:val="en-GB"/>
        </w:rPr>
        <w:t>Hongfeng</w:t>
      </w:r>
      <w:proofErr w:type="spellEnd"/>
      <w:r w:rsidRPr="00164BBB">
        <w:rPr>
          <w:rFonts w:ascii="Arial" w:hAnsi="Arial" w:cs="Arial"/>
          <w:sz w:val="20"/>
          <w:szCs w:val="20"/>
          <w:lang w:val="en-GB"/>
        </w:rPr>
        <w:t xml:space="preserve"> Lake in China.</w:t>
      </w:r>
    </w:p>
    <w:p w14:paraId="4DA0C7B9" w14:textId="77777777" w:rsidR="00AD2D46" w:rsidRDefault="00AD2D46" w:rsidP="003A0DFE">
      <w:pPr>
        <w:spacing w:after="0" w:line="240" w:lineRule="auto"/>
        <w:jc w:val="both"/>
        <w:rPr>
          <w:rFonts w:ascii="Arial" w:hAnsi="Arial" w:cs="Arial"/>
          <w:sz w:val="20"/>
          <w:szCs w:val="20"/>
          <w:lang w:val="en-GB"/>
        </w:rPr>
      </w:pPr>
    </w:p>
    <w:p w14:paraId="2C1AD1E9" w14:textId="77777777" w:rsidR="003242D0" w:rsidRDefault="003242D0" w:rsidP="003A0DFE">
      <w:pPr>
        <w:spacing w:after="0" w:line="240" w:lineRule="auto"/>
        <w:jc w:val="both"/>
        <w:rPr>
          <w:rFonts w:ascii="Arial" w:hAnsi="Arial" w:cs="Arial"/>
          <w:sz w:val="20"/>
          <w:szCs w:val="20"/>
          <w:lang w:val="en-GB"/>
        </w:rPr>
      </w:pPr>
      <w:r w:rsidRPr="003242D0">
        <w:rPr>
          <w:rFonts w:ascii="Arial" w:hAnsi="Arial" w:cs="Arial"/>
          <w:sz w:val="20"/>
          <w:szCs w:val="20"/>
          <w:lang w:val="en-GB"/>
        </w:rPr>
        <w:t>The results of this study reveal that phosphate (</w:t>
      </w:r>
      <w:r w:rsidR="00AD2D46">
        <w:rPr>
          <w:rFonts w:ascii="Arial" w:hAnsi="Arial" w:cs="Arial"/>
          <w:sz w:val="20"/>
          <w:szCs w:val="20"/>
          <w:lang w:val="en-GB"/>
        </w:rPr>
        <w:t>PO</w:t>
      </w:r>
      <w:r w:rsidR="00AD2D46">
        <w:rPr>
          <w:rFonts w:ascii="Arial" w:hAnsi="Arial" w:cs="Arial"/>
          <w:sz w:val="20"/>
          <w:szCs w:val="20"/>
          <w:vertAlign w:val="subscript"/>
          <w:lang w:val="en-GB"/>
        </w:rPr>
        <w:t>4</w:t>
      </w:r>
      <w:r w:rsidR="00AD2D46">
        <w:rPr>
          <w:rFonts w:ascii="Arial" w:hAnsi="Arial" w:cs="Arial"/>
          <w:sz w:val="20"/>
          <w:szCs w:val="20"/>
          <w:vertAlign w:val="superscript"/>
          <w:lang w:val="en-GB"/>
        </w:rPr>
        <w:t>3-</w:t>
      </w:r>
      <w:r w:rsidR="00AD2D46">
        <w:rPr>
          <w:rFonts w:ascii="Arial" w:hAnsi="Arial" w:cs="Arial"/>
          <w:sz w:val="20"/>
          <w:szCs w:val="20"/>
          <w:lang w:val="en-GB"/>
        </w:rPr>
        <w:t>-P</w:t>
      </w:r>
      <w:r w:rsidRPr="003242D0">
        <w:rPr>
          <w:rFonts w:ascii="Arial" w:hAnsi="Arial" w:cs="Arial"/>
          <w:sz w:val="20"/>
          <w:szCs w:val="20"/>
          <w:lang w:val="en-GB"/>
        </w:rPr>
        <w:t xml:space="preserve">) is released from pore waters to bottom waters at all stations and its average release flux is about 0.05 ± 0.01 </w:t>
      </w:r>
      <w:r w:rsidR="00AD2D46">
        <w:rPr>
          <w:rFonts w:ascii="Arial" w:hAnsi="Arial" w:cs="Arial"/>
          <w:sz w:val="20"/>
          <w:szCs w:val="20"/>
          <w:lang w:val="en-GB"/>
        </w:rPr>
        <w:t>mg.m</w:t>
      </w:r>
      <w:r w:rsidR="00AD2D46">
        <w:rPr>
          <w:rFonts w:ascii="Arial" w:hAnsi="Arial" w:cs="Arial"/>
          <w:sz w:val="20"/>
          <w:szCs w:val="20"/>
          <w:vertAlign w:val="superscript"/>
          <w:lang w:val="en-GB"/>
        </w:rPr>
        <w:t>-2</w:t>
      </w:r>
      <w:r w:rsidR="00AD2D46">
        <w:rPr>
          <w:rFonts w:ascii="Arial" w:hAnsi="Arial" w:cs="Arial"/>
          <w:sz w:val="20"/>
          <w:szCs w:val="20"/>
          <w:lang w:val="en-GB"/>
        </w:rPr>
        <w:t>.d</w:t>
      </w:r>
      <w:r w:rsidR="00AD2D46">
        <w:rPr>
          <w:rFonts w:ascii="Arial" w:hAnsi="Arial" w:cs="Arial"/>
          <w:sz w:val="20"/>
          <w:szCs w:val="20"/>
          <w:vertAlign w:val="superscript"/>
          <w:lang w:val="en-GB"/>
        </w:rPr>
        <w:t>-1</w:t>
      </w:r>
      <w:r w:rsidRPr="003242D0">
        <w:rPr>
          <w:rFonts w:ascii="Arial" w:hAnsi="Arial" w:cs="Arial"/>
          <w:sz w:val="20"/>
          <w:szCs w:val="20"/>
          <w:lang w:val="en-GB"/>
        </w:rPr>
        <w:t xml:space="preserve">. Thus, sediments would have become sources of contaminants for the water column due to high temperatures at the water-sediment interface and relatively low dissolved oxygen contents. This observation could explain the strong correlation (r = 0.64) observed between temperature and phosphate diffusion flux and the negative correlation (r = -0.08) obtained between dissolved oxygen and phosphate diffusion flux. Kang et al. (2018) found that under anoxic conditions, polyphosphate degrades and releases phosphate. Phosphate recycling in bottom waters is thought to be due to anoxic sediments becoming rich in </w:t>
      </w:r>
      <w:proofErr w:type="spellStart"/>
      <w:r w:rsidRPr="003242D0">
        <w:rPr>
          <w:rFonts w:ascii="Arial" w:hAnsi="Arial" w:cs="Arial"/>
          <w:sz w:val="20"/>
          <w:szCs w:val="20"/>
          <w:lang w:val="en-GB"/>
        </w:rPr>
        <w:t>sulfides</w:t>
      </w:r>
      <w:proofErr w:type="spellEnd"/>
      <w:r w:rsidRPr="003242D0">
        <w:rPr>
          <w:rFonts w:ascii="Arial" w:hAnsi="Arial" w:cs="Arial"/>
          <w:sz w:val="20"/>
          <w:szCs w:val="20"/>
          <w:lang w:val="en-GB"/>
        </w:rPr>
        <w:t xml:space="preserve">, which causes the dissolution of iron oxyhydroxides with the release of adsorbed phosphates. Under </w:t>
      </w:r>
      <w:proofErr w:type="spellStart"/>
      <w:r w:rsidRPr="003242D0">
        <w:rPr>
          <w:rFonts w:ascii="Arial" w:hAnsi="Arial" w:cs="Arial"/>
          <w:sz w:val="20"/>
          <w:szCs w:val="20"/>
          <w:lang w:val="en-GB"/>
        </w:rPr>
        <w:t>oxic</w:t>
      </w:r>
      <w:proofErr w:type="spellEnd"/>
      <w:r w:rsidRPr="003242D0">
        <w:rPr>
          <w:rFonts w:ascii="Arial" w:hAnsi="Arial" w:cs="Arial"/>
          <w:sz w:val="20"/>
          <w:szCs w:val="20"/>
          <w:lang w:val="en-GB"/>
        </w:rPr>
        <w:t xml:space="preserve"> conditions, ferrous iron (Fe</w:t>
      </w:r>
      <w:r w:rsidRPr="00AD2D46">
        <w:rPr>
          <w:rFonts w:ascii="Arial" w:hAnsi="Arial" w:cs="Arial"/>
          <w:sz w:val="20"/>
          <w:szCs w:val="20"/>
          <w:vertAlign w:val="superscript"/>
          <w:lang w:val="en-GB"/>
        </w:rPr>
        <w:t>2+</w:t>
      </w:r>
      <w:r w:rsidRPr="003242D0">
        <w:rPr>
          <w:rFonts w:ascii="Arial" w:hAnsi="Arial" w:cs="Arial"/>
          <w:sz w:val="20"/>
          <w:szCs w:val="20"/>
          <w:lang w:val="en-GB"/>
        </w:rPr>
        <w:t xml:space="preserve">) can bind to </w:t>
      </w:r>
      <w:r w:rsidR="00AD2D46">
        <w:rPr>
          <w:rFonts w:ascii="Arial" w:hAnsi="Arial" w:cs="Arial"/>
          <w:sz w:val="20"/>
          <w:szCs w:val="20"/>
          <w:lang w:val="en-GB"/>
        </w:rPr>
        <w:t>PO</w:t>
      </w:r>
      <w:r w:rsidR="00AD2D46">
        <w:rPr>
          <w:rFonts w:ascii="Arial" w:hAnsi="Arial" w:cs="Arial"/>
          <w:sz w:val="20"/>
          <w:szCs w:val="20"/>
          <w:vertAlign w:val="subscript"/>
          <w:lang w:val="en-GB"/>
        </w:rPr>
        <w:t>4</w:t>
      </w:r>
      <w:r w:rsidR="00AD2D46">
        <w:rPr>
          <w:rFonts w:ascii="Arial" w:hAnsi="Arial" w:cs="Arial"/>
          <w:sz w:val="20"/>
          <w:szCs w:val="20"/>
          <w:vertAlign w:val="superscript"/>
          <w:lang w:val="en-GB"/>
        </w:rPr>
        <w:t>3-</w:t>
      </w:r>
      <w:r w:rsidR="00AD2D46">
        <w:rPr>
          <w:rFonts w:ascii="Arial" w:hAnsi="Arial" w:cs="Arial"/>
          <w:sz w:val="20"/>
          <w:szCs w:val="20"/>
          <w:lang w:val="en-GB"/>
        </w:rPr>
        <w:t>-P</w:t>
      </w:r>
      <w:r w:rsidRPr="003242D0">
        <w:rPr>
          <w:rFonts w:ascii="Arial" w:hAnsi="Arial" w:cs="Arial"/>
          <w:sz w:val="20"/>
          <w:szCs w:val="20"/>
          <w:lang w:val="en-GB"/>
        </w:rPr>
        <w:t>, maintaining inorganic phosphates in the solid phase of the sediment. In contrast, under anoxic conditions, ferric iron (Fe</w:t>
      </w:r>
      <w:r w:rsidRPr="00AD2D46">
        <w:rPr>
          <w:rFonts w:ascii="Arial" w:hAnsi="Arial" w:cs="Arial"/>
          <w:sz w:val="20"/>
          <w:szCs w:val="20"/>
          <w:vertAlign w:val="superscript"/>
          <w:lang w:val="en-GB"/>
        </w:rPr>
        <w:t>3+</w:t>
      </w:r>
      <w:r w:rsidRPr="003242D0">
        <w:rPr>
          <w:rFonts w:ascii="Arial" w:hAnsi="Arial" w:cs="Arial"/>
          <w:sz w:val="20"/>
          <w:szCs w:val="20"/>
          <w:lang w:val="en-GB"/>
        </w:rPr>
        <w:t>) is reduced to ferrous iron (Fe</w:t>
      </w:r>
      <w:r w:rsidRPr="00AD2D46">
        <w:rPr>
          <w:rFonts w:ascii="Arial" w:hAnsi="Arial" w:cs="Arial"/>
          <w:sz w:val="20"/>
          <w:szCs w:val="20"/>
          <w:vertAlign w:val="superscript"/>
          <w:lang w:val="en-GB"/>
        </w:rPr>
        <w:t>2+</w:t>
      </w:r>
      <w:r w:rsidRPr="003242D0">
        <w:rPr>
          <w:rFonts w:ascii="Arial" w:hAnsi="Arial" w:cs="Arial"/>
          <w:sz w:val="20"/>
          <w:szCs w:val="20"/>
          <w:lang w:val="en-GB"/>
        </w:rPr>
        <w:t xml:space="preserve">), which in turn reacts with </w:t>
      </w:r>
      <w:proofErr w:type="spellStart"/>
      <w:r w:rsidRPr="003242D0">
        <w:rPr>
          <w:rFonts w:ascii="Arial" w:hAnsi="Arial" w:cs="Arial"/>
          <w:sz w:val="20"/>
          <w:szCs w:val="20"/>
          <w:lang w:val="en-GB"/>
        </w:rPr>
        <w:t>sulfide</w:t>
      </w:r>
      <w:proofErr w:type="spellEnd"/>
      <w:r w:rsidRPr="003242D0">
        <w:rPr>
          <w:rFonts w:ascii="Arial" w:hAnsi="Arial" w:cs="Arial"/>
          <w:sz w:val="20"/>
          <w:szCs w:val="20"/>
          <w:lang w:val="en-GB"/>
        </w:rPr>
        <w:t xml:space="preserve"> to form insoluble iron </w:t>
      </w:r>
      <w:proofErr w:type="spellStart"/>
      <w:r w:rsidRPr="003242D0">
        <w:rPr>
          <w:rFonts w:ascii="Arial" w:hAnsi="Arial" w:cs="Arial"/>
          <w:sz w:val="20"/>
          <w:szCs w:val="20"/>
          <w:lang w:val="en-GB"/>
        </w:rPr>
        <w:t>sulfide</w:t>
      </w:r>
      <w:proofErr w:type="spellEnd"/>
      <w:r w:rsidRPr="003242D0">
        <w:rPr>
          <w:rFonts w:ascii="Arial" w:hAnsi="Arial" w:cs="Arial"/>
          <w:sz w:val="20"/>
          <w:szCs w:val="20"/>
          <w:lang w:val="en-GB"/>
        </w:rPr>
        <w:t xml:space="preserve"> precipitates (</w:t>
      </w:r>
      <w:proofErr w:type="spellStart"/>
      <w:r w:rsidRPr="003242D0">
        <w:rPr>
          <w:rFonts w:ascii="Arial" w:hAnsi="Arial" w:cs="Arial"/>
          <w:sz w:val="20"/>
          <w:szCs w:val="20"/>
          <w:lang w:val="en-GB"/>
        </w:rPr>
        <w:t>FeS</w:t>
      </w:r>
      <w:proofErr w:type="spellEnd"/>
      <w:r w:rsidRPr="003242D0">
        <w:rPr>
          <w:rFonts w:ascii="Arial" w:hAnsi="Arial" w:cs="Arial"/>
          <w:sz w:val="20"/>
          <w:szCs w:val="20"/>
          <w:lang w:val="en-GB"/>
        </w:rPr>
        <w:t xml:space="preserve"> and FeS</w:t>
      </w:r>
      <w:r w:rsidRPr="000A114C">
        <w:rPr>
          <w:rFonts w:ascii="Arial" w:hAnsi="Arial" w:cs="Arial"/>
          <w:sz w:val="20"/>
          <w:szCs w:val="20"/>
          <w:vertAlign w:val="subscript"/>
          <w:lang w:val="en-GB"/>
        </w:rPr>
        <w:t>2</w:t>
      </w:r>
      <w:r w:rsidRPr="003242D0">
        <w:rPr>
          <w:rFonts w:ascii="Arial" w:hAnsi="Arial" w:cs="Arial"/>
          <w:sz w:val="20"/>
          <w:szCs w:val="20"/>
          <w:lang w:val="en-GB"/>
        </w:rPr>
        <w:t xml:space="preserve">) (Zou et al., 2020). This reaction is responsible for the release of </w:t>
      </w:r>
      <w:r w:rsidR="000A114C">
        <w:rPr>
          <w:rFonts w:ascii="Arial" w:hAnsi="Arial" w:cs="Arial"/>
          <w:sz w:val="20"/>
          <w:szCs w:val="20"/>
          <w:lang w:val="en-GB"/>
        </w:rPr>
        <w:t>PO</w:t>
      </w:r>
      <w:r w:rsidR="000A114C">
        <w:rPr>
          <w:rFonts w:ascii="Arial" w:hAnsi="Arial" w:cs="Arial"/>
          <w:sz w:val="20"/>
          <w:szCs w:val="20"/>
          <w:vertAlign w:val="subscript"/>
          <w:lang w:val="en-GB"/>
        </w:rPr>
        <w:t>4</w:t>
      </w:r>
      <w:r w:rsidR="000A114C">
        <w:rPr>
          <w:rFonts w:ascii="Arial" w:hAnsi="Arial" w:cs="Arial"/>
          <w:sz w:val="20"/>
          <w:szCs w:val="20"/>
          <w:vertAlign w:val="superscript"/>
          <w:lang w:val="en-GB"/>
        </w:rPr>
        <w:t>3-</w:t>
      </w:r>
      <w:r w:rsidR="000A114C">
        <w:rPr>
          <w:rFonts w:ascii="Arial" w:hAnsi="Arial" w:cs="Arial"/>
          <w:sz w:val="20"/>
          <w:szCs w:val="20"/>
          <w:lang w:val="en-GB"/>
        </w:rPr>
        <w:t xml:space="preserve">-P </w:t>
      </w:r>
      <w:r w:rsidRPr="003242D0">
        <w:rPr>
          <w:rFonts w:ascii="Arial" w:hAnsi="Arial" w:cs="Arial"/>
          <w:sz w:val="20"/>
          <w:szCs w:val="20"/>
          <w:lang w:val="en-GB"/>
        </w:rPr>
        <w:t xml:space="preserve">retained in the sediments to the water column. Similar results were obtained by Lang et al., (2025) in the </w:t>
      </w:r>
      <w:proofErr w:type="spellStart"/>
      <w:r w:rsidRPr="003242D0">
        <w:rPr>
          <w:rFonts w:ascii="Arial" w:hAnsi="Arial" w:cs="Arial"/>
          <w:sz w:val="20"/>
          <w:szCs w:val="20"/>
          <w:lang w:val="en-GB"/>
        </w:rPr>
        <w:t>Danjiangkou</w:t>
      </w:r>
      <w:proofErr w:type="spellEnd"/>
      <w:r w:rsidRPr="003242D0">
        <w:rPr>
          <w:rFonts w:ascii="Arial" w:hAnsi="Arial" w:cs="Arial"/>
          <w:sz w:val="20"/>
          <w:szCs w:val="20"/>
          <w:lang w:val="en-GB"/>
        </w:rPr>
        <w:t xml:space="preserve"> Reservoir in China.</w:t>
      </w:r>
    </w:p>
    <w:p w14:paraId="1BF398FC" w14:textId="77777777" w:rsidR="00AD2D46" w:rsidRDefault="00AD2D46" w:rsidP="003A0DFE">
      <w:pPr>
        <w:spacing w:after="0" w:line="240" w:lineRule="auto"/>
        <w:jc w:val="both"/>
        <w:rPr>
          <w:rFonts w:ascii="Arial" w:hAnsi="Arial" w:cs="Arial"/>
          <w:sz w:val="20"/>
          <w:szCs w:val="20"/>
          <w:lang w:val="en-GB"/>
        </w:rPr>
      </w:pPr>
    </w:p>
    <w:p w14:paraId="6B40BE02" w14:textId="77777777" w:rsidR="000E46DC" w:rsidRDefault="000E46DC" w:rsidP="003A0DFE">
      <w:pPr>
        <w:spacing w:after="0" w:line="240" w:lineRule="auto"/>
        <w:jc w:val="both"/>
        <w:rPr>
          <w:rFonts w:ascii="Arial" w:hAnsi="Arial" w:cs="Arial"/>
          <w:sz w:val="20"/>
          <w:szCs w:val="20"/>
          <w:lang w:val="en-GB"/>
        </w:rPr>
      </w:pPr>
      <w:r w:rsidRPr="000E46DC">
        <w:rPr>
          <w:rFonts w:ascii="Arial" w:hAnsi="Arial" w:cs="Arial"/>
          <w:sz w:val="20"/>
          <w:szCs w:val="20"/>
          <w:lang w:val="en-GB"/>
        </w:rPr>
        <w:t>Since ammonium and phosphate were the most released nutrients into the overlying waters, the sediments of Fresco Lagoon act as a source of nutrients for the water column. Internal phosphorus loading could be one of the causes of eutrophication of Fresco Lagoon. Furthermore, this study revealed through statistical analyses that water temperature and dissolved oxygen were the factors most affecting the release of nitrogen and phosphorus nutrients at the water-sediment interface of Fresco Lagoon.</w:t>
      </w:r>
    </w:p>
    <w:p w14:paraId="2DC630FD" w14:textId="77777777" w:rsidR="000E46DC" w:rsidRDefault="000E46DC" w:rsidP="003A0DFE">
      <w:pPr>
        <w:spacing w:after="0" w:line="240" w:lineRule="auto"/>
        <w:jc w:val="both"/>
        <w:rPr>
          <w:rFonts w:ascii="Arial" w:hAnsi="Arial" w:cs="Arial"/>
          <w:sz w:val="20"/>
          <w:szCs w:val="20"/>
          <w:lang w:val="en-GB"/>
        </w:rPr>
      </w:pPr>
    </w:p>
    <w:p w14:paraId="275220DE" w14:textId="77777777" w:rsidR="0013003D" w:rsidRPr="0013003D" w:rsidRDefault="0013003D" w:rsidP="0013003D">
      <w:pPr>
        <w:spacing w:after="0" w:line="240" w:lineRule="auto"/>
        <w:jc w:val="both"/>
        <w:rPr>
          <w:rFonts w:ascii="Arial" w:hAnsi="Arial" w:cs="Arial"/>
          <w:b/>
          <w:szCs w:val="20"/>
          <w:lang w:val="en-GB"/>
        </w:rPr>
      </w:pPr>
      <w:r w:rsidRPr="0013003D">
        <w:rPr>
          <w:rFonts w:ascii="Arial" w:hAnsi="Arial" w:cs="Arial"/>
          <w:b/>
          <w:szCs w:val="20"/>
          <w:lang w:val="en-GB"/>
        </w:rPr>
        <w:t>4. CONCLUSION</w:t>
      </w:r>
    </w:p>
    <w:p w14:paraId="14C3BF04" w14:textId="77777777" w:rsidR="0013003D" w:rsidRPr="0013003D" w:rsidRDefault="0013003D" w:rsidP="0013003D">
      <w:pPr>
        <w:spacing w:after="0" w:line="240" w:lineRule="auto"/>
        <w:jc w:val="both"/>
        <w:rPr>
          <w:rFonts w:ascii="Arial" w:hAnsi="Arial" w:cs="Arial"/>
          <w:sz w:val="20"/>
          <w:szCs w:val="20"/>
          <w:lang w:val="en-GB"/>
        </w:rPr>
      </w:pPr>
    </w:p>
    <w:p w14:paraId="3483B22E" w14:textId="1261B0F0" w:rsidR="0013003D" w:rsidRDefault="0013003D" w:rsidP="0013003D">
      <w:pPr>
        <w:spacing w:after="0" w:line="240" w:lineRule="auto"/>
        <w:jc w:val="both"/>
        <w:rPr>
          <w:rFonts w:ascii="Arial" w:hAnsi="Arial" w:cs="Arial"/>
          <w:sz w:val="20"/>
          <w:szCs w:val="20"/>
          <w:lang w:val="en-GB"/>
        </w:rPr>
      </w:pPr>
      <w:r w:rsidRPr="0013003D">
        <w:rPr>
          <w:rFonts w:ascii="Arial" w:hAnsi="Arial" w:cs="Arial"/>
          <w:sz w:val="20"/>
          <w:szCs w:val="20"/>
          <w:lang w:val="en-GB"/>
        </w:rPr>
        <w:t xml:space="preserve">In this study, the results showed that the sediments are water-rich, porous, and contain high levels of organic matter, particularly in areas close to urban areas. Furthermore, the waters of the Fresco Lagoon appear neutral (pH = 7.19 ± 0.36) and reducing (-23.30 ± 9.78 mV). Water temperatures are relatively high, with an average of 29.55 ± 1.37°C. The waters are thought to be in hypoxic conditions due to the relatively low dissolved oxygen levels, with an average content of 2.38 ± 0.57 mg/L. The physicochemical conditions of the lagoon environment generate diffusion fluxes of nitrogen and phosphorus nutrients at the water-sediment interface. Nitrates had a negative diffusion flux (-0.11 ± 0.43 </w:t>
      </w:r>
      <w:r w:rsidR="00174115">
        <w:rPr>
          <w:rFonts w:ascii="Arial" w:hAnsi="Arial" w:cs="Arial"/>
          <w:sz w:val="20"/>
          <w:szCs w:val="20"/>
          <w:lang w:val="en-GB"/>
        </w:rPr>
        <w:t>mg.m</w:t>
      </w:r>
      <w:r w:rsidR="00174115">
        <w:rPr>
          <w:rFonts w:ascii="Arial" w:hAnsi="Arial" w:cs="Arial"/>
          <w:sz w:val="20"/>
          <w:szCs w:val="20"/>
          <w:vertAlign w:val="superscript"/>
          <w:lang w:val="en-GB"/>
        </w:rPr>
        <w:t>-2</w:t>
      </w:r>
      <w:r w:rsidR="00174115">
        <w:rPr>
          <w:rFonts w:ascii="Arial" w:hAnsi="Arial" w:cs="Arial"/>
          <w:sz w:val="20"/>
          <w:szCs w:val="20"/>
          <w:lang w:val="en-GB"/>
        </w:rPr>
        <w:t>.d</w:t>
      </w:r>
      <w:r w:rsidR="00174115">
        <w:rPr>
          <w:rFonts w:ascii="Arial" w:hAnsi="Arial" w:cs="Arial"/>
          <w:sz w:val="20"/>
          <w:szCs w:val="20"/>
          <w:vertAlign w:val="superscript"/>
          <w:lang w:val="en-GB"/>
        </w:rPr>
        <w:t>-1</w:t>
      </w:r>
      <w:r w:rsidRPr="0013003D">
        <w:rPr>
          <w:rFonts w:ascii="Arial" w:hAnsi="Arial" w:cs="Arial"/>
          <w:sz w:val="20"/>
          <w:szCs w:val="20"/>
          <w:lang w:val="en-GB"/>
        </w:rPr>
        <w:t>); which indicates that nitrates are transferred from bottom waters to interstitial waters. On the other hand, ammonium, nitrite and phosphate had positive diffusion f</w:t>
      </w:r>
      <w:r w:rsidR="007729F2">
        <w:rPr>
          <w:rFonts w:ascii="Arial" w:hAnsi="Arial" w:cs="Arial"/>
          <w:sz w:val="20"/>
          <w:szCs w:val="20"/>
          <w:lang w:val="en-GB"/>
        </w:rPr>
        <w:t xml:space="preserve">luxes, with respective values </w:t>
      </w:r>
      <w:r w:rsidRPr="0013003D">
        <w:rPr>
          <w:rFonts w:ascii="Arial" w:hAnsi="Arial" w:cs="Arial"/>
          <w:sz w:val="20"/>
          <w:szCs w:val="20"/>
          <w:lang w:val="en-GB"/>
        </w:rPr>
        <w:t xml:space="preserve">of 0.036 ± 0.016 </w:t>
      </w:r>
      <w:r w:rsidR="00174115">
        <w:rPr>
          <w:rFonts w:ascii="Arial" w:hAnsi="Arial" w:cs="Arial"/>
          <w:sz w:val="20"/>
          <w:szCs w:val="20"/>
          <w:lang w:val="en-GB"/>
        </w:rPr>
        <w:t>mg.m</w:t>
      </w:r>
      <w:r w:rsidR="00174115">
        <w:rPr>
          <w:rFonts w:ascii="Arial" w:hAnsi="Arial" w:cs="Arial"/>
          <w:sz w:val="20"/>
          <w:szCs w:val="20"/>
          <w:vertAlign w:val="superscript"/>
          <w:lang w:val="en-GB"/>
        </w:rPr>
        <w:t>-2</w:t>
      </w:r>
      <w:r w:rsidR="00174115">
        <w:rPr>
          <w:rFonts w:ascii="Arial" w:hAnsi="Arial" w:cs="Arial"/>
          <w:sz w:val="20"/>
          <w:szCs w:val="20"/>
          <w:lang w:val="en-GB"/>
        </w:rPr>
        <w:t>.d</w:t>
      </w:r>
      <w:r w:rsidR="00174115">
        <w:rPr>
          <w:rFonts w:ascii="Arial" w:hAnsi="Arial" w:cs="Arial"/>
          <w:sz w:val="20"/>
          <w:szCs w:val="20"/>
          <w:vertAlign w:val="superscript"/>
          <w:lang w:val="en-GB"/>
        </w:rPr>
        <w:t>-1</w:t>
      </w:r>
      <w:r w:rsidRPr="0013003D">
        <w:rPr>
          <w:rFonts w:ascii="Arial" w:hAnsi="Arial" w:cs="Arial"/>
          <w:sz w:val="20"/>
          <w:szCs w:val="20"/>
          <w:lang w:val="en-GB"/>
        </w:rPr>
        <w:t xml:space="preserve">; 0.002 ± 0.001 </w:t>
      </w:r>
      <w:r w:rsidR="00174115">
        <w:rPr>
          <w:rFonts w:ascii="Arial" w:hAnsi="Arial" w:cs="Arial"/>
          <w:sz w:val="20"/>
          <w:szCs w:val="20"/>
          <w:lang w:val="en-GB"/>
        </w:rPr>
        <w:t>mg.m</w:t>
      </w:r>
      <w:r w:rsidR="00174115">
        <w:rPr>
          <w:rFonts w:ascii="Arial" w:hAnsi="Arial" w:cs="Arial"/>
          <w:sz w:val="20"/>
          <w:szCs w:val="20"/>
          <w:vertAlign w:val="superscript"/>
          <w:lang w:val="en-GB"/>
        </w:rPr>
        <w:t>-2</w:t>
      </w:r>
      <w:r w:rsidR="00174115">
        <w:rPr>
          <w:rFonts w:ascii="Arial" w:hAnsi="Arial" w:cs="Arial"/>
          <w:sz w:val="20"/>
          <w:szCs w:val="20"/>
          <w:lang w:val="en-GB"/>
        </w:rPr>
        <w:t>.d</w:t>
      </w:r>
      <w:r w:rsidR="00174115">
        <w:rPr>
          <w:rFonts w:ascii="Arial" w:hAnsi="Arial" w:cs="Arial"/>
          <w:sz w:val="20"/>
          <w:szCs w:val="20"/>
          <w:vertAlign w:val="superscript"/>
          <w:lang w:val="en-GB"/>
        </w:rPr>
        <w:t xml:space="preserve">-1 </w:t>
      </w:r>
      <w:r w:rsidR="00174115" w:rsidRPr="0013003D">
        <w:rPr>
          <w:rFonts w:ascii="Arial" w:hAnsi="Arial" w:cs="Arial"/>
          <w:sz w:val="20"/>
          <w:szCs w:val="20"/>
          <w:lang w:val="en-GB"/>
        </w:rPr>
        <w:t>and</w:t>
      </w:r>
      <w:r w:rsidRPr="0013003D">
        <w:rPr>
          <w:rFonts w:ascii="Arial" w:hAnsi="Arial" w:cs="Arial"/>
          <w:sz w:val="20"/>
          <w:szCs w:val="20"/>
          <w:lang w:val="en-GB"/>
        </w:rPr>
        <w:t xml:space="preserve"> 0.05 ± 0.01 </w:t>
      </w:r>
      <w:r w:rsidR="00174115">
        <w:rPr>
          <w:rFonts w:ascii="Arial" w:hAnsi="Arial" w:cs="Arial"/>
          <w:sz w:val="20"/>
          <w:szCs w:val="20"/>
          <w:lang w:val="en-GB"/>
        </w:rPr>
        <w:t>mg.m</w:t>
      </w:r>
      <w:r w:rsidR="00174115">
        <w:rPr>
          <w:rFonts w:ascii="Arial" w:hAnsi="Arial" w:cs="Arial"/>
          <w:sz w:val="20"/>
          <w:szCs w:val="20"/>
          <w:vertAlign w:val="superscript"/>
          <w:lang w:val="en-GB"/>
        </w:rPr>
        <w:t>-2</w:t>
      </w:r>
      <w:r w:rsidR="00174115">
        <w:rPr>
          <w:rFonts w:ascii="Arial" w:hAnsi="Arial" w:cs="Arial"/>
          <w:sz w:val="20"/>
          <w:szCs w:val="20"/>
          <w:lang w:val="en-GB"/>
        </w:rPr>
        <w:t>.d</w:t>
      </w:r>
      <w:r w:rsidR="00174115">
        <w:rPr>
          <w:rFonts w:ascii="Arial" w:hAnsi="Arial" w:cs="Arial"/>
          <w:sz w:val="20"/>
          <w:szCs w:val="20"/>
          <w:vertAlign w:val="superscript"/>
          <w:lang w:val="en-GB"/>
        </w:rPr>
        <w:t>-1</w:t>
      </w:r>
      <w:r w:rsidRPr="0013003D">
        <w:rPr>
          <w:rFonts w:ascii="Arial" w:hAnsi="Arial" w:cs="Arial"/>
          <w:sz w:val="20"/>
          <w:szCs w:val="20"/>
          <w:lang w:val="en-GB"/>
        </w:rPr>
        <w:t>. These positive fluxes reveal that these nutrients are released from the sediments into the water column. Thus, the sediments would have become a source of contamination of the water column by nutrients (nitrogen and phosphorus). The search for effective decontamination techniques upstream of the natural environment could help improve the quality of the water and sediments of this Lagoon.</w:t>
      </w:r>
    </w:p>
    <w:p w14:paraId="48CD8FF3" w14:textId="11182FED" w:rsidR="00195947" w:rsidRDefault="00195947" w:rsidP="0013003D">
      <w:pPr>
        <w:spacing w:after="0" w:line="240" w:lineRule="auto"/>
        <w:jc w:val="both"/>
        <w:rPr>
          <w:rFonts w:ascii="Arial" w:hAnsi="Arial" w:cs="Arial"/>
          <w:sz w:val="20"/>
          <w:szCs w:val="20"/>
          <w:lang w:val="en-GB"/>
        </w:rPr>
      </w:pPr>
    </w:p>
    <w:p w14:paraId="7D8343EC" w14:textId="77777777" w:rsidR="00195947" w:rsidRPr="0002489D" w:rsidRDefault="00195947" w:rsidP="00195947">
      <w:pPr>
        <w:rPr>
          <w:rFonts w:ascii="Calibri" w:eastAsia="Calibri" w:hAnsi="Calibri" w:cs="Times New Roman"/>
          <w:kern w:val="2"/>
          <w:highlight w:val="yellow"/>
          <w:lang w:val="en-US"/>
        </w:rPr>
      </w:pPr>
      <w:r w:rsidRPr="0002489D">
        <w:rPr>
          <w:rFonts w:ascii="Calibri" w:eastAsia="Calibri" w:hAnsi="Calibri" w:cs="Times New Roman"/>
          <w:kern w:val="2"/>
          <w:highlight w:val="yellow"/>
          <w:lang w:val="en-US"/>
        </w:rPr>
        <w:t>Disclaimer (Artificial intelligence)</w:t>
      </w:r>
    </w:p>
    <w:p w14:paraId="19B59CC5" w14:textId="77777777" w:rsidR="00195947" w:rsidRPr="0002489D" w:rsidRDefault="00195947" w:rsidP="00195947">
      <w:pPr>
        <w:rPr>
          <w:rFonts w:ascii="Calibri" w:eastAsia="Calibri" w:hAnsi="Calibri" w:cs="Times New Roman"/>
          <w:kern w:val="2"/>
          <w:highlight w:val="yellow"/>
          <w:lang w:val="en-US"/>
        </w:rPr>
      </w:pPr>
      <w:r w:rsidRPr="0002489D">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30271B7" w14:textId="77777777" w:rsidR="00A23698" w:rsidRPr="00A23698" w:rsidRDefault="00A23698" w:rsidP="00A23698">
      <w:pPr>
        <w:widowControl w:val="0"/>
        <w:spacing w:after="0" w:line="240" w:lineRule="auto"/>
        <w:jc w:val="both"/>
        <w:rPr>
          <w:rFonts w:ascii="Arial" w:eastAsia="Calibri" w:hAnsi="Arial" w:cs="Arial"/>
          <w:color w:val="000000"/>
          <w:kern w:val="2"/>
          <w:sz w:val="20"/>
          <w:szCs w:val="20"/>
          <w:lang w:val="en-GB" w:eastAsia="zh-CN"/>
        </w:rPr>
      </w:pPr>
      <w:r w:rsidRPr="00A23698">
        <w:rPr>
          <w:rFonts w:ascii="Arial" w:eastAsia="Calibri" w:hAnsi="Arial" w:cs="Arial"/>
          <w:b/>
          <w:color w:val="000000"/>
          <w:kern w:val="2"/>
          <w:lang w:val="en-GB" w:eastAsia="zh-CN"/>
        </w:rPr>
        <w:t>REFERENCES</w:t>
      </w:r>
    </w:p>
    <w:p w14:paraId="6FD158DD" w14:textId="77777777" w:rsidR="00A23698" w:rsidRPr="00A23698" w:rsidRDefault="00A23698" w:rsidP="00A23698">
      <w:pPr>
        <w:widowControl w:val="0"/>
        <w:spacing w:after="0" w:line="240" w:lineRule="auto"/>
        <w:jc w:val="both"/>
        <w:rPr>
          <w:rFonts w:ascii="Arial" w:eastAsia="Calibri" w:hAnsi="Arial" w:cs="Arial"/>
          <w:color w:val="000000"/>
          <w:kern w:val="2"/>
          <w:sz w:val="20"/>
          <w:szCs w:val="20"/>
          <w:lang w:val="en-GB" w:eastAsia="zh-CN"/>
        </w:rPr>
      </w:pPr>
    </w:p>
    <w:p w14:paraId="4D4AF8E4"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 xml:space="preserve">Berner, R. A. (1980) </w:t>
      </w:r>
      <w:proofErr w:type="spellStart"/>
      <w:r w:rsidRPr="00A23698">
        <w:rPr>
          <w:rFonts w:ascii="Arial" w:eastAsia="Calibri" w:hAnsi="Arial" w:cs="Arial"/>
          <w:color w:val="000000"/>
          <w:sz w:val="20"/>
          <w:szCs w:val="20"/>
          <w:lang w:val="en-GB"/>
        </w:rPr>
        <w:t>Earlydiagenesis</w:t>
      </w:r>
      <w:proofErr w:type="spellEnd"/>
      <w:r w:rsidRPr="00A23698">
        <w:rPr>
          <w:rFonts w:ascii="Arial" w:eastAsia="Calibri" w:hAnsi="Arial" w:cs="Arial"/>
          <w:color w:val="000000"/>
          <w:sz w:val="20"/>
          <w:szCs w:val="20"/>
          <w:lang w:val="en-GB"/>
        </w:rPr>
        <w:t xml:space="preserve">. Princeton Press, Princeton, NJ. 241p. </w:t>
      </w:r>
      <w:hyperlink r:id="rId29" w:history="1">
        <w:r w:rsidRPr="00A23698">
          <w:rPr>
            <w:rFonts w:ascii="Arial" w:eastAsia="Calibri" w:hAnsi="Arial" w:cs="Arial"/>
            <w:color w:val="000000"/>
            <w:sz w:val="20"/>
            <w:szCs w:val="20"/>
            <w:u w:val="single"/>
            <w:lang w:val="en-GB"/>
          </w:rPr>
          <w:t>https://doi.org/10.4319/lo.1983.28.1.0199</w:t>
        </w:r>
      </w:hyperlink>
    </w:p>
    <w:p w14:paraId="503B1E2A"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lastRenderedPageBreak/>
        <w:t xml:space="preserve">Boström B., Andersen J., Fleischer S. &amp;Jansson M. (1988) Exchange of phosphorus across the sediment–water interface. </w:t>
      </w:r>
      <w:proofErr w:type="spellStart"/>
      <w:r w:rsidRPr="00A23698">
        <w:rPr>
          <w:rFonts w:ascii="Arial" w:eastAsia="Calibri" w:hAnsi="Arial" w:cs="Arial"/>
          <w:color w:val="000000"/>
          <w:sz w:val="20"/>
          <w:szCs w:val="20"/>
          <w:lang w:val="en-GB"/>
        </w:rPr>
        <w:t>Hydrobiologia</w:t>
      </w:r>
      <w:proofErr w:type="spellEnd"/>
      <w:r w:rsidRPr="00A23698">
        <w:rPr>
          <w:rFonts w:ascii="Arial" w:eastAsia="Calibri" w:hAnsi="Arial" w:cs="Arial"/>
          <w:color w:val="000000"/>
          <w:sz w:val="20"/>
          <w:szCs w:val="20"/>
          <w:lang w:val="en-GB"/>
        </w:rPr>
        <w:t xml:space="preserve">, 170, 229–244. </w:t>
      </w:r>
      <w:hyperlink r:id="rId30" w:history="1">
        <w:r w:rsidRPr="00A23698">
          <w:rPr>
            <w:rFonts w:ascii="Arial" w:eastAsia="Calibri" w:hAnsi="Arial" w:cs="Arial"/>
            <w:color w:val="000000"/>
            <w:sz w:val="20"/>
            <w:szCs w:val="20"/>
            <w:u w:val="single"/>
            <w:lang w:val="en-GB"/>
          </w:rPr>
          <w:t>https://doi.org/10.1007/BF00024907</w:t>
        </w:r>
      </w:hyperlink>
      <w:r w:rsidRPr="00A23698">
        <w:rPr>
          <w:rFonts w:ascii="Arial" w:eastAsia="Calibri" w:hAnsi="Arial" w:cs="Arial"/>
          <w:color w:val="000000"/>
          <w:sz w:val="20"/>
          <w:szCs w:val="20"/>
          <w:lang w:val="en-GB"/>
        </w:rPr>
        <w:t>.</w:t>
      </w:r>
    </w:p>
    <w:p w14:paraId="07011B36"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 xml:space="preserve">Boudreau, B. </w:t>
      </w:r>
      <w:proofErr w:type="gramStart"/>
      <w:r w:rsidRPr="00A23698">
        <w:rPr>
          <w:rFonts w:ascii="Arial" w:eastAsia="Calibri" w:hAnsi="Arial" w:cs="Arial"/>
          <w:color w:val="000000"/>
          <w:sz w:val="20"/>
          <w:szCs w:val="20"/>
          <w:lang w:val="en-GB"/>
        </w:rPr>
        <w:t>P.(</w:t>
      </w:r>
      <w:proofErr w:type="gramEnd"/>
      <w:r w:rsidRPr="00A23698">
        <w:rPr>
          <w:rFonts w:ascii="Arial" w:eastAsia="Calibri" w:hAnsi="Arial" w:cs="Arial"/>
          <w:color w:val="000000"/>
          <w:sz w:val="20"/>
          <w:szCs w:val="20"/>
          <w:lang w:val="en-GB"/>
        </w:rPr>
        <w:t>1997). Diagenetic models and their implementation: Modelling transport and reactions in aquatic sediments. Springer-Verlag, Berlin-Heidelberg-New York</w:t>
      </w:r>
    </w:p>
    <w:p w14:paraId="507D93F3"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hAnsi="Arial" w:cs="Arial"/>
          <w:sz w:val="20"/>
          <w:lang w:val="en-GB"/>
        </w:rPr>
        <w:t xml:space="preserve">Chen, S. S, </w:t>
      </w:r>
      <w:proofErr w:type="spellStart"/>
      <w:r w:rsidRPr="00A23698">
        <w:rPr>
          <w:rFonts w:ascii="Arial" w:hAnsi="Arial" w:cs="Arial"/>
          <w:sz w:val="20"/>
          <w:lang w:val="en-GB"/>
        </w:rPr>
        <w:t>Kimirei</w:t>
      </w:r>
      <w:proofErr w:type="spellEnd"/>
      <w:r w:rsidRPr="00A23698">
        <w:rPr>
          <w:rFonts w:ascii="Arial" w:hAnsi="Arial" w:cs="Arial"/>
          <w:sz w:val="20"/>
          <w:lang w:val="en-GB"/>
        </w:rPr>
        <w:t xml:space="preserve">, I. A, Yu, C., Shen, Q., Gao, Q., 2022. Assessment of urban river water pollution with urbanization in East Africa. Environmental Science and Pollution Research, 29(27):40812-40825. Doi: 10.1007/s11356-021-18082-1. </w:t>
      </w:r>
    </w:p>
    <w:p w14:paraId="7CA1A6FE"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 xml:space="preserve">Danyang, W.; </w:t>
      </w:r>
      <w:proofErr w:type="spellStart"/>
      <w:r w:rsidRPr="00A23698">
        <w:rPr>
          <w:rFonts w:ascii="Arial" w:eastAsia="Calibri" w:hAnsi="Arial" w:cs="Arial"/>
          <w:color w:val="000000"/>
          <w:sz w:val="20"/>
          <w:szCs w:val="20"/>
          <w:lang w:val="en-GB"/>
        </w:rPr>
        <w:t>Xianqiang</w:t>
      </w:r>
      <w:proofErr w:type="spellEnd"/>
      <w:r w:rsidRPr="00A23698">
        <w:rPr>
          <w:rFonts w:ascii="Arial" w:eastAsia="Calibri" w:hAnsi="Arial" w:cs="Arial"/>
          <w:color w:val="000000"/>
          <w:sz w:val="20"/>
          <w:szCs w:val="20"/>
          <w:lang w:val="en-GB"/>
        </w:rPr>
        <w:t xml:space="preserve">, T.; Rui, </w:t>
      </w:r>
      <w:proofErr w:type="gramStart"/>
      <w:r w:rsidRPr="00A23698">
        <w:rPr>
          <w:rFonts w:ascii="Arial" w:eastAsia="Calibri" w:hAnsi="Arial" w:cs="Arial"/>
          <w:color w:val="000000"/>
          <w:sz w:val="20"/>
          <w:szCs w:val="20"/>
          <w:lang w:val="en-GB"/>
        </w:rPr>
        <w:t>L.;&amp;</w:t>
      </w:r>
      <w:proofErr w:type="gramEnd"/>
      <w:r w:rsidRPr="00A23698">
        <w:rPr>
          <w:rFonts w:ascii="Arial" w:eastAsia="Calibri" w:hAnsi="Arial" w:cs="Arial"/>
          <w:color w:val="000000"/>
          <w:sz w:val="20"/>
          <w:szCs w:val="20"/>
          <w:lang w:val="en-GB"/>
        </w:rPr>
        <w:t xml:space="preserve">Wenjun, Y. (2021). Spatial distribution patterns of nitrogen and phosphorus in water and bed sediment of the Three Gorges Reservoir. Journal of Cleaner Production, 322, 129026. Doi:10.1016/j.clepro.2021.129026 </w:t>
      </w:r>
    </w:p>
    <w:p w14:paraId="609056AE" w14:textId="77777777" w:rsidR="00A23698" w:rsidRPr="00A23698" w:rsidRDefault="00A23698" w:rsidP="00A23698">
      <w:pPr>
        <w:spacing w:after="0"/>
        <w:ind w:left="567" w:hanging="567"/>
        <w:jc w:val="both"/>
        <w:rPr>
          <w:rFonts w:ascii="Calibri" w:eastAsia="Calibri" w:hAnsi="Calibri" w:cs="Times New Roman"/>
          <w:color w:val="000000"/>
        </w:rPr>
      </w:pPr>
      <w:r w:rsidRPr="00A23698">
        <w:rPr>
          <w:rFonts w:ascii="Arial" w:eastAsia="Calibri" w:hAnsi="Arial" w:cs="Arial"/>
          <w:color w:val="000000"/>
          <w:sz w:val="20"/>
          <w:szCs w:val="20"/>
          <w:lang w:val="en-GB"/>
        </w:rPr>
        <w:t xml:space="preserve">Dibo, W. B., </w:t>
      </w:r>
      <w:proofErr w:type="spellStart"/>
      <w:r w:rsidRPr="00A23698">
        <w:rPr>
          <w:rFonts w:ascii="Arial" w:eastAsia="Calibri" w:hAnsi="Arial" w:cs="Arial"/>
          <w:color w:val="000000"/>
          <w:sz w:val="20"/>
          <w:szCs w:val="20"/>
          <w:lang w:val="en-GB"/>
        </w:rPr>
        <w:t>Errami</w:t>
      </w:r>
      <w:proofErr w:type="spellEnd"/>
      <w:r w:rsidRPr="00A23698">
        <w:rPr>
          <w:rFonts w:ascii="Arial" w:eastAsia="Calibri" w:hAnsi="Arial" w:cs="Arial"/>
          <w:color w:val="000000"/>
          <w:sz w:val="20"/>
          <w:szCs w:val="20"/>
          <w:lang w:val="en-GB"/>
        </w:rPr>
        <w:t xml:space="preserve"> E., Jean-Paul, Y. N., Léger, D. K., Tea, J., </w:t>
      </w:r>
      <w:proofErr w:type="spellStart"/>
      <w:r w:rsidRPr="00A23698">
        <w:rPr>
          <w:rFonts w:ascii="Arial" w:eastAsia="Calibri" w:hAnsi="Arial" w:cs="Arial"/>
          <w:color w:val="000000"/>
          <w:sz w:val="20"/>
          <w:szCs w:val="20"/>
          <w:lang w:val="en-GB"/>
        </w:rPr>
        <w:t>Gauly</w:t>
      </w:r>
      <w:proofErr w:type="spellEnd"/>
      <w:r w:rsidRPr="00A23698">
        <w:rPr>
          <w:rFonts w:ascii="Arial" w:eastAsia="Calibri" w:hAnsi="Arial" w:cs="Arial"/>
          <w:color w:val="000000"/>
          <w:sz w:val="20"/>
          <w:szCs w:val="20"/>
          <w:lang w:val="en-GB"/>
        </w:rPr>
        <w:t xml:space="preserve">, G. M., et al.(2021). Inventory and Scientific Evaluation of Fresco Cliff </w:t>
      </w:r>
      <w:proofErr w:type="spellStart"/>
      <w:r w:rsidRPr="00A23698">
        <w:rPr>
          <w:rFonts w:ascii="Arial" w:eastAsia="Calibri" w:hAnsi="Arial" w:cs="Arial"/>
          <w:color w:val="000000"/>
          <w:sz w:val="20"/>
          <w:szCs w:val="20"/>
          <w:lang w:val="en-GB"/>
        </w:rPr>
        <w:t>Geosites</w:t>
      </w:r>
      <w:proofErr w:type="spellEnd"/>
      <w:r w:rsidRPr="00A23698">
        <w:rPr>
          <w:rFonts w:ascii="Arial" w:eastAsia="Calibri" w:hAnsi="Arial" w:cs="Arial"/>
          <w:color w:val="000000"/>
          <w:sz w:val="20"/>
          <w:szCs w:val="20"/>
          <w:lang w:val="en-GB"/>
        </w:rPr>
        <w:t xml:space="preserve"> in Côte d'Ivoire. </w:t>
      </w:r>
      <w:proofErr w:type="spellStart"/>
      <w:r w:rsidRPr="00A23698">
        <w:rPr>
          <w:rFonts w:ascii="Arial" w:eastAsia="Calibri" w:hAnsi="Arial" w:cs="Arial"/>
          <w:color w:val="000000"/>
          <w:sz w:val="20"/>
          <w:szCs w:val="20"/>
        </w:rPr>
        <w:t>European</w:t>
      </w:r>
      <w:proofErr w:type="spellEnd"/>
      <w:r w:rsidRPr="00A23698">
        <w:rPr>
          <w:rFonts w:ascii="Arial" w:eastAsia="Calibri" w:hAnsi="Arial" w:cs="Arial"/>
          <w:color w:val="000000"/>
          <w:sz w:val="20"/>
          <w:szCs w:val="20"/>
        </w:rPr>
        <w:t xml:space="preserve"> Scientific Journal (ESJ), 17(25). </w:t>
      </w:r>
      <w:hyperlink r:id="rId31" w:history="1">
        <w:r w:rsidRPr="00A23698">
          <w:rPr>
            <w:rFonts w:ascii="Arial" w:eastAsia="Calibri" w:hAnsi="Arial" w:cs="Arial"/>
            <w:color w:val="0563C1"/>
            <w:sz w:val="20"/>
            <w:szCs w:val="20"/>
            <w:u w:val="single"/>
          </w:rPr>
          <w:t>https://doi.org/10.19044/esj.2021.v17n25p150</w:t>
        </w:r>
      </w:hyperlink>
    </w:p>
    <w:p w14:paraId="1C5A4D85" w14:textId="77777777" w:rsidR="00A23698" w:rsidRPr="006C21BC" w:rsidRDefault="00A23698" w:rsidP="00A23698">
      <w:pPr>
        <w:spacing w:after="0"/>
        <w:ind w:left="567" w:hanging="567"/>
        <w:jc w:val="both"/>
        <w:rPr>
          <w:rFonts w:ascii="Calibri" w:eastAsia="Calibri" w:hAnsi="Calibri" w:cs="Times New Roman"/>
          <w:color w:val="000000"/>
          <w:lang w:val="nl-BE"/>
        </w:rPr>
      </w:pPr>
      <w:r w:rsidRPr="00A23698">
        <w:rPr>
          <w:rFonts w:ascii="Arial" w:eastAsia="Calibri" w:hAnsi="Arial" w:cs="Arial"/>
          <w:bCs/>
          <w:iCs/>
          <w:color w:val="000000"/>
          <w:sz w:val="20"/>
          <w:szCs w:val="20"/>
        </w:rPr>
        <w:t xml:space="preserve">Einstein, A. (1905). </w:t>
      </w:r>
      <w:r w:rsidRPr="00A23698">
        <w:rPr>
          <w:rFonts w:ascii="Arial" w:eastAsia="Calibri" w:hAnsi="Arial" w:cs="Arial"/>
          <w:bCs/>
          <w:iCs/>
          <w:color w:val="000000"/>
          <w:sz w:val="20"/>
          <w:szCs w:val="20"/>
          <w:lang w:val="en-GB"/>
        </w:rPr>
        <w:t xml:space="preserve">On the movement of small particles suspended in stationary liquids required by the molecular-kinetic theory of heat. </w:t>
      </w:r>
      <w:r w:rsidRPr="006C21BC">
        <w:rPr>
          <w:rFonts w:ascii="Arial" w:eastAsia="Calibri" w:hAnsi="Arial" w:cs="Arial"/>
          <w:bCs/>
          <w:iCs/>
          <w:color w:val="000000"/>
          <w:sz w:val="20"/>
          <w:szCs w:val="20"/>
          <w:lang w:val="nl-BE"/>
        </w:rPr>
        <w:t xml:space="preserve">Annals of Physics, 322, 549560. </w:t>
      </w:r>
      <w:r>
        <w:fldChar w:fldCharType="begin"/>
      </w:r>
      <w:r>
        <w:instrText>HYPERLINK "http://dx.doi.org/10.1002/andp.19053220806"</w:instrText>
      </w:r>
      <w:r>
        <w:fldChar w:fldCharType="separate"/>
      </w:r>
      <w:r w:rsidRPr="006C21BC">
        <w:rPr>
          <w:rFonts w:ascii="Arial" w:eastAsia="Calibri" w:hAnsi="Arial" w:cs="Arial"/>
          <w:bCs/>
          <w:iCs/>
          <w:color w:val="0563C1"/>
          <w:sz w:val="20"/>
          <w:szCs w:val="20"/>
          <w:u w:val="single"/>
          <w:lang w:val="nl-BE"/>
        </w:rPr>
        <w:t>http://dx.doi.org/10.1002/andp.19053220806</w:t>
      </w:r>
      <w:r>
        <w:fldChar w:fldCharType="end"/>
      </w:r>
      <w:r w:rsidRPr="006C21BC">
        <w:rPr>
          <w:rFonts w:ascii="Arial" w:eastAsia="Calibri" w:hAnsi="Arial" w:cs="Arial"/>
          <w:bCs/>
          <w:iCs/>
          <w:color w:val="000000"/>
          <w:sz w:val="20"/>
          <w:szCs w:val="20"/>
          <w:u w:val="single"/>
          <w:lang w:val="nl-BE"/>
        </w:rPr>
        <w:t>.</w:t>
      </w:r>
    </w:p>
    <w:p w14:paraId="4F5CA7E7" w14:textId="77777777" w:rsidR="00A23698" w:rsidRPr="00A23698" w:rsidRDefault="00A23698" w:rsidP="00A23698">
      <w:pPr>
        <w:spacing w:after="0"/>
        <w:ind w:left="567" w:hanging="567"/>
        <w:jc w:val="both"/>
        <w:rPr>
          <w:rFonts w:ascii="Calibri" w:eastAsia="Calibri" w:hAnsi="Calibri" w:cs="Times New Roman"/>
          <w:color w:val="000000"/>
          <w:lang w:val="en-GB"/>
        </w:rPr>
      </w:pPr>
      <w:r w:rsidRPr="006C21BC">
        <w:rPr>
          <w:rFonts w:ascii="Arial" w:eastAsia="Calibri" w:hAnsi="Arial" w:cs="Arial"/>
          <w:color w:val="000000"/>
          <w:sz w:val="20"/>
          <w:szCs w:val="20"/>
          <w:lang w:val="nl-BE"/>
        </w:rPr>
        <w:t xml:space="preserve">Etilé, R. N., Kamelan, M. T., Bedia, T. A., Aka, M. N., Bi, G. G., Kouamelan, P. E., et al. </w:t>
      </w:r>
      <w:r w:rsidRPr="00A23698">
        <w:rPr>
          <w:rFonts w:ascii="Arial" w:eastAsia="Calibri" w:hAnsi="Arial" w:cs="Arial"/>
          <w:color w:val="000000"/>
          <w:sz w:val="20"/>
          <w:szCs w:val="20"/>
          <w:lang w:val="en-GB"/>
        </w:rPr>
        <w:t xml:space="preserve">(2020). Spatiotemporal variations in copepod nauplii abundance in tropical coastal lagoons in relation to environmental variables: Case of the lagoons of Côte d’Ivoire. </w:t>
      </w:r>
      <w:proofErr w:type="spellStart"/>
      <w:r w:rsidRPr="00A23698">
        <w:rPr>
          <w:rFonts w:ascii="Arial" w:eastAsia="Calibri" w:hAnsi="Arial" w:cs="Arial"/>
          <w:color w:val="000000"/>
          <w:sz w:val="20"/>
          <w:szCs w:val="20"/>
          <w:lang w:val="en-GB"/>
        </w:rPr>
        <w:t>Tropicultura</w:t>
      </w:r>
      <w:proofErr w:type="spellEnd"/>
      <w:r w:rsidRPr="00A23698">
        <w:rPr>
          <w:rFonts w:ascii="Arial" w:eastAsia="Calibri" w:hAnsi="Arial" w:cs="Arial"/>
          <w:color w:val="000000"/>
          <w:sz w:val="20"/>
          <w:szCs w:val="20"/>
          <w:lang w:val="en-GB"/>
        </w:rPr>
        <w:t xml:space="preserve">, 38(3-4), 1601. </w:t>
      </w:r>
    </w:p>
    <w:p w14:paraId="30A238CA" w14:textId="77777777" w:rsidR="00A23698" w:rsidRPr="00A23698" w:rsidRDefault="00A23698" w:rsidP="00A23698">
      <w:pPr>
        <w:spacing w:after="0"/>
        <w:ind w:firstLine="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DOI: 10.25518/2295-8010.1601</w:t>
      </w:r>
    </w:p>
    <w:p w14:paraId="5A695820" w14:textId="77777777" w:rsidR="00A23698" w:rsidRPr="00A23698" w:rsidRDefault="00A23698" w:rsidP="001E5AA6">
      <w:pPr>
        <w:spacing w:after="0"/>
        <w:ind w:left="567" w:hanging="567"/>
        <w:jc w:val="both"/>
        <w:rPr>
          <w:rFonts w:ascii="Calibri" w:eastAsia="Calibri" w:hAnsi="Calibri" w:cs="Times New Roman"/>
          <w:color w:val="000000"/>
          <w:lang w:val="en-GB"/>
        </w:rPr>
      </w:pPr>
      <w:r w:rsidRPr="00A23698">
        <w:rPr>
          <w:rFonts w:ascii="Arial" w:eastAsia="Calibri" w:hAnsi="Arial" w:cs="Arial"/>
          <w:color w:val="000000"/>
          <w:sz w:val="20"/>
          <w:szCs w:val="20"/>
          <w:lang w:val="en-GB"/>
        </w:rPr>
        <w:t xml:space="preserve">Fielding, J. J., </w:t>
      </w:r>
      <w:proofErr w:type="spellStart"/>
      <w:r w:rsidRPr="00A23698">
        <w:rPr>
          <w:rFonts w:ascii="Arial" w:eastAsia="Calibri" w:hAnsi="Arial" w:cs="Arial"/>
          <w:color w:val="000000"/>
          <w:sz w:val="20"/>
          <w:szCs w:val="20"/>
          <w:lang w:val="en-GB"/>
        </w:rPr>
        <w:t>Croudace</w:t>
      </w:r>
      <w:proofErr w:type="spellEnd"/>
      <w:r w:rsidRPr="00A23698">
        <w:rPr>
          <w:rFonts w:ascii="Arial" w:eastAsia="Calibri" w:hAnsi="Arial" w:cs="Arial"/>
          <w:color w:val="000000"/>
          <w:sz w:val="20"/>
          <w:szCs w:val="20"/>
          <w:lang w:val="en-GB"/>
        </w:rPr>
        <w:t xml:space="preserve">, I. W., Kemp, A. E. S., Pearce, R. B, Cotterill, C. J., Langdon, P., et al. (2020). Tracing lake pollution, eutrophication and partial recovery from the sediments of Windermere, UK, using geochemistry and sediment microfabrics. </w:t>
      </w:r>
      <w:r w:rsidRPr="00A23698">
        <w:rPr>
          <w:rFonts w:ascii="Arial" w:eastAsia="Calibri" w:hAnsi="Arial" w:cs="Arial"/>
          <w:iCs/>
          <w:color w:val="000000"/>
          <w:sz w:val="20"/>
          <w:szCs w:val="20"/>
          <w:lang w:val="en-IN"/>
        </w:rPr>
        <w:t>Science of the Total Environment</w:t>
      </w:r>
      <w:r w:rsidRPr="00A23698">
        <w:rPr>
          <w:rFonts w:ascii="Arial" w:eastAsia="Calibri" w:hAnsi="Arial" w:cs="Arial"/>
          <w:color w:val="000000"/>
          <w:sz w:val="20"/>
          <w:szCs w:val="20"/>
          <w:lang w:val="en-GB"/>
        </w:rPr>
        <w:t>; 722:137745. Doi: 1</w:t>
      </w:r>
      <w:r w:rsidR="001E5AA6">
        <w:rPr>
          <w:rFonts w:ascii="Arial" w:eastAsia="Calibri" w:hAnsi="Arial" w:cs="Arial"/>
          <w:color w:val="000000"/>
          <w:sz w:val="20"/>
          <w:szCs w:val="20"/>
          <w:lang w:val="en-GB"/>
        </w:rPr>
        <w:t>0.1016/j.scitotenv.2020.137745.</w:t>
      </w:r>
    </w:p>
    <w:p w14:paraId="1666AD0D" w14:textId="77777777" w:rsidR="00A23698" w:rsidRPr="00A23698" w:rsidRDefault="00A23698" w:rsidP="00A23698">
      <w:pPr>
        <w:spacing w:after="0"/>
        <w:ind w:left="567" w:hanging="567"/>
        <w:jc w:val="both"/>
        <w:rPr>
          <w:rFonts w:ascii="Calibri" w:eastAsia="Calibri" w:hAnsi="Calibri" w:cs="Times New Roman"/>
          <w:color w:val="000000"/>
        </w:rPr>
      </w:pPr>
      <w:r w:rsidRPr="00A23698">
        <w:rPr>
          <w:rFonts w:ascii="Arial" w:eastAsia="Calibri" w:hAnsi="Arial" w:cs="Arial"/>
          <w:color w:val="000000"/>
          <w:sz w:val="20"/>
          <w:szCs w:val="20"/>
          <w:lang w:val="en-GB"/>
        </w:rPr>
        <w:t xml:space="preserve">Hall, P.O., </w:t>
      </w:r>
      <w:proofErr w:type="spellStart"/>
      <w:r w:rsidRPr="00A23698">
        <w:rPr>
          <w:rFonts w:ascii="Arial" w:eastAsia="Calibri" w:hAnsi="Arial" w:cs="Arial"/>
          <w:color w:val="000000"/>
          <w:sz w:val="20"/>
          <w:szCs w:val="20"/>
          <w:lang w:val="en-GB"/>
        </w:rPr>
        <w:t>AlmrothRosell</w:t>
      </w:r>
      <w:proofErr w:type="spellEnd"/>
      <w:r w:rsidRPr="00A23698">
        <w:rPr>
          <w:rFonts w:ascii="Arial" w:eastAsia="Calibri" w:hAnsi="Arial" w:cs="Arial"/>
          <w:color w:val="000000"/>
          <w:sz w:val="20"/>
          <w:szCs w:val="20"/>
          <w:lang w:val="en-GB"/>
        </w:rPr>
        <w:t xml:space="preserve">, E., </w:t>
      </w:r>
      <w:proofErr w:type="spellStart"/>
      <w:r w:rsidRPr="00A23698">
        <w:rPr>
          <w:rFonts w:ascii="Arial" w:eastAsia="Calibri" w:hAnsi="Arial" w:cs="Arial"/>
          <w:color w:val="000000"/>
          <w:sz w:val="20"/>
          <w:szCs w:val="20"/>
          <w:lang w:val="en-GB"/>
        </w:rPr>
        <w:t>Bonaglia</w:t>
      </w:r>
      <w:proofErr w:type="spellEnd"/>
      <w:r w:rsidRPr="00A23698">
        <w:rPr>
          <w:rFonts w:ascii="Arial" w:eastAsia="Calibri" w:hAnsi="Arial" w:cs="Arial"/>
          <w:color w:val="000000"/>
          <w:sz w:val="20"/>
          <w:szCs w:val="20"/>
          <w:lang w:val="en-GB"/>
        </w:rPr>
        <w:t xml:space="preserve">, S., Dale, A.W., Hylén, A., </w:t>
      </w:r>
      <w:proofErr w:type="spellStart"/>
      <w:r w:rsidRPr="00A23698">
        <w:rPr>
          <w:rFonts w:ascii="Arial" w:eastAsia="Calibri" w:hAnsi="Arial" w:cs="Arial"/>
          <w:color w:val="000000"/>
          <w:sz w:val="20"/>
          <w:szCs w:val="20"/>
          <w:lang w:val="en-GB"/>
        </w:rPr>
        <w:t>Kononets</w:t>
      </w:r>
      <w:proofErr w:type="spellEnd"/>
      <w:r w:rsidRPr="00A23698">
        <w:rPr>
          <w:rFonts w:ascii="Arial" w:eastAsia="Calibri" w:hAnsi="Arial" w:cs="Arial"/>
          <w:color w:val="000000"/>
          <w:sz w:val="20"/>
          <w:szCs w:val="20"/>
          <w:lang w:val="en-GB"/>
        </w:rPr>
        <w:t xml:space="preserve">, M., et al. (2017). Influence of natural oxygenation of Baltic proper deep water on benthic recycling and removal of phosphorus, nitrogen, silicon and carbon. </w:t>
      </w:r>
      <w:proofErr w:type="spellStart"/>
      <w:r w:rsidRPr="00A23698">
        <w:rPr>
          <w:rFonts w:ascii="Arial" w:eastAsia="Calibri" w:hAnsi="Arial" w:cs="Arial"/>
          <w:color w:val="000000"/>
          <w:sz w:val="20"/>
          <w:szCs w:val="20"/>
        </w:rPr>
        <w:t>Frontiers</w:t>
      </w:r>
      <w:proofErr w:type="spellEnd"/>
      <w:r w:rsidRPr="00A23698">
        <w:rPr>
          <w:rFonts w:ascii="Arial" w:eastAsia="Calibri" w:hAnsi="Arial" w:cs="Arial"/>
          <w:color w:val="000000"/>
          <w:sz w:val="20"/>
          <w:szCs w:val="20"/>
        </w:rPr>
        <w:t xml:space="preserve"> in Marine Science 4, 27. </w:t>
      </w:r>
      <w:hyperlink r:id="rId32" w:history="1">
        <w:r w:rsidRPr="00A23698">
          <w:rPr>
            <w:rFonts w:ascii="Arial" w:eastAsia="Calibri" w:hAnsi="Arial" w:cs="Arial"/>
            <w:color w:val="000000"/>
            <w:sz w:val="20"/>
            <w:szCs w:val="20"/>
            <w:u w:val="single"/>
          </w:rPr>
          <w:t>https://doi.org/10.3389/fmars.2017.00027</w:t>
        </w:r>
      </w:hyperlink>
    </w:p>
    <w:p w14:paraId="7C099500" w14:textId="77777777" w:rsidR="00A23698" w:rsidRPr="00A23698" w:rsidRDefault="00A23698" w:rsidP="00A23698">
      <w:pPr>
        <w:spacing w:after="0"/>
        <w:ind w:left="567" w:hanging="567"/>
        <w:jc w:val="both"/>
        <w:rPr>
          <w:rFonts w:ascii="Calibri" w:eastAsia="Calibri" w:hAnsi="Calibri" w:cs="Times New Roman"/>
          <w:color w:val="000000"/>
          <w:lang w:val="en-GB"/>
        </w:rPr>
      </w:pPr>
      <w:proofErr w:type="spellStart"/>
      <w:r w:rsidRPr="00A23698">
        <w:rPr>
          <w:rFonts w:ascii="Arial" w:eastAsia="Calibri" w:hAnsi="Arial" w:cs="Arial"/>
          <w:color w:val="000000"/>
          <w:sz w:val="20"/>
          <w:szCs w:val="20"/>
        </w:rPr>
        <w:t>Issola</w:t>
      </w:r>
      <w:proofErr w:type="spellEnd"/>
      <w:r w:rsidRPr="00A23698">
        <w:rPr>
          <w:rFonts w:ascii="Arial" w:eastAsia="Calibri" w:hAnsi="Arial" w:cs="Arial"/>
          <w:color w:val="000000"/>
          <w:sz w:val="20"/>
          <w:szCs w:val="20"/>
        </w:rPr>
        <w:t xml:space="preserve">, Y., Kouassi, A. M., </w:t>
      </w:r>
      <w:proofErr w:type="spellStart"/>
      <w:r w:rsidRPr="00A23698">
        <w:rPr>
          <w:rFonts w:ascii="Arial" w:eastAsia="Calibri" w:hAnsi="Arial" w:cs="Arial"/>
          <w:color w:val="000000"/>
          <w:sz w:val="20"/>
          <w:szCs w:val="20"/>
        </w:rPr>
        <w:t>Dongui</w:t>
      </w:r>
      <w:proofErr w:type="spellEnd"/>
      <w:r w:rsidRPr="00A23698">
        <w:rPr>
          <w:rFonts w:ascii="Arial" w:eastAsia="Calibri" w:hAnsi="Arial" w:cs="Arial"/>
          <w:color w:val="000000"/>
          <w:sz w:val="20"/>
          <w:szCs w:val="20"/>
        </w:rPr>
        <w:t>, B. &amp;</w:t>
      </w:r>
      <w:proofErr w:type="spellStart"/>
      <w:r w:rsidRPr="00A23698">
        <w:rPr>
          <w:rFonts w:ascii="Arial" w:eastAsia="Calibri" w:hAnsi="Arial" w:cs="Arial"/>
          <w:color w:val="000000"/>
          <w:sz w:val="20"/>
          <w:szCs w:val="20"/>
        </w:rPr>
        <w:t>Biemi</w:t>
      </w:r>
      <w:proofErr w:type="spellEnd"/>
      <w:r w:rsidRPr="00A23698">
        <w:rPr>
          <w:rFonts w:ascii="Arial" w:eastAsia="Calibri" w:hAnsi="Arial" w:cs="Arial"/>
          <w:color w:val="000000"/>
          <w:sz w:val="20"/>
          <w:szCs w:val="20"/>
        </w:rPr>
        <w:t xml:space="preserve">, J. (2008). </w:t>
      </w:r>
      <w:r w:rsidRPr="00A23698">
        <w:rPr>
          <w:rFonts w:ascii="Arial" w:eastAsia="Calibri" w:hAnsi="Arial" w:cs="Arial"/>
          <w:color w:val="000000"/>
          <w:sz w:val="20"/>
          <w:szCs w:val="20"/>
          <w:lang w:val="en-GB"/>
        </w:rPr>
        <w:t>Physicochemical characteristics of a tropical coastal lagoon: Fresco Lagoon (Ivory Coast). Africa Science International Journal of Science and Technology, 04(3), 368-393. DOI: 10.4314/afsci.v4i3.61696</w:t>
      </w:r>
    </w:p>
    <w:p w14:paraId="16A61391" w14:textId="77777777" w:rsidR="00A23698" w:rsidRPr="00A23698" w:rsidRDefault="00A23698" w:rsidP="00A23698">
      <w:pPr>
        <w:spacing w:after="0"/>
        <w:ind w:left="567" w:hanging="567"/>
        <w:jc w:val="both"/>
        <w:rPr>
          <w:rFonts w:ascii="Calibri" w:eastAsia="Calibri" w:hAnsi="Calibri" w:cs="Times New Roman"/>
          <w:color w:val="000000"/>
          <w:lang w:val="en-GB"/>
        </w:rPr>
      </w:pPr>
      <w:proofErr w:type="spellStart"/>
      <w:r w:rsidRPr="00A23698">
        <w:rPr>
          <w:rFonts w:ascii="Arial" w:eastAsia="Calibri" w:hAnsi="Arial" w:cs="Arial"/>
          <w:color w:val="000000"/>
          <w:sz w:val="20"/>
          <w:szCs w:val="20"/>
        </w:rPr>
        <w:t>Issola</w:t>
      </w:r>
      <w:proofErr w:type="spellEnd"/>
      <w:r w:rsidRPr="00A23698">
        <w:rPr>
          <w:rFonts w:ascii="Arial" w:eastAsia="Calibri" w:hAnsi="Arial" w:cs="Arial"/>
          <w:color w:val="000000"/>
          <w:sz w:val="20"/>
          <w:szCs w:val="20"/>
        </w:rPr>
        <w:t xml:space="preserve">, Y., Kouassi, A. M., </w:t>
      </w:r>
      <w:proofErr w:type="spellStart"/>
      <w:r w:rsidRPr="00A23698">
        <w:rPr>
          <w:rFonts w:ascii="Arial" w:eastAsia="Calibri" w:hAnsi="Arial" w:cs="Arial"/>
          <w:color w:val="000000"/>
          <w:sz w:val="20"/>
          <w:szCs w:val="20"/>
        </w:rPr>
        <w:t>Dongui</w:t>
      </w:r>
      <w:proofErr w:type="spellEnd"/>
      <w:r w:rsidRPr="00A23698">
        <w:rPr>
          <w:rFonts w:ascii="Arial" w:eastAsia="Calibri" w:hAnsi="Arial" w:cs="Arial"/>
          <w:color w:val="000000"/>
          <w:sz w:val="20"/>
          <w:szCs w:val="20"/>
        </w:rPr>
        <w:t xml:space="preserve">, B. K., </w:t>
      </w:r>
      <w:proofErr w:type="spellStart"/>
      <w:r w:rsidRPr="00A23698">
        <w:rPr>
          <w:rFonts w:ascii="Arial" w:eastAsia="Calibri" w:hAnsi="Arial" w:cs="Arial"/>
          <w:color w:val="000000"/>
          <w:sz w:val="20"/>
          <w:szCs w:val="20"/>
        </w:rPr>
        <w:t>Adingra</w:t>
      </w:r>
      <w:proofErr w:type="spellEnd"/>
      <w:r w:rsidRPr="00A23698">
        <w:rPr>
          <w:rFonts w:ascii="Arial" w:eastAsia="Calibri" w:hAnsi="Arial" w:cs="Arial"/>
          <w:color w:val="000000"/>
          <w:sz w:val="20"/>
          <w:szCs w:val="20"/>
        </w:rPr>
        <w:t>, A. A., &amp;</w:t>
      </w:r>
      <w:proofErr w:type="spellStart"/>
      <w:r w:rsidRPr="00A23698">
        <w:rPr>
          <w:rFonts w:ascii="Arial" w:eastAsia="Calibri" w:hAnsi="Arial" w:cs="Arial"/>
          <w:color w:val="000000"/>
          <w:sz w:val="20"/>
          <w:szCs w:val="20"/>
        </w:rPr>
        <w:t>Biemi</w:t>
      </w:r>
      <w:proofErr w:type="spellEnd"/>
      <w:r w:rsidRPr="00A23698">
        <w:rPr>
          <w:rFonts w:ascii="Arial" w:eastAsia="Calibri" w:hAnsi="Arial" w:cs="Arial"/>
          <w:color w:val="000000"/>
          <w:sz w:val="20"/>
          <w:szCs w:val="20"/>
        </w:rPr>
        <w:t xml:space="preserve">, J. (2009). </w:t>
      </w:r>
      <w:r w:rsidRPr="00A23698">
        <w:rPr>
          <w:rFonts w:ascii="Arial" w:eastAsia="Calibri" w:hAnsi="Arial" w:cs="Arial"/>
          <w:color w:val="000000"/>
          <w:sz w:val="20"/>
          <w:szCs w:val="20"/>
          <w:lang w:val="en-GB"/>
        </w:rPr>
        <w:t xml:space="preserve">Heavy metal concentration in sediments of a tropical coastal lagoon: Fresco Lagoon (Ivory Coast). Journal of Applied Biosciences, 18, 1009-1018. Available: </w:t>
      </w:r>
      <w:hyperlink r:id="rId33" w:history="1">
        <w:r w:rsidRPr="00A23698">
          <w:rPr>
            <w:rFonts w:ascii="Arial" w:eastAsia="Calibri" w:hAnsi="Arial" w:cs="Arial"/>
            <w:color w:val="0563C1"/>
            <w:sz w:val="20"/>
            <w:szCs w:val="20"/>
            <w:u w:val="single"/>
            <w:lang w:val="en-GB"/>
          </w:rPr>
          <w:t>www.biosciences.elewa.org</w:t>
        </w:r>
      </w:hyperlink>
    </w:p>
    <w:p w14:paraId="7C49712C" w14:textId="77777777" w:rsidR="00A23698" w:rsidRPr="00A23698" w:rsidRDefault="00A23698" w:rsidP="00A23698">
      <w:pPr>
        <w:spacing w:after="0"/>
        <w:ind w:left="567" w:hanging="567"/>
        <w:jc w:val="both"/>
        <w:rPr>
          <w:rFonts w:ascii="Calibri" w:eastAsia="Calibri" w:hAnsi="Calibri" w:cs="Times New Roman"/>
          <w:color w:val="000000"/>
        </w:rPr>
      </w:pPr>
      <w:r w:rsidRPr="00A23698">
        <w:rPr>
          <w:rFonts w:ascii="Arial" w:eastAsia="Calibri" w:hAnsi="Arial" w:cs="Arial"/>
          <w:color w:val="000000"/>
          <w:sz w:val="20"/>
          <w:szCs w:val="20"/>
          <w:lang w:val="en-GB"/>
        </w:rPr>
        <w:t xml:space="preserve">Kang, M. X., Peng, S., Tian, Y. M., &amp; Zhang, H. Y., (2018). Effects of dissolved oxygen and nutrient loading on phosphorus fluxes at the sediment-water interface in the Hai River Estuary, China. </w:t>
      </w:r>
      <w:r w:rsidRPr="00A23698">
        <w:rPr>
          <w:rFonts w:ascii="Arial" w:eastAsia="Calibri" w:hAnsi="Arial" w:cs="Arial"/>
          <w:color w:val="000000"/>
          <w:sz w:val="20"/>
          <w:szCs w:val="20"/>
        </w:rPr>
        <w:t xml:space="preserve">Marine Pollution Bulletin; 130, 132–139. </w:t>
      </w:r>
      <w:hyperlink r:id="rId34" w:history="1">
        <w:r w:rsidRPr="00A23698">
          <w:rPr>
            <w:rFonts w:ascii="Arial" w:eastAsia="Calibri" w:hAnsi="Arial" w:cs="Arial"/>
            <w:color w:val="000000"/>
            <w:sz w:val="20"/>
            <w:szCs w:val="20"/>
            <w:u w:val="single"/>
          </w:rPr>
          <w:t>https://doi.org/10.1016/j.marpolbul.2018.03.029</w:t>
        </w:r>
      </w:hyperlink>
      <w:r w:rsidRPr="00A23698">
        <w:rPr>
          <w:rFonts w:ascii="Arial" w:eastAsia="Calibri" w:hAnsi="Arial" w:cs="Arial"/>
          <w:color w:val="000000"/>
          <w:sz w:val="20"/>
          <w:szCs w:val="20"/>
        </w:rPr>
        <w:t>.</w:t>
      </w:r>
    </w:p>
    <w:p w14:paraId="28879A79" w14:textId="77777777" w:rsidR="00A23698" w:rsidRPr="00A23698" w:rsidRDefault="00A23698" w:rsidP="00A23698">
      <w:pPr>
        <w:spacing w:after="0"/>
        <w:ind w:left="567" w:hanging="567"/>
        <w:jc w:val="both"/>
        <w:rPr>
          <w:rFonts w:ascii="Arial" w:hAnsi="Arial" w:cs="Arial"/>
          <w:sz w:val="20"/>
          <w:szCs w:val="20"/>
          <w:lang w:val="en-GB"/>
        </w:rPr>
      </w:pPr>
      <w:r w:rsidRPr="00A23698">
        <w:rPr>
          <w:rFonts w:ascii="Arial" w:hAnsi="Arial" w:cs="Arial"/>
          <w:sz w:val="20"/>
          <w:szCs w:val="20"/>
        </w:rPr>
        <w:t xml:space="preserve">Lang, Y., Wu, Y., Bao, H., Tuya, N., Liu, F., </w:t>
      </w:r>
      <w:proofErr w:type="spellStart"/>
      <w:r w:rsidRPr="00A23698">
        <w:rPr>
          <w:rFonts w:ascii="Arial" w:hAnsi="Arial" w:cs="Arial"/>
          <w:sz w:val="20"/>
          <w:szCs w:val="20"/>
        </w:rPr>
        <w:t>Ruhan</w:t>
      </w:r>
      <w:proofErr w:type="spellEnd"/>
      <w:r w:rsidRPr="00A23698">
        <w:rPr>
          <w:rFonts w:ascii="Arial" w:hAnsi="Arial" w:cs="Arial"/>
          <w:sz w:val="20"/>
          <w:szCs w:val="20"/>
        </w:rPr>
        <w:t xml:space="preserve">, A., et al. </w:t>
      </w:r>
      <w:r w:rsidRPr="00A23698">
        <w:rPr>
          <w:rFonts w:ascii="Arial" w:hAnsi="Arial" w:cs="Arial"/>
          <w:sz w:val="20"/>
          <w:szCs w:val="20"/>
          <w:lang w:val="en-GB"/>
        </w:rPr>
        <w:t>(2025). Seasonal variation of N</w:t>
      </w:r>
      <w:r w:rsidRPr="00A23698">
        <w:rPr>
          <w:rFonts w:ascii="Arial" w:hAnsi="Arial" w:cs="Arial"/>
          <w:sz w:val="20"/>
          <w:szCs w:val="20"/>
          <w:vertAlign w:val="subscript"/>
          <w:lang w:val="en-GB"/>
        </w:rPr>
        <w:t>2</w:t>
      </w:r>
      <w:r w:rsidRPr="00A23698">
        <w:rPr>
          <w:rFonts w:ascii="Arial" w:hAnsi="Arial" w:cs="Arial"/>
          <w:sz w:val="20"/>
          <w:szCs w:val="20"/>
          <w:lang w:val="en-GB"/>
        </w:rPr>
        <w:t>O flux at the water air interface and its influencing factors in the Inner Mongolia section of the Yellow River in 2023. </w:t>
      </w:r>
      <w:r w:rsidRPr="00A23698">
        <w:rPr>
          <w:rFonts w:ascii="Arial" w:hAnsi="Arial" w:cs="Arial"/>
          <w:iCs/>
          <w:sz w:val="20"/>
          <w:szCs w:val="20"/>
          <w:lang w:val="en-GB"/>
        </w:rPr>
        <w:t>Journal of Freshwater Ecology</w:t>
      </w:r>
      <w:r w:rsidRPr="00A23698">
        <w:rPr>
          <w:rFonts w:ascii="Arial" w:hAnsi="Arial" w:cs="Arial"/>
          <w:sz w:val="20"/>
          <w:szCs w:val="20"/>
          <w:lang w:val="en-GB"/>
        </w:rPr>
        <w:t>, </w:t>
      </w:r>
      <w:r w:rsidRPr="00A23698">
        <w:rPr>
          <w:rFonts w:ascii="Arial" w:hAnsi="Arial" w:cs="Arial"/>
          <w:i/>
          <w:iCs/>
          <w:sz w:val="20"/>
          <w:szCs w:val="20"/>
          <w:lang w:val="en-GB"/>
        </w:rPr>
        <w:t>40</w:t>
      </w:r>
      <w:r w:rsidRPr="00A23698">
        <w:rPr>
          <w:rFonts w:ascii="Arial" w:hAnsi="Arial" w:cs="Arial"/>
          <w:sz w:val="20"/>
          <w:szCs w:val="20"/>
          <w:lang w:val="en-GB"/>
        </w:rPr>
        <w:t xml:space="preserve">(1). </w:t>
      </w:r>
      <w:hyperlink r:id="rId35" w:history="1">
        <w:r w:rsidRPr="00A23698">
          <w:rPr>
            <w:rFonts w:ascii="Arial" w:hAnsi="Arial" w:cs="Arial"/>
            <w:color w:val="0563C1"/>
            <w:sz w:val="20"/>
            <w:szCs w:val="20"/>
            <w:u w:val="single"/>
            <w:lang w:val="en-GB"/>
          </w:rPr>
          <w:t>https://doi.org/10.1080/02705060.2025.2501974</w:t>
        </w:r>
      </w:hyperlink>
    </w:p>
    <w:p w14:paraId="753DE69A" w14:textId="77777777" w:rsidR="00A23698" w:rsidRPr="00A23698" w:rsidRDefault="00A23698" w:rsidP="00A23698">
      <w:pPr>
        <w:spacing w:after="0"/>
        <w:ind w:left="567" w:hanging="567"/>
        <w:jc w:val="both"/>
        <w:rPr>
          <w:rFonts w:ascii="Arial" w:hAnsi="Arial" w:cs="Arial"/>
          <w:sz w:val="20"/>
          <w:szCs w:val="20"/>
          <w:lang w:val="en-GB"/>
        </w:rPr>
      </w:pPr>
      <w:r w:rsidRPr="00A60839">
        <w:rPr>
          <w:rFonts w:ascii="Arial" w:eastAsia="Calibri" w:hAnsi="Arial" w:cs="Arial"/>
          <w:color w:val="000000"/>
          <w:sz w:val="20"/>
          <w:szCs w:val="20"/>
        </w:rPr>
        <w:t xml:space="preserve">Lei, P., Zhu, J., Zhong, H., Pan, K., Zhang, </w:t>
      </w:r>
      <w:proofErr w:type="gramStart"/>
      <w:r w:rsidRPr="00A60839">
        <w:rPr>
          <w:rFonts w:ascii="Arial" w:eastAsia="Calibri" w:hAnsi="Arial" w:cs="Arial"/>
          <w:color w:val="000000"/>
          <w:sz w:val="20"/>
          <w:szCs w:val="20"/>
        </w:rPr>
        <w:t>L.,&amp;</w:t>
      </w:r>
      <w:proofErr w:type="gramEnd"/>
      <w:r w:rsidRPr="00A60839">
        <w:rPr>
          <w:rFonts w:ascii="Arial" w:eastAsia="Calibri" w:hAnsi="Arial" w:cs="Arial"/>
          <w:color w:val="000000"/>
          <w:sz w:val="20"/>
          <w:szCs w:val="20"/>
        </w:rPr>
        <w:t xml:space="preserve"> Zhang, H. (2021). </w:t>
      </w:r>
      <w:r w:rsidRPr="00A23698">
        <w:rPr>
          <w:rFonts w:ascii="Arial" w:eastAsia="Calibri" w:hAnsi="Arial" w:cs="Arial"/>
          <w:color w:val="000000"/>
          <w:sz w:val="20"/>
          <w:szCs w:val="20"/>
          <w:lang w:val="en-GB"/>
        </w:rPr>
        <w:t>Distribution of Nitrogen and Phosphorus in Pore Water Profiles and Estimation of Their Diffusive Fluxes and Annual Loads in Guanting Reservoir (GTR), Northern China. Bulletin of Environmental Contamination and Toxicology.</w:t>
      </w:r>
      <w:r w:rsidRPr="00A23698">
        <w:rPr>
          <w:rFonts w:ascii="Arial" w:hAnsi="Arial" w:cs="Arial"/>
          <w:sz w:val="20"/>
          <w:szCs w:val="20"/>
          <w:lang w:val="en-GB"/>
        </w:rPr>
        <w:t xml:space="preserve"> </w:t>
      </w:r>
      <w:hyperlink r:id="rId36" w:history="1">
        <w:r w:rsidRPr="00A23698">
          <w:rPr>
            <w:rFonts w:ascii="Arial" w:eastAsia="Calibri" w:hAnsi="Arial" w:cs="Arial"/>
            <w:color w:val="000000"/>
            <w:sz w:val="20"/>
            <w:szCs w:val="20"/>
            <w:u w:val="single"/>
            <w:lang w:val="en-GB"/>
          </w:rPr>
          <w:t>https://doi.org/10.1007/s00128-020-02891-0</w:t>
        </w:r>
      </w:hyperlink>
    </w:p>
    <w:p w14:paraId="62C48932"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proofErr w:type="spellStart"/>
      <w:r w:rsidRPr="00A23698">
        <w:rPr>
          <w:rFonts w:ascii="Arial" w:eastAsia="Calibri" w:hAnsi="Arial" w:cs="Arial"/>
          <w:color w:val="000000"/>
          <w:sz w:val="20"/>
          <w:szCs w:val="20"/>
          <w:lang w:val="en-GB"/>
        </w:rPr>
        <w:t>Lengier</w:t>
      </w:r>
      <w:proofErr w:type="spellEnd"/>
      <w:r w:rsidRPr="00A23698">
        <w:rPr>
          <w:rFonts w:ascii="Arial" w:eastAsia="Calibri" w:hAnsi="Arial" w:cs="Arial"/>
          <w:color w:val="000000"/>
          <w:sz w:val="20"/>
          <w:szCs w:val="20"/>
          <w:lang w:val="en-GB"/>
        </w:rPr>
        <w:t xml:space="preserve">, M., Szymczych, B., </w:t>
      </w:r>
      <w:proofErr w:type="spellStart"/>
      <w:r w:rsidRPr="00A23698">
        <w:rPr>
          <w:rFonts w:ascii="Arial" w:eastAsia="Calibri" w:hAnsi="Arial" w:cs="Arial"/>
          <w:color w:val="000000"/>
          <w:sz w:val="20"/>
          <w:szCs w:val="20"/>
          <w:lang w:val="en-GB"/>
        </w:rPr>
        <w:t>Brodecka-Goluch</w:t>
      </w:r>
      <w:proofErr w:type="spellEnd"/>
      <w:r w:rsidRPr="00A23698">
        <w:rPr>
          <w:rFonts w:ascii="Arial" w:eastAsia="Calibri" w:hAnsi="Arial" w:cs="Arial"/>
          <w:color w:val="000000"/>
          <w:sz w:val="20"/>
          <w:szCs w:val="20"/>
          <w:lang w:val="en-GB"/>
        </w:rPr>
        <w:t xml:space="preserve">, A., </w:t>
      </w:r>
      <w:proofErr w:type="spellStart"/>
      <w:r w:rsidRPr="00A23698">
        <w:rPr>
          <w:rFonts w:ascii="Arial" w:eastAsia="Calibri" w:hAnsi="Arial" w:cs="Arial"/>
          <w:color w:val="000000"/>
          <w:sz w:val="20"/>
          <w:szCs w:val="20"/>
          <w:lang w:val="en-GB"/>
        </w:rPr>
        <w:t>Kłostowska</w:t>
      </w:r>
      <w:proofErr w:type="spellEnd"/>
      <w:r w:rsidRPr="00A23698">
        <w:rPr>
          <w:rFonts w:ascii="Arial" w:eastAsia="Calibri" w:hAnsi="Arial" w:cs="Arial"/>
          <w:color w:val="000000"/>
          <w:sz w:val="20"/>
          <w:szCs w:val="20"/>
          <w:lang w:val="en-GB"/>
        </w:rPr>
        <w:t xml:space="preserve">, Z. &amp; </w:t>
      </w:r>
      <w:proofErr w:type="spellStart"/>
      <w:r w:rsidRPr="00A23698">
        <w:rPr>
          <w:rFonts w:ascii="Arial" w:eastAsia="Calibri" w:hAnsi="Arial" w:cs="Arial"/>
          <w:color w:val="000000"/>
          <w:sz w:val="20"/>
          <w:szCs w:val="20"/>
          <w:lang w:val="en-GB"/>
        </w:rPr>
        <w:t>Kuliński</w:t>
      </w:r>
      <w:proofErr w:type="spellEnd"/>
      <w:r w:rsidRPr="00A23698">
        <w:rPr>
          <w:rFonts w:ascii="Arial" w:eastAsia="Calibri" w:hAnsi="Arial" w:cs="Arial"/>
          <w:color w:val="000000"/>
          <w:sz w:val="20"/>
          <w:szCs w:val="20"/>
          <w:lang w:val="en-GB"/>
        </w:rPr>
        <w:t xml:space="preserve">, K. (2021). Benthic diffusive fluxes of organic and inorganic carbon, ammonium and phosphates from deep water sediments of the Baltic Sea. </w:t>
      </w:r>
      <w:proofErr w:type="spellStart"/>
      <w:r w:rsidRPr="00A23698">
        <w:rPr>
          <w:rFonts w:ascii="Arial" w:eastAsia="Calibri" w:hAnsi="Arial" w:cs="Arial"/>
          <w:color w:val="000000"/>
          <w:sz w:val="20"/>
          <w:szCs w:val="20"/>
          <w:lang w:val="en-GB"/>
        </w:rPr>
        <w:t>Oceanologia</w:t>
      </w:r>
      <w:proofErr w:type="spellEnd"/>
      <w:r w:rsidRPr="00A23698">
        <w:rPr>
          <w:rFonts w:ascii="Arial" w:eastAsia="Calibri" w:hAnsi="Arial" w:cs="Arial"/>
          <w:i/>
          <w:color w:val="000000"/>
          <w:sz w:val="20"/>
          <w:szCs w:val="20"/>
          <w:lang w:val="en-GB"/>
        </w:rPr>
        <w:t xml:space="preserve">; </w:t>
      </w:r>
      <w:r w:rsidRPr="00A23698">
        <w:rPr>
          <w:rFonts w:ascii="Arial" w:eastAsia="Calibri" w:hAnsi="Arial" w:cs="Arial"/>
          <w:color w:val="000000"/>
          <w:sz w:val="20"/>
          <w:szCs w:val="20"/>
          <w:lang w:val="en-GB"/>
        </w:rPr>
        <w:t>63; 370-384</w:t>
      </w:r>
    </w:p>
    <w:p w14:paraId="28D028B2"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Li, N. X., Xu, J. F., Yin, W., Chen, Q. Z., Wang, J., &amp;Shi, Z. H. (2020). Effect of local watershed landscapes on the nitrogen and phosphorus concentrations in the waterbodies of reservoir bays. </w:t>
      </w:r>
      <w:r w:rsidRPr="00A23698">
        <w:rPr>
          <w:rFonts w:ascii="Arial" w:eastAsia="Calibri" w:hAnsi="Arial" w:cs="Arial"/>
          <w:iCs/>
          <w:color w:val="000000"/>
          <w:sz w:val="20"/>
          <w:szCs w:val="20"/>
          <w:lang w:val="en-IN"/>
        </w:rPr>
        <w:t>Science of the Total Environment</w:t>
      </w:r>
      <w:r w:rsidRPr="00A23698">
        <w:rPr>
          <w:rFonts w:ascii="Arial" w:eastAsia="Calibri" w:hAnsi="Arial" w:cs="Arial"/>
          <w:color w:val="000000"/>
          <w:sz w:val="20"/>
          <w:szCs w:val="20"/>
          <w:lang w:val="en-GB"/>
        </w:rPr>
        <w:t xml:space="preserve">; 10; 716:137132. DOI: 10.1016/j.scitotenv.2020.137132. </w:t>
      </w:r>
    </w:p>
    <w:p w14:paraId="54B5ECDC"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Li, R., Tang, X., Wang, D., Chen, W., Liu, X. &amp; Yang, W. (2025). Nitrogen and phosphorus dynamics during medium and small flood regulation in the Xiangxi River Bay of the Three Gorges Reservoir: implications for tributary eutrophication. Environmental Monitoring and Assessment; 3; 197 (8); 855. </w:t>
      </w:r>
      <w:proofErr w:type="spellStart"/>
      <w:r w:rsidRPr="00A23698">
        <w:rPr>
          <w:rFonts w:ascii="Arial" w:eastAsia="Calibri" w:hAnsi="Arial" w:cs="Arial"/>
          <w:color w:val="000000"/>
          <w:sz w:val="20"/>
          <w:szCs w:val="20"/>
          <w:lang w:val="en-GB"/>
        </w:rPr>
        <w:t>doi</w:t>
      </w:r>
      <w:proofErr w:type="spellEnd"/>
      <w:r w:rsidRPr="00A23698">
        <w:rPr>
          <w:rFonts w:ascii="Arial" w:eastAsia="Calibri" w:hAnsi="Arial" w:cs="Arial"/>
          <w:color w:val="000000"/>
          <w:sz w:val="20"/>
          <w:szCs w:val="20"/>
          <w:lang w:val="en-GB"/>
        </w:rPr>
        <w:t>: 10.1007/s10661-025-14270-5.</w:t>
      </w:r>
    </w:p>
    <w:p w14:paraId="624C969A"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Li, W.; Xu, S.; Chen, X.; Han, D. &amp; Mu, </w:t>
      </w:r>
      <w:proofErr w:type="gramStart"/>
      <w:r w:rsidRPr="00A23698">
        <w:rPr>
          <w:rFonts w:ascii="Arial" w:eastAsia="Calibri" w:hAnsi="Arial" w:cs="Arial"/>
          <w:color w:val="000000"/>
          <w:sz w:val="20"/>
          <w:szCs w:val="20"/>
          <w:lang w:val="en-GB"/>
        </w:rPr>
        <w:t>B.(</w:t>
      </w:r>
      <w:proofErr w:type="gramEnd"/>
      <w:r w:rsidRPr="00A23698">
        <w:rPr>
          <w:rFonts w:ascii="Arial" w:eastAsia="Calibri" w:hAnsi="Arial" w:cs="Arial"/>
          <w:color w:val="000000"/>
          <w:sz w:val="20"/>
          <w:szCs w:val="20"/>
          <w:lang w:val="en-GB"/>
        </w:rPr>
        <w:t xml:space="preserve">2023). Influencing Factors and Nutrient Release from Sediments in the Water Level Fluctuation Zone of </w:t>
      </w:r>
      <w:proofErr w:type="spellStart"/>
      <w:r w:rsidRPr="00A23698">
        <w:rPr>
          <w:rFonts w:ascii="Arial" w:eastAsia="Calibri" w:hAnsi="Arial" w:cs="Arial"/>
          <w:color w:val="000000"/>
          <w:sz w:val="20"/>
          <w:szCs w:val="20"/>
          <w:lang w:val="en-GB"/>
        </w:rPr>
        <w:t>Biliuhe</w:t>
      </w:r>
      <w:proofErr w:type="spellEnd"/>
      <w:r w:rsidRPr="00A23698">
        <w:rPr>
          <w:rFonts w:ascii="Arial" w:eastAsia="Calibri" w:hAnsi="Arial" w:cs="Arial"/>
          <w:color w:val="000000"/>
          <w:sz w:val="20"/>
          <w:szCs w:val="20"/>
          <w:lang w:val="en-GB"/>
        </w:rPr>
        <w:t xml:space="preserve"> Reservoir, a Drinking Water Reservoir. Water, 15, 3659. </w:t>
      </w:r>
      <w:hyperlink r:id="rId37" w:history="1">
        <w:r w:rsidRPr="00A23698">
          <w:rPr>
            <w:rFonts w:ascii="Arial" w:eastAsia="Calibri" w:hAnsi="Arial" w:cs="Arial"/>
            <w:color w:val="000000"/>
            <w:sz w:val="20"/>
            <w:szCs w:val="20"/>
            <w:u w:val="single"/>
            <w:lang w:val="en-GB"/>
          </w:rPr>
          <w:t>https://doi.org/10.3390/w15203659</w:t>
        </w:r>
      </w:hyperlink>
      <w:r w:rsidRPr="00A23698">
        <w:rPr>
          <w:rFonts w:ascii="Arial" w:eastAsia="Calibri" w:hAnsi="Arial" w:cs="Arial"/>
          <w:color w:val="000000"/>
          <w:sz w:val="20"/>
          <w:szCs w:val="20"/>
          <w:u w:val="single"/>
          <w:lang w:val="en-GB"/>
        </w:rPr>
        <w:t>.</w:t>
      </w:r>
    </w:p>
    <w:p w14:paraId="2F3A7441"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rPr>
      </w:pPr>
      <w:r w:rsidRPr="00A23698">
        <w:rPr>
          <w:rFonts w:ascii="Arial" w:eastAsia="Calibri" w:hAnsi="Arial" w:cs="Arial"/>
          <w:color w:val="000000"/>
          <w:sz w:val="20"/>
          <w:szCs w:val="20"/>
          <w:lang w:val="en-GB"/>
        </w:rPr>
        <w:lastRenderedPageBreak/>
        <w:t xml:space="preserve">Li, Y. &amp; Gregory, S. (1974). Diffusion of ions in sea water and in deep-sea sediments. </w:t>
      </w:r>
      <w:proofErr w:type="spellStart"/>
      <w:r w:rsidRPr="00A23698">
        <w:rPr>
          <w:rFonts w:ascii="Arial" w:eastAsia="Calibri" w:hAnsi="Arial" w:cs="Arial"/>
          <w:color w:val="000000"/>
          <w:sz w:val="20"/>
          <w:szCs w:val="20"/>
        </w:rPr>
        <w:t>Geochimica</w:t>
      </w:r>
      <w:proofErr w:type="spellEnd"/>
      <w:r w:rsidRPr="00A23698">
        <w:rPr>
          <w:rFonts w:ascii="Arial" w:eastAsia="Calibri" w:hAnsi="Arial" w:cs="Arial"/>
          <w:color w:val="000000"/>
          <w:sz w:val="20"/>
          <w:szCs w:val="20"/>
        </w:rPr>
        <w:t xml:space="preserve"> et </w:t>
      </w:r>
      <w:proofErr w:type="spellStart"/>
      <w:r w:rsidRPr="00A23698">
        <w:rPr>
          <w:rFonts w:ascii="Arial" w:eastAsia="Calibri" w:hAnsi="Arial" w:cs="Arial"/>
          <w:color w:val="000000"/>
          <w:sz w:val="20"/>
          <w:szCs w:val="20"/>
        </w:rPr>
        <w:t>Cosmochimica</w:t>
      </w:r>
      <w:proofErr w:type="spellEnd"/>
      <w:r w:rsidRPr="00A23698">
        <w:rPr>
          <w:rFonts w:ascii="Arial" w:eastAsia="Calibri" w:hAnsi="Arial" w:cs="Arial"/>
          <w:color w:val="000000"/>
          <w:sz w:val="20"/>
          <w:szCs w:val="20"/>
        </w:rPr>
        <w:t xml:space="preserve"> Acta; 38 (5), 703–714. DOI: 10.1016/0016-7037(74)90145-8</w:t>
      </w:r>
    </w:p>
    <w:p w14:paraId="708AA113"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proofErr w:type="spellStart"/>
      <w:r w:rsidRPr="00A23698">
        <w:rPr>
          <w:rFonts w:ascii="Arial" w:eastAsia="Calibri" w:hAnsi="Arial" w:cs="Arial"/>
          <w:color w:val="000000"/>
          <w:sz w:val="20"/>
          <w:szCs w:val="20"/>
        </w:rPr>
        <w:t>Mechouet</w:t>
      </w:r>
      <w:proofErr w:type="spellEnd"/>
      <w:r w:rsidRPr="00A23698">
        <w:rPr>
          <w:rFonts w:ascii="Arial" w:eastAsia="Calibri" w:hAnsi="Arial" w:cs="Arial"/>
          <w:color w:val="000000"/>
          <w:sz w:val="20"/>
          <w:szCs w:val="20"/>
        </w:rPr>
        <w:t xml:space="preserve">, O., </w:t>
      </w:r>
      <w:proofErr w:type="spellStart"/>
      <w:r w:rsidRPr="00A23698">
        <w:rPr>
          <w:rFonts w:ascii="Arial" w:eastAsia="Calibri" w:hAnsi="Arial" w:cs="Arial"/>
          <w:color w:val="000000"/>
          <w:sz w:val="20"/>
          <w:szCs w:val="20"/>
        </w:rPr>
        <w:t>Foudil</w:t>
      </w:r>
      <w:proofErr w:type="spellEnd"/>
      <w:r w:rsidRPr="00A23698">
        <w:rPr>
          <w:rFonts w:ascii="Arial" w:eastAsia="Calibri" w:hAnsi="Arial" w:cs="Arial"/>
          <w:color w:val="000000"/>
          <w:sz w:val="20"/>
          <w:szCs w:val="20"/>
        </w:rPr>
        <w:t xml:space="preserve">-Bouras, A. E., </w:t>
      </w:r>
      <w:proofErr w:type="spellStart"/>
      <w:r w:rsidRPr="00A23698">
        <w:rPr>
          <w:rFonts w:ascii="Arial" w:eastAsia="Calibri" w:hAnsi="Arial" w:cs="Arial"/>
          <w:color w:val="000000"/>
          <w:sz w:val="20"/>
          <w:szCs w:val="20"/>
        </w:rPr>
        <w:t>Benaissa</w:t>
      </w:r>
      <w:proofErr w:type="spellEnd"/>
      <w:r w:rsidRPr="00A23698">
        <w:rPr>
          <w:rFonts w:ascii="Arial" w:eastAsia="Calibri" w:hAnsi="Arial" w:cs="Arial"/>
          <w:color w:val="000000"/>
          <w:sz w:val="20"/>
          <w:szCs w:val="20"/>
        </w:rPr>
        <w:t xml:space="preserve">, N., Haddad, F. Z., Ait </w:t>
      </w:r>
      <w:proofErr w:type="spellStart"/>
      <w:r w:rsidRPr="00A23698">
        <w:rPr>
          <w:rFonts w:ascii="Arial" w:eastAsia="Calibri" w:hAnsi="Arial" w:cs="Arial"/>
          <w:color w:val="000000"/>
          <w:sz w:val="20"/>
          <w:szCs w:val="20"/>
        </w:rPr>
        <w:t>Hamadouche</w:t>
      </w:r>
      <w:proofErr w:type="spellEnd"/>
      <w:r w:rsidRPr="00A23698">
        <w:rPr>
          <w:rFonts w:ascii="Arial" w:eastAsia="Calibri" w:hAnsi="Arial" w:cs="Arial"/>
          <w:color w:val="000000"/>
          <w:sz w:val="20"/>
          <w:szCs w:val="20"/>
        </w:rPr>
        <w:t xml:space="preserve">, Y., &amp;Alexandru, D. (2024). </w:t>
      </w:r>
      <w:proofErr w:type="spellStart"/>
      <w:r w:rsidRPr="00A23698">
        <w:rPr>
          <w:rFonts w:ascii="Arial" w:eastAsia="Calibri" w:hAnsi="Arial" w:cs="Arial"/>
          <w:color w:val="000000"/>
          <w:sz w:val="20"/>
          <w:szCs w:val="20"/>
          <w:lang w:val="en-GB"/>
        </w:rPr>
        <w:t>Analyzing</w:t>
      </w:r>
      <w:proofErr w:type="spellEnd"/>
      <w:r w:rsidRPr="00A23698">
        <w:rPr>
          <w:rFonts w:ascii="Arial" w:eastAsia="Calibri" w:hAnsi="Arial" w:cs="Arial"/>
          <w:color w:val="000000"/>
          <w:sz w:val="20"/>
          <w:szCs w:val="20"/>
          <w:lang w:val="en-GB"/>
        </w:rPr>
        <w:t xml:space="preserve"> surface water quality and assessing environmental impacts downstream of the </w:t>
      </w:r>
      <w:proofErr w:type="spellStart"/>
      <w:r w:rsidRPr="00A23698">
        <w:rPr>
          <w:rFonts w:ascii="Arial" w:eastAsia="Calibri" w:hAnsi="Arial" w:cs="Arial"/>
          <w:color w:val="000000"/>
          <w:sz w:val="20"/>
          <w:szCs w:val="20"/>
          <w:lang w:val="en-GB"/>
        </w:rPr>
        <w:t>Tafna</w:t>
      </w:r>
      <w:proofErr w:type="spellEnd"/>
      <w:r w:rsidRPr="00A23698">
        <w:rPr>
          <w:rFonts w:ascii="Arial" w:eastAsia="Calibri" w:hAnsi="Arial" w:cs="Arial"/>
          <w:color w:val="000000"/>
          <w:sz w:val="20"/>
          <w:szCs w:val="20"/>
          <w:lang w:val="en-GB"/>
        </w:rPr>
        <w:t xml:space="preserve"> River (northwest Algeria). Arabian Journal of Geosciences, 17(6), 179. </w:t>
      </w:r>
      <w:hyperlink r:id="rId38" w:history="1">
        <w:r w:rsidRPr="00A23698">
          <w:rPr>
            <w:rFonts w:ascii="Arial" w:eastAsia="Calibri" w:hAnsi="Arial" w:cs="Arial"/>
            <w:color w:val="0563C1"/>
            <w:sz w:val="20"/>
            <w:szCs w:val="20"/>
            <w:u w:val="single"/>
            <w:lang w:val="en-GB"/>
          </w:rPr>
          <w:t>https://doi.org/10.1007/s12517-024-11978-5</w:t>
        </w:r>
      </w:hyperlink>
    </w:p>
    <w:p w14:paraId="11525057"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Ministry of Ecology and Sustainable Development (MESD) &amp; Water Agency (2003). Watercourse Quality Assessment System (SEQ-Eau). Presentation report of version 2. (106p). </w:t>
      </w:r>
      <w:hyperlink r:id="rId39" w:history="1">
        <w:r w:rsidRPr="00A23698">
          <w:rPr>
            <w:rFonts w:ascii="Arial" w:eastAsia="Calibri" w:hAnsi="Arial" w:cs="Arial"/>
            <w:color w:val="000000"/>
            <w:sz w:val="20"/>
            <w:szCs w:val="20"/>
            <w:u w:val="single"/>
            <w:lang w:val="en-GB"/>
          </w:rPr>
          <w:t>https://www.documentation.eauetbiodiversite.fr</w:t>
        </w:r>
      </w:hyperlink>
    </w:p>
    <w:p w14:paraId="1DE0C597"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Meng, X., Zhang, W., &amp; Shan, B. (2020). Distribution of nitrogen and phosphorus and estimation of nutrient fluxes in the water and sediments of </w:t>
      </w:r>
      <w:proofErr w:type="spellStart"/>
      <w:r w:rsidRPr="00A23698">
        <w:rPr>
          <w:rFonts w:ascii="Arial" w:eastAsia="Calibri" w:hAnsi="Arial" w:cs="Arial"/>
          <w:color w:val="000000"/>
          <w:sz w:val="20"/>
          <w:szCs w:val="20"/>
          <w:lang w:val="en-GB"/>
        </w:rPr>
        <w:t>Liangzi</w:t>
      </w:r>
      <w:proofErr w:type="spellEnd"/>
      <w:r w:rsidRPr="00A23698">
        <w:rPr>
          <w:rFonts w:ascii="Arial" w:eastAsia="Calibri" w:hAnsi="Arial" w:cs="Arial"/>
          <w:color w:val="000000"/>
          <w:sz w:val="20"/>
          <w:szCs w:val="20"/>
          <w:lang w:val="en-GB"/>
        </w:rPr>
        <w:t xml:space="preserve"> Lake, China. Environmental Science and Pollution Research 27 (7), 7096–7104. DOI: 10.1007/s11356-019-07398-8</w:t>
      </w:r>
    </w:p>
    <w:p w14:paraId="5308FD3C"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Miatta, M. &amp;Snelgrove, P. V. R. (2021).Benthic nutrient fluxes in deep-sea sediments within the Laurentian Channel MPA (eastern Canada): The relative roles of macrofauna, environment, and sea pen octocorals. Deep–Sea Research I; 178; 103655</w:t>
      </w:r>
    </w:p>
    <w:p w14:paraId="1AE7B64C"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rPr>
      </w:pPr>
      <w:r w:rsidRPr="00A23698">
        <w:rPr>
          <w:rFonts w:ascii="Arial" w:eastAsia="Calibri" w:hAnsi="Arial" w:cs="Arial"/>
          <w:color w:val="000000"/>
          <w:sz w:val="20"/>
          <w:szCs w:val="20"/>
          <w:lang w:val="en-GB"/>
        </w:rPr>
        <w:t xml:space="preserve">Mu, D., Yuan, D., Feng, H., Xing, F., Teo, F. Y., &amp; Li, S. (2017). Nutrient fluxes across sediment-water interface in Bohai Bay Coastal Zone, China. </w:t>
      </w:r>
      <w:r w:rsidRPr="00A23698">
        <w:rPr>
          <w:rFonts w:ascii="Arial" w:eastAsia="Calibri" w:hAnsi="Arial" w:cs="Arial"/>
          <w:color w:val="000000"/>
          <w:sz w:val="20"/>
          <w:szCs w:val="20"/>
        </w:rPr>
        <w:t xml:space="preserve">Marine Pollution Bulletin, 114(2), 705-714. </w:t>
      </w:r>
      <w:hyperlink r:id="rId40" w:history="1">
        <w:r w:rsidRPr="00A23698">
          <w:rPr>
            <w:rFonts w:ascii="Arial" w:eastAsia="Calibri" w:hAnsi="Arial" w:cs="Arial"/>
            <w:color w:val="0563C1"/>
            <w:sz w:val="20"/>
            <w:szCs w:val="20"/>
            <w:u w:val="single"/>
          </w:rPr>
          <w:t>https://doi.org/10.1016/j.marpolbul.2016.10.056</w:t>
        </w:r>
      </w:hyperlink>
    </w:p>
    <w:p w14:paraId="464950BC"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rPr>
        <w:t>N’</w:t>
      </w:r>
      <w:proofErr w:type="spellStart"/>
      <w:r w:rsidRPr="00A23698">
        <w:rPr>
          <w:rFonts w:ascii="Arial" w:eastAsia="Calibri" w:hAnsi="Arial" w:cs="Arial"/>
          <w:color w:val="000000"/>
          <w:sz w:val="20"/>
          <w:szCs w:val="20"/>
        </w:rPr>
        <w:t>guessan</w:t>
      </w:r>
      <w:proofErr w:type="spellEnd"/>
      <w:r w:rsidRPr="00A23698">
        <w:rPr>
          <w:rFonts w:ascii="Arial" w:eastAsia="Calibri" w:hAnsi="Arial" w:cs="Arial"/>
          <w:color w:val="000000"/>
          <w:sz w:val="20"/>
          <w:szCs w:val="20"/>
        </w:rPr>
        <w:t xml:space="preserve">, Y. A., </w:t>
      </w:r>
      <w:proofErr w:type="spellStart"/>
      <w:r w:rsidRPr="00A23698">
        <w:rPr>
          <w:rFonts w:ascii="Arial" w:eastAsia="Calibri" w:hAnsi="Arial" w:cs="Arial"/>
          <w:color w:val="000000"/>
          <w:sz w:val="20"/>
          <w:szCs w:val="20"/>
        </w:rPr>
        <w:t>Adopo</w:t>
      </w:r>
      <w:proofErr w:type="spellEnd"/>
      <w:r w:rsidRPr="00A23698">
        <w:rPr>
          <w:rFonts w:ascii="Arial" w:eastAsia="Calibri" w:hAnsi="Arial" w:cs="Arial"/>
          <w:color w:val="000000"/>
          <w:sz w:val="20"/>
          <w:szCs w:val="20"/>
        </w:rPr>
        <w:t xml:space="preserve">, K. L., Amani, E. M., Konan, K. B., Toure, M., Monde, S. et al. </w:t>
      </w:r>
      <w:r w:rsidRPr="00A23698">
        <w:rPr>
          <w:rFonts w:ascii="Arial" w:eastAsia="Calibri" w:hAnsi="Arial" w:cs="Arial"/>
          <w:color w:val="000000"/>
          <w:sz w:val="20"/>
          <w:szCs w:val="20"/>
          <w:lang w:val="en-GB"/>
        </w:rPr>
        <w:t>(2013). Bathymetric, Sedimentological and Environmental Study of Superficial Sand Depositions of the Fresco Lagoon (Western Zone of the Ivorian Coast). Journal of Asian Scientific Research</w:t>
      </w:r>
      <w:r w:rsidRPr="00A23698">
        <w:rPr>
          <w:rFonts w:ascii="Arial" w:eastAsia="Calibri" w:hAnsi="Arial" w:cs="Arial"/>
          <w:i/>
          <w:color w:val="000000"/>
          <w:sz w:val="20"/>
          <w:szCs w:val="20"/>
          <w:lang w:val="en-GB"/>
        </w:rPr>
        <w:t>,</w:t>
      </w:r>
      <w:r w:rsidRPr="00A23698">
        <w:rPr>
          <w:rFonts w:ascii="Arial" w:eastAsia="Calibri" w:hAnsi="Arial" w:cs="Arial"/>
          <w:color w:val="000000"/>
          <w:sz w:val="20"/>
          <w:szCs w:val="20"/>
          <w:lang w:val="en-GB"/>
        </w:rPr>
        <w:t xml:space="preserve"> 3(3), Article 3.</w:t>
      </w:r>
    </w:p>
    <w:p w14:paraId="05AB0EF2"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4"/>
          <w:lang w:val="en-GB"/>
        </w:rPr>
        <w:t xml:space="preserve">Ouattara, Y. N., </w:t>
      </w:r>
      <w:proofErr w:type="spellStart"/>
      <w:r w:rsidRPr="00A23698">
        <w:rPr>
          <w:rFonts w:ascii="Arial" w:eastAsia="Calibri" w:hAnsi="Arial" w:cs="Arial"/>
          <w:color w:val="000000"/>
          <w:sz w:val="20"/>
          <w:szCs w:val="24"/>
          <w:lang w:val="en-GB"/>
        </w:rPr>
        <w:t>Trokourey</w:t>
      </w:r>
      <w:proofErr w:type="spellEnd"/>
      <w:r w:rsidRPr="00A23698">
        <w:rPr>
          <w:rFonts w:ascii="Arial" w:eastAsia="Calibri" w:hAnsi="Arial" w:cs="Arial"/>
          <w:color w:val="000000"/>
          <w:sz w:val="20"/>
          <w:szCs w:val="24"/>
          <w:lang w:val="en-GB"/>
        </w:rPr>
        <w:t>, A. &amp; Tuo A. D., (2022a).Ecological Risk Link to Trace Metals Levels in Surface Sediments from Fresco Lagoon, Côte d’Ivoire, West Africa. International Research Journal of Pure &amp; Applied Chemistry 23 (2): 40-54, 2022; Article no.IRJPAC.87499. DOI: 10.9734/IRJPAC/2022/v23i230459</w:t>
      </w:r>
    </w:p>
    <w:p w14:paraId="0E691ACE"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4"/>
          <w:lang w:val="en-GB"/>
        </w:rPr>
        <w:t xml:space="preserve">Ouattara, Y. N., </w:t>
      </w:r>
      <w:proofErr w:type="spellStart"/>
      <w:r w:rsidRPr="00A23698">
        <w:rPr>
          <w:rFonts w:ascii="Arial" w:eastAsia="Calibri" w:hAnsi="Arial" w:cs="Arial"/>
          <w:color w:val="000000"/>
          <w:sz w:val="20"/>
          <w:szCs w:val="24"/>
          <w:lang w:val="en-GB"/>
        </w:rPr>
        <w:t>Trokourey</w:t>
      </w:r>
      <w:proofErr w:type="spellEnd"/>
      <w:r w:rsidRPr="00A23698">
        <w:rPr>
          <w:rFonts w:ascii="Arial" w:eastAsia="Calibri" w:hAnsi="Arial" w:cs="Arial"/>
          <w:color w:val="000000"/>
          <w:sz w:val="20"/>
          <w:szCs w:val="24"/>
          <w:lang w:val="en-GB"/>
        </w:rPr>
        <w:t>, A. &amp; Tuo A. D., (2022b). Interrelationship between Ecological Risk Assessment with Trace Metals Levels in Surface Sediments from Fresco Lagoon, Côte d’Ivoire, West Africa. Current Advances in Geography, Environment and Earth Sciences. Vol. 8, Chapter 5. DOI: 10.9734/bpi/</w:t>
      </w:r>
      <w:proofErr w:type="spellStart"/>
      <w:r w:rsidRPr="00A23698">
        <w:rPr>
          <w:rFonts w:ascii="Arial" w:eastAsia="Calibri" w:hAnsi="Arial" w:cs="Arial"/>
          <w:color w:val="000000"/>
          <w:sz w:val="20"/>
          <w:szCs w:val="24"/>
          <w:lang w:val="en-GB"/>
        </w:rPr>
        <w:t>cagees</w:t>
      </w:r>
      <w:proofErr w:type="spellEnd"/>
      <w:r w:rsidRPr="00A23698">
        <w:rPr>
          <w:rFonts w:ascii="Arial" w:eastAsia="Calibri" w:hAnsi="Arial" w:cs="Arial"/>
          <w:color w:val="000000"/>
          <w:sz w:val="20"/>
          <w:szCs w:val="24"/>
          <w:lang w:val="en-GB"/>
        </w:rPr>
        <w:t>/v8/3624A</w:t>
      </w:r>
    </w:p>
    <w:p w14:paraId="71360FD9"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4"/>
          <w:lang w:val="en-GB"/>
        </w:rPr>
        <w:t xml:space="preserve">Ouattara, Y. N., </w:t>
      </w:r>
      <w:proofErr w:type="spellStart"/>
      <w:r w:rsidRPr="00A23698">
        <w:rPr>
          <w:rFonts w:ascii="Arial" w:eastAsia="Calibri" w:hAnsi="Arial" w:cs="Arial"/>
          <w:color w:val="000000"/>
          <w:sz w:val="20"/>
          <w:szCs w:val="24"/>
          <w:lang w:val="en-GB"/>
        </w:rPr>
        <w:t>Aké</w:t>
      </w:r>
      <w:proofErr w:type="spellEnd"/>
      <w:r w:rsidRPr="00A23698">
        <w:rPr>
          <w:rFonts w:ascii="Arial" w:eastAsia="Calibri" w:hAnsi="Arial" w:cs="Arial"/>
          <w:color w:val="000000"/>
          <w:sz w:val="20"/>
          <w:szCs w:val="24"/>
          <w:lang w:val="en-GB"/>
        </w:rPr>
        <w:t xml:space="preserve">, A. P., Tuo, A. D., &amp; </w:t>
      </w:r>
      <w:proofErr w:type="spellStart"/>
      <w:r w:rsidRPr="00A23698">
        <w:rPr>
          <w:rFonts w:ascii="Arial" w:eastAsia="Calibri" w:hAnsi="Arial" w:cs="Arial"/>
          <w:color w:val="000000"/>
          <w:sz w:val="20"/>
          <w:szCs w:val="24"/>
          <w:lang w:val="en-GB"/>
        </w:rPr>
        <w:t>Trokourey</w:t>
      </w:r>
      <w:proofErr w:type="spellEnd"/>
      <w:r w:rsidRPr="00A23698">
        <w:rPr>
          <w:rFonts w:ascii="Arial" w:eastAsia="Calibri" w:hAnsi="Arial" w:cs="Arial"/>
          <w:color w:val="000000"/>
          <w:sz w:val="20"/>
          <w:szCs w:val="24"/>
          <w:lang w:val="en-GB"/>
        </w:rPr>
        <w:t>, A. (2025). Nutrient Dynamics in a Tropical Lagoon: Seasonal Patterns of Nitrogen and Phosphorus in Fresco Lagoon, Côte d’Ivoire. Journal of Global Ecology and Environment. 21(3</w:t>
      </w:r>
      <w:proofErr w:type="gramStart"/>
      <w:r w:rsidRPr="00A23698">
        <w:rPr>
          <w:rFonts w:ascii="Arial" w:eastAsia="Calibri" w:hAnsi="Arial" w:cs="Arial"/>
          <w:color w:val="000000"/>
          <w:sz w:val="20"/>
          <w:szCs w:val="24"/>
          <w:lang w:val="en-GB"/>
        </w:rPr>
        <w:t>) ;</w:t>
      </w:r>
      <w:proofErr w:type="gramEnd"/>
      <w:r w:rsidRPr="00A23698">
        <w:rPr>
          <w:rFonts w:ascii="Arial" w:eastAsia="Calibri" w:hAnsi="Arial" w:cs="Arial"/>
          <w:color w:val="000000"/>
          <w:sz w:val="20"/>
          <w:szCs w:val="24"/>
          <w:lang w:val="en-GB"/>
        </w:rPr>
        <w:t xml:space="preserve"> 386-401. </w:t>
      </w:r>
      <w:hyperlink r:id="rId41" w:history="1">
        <w:r w:rsidRPr="00A23698">
          <w:rPr>
            <w:rFonts w:ascii="Arial" w:eastAsia="Calibri" w:hAnsi="Arial" w:cs="Arial"/>
            <w:color w:val="0563C1"/>
            <w:sz w:val="20"/>
            <w:szCs w:val="24"/>
            <w:u w:val="single"/>
            <w:lang w:val="en-GB"/>
          </w:rPr>
          <w:t>https://doi.org/10.56557/jogee/2025/v21i39657</w:t>
        </w:r>
      </w:hyperlink>
    </w:p>
    <w:p w14:paraId="420AEED1"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Times New Roman" w:hAnsi="Arial" w:cs="Arial"/>
          <w:color w:val="000000"/>
          <w:sz w:val="20"/>
          <w:szCs w:val="20"/>
        </w:rPr>
        <w:t xml:space="preserve">Pierre, A. A. ; Brice, K. A., </w:t>
      </w:r>
      <w:proofErr w:type="spellStart"/>
      <w:r w:rsidRPr="00A23698">
        <w:rPr>
          <w:rFonts w:ascii="Arial" w:eastAsia="Times New Roman" w:hAnsi="Arial" w:cs="Arial"/>
          <w:color w:val="000000"/>
          <w:sz w:val="20"/>
          <w:szCs w:val="20"/>
        </w:rPr>
        <w:t>Vamoussa</w:t>
      </w:r>
      <w:proofErr w:type="spellEnd"/>
      <w:r w:rsidRPr="00A23698">
        <w:rPr>
          <w:rFonts w:ascii="Arial" w:eastAsia="Times New Roman" w:hAnsi="Arial" w:cs="Arial"/>
          <w:color w:val="000000"/>
          <w:sz w:val="20"/>
          <w:szCs w:val="20"/>
        </w:rPr>
        <w:t>, C., N’</w:t>
      </w:r>
      <w:proofErr w:type="spellStart"/>
      <w:r w:rsidRPr="00A23698">
        <w:rPr>
          <w:rFonts w:ascii="Arial" w:eastAsia="Times New Roman" w:hAnsi="Arial" w:cs="Arial"/>
          <w:color w:val="000000"/>
          <w:sz w:val="20"/>
          <w:szCs w:val="20"/>
        </w:rPr>
        <w:t>Dri</w:t>
      </w:r>
      <w:proofErr w:type="spellEnd"/>
      <w:r w:rsidRPr="00A23698">
        <w:rPr>
          <w:rFonts w:ascii="Arial" w:eastAsia="Times New Roman" w:hAnsi="Arial" w:cs="Arial"/>
          <w:color w:val="000000"/>
          <w:sz w:val="20"/>
          <w:szCs w:val="20"/>
        </w:rPr>
        <w:t xml:space="preserve">, K., Joseph, S. &amp; Samuel, E. O. (2021). </w:t>
      </w:r>
      <w:r w:rsidRPr="00A23698">
        <w:rPr>
          <w:rFonts w:ascii="Arial" w:eastAsia="Times New Roman" w:hAnsi="Arial" w:cs="Arial"/>
          <w:color w:val="000000"/>
          <w:sz w:val="20"/>
          <w:szCs w:val="20"/>
          <w:lang w:val="en-GB"/>
        </w:rPr>
        <w:t xml:space="preserve">Kinetic and Thermodynamic Study of the </w:t>
      </w:r>
      <w:proofErr w:type="spellStart"/>
      <w:r w:rsidRPr="00A23698">
        <w:rPr>
          <w:rFonts w:ascii="Arial" w:eastAsia="Times New Roman" w:hAnsi="Arial" w:cs="Arial"/>
          <w:color w:val="000000"/>
          <w:sz w:val="20"/>
          <w:szCs w:val="20"/>
          <w:lang w:val="en-GB"/>
        </w:rPr>
        <w:t>Dephosphation</w:t>
      </w:r>
      <w:proofErr w:type="spellEnd"/>
      <w:r w:rsidRPr="00A23698">
        <w:rPr>
          <w:rFonts w:ascii="Arial" w:eastAsia="Times New Roman" w:hAnsi="Arial" w:cs="Arial"/>
          <w:color w:val="000000"/>
          <w:sz w:val="20"/>
          <w:szCs w:val="20"/>
          <w:lang w:val="en-GB"/>
        </w:rPr>
        <w:t xml:space="preserve"> of Wastewater by Clay Materials from Côte d’Ivoire. Open Journal of Applied Sciences. 11, 1307-1323. </w:t>
      </w:r>
      <w:hyperlink r:id="rId42" w:history="1">
        <w:r w:rsidRPr="00A23698">
          <w:rPr>
            <w:rFonts w:ascii="Arial" w:eastAsia="Times New Roman" w:hAnsi="Arial" w:cs="Arial"/>
            <w:color w:val="0563C1"/>
            <w:sz w:val="20"/>
            <w:szCs w:val="20"/>
            <w:u w:val="single"/>
            <w:lang w:val="en-GB"/>
          </w:rPr>
          <w:t>https://doi.org/10.4236/ojapps.2021.1112099</w:t>
        </w:r>
      </w:hyperlink>
    </w:p>
    <w:p w14:paraId="3878B2D9" w14:textId="77777777" w:rsidR="00A23698" w:rsidRPr="006C21BC" w:rsidRDefault="00A23698" w:rsidP="00A23698">
      <w:pPr>
        <w:tabs>
          <w:tab w:val="left" w:pos="2160"/>
        </w:tabs>
        <w:spacing w:after="0" w:line="240" w:lineRule="auto"/>
        <w:ind w:left="567" w:hanging="567"/>
        <w:jc w:val="both"/>
        <w:rPr>
          <w:rFonts w:ascii="Arial" w:eastAsia="Calibri" w:hAnsi="Arial" w:cs="Arial"/>
          <w:color w:val="000000"/>
          <w:sz w:val="20"/>
          <w:szCs w:val="20"/>
          <w:lang w:val="nl-BE"/>
        </w:rPr>
      </w:pPr>
      <w:r w:rsidRPr="00A23698">
        <w:rPr>
          <w:rFonts w:ascii="Arial" w:eastAsia="Calibri" w:hAnsi="Arial" w:cs="Arial"/>
          <w:color w:val="000000"/>
          <w:sz w:val="20"/>
          <w:szCs w:val="20"/>
          <w:lang w:val="en-GB"/>
        </w:rPr>
        <w:t xml:space="preserve">Pinay, G., </w:t>
      </w:r>
      <w:proofErr w:type="spellStart"/>
      <w:r w:rsidRPr="00A23698">
        <w:rPr>
          <w:rFonts w:ascii="Arial" w:eastAsia="Calibri" w:hAnsi="Arial" w:cs="Arial"/>
          <w:color w:val="000000"/>
          <w:sz w:val="20"/>
          <w:szCs w:val="20"/>
          <w:lang w:val="en-GB"/>
        </w:rPr>
        <w:t>Gascuel</w:t>
      </w:r>
      <w:proofErr w:type="spellEnd"/>
      <w:r w:rsidRPr="00A23698">
        <w:rPr>
          <w:rFonts w:ascii="Arial" w:eastAsia="Calibri" w:hAnsi="Arial" w:cs="Arial"/>
          <w:color w:val="000000"/>
          <w:sz w:val="20"/>
          <w:szCs w:val="20"/>
          <w:lang w:val="en-GB"/>
        </w:rPr>
        <w:t xml:space="preserve">, C., Menesguen, A., Souchon, Y., Le Moal, M., Levain, A., et al. (2017). Eutrophication: Manifestations, causes, consequences and predictability. </w:t>
      </w:r>
      <w:r w:rsidRPr="00A23698">
        <w:rPr>
          <w:rFonts w:ascii="Arial" w:eastAsia="Calibri" w:hAnsi="Arial" w:cs="Arial"/>
          <w:iCs/>
          <w:color w:val="000000"/>
          <w:sz w:val="20"/>
          <w:szCs w:val="20"/>
          <w:lang w:val="en-GB"/>
        </w:rPr>
        <w:t xml:space="preserve">Synthesis of Collective Scientific Expertise CNRS - </w:t>
      </w:r>
      <w:proofErr w:type="spellStart"/>
      <w:r w:rsidRPr="00A23698">
        <w:rPr>
          <w:rFonts w:ascii="Arial" w:eastAsia="Calibri" w:hAnsi="Arial" w:cs="Arial"/>
          <w:iCs/>
          <w:color w:val="000000"/>
          <w:sz w:val="20"/>
          <w:szCs w:val="20"/>
          <w:lang w:val="en-GB"/>
        </w:rPr>
        <w:t>Ifremer</w:t>
      </w:r>
      <w:proofErr w:type="spellEnd"/>
      <w:r w:rsidRPr="00A23698">
        <w:rPr>
          <w:rFonts w:ascii="Arial" w:eastAsia="Calibri" w:hAnsi="Arial" w:cs="Arial"/>
          <w:iCs/>
          <w:color w:val="000000"/>
          <w:sz w:val="20"/>
          <w:szCs w:val="20"/>
          <w:lang w:val="en-GB"/>
        </w:rPr>
        <w:t xml:space="preserve"> - INRA - </w:t>
      </w:r>
      <w:proofErr w:type="spellStart"/>
      <w:r w:rsidRPr="00A23698">
        <w:rPr>
          <w:rFonts w:ascii="Arial" w:eastAsia="Calibri" w:hAnsi="Arial" w:cs="Arial"/>
          <w:iCs/>
          <w:color w:val="000000"/>
          <w:sz w:val="20"/>
          <w:szCs w:val="20"/>
          <w:lang w:val="en-GB"/>
        </w:rPr>
        <w:t>Irstea</w:t>
      </w:r>
      <w:proofErr w:type="spellEnd"/>
      <w:r w:rsidRPr="00A23698">
        <w:rPr>
          <w:rFonts w:ascii="Arial" w:eastAsia="Calibri" w:hAnsi="Arial" w:cs="Arial"/>
          <w:color w:val="000000"/>
          <w:sz w:val="20"/>
          <w:szCs w:val="20"/>
          <w:lang w:val="en-GB"/>
        </w:rPr>
        <w:t xml:space="preserve"> (51903). </w:t>
      </w:r>
      <w:r w:rsidRPr="006C21BC">
        <w:rPr>
          <w:rFonts w:ascii="Arial" w:eastAsia="Calibri" w:hAnsi="Arial" w:cs="Arial"/>
          <w:color w:val="000000"/>
          <w:sz w:val="20"/>
          <w:szCs w:val="20"/>
          <w:lang w:val="nl-BE"/>
        </w:rPr>
        <w:t xml:space="preserve">Available: </w:t>
      </w:r>
      <w:r>
        <w:fldChar w:fldCharType="begin"/>
      </w:r>
      <w:r>
        <w:instrText>HYPERLINK "https://archimer.ifremer.fr/doc/00408/5190"</w:instrText>
      </w:r>
      <w:r>
        <w:fldChar w:fldCharType="separate"/>
      </w:r>
      <w:r w:rsidRPr="006C21BC">
        <w:rPr>
          <w:rFonts w:ascii="Arial" w:eastAsia="Calibri" w:hAnsi="Arial" w:cs="Arial"/>
          <w:color w:val="000000"/>
          <w:sz w:val="20"/>
          <w:szCs w:val="20"/>
          <w:u w:val="single"/>
          <w:lang w:val="nl-BE"/>
        </w:rPr>
        <w:t>https://archimer.ifremer.fr/doc/00408/5190</w:t>
      </w:r>
      <w:r>
        <w:fldChar w:fldCharType="end"/>
      </w:r>
      <w:r w:rsidRPr="006C21BC">
        <w:rPr>
          <w:rFonts w:ascii="Arial" w:eastAsia="Calibri" w:hAnsi="Arial" w:cs="Arial"/>
          <w:color w:val="000000"/>
          <w:sz w:val="20"/>
          <w:szCs w:val="20"/>
          <w:u w:val="single"/>
          <w:lang w:val="nl-BE"/>
        </w:rPr>
        <w:t>.</w:t>
      </w:r>
    </w:p>
    <w:p w14:paraId="09721064"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rPr>
        <w:t xml:space="preserve">Qin, L., Lei, P., Lei, Q., Liu, H., Li, X., Zhang, H., et al. </w:t>
      </w:r>
      <w:r w:rsidRPr="00A23698">
        <w:rPr>
          <w:rFonts w:ascii="Arial" w:eastAsia="Calibri" w:hAnsi="Arial" w:cs="Arial"/>
          <w:color w:val="000000"/>
          <w:sz w:val="20"/>
          <w:szCs w:val="20"/>
          <w:lang w:val="en-GB"/>
        </w:rPr>
        <w:t xml:space="preserve">(2020). Evaluating the effect of dam construction on the phosphorus fractions in sediments in a reservoir of drinking water source, China. Environmental Monitoring and Assessment; 192(2):99. DOI: 10.1007/s10661-019-8053-4. </w:t>
      </w:r>
    </w:p>
    <w:p w14:paraId="77EB92D5"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Redfield, A.C., Ketchum, B.H. &amp; Richards, F.A. (1963). The Influence of Organisms on the Composition of the Sea Water. In: Hill, M.N., Ed. The Sea, Vol. 2, </w:t>
      </w:r>
      <w:proofErr w:type="spellStart"/>
      <w:r w:rsidRPr="00A23698">
        <w:rPr>
          <w:rFonts w:ascii="Arial" w:eastAsia="Calibri" w:hAnsi="Arial" w:cs="Arial"/>
          <w:color w:val="000000"/>
          <w:sz w:val="20"/>
          <w:szCs w:val="20"/>
          <w:lang w:val="en-GB"/>
        </w:rPr>
        <w:t>Interscience</w:t>
      </w:r>
      <w:proofErr w:type="spellEnd"/>
      <w:r w:rsidRPr="00A23698">
        <w:rPr>
          <w:rFonts w:ascii="Arial" w:eastAsia="Calibri" w:hAnsi="Arial" w:cs="Arial"/>
          <w:color w:val="000000"/>
          <w:sz w:val="20"/>
          <w:szCs w:val="20"/>
          <w:lang w:val="en-GB"/>
        </w:rPr>
        <w:t xml:space="preserve"> Publishers, New York, 26-77.</w:t>
      </w:r>
    </w:p>
    <w:p w14:paraId="236CF2A9"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Sommer, S., Clemens, D., Yücel, M., </w:t>
      </w:r>
      <w:proofErr w:type="spellStart"/>
      <w:r w:rsidRPr="00A23698">
        <w:rPr>
          <w:rFonts w:ascii="Arial" w:eastAsia="Calibri" w:hAnsi="Arial" w:cs="Arial"/>
          <w:color w:val="000000"/>
          <w:sz w:val="20"/>
          <w:szCs w:val="20"/>
          <w:lang w:val="en-GB"/>
        </w:rPr>
        <w:t>Pfannkuche</w:t>
      </w:r>
      <w:proofErr w:type="spellEnd"/>
      <w:r w:rsidRPr="00A23698">
        <w:rPr>
          <w:rFonts w:ascii="Arial" w:eastAsia="Calibri" w:hAnsi="Arial" w:cs="Arial"/>
          <w:color w:val="000000"/>
          <w:sz w:val="20"/>
          <w:szCs w:val="20"/>
          <w:lang w:val="en-GB"/>
        </w:rPr>
        <w:t xml:space="preserve">, O., Hall, P. O. J., </w:t>
      </w:r>
      <w:proofErr w:type="spellStart"/>
      <w:r w:rsidRPr="00A23698">
        <w:rPr>
          <w:rFonts w:ascii="Arial" w:eastAsia="Calibri" w:hAnsi="Arial" w:cs="Arial"/>
          <w:color w:val="000000"/>
          <w:sz w:val="20"/>
          <w:szCs w:val="20"/>
          <w:lang w:val="en-GB"/>
        </w:rPr>
        <w:t>Almroth</w:t>
      </w:r>
      <w:proofErr w:type="spellEnd"/>
      <w:r w:rsidRPr="00A23698">
        <w:rPr>
          <w:rFonts w:ascii="Arial" w:eastAsia="Calibri" w:hAnsi="Arial" w:cs="Arial"/>
          <w:color w:val="000000"/>
          <w:sz w:val="20"/>
          <w:szCs w:val="20"/>
          <w:lang w:val="en-GB"/>
        </w:rPr>
        <w:t>-Rosell, E., et al. (2017). Major bottom water ventilation events do not significantly reduce basin-wide benthic n and p release in the Eastern Gotland Basin (Baltic Sea). Frontiers in Marine Science</w:t>
      </w:r>
      <w:r w:rsidRPr="00A23698">
        <w:rPr>
          <w:rFonts w:ascii="Arial" w:eastAsia="Calibri" w:hAnsi="Arial" w:cs="Arial"/>
          <w:i/>
          <w:color w:val="000000"/>
          <w:sz w:val="20"/>
          <w:szCs w:val="20"/>
          <w:lang w:val="en-GB"/>
        </w:rPr>
        <w:t xml:space="preserve">; </w:t>
      </w:r>
      <w:r w:rsidRPr="00A23698">
        <w:rPr>
          <w:rFonts w:ascii="Arial" w:eastAsia="Calibri" w:hAnsi="Arial" w:cs="Arial"/>
          <w:color w:val="000000"/>
          <w:sz w:val="20"/>
          <w:szCs w:val="20"/>
          <w:lang w:val="en-GB"/>
        </w:rPr>
        <w:t xml:space="preserve">4, art. 18. </w:t>
      </w:r>
      <w:hyperlink r:id="rId43" w:history="1">
        <w:r w:rsidRPr="00A23698">
          <w:rPr>
            <w:rFonts w:ascii="Arial" w:eastAsia="Calibri" w:hAnsi="Arial" w:cs="Arial"/>
            <w:color w:val="000000"/>
            <w:sz w:val="20"/>
            <w:szCs w:val="20"/>
            <w:u w:val="single"/>
            <w:lang w:val="en-GB"/>
          </w:rPr>
          <w:t>https://doi.org/10. 3389/fmars.2017.00018</w:t>
        </w:r>
      </w:hyperlink>
    </w:p>
    <w:p w14:paraId="25A60BD9"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 xml:space="preserve">Sun, Q.; Yue, F.; Chen, J.; Wang, J.; Li, Y.; Li, X.; et al. (2021). Nitrogen and Phosphorus Diffusion Fluxes: Insight from High-Resolution Technology and Hydrodynamic </w:t>
      </w:r>
      <w:proofErr w:type="spellStart"/>
      <w:r w:rsidRPr="00A23698">
        <w:rPr>
          <w:rFonts w:ascii="Arial" w:eastAsia="Calibri" w:hAnsi="Arial" w:cs="Arial"/>
          <w:color w:val="000000"/>
          <w:sz w:val="20"/>
          <w:szCs w:val="20"/>
          <w:lang w:val="en-GB"/>
        </w:rPr>
        <w:t>Modeling</w:t>
      </w:r>
      <w:proofErr w:type="spellEnd"/>
      <w:r w:rsidRPr="00A23698">
        <w:rPr>
          <w:rFonts w:ascii="Arial" w:eastAsia="Calibri" w:hAnsi="Arial" w:cs="Arial"/>
          <w:color w:val="000000"/>
          <w:sz w:val="20"/>
          <w:szCs w:val="20"/>
          <w:lang w:val="en-GB"/>
        </w:rPr>
        <w:t>. Water, 13, 3232. https://doi.org/ 10.3390/w13223232</w:t>
      </w:r>
    </w:p>
    <w:p w14:paraId="6E213E20"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IN"/>
        </w:rPr>
      </w:pPr>
      <w:r w:rsidRPr="00A23698">
        <w:rPr>
          <w:rFonts w:ascii="Arial" w:eastAsia="Calibri" w:hAnsi="Arial" w:cs="Arial"/>
          <w:color w:val="000000"/>
          <w:sz w:val="20"/>
          <w:szCs w:val="20"/>
          <w:lang w:val="en-IN"/>
        </w:rPr>
        <w:t>Tuo, A. D., Ouattara, Y. N., Inza, B., &amp;</w:t>
      </w:r>
      <w:proofErr w:type="spellStart"/>
      <w:r w:rsidRPr="00A23698">
        <w:rPr>
          <w:rFonts w:ascii="Arial" w:eastAsia="Calibri" w:hAnsi="Arial" w:cs="Arial"/>
          <w:color w:val="000000"/>
          <w:sz w:val="20"/>
          <w:szCs w:val="20"/>
          <w:lang w:val="en-IN"/>
        </w:rPr>
        <w:t>Trokourey</w:t>
      </w:r>
      <w:proofErr w:type="spellEnd"/>
      <w:r w:rsidRPr="00A23698">
        <w:rPr>
          <w:rFonts w:ascii="Arial" w:eastAsia="Calibri" w:hAnsi="Arial" w:cs="Arial"/>
          <w:color w:val="000000"/>
          <w:sz w:val="20"/>
          <w:szCs w:val="20"/>
          <w:lang w:val="en-IN"/>
        </w:rPr>
        <w:t xml:space="preserve">, A. (2021). Nutrient and trace elements concentrations in </w:t>
      </w:r>
      <w:proofErr w:type="spellStart"/>
      <w:r w:rsidRPr="00A23698">
        <w:rPr>
          <w:rFonts w:ascii="Arial" w:eastAsia="Calibri" w:hAnsi="Arial" w:cs="Arial"/>
          <w:color w:val="000000"/>
          <w:sz w:val="20"/>
          <w:szCs w:val="20"/>
          <w:lang w:val="en-IN"/>
        </w:rPr>
        <w:t>Biétri</w:t>
      </w:r>
      <w:proofErr w:type="spellEnd"/>
      <w:r w:rsidRPr="00A23698">
        <w:rPr>
          <w:rFonts w:ascii="Arial" w:eastAsia="Calibri" w:hAnsi="Arial" w:cs="Arial"/>
          <w:color w:val="000000"/>
          <w:sz w:val="20"/>
          <w:szCs w:val="20"/>
          <w:lang w:val="en-IN"/>
        </w:rPr>
        <w:t xml:space="preserve"> Bay after its volume reduction, Côte d’Ivoire. </w:t>
      </w:r>
      <w:r w:rsidRPr="00A23698">
        <w:rPr>
          <w:rFonts w:ascii="Arial" w:eastAsia="Calibri" w:hAnsi="Arial" w:cs="Arial"/>
          <w:i/>
          <w:iCs/>
          <w:color w:val="000000"/>
          <w:sz w:val="20"/>
          <w:szCs w:val="20"/>
          <w:lang w:val="en-IN"/>
        </w:rPr>
        <w:t>IOSR Journal of Environmental Science, Toxicology and Food Technology (IOSR-JESTFT), 15</w:t>
      </w:r>
      <w:r w:rsidRPr="00A23698">
        <w:rPr>
          <w:rFonts w:ascii="Arial" w:eastAsia="Calibri" w:hAnsi="Arial" w:cs="Arial"/>
          <w:color w:val="000000"/>
          <w:sz w:val="20"/>
          <w:szCs w:val="20"/>
          <w:lang w:val="en-IN"/>
        </w:rPr>
        <w:t xml:space="preserve">(1), 42–49. </w:t>
      </w:r>
    </w:p>
    <w:p w14:paraId="0C59379B" w14:textId="77777777" w:rsidR="00A23698" w:rsidRPr="00A23698" w:rsidRDefault="00A23698" w:rsidP="00A23698">
      <w:pPr>
        <w:tabs>
          <w:tab w:val="left" w:pos="2160"/>
        </w:tabs>
        <w:spacing w:after="0" w:line="240" w:lineRule="auto"/>
        <w:ind w:left="567"/>
        <w:jc w:val="both"/>
        <w:rPr>
          <w:rFonts w:ascii="Arial" w:eastAsia="Calibri" w:hAnsi="Arial" w:cs="Arial"/>
          <w:color w:val="000000"/>
          <w:sz w:val="20"/>
          <w:szCs w:val="20"/>
        </w:rPr>
      </w:pPr>
      <w:hyperlink r:id="rId44" w:history="1">
        <w:r w:rsidRPr="00A23698">
          <w:rPr>
            <w:rFonts w:ascii="Arial" w:eastAsia="Calibri" w:hAnsi="Arial" w:cs="Arial"/>
            <w:color w:val="000000"/>
            <w:sz w:val="20"/>
            <w:szCs w:val="20"/>
            <w:u w:val="single"/>
          </w:rPr>
          <w:t>https://doi.org/10.9790/2402-1501014249</w:t>
        </w:r>
      </w:hyperlink>
    </w:p>
    <w:p w14:paraId="55B6F107"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rPr>
        <w:t xml:space="preserve">Wang, J., Chen, J., Yu, P., Yang, X., Zhang, L., Geng, Z., et al. </w:t>
      </w:r>
      <w:r w:rsidRPr="00A23698">
        <w:rPr>
          <w:rFonts w:ascii="Arial" w:eastAsia="Calibri" w:hAnsi="Arial" w:cs="Arial"/>
          <w:color w:val="000000"/>
          <w:sz w:val="20"/>
          <w:szCs w:val="20"/>
          <w:lang w:val="en-GB"/>
        </w:rPr>
        <w:t xml:space="preserve">(2020). Oxygenation and synchronous control of nitrogen and phosphorus release at the sediment-water interface using oxygen nano-bubble modified material. </w:t>
      </w:r>
      <w:r w:rsidRPr="00A23698">
        <w:rPr>
          <w:rFonts w:ascii="Arial" w:eastAsia="Calibri" w:hAnsi="Arial" w:cs="Arial"/>
          <w:iCs/>
          <w:color w:val="000000"/>
          <w:sz w:val="20"/>
          <w:szCs w:val="20"/>
          <w:lang w:val="en-IN"/>
        </w:rPr>
        <w:t>Science of the Total Environment</w:t>
      </w:r>
      <w:r w:rsidRPr="00A23698">
        <w:rPr>
          <w:rFonts w:ascii="Arial" w:eastAsia="Calibri" w:hAnsi="Arial" w:cs="Arial"/>
          <w:color w:val="000000"/>
          <w:sz w:val="20"/>
          <w:szCs w:val="20"/>
          <w:lang w:val="en-GB"/>
        </w:rPr>
        <w:t xml:space="preserve">; 725:138258. DOI: 10.1016/j.scitotenv.2020.138258. </w:t>
      </w:r>
    </w:p>
    <w:p w14:paraId="66496A77"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lastRenderedPageBreak/>
        <w:t xml:space="preserve">Wang, Q., Liao, Z., Yao, D., Yang, Z., Wu, Y., &amp; Tang, C. (2021). </w:t>
      </w:r>
      <w:r w:rsidRPr="00A23698">
        <w:rPr>
          <w:rFonts w:ascii="Arial" w:eastAsia="Calibri" w:hAnsi="Arial" w:cs="Arial"/>
          <w:color w:val="000000"/>
          <w:sz w:val="20"/>
          <w:szCs w:val="20"/>
          <w:lang w:val="en-IN"/>
        </w:rPr>
        <w:t xml:space="preserve">Phosphorus immobilization in water and sediment using iron-based materials: A review. </w:t>
      </w:r>
      <w:r w:rsidRPr="00A23698">
        <w:rPr>
          <w:rFonts w:ascii="Arial" w:eastAsia="Calibri" w:hAnsi="Arial" w:cs="Arial"/>
          <w:iCs/>
          <w:color w:val="000000"/>
          <w:sz w:val="20"/>
          <w:szCs w:val="20"/>
          <w:lang w:val="en-IN"/>
        </w:rPr>
        <w:t>Science of the Total Environment</w:t>
      </w:r>
      <w:r w:rsidRPr="00A23698">
        <w:rPr>
          <w:rFonts w:ascii="Arial" w:eastAsia="Calibri" w:hAnsi="Arial" w:cs="Arial"/>
          <w:i/>
          <w:iCs/>
          <w:color w:val="000000"/>
          <w:sz w:val="20"/>
          <w:szCs w:val="20"/>
          <w:lang w:val="en-IN"/>
        </w:rPr>
        <w:t>, 767</w:t>
      </w:r>
      <w:r w:rsidRPr="00A23698">
        <w:rPr>
          <w:rFonts w:ascii="Arial" w:eastAsia="Calibri" w:hAnsi="Arial" w:cs="Arial"/>
          <w:color w:val="000000"/>
          <w:sz w:val="20"/>
          <w:szCs w:val="20"/>
          <w:lang w:val="en-IN"/>
        </w:rPr>
        <w:t xml:space="preserve">, 144246. </w:t>
      </w:r>
      <w:hyperlink r:id="rId45" w:history="1">
        <w:r w:rsidRPr="00A23698">
          <w:rPr>
            <w:rFonts w:ascii="Arial" w:eastAsia="Calibri" w:hAnsi="Arial" w:cs="Arial"/>
            <w:color w:val="000000"/>
            <w:sz w:val="20"/>
            <w:szCs w:val="20"/>
            <w:u w:val="single"/>
            <w:lang w:val="en-GB"/>
          </w:rPr>
          <w:t>https://doi.org/10.1016/j.scitotenv.2020.144246</w:t>
        </w:r>
      </w:hyperlink>
    </w:p>
    <w:p w14:paraId="298637AA"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6C21BC">
        <w:rPr>
          <w:rFonts w:ascii="Arial" w:eastAsia="Calibri" w:hAnsi="Arial" w:cs="Arial"/>
          <w:color w:val="000000"/>
          <w:sz w:val="20"/>
          <w:szCs w:val="20"/>
          <w:lang w:val="nl-BE"/>
        </w:rPr>
        <w:t xml:space="preserve">Wen, S., Wu, T.,Yang, J., Jiang, X., &amp;Zhong, J. (2019). </w:t>
      </w:r>
      <w:proofErr w:type="spellStart"/>
      <w:r w:rsidRPr="00A23698">
        <w:rPr>
          <w:rFonts w:ascii="Arial" w:eastAsia="Calibri" w:hAnsi="Arial" w:cs="Arial"/>
          <w:color w:val="000000"/>
          <w:sz w:val="20"/>
          <w:szCs w:val="20"/>
          <w:lang w:val="en-GB"/>
        </w:rPr>
        <w:t>Spatio</w:t>
      </w:r>
      <w:proofErr w:type="spellEnd"/>
      <w:r w:rsidRPr="00A23698">
        <w:rPr>
          <w:rFonts w:ascii="Arial" w:eastAsia="Calibri" w:hAnsi="Arial" w:cs="Arial"/>
          <w:color w:val="000000"/>
          <w:sz w:val="20"/>
          <w:szCs w:val="20"/>
          <w:lang w:val="en-GB"/>
        </w:rPr>
        <w:t>-Temporal Variation in Nutrient Profiles and Exchange Fluxes at the Sediment-Water Interface in Yuqiao Reservoir, China. International Journal of Environmental Research and Public Health</w:t>
      </w:r>
      <w:r w:rsidRPr="00A23698">
        <w:rPr>
          <w:rFonts w:ascii="Arial" w:eastAsia="Calibri" w:hAnsi="Arial" w:cs="Arial"/>
          <w:i/>
          <w:color w:val="000000"/>
          <w:sz w:val="20"/>
          <w:szCs w:val="20"/>
          <w:lang w:val="en-GB"/>
        </w:rPr>
        <w:t xml:space="preserve">, </w:t>
      </w:r>
      <w:r w:rsidRPr="00A23698">
        <w:rPr>
          <w:rFonts w:ascii="Arial" w:eastAsia="Calibri" w:hAnsi="Arial" w:cs="Arial"/>
          <w:color w:val="000000"/>
          <w:sz w:val="20"/>
          <w:szCs w:val="20"/>
          <w:lang w:val="en-GB"/>
        </w:rPr>
        <w:t>16, 3071. DOI: 10.3390/ijerph1617307</w:t>
      </w:r>
    </w:p>
    <w:p w14:paraId="1D1245D5"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Wen, S., Yang, Z., Biao, P., &amp;Jing, W. (2024). Effect mechanism of nutrients on pathogenic bacteria at the sediment-water interface in eutrophic water. Frontiers in Environmental Science 12:1396772. DOI: 10.3389/fenvs.2024.1396772</w:t>
      </w:r>
    </w:p>
    <w:p w14:paraId="610DC462"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lang w:val="en-GB"/>
        </w:rPr>
        <w:t>World Health Organization (WHO) (2017). UN-Water Global Analysis and Assessment of Sanitation and Drinking-Water (GLAAS) 2017 report: financing universal water, sanitation, and hygiene under the sustainable development goals World Health Organization, Geneva</w:t>
      </w:r>
    </w:p>
    <w:p w14:paraId="6833D2CB"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6C21BC">
        <w:rPr>
          <w:rFonts w:ascii="Arial" w:eastAsia="Calibri" w:hAnsi="Arial" w:cs="Arial"/>
          <w:color w:val="000000"/>
          <w:sz w:val="20"/>
          <w:szCs w:val="20"/>
          <w:lang w:val="nl-BE"/>
        </w:rPr>
        <w:t xml:space="preserve">Xiang, Y., Zhou, T., Deng, S., Shao, Z., Liu, Y., He, Q., et al. </w:t>
      </w:r>
      <w:r w:rsidRPr="00A23698">
        <w:rPr>
          <w:rFonts w:ascii="Arial" w:eastAsia="Calibri" w:hAnsi="Arial" w:cs="Arial"/>
          <w:color w:val="000000"/>
          <w:sz w:val="20"/>
          <w:szCs w:val="20"/>
          <w:lang w:val="en-GB"/>
        </w:rPr>
        <w:t>(2023). Nitrite improved nitrification efficiency and enriched ammonia-oxidizing archaea and bacteria in the simultaneous nitrification and denitrification process. Water Research X, volume 21, 100204. DOI:10.1016/j.wroa.2023.100204</w:t>
      </w:r>
    </w:p>
    <w:p w14:paraId="272AA4DE"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rPr>
      </w:pPr>
      <w:r w:rsidRPr="00A23698">
        <w:rPr>
          <w:rFonts w:ascii="Arial" w:eastAsia="Calibri" w:hAnsi="Arial" w:cs="Arial"/>
          <w:color w:val="000000"/>
          <w:sz w:val="20"/>
          <w:szCs w:val="20"/>
          <w:lang w:val="en-GB"/>
        </w:rPr>
        <w:t xml:space="preserve">Yang, C., Yang, P., Geng, J., Yin, H., &amp; Chen, K. (2020). Sediment internal nutrient loading in the most polluted area of a shallow eutrophic lake (Lake </w:t>
      </w:r>
      <w:proofErr w:type="spellStart"/>
      <w:r w:rsidRPr="00A23698">
        <w:rPr>
          <w:rFonts w:ascii="Arial" w:eastAsia="Calibri" w:hAnsi="Arial" w:cs="Arial"/>
          <w:color w:val="000000"/>
          <w:sz w:val="20"/>
          <w:szCs w:val="20"/>
          <w:lang w:val="en-GB"/>
        </w:rPr>
        <w:t>Chaohu</w:t>
      </w:r>
      <w:proofErr w:type="spellEnd"/>
      <w:r w:rsidRPr="00A23698">
        <w:rPr>
          <w:rFonts w:ascii="Arial" w:eastAsia="Calibri" w:hAnsi="Arial" w:cs="Arial"/>
          <w:color w:val="000000"/>
          <w:sz w:val="20"/>
          <w:szCs w:val="20"/>
          <w:lang w:val="en-GB"/>
        </w:rPr>
        <w:t xml:space="preserve">, China) and its contribution to Lake eutrophication. </w:t>
      </w:r>
      <w:proofErr w:type="spellStart"/>
      <w:r w:rsidRPr="00A23698">
        <w:rPr>
          <w:rFonts w:ascii="Arial" w:eastAsia="Calibri" w:hAnsi="Arial" w:cs="Arial"/>
          <w:color w:val="000000"/>
          <w:sz w:val="20"/>
          <w:szCs w:val="20"/>
        </w:rPr>
        <w:t>Environmental</w:t>
      </w:r>
      <w:proofErr w:type="spellEnd"/>
      <w:r w:rsidRPr="00A23698">
        <w:rPr>
          <w:rFonts w:ascii="Arial" w:eastAsia="Calibri" w:hAnsi="Arial" w:cs="Arial"/>
          <w:color w:val="000000"/>
          <w:sz w:val="20"/>
          <w:szCs w:val="20"/>
        </w:rPr>
        <w:t xml:space="preserve"> Pollution, volume 262, 114292. DOI: 10.1016/j.envpol.2020.114292. </w:t>
      </w:r>
    </w:p>
    <w:p w14:paraId="2A039A70" w14:textId="77777777" w:rsidR="00A23698" w:rsidRPr="00A23698" w:rsidRDefault="00A23698" w:rsidP="00A23698">
      <w:pPr>
        <w:tabs>
          <w:tab w:val="left" w:pos="2160"/>
        </w:tabs>
        <w:spacing w:after="0" w:line="240" w:lineRule="auto"/>
        <w:ind w:left="567" w:hanging="567"/>
        <w:jc w:val="both"/>
        <w:rPr>
          <w:rFonts w:ascii="Arial" w:eastAsia="Calibri" w:hAnsi="Arial" w:cs="Arial"/>
          <w:color w:val="000000"/>
          <w:sz w:val="20"/>
          <w:szCs w:val="20"/>
          <w:lang w:val="en-GB"/>
        </w:rPr>
      </w:pPr>
      <w:r w:rsidRPr="00A23698">
        <w:rPr>
          <w:rFonts w:ascii="Arial" w:eastAsia="Calibri" w:hAnsi="Arial" w:cs="Arial"/>
          <w:color w:val="000000"/>
          <w:sz w:val="20"/>
          <w:szCs w:val="20"/>
        </w:rPr>
        <w:t xml:space="preserve">Zhao, K.; Fu, H.; Zhu, Y.; Wang, Y.; Wang, S. &amp; Li, F. (2023). </w:t>
      </w:r>
      <w:r w:rsidRPr="00A23698">
        <w:rPr>
          <w:rFonts w:ascii="Arial" w:eastAsia="Calibri" w:hAnsi="Arial" w:cs="Arial"/>
          <w:color w:val="000000"/>
          <w:sz w:val="20"/>
          <w:szCs w:val="20"/>
          <w:lang w:val="en-GB"/>
        </w:rPr>
        <w:t>Environmental Impacts of Nitrogen and Phosphorus Nutrient Diffusion Fluxes at a Sediment-Water Interface: The Case of the Yitong River, China. Sustainability, 15, 1210. https:// doi.org/10.3390/su15021210</w:t>
      </w:r>
    </w:p>
    <w:p w14:paraId="67488098" w14:textId="77777777" w:rsidR="00A23698" w:rsidRPr="006C21BC" w:rsidRDefault="00A23698" w:rsidP="00A23698">
      <w:pPr>
        <w:tabs>
          <w:tab w:val="left" w:pos="8115"/>
        </w:tabs>
        <w:spacing w:after="0" w:line="240" w:lineRule="auto"/>
        <w:ind w:left="567" w:hanging="567"/>
        <w:jc w:val="both"/>
        <w:rPr>
          <w:rFonts w:ascii="Arial" w:eastAsia="Calibri" w:hAnsi="Arial" w:cs="Arial"/>
          <w:color w:val="000000"/>
          <w:sz w:val="20"/>
          <w:szCs w:val="20"/>
          <w:lang w:val="nl-BE"/>
        </w:rPr>
      </w:pPr>
      <w:r w:rsidRPr="006C21BC">
        <w:rPr>
          <w:rFonts w:ascii="Arial" w:eastAsia="Calibri" w:hAnsi="Arial" w:cs="Arial"/>
          <w:color w:val="000000"/>
          <w:sz w:val="20"/>
          <w:szCs w:val="20"/>
          <w:lang w:val="nl-BE"/>
        </w:rPr>
        <w:t xml:space="preserve">Zhong, W.; Wang, S.; Dong, Y.; Ni, Z.; Fan, Y.;&amp; Wu, D. (2022). </w:t>
      </w:r>
      <w:r w:rsidRPr="00A23698">
        <w:rPr>
          <w:rFonts w:ascii="Arial" w:eastAsia="Calibri" w:hAnsi="Arial" w:cs="Arial"/>
          <w:color w:val="000000"/>
          <w:sz w:val="20"/>
          <w:szCs w:val="20"/>
          <w:lang w:val="en-GB"/>
        </w:rPr>
        <w:t xml:space="preserve">Trends of the response-relationship between net anthropogenic nitrogen and phosphorus inputs (NANI/NAPI) and TN/TP export fluxes in </w:t>
      </w:r>
      <w:proofErr w:type="spellStart"/>
      <w:r w:rsidRPr="00A23698">
        <w:rPr>
          <w:rFonts w:ascii="Arial" w:eastAsia="Calibri" w:hAnsi="Arial" w:cs="Arial"/>
          <w:color w:val="000000"/>
          <w:sz w:val="20"/>
          <w:szCs w:val="20"/>
          <w:lang w:val="en-GB"/>
        </w:rPr>
        <w:t>Raohe</w:t>
      </w:r>
      <w:proofErr w:type="spellEnd"/>
      <w:r w:rsidRPr="00A23698">
        <w:rPr>
          <w:rFonts w:ascii="Arial" w:eastAsia="Calibri" w:hAnsi="Arial" w:cs="Arial"/>
          <w:color w:val="000000"/>
          <w:sz w:val="20"/>
          <w:szCs w:val="20"/>
          <w:lang w:val="en-GB"/>
        </w:rPr>
        <w:t xml:space="preserve"> basin, China. </w:t>
      </w:r>
      <w:r w:rsidRPr="006C21BC">
        <w:rPr>
          <w:rFonts w:ascii="Arial" w:eastAsia="Calibri" w:hAnsi="Arial" w:cs="Arial"/>
          <w:color w:val="000000"/>
          <w:sz w:val="20"/>
          <w:szCs w:val="20"/>
          <w:lang w:val="nl-BE"/>
        </w:rPr>
        <w:t xml:space="preserve">Chemosphere, 286, 131662. </w:t>
      </w:r>
      <w:r>
        <w:fldChar w:fldCharType="begin"/>
      </w:r>
      <w:r>
        <w:instrText>HYPERLINK "https://doi.org/10.1016/j.chemosphere.2021.131662"</w:instrText>
      </w:r>
      <w:r>
        <w:fldChar w:fldCharType="separate"/>
      </w:r>
      <w:r w:rsidRPr="006C21BC">
        <w:rPr>
          <w:rFonts w:ascii="Arial" w:eastAsia="Calibri" w:hAnsi="Arial" w:cs="Arial"/>
          <w:color w:val="000000"/>
          <w:sz w:val="20"/>
          <w:szCs w:val="20"/>
          <w:lang w:val="nl-BE"/>
        </w:rPr>
        <w:t>https://doi.org/10.1016/j.chemosphere.2021.131662</w:t>
      </w:r>
      <w:r>
        <w:fldChar w:fldCharType="end"/>
      </w:r>
      <w:r w:rsidRPr="006C21BC">
        <w:rPr>
          <w:rFonts w:ascii="Arial" w:eastAsia="Calibri" w:hAnsi="Arial" w:cs="Arial"/>
          <w:color w:val="000000"/>
          <w:sz w:val="20"/>
          <w:szCs w:val="20"/>
          <w:lang w:val="nl-BE"/>
        </w:rPr>
        <w:t>.</w:t>
      </w:r>
    </w:p>
    <w:p w14:paraId="637A331D" w14:textId="77777777" w:rsidR="00A23698" w:rsidRPr="00A23698" w:rsidRDefault="00A23698" w:rsidP="00A23698">
      <w:pPr>
        <w:tabs>
          <w:tab w:val="left" w:pos="8115"/>
        </w:tabs>
        <w:spacing w:after="0" w:line="240" w:lineRule="auto"/>
        <w:ind w:left="567" w:hanging="567"/>
        <w:jc w:val="both"/>
        <w:rPr>
          <w:rFonts w:ascii="Arial" w:eastAsia="Calibri" w:hAnsi="Arial" w:cs="Arial"/>
          <w:color w:val="000000"/>
          <w:sz w:val="20"/>
          <w:szCs w:val="20"/>
          <w:lang w:val="en-GB"/>
        </w:rPr>
      </w:pPr>
      <w:r w:rsidRPr="006C21BC">
        <w:rPr>
          <w:rFonts w:ascii="Arial" w:eastAsia="Calibri" w:hAnsi="Arial" w:cs="Arial"/>
          <w:color w:val="000000"/>
          <w:sz w:val="20"/>
          <w:szCs w:val="20"/>
          <w:lang w:val="nl-BE"/>
        </w:rPr>
        <w:t xml:space="preserve">Zhou, B.; Fu, X.; Wu, B.; He, J.; Vogt, R.D.; Yu, D.; et al. </w:t>
      </w:r>
      <w:r w:rsidRPr="00A23698">
        <w:rPr>
          <w:rFonts w:ascii="Arial" w:eastAsia="Calibri" w:hAnsi="Arial" w:cs="Arial"/>
          <w:color w:val="000000"/>
          <w:sz w:val="20"/>
          <w:szCs w:val="20"/>
          <w:lang w:val="en-GB"/>
        </w:rPr>
        <w:t>(2021). Phosphorus Release from Sediments in a Raw Water Reservoir with Reduced Allochthonous Input. Water, 13, 1983. https://doi.org/ 10.3390/w1314198.</w:t>
      </w:r>
    </w:p>
    <w:p w14:paraId="6207CEF4" w14:textId="77777777" w:rsidR="00A23698" w:rsidRPr="00A23698" w:rsidRDefault="00A23698" w:rsidP="00A23698">
      <w:pPr>
        <w:tabs>
          <w:tab w:val="left" w:pos="8115"/>
        </w:tabs>
        <w:spacing w:after="0" w:line="240" w:lineRule="auto"/>
        <w:ind w:left="567" w:hanging="567"/>
        <w:jc w:val="both"/>
        <w:rPr>
          <w:rFonts w:ascii="Arial" w:eastAsia="Calibri" w:hAnsi="Arial" w:cs="Arial"/>
          <w:color w:val="000000"/>
          <w:sz w:val="20"/>
          <w:szCs w:val="20"/>
          <w:lang w:val="en-GB"/>
        </w:rPr>
      </w:pPr>
      <w:r w:rsidRPr="00A23698">
        <w:rPr>
          <w:rFonts w:ascii="Arial" w:hAnsi="Arial" w:cs="Arial"/>
          <w:sz w:val="20"/>
          <w:szCs w:val="20"/>
          <w:lang w:val="en-GB"/>
        </w:rPr>
        <w:t xml:space="preserve">Zou, R., Wu, Z., Zhao, L., Elser, J. J., Yu, Y., Chen, Y., &amp; Liu, Y. (2020). Seasonal algal blooms support sediment release of phosphorus via positive feedback in a eutrophic lake: Insights from a nutrient flux tracking </w:t>
      </w:r>
      <w:proofErr w:type="spellStart"/>
      <w:r w:rsidRPr="00A23698">
        <w:rPr>
          <w:rFonts w:ascii="Arial" w:hAnsi="Arial" w:cs="Arial"/>
          <w:sz w:val="20"/>
          <w:szCs w:val="20"/>
          <w:lang w:val="en-GB"/>
        </w:rPr>
        <w:t>modeling</w:t>
      </w:r>
      <w:proofErr w:type="spellEnd"/>
      <w:r w:rsidRPr="00A23698">
        <w:rPr>
          <w:rFonts w:ascii="Arial" w:hAnsi="Arial" w:cs="Arial"/>
          <w:sz w:val="20"/>
          <w:szCs w:val="20"/>
          <w:lang w:val="en-GB"/>
        </w:rPr>
        <w:t>. Ecological Modelling, 416, Article 108881. https://doi.org/10.1016/j.ecolmodel.2019.108881</w:t>
      </w:r>
    </w:p>
    <w:p w14:paraId="609B444D" w14:textId="77777777" w:rsidR="00A23698" w:rsidRPr="003A0DFE" w:rsidRDefault="00A23698" w:rsidP="0013003D">
      <w:pPr>
        <w:spacing w:after="0" w:line="240" w:lineRule="auto"/>
        <w:jc w:val="both"/>
        <w:rPr>
          <w:rFonts w:ascii="Arial" w:hAnsi="Arial" w:cs="Arial"/>
          <w:sz w:val="20"/>
          <w:szCs w:val="20"/>
          <w:lang w:val="en-GB"/>
        </w:rPr>
      </w:pPr>
    </w:p>
    <w:sectPr w:rsidR="00A23698" w:rsidRPr="003A0DFE" w:rsidSect="00FE32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3102" w14:textId="77777777" w:rsidR="003D1F69" w:rsidRDefault="003D1F69" w:rsidP="00A60839">
      <w:pPr>
        <w:spacing w:after="0" w:line="240" w:lineRule="auto"/>
      </w:pPr>
      <w:r>
        <w:separator/>
      </w:r>
    </w:p>
  </w:endnote>
  <w:endnote w:type="continuationSeparator" w:id="0">
    <w:p w14:paraId="6EDBA29B" w14:textId="77777777" w:rsidR="003D1F69" w:rsidRDefault="003D1F69" w:rsidP="00A6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5F45" w14:textId="77777777" w:rsidR="00F55FBB" w:rsidRDefault="00F5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D3F4" w14:textId="77777777" w:rsidR="00F55FBB" w:rsidRDefault="00F55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2877" w14:textId="77777777" w:rsidR="00F55FBB" w:rsidRPr="00A60839" w:rsidRDefault="00F55FB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3F3F" w14:textId="77777777" w:rsidR="003D1F69" w:rsidRDefault="003D1F69" w:rsidP="00A60839">
      <w:pPr>
        <w:spacing w:after="0" w:line="240" w:lineRule="auto"/>
      </w:pPr>
      <w:r>
        <w:separator/>
      </w:r>
    </w:p>
  </w:footnote>
  <w:footnote w:type="continuationSeparator" w:id="0">
    <w:p w14:paraId="40B55E29" w14:textId="77777777" w:rsidR="003D1F69" w:rsidRDefault="003D1F69" w:rsidP="00A60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9E8C" w14:textId="21CB6338" w:rsidR="00F55FBB" w:rsidRDefault="00000000">
    <w:pPr>
      <w:pStyle w:val="Header"/>
    </w:pPr>
    <w:r>
      <w:rPr>
        <w:noProof/>
      </w:rPr>
      <w:pict w14:anchorId="5BDF5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21391"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FBC" w14:textId="7E5060FF" w:rsidR="00F55FBB" w:rsidRDefault="00000000">
    <w:pPr>
      <w:pStyle w:val="Header"/>
    </w:pPr>
    <w:r>
      <w:rPr>
        <w:noProof/>
      </w:rPr>
      <w:pict w14:anchorId="6F5A8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21392"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4F68" w14:textId="50435D53" w:rsidR="00F55FBB" w:rsidRDefault="00000000">
    <w:pPr>
      <w:pStyle w:val="Header"/>
    </w:pPr>
    <w:r>
      <w:rPr>
        <w:noProof/>
      </w:rPr>
      <w:pict w14:anchorId="74468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21390"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EE"/>
    <w:rsid w:val="00011FAE"/>
    <w:rsid w:val="000175FC"/>
    <w:rsid w:val="00070C5A"/>
    <w:rsid w:val="000A114C"/>
    <w:rsid w:val="000B0823"/>
    <w:rsid w:val="000E46DC"/>
    <w:rsid w:val="000E49B3"/>
    <w:rsid w:val="000F0ECB"/>
    <w:rsid w:val="0013003D"/>
    <w:rsid w:val="00164BBB"/>
    <w:rsid w:val="00173582"/>
    <w:rsid w:val="00174115"/>
    <w:rsid w:val="0017487B"/>
    <w:rsid w:val="00195947"/>
    <w:rsid w:val="001D2B26"/>
    <w:rsid w:val="001E5AA6"/>
    <w:rsid w:val="00206301"/>
    <w:rsid w:val="0021073E"/>
    <w:rsid w:val="00246D32"/>
    <w:rsid w:val="002701E9"/>
    <w:rsid w:val="00272E6C"/>
    <w:rsid w:val="00295D27"/>
    <w:rsid w:val="003242D0"/>
    <w:rsid w:val="00327528"/>
    <w:rsid w:val="00335B74"/>
    <w:rsid w:val="003826D4"/>
    <w:rsid w:val="0038717C"/>
    <w:rsid w:val="003A0DFE"/>
    <w:rsid w:val="003B2F21"/>
    <w:rsid w:val="003B6A46"/>
    <w:rsid w:val="003C1CFA"/>
    <w:rsid w:val="003D1F69"/>
    <w:rsid w:val="003E797A"/>
    <w:rsid w:val="00413CFC"/>
    <w:rsid w:val="00426F29"/>
    <w:rsid w:val="00427EC1"/>
    <w:rsid w:val="004306BD"/>
    <w:rsid w:val="00455445"/>
    <w:rsid w:val="004E47F4"/>
    <w:rsid w:val="00502F28"/>
    <w:rsid w:val="00506791"/>
    <w:rsid w:val="00511973"/>
    <w:rsid w:val="005231BE"/>
    <w:rsid w:val="00525B57"/>
    <w:rsid w:val="00560F7E"/>
    <w:rsid w:val="00563375"/>
    <w:rsid w:val="005C36FD"/>
    <w:rsid w:val="005E3665"/>
    <w:rsid w:val="005F05E0"/>
    <w:rsid w:val="005F6D1E"/>
    <w:rsid w:val="0064020D"/>
    <w:rsid w:val="00645E2D"/>
    <w:rsid w:val="006A0213"/>
    <w:rsid w:val="006B018B"/>
    <w:rsid w:val="006C21BC"/>
    <w:rsid w:val="00707FB6"/>
    <w:rsid w:val="00721B47"/>
    <w:rsid w:val="00721CFC"/>
    <w:rsid w:val="00726E09"/>
    <w:rsid w:val="0073354A"/>
    <w:rsid w:val="007729F2"/>
    <w:rsid w:val="00785C6C"/>
    <w:rsid w:val="007E1F7C"/>
    <w:rsid w:val="007E24A0"/>
    <w:rsid w:val="00831E70"/>
    <w:rsid w:val="00896D19"/>
    <w:rsid w:val="008A30DF"/>
    <w:rsid w:val="008A40FD"/>
    <w:rsid w:val="008A4590"/>
    <w:rsid w:val="008E5778"/>
    <w:rsid w:val="008F1209"/>
    <w:rsid w:val="008F3FE2"/>
    <w:rsid w:val="009110AF"/>
    <w:rsid w:val="00937A80"/>
    <w:rsid w:val="00943079"/>
    <w:rsid w:val="00946F36"/>
    <w:rsid w:val="00971E8F"/>
    <w:rsid w:val="009777FE"/>
    <w:rsid w:val="009C2B95"/>
    <w:rsid w:val="00A029D5"/>
    <w:rsid w:val="00A2259C"/>
    <w:rsid w:val="00A23698"/>
    <w:rsid w:val="00A3067E"/>
    <w:rsid w:val="00A51300"/>
    <w:rsid w:val="00A55955"/>
    <w:rsid w:val="00A60839"/>
    <w:rsid w:val="00A62F85"/>
    <w:rsid w:val="00A64CC6"/>
    <w:rsid w:val="00A82107"/>
    <w:rsid w:val="00A97ADC"/>
    <w:rsid w:val="00AB1165"/>
    <w:rsid w:val="00AB5745"/>
    <w:rsid w:val="00AD2D46"/>
    <w:rsid w:val="00AE1817"/>
    <w:rsid w:val="00B14673"/>
    <w:rsid w:val="00B5007A"/>
    <w:rsid w:val="00BC0A21"/>
    <w:rsid w:val="00BC4CEB"/>
    <w:rsid w:val="00BD2CBD"/>
    <w:rsid w:val="00BE4248"/>
    <w:rsid w:val="00C35958"/>
    <w:rsid w:val="00CB51CF"/>
    <w:rsid w:val="00CC13CA"/>
    <w:rsid w:val="00CC5D0C"/>
    <w:rsid w:val="00CD2A5E"/>
    <w:rsid w:val="00CE0430"/>
    <w:rsid w:val="00CE23C5"/>
    <w:rsid w:val="00CF1306"/>
    <w:rsid w:val="00D005D7"/>
    <w:rsid w:val="00D22215"/>
    <w:rsid w:val="00D309EE"/>
    <w:rsid w:val="00D40D28"/>
    <w:rsid w:val="00D436FE"/>
    <w:rsid w:val="00D46C8A"/>
    <w:rsid w:val="00D634C5"/>
    <w:rsid w:val="00D8695B"/>
    <w:rsid w:val="00DB1150"/>
    <w:rsid w:val="00DD15A0"/>
    <w:rsid w:val="00DF31A6"/>
    <w:rsid w:val="00E028BF"/>
    <w:rsid w:val="00E02B7F"/>
    <w:rsid w:val="00E0443B"/>
    <w:rsid w:val="00E1338A"/>
    <w:rsid w:val="00E31323"/>
    <w:rsid w:val="00F06C91"/>
    <w:rsid w:val="00F07211"/>
    <w:rsid w:val="00F55FBB"/>
    <w:rsid w:val="00F62678"/>
    <w:rsid w:val="00F65AEF"/>
    <w:rsid w:val="00F813FF"/>
    <w:rsid w:val="00F826EE"/>
    <w:rsid w:val="00F93699"/>
    <w:rsid w:val="00FC5169"/>
    <w:rsid w:val="00FE32BD"/>
    <w:rsid w:val="00FF72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1424F"/>
  <w15:chartTrackingRefBased/>
  <w15:docId w15:val="{BF1F846B-8866-439C-AEFA-9DFCB78F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7B"/>
    <w:pPr>
      <w:ind w:left="720"/>
      <w:contextualSpacing/>
    </w:pPr>
  </w:style>
  <w:style w:type="table" w:styleId="TableGrid">
    <w:name w:val="Table Grid"/>
    <w:basedOn w:val="TableNormal"/>
    <w:uiPriority w:val="39"/>
    <w:rsid w:val="00B1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0839"/>
  </w:style>
  <w:style w:type="paragraph" w:styleId="Footer">
    <w:name w:val="footer"/>
    <w:basedOn w:val="Normal"/>
    <w:link w:val="FooterChar"/>
    <w:uiPriority w:val="99"/>
    <w:unhideWhenUsed/>
    <w:rsid w:val="00A60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0839"/>
  </w:style>
  <w:style w:type="character" w:styleId="Hyperlink">
    <w:name w:val="Hyperlink"/>
    <w:basedOn w:val="DefaultParagraphFont"/>
    <w:uiPriority w:val="99"/>
    <w:unhideWhenUsed/>
    <w:rsid w:val="00070C5A"/>
    <w:rPr>
      <w:color w:val="0563C1" w:themeColor="hyperlink"/>
      <w:u w:val="single"/>
    </w:rPr>
  </w:style>
  <w:style w:type="character" w:customStyle="1" w:styleId="UnresolvedMention1">
    <w:name w:val="Unresolved Mention1"/>
    <w:basedOn w:val="DefaultParagraphFont"/>
    <w:uiPriority w:val="99"/>
    <w:semiHidden/>
    <w:unhideWhenUsed/>
    <w:rsid w:val="00070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966793">
      <w:bodyDiv w:val="1"/>
      <w:marLeft w:val="0"/>
      <w:marRight w:val="0"/>
      <w:marTop w:val="0"/>
      <w:marBottom w:val="0"/>
      <w:divBdr>
        <w:top w:val="none" w:sz="0" w:space="0" w:color="auto"/>
        <w:left w:val="none" w:sz="0" w:space="0" w:color="auto"/>
        <w:bottom w:val="none" w:sz="0" w:space="0" w:color="auto"/>
        <w:right w:val="none" w:sz="0" w:space="0" w:color="auto"/>
      </w:divBdr>
    </w:div>
    <w:div w:id="189361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eader" Target="header1.xml"/><Relationship Id="rId26" Type="http://schemas.openxmlformats.org/officeDocument/2006/relationships/image" Target="media/image10.png"/><Relationship Id="rId39" Type="http://schemas.openxmlformats.org/officeDocument/2006/relationships/hyperlink" Target="https://www.documentation.eauetbiodiversite.fr" TargetMode="External"/><Relationship Id="rId21" Type="http://schemas.openxmlformats.org/officeDocument/2006/relationships/footer" Target="footer2.xml"/><Relationship Id="rId34" Type="http://schemas.openxmlformats.org/officeDocument/2006/relationships/hyperlink" Target="https://doi.org/10.1016/j.marpolbul.2018.03.029" TargetMode="External"/><Relationship Id="rId42" Type="http://schemas.openxmlformats.org/officeDocument/2006/relationships/hyperlink" Target="https://doi.org/10.4236/ojapps.2021.1112099" TargetMode="External"/><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hyperlink" Target="https://doi.org/10.4319/lo.1983.28.1.0199"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hyperlink" Target="https://doi.org/10.3389/fmars.2017.00027" TargetMode="External"/><Relationship Id="rId37" Type="http://schemas.openxmlformats.org/officeDocument/2006/relationships/hyperlink" Target="https://doi.org/10.3390/w15203659" TargetMode="External"/><Relationship Id="rId40" Type="http://schemas.openxmlformats.org/officeDocument/2006/relationships/hyperlink" Target="https://doi.org/10.1016/j.marpolbul.2016.10.056" TargetMode="External"/><Relationship Id="rId45" Type="http://schemas.openxmlformats.org/officeDocument/2006/relationships/hyperlink" Target="https://doi.org/10.1016/j.scitotenv.2020.144246" TargetMode="Externa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footer" Target="footer3.xml"/><Relationship Id="rId28" Type="http://schemas.openxmlformats.org/officeDocument/2006/relationships/image" Target="media/image12.png"/><Relationship Id="rId36" Type="http://schemas.openxmlformats.org/officeDocument/2006/relationships/hyperlink" Target="https://doi.org/10.1007/s00128-020-02891-0" TargetMode="External"/><Relationship Id="rId10" Type="http://schemas.openxmlformats.org/officeDocument/2006/relationships/image" Target="media/image4.wmf"/><Relationship Id="rId19" Type="http://schemas.openxmlformats.org/officeDocument/2006/relationships/header" Target="header2.xml"/><Relationship Id="rId31" Type="http://schemas.openxmlformats.org/officeDocument/2006/relationships/hyperlink" Target="https://doi.org/10.19044/esj.2021.v17n25p150" TargetMode="External"/><Relationship Id="rId44" Type="http://schemas.openxmlformats.org/officeDocument/2006/relationships/hyperlink" Target="https://doi.org/10.9790/2402-1501014249" TargetMode="Externa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header" Target="header3.xml"/><Relationship Id="rId27" Type="http://schemas.openxmlformats.org/officeDocument/2006/relationships/image" Target="media/image11.png"/><Relationship Id="rId30" Type="http://schemas.openxmlformats.org/officeDocument/2006/relationships/hyperlink" Target="https://doi.org/10.1007/BF00024907" TargetMode="External"/><Relationship Id="rId35" Type="http://schemas.openxmlformats.org/officeDocument/2006/relationships/hyperlink" Target="https://doi.org/10.1080/02705060.2025.2501974" TargetMode="External"/><Relationship Id="rId43" Type="http://schemas.openxmlformats.org/officeDocument/2006/relationships/hyperlink" Target="https://doi.org/10.%203389/fmars.2017.00018" TargetMode="External"/><Relationship Id="rId8"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9.png"/><Relationship Id="rId33" Type="http://schemas.openxmlformats.org/officeDocument/2006/relationships/hyperlink" Target="http://www.biosciences.elewa.org" TargetMode="External"/><Relationship Id="rId38" Type="http://schemas.openxmlformats.org/officeDocument/2006/relationships/hyperlink" Target="https://doi.org/10.1007/s12517-024-11978-5" TargetMode="Externa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doi.org/10.56557/jogee/2025/v21i396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17</Pages>
  <Words>9474</Words>
  <Characters>54003</Characters>
  <Application>Microsoft Office Word</Application>
  <DocSecurity>0</DocSecurity>
  <Lines>450</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Editor-90</cp:lastModifiedBy>
  <cp:revision>117</cp:revision>
  <dcterms:created xsi:type="dcterms:W3CDTF">2025-09-22T00:40:00Z</dcterms:created>
  <dcterms:modified xsi:type="dcterms:W3CDTF">2025-09-28T05:09:00Z</dcterms:modified>
</cp:coreProperties>
</file>