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D9BE6F1" w14:textId="7808E1D9" w:rsidR="005B1101" w:rsidRDefault="00C5085B">
      <w:pPr>
        <w:jc w:val="both"/>
        <w:rPr>
          <w:rFonts w:ascii="Times New Roman" w:eastAsia="Times New Roman" w:hAnsi="Times New Roman" w:cs="Times New Roman"/>
          <w:b/>
          <w:color w:val="000000"/>
          <w:sz w:val="32"/>
          <w:szCs w:val="32"/>
        </w:rPr>
      </w:pPr>
      <w:bookmarkStart w:id="0" w:name="_icfanrc6rvgm" w:colFirst="0" w:colLast="0"/>
      <w:bookmarkEnd w:id="0"/>
      <w:r w:rsidRPr="0097212D">
        <w:rPr>
          <w:rFonts w:ascii="Times New Roman" w:eastAsia="Times New Roman" w:hAnsi="Times New Roman" w:cs="Times New Roman"/>
          <w:b/>
          <w:color w:val="000000"/>
          <w:sz w:val="32"/>
          <w:szCs w:val="32"/>
        </w:rPr>
        <w:t>Antioxidant Phytochemicals in Environmenta</w:t>
      </w:r>
      <w:r w:rsidR="0097212D">
        <w:rPr>
          <w:rFonts w:ascii="Times New Roman" w:eastAsia="Times New Roman" w:hAnsi="Times New Roman" w:cs="Times New Roman"/>
          <w:b/>
          <w:color w:val="000000"/>
          <w:sz w:val="32"/>
          <w:szCs w:val="32"/>
        </w:rPr>
        <w:t>l Toxicology: Protective Roles a</w:t>
      </w:r>
      <w:r w:rsidRPr="0097212D">
        <w:rPr>
          <w:rFonts w:ascii="Times New Roman" w:eastAsia="Times New Roman" w:hAnsi="Times New Roman" w:cs="Times New Roman"/>
          <w:b/>
          <w:color w:val="000000"/>
          <w:sz w:val="32"/>
          <w:szCs w:val="32"/>
        </w:rPr>
        <w:t>gainst Oxidative Stress from Pollutants and Heavy Metals</w:t>
      </w:r>
    </w:p>
    <w:p w14:paraId="07CD451C" w14:textId="77777777" w:rsidR="00553CE9" w:rsidRDefault="00553CE9">
      <w:pPr>
        <w:jc w:val="both"/>
        <w:rPr>
          <w:rFonts w:ascii="Times New Roman" w:eastAsia="Times New Roman" w:hAnsi="Times New Roman" w:cs="Times New Roman"/>
          <w:b/>
          <w:color w:val="000000"/>
          <w:sz w:val="32"/>
          <w:szCs w:val="32"/>
        </w:rPr>
      </w:pPr>
    </w:p>
    <w:p w14:paraId="109E17D9" w14:textId="77777777" w:rsidR="006C1A91" w:rsidRDefault="006C1A91">
      <w:pPr>
        <w:jc w:val="both"/>
        <w:rPr>
          <w:rFonts w:ascii="Times New Roman" w:eastAsia="Times New Roman" w:hAnsi="Times New Roman" w:cs="Times New Roman"/>
          <w:b/>
          <w:color w:val="000000"/>
          <w:sz w:val="32"/>
          <w:szCs w:val="32"/>
        </w:rPr>
      </w:pPr>
    </w:p>
    <w:p w14:paraId="08189F88" w14:textId="77777777" w:rsidR="005B1101" w:rsidRPr="003F71B6" w:rsidRDefault="00C5085B" w:rsidP="00E2358B">
      <w:pPr>
        <w:pBdr>
          <w:top w:val="single" w:sz="4" w:space="1" w:color="C0504D"/>
          <w:left w:val="single" w:sz="4" w:space="4" w:color="C0504D"/>
          <w:bottom w:val="single" w:sz="4" w:space="1" w:color="C0504D"/>
          <w:right w:val="single" w:sz="4" w:space="4" w:color="C0504D"/>
          <w:between w:val="single" w:sz="4" w:space="1" w:color="C0504D"/>
        </w:pBdr>
        <w:shd w:val="clear" w:color="auto" w:fill="DDD9C4"/>
        <w:jc w:val="center"/>
        <w:rPr>
          <w:rFonts w:ascii="Times New Roman" w:eastAsia="Times New Roman" w:hAnsi="Times New Roman" w:cs="Times New Roman"/>
          <w:color w:val="000000"/>
        </w:rPr>
      </w:pPr>
      <w:r w:rsidRPr="003F71B6">
        <w:rPr>
          <w:rFonts w:ascii="Times New Roman" w:eastAsia="Times New Roman" w:hAnsi="Times New Roman" w:cs="Times New Roman"/>
          <w:b/>
          <w:color w:val="000000"/>
        </w:rPr>
        <w:t>ABSTRACT</w:t>
      </w:r>
    </w:p>
    <w:p w14:paraId="33ACDB54" w14:textId="77777777" w:rsidR="005B1101" w:rsidRDefault="00C5085B">
      <w:pPr>
        <w:pBdr>
          <w:top w:val="single" w:sz="4" w:space="1" w:color="C0504D"/>
          <w:left w:val="single" w:sz="4" w:space="4" w:color="C0504D"/>
          <w:bottom w:val="single" w:sz="4" w:space="1" w:color="C0504D"/>
          <w:right w:val="single" w:sz="4" w:space="4" w:color="C0504D"/>
          <w:between w:val="single" w:sz="4" w:space="1" w:color="C0504D"/>
        </w:pBdr>
        <w:shd w:val="clear" w:color="auto" w:fill="DDD9C4"/>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Heavy metal and persistent organic pollution remain a significant health challenge in the world because they have the capability of causing oxidative str</w:t>
      </w:r>
      <w:r w:rsidR="00E2358B">
        <w:rPr>
          <w:rFonts w:ascii="Times New Roman" w:eastAsia="Times New Roman" w:hAnsi="Times New Roman" w:cs="Times New Roman"/>
          <w:color w:val="000000"/>
        </w:rPr>
        <w:t>ess and cellular damages. This o</w:t>
      </w:r>
      <w:r>
        <w:rPr>
          <w:rFonts w:ascii="Times New Roman" w:eastAsia="Times New Roman" w:hAnsi="Times New Roman" w:cs="Times New Roman"/>
          <w:color w:val="000000"/>
        </w:rPr>
        <w:t>xidative stress arises when the formation of the reactive oxygen species surpasses the abilities of biological antioxidant systems causing molecular and physiological malfunction. Antioxidant phytochemicals present in plants have been investigated as potential anti</w:t>
      </w:r>
      <w:r w:rsidR="00E573E2">
        <w:rPr>
          <w:rFonts w:ascii="Times New Roman" w:eastAsia="Times New Roman" w:hAnsi="Times New Roman" w:cs="Times New Roman"/>
          <w:color w:val="000000"/>
        </w:rPr>
        <w:t>-</w:t>
      </w:r>
      <w:r>
        <w:rPr>
          <w:rFonts w:ascii="Times New Roman" w:eastAsia="Times New Roman" w:hAnsi="Times New Roman" w:cs="Times New Roman"/>
          <w:color w:val="000000"/>
        </w:rPr>
        <w:t xml:space="preserve">pollutant agents against toxicity caused by pollutants in recent years. This review has given a detailed account of the mechanisms that these phytochemicals used in mitigating these oxidative stress from environmental toxicants. It covers such key classes of compounds like flavonoids, polyphenols, carotenoids, and phenolic acids and their antioxidant, anti-inflammatory, and metal-chelating activities. The review of experimental, in vivo, and epidemiological research is discussed to demonstrate their functions in restoring redox balance, improving cellular defense mechanisms, and guarding vital organs against the damage by pollutants. Other novel studies about synergistic effects, </w:t>
      </w:r>
      <w:proofErr w:type="spellStart"/>
      <w:r>
        <w:rPr>
          <w:rFonts w:ascii="Times New Roman" w:eastAsia="Times New Roman" w:hAnsi="Times New Roman" w:cs="Times New Roman"/>
          <w:color w:val="000000"/>
        </w:rPr>
        <w:t>nano</w:t>
      </w:r>
      <w:proofErr w:type="spellEnd"/>
      <w:r w:rsidR="00210888">
        <w:rPr>
          <w:rFonts w:ascii="Times New Roman" w:eastAsia="Times New Roman" w:hAnsi="Times New Roman" w:cs="Times New Roman"/>
          <w:color w:val="000000"/>
        </w:rPr>
        <w:t>-</w:t>
      </w:r>
      <w:r>
        <w:rPr>
          <w:rFonts w:ascii="Times New Roman" w:eastAsia="Times New Roman" w:hAnsi="Times New Roman" w:cs="Times New Roman"/>
          <w:color w:val="000000"/>
        </w:rPr>
        <w:t>formulations and interventions with phytochemicals are also noted in the review to enhance bioavailability and therapeutic action. Although these advances have been made, the inconsistency in plant composition, insufficient clinical validation, and metabolic lability are still major issues. Altogether, antioxidant phytochemicals are groups of promising natural intervention in the fight against oxidative stress caused by environmental pollutants, and it is recommended that future studies should focus on the optimization of formulations and how they can be practically applicable to humans.</w:t>
      </w:r>
    </w:p>
    <w:p w14:paraId="096704D4" w14:textId="77777777" w:rsidR="005B1101" w:rsidRDefault="00C5085B">
      <w:pPr>
        <w:pBdr>
          <w:top w:val="single" w:sz="4" w:space="1" w:color="C0504D"/>
          <w:left w:val="single" w:sz="4" w:space="4" w:color="C0504D"/>
          <w:bottom w:val="single" w:sz="4" w:space="1" w:color="C0504D"/>
          <w:right w:val="single" w:sz="4" w:space="4" w:color="C0504D"/>
          <w:between w:val="single" w:sz="4" w:space="1" w:color="C0504D"/>
        </w:pBdr>
        <w:shd w:val="clear" w:color="auto" w:fill="DDD9C4"/>
        <w:spacing w:before="240" w:after="240"/>
        <w:jc w:val="both"/>
        <w:rPr>
          <w:rFonts w:ascii="Times New Roman" w:eastAsia="Times New Roman" w:hAnsi="Times New Roman" w:cs="Times New Roman"/>
          <w:color w:val="000000"/>
        </w:rPr>
        <w:sectPr w:rsidR="005B1101">
          <w:headerReference w:type="even" r:id="rId6"/>
          <w:headerReference w:type="default" r:id="rId7"/>
          <w:footerReference w:type="even" r:id="rId8"/>
          <w:footerReference w:type="default" r:id="rId9"/>
          <w:headerReference w:type="first" r:id="rId10"/>
          <w:footerReference w:type="first" r:id="rId11"/>
          <w:pgSz w:w="11909" w:h="16834"/>
          <w:pgMar w:top="720" w:right="576" w:bottom="720" w:left="576" w:header="720" w:footer="720" w:gutter="0"/>
          <w:pgNumType w:start="1"/>
          <w:cols w:space="720"/>
        </w:sectPr>
      </w:pPr>
      <w:r>
        <w:rPr>
          <w:rFonts w:ascii="Times New Roman" w:eastAsia="Times New Roman" w:hAnsi="Times New Roman" w:cs="Times New Roman"/>
          <w:b/>
          <w:color w:val="000000"/>
        </w:rPr>
        <w:t xml:space="preserve">Keywords: </w:t>
      </w:r>
      <w:r>
        <w:rPr>
          <w:rFonts w:ascii="Times New Roman" w:eastAsia="Times New Roman" w:hAnsi="Times New Roman" w:cs="Times New Roman"/>
          <w:color w:val="000000"/>
        </w:rPr>
        <w:t>Antioxidant phytochemicals, heavy metals, oxidative stress, redox bal</w:t>
      </w:r>
      <w:r w:rsidR="00210888">
        <w:rPr>
          <w:rFonts w:ascii="Times New Roman" w:eastAsia="Times New Roman" w:hAnsi="Times New Roman" w:cs="Times New Roman"/>
          <w:color w:val="000000"/>
        </w:rPr>
        <w:t>ance, environmental toxicology,</w:t>
      </w:r>
      <w:r>
        <w:rPr>
          <w:rFonts w:ascii="Times New Roman" w:eastAsia="Times New Roman" w:hAnsi="Times New Roman" w:cs="Times New Roman"/>
          <w:color w:val="000000"/>
        </w:rPr>
        <w:t xml:space="preserve"> phytochemical defense.</w:t>
      </w:r>
    </w:p>
    <w:p w14:paraId="5030EE4A" w14:textId="77777777" w:rsidR="005B1101" w:rsidRDefault="00C5085B">
      <w:pPr>
        <w:jc w:val="both"/>
        <w:rPr>
          <w:rFonts w:ascii="Times New Roman" w:eastAsia="Times New Roman" w:hAnsi="Times New Roman" w:cs="Times New Roman"/>
          <w:b/>
          <w:color w:val="000000"/>
        </w:rPr>
      </w:pPr>
      <w:bookmarkStart w:id="1" w:name="_abgv4edg45pm" w:colFirst="0" w:colLast="0"/>
      <w:bookmarkEnd w:id="1"/>
      <w:r>
        <w:rPr>
          <w:rFonts w:ascii="Times New Roman" w:eastAsia="Times New Roman" w:hAnsi="Times New Roman" w:cs="Times New Roman"/>
          <w:b/>
          <w:color w:val="000000"/>
        </w:rPr>
        <w:lastRenderedPageBreak/>
        <w:t>Introduction</w:t>
      </w:r>
    </w:p>
    <w:p w14:paraId="00326C58"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to </w:t>
      </w:r>
      <w:proofErr w:type="spellStart"/>
      <w:r>
        <w:rPr>
          <w:rFonts w:ascii="Times New Roman" w:eastAsia="Times New Roman" w:hAnsi="Times New Roman" w:cs="Times New Roman"/>
          <w:color w:val="000000"/>
        </w:rPr>
        <w:t>industrialisation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urbanisation</w:t>
      </w:r>
      <w:proofErr w:type="spellEnd"/>
      <w:r>
        <w:rPr>
          <w:rFonts w:ascii="Times New Roman" w:eastAsia="Times New Roman" w:hAnsi="Times New Roman" w:cs="Times New Roman"/>
          <w:color w:val="000000"/>
        </w:rPr>
        <w:t>, and large-scale agricultural production, there has been a marked increase in the release of persistent pollutants into the environment. Among them, heavy metals, including lead (</w:t>
      </w:r>
      <w:proofErr w:type="spellStart"/>
      <w:r>
        <w:rPr>
          <w:rFonts w:ascii="Times New Roman" w:eastAsia="Times New Roman" w:hAnsi="Times New Roman" w:cs="Times New Roman"/>
          <w:color w:val="000000"/>
        </w:rPr>
        <w:t>Pb</w:t>
      </w:r>
      <w:proofErr w:type="spellEnd"/>
      <w:r>
        <w:rPr>
          <w:rFonts w:ascii="Times New Roman" w:eastAsia="Times New Roman" w:hAnsi="Times New Roman" w:cs="Times New Roman"/>
          <w:color w:val="000000"/>
        </w:rPr>
        <w:t>), cadmium (Cd), mercury (Hg), and arsenic (As) and persistent organic pollutants (e.g. pesticides, polycyclic aromatic hydrocarbons) are of special interest because of their stability, bioaccumulation, and the ability to cause chronic toxicity (</w:t>
      </w:r>
      <w:proofErr w:type="spellStart"/>
      <w:r>
        <w:rPr>
          <w:rFonts w:ascii="Times New Roman" w:eastAsia="Times New Roman" w:hAnsi="Times New Roman" w:cs="Times New Roman"/>
          <w:color w:val="000000"/>
        </w:rPr>
        <w:t>Sokan-Adeaga</w:t>
      </w:r>
      <w:proofErr w:type="spellEnd"/>
      <w:r>
        <w:rPr>
          <w:rFonts w:ascii="Times New Roman" w:eastAsia="Times New Roman" w:hAnsi="Times New Roman" w:cs="Times New Roman"/>
          <w:color w:val="000000"/>
        </w:rPr>
        <w:t xml:space="preserve"> et al., 2023; </w:t>
      </w:r>
      <w:proofErr w:type="spellStart"/>
      <w:r>
        <w:rPr>
          <w:rFonts w:ascii="Times New Roman" w:eastAsia="Times New Roman" w:hAnsi="Times New Roman" w:cs="Times New Roman"/>
          <w:color w:val="000000"/>
          <w:highlight w:val="white"/>
        </w:rPr>
        <w:t>Jaishankar</w:t>
      </w:r>
      <w:proofErr w:type="spellEnd"/>
      <w:r>
        <w:rPr>
          <w:rFonts w:ascii="Times New Roman" w:eastAsia="Times New Roman" w:hAnsi="Times New Roman" w:cs="Times New Roman"/>
          <w:color w:val="000000"/>
          <w:highlight w:val="white"/>
        </w:rPr>
        <w:t xml:space="preserve"> et al., 2014; </w:t>
      </w:r>
      <w:proofErr w:type="spellStart"/>
      <w:r>
        <w:rPr>
          <w:rFonts w:ascii="Times New Roman" w:eastAsia="Times New Roman" w:hAnsi="Times New Roman" w:cs="Times New Roman"/>
          <w:color w:val="000000"/>
          <w:highlight w:val="white"/>
        </w:rPr>
        <w:t>Dua</w:t>
      </w:r>
      <w:proofErr w:type="spellEnd"/>
      <w:r>
        <w:rPr>
          <w:rFonts w:ascii="Times New Roman" w:eastAsia="Times New Roman" w:hAnsi="Times New Roman" w:cs="Times New Roman"/>
          <w:color w:val="000000"/>
          <w:highlight w:val="white"/>
        </w:rPr>
        <w:t xml:space="preserve"> et al., 2025</w:t>
      </w:r>
      <w:r>
        <w:rPr>
          <w:rFonts w:ascii="Times New Roman" w:eastAsia="Times New Roman" w:hAnsi="Times New Roman" w:cs="Times New Roman"/>
          <w:color w:val="000000"/>
        </w:rPr>
        <w:t>). These toxicants gain access to people and ecological systems through air, water, land, and the food chain, resulting in widespread exposure to humans (</w:t>
      </w:r>
      <w:proofErr w:type="spellStart"/>
      <w:r>
        <w:rPr>
          <w:rFonts w:ascii="Times New Roman" w:eastAsia="Times New Roman" w:hAnsi="Times New Roman" w:cs="Times New Roman"/>
          <w:color w:val="000000"/>
        </w:rPr>
        <w:t>Angon</w:t>
      </w:r>
      <w:proofErr w:type="spellEnd"/>
      <w:r>
        <w:rPr>
          <w:rFonts w:ascii="Times New Roman" w:eastAsia="Times New Roman" w:hAnsi="Times New Roman" w:cs="Times New Roman"/>
          <w:color w:val="000000"/>
        </w:rPr>
        <w:t xml:space="preserve"> et al., 2024)</w:t>
      </w:r>
      <w:r w:rsidR="002A5BE7" w:rsidRPr="002A5BE7">
        <w:rPr>
          <w:rFonts w:ascii="Times New Roman" w:hAnsi="Times New Roman" w:cs="Times New Roman"/>
          <w:sz w:val="24"/>
          <w:szCs w:val="24"/>
        </w:rPr>
        <w:t xml:space="preserve"> </w:t>
      </w:r>
      <w:r w:rsidR="002A5BE7">
        <w:rPr>
          <w:rFonts w:ascii="Times New Roman" w:hAnsi="Times New Roman" w:cs="Times New Roman"/>
          <w:sz w:val="24"/>
          <w:szCs w:val="24"/>
        </w:rPr>
        <w:t>t</w:t>
      </w:r>
      <w:r w:rsidR="002A5BE7" w:rsidRPr="00F64816">
        <w:rPr>
          <w:rFonts w:ascii="Times New Roman" w:hAnsi="Times New Roman" w:cs="Times New Roman"/>
          <w:sz w:val="24"/>
          <w:szCs w:val="24"/>
        </w:rPr>
        <w:t xml:space="preserve">hese factors are associated with one another and change in one factor may lead to change in another which may lead to serious consequences </w:t>
      </w:r>
      <w:r w:rsidR="002A5BE7">
        <w:rPr>
          <w:rFonts w:ascii="Times New Roman" w:hAnsi="Times New Roman" w:cs="Times New Roman"/>
          <w:sz w:val="24"/>
          <w:szCs w:val="24"/>
        </w:rPr>
        <w:t>(</w:t>
      </w:r>
      <w:proofErr w:type="spellStart"/>
      <w:r w:rsidR="002A5BE7">
        <w:rPr>
          <w:rFonts w:ascii="Times New Roman" w:hAnsi="Times New Roman" w:cs="Times New Roman"/>
          <w:sz w:val="24"/>
          <w:szCs w:val="24"/>
        </w:rPr>
        <w:t>Idowu</w:t>
      </w:r>
      <w:proofErr w:type="spellEnd"/>
      <w:r w:rsidR="002A5BE7">
        <w:rPr>
          <w:rFonts w:ascii="Times New Roman" w:hAnsi="Times New Roman" w:cs="Times New Roman"/>
          <w:sz w:val="24"/>
          <w:szCs w:val="24"/>
        </w:rPr>
        <w:t xml:space="preserve"> et al., 2025)</w:t>
      </w:r>
      <w:r>
        <w:rPr>
          <w:rFonts w:ascii="Times New Roman" w:eastAsia="Times New Roman" w:hAnsi="Times New Roman" w:cs="Times New Roman"/>
          <w:color w:val="000000"/>
        </w:rPr>
        <w:t>.</w:t>
      </w:r>
    </w:p>
    <w:p w14:paraId="29732F2E"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A key process by which numerous pollutants and heavy metals inflict their cellular effects is through the induction of oxidative stress (</w:t>
      </w:r>
      <w:proofErr w:type="spellStart"/>
      <w:r>
        <w:rPr>
          <w:rFonts w:ascii="Times New Roman" w:eastAsia="Times New Roman" w:hAnsi="Times New Roman" w:cs="Times New Roman"/>
          <w:color w:val="000000"/>
          <w:highlight w:val="white"/>
        </w:rPr>
        <w:t>Eskander</w:t>
      </w:r>
      <w:proofErr w:type="spellEnd"/>
      <w:r>
        <w:rPr>
          <w:rFonts w:ascii="Times New Roman" w:eastAsia="Times New Roman" w:hAnsi="Times New Roman" w:cs="Times New Roman"/>
          <w:color w:val="000000"/>
          <w:highlight w:val="white"/>
        </w:rPr>
        <w:t xml:space="preserve"> et al., 2020; Fu &amp; Xi, 2020)</w:t>
      </w:r>
      <w:r>
        <w:rPr>
          <w:rFonts w:ascii="Times New Roman" w:eastAsia="Times New Roman" w:hAnsi="Times New Roman" w:cs="Times New Roman"/>
          <w:color w:val="000000"/>
        </w:rPr>
        <w:t xml:space="preserve">. The condition occurs when the generation of reactive oxygen species (ROS) and reactive nitrogen </w:t>
      </w:r>
      <w:r>
        <w:rPr>
          <w:rFonts w:ascii="Times New Roman" w:eastAsia="Times New Roman" w:hAnsi="Times New Roman" w:cs="Times New Roman"/>
          <w:color w:val="000000"/>
        </w:rPr>
        <w:lastRenderedPageBreak/>
        <w:t>species (RNS) exceeds the endogenous antioxidant defenses, leading to the destruction of lipids, proteins, and DNA (</w:t>
      </w:r>
      <w:proofErr w:type="spellStart"/>
      <w:r>
        <w:rPr>
          <w:rFonts w:ascii="Times New Roman" w:eastAsia="Times New Roman" w:hAnsi="Times New Roman" w:cs="Times New Roman"/>
          <w:color w:val="000000"/>
          <w:highlight w:val="white"/>
        </w:rPr>
        <w:t>Hameister</w:t>
      </w:r>
      <w:proofErr w:type="spellEnd"/>
      <w:r>
        <w:rPr>
          <w:rFonts w:ascii="Times New Roman" w:eastAsia="Times New Roman" w:hAnsi="Times New Roman" w:cs="Times New Roman"/>
          <w:color w:val="000000"/>
          <w:highlight w:val="white"/>
        </w:rPr>
        <w:t xml:space="preserve"> et al., 2020; </w:t>
      </w:r>
      <w:proofErr w:type="spellStart"/>
      <w:r>
        <w:rPr>
          <w:rFonts w:ascii="Times New Roman" w:eastAsia="Times New Roman" w:hAnsi="Times New Roman" w:cs="Times New Roman"/>
          <w:color w:val="000000"/>
          <w:highlight w:val="white"/>
        </w:rPr>
        <w:t>Olufunmilayo</w:t>
      </w:r>
      <w:proofErr w:type="spellEnd"/>
      <w:r>
        <w:rPr>
          <w:rFonts w:ascii="Times New Roman" w:eastAsia="Times New Roman" w:hAnsi="Times New Roman" w:cs="Times New Roman"/>
          <w:color w:val="000000"/>
          <w:highlight w:val="white"/>
        </w:rPr>
        <w:t xml:space="preserve"> et al., 2023; </w:t>
      </w:r>
      <w:proofErr w:type="spellStart"/>
      <w:r>
        <w:rPr>
          <w:rFonts w:ascii="Times New Roman" w:eastAsia="Times New Roman" w:hAnsi="Times New Roman" w:cs="Times New Roman"/>
          <w:color w:val="000000"/>
        </w:rPr>
        <w:t>Abdelazim</w:t>
      </w:r>
      <w:proofErr w:type="spellEnd"/>
      <w:r>
        <w:rPr>
          <w:rFonts w:ascii="Times New Roman" w:eastAsia="Times New Roman" w:hAnsi="Times New Roman" w:cs="Times New Roman"/>
          <w:color w:val="000000"/>
        </w:rPr>
        <w:t xml:space="preserve">, 2024). Oxidative stress is commonly viewed as a convergent process in environmental toxicology, which involves the association between a variety of contaminant agents and cell destruction (Kim and </w:t>
      </w:r>
      <w:proofErr w:type="spellStart"/>
      <w:r>
        <w:rPr>
          <w:rFonts w:ascii="Times New Roman" w:eastAsia="Times New Roman" w:hAnsi="Times New Roman" w:cs="Times New Roman"/>
          <w:color w:val="000000"/>
        </w:rPr>
        <w:t>Klaassen</w:t>
      </w:r>
      <w:proofErr w:type="spellEnd"/>
      <w:r>
        <w:rPr>
          <w:rFonts w:ascii="Times New Roman" w:eastAsia="Times New Roman" w:hAnsi="Times New Roman" w:cs="Times New Roman"/>
          <w:color w:val="000000"/>
        </w:rPr>
        <w:t xml:space="preserve">, 2019; </w:t>
      </w:r>
      <w:proofErr w:type="spellStart"/>
      <w:r>
        <w:rPr>
          <w:rFonts w:ascii="Times New Roman" w:eastAsia="Times New Roman" w:hAnsi="Times New Roman" w:cs="Times New Roman"/>
          <w:color w:val="000000"/>
          <w:highlight w:val="white"/>
        </w:rPr>
        <w:t>Jaishankar</w:t>
      </w:r>
      <w:proofErr w:type="spellEnd"/>
      <w:r>
        <w:rPr>
          <w:rFonts w:ascii="Times New Roman" w:eastAsia="Times New Roman" w:hAnsi="Times New Roman" w:cs="Times New Roman"/>
          <w:color w:val="000000"/>
          <w:highlight w:val="white"/>
        </w:rPr>
        <w:t xml:space="preserve"> et al., 2014</w:t>
      </w:r>
      <w:r>
        <w:rPr>
          <w:rFonts w:ascii="Times New Roman" w:eastAsia="Times New Roman" w:hAnsi="Times New Roman" w:cs="Times New Roman"/>
          <w:color w:val="000000"/>
        </w:rPr>
        <w:t xml:space="preserve">). To mention a few, metals, such as cadmium and arsenic, might either catalyze Fenton-type reaction or interfere with mitochondrial electron transport, producing ROS, including hydroxyl radicals (Wu &amp; Zhang, 2021; </w:t>
      </w:r>
      <w:proofErr w:type="spellStart"/>
      <w:r>
        <w:rPr>
          <w:rFonts w:ascii="Times New Roman" w:eastAsia="Times New Roman" w:hAnsi="Times New Roman" w:cs="Times New Roman"/>
          <w:color w:val="000000"/>
          <w:highlight w:val="white"/>
        </w:rPr>
        <w:t>Bhattacharjee</w:t>
      </w:r>
      <w:proofErr w:type="spellEnd"/>
      <w:r>
        <w:rPr>
          <w:rFonts w:ascii="Times New Roman" w:eastAsia="Times New Roman" w:hAnsi="Times New Roman" w:cs="Times New Roman"/>
          <w:color w:val="000000"/>
          <w:highlight w:val="white"/>
        </w:rPr>
        <w:t xml:space="preserve"> et al., 2019</w:t>
      </w:r>
      <w:r>
        <w:rPr>
          <w:rFonts w:ascii="Times New Roman" w:eastAsia="Times New Roman" w:hAnsi="Times New Roman" w:cs="Times New Roman"/>
          <w:color w:val="000000"/>
        </w:rPr>
        <w:t xml:space="preserve">). Additionally, heavy metals may also cause a lack of glutathione, block antioxidant enzymes (superoxide dismutase, catalase, glutathione peroxidase), and </w:t>
      </w:r>
      <w:proofErr w:type="spellStart"/>
      <w:r>
        <w:rPr>
          <w:rFonts w:ascii="Times New Roman" w:eastAsia="Times New Roman" w:hAnsi="Times New Roman" w:cs="Times New Roman"/>
          <w:color w:val="000000"/>
        </w:rPr>
        <w:t>disorganise</w:t>
      </w:r>
      <w:proofErr w:type="spellEnd"/>
      <w:r>
        <w:rPr>
          <w:rFonts w:ascii="Times New Roman" w:eastAsia="Times New Roman" w:hAnsi="Times New Roman" w:cs="Times New Roman"/>
          <w:color w:val="000000"/>
        </w:rPr>
        <w:t xml:space="preserve"> redox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pathways that further increase oxidative burden (</w:t>
      </w:r>
      <w:proofErr w:type="spellStart"/>
      <w:r>
        <w:rPr>
          <w:rFonts w:ascii="Times New Roman" w:eastAsia="Times New Roman" w:hAnsi="Times New Roman" w:cs="Times New Roman"/>
          <w:color w:val="000000"/>
          <w:highlight w:val="white"/>
        </w:rPr>
        <w:t>Mansoor</w:t>
      </w:r>
      <w:proofErr w:type="spellEnd"/>
      <w:r>
        <w:rPr>
          <w:rFonts w:ascii="Times New Roman" w:eastAsia="Times New Roman" w:hAnsi="Times New Roman" w:cs="Times New Roman"/>
          <w:color w:val="000000"/>
          <w:highlight w:val="white"/>
        </w:rPr>
        <w:t xml:space="preserve"> et al., 2023</w:t>
      </w:r>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highlight w:val="white"/>
        </w:rPr>
        <w:t>Rehman</w:t>
      </w:r>
      <w:proofErr w:type="spellEnd"/>
      <w:r>
        <w:rPr>
          <w:rFonts w:ascii="Times New Roman" w:eastAsia="Times New Roman" w:hAnsi="Times New Roman" w:cs="Times New Roman"/>
          <w:color w:val="000000"/>
        </w:rPr>
        <w:t xml:space="preserve"> et al., 2018; Wu &amp; Zhang, 2021).</w:t>
      </w:r>
    </w:p>
    <w:p w14:paraId="42E5CEEE"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Due to the ubiquitous occurrence of oxidative damage, an increased interest is growing in protection measures to lessen its effects on cells and tissues. Antioxidant phytochemicals in plant derivatives are promising due to their relative safety, molecular diversity, and </w:t>
      </w:r>
      <w:r>
        <w:rPr>
          <w:rFonts w:ascii="Times New Roman" w:eastAsia="Times New Roman" w:hAnsi="Times New Roman" w:cs="Times New Roman"/>
          <w:color w:val="000000"/>
        </w:rPr>
        <w:lastRenderedPageBreak/>
        <w:t>multitasking activity (</w:t>
      </w:r>
      <w:proofErr w:type="spellStart"/>
      <w:r>
        <w:rPr>
          <w:rFonts w:ascii="Times New Roman" w:eastAsia="Times New Roman" w:hAnsi="Times New Roman" w:cs="Times New Roman"/>
          <w:color w:val="000000"/>
        </w:rPr>
        <w:t>Gulcin</w:t>
      </w:r>
      <w:proofErr w:type="spellEnd"/>
      <w:r>
        <w:rPr>
          <w:rFonts w:ascii="Times New Roman" w:eastAsia="Times New Roman" w:hAnsi="Times New Roman" w:cs="Times New Roman"/>
          <w:color w:val="000000"/>
        </w:rPr>
        <w:t xml:space="preserve">, 2025; </w:t>
      </w:r>
      <w:proofErr w:type="spellStart"/>
      <w:r>
        <w:rPr>
          <w:rFonts w:ascii="Times New Roman" w:eastAsia="Times New Roman" w:hAnsi="Times New Roman" w:cs="Times New Roman"/>
          <w:color w:val="000000"/>
          <w:highlight w:val="white"/>
        </w:rPr>
        <w:t>Muscolo</w:t>
      </w:r>
      <w:proofErr w:type="spellEnd"/>
      <w:r>
        <w:rPr>
          <w:rFonts w:ascii="Times New Roman" w:eastAsia="Times New Roman" w:hAnsi="Times New Roman" w:cs="Times New Roman"/>
          <w:color w:val="000000"/>
          <w:highlight w:val="white"/>
        </w:rPr>
        <w:t xml:space="preserve"> et al., 2024</w:t>
      </w:r>
      <w:r>
        <w:rPr>
          <w:rFonts w:ascii="Times New Roman" w:eastAsia="Times New Roman" w:hAnsi="Times New Roman" w:cs="Times New Roman"/>
          <w:color w:val="000000"/>
        </w:rPr>
        <w:t xml:space="preserve">). These compounds are significant </w:t>
      </w:r>
      <w:proofErr w:type="spellStart"/>
      <w:r>
        <w:rPr>
          <w:rFonts w:ascii="Times New Roman" w:eastAsia="Times New Roman" w:hAnsi="Times New Roman" w:cs="Times New Roman"/>
          <w:color w:val="000000"/>
        </w:rPr>
        <w:t>neutralisers</w:t>
      </w:r>
      <w:proofErr w:type="spellEnd"/>
      <w:r>
        <w:rPr>
          <w:rFonts w:ascii="Times New Roman" w:eastAsia="Times New Roman" w:hAnsi="Times New Roman" w:cs="Times New Roman"/>
          <w:color w:val="000000"/>
        </w:rPr>
        <w:t xml:space="preserve"> of ROS, chelating transition metals to inhibit the formation of radicals, regulating redox-sensitive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(e.g., Nrf2/Keap1), and inducing endogenous antioxidant systems (</w:t>
      </w:r>
      <w:r>
        <w:rPr>
          <w:rFonts w:ascii="Times New Roman" w:eastAsia="Times New Roman" w:hAnsi="Times New Roman" w:cs="Times New Roman"/>
          <w:color w:val="000000"/>
          <w:highlight w:val="white"/>
        </w:rPr>
        <w:t>Lee, Song, &amp; Kim, 2021</w:t>
      </w:r>
      <w:r>
        <w:rPr>
          <w:rFonts w:ascii="Times New Roman" w:eastAsia="Times New Roman" w:hAnsi="Times New Roman" w:cs="Times New Roman"/>
          <w:color w:val="000000"/>
        </w:rPr>
        <w:t>). In fact, it has been experimentally demonstrated that the oxidative biomarkers, tissue damage, and the reestablishment of oxidative equilibrium in metal or pollutant stress models can be reduced by phytochemical agent extracts from turmeric (</w:t>
      </w:r>
      <w:proofErr w:type="spellStart"/>
      <w:r>
        <w:rPr>
          <w:rFonts w:ascii="Times New Roman" w:eastAsia="Times New Roman" w:hAnsi="Times New Roman" w:cs="Times New Roman"/>
          <w:color w:val="000000"/>
        </w:rPr>
        <w:t>curcumin</w:t>
      </w:r>
      <w:proofErr w:type="spellEnd"/>
      <w:r>
        <w:rPr>
          <w:rFonts w:ascii="Times New Roman" w:eastAsia="Times New Roman" w:hAnsi="Times New Roman" w:cs="Times New Roman"/>
          <w:color w:val="000000"/>
        </w:rPr>
        <w:t>), fruits (</w:t>
      </w: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grapes (resveratrol), and green tea (</w:t>
      </w:r>
      <w:proofErr w:type="spellStart"/>
      <w:r>
        <w:rPr>
          <w:rFonts w:ascii="Times New Roman" w:eastAsia="Times New Roman" w:hAnsi="Times New Roman" w:cs="Times New Roman"/>
          <w:color w:val="000000"/>
        </w:rPr>
        <w:t>catechins</w:t>
      </w:r>
      <w:proofErr w:type="spellEnd"/>
      <w:r>
        <w:rPr>
          <w:rFonts w:ascii="Times New Roman" w:eastAsia="Times New Roman" w:hAnsi="Times New Roman" w:cs="Times New Roman"/>
          <w:color w:val="000000"/>
        </w:rPr>
        <w:t>).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 Nevertheless, translation to human health has been hindered by major challenges: inconsistent phytochemical content of different plant sources, low absorption and rapid metabolism (particularly of polyphenols such as </w:t>
      </w:r>
      <w:proofErr w:type="spellStart"/>
      <w:r>
        <w:rPr>
          <w:rFonts w:ascii="Times New Roman" w:eastAsia="Times New Roman" w:hAnsi="Times New Roman" w:cs="Times New Roman"/>
          <w:color w:val="000000"/>
        </w:rPr>
        <w:t>curcumin</w:t>
      </w:r>
      <w:proofErr w:type="spellEnd"/>
      <w:r>
        <w:rPr>
          <w:rFonts w:ascii="Times New Roman" w:eastAsia="Times New Roman" w:hAnsi="Times New Roman" w:cs="Times New Roman"/>
          <w:color w:val="000000"/>
        </w:rPr>
        <w:t>), experimental design heterogeneity, and lack of clinical or epidemiologic studies although it has been shown to have promising preclinical results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 </w:t>
      </w:r>
      <w:proofErr w:type="spellStart"/>
      <w:r>
        <w:rPr>
          <w:rFonts w:ascii="Times New Roman" w:eastAsia="Times New Roman" w:hAnsi="Times New Roman" w:cs="Times New Roman"/>
          <w:color w:val="000000"/>
        </w:rPr>
        <w:t>Sokan-Adeaga</w:t>
      </w:r>
      <w:proofErr w:type="spellEnd"/>
      <w:r>
        <w:rPr>
          <w:rFonts w:ascii="Times New Roman" w:eastAsia="Times New Roman" w:hAnsi="Times New Roman" w:cs="Times New Roman"/>
          <w:color w:val="000000"/>
        </w:rPr>
        <w:t xml:space="preserve"> et al., 2023).</w:t>
      </w:r>
    </w:p>
    <w:p w14:paraId="054052D0"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 overview that involves the integration of mechanistic and empirical knowledge, by critical evaluation of the drawbacks in this, and identifies future prospects, is therefore timely and necessary. This review integrates recent knowledge on antioxidant phytochemicals with the existing understanding of environmental toxicology and oxidative stress. It discusses pollutant-mediated oxidative processes, </w:t>
      </w:r>
      <w:proofErr w:type="spellStart"/>
      <w:r>
        <w:rPr>
          <w:rFonts w:ascii="Times New Roman" w:eastAsia="Times New Roman" w:hAnsi="Times New Roman" w:cs="Times New Roman"/>
          <w:color w:val="000000"/>
        </w:rPr>
        <w:t>categorises</w:t>
      </w:r>
      <w:proofErr w:type="spellEnd"/>
      <w:r>
        <w:rPr>
          <w:rFonts w:ascii="Times New Roman" w:eastAsia="Times New Roman" w:hAnsi="Times New Roman" w:cs="Times New Roman"/>
          <w:color w:val="000000"/>
        </w:rPr>
        <w:t xml:space="preserve"> the major phytochemicals and their structural features, </w:t>
      </w:r>
      <w:proofErr w:type="spellStart"/>
      <w:r>
        <w:rPr>
          <w:rFonts w:ascii="Times New Roman" w:eastAsia="Times New Roman" w:hAnsi="Times New Roman" w:cs="Times New Roman"/>
          <w:color w:val="000000"/>
        </w:rPr>
        <w:t>summarises</w:t>
      </w:r>
      <w:proofErr w:type="spellEnd"/>
      <w:r>
        <w:rPr>
          <w:rFonts w:ascii="Times New Roman" w:eastAsia="Times New Roman" w:hAnsi="Times New Roman" w:cs="Times New Roman"/>
          <w:color w:val="000000"/>
        </w:rPr>
        <w:t xml:space="preserve"> the evidence, including both cellular and human evidence, and identifies gaps and potentially productive future directions for using phytochemical strategies to counteract the effects of pollutant-mediated oxidative stresses.</w:t>
      </w:r>
    </w:p>
    <w:p w14:paraId="0FB59A95" w14:textId="77777777" w:rsidR="005B1101" w:rsidRDefault="005B1101">
      <w:pPr>
        <w:jc w:val="both"/>
        <w:rPr>
          <w:rFonts w:ascii="Times New Roman" w:eastAsia="Times New Roman" w:hAnsi="Times New Roman" w:cs="Times New Roman"/>
          <w:color w:val="000000"/>
        </w:rPr>
      </w:pPr>
    </w:p>
    <w:p w14:paraId="44F7EF44"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2. Environmental Toxicants and Oxidative Stress </w:t>
      </w:r>
    </w:p>
    <w:p w14:paraId="76A2D2D3"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The variety of substances classified as environmental toxicants is vast, yet heavy metals and persistent organic pollutants remain among the most significant due to their persistent presence in the environment, affecting living organisms, and interfering with the normal functioning of biochemical processes (Khalid et al., 2020; Koyama et al., 2024). Examples of common heavy metals that have high potential for human toxicity are lead (</w:t>
      </w:r>
      <w:proofErr w:type="spellStart"/>
      <w:r>
        <w:rPr>
          <w:rFonts w:ascii="Times New Roman" w:eastAsia="Times New Roman" w:hAnsi="Times New Roman" w:cs="Times New Roman"/>
          <w:color w:val="000000"/>
        </w:rPr>
        <w:t>Pb</w:t>
      </w:r>
      <w:proofErr w:type="spellEnd"/>
      <w:r>
        <w:rPr>
          <w:rFonts w:ascii="Times New Roman" w:eastAsia="Times New Roman" w:hAnsi="Times New Roman" w:cs="Times New Roman"/>
          <w:color w:val="000000"/>
        </w:rPr>
        <w:t xml:space="preserve">), cadmium (Cd), mercury (Hg) and arsenic (As). The persistent organic pollutants consist of polycyclic aromatic hydrocarbons (PAH), some pesticides, and industrial by-products; they also can </w:t>
      </w:r>
      <w:r>
        <w:rPr>
          <w:rFonts w:ascii="Times New Roman" w:eastAsia="Times New Roman" w:hAnsi="Times New Roman" w:cs="Times New Roman"/>
          <w:color w:val="000000"/>
        </w:rPr>
        <w:lastRenderedPageBreak/>
        <w:t>cause the activation of harmful cellular processes at low levels (</w:t>
      </w:r>
      <w:proofErr w:type="spellStart"/>
      <w:r>
        <w:rPr>
          <w:rFonts w:ascii="Times New Roman" w:eastAsia="Times New Roman" w:hAnsi="Times New Roman" w:cs="Times New Roman"/>
          <w:color w:val="000000"/>
          <w:highlight w:val="white"/>
        </w:rPr>
        <w:t>Valko</w:t>
      </w:r>
      <w:proofErr w:type="spellEnd"/>
      <w:r w:rsidR="00EB75C4">
        <w:rPr>
          <w:rFonts w:ascii="Times New Roman" w:eastAsia="Times New Roman" w:hAnsi="Times New Roman" w:cs="Times New Roman"/>
          <w:color w:val="000000"/>
          <w:highlight w:val="white"/>
        </w:rPr>
        <w:t xml:space="preserve"> et al.,</w:t>
      </w:r>
      <w:r>
        <w:rPr>
          <w:rFonts w:ascii="Times New Roman" w:eastAsia="Times New Roman" w:hAnsi="Times New Roman" w:cs="Times New Roman"/>
          <w:color w:val="000000"/>
          <w:highlight w:val="white"/>
        </w:rPr>
        <w:t xml:space="preserve"> 2005</w:t>
      </w:r>
      <w:r>
        <w:rPr>
          <w:rFonts w:ascii="Times New Roman" w:eastAsia="Times New Roman" w:hAnsi="Times New Roman" w:cs="Times New Roman"/>
          <w:color w:val="000000"/>
        </w:rPr>
        <w:t>; Rahman et al., 2020).</w:t>
      </w:r>
    </w:p>
    <w:p w14:paraId="5F7EE1A9"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One of the most common and central pathways through which most of these toxicants damage cells is oxidative stress induction. The idea of oxidative stress refers to a condition where the production of reactive oxygen species (ROS) as well as reactive nitrogen species (RNS) surpasses the ability of the cell's antioxidant </w:t>
      </w:r>
      <w:proofErr w:type="spellStart"/>
      <w:r>
        <w:rPr>
          <w:rFonts w:ascii="Times New Roman" w:eastAsia="Times New Roman" w:hAnsi="Times New Roman" w:cs="Times New Roman"/>
          <w:color w:val="000000"/>
        </w:rPr>
        <w:t>defences</w:t>
      </w:r>
      <w:proofErr w:type="spellEnd"/>
      <w:r>
        <w:rPr>
          <w:rFonts w:ascii="Times New Roman" w:eastAsia="Times New Roman" w:hAnsi="Times New Roman" w:cs="Times New Roman"/>
          <w:color w:val="000000"/>
        </w:rPr>
        <w:t xml:space="preserve"> and results in lipid, protein, and DNA damage (de Almeida et al., 2022). Heavy metals facilitate the production of ROS in a number of chemical and biological pathways. Indicatively, redox-active metals (iron, copper) trigger Fenton and Fenton-like reactions in which hydrogen peroxide is changed to highly reactive hydroxyl radicals; other metals (cadmium, lead) cause mitochondrial dysfunction or replace central metal cofactors in enzymes, which indirectly promotes the generation of ROS (Juan et al., 2021; </w:t>
      </w:r>
      <w:proofErr w:type="spellStart"/>
      <w:r>
        <w:rPr>
          <w:rFonts w:ascii="Times New Roman" w:eastAsia="Times New Roman" w:hAnsi="Times New Roman" w:cs="Times New Roman"/>
          <w:color w:val="000000"/>
        </w:rPr>
        <w:t>Balali</w:t>
      </w:r>
      <w:proofErr w:type="spellEnd"/>
      <w:r>
        <w:rPr>
          <w:rFonts w:ascii="Times New Roman" w:eastAsia="Times New Roman" w:hAnsi="Times New Roman" w:cs="Times New Roman"/>
          <w:color w:val="000000"/>
        </w:rPr>
        <w:t>-Mood et al., 2021).</w:t>
      </w:r>
    </w:p>
    <w:p w14:paraId="21A3F7B9"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A significant intracellular source of ROS and a common target of the action of toxicants is the mitochondria. A large number of pollutants damage the components of the electron transport chain, leading to electron leakage and the production of superoxide, which reduces ATP production and increases oxidative damage in a feed-forward loop (</w:t>
      </w:r>
      <w:proofErr w:type="spellStart"/>
      <w:r>
        <w:rPr>
          <w:rFonts w:ascii="Times New Roman" w:eastAsia="Times New Roman" w:hAnsi="Times New Roman" w:cs="Times New Roman"/>
          <w:color w:val="000000"/>
        </w:rPr>
        <w:t>Hernansanz</w:t>
      </w:r>
      <w:proofErr w:type="spellEnd"/>
      <w:r>
        <w:rPr>
          <w:rFonts w:ascii="Times New Roman" w:eastAsia="Times New Roman" w:hAnsi="Times New Roman" w:cs="Times New Roman"/>
          <w:color w:val="000000"/>
        </w:rPr>
        <w:t xml:space="preserve">-Agustin </w:t>
      </w:r>
      <w:r>
        <w:rPr>
          <w:rFonts w:ascii="Times New Roman" w:eastAsia="Times New Roman" w:hAnsi="Times New Roman" w:cs="Times New Roman"/>
          <w:color w:val="000000"/>
          <w:highlight w:val="white"/>
        </w:rPr>
        <w:t xml:space="preserve">&amp; </w:t>
      </w:r>
      <w:proofErr w:type="spellStart"/>
      <w:r>
        <w:rPr>
          <w:rFonts w:ascii="Times New Roman" w:eastAsia="Times New Roman" w:hAnsi="Times New Roman" w:cs="Times New Roman"/>
          <w:color w:val="000000"/>
          <w:highlight w:val="white"/>
        </w:rPr>
        <w:t>Enríquez</w:t>
      </w:r>
      <w:proofErr w:type="spellEnd"/>
      <w:r>
        <w:rPr>
          <w:rFonts w:ascii="Times New Roman" w:eastAsia="Times New Roman" w:hAnsi="Times New Roman" w:cs="Times New Roman"/>
          <w:color w:val="000000"/>
          <w:highlight w:val="white"/>
        </w:rPr>
        <w:t xml:space="preserve">, </w:t>
      </w:r>
      <w:r>
        <w:rPr>
          <w:rFonts w:ascii="Times New Roman" w:eastAsia="Times New Roman" w:hAnsi="Times New Roman" w:cs="Times New Roman"/>
          <w:color w:val="000000"/>
        </w:rPr>
        <w:t xml:space="preserve">2021; de Almeida et al., 2022). Moreover, some </w:t>
      </w:r>
      <w:proofErr w:type="spellStart"/>
      <w:r>
        <w:rPr>
          <w:rFonts w:ascii="Times New Roman" w:eastAsia="Times New Roman" w:hAnsi="Times New Roman" w:cs="Times New Roman"/>
          <w:color w:val="000000"/>
        </w:rPr>
        <w:t>xenobiotics</w:t>
      </w:r>
      <w:proofErr w:type="spellEnd"/>
      <w:r>
        <w:rPr>
          <w:rFonts w:ascii="Times New Roman" w:eastAsia="Times New Roman" w:hAnsi="Times New Roman" w:cs="Times New Roman"/>
          <w:color w:val="000000"/>
        </w:rPr>
        <w:t xml:space="preserve"> are capable of redox-cycling (accepting and donating electrons) and creating ROS, which is then repeated, as is well explained by certain organic pollutants and </w:t>
      </w:r>
      <w:proofErr w:type="spellStart"/>
      <w:r>
        <w:rPr>
          <w:rFonts w:ascii="Times New Roman" w:eastAsia="Times New Roman" w:hAnsi="Times New Roman" w:cs="Times New Roman"/>
          <w:color w:val="000000"/>
        </w:rPr>
        <w:t>quinone</w:t>
      </w:r>
      <w:proofErr w:type="spellEnd"/>
      <w:r>
        <w:rPr>
          <w:rFonts w:ascii="Times New Roman" w:eastAsia="Times New Roman" w:hAnsi="Times New Roman" w:cs="Times New Roman"/>
          <w:color w:val="000000"/>
        </w:rPr>
        <w:t>-like compounds (</w:t>
      </w:r>
      <w:proofErr w:type="spellStart"/>
      <w:r>
        <w:rPr>
          <w:rFonts w:ascii="Times New Roman" w:eastAsia="Times New Roman" w:hAnsi="Times New Roman" w:cs="Times New Roman"/>
          <w:color w:val="000000"/>
          <w:highlight w:val="white"/>
        </w:rPr>
        <w:t>Timme-Laragy</w:t>
      </w:r>
      <w:proofErr w:type="spellEnd"/>
      <w:r>
        <w:rPr>
          <w:rFonts w:ascii="Times New Roman" w:eastAsia="Times New Roman" w:hAnsi="Times New Roman" w:cs="Times New Roman"/>
          <w:color w:val="000000"/>
          <w:highlight w:val="white"/>
        </w:rPr>
        <w:t xml:space="preserve"> et al., 2024</w:t>
      </w:r>
      <w:r>
        <w:rPr>
          <w:rFonts w:ascii="Times New Roman" w:eastAsia="Times New Roman" w:hAnsi="Times New Roman" w:cs="Times New Roman"/>
          <w:color w:val="000000"/>
        </w:rPr>
        <w:t>).</w:t>
      </w:r>
    </w:p>
    <w:p w14:paraId="2A633A31"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biological impacts of the overproduction of ROS/RNS are extensive. Lipid peroxidation destroys cell membranes and generates reactive aldehydes (e.g., </w:t>
      </w:r>
      <w:proofErr w:type="spellStart"/>
      <w:r>
        <w:rPr>
          <w:rFonts w:ascii="Times New Roman" w:eastAsia="Times New Roman" w:hAnsi="Times New Roman" w:cs="Times New Roman"/>
          <w:color w:val="000000"/>
        </w:rPr>
        <w:t>malondialdehyde</w:t>
      </w:r>
      <w:proofErr w:type="spellEnd"/>
      <w:r>
        <w:rPr>
          <w:rFonts w:ascii="Times New Roman" w:eastAsia="Times New Roman" w:hAnsi="Times New Roman" w:cs="Times New Roman"/>
          <w:color w:val="000000"/>
        </w:rPr>
        <w:t>) that further increase the damage to proteins and DNA. Enzyme activity and structure can change as a result of protein oxidation, while mutations, strand breaks, and impaired repair are the possible results of oxidative DNA lesions, which are associated with carcinogenesis and degenerative disease (</w:t>
      </w:r>
      <w:proofErr w:type="spellStart"/>
      <w:r>
        <w:rPr>
          <w:rFonts w:ascii="Times New Roman" w:eastAsia="Times New Roman" w:hAnsi="Times New Roman" w:cs="Times New Roman"/>
          <w:color w:val="000000"/>
        </w:rPr>
        <w:t>Engwa</w:t>
      </w:r>
      <w:proofErr w:type="spellEnd"/>
      <w:r>
        <w:rPr>
          <w:rFonts w:ascii="Times New Roman" w:eastAsia="Times New Roman" w:hAnsi="Times New Roman" w:cs="Times New Roman"/>
          <w:color w:val="000000"/>
        </w:rPr>
        <w:t xml:space="preserve"> et al., 2022; </w:t>
      </w:r>
      <w:proofErr w:type="spellStart"/>
      <w:r>
        <w:rPr>
          <w:rFonts w:ascii="Times New Roman" w:eastAsia="Times New Roman" w:hAnsi="Times New Roman" w:cs="Times New Roman"/>
          <w:color w:val="000000"/>
          <w:highlight w:val="white"/>
        </w:rPr>
        <w:t>Gęgotek</w:t>
      </w:r>
      <w:proofErr w:type="spellEnd"/>
      <w:r>
        <w:rPr>
          <w:rFonts w:ascii="Times New Roman" w:eastAsia="Times New Roman" w:hAnsi="Times New Roman" w:cs="Times New Roman"/>
          <w:color w:val="000000"/>
          <w:highlight w:val="white"/>
        </w:rPr>
        <w:t xml:space="preserve"> &amp; </w:t>
      </w:r>
      <w:proofErr w:type="spellStart"/>
      <w:r>
        <w:rPr>
          <w:rFonts w:ascii="Times New Roman" w:eastAsia="Times New Roman" w:hAnsi="Times New Roman" w:cs="Times New Roman"/>
          <w:color w:val="000000"/>
          <w:highlight w:val="white"/>
        </w:rPr>
        <w:t>Skrzydlewska</w:t>
      </w:r>
      <w:proofErr w:type="spellEnd"/>
      <w:r>
        <w:rPr>
          <w:rFonts w:ascii="Times New Roman" w:eastAsia="Times New Roman" w:hAnsi="Times New Roman" w:cs="Times New Roman"/>
          <w:color w:val="000000"/>
          <w:highlight w:val="white"/>
        </w:rPr>
        <w:t xml:space="preserve">, 2019; </w:t>
      </w:r>
      <w:proofErr w:type="spellStart"/>
      <w:r>
        <w:rPr>
          <w:rFonts w:ascii="Times New Roman" w:eastAsia="Times New Roman" w:hAnsi="Times New Roman" w:cs="Times New Roman"/>
          <w:color w:val="000000"/>
        </w:rPr>
        <w:t>Balali</w:t>
      </w:r>
      <w:proofErr w:type="spellEnd"/>
      <w:r>
        <w:rPr>
          <w:rFonts w:ascii="Times New Roman" w:eastAsia="Times New Roman" w:hAnsi="Times New Roman" w:cs="Times New Roman"/>
          <w:color w:val="000000"/>
        </w:rPr>
        <w:t xml:space="preserve">-Mood et al., 2021; </w:t>
      </w:r>
      <w:proofErr w:type="spellStart"/>
      <w:r>
        <w:rPr>
          <w:rFonts w:ascii="Times New Roman" w:eastAsia="Times New Roman" w:hAnsi="Times New Roman" w:cs="Times New Roman"/>
          <w:color w:val="000000"/>
          <w:highlight w:val="white"/>
        </w:rPr>
        <w:t>Kocadal</w:t>
      </w:r>
      <w:proofErr w:type="spellEnd"/>
      <w:r>
        <w:rPr>
          <w:rFonts w:ascii="Times New Roman" w:eastAsia="Times New Roman" w:hAnsi="Times New Roman" w:cs="Times New Roman"/>
          <w:color w:val="000000"/>
          <w:highlight w:val="white"/>
        </w:rPr>
        <w:t xml:space="preserve"> et al., 2020</w:t>
      </w:r>
      <w:r>
        <w:rPr>
          <w:rFonts w:ascii="Times New Roman" w:eastAsia="Times New Roman" w:hAnsi="Times New Roman" w:cs="Times New Roman"/>
          <w:color w:val="000000"/>
        </w:rPr>
        <w:t xml:space="preserve">). Environmental exposures to these toxicants have been linked to oxidative stress, resulting in organ-specific toxicity (renal, hepatic, </w:t>
      </w:r>
      <w:proofErr w:type="gramStart"/>
      <w:r>
        <w:rPr>
          <w:rFonts w:ascii="Times New Roman" w:eastAsia="Times New Roman" w:hAnsi="Times New Roman" w:cs="Times New Roman"/>
          <w:color w:val="000000"/>
        </w:rPr>
        <w:t>neurological</w:t>
      </w:r>
      <w:proofErr w:type="gramEnd"/>
      <w:r>
        <w:rPr>
          <w:rFonts w:ascii="Times New Roman" w:eastAsia="Times New Roman" w:hAnsi="Times New Roman" w:cs="Times New Roman"/>
          <w:color w:val="000000"/>
        </w:rPr>
        <w:t xml:space="preserve">) or chronic outcomes (cardiovascular disease, </w:t>
      </w:r>
      <w:proofErr w:type="spellStart"/>
      <w:r>
        <w:rPr>
          <w:rFonts w:ascii="Times New Roman" w:eastAsia="Times New Roman" w:hAnsi="Times New Roman" w:cs="Times New Roman"/>
          <w:color w:val="000000"/>
        </w:rPr>
        <w:t>neurodegeneration</w:t>
      </w:r>
      <w:proofErr w:type="spellEnd"/>
      <w:r>
        <w:rPr>
          <w:rFonts w:ascii="Times New Roman" w:eastAsia="Times New Roman" w:hAnsi="Times New Roman" w:cs="Times New Roman"/>
          <w:color w:val="000000"/>
        </w:rPr>
        <w:t>, certain cancers) have been identified (</w:t>
      </w:r>
      <w:r>
        <w:rPr>
          <w:rFonts w:ascii="Times New Roman" w:eastAsia="Times New Roman" w:hAnsi="Times New Roman" w:cs="Times New Roman"/>
          <w:color w:val="000000"/>
          <w:highlight w:val="white"/>
        </w:rPr>
        <w:t>Gandhi</w:t>
      </w:r>
      <w:r>
        <w:rPr>
          <w:rFonts w:ascii="Times New Roman" w:eastAsia="Times New Roman" w:hAnsi="Times New Roman" w:cs="Times New Roman"/>
          <w:color w:val="000000"/>
        </w:rPr>
        <w:t xml:space="preserve"> et al., 2022; </w:t>
      </w:r>
      <w:proofErr w:type="spellStart"/>
      <w:r>
        <w:rPr>
          <w:rFonts w:ascii="Times New Roman" w:eastAsia="Times New Roman" w:hAnsi="Times New Roman" w:cs="Times New Roman"/>
          <w:color w:val="000000"/>
          <w:highlight w:val="white"/>
        </w:rPr>
        <w:t>Kocadal</w:t>
      </w:r>
      <w:proofErr w:type="spellEnd"/>
      <w:r>
        <w:rPr>
          <w:rFonts w:ascii="Times New Roman" w:eastAsia="Times New Roman" w:hAnsi="Times New Roman" w:cs="Times New Roman"/>
          <w:color w:val="000000"/>
          <w:highlight w:val="white"/>
        </w:rPr>
        <w:t xml:space="preserve"> et al., 2012; </w:t>
      </w:r>
      <w:r>
        <w:rPr>
          <w:rFonts w:ascii="Times New Roman" w:eastAsia="Times New Roman" w:hAnsi="Times New Roman" w:cs="Times New Roman"/>
          <w:color w:val="000000"/>
        </w:rPr>
        <w:t>Pan et al., 2024; Koyama et al., 2024).</w:t>
      </w:r>
    </w:p>
    <w:p w14:paraId="3BBC364E"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Enzymatic and non-enzymatic antioxidant defenses are available to the cells to reduce damage. The major </w:t>
      </w:r>
      <w:r>
        <w:rPr>
          <w:rFonts w:ascii="Times New Roman" w:eastAsia="Times New Roman" w:hAnsi="Times New Roman" w:cs="Times New Roman"/>
          <w:color w:val="000000"/>
        </w:rPr>
        <w:lastRenderedPageBreak/>
        <w:t>enzymatic defenses are superoxide dismutase (SOD), catalase (CAT) and glutathione peroxidase (</w:t>
      </w:r>
      <w:proofErr w:type="spellStart"/>
      <w:r>
        <w:rPr>
          <w:rFonts w:ascii="Times New Roman" w:eastAsia="Times New Roman" w:hAnsi="Times New Roman" w:cs="Times New Roman"/>
          <w:color w:val="000000"/>
        </w:rPr>
        <w:t>GPx</w:t>
      </w:r>
      <w:proofErr w:type="spellEnd"/>
      <w:r>
        <w:rPr>
          <w:rFonts w:ascii="Times New Roman" w:eastAsia="Times New Roman" w:hAnsi="Times New Roman" w:cs="Times New Roman"/>
          <w:color w:val="000000"/>
        </w:rPr>
        <w:t>). Some non-enzymatic systems include glutathione (GSH), vitamins (C and E), and other small molecules (</w:t>
      </w:r>
      <w:proofErr w:type="spellStart"/>
      <w:r>
        <w:rPr>
          <w:rFonts w:ascii="Times New Roman" w:eastAsia="Times New Roman" w:hAnsi="Times New Roman" w:cs="Times New Roman"/>
          <w:color w:val="000000"/>
        </w:rPr>
        <w:t>Kaynar</w:t>
      </w:r>
      <w:proofErr w:type="spellEnd"/>
      <w:r>
        <w:rPr>
          <w:rFonts w:ascii="Times New Roman" w:eastAsia="Times New Roman" w:hAnsi="Times New Roman" w:cs="Times New Roman"/>
          <w:color w:val="000000"/>
        </w:rPr>
        <w:t xml:space="preserve"> et al., 1994; </w:t>
      </w:r>
      <w:proofErr w:type="spellStart"/>
      <w:r>
        <w:rPr>
          <w:rFonts w:ascii="Times New Roman" w:eastAsia="Times New Roman" w:hAnsi="Times New Roman" w:cs="Times New Roman"/>
          <w:color w:val="000000"/>
          <w:highlight w:val="white"/>
        </w:rPr>
        <w:t>Ighodaro</w:t>
      </w:r>
      <w:proofErr w:type="spellEnd"/>
      <w:r>
        <w:rPr>
          <w:rFonts w:ascii="Times New Roman" w:eastAsia="Times New Roman" w:hAnsi="Times New Roman" w:cs="Times New Roman"/>
          <w:color w:val="000000"/>
          <w:highlight w:val="white"/>
        </w:rPr>
        <w:t xml:space="preserve"> &amp; </w:t>
      </w:r>
      <w:proofErr w:type="spellStart"/>
      <w:r>
        <w:rPr>
          <w:rFonts w:ascii="Times New Roman" w:eastAsia="Times New Roman" w:hAnsi="Times New Roman" w:cs="Times New Roman"/>
          <w:color w:val="000000"/>
          <w:highlight w:val="white"/>
        </w:rPr>
        <w:t>Akinloye</w:t>
      </w:r>
      <w:proofErr w:type="spellEnd"/>
      <w:r>
        <w:rPr>
          <w:rFonts w:ascii="Times New Roman" w:eastAsia="Times New Roman" w:hAnsi="Times New Roman" w:cs="Times New Roman"/>
          <w:color w:val="000000"/>
          <w:highlight w:val="white"/>
        </w:rPr>
        <w:t xml:space="preserve"> 2018; </w:t>
      </w:r>
      <w:proofErr w:type="spellStart"/>
      <w:r>
        <w:rPr>
          <w:rFonts w:ascii="Times New Roman" w:eastAsia="Times New Roman" w:hAnsi="Times New Roman" w:cs="Times New Roman"/>
          <w:color w:val="000000"/>
        </w:rPr>
        <w:t>Jomova</w:t>
      </w:r>
      <w:proofErr w:type="spellEnd"/>
      <w:r>
        <w:rPr>
          <w:rFonts w:ascii="Times New Roman" w:eastAsia="Times New Roman" w:hAnsi="Times New Roman" w:cs="Times New Roman"/>
          <w:color w:val="000000"/>
        </w:rPr>
        <w:t xml:space="preserve"> et al., 2024). The accumulation of oxidative damage occurs when exposure to toxicants overwhelms or impairs these </w:t>
      </w:r>
      <w:proofErr w:type="spellStart"/>
      <w:r>
        <w:rPr>
          <w:rFonts w:ascii="Times New Roman" w:eastAsia="Times New Roman" w:hAnsi="Times New Roman" w:cs="Times New Roman"/>
          <w:color w:val="000000"/>
        </w:rPr>
        <w:t>defences</w:t>
      </w:r>
      <w:proofErr w:type="spellEnd"/>
      <w:r>
        <w:rPr>
          <w:rFonts w:ascii="Times New Roman" w:eastAsia="Times New Roman" w:hAnsi="Times New Roman" w:cs="Times New Roman"/>
          <w:color w:val="000000"/>
        </w:rPr>
        <w:t>, such as by depleting GSH or by preventing the activity of particular enzymes (</w:t>
      </w:r>
      <w:proofErr w:type="spellStart"/>
      <w:r>
        <w:rPr>
          <w:rFonts w:ascii="Times New Roman" w:eastAsia="Times New Roman" w:hAnsi="Times New Roman" w:cs="Times New Roman"/>
          <w:color w:val="000000"/>
          <w:highlight w:val="white"/>
        </w:rPr>
        <w:t>Jomova</w:t>
      </w:r>
      <w:proofErr w:type="spellEnd"/>
      <w:r>
        <w:rPr>
          <w:rFonts w:ascii="Times New Roman" w:eastAsia="Times New Roman" w:hAnsi="Times New Roman" w:cs="Times New Roman"/>
          <w:color w:val="000000"/>
        </w:rPr>
        <w:t xml:space="preserve"> et al., 2024; Anwar et al., 2024).</w:t>
      </w:r>
    </w:p>
    <w:p w14:paraId="3E7C1345" w14:textId="77777777" w:rsidR="005B1101" w:rsidRDefault="00C5085B">
      <w:pPr>
        <w:jc w:val="both"/>
        <w:rPr>
          <w:rFonts w:ascii="Times New Roman" w:eastAsia="Times New Roman" w:hAnsi="Times New Roman" w:cs="Times New Roman"/>
          <w:color w:val="000000"/>
        </w:rPr>
        <w:sectPr w:rsidR="005B1101">
          <w:type w:val="continuous"/>
          <w:pgSz w:w="11909" w:h="16834"/>
          <w:pgMar w:top="720" w:right="720" w:bottom="720" w:left="720" w:header="720" w:footer="720" w:gutter="0"/>
          <w:cols w:num="2" w:space="720" w:equalWidth="0">
            <w:col w:w="4874" w:space="720"/>
            <w:col w:w="4874" w:space="0"/>
          </w:cols>
        </w:sectPr>
      </w:pPr>
      <w:r>
        <w:rPr>
          <w:rFonts w:ascii="Times New Roman" w:eastAsia="Times New Roman" w:hAnsi="Times New Roman" w:cs="Times New Roman"/>
          <w:color w:val="000000"/>
        </w:rPr>
        <w:t xml:space="preserve">Lastly, another application of oxidative stress as a biomarker is in the field of toxicology. Lipid </w:t>
      </w:r>
      <w:r>
        <w:rPr>
          <w:rFonts w:ascii="Times New Roman" w:eastAsia="Times New Roman" w:hAnsi="Times New Roman" w:cs="Times New Roman"/>
          <w:color w:val="000000"/>
        </w:rPr>
        <w:lastRenderedPageBreak/>
        <w:t>peroxidation products such as MDA, protein carbonyls, antioxidant enzyme activities, and GSH are frequently cited in both experimental and field experiments in order to record the impact of a toxicant and to assess a protection mechanism (Zhou et al., 2023; Day et al., 2024). Nevertheless, biomarker interpretation necessitates caution since responses are influenced by dose of exposure, timing, species, tissue and presence of co-exposures or nutritional modifiers (Zhou et al., 2023).</w:t>
      </w:r>
    </w:p>
    <w:p w14:paraId="38FC1C1A" w14:textId="77777777" w:rsidR="005B1101" w:rsidRDefault="005B1101">
      <w:pPr>
        <w:jc w:val="both"/>
        <w:rPr>
          <w:rFonts w:ascii="Times New Roman" w:eastAsia="Times New Roman" w:hAnsi="Times New Roman" w:cs="Times New Roman"/>
          <w:color w:val="000000"/>
        </w:rPr>
      </w:pPr>
    </w:p>
    <w:p w14:paraId="3ACEE9B6" w14:textId="77777777" w:rsidR="005B1101" w:rsidRDefault="00C5085B">
      <w:pPr>
        <w:jc w:val="center"/>
        <w:rPr>
          <w:rFonts w:ascii="Times New Roman" w:eastAsia="Times New Roman" w:hAnsi="Times New Roman" w:cs="Times New Roman"/>
          <w:color w:val="000000"/>
        </w:rPr>
        <w:sectPr w:rsidR="005B1101">
          <w:type w:val="continuous"/>
          <w:pgSz w:w="11909" w:h="16834"/>
          <w:pgMar w:top="720" w:right="720" w:bottom="720" w:left="720" w:header="720" w:footer="720" w:gutter="0"/>
          <w:cols w:space="720"/>
        </w:sectPr>
      </w:pPr>
      <w:r>
        <w:rPr>
          <w:rFonts w:ascii="Times New Roman" w:eastAsia="Times New Roman" w:hAnsi="Times New Roman" w:cs="Times New Roman"/>
          <w:noProof/>
          <w:color w:val="000000"/>
        </w:rPr>
        <w:drawing>
          <wp:inline distT="0" distB="0" distL="0" distR="0" wp14:anchorId="2E2B74BD" wp14:editId="542A379F">
            <wp:extent cx="6324974" cy="4433946"/>
            <wp:effectExtent l="0" t="0" r="0" b="0"/>
            <wp:docPr id="9" name="image9.png" descr="Foods 13 00978 g001"/>
            <wp:cNvGraphicFramePr/>
            <a:graphic xmlns:a="http://schemas.openxmlformats.org/drawingml/2006/main">
              <a:graphicData uri="http://schemas.openxmlformats.org/drawingml/2006/picture">
                <pic:pic xmlns:pic="http://schemas.openxmlformats.org/drawingml/2006/picture">
                  <pic:nvPicPr>
                    <pic:cNvPr id="0" name="image9.png" descr="Foods 13 00978 g001"/>
                    <pic:cNvPicPr preferRelativeResize="0"/>
                  </pic:nvPicPr>
                  <pic:blipFill>
                    <a:blip r:embed="rId12"/>
                    <a:srcRect/>
                    <a:stretch>
                      <a:fillRect/>
                    </a:stretch>
                  </pic:blipFill>
                  <pic:spPr>
                    <a:xfrm>
                      <a:off x="0" y="0"/>
                      <a:ext cx="6324974" cy="4433946"/>
                    </a:xfrm>
                    <a:prstGeom prst="rect">
                      <a:avLst/>
                    </a:prstGeom>
                    <a:ln/>
                  </pic:spPr>
                </pic:pic>
              </a:graphicData>
            </a:graphic>
          </wp:inline>
        </w:drawing>
      </w:r>
    </w:p>
    <w:p w14:paraId="2EE8C3E9"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b/>
          <w:i/>
          <w:color w:val="000000"/>
          <w:highlight w:val="white"/>
        </w:rPr>
        <w:lastRenderedPageBreak/>
        <w:t>Figure 1</w:t>
      </w:r>
      <w:r>
        <w:rPr>
          <w:rFonts w:ascii="Times New Roman" w:eastAsia="Times New Roman" w:hAnsi="Times New Roman" w:cs="Times New Roman"/>
          <w:i/>
          <w:color w:val="000000"/>
          <w:highlight w:val="white"/>
        </w:rPr>
        <w:t>: Mechanism and organ toxicity following human exposure to HMs; Source:</w:t>
      </w:r>
      <w:r>
        <w:rPr>
          <w:rFonts w:ascii="Times New Roman" w:eastAsia="Times New Roman" w:hAnsi="Times New Roman" w:cs="Times New Roman"/>
          <w:i/>
          <w:color w:val="000000"/>
        </w:rPr>
        <w:t xml:space="preserve"> (</w:t>
      </w:r>
      <w:proofErr w:type="spellStart"/>
      <w:r>
        <w:rPr>
          <w:rFonts w:ascii="Times New Roman" w:eastAsia="Times New Roman" w:hAnsi="Times New Roman" w:cs="Times New Roman"/>
          <w:i/>
          <w:color w:val="000000"/>
        </w:rPr>
        <w:t>Ceramella</w:t>
      </w:r>
      <w:proofErr w:type="spellEnd"/>
      <w:r>
        <w:rPr>
          <w:rFonts w:ascii="Times New Roman" w:eastAsia="Times New Roman" w:hAnsi="Times New Roman" w:cs="Times New Roman"/>
          <w:i/>
          <w:color w:val="000000"/>
        </w:rPr>
        <w:t xml:space="preserve"> et al. 2024)</w:t>
      </w:r>
      <w:r>
        <w:rPr>
          <w:rFonts w:ascii="Times New Roman" w:eastAsia="Times New Roman" w:hAnsi="Times New Roman" w:cs="Times New Roman"/>
          <w:i/>
          <w:color w:val="000000"/>
          <w:highlight w:val="white"/>
        </w:rPr>
        <w:t xml:space="preserve"> </w:t>
      </w:r>
    </w:p>
    <w:p w14:paraId="32B07E7D" w14:textId="77777777" w:rsidR="005B1101" w:rsidRDefault="005B1101">
      <w:pPr>
        <w:jc w:val="both"/>
        <w:rPr>
          <w:rFonts w:ascii="Times New Roman" w:eastAsia="Times New Roman" w:hAnsi="Times New Roman" w:cs="Times New Roman"/>
          <w:i/>
          <w:color w:val="000000"/>
        </w:rPr>
      </w:pPr>
    </w:p>
    <w:p w14:paraId="37F147C5"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Overall, there is a strong mechanistic and empirical literature to support the hypothesis of a linkage between heavy metals and most organic pollutants in inducing oxidative stress by disrupting antioxidant </w:t>
      </w:r>
      <w:proofErr w:type="spellStart"/>
      <w:r>
        <w:rPr>
          <w:rFonts w:ascii="Times New Roman" w:eastAsia="Times New Roman" w:hAnsi="Times New Roman" w:cs="Times New Roman"/>
          <w:color w:val="000000"/>
        </w:rPr>
        <w:t>defences</w:t>
      </w:r>
      <w:proofErr w:type="spellEnd"/>
      <w:r>
        <w:rPr>
          <w:rFonts w:ascii="Times New Roman" w:eastAsia="Times New Roman" w:hAnsi="Times New Roman" w:cs="Times New Roman"/>
          <w:color w:val="000000"/>
        </w:rPr>
        <w:t>, redox cycling, impairing mitochondrial functions, and promoting Fenton chemistry. Acute organ damage and potential long-term disease risks lie in these processes, providing a clear justification for taking protective measures involving antioxidant phytochemicals.</w:t>
      </w:r>
    </w:p>
    <w:p w14:paraId="3E5B198C" w14:textId="77777777" w:rsidR="005B1101" w:rsidRDefault="005B1101">
      <w:pPr>
        <w:jc w:val="both"/>
        <w:rPr>
          <w:rFonts w:ascii="Times New Roman" w:eastAsia="Times New Roman" w:hAnsi="Times New Roman" w:cs="Times New Roman"/>
          <w:color w:val="000000"/>
        </w:rPr>
      </w:pPr>
    </w:p>
    <w:p w14:paraId="47EFE68D" w14:textId="77777777" w:rsidR="005B1101" w:rsidRDefault="005B1101">
      <w:pPr>
        <w:jc w:val="both"/>
        <w:rPr>
          <w:rFonts w:ascii="Times New Roman" w:eastAsia="Times New Roman" w:hAnsi="Times New Roman" w:cs="Times New Roman"/>
          <w:b/>
          <w:color w:val="000000"/>
        </w:rPr>
      </w:pPr>
    </w:p>
    <w:p w14:paraId="596C8F21" w14:textId="77777777" w:rsidR="005B1101" w:rsidRDefault="005B1101">
      <w:pPr>
        <w:jc w:val="both"/>
        <w:rPr>
          <w:rFonts w:ascii="Times New Roman" w:eastAsia="Times New Roman" w:hAnsi="Times New Roman" w:cs="Times New Roman"/>
          <w:b/>
          <w:color w:val="000000"/>
        </w:rPr>
      </w:pPr>
    </w:p>
    <w:p w14:paraId="34BBD203"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3. Antioxidant Phytochemicals: Sources, Classification, and Chemical Characteristics</w:t>
      </w:r>
    </w:p>
    <w:p w14:paraId="24747B95" w14:textId="77777777" w:rsidR="005B1101" w:rsidRDefault="00C5085B">
      <w:pPr>
        <w:jc w:val="both"/>
        <w:rPr>
          <w:rFonts w:ascii="Times New Roman" w:eastAsia="Times New Roman" w:hAnsi="Times New Roman" w:cs="Times New Roman"/>
          <w:color w:val="000000"/>
        </w:rPr>
        <w:sectPr w:rsidR="005B1101">
          <w:type w:val="continuous"/>
          <w:pgSz w:w="11909" w:h="16834"/>
          <w:pgMar w:top="720" w:right="720" w:bottom="720" w:left="720" w:header="720" w:footer="720" w:gutter="0"/>
          <w:cols w:num="2" w:space="720" w:equalWidth="0">
            <w:col w:w="4874" w:space="720"/>
            <w:col w:w="4874" w:space="0"/>
          </w:cols>
        </w:sectPr>
      </w:pPr>
      <w:r>
        <w:rPr>
          <w:rFonts w:ascii="Times New Roman" w:eastAsia="Times New Roman" w:hAnsi="Times New Roman" w:cs="Times New Roman"/>
          <w:color w:val="000000"/>
        </w:rPr>
        <w:t xml:space="preserve">Plant-derived antioxidant phytochemicals prevent oxidative stress, including the scavenging of reactive species, reduction of transition metals, and alteration of antioxidant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pathways, including the Nrf2-ARE pathway (He et al., 2023;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 They are effective based on their chemical composition, bioavailability, and their interactions with cell </w:t>
      </w:r>
      <w:proofErr w:type="spellStart"/>
      <w:r>
        <w:rPr>
          <w:rFonts w:ascii="Times New Roman" w:eastAsia="Times New Roman" w:hAnsi="Times New Roman" w:cs="Times New Roman"/>
          <w:color w:val="000000"/>
        </w:rPr>
        <w:t>defence</w:t>
      </w:r>
      <w:proofErr w:type="spellEnd"/>
      <w:r>
        <w:rPr>
          <w:rFonts w:ascii="Times New Roman" w:eastAsia="Times New Roman" w:hAnsi="Times New Roman" w:cs="Times New Roman"/>
          <w:color w:val="000000"/>
        </w:rPr>
        <w:t xml:space="preserve"> mechanisms (</w:t>
      </w:r>
      <w:proofErr w:type="spellStart"/>
      <w:r>
        <w:rPr>
          <w:rFonts w:ascii="Times New Roman" w:eastAsia="Times New Roman" w:hAnsi="Times New Roman" w:cs="Times New Roman"/>
          <w:color w:val="000000"/>
        </w:rPr>
        <w:t>Tabanelli</w:t>
      </w:r>
      <w:proofErr w:type="spellEnd"/>
      <w:r>
        <w:rPr>
          <w:rFonts w:ascii="Times New Roman" w:eastAsia="Times New Roman" w:hAnsi="Times New Roman" w:cs="Times New Roman"/>
          <w:color w:val="000000"/>
        </w:rPr>
        <w:t xml:space="preserve"> et al., 2021). Their main classes, sources and structural characteristics are </w:t>
      </w:r>
      <w:proofErr w:type="spellStart"/>
      <w:r>
        <w:rPr>
          <w:rFonts w:ascii="Times New Roman" w:eastAsia="Times New Roman" w:hAnsi="Times New Roman" w:cs="Times New Roman"/>
          <w:color w:val="000000"/>
        </w:rPr>
        <w:t>summarised</w:t>
      </w:r>
      <w:proofErr w:type="spellEnd"/>
      <w:r>
        <w:rPr>
          <w:rFonts w:ascii="Times New Roman" w:eastAsia="Times New Roman" w:hAnsi="Times New Roman" w:cs="Times New Roman"/>
          <w:color w:val="000000"/>
        </w:rPr>
        <w:t xml:space="preserve"> in Table 1 -3.</w:t>
      </w:r>
    </w:p>
    <w:p w14:paraId="23B5C957" w14:textId="77777777" w:rsidR="005B1101" w:rsidRDefault="00C5085B">
      <w:pPr>
        <w:rPr>
          <w:rFonts w:ascii="Times New Roman" w:eastAsia="Times New Roman" w:hAnsi="Times New Roman" w:cs="Times New Roman"/>
          <w:b/>
          <w:color w:val="000000"/>
        </w:rPr>
      </w:pPr>
      <w:r>
        <w:lastRenderedPageBreak/>
        <w:br w:type="page"/>
      </w:r>
    </w:p>
    <w:p w14:paraId="0FF9C9A7"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Table 1. Major Classes of Antioxidant Phytochemicals and Examples</w:t>
      </w:r>
    </w:p>
    <w:p w14:paraId="7CB9C43C" w14:textId="77777777" w:rsidR="005B1101" w:rsidRDefault="005B1101">
      <w:pPr>
        <w:jc w:val="both"/>
        <w:rPr>
          <w:rFonts w:ascii="Times New Roman" w:eastAsia="Times New Roman" w:hAnsi="Times New Roman" w:cs="Times New Roman"/>
          <w:color w:val="000000"/>
        </w:rPr>
      </w:pPr>
    </w:p>
    <w:tbl>
      <w:tblPr>
        <w:tblStyle w:val="a"/>
        <w:tblW w:w="10459" w:type="dxa"/>
        <w:tblInd w:w="-113"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1473"/>
        <w:gridCol w:w="2967"/>
        <w:gridCol w:w="1582"/>
        <w:gridCol w:w="2182"/>
        <w:gridCol w:w="2255"/>
      </w:tblGrid>
      <w:tr w:rsidR="005B1101" w14:paraId="518ECC4D" w14:textId="77777777" w:rsidTr="005B1101">
        <w:trPr>
          <w:cnfStyle w:val="100000000000" w:firstRow="1" w:lastRow="0" w:firstColumn="0" w:lastColumn="0" w:oddVBand="0" w:evenVBand="0" w:oddHBand="0" w:evenHBand="0" w:firstRowFirstColumn="0" w:firstRowLastColumn="0" w:lastRowFirstColumn="0" w:lastRowLastColumn="0"/>
          <w:trHeight w:val="953"/>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7DAA3751"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Class</w:t>
            </w:r>
          </w:p>
        </w:tc>
        <w:tc>
          <w:tcPr>
            <w:tcW w:w="2967" w:type="dxa"/>
            <w:shd w:val="clear" w:color="auto" w:fill="DBEEF3"/>
          </w:tcPr>
          <w:p w14:paraId="061912A5"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Key Subtypes / Compounds</w:t>
            </w:r>
          </w:p>
        </w:tc>
        <w:tc>
          <w:tcPr>
            <w:tcW w:w="1582" w:type="dxa"/>
            <w:shd w:val="clear" w:color="auto" w:fill="DBEEF3"/>
          </w:tcPr>
          <w:p w14:paraId="0AECECEE"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Natural Sources</w:t>
            </w:r>
          </w:p>
        </w:tc>
        <w:tc>
          <w:tcPr>
            <w:tcW w:w="2182" w:type="dxa"/>
            <w:shd w:val="clear" w:color="auto" w:fill="DBEEF3"/>
          </w:tcPr>
          <w:p w14:paraId="3E4A27A6"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Primary Antioxidant Functions</w:t>
            </w:r>
          </w:p>
        </w:tc>
        <w:tc>
          <w:tcPr>
            <w:tcW w:w="2255" w:type="dxa"/>
            <w:shd w:val="clear" w:color="auto" w:fill="DBEEF3"/>
          </w:tcPr>
          <w:p w14:paraId="3DDFE631"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References</w:t>
            </w:r>
          </w:p>
        </w:tc>
      </w:tr>
      <w:tr w:rsidR="005B1101" w14:paraId="25F879C6" w14:textId="77777777" w:rsidTr="005B1101">
        <w:trPr>
          <w:cnfStyle w:val="000000100000" w:firstRow="0" w:lastRow="0" w:firstColumn="0" w:lastColumn="0" w:oddVBand="0" w:evenVBand="0" w:oddHBand="1" w:evenHBand="0" w:firstRowFirstColumn="0" w:firstRowLastColumn="0" w:lastRowFirstColumn="0" w:lastRowLastColumn="0"/>
          <w:trHeight w:val="1410"/>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6E409264"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Polyphenols</w:t>
            </w:r>
          </w:p>
        </w:tc>
        <w:tc>
          <w:tcPr>
            <w:tcW w:w="2967" w:type="dxa"/>
            <w:shd w:val="clear" w:color="auto" w:fill="DBEEF3"/>
          </w:tcPr>
          <w:p w14:paraId="3E3D0029"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Flavonoids (</w:t>
            </w: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catechins</w:t>
            </w:r>
            <w:proofErr w:type="spellEnd"/>
            <w:r>
              <w:rPr>
                <w:rFonts w:ascii="Times New Roman" w:eastAsia="Times New Roman" w:hAnsi="Times New Roman" w:cs="Times New Roman"/>
                <w:color w:val="000000"/>
              </w:rPr>
              <w:t>), phenolic acids (</w:t>
            </w:r>
            <w:proofErr w:type="spellStart"/>
            <w:r>
              <w:rPr>
                <w:rFonts w:ascii="Times New Roman" w:eastAsia="Times New Roman" w:hAnsi="Times New Roman" w:cs="Times New Roman"/>
                <w:color w:val="000000"/>
              </w:rPr>
              <w:t>caffeic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ferulic</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stilbenes</w:t>
            </w:r>
            <w:proofErr w:type="spellEnd"/>
            <w:r>
              <w:rPr>
                <w:rFonts w:ascii="Times New Roman" w:eastAsia="Times New Roman" w:hAnsi="Times New Roman" w:cs="Times New Roman"/>
                <w:color w:val="000000"/>
              </w:rPr>
              <w:t xml:space="preserve"> (resveratrol), </w:t>
            </w:r>
            <w:proofErr w:type="spellStart"/>
            <w:r>
              <w:rPr>
                <w:rFonts w:ascii="Times New Roman" w:eastAsia="Times New Roman" w:hAnsi="Times New Roman" w:cs="Times New Roman"/>
                <w:color w:val="000000"/>
              </w:rPr>
              <w:t>lignans</w:t>
            </w:r>
            <w:proofErr w:type="spellEnd"/>
            <w:r>
              <w:rPr>
                <w:rFonts w:ascii="Times New Roman" w:eastAsia="Times New Roman" w:hAnsi="Times New Roman" w:cs="Times New Roman"/>
                <w:color w:val="000000"/>
              </w:rPr>
              <w:t>, tannins</w:t>
            </w:r>
          </w:p>
        </w:tc>
        <w:tc>
          <w:tcPr>
            <w:tcW w:w="1582" w:type="dxa"/>
            <w:shd w:val="clear" w:color="auto" w:fill="DBEEF3"/>
          </w:tcPr>
          <w:p w14:paraId="453C0C38"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Fruits, vegetables, tea, wine, nuts</w:t>
            </w:r>
          </w:p>
        </w:tc>
        <w:tc>
          <w:tcPr>
            <w:tcW w:w="2182" w:type="dxa"/>
            <w:shd w:val="clear" w:color="auto" w:fill="DBEEF3"/>
          </w:tcPr>
          <w:p w14:paraId="2BADACB1"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Radical scavenging, metal chelation, modulation of Nrf2 pathway</w:t>
            </w:r>
          </w:p>
        </w:tc>
        <w:tc>
          <w:tcPr>
            <w:tcW w:w="2255" w:type="dxa"/>
            <w:shd w:val="clear" w:color="auto" w:fill="DBEEF3"/>
          </w:tcPr>
          <w:p w14:paraId="40C6CECE"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Hassanpour</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Doroudi</w:t>
            </w:r>
            <w:proofErr w:type="spellEnd"/>
            <w:r>
              <w:rPr>
                <w:rFonts w:ascii="Times New Roman" w:eastAsia="Times New Roman" w:hAnsi="Times New Roman" w:cs="Times New Roman"/>
                <w:color w:val="000000"/>
              </w:rPr>
              <w:t xml:space="preserve"> (2023);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 </w:t>
            </w:r>
            <w:proofErr w:type="spellStart"/>
            <w:r>
              <w:rPr>
                <w:rFonts w:ascii="Times New Roman" w:eastAsia="Times New Roman" w:hAnsi="Times New Roman" w:cs="Times New Roman"/>
                <w:color w:val="000000"/>
              </w:rPr>
              <w:t>Musiał</w:t>
            </w:r>
            <w:proofErr w:type="spellEnd"/>
            <w:r>
              <w:rPr>
                <w:rFonts w:ascii="Times New Roman" w:eastAsia="Times New Roman" w:hAnsi="Times New Roman" w:cs="Times New Roman"/>
                <w:color w:val="000000"/>
              </w:rPr>
              <w:t xml:space="preserve"> et al. (2020)</w:t>
            </w:r>
          </w:p>
        </w:tc>
      </w:tr>
      <w:tr w:rsidR="005B1101" w14:paraId="2D491C0C" w14:textId="77777777" w:rsidTr="005B1101">
        <w:trPr>
          <w:trHeight w:val="1088"/>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4864589A"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Carotenoids</w:t>
            </w:r>
          </w:p>
        </w:tc>
        <w:tc>
          <w:tcPr>
            <w:tcW w:w="2967" w:type="dxa"/>
            <w:shd w:val="clear" w:color="auto" w:fill="DBEEF3"/>
          </w:tcPr>
          <w:p w14:paraId="4CA7E436"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β-carotene, lycopene, lutein, </w:t>
            </w:r>
            <w:proofErr w:type="spellStart"/>
            <w:r>
              <w:rPr>
                <w:rFonts w:ascii="Times New Roman" w:eastAsia="Times New Roman" w:hAnsi="Times New Roman" w:cs="Times New Roman"/>
                <w:color w:val="000000"/>
              </w:rPr>
              <w:t>zeaxanthin</w:t>
            </w:r>
            <w:proofErr w:type="spellEnd"/>
          </w:p>
        </w:tc>
        <w:tc>
          <w:tcPr>
            <w:tcW w:w="1582" w:type="dxa"/>
            <w:shd w:val="clear" w:color="auto" w:fill="DBEEF3"/>
          </w:tcPr>
          <w:p w14:paraId="5FEAC468"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Carrots, tomatoes, leafy greens</w:t>
            </w:r>
          </w:p>
        </w:tc>
        <w:tc>
          <w:tcPr>
            <w:tcW w:w="2182" w:type="dxa"/>
            <w:shd w:val="clear" w:color="auto" w:fill="DBEEF3"/>
          </w:tcPr>
          <w:p w14:paraId="4C7DACFC"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Singlet oxygen quenching, </w:t>
            </w:r>
            <w:proofErr w:type="spellStart"/>
            <w:r>
              <w:rPr>
                <w:rFonts w:ascii="Times New Roman" w:eastAsia="Times New Roman" w:hAnsi="Times New Roman" w:cs="Times New Roman"/>
                <w:color w:val="000000"/>
              </w:rPr>
              <w:t>peroxyl</w:t>
            </w:r>
            <w:proofErr w:type="spellEnd"/>
            <w:r>
              <w:rPr>
                <w:rFonts w:ascii="Times New Roman" w:eastAsia="Times New Roman" w:hAnsi="Times New Roman" w:cs="Times New Roman"/>
                <w:color w:val="000000"/>
              </w:rPr>
              <w:t xml:space="preserve"> radical scavenging</w:t>
            </w:r>
          </w:p>
        </w:tc>
        <w:tc>
          <w:tcPr>
            <w:tcW w:w="2255" w:type="dxa"/>
            <w:shd w:val="clear" w:color="auto" w:fill="DBEEF3"/>
          </w:tcPr>
          <w:p w14:paraId="0C622C45"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Crupi</w:t>
            </w:r>
            <w:proofErr w:type="spellEnd"/>
            <w:r>
              <w:rPr>
                <w:rFonts w:ascii="Times New Roman" w:eastAsia="Times New Roman" w:hAnsi="Times New Roman" w:cs="Times New Roman"/>
                <w:color w:val="000000"/>
              </w:rPr>
              <w:t xml:space="preserve"> et al. (2023)</w:t>
            </w:r>
          </w:p>
        </w:tc>
      </w:tr>
      <w:tr w:rsidR="005B1101" w14:paraId="13C00827" w14:textId="77777777" w:rsidTr="005B1101">
        <w:trPr>
          <w:cnfStyle w:val="000000100000" w:firstRow="0" w:lastRow="0" w:firstColumn="0" w:lastColumn="0" w:oddVBand="0" w:evenVBand="0" w:oddHBand="1" w:evenHBand="0" w:firstRowFirstColumn="0" w:firstRowLastColumn="0" w:lastRowFirstColumn="0" w:lastRowLastColumn="0"/>
          <w:trHeight w:val="1295"/>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68C5CF0D" w14:textId="77777777" w:rsidR="005B1101" w:rsidRDefault="00C5085B">
            <w:pPr>
              <w:spacing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Terpenoids</w:t>
            </w:r>
            <w:proofErr w:type="spellEnd"/>
          </w:p>
        </w:tc>
        <w:tc>
          <w:tcPr>
            <w:tcW w:w="2967" w:type="dxa"/>
            <w:shd w:val="clear" w:color="auto" w:fill="DBEEF3"/>
          </w:tcPr>
          <w:p w14:paraId="07A505A2"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Monoterpenes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diterpenes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triterpenoids</w:t>
            </w:r>
            <w:proofErr w:type="spellEnd"/>
          </w:p>
        </w:tc>
        <w:tc>
          <w:tcPr>
            <w:tcW w:w="1582" w:type="dxa"/>
            <w:shd w:val="clear" w:color="auto" w:fill="DBEEF3"/>
          </w:tcPr>
          <w:p w14:paraId="60D5DE82"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Citrus peel, herbs, medicinal plants</w:t>
            </w:r>
          </w:p>
        </w:tc>
        <w:tc>
          <w:tcPr>
            <w:tcW w:w="2182" w:type="dxa"/>
            <w:shd w:val="clear" w:color="auto" w:fill="DBEEF3"/>
          </w:tcPr>
          <w:p w14:paraId="07C60615"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Lipid peroxidation inhibition, modulation of redox enzymes</w:t>
            </w:r>
          </w:p>
        </w:tc>
        <w:tc>
          <w:tcPr>
            <w:tcW w:w="2255" w:type="dxa"/>
            <w:shd w:val="clear" w:color="auto" w:fill="DBEEF3"/>
          </w:tcPr>
          <w:p w14:paraId="52E419D6"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Crupi</w:t>
            </w:r>
            <w:proofErr w:type="spellEnd"/>
            <w:r>
              <w:rPr>
                <w:rFonts w:ascii="Times New Roman" w:eastAsia="Times New Roman" w:hAnsi="Times New Roman" w:cs="Times New Roman"/>
                <w:color w:val="000000"/>
              </w:rPr>
              <w:t xml:space="preserve"> et al. (2023)</w:t>
            </w:r>
          </w:p>
        </w:tc>
      </w:tr>
      <w:tr w:rsidR="005B1101" w14:paraId="20EE403C" w14:textId="77777777" w:rsidTr="005B1101">
        <w:trPr>
          <w:trHeight w:val="1493"/>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490578BD"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Alkaloids</w:t>
            </w:r>
          </w:p>
        </w:tc>
        <w:tc>
          <w:tcPr>
            <w:tcW w:w="2967" w:type="dxa"/>
            <w:shd w:val="clear" w:color="auto" w:fill="DBEEF3"/>
          </w:tcPr>
          <w:p w14:paraId="71F5C9D1"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Caffeine, </w:t>
            </w:r>
            <w:proofErr w:type="spellStart"/>
            <w:r>
              <w:rPr>
                <w:rFonts w:ascii="Times New Roman" w:eastAsia="Times New Roman" w:hAnsi="Times New Roman" w:cs="Times New Roman"/>
                <w:color w:val="000000"/>
              </w:rPr>
              <w:t>berberine</w:t>
            </w:r>
            <w:proofErr w:type="spellEnd"/>
            <w:r>
              <w:rPr>
                <w:rFonts w:ascii="Times New Roman" w:eastAsia="Times New Roman" w:hAnsi="Times New Roman" w:cs="Times New Roman"/>
                <w:color w:val="000000"/>
              </w:rPr>
              <w:t>, capsaicin</w:t>
            </w:r>
          </w:p>
        </w:tc>
        <w:tc>
          <w:tcPr>
            <w:tcW w:w="1582" w:type="dxa"/>
            <w:shd w:val="clear" w:color="auto" w:fill="DBEEF3"/>
          </w:tcPr>
          <w:p w14:paraId="7D4C4AFC"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Coffee, turmeric, pepper</w:t>
            </w:r>
          </w:p>
        </w:tc>
        <w:tc>
          <w:tcPr>
            <w:tcW w:w="2182" w:type="dxa"/>
            <w:shd w:val="clear" w:color="auto" w:fill="DBEEF3"/>
          </w:tcPr>
          <w:p w14:paraId="72E5B3AF"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Indirect antioxidant via signaling modulation</w:t>
            </w:r>
          </w:p>
        </w:tc>
        <w:tc>
          <w:tcPr>
            <w:tcW w:w="2255" w:type="dxa"/>
            <w:shd w:val="clear" w:color="auto" w:fill="DBEEF3"/>
          </w:tcPr>
          <w:p w14:paraId="712B3071"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w:t>
            </w:r>
          </w:p>
        </w:tc>
      </w:tr>
      <w:tr w:rsidR="005B1101" w14:paraId="161BA88F" w14:textId="77777777" w:rsidTr="005B1101">
        <w:trPr>
          <w:cnfStyle w:val="000000100000" w:firstRow="0" w:lastRow="0" w:firstColumn="0" w:lastColumn="0" w:oddVBand="0" w:evenVBand="0" w:oddHBand="1" w:evenHBand="0" w:firstRowFirstColumn="0" w:firstRowLastColumn="0" w:lastRowFirstColumn="0" w:lastRowLastColumn="0"/>
          <w:trHeight w:val="1025"/>
        </w:trPr>
        <w:tc>
          <w:tcPr>
            <w:cnfStyle w:val="001000000000" w:firstRow="0" w:lastRow="0" w:firstColumn="1" w:lastColumn="0" w:oddVBand="0" w:evenVBand="0" w:oddHBand="0" w:evenHBand="0" w:firstRowFirstColumn="0" w:firstRowLastColumn="0" w:lastRowFirstColumn="0" w:lastRowLastColumn="0"/>
            <w:tcW w:w="1473" w:type="dxa"/>
            <w:shd w:val="clear" w:color="auto" w:fill="DBEEF3"/>
          </w:tcPr>
          <w:p w14:paraId="6F2307E6"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Complex Mixtures</w:t>
            </w:r>
          </w:p>
        </w:tc>
        <w:tc>
          <w:tcPr>
            <w:tcW w:w="2967" w:type="dxa"/>
            <w:shd w:val="clear" w:color="auto" w:fill="DBEEF3"/>
          </w:tcPr>
          <w:p w14:paraId="2DF2F50C"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Honey polyphenols, herbal extracts</w:t>
            </w:r>
          </w:p>
        </w:tc>
        <w:tc>
          <w:tcPr>
            <w:tcW w:w="1582" w:type="dxa"/>
            <w:shd w:val="clear" w:color="auto" w:fill="DBEEF3"/>
          </w:tcPr>
          <w:p w14:paraId="5CAF95D0"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Honey, </w:t>
            </w:r>
            <w:proofErr w:type="spellStart"/>
            <w:r>
              <w:rPr>
                <w:rFonts w:ascii="Times New Roman" w:eastAsia="Times New Roman" w:hAnsi="Times New Roman" w:cs="Times New Roman"/>
                <w:color w:val="000000"/>
              </w:rPr>
              <w:t>propolis</w:t>
            </w:r>
            <w:proofErr w:type="spellEnd"/>
            <w:r>
              <w:rPr>
                <w:rFonts w:ascii="Times New Roman" w:eastAsia="Times New Roman" w:hAnsi="Times New Roman" w:cs="Times New Roman"/>
                <w:color w:val="000000"/>
              </w:rPr>
              <w:t>, herbs</w:t>
            </w:r>
          </w:p>
        </w:tc>
        <w:tc>
          <w:tcPr>
            <w:tcW w:w="2182" w:type="dxa"/>
            <w:shd w:val="clear" w:color="auto" w:fill="DBEEF3"/>
          </w:tcPr>
          <w:p w14:paraId="57133F34"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Combined radical scavenging and metal binding</w:t>
            </w:r>
          </w:p>
        </w:tc>
        <w:tc>
          <w:tcPr>
            <w:tcW w:w="2255" w:type="dxa"/>
            <w:shd w:val="clear" w:color="auto" w:fill="DBEEF3"/>
          </w:tcPr>
          <w:p w14:paraId="186C8449"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Wilczyńska</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Żak</w:t>
            </w:r>
            <w:proofErr w:type="spellEnd"/>
            <w:r>
              <w:rPr>
                <w:rFonts w:ascii="Times New Roman" w:eastAsia="Times New Roman" w:hAnsi="Times New Roman" w:cs="Times New Roman"/>
                <w:color w:val="000000"/>
              </w:rPr>
              <w:t xml:space="preserve"> (2024);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w:t>
            </w:r>
          </w:p>
        </w:tc>
      </w:tr>
    </w:tbl>
    <w:p w14:paraId="3E1E26BA" w14:textId="77777777" w:rsidR="005B1101" w:rsidRDefault="005B1101">
      <w:pPr>
        <w:jc w:val="both"/>
        <w:rPr>
          <w:rFonts w:ascii="Times New Roman" w:eastAsia="Times New Roman" w:hAnsi="Times New Roman" w:cs="Times New Roman"/>
          <w:b/>
          <w:color w:val="000000"/>
        </w:rPr>
      </w:pPr>
    </w:p>
    <w:p w14:paraId="25C090ED" w14:textId="77777777" w:rsidR="005B1101" w:rsidRDefault="00C5085B">
      <w:pPr>
        <w:jc w:val="both"/>
        <w:rPr>
          <w:rFonts w:ascii="Times New Roman" w:eastAsia="Times New Roman" w:hAnsi="Times New Roman" w:cs="Times New Roman"/>
          <w:b/>
          <w:color w:val="000000"/>
        </w:rPr>
      </w:pPr>
      <w:r>
        <w:rPr>
          <w:noProof/>
        </w:rPr>
        <w:drawing>
          <wp:anchor distT="0" distB="0" distL="114300" distR="114300" simplePos="0" relativeHeight="251658240" behindDoc="0" locked="0" layoutInCell="1" hidden="0" allowOverlap="1" wp14:anchorId="72A4BB1B" wp14:editId="34AAEDAD">
            <wp:simplePos x="0" y="0"/>
            <wp:positionH relativeFrom="column">
              <wp:posOffset>2028825</wp:posOffset>
            </wp:positionH>
            <wp:positionV relativeFrom="paragraph">
              <wp:posOffset>123190</wp:posOffset>
            </wp:positionV>
            <wp:extent cx="4876800" cy="4230837"/>
            <wp:effectExtent l="0" t="0" r="0" b="0"/>
            <wp:wrapNone/>
            <wp:docPr id="8" name="image8.png" descr="Antioxidants 13 00429 g003"/>
            <wp:cNvGraphicFramePr/>
            <a:graphic xmlns:a="http://schemas.openxmlformats.org/drawingml/2006/main">
              <a:graphicData uri="http://schemas.openxmlformats.org/drawingml/2006/picture">
                <pic:pic xmlns:pic="http://schemas.openxmlformats.org/drawingml/2006/picture">
                  <pic:nvPicPr>
                    <pic:cNvPr id="0" name="image8.png" descr="Antioxidants 13 00429 g003"/>
                    <pic:cNvPicPr preferRelativeResize="0"/>
                  </pic:nvPicPr>
                  <pic:blipFill>
                    <a:blip r:embed="rId13"/>
                    <a:srcRect/>
                    <a:stretch>
                      <a:fillRect/>
                    </a:stretch>
                  </pic:blipFill>
                  <pic:spPr>
                    <a:xfrm>
                      <a:off x="0" y="0"/>
                      <a:ext cx="4876800" cy="4230837"/>
                    </a:xfrm>
                    <a:prstGeom prst="rect">
                      <a:avLst/>
                    </a:prstGeom>
                    <a:ln/>
                  </pic:spPr>
                </pic:pic>
              </a:graphicData>
            </a:graphic>
          </wp:anchor>
        </w:drawing>
      </w:r>
    </w:p>
    <w:p w14:paraId="6784A864" w14:textId="77777777" w:rsidR="005B1101" w:rsidRDefault="005B1101">
      <w:pPr>
        <w:jc w:val="both"/>
        <w:rPr>
          <w:rFonts w:ascii="Times New Roman" w:eastAsia="Times New Roman" w:hAnsi="Times New Roman" w:cs="Times New Roman"/>
          <w:b/>
          <w:color w:val="000000"/>
        </w:rPr>
      </w:pPr>
    </w:p>
    <w:p w14:paraId="673CEB6D" w14:textId="77777777" w:rsidR="005B1101" w:rsidRDefault="00C5085B">
      <w:pPr>
        <w:jc w:val="both"/>
        <w:rPr>
          <w:rFonts w:ascii="Times New Roman" w:eastAsia="Times New Roman" w:hAnsi="Times New Roman" w:cs="Times New Roman"/>
          <w:b/>
          <w:color w:val="000000"/>
        </w:rPr>
      </w:pPr>
      <w:r>
        <w:rPr>
          <w:noProof/>
        </w:rPr>
        <mc:AlternateContent>
          <mc:Choice Requires="wps">
            <w:drawing>
              <wp:anchor distT="0" distB="0" distL="114300" distR="114300" simplePos="0" relativeHeight="251659264" behindDoc="0" locked="0" layoutInCell="1" hidden="0" allowOverlap="1" wp14:anchorId="1C6CCADC" wp14:editId="14AF1891">
                <wp:simplePos x="0" y="0"/>
                <wp:positionH relativeFrom="column">
                  <wp:posOffset>476250</wp:posOffset>
                </wp:positionH>
                <wp:positionV relativeFrom="paragraph">
                  <wp:posOffset>146685</wp:posOffset>
                </wp:positionV>
                <wp:extent cx="1095375" cy="400050"/>
                <wp:effectExtent l="0" t="0" r="28575" b="19050"/>
                <wp:wrapNone/>
                <wp:docPr id="2" name="Rounded Rectangle 2"/>
                <wp:cNvGraphicFramePr/>
                <a:graphic xmlns:a="http://schemas.openxmlformats.org/drawingml/2006/main">
                  <a:graphicData uri="http://schemas.microsoft.com/office/word/2010/wordprocessingShape">
                    <wps:wsp>
                      <wps:cNvSpPr/>
                      <wps:spPr>
                        <a:xfrm>
                          <a:off x="0" y="0"/>
                          <a:ext cx="1095375" cy="400050"/>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230D0FCF" w14:textId="77777777" w:rsidR="00C5085B" w:rsidRDefault="00C5085B" w:rsidP="00C5085B">
                            <w:pPr>
                              <w:jc w:val="center"/>
                              <w:rPr>
                                <w:rFonts w:asciiTheme="minorHAnsi" w:hAnsi="Cambria" w:cstheme="minorBidi"/>
                                <w:color w:val="FFFFFF" w:themeColor="light1"/>
                                <w:kern w:val="24"/>
                                <w:sz w:val="36"/>
                                <w:szCs w:val="36"/>
                              </w:rPr>
                            </w:pPr>
                            <w:r w:rsidRPr="00BC0051">
                              <w:rPr>
                                <w:rFonts w:asciiTheme="minorHAnsi" w:hAnsi="Cambria" w:cstheme="minorBidi"/>
                                <w:color w:val="FFFFFF" w:themeColor="light1"/>
                                <w:kern w:val="24"/>
                              </w:rPr>
                              <w:t>Polyphenols</w:t>
                            </w:r>
                          </w:p>
                        </w:txbxContent>
                      </wps:txbx>
                      <wps:bodyPr wrap="square"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1C6CCADC" id="Rounded Rectangle 2" o:spid="_x0000_s1026" style="position:absolute;left:0;text-align:left;margin-left:37.5pt;margin-top:11.55pt;width:86.25pt;height:31.5pt;z-index:251659264;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" fillcolor="black [3200]" strokecolor="black [1600]" strokeweight="2pt">
                <v:textbox>
                  <w:txbxContent>
                    <w:p w14:paraId="230D0FCF" w14:textId="77777777" w:rsidR="00C5085B" w:rsidRDefault="00C5085B" w:rsidP="00C5085B">
                      <w:pPr>
                        <w:jc w:val="center"/>
                        <w:rPr>
                          <w:rFonts w:asciiTheme="minorHAnsi" w:hAnsi="Cambria" w:cstheme="minorBidi"/>
                          <w:color w:val="FFFFFF" w:themeColor="light1"/>
                          <w:kern w:val="24"/>
                          <w:sz w:val="36"/>
                          <w:szCs w:val="36"/>
                        </w:rPr>
                      </w:pPr>
                      <w:r w:rsidRPr="00BC0051">
                        <w:rPr>
                          <w:rFonts w:asciiTheme="minorHAnsi" w:hAnsi="Cambria" w:cstheme="minorBidi"/>
                          <w:color w:val="FFFFFF" w:themeColor="light1"/>
                          <w:kern w:val="24"/>
                        </w:rPr>
                        <w:t>Polyphenols</w:t>
                      </w:r>
                    </w:p>
                  </w:txbxContent>
                </v:textbox>
              </v:roundrect>
            </w:pict>
          </mc:Fallback>
        </mc:AlternateContent>
      </w:r>
    </w:p>
    <w:p w14:paraId="2720B267" w14:textId="77777777" w:rsidR="005B1101" w:rsidRDefault="005B1101">
      <w:pPr>
        <w:jc w:val="both"/>
        <w:rPr>
          <w:rFonts w:ascii="Times New Roman" w:eastAsia="Times New Roman" w:hAnsi="Times New Roman" w:cs="Times New Roman"/>
          <w:b/>
          <w:color w:val="000000"/>
        </w:rPr>
      </w:pPr>
    </w:p>
    <w:p w14:paraId="2C68F249" w14:textId="77777777" w:rsidR="005B1101" w:rsidRDefault="005B1101">
      <w:pPr>
        <w:jc w:val="both"/>
        <w:rPr>
          <w:rFonts w:ascii="Times New Roman" w:eastAsia="Times New Roman" w:hAnsi="Times New Roman" w:cs="Times New Roman"/>
          <w:b/>
          <w:color w:val="000000"/>
        </w:rPr>
      </w:pPr>
    </w:p>
    <w:p w14:paraId="51239E54" w14:textId="77777777" w:rsidR="005B1101" w:rsidRDefault="005B1101">
      <w:pPr>
        <w:jc w:val="both"/>
        <w:rPr>
          <w:rFonts w:ascii="Times New Roman" w:eastAsia="Times New Roman" w:hAnsi="Times New Roman" w:cs="Times New Roman"/>
          <w:b/>
          <w:color w:val="000000"/>
        </w:rPr>
      </w:pPr>
    </w:p>
    <w:p w14:paraId="5E7DE51D" w14:textId="77777777" w:rsidR="005B1101" w:rsidRDefault="00C5085B">
      <w:pPr>
        <w:jc w:val="both"/>
        <w:rPr>
          <w:rFonts w:ascii="Times New Roman" w:eastAsia="Times New Roman" w:hAnsi="Times New Roman" w:cs="Times New Roman"/>
          <w:b/>
          <w:color w:val="000000"/>
        </w:rPr>
      </w:pPr>
      <w:r>
        <w:rPr>
          <w:noProof/>
        </w:rPr>
        <w:drawing>
          <wp:anchor distT="0" distB="0" distL="114300" distR="114300" simplePos="0" relativeHeight="251660288" behindDoc="0" locked="0" layoutInCell="1" hidden="0" allowOverlap="1" wp14:anchorId="1C4E2076" wp14:editId="7C4001AA">
            <wp:simplePos x="0" y="0"/>
            <wp:positionH relativeFrom="column">
              <wp:posOffset>152400</wp:posOffset>
            </wp:positionH>
            <wp:positionV relativeFrom="paragraph">
              <wp:posOffset>8255</wp:posOffset>
            </wp:positionV>
            <wp:extent cx="1555758" cy="846671"/>
            <wp:effectExtent l="0" t="0" r="0" b="0"/>
            <wp:wrapNone/>
            <wp:docPr id="4" name="image3.png" descr="Figure 2"/>
            <wp:cNvGraphicFramePr/>
            <a:graphic xmlns:a="http://schemas.openxmlformats.org/drawingml/2006/main">
              <a:graphicData uri="http://schemas.openxmlformats.org/drawingml/2006/picture">
                <pic:pic xmlns:pic="http://schemas.openxmlformats.org/drawingml/2006/picture">
                  <pic:nvPicPr>
                    <pic:cNvPr id="0" name="image3.png" descr="Figure 2"/>
                    <pic:cNvPicPr preferRelativeResize="0"/>
                  </pic:nvPicPr>
                  <pic:blipFill>
                    <a:blip r:embed="rId14"/>
                    <a:srcRect/>
                    <a:stretch>
                      <a:fillRect/>
                    </a:stretch>
                  </pic:blipFill>
                  <pic:spPr>
                    <a:xfrm>
                      <a:off x="0" y="0"/>
                      <a:ext cx="1555758" cy="846671"/>
                    </a:xfrm>
                    <a:prstGeom prst="rect">
                      <a:avLst/>
                    </a:prstGeom>
                    <a:ln/>
                  </pic:spPr>
                </pic:pic>
              </a:graphicData>
            </a:graphic>
          </wp:anchor>
        </w:drawing>
      </w:r>
    </w:p>
    <w:p w14:paraId="1ECB7941" w14:textId="77777777" w:rsidR="005B1101" w:rsidRDefault="005B1101">
      <w:pPr>
        <w:jc w:val="both"/>
        <w:rPr>
          <w:rFonts w:ascii="Times New Roman" w:eastAsia="Times New Roman" w:hAnsi="Times New Roman" w:cs="Times New Roman"/>
          <w:b/>
          <w:color w:val="000000"/>
        </w:rPr>
      </w:pPr>
    </w:p>
    <w:p w14:paraId="7EF785C8" w14:textId="77777777" w:rsidR="005B1101" w:rsidRDefault="005B1101">
      <w:pPr>
        <w:jc w:val="both"/>
        <w:rPr>
          <w:rFonts w:ascii="Times New Roman" w:eastAsia="Times New Roman" w:hAnsi="Times New Roman" w:cs="Times New Roman"/>
          <w:b/>
          <w:color w:val="000000"/>
        </w:rPr>
      </w:pPr>
    </w:p>
    <w:p w14:paraId="78D43B52" w14:textId="77777777" w:rsidR="005B1101" w:rsidRDefault="005B1101">
      <w:pPr>
        <w:jc w:val="both"/>
        <w:rPr>
          <w:rFonts w:ascii="Times New Roman" w:eastAsia="Times New Roman" w:hAnsi="Times New Roman" w:cs="Times New Roman"/>
          <w:b/>
          <w:color w:val="000000"/>
        </w:rPr>
      </w:pPr>
    </w:p>
    <w:p w14:paraId="00F4A7C3" w14:textId="77777777" w:rsidR="005B1101" w:rsidRDefault="005B1101">
      <w:pPr>
        <w:jc w:val="both"/>
        <w:rPr>
          <w:rFonts w:ascii="Times New Roman" w:eastAsia="Times New Roman" w:hAnsi="Times New Roman" w:cs="Times New Roman"/>
          <w:b/>
          <w:color w:val="000000"/>
        </w:rPr>
      </w:pPr>
    </w:p>
    <w:p w14:paraId="44D497C4" w14:textId="77777777" w:rsidR="005B1101" w:rsidRDefault="005B1101">
      <w:pPr>
        <w:jc w:val="both"/>
        <w:rPr>
          <w:rFonts w:ascii="Times New Roman" w:eastAsia="Times New Roman" w:hAnsi="Times New Roman" w:cs="Times New Roman"/>
          <w:b/>
          <w:color w:val="000000"/>
        </w:rPr>
      </w:pPr>
    </w:p>
    <w:p w14:paraId="2ACF0F53" w14:textId="77777777" w:rsidR="005B1101" w:rsidRDefault="00C5085B">
      <w:pPr>
        <w:jc w:val="both"/>
        <w:rPr>
          <w:rFonts w:ascii="Times New Roman" w:eastAsia="Times New Roman" w:hAnsi="Times New Roman" w:cs="Times New Roman"/>
          <w:b/>
          <w:color w:val="000000"/>
        </w:rPr>
      </w:pPr>
      <w:r>
        <w:rPr>
          <w:noProof/>
        </w:rPr>
        <mc:AlternateContent>
          <mc:Choice Requires="wps">
            <w:drawing>
              <wp:anchor distT="0" distB="0" distL="114300" distR="114300" simplePos="0" relativeHeight="251661312" behindDoc="0" locked="0" layoutInCell="1" hidden="0" allowOverlap="1" wp14:anchorId="3E8CDCCE" wp14:editId="3CFFA307">
                <wp:simplePos x="0" y="0"/>
                <wp:positionH relativeFrom="column">
                  <wp:posOffset>323850</wp:posOffset>
                </wp:positionH>
                <wp:positionV relativeFrom="paragraph">
                  <wp:posOffset>13970</wp:posOffset>
                </wp:positionV>
                <wp:extent cx="1095375" cy="375285"/>
                <wp:effectExtent l="0" t="0" r="28575" b="24765"/>
                <wp:wrapNone/>
                <wp:docPr id="1" name="Rounded Rectangle 1"/>
                <wp:cNvGraphicFramePr/>
                <a:graphic xmlns:a="http://schemas.openxmlformats.org/drawingml/2006/main">
                  <a:graphicData uri="http://schemas.microsoft.com/office/word/2010/wordprocessingShape">
                    <wps:wsp>
                      <wps:cNvSpPr/>
                      <wps:spPr>
                        <a:xfrm>
                          <a:off x="0" y="0"/>
                          <a:ext cx="1095375" cy="375285"/>
                        </a:xfrm>
                        <a:prstGeom prst="roundRect">
                          <a:avLst/>
                        </a:prstGeom>
                      </wps:spPr>
                      <wps:style>
                        <a:lnRef idx="2">
                          <a:schemeClr val="dk1">
                            <a:shade val="50000"/>
                          </a:schemeClr>
                        </a:lnRef>
                        <a:fillRef idx="1">
                          <a:schemeClr val="dk1"/>
                        </a:fillRef>
                        <a:effectRef idx="0">
                          <a:schemeClr val="dk1"/>
                        </a:effectRef>
                        <a:fontRef idx="minor">
                          <a:schemeClr val="lt1"/>
                        </a:fontRef>
                      </wps:style>
                      <wps:txbx>
                        <w:txbxContent>
                          <w:p w14:paraId="52AF11E1" w14:textId="77777777" w:rsidR="00C5085B" w:rsidRPr="00BC0051" w:rsidRDefault="00C5085B" w:rsidP="00C5085B">
                            <w:pPr>
                              <w:jc w:val="center"/>
                              <w:rPr>
                                <w:rFonts w:asciiTheme="minorHAnsi" w:hAnsi="Cambria" w:cstheme="minorBidi"/>
                                <w:color w:val="FFFFFF" w:themeColor="light1"/>
                                <w:kern w:val="24"/>
                              </w:rPr>
                            </w:pPr>
                            <w:r w:rsidRPr="00BC0051">
                              <w:rPr>
                                <w:rFonts w:asciiTheme="minorHAnsi" w:hAnsi="Cambria" w:cstheme="minorBidi"/>
                                <w:color w:val="FFFFFF" w:themeColor="light1"/>
                                <w:kern w:val="24"/>
                              </w:rPr>
                              <w:t>Flavonoids</w:t>
                            </w:r>
                          </w:p>
                        </w:txbxContent>
                      </wps:txbx>
                      <wps:bodyPr wrap="square" rtlCol="0" anchor="ctr">
                        <a:noAutofit/>
                      </wps:bodyPr>
                    </wps:wsp>
                  </a:graphicData>
                </a:graphic>
              </wp:anchor>
            </w:drawing>
          </mc:Choice>
          <mc:Fallback xmlns:w16se="http://schemas.microsoft.com/office/word/2015/wordml/symex"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w:pict>
              <v:roundrect w14:anchorId="3E8CDCCE" id="Rounded Rectangle 1" o:spid="_x0000_s1027" style="position:absolute;left:0;text-align:left;margin-left:25.5pt;margin-top:1.1pt;width:86.25pt;height:29.55pt;z-index:251661312;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" fillcolor="black [3200]" strokecolor="black [1600]" strokeweight="2pt">
                <v:textbox>
                  <w:txbxContent>
                    <w:p w14:paraId="52AF11E1" w14:textId="77777777" w:rsidR="00C5085B" w:rsidRPr="00BC0051" w:rsidRDefault="00C5085B" w:rsidP="00C5085B">
                      <w:pPr>
                        <w:jc w:val="center"/>
                        <w:rPr>
                          <w:rFonts w:asciiTheme="minorHAnsi" w:hAnsi="Cambria" w:cstheme="minorBidi"/>
                          <w:color w:val="FFFFFF" w:themeColor="light1"/>
                          <w:kern w:val="24"/>
                        </w:rPr>
                      </w:pPr>
                      <w:r w:rsidRPr="00BC0051">
                        <w:rPr>
                          <w:rFonts w:asciiTheme="minorHAnsi" w:hAnsi="Cambria" w:cstheme="minorBidi"/>
                          <w:color w:val="FFFFFF" w:themeColor="light1"/>
                          <w:kern w:val="24"/>
                        </w:rPr>
                        <w:t>Flavonoids</w:t>
                      </w:r>
                    </w:p>
                  </w:txbxContent>
                </v:textbox>
              </v:roundrect>
            </w:pict>
          </mc:Fallback>
        </mc:AlternateContent>
      </w:r>
    </w:p>
    <w:p w14:paraId="648BAF47" w14:textId="77777777" w:rsidR="005B1101" w:rsidRDefault="005B1101">
      <w:pPr>
        <w:jc w:val="both"/>
        <w:rPr>
          <w:rFonts w:ascii="Times New Roman" w:eastAsia="Times New Roman" w:hAnsi="Times New Roman" w:cs="Times New Roman"/>
          <w:b/>
          <w:color w:val="000000"/>
        </w:rPr>
      </w:pPr>
    </w:p>
    <w:p w14:paraId="5DD0259C" w14:textId="77777777" w:rsidR="005B1101" w:rsidRDefault="00C5085B">
      <w:pPr>
        <w:jc w:val="both"/>
        <w:rPr>
          <w:rFonts w:ascii="Times New Roman" w:eastAsia="Times New Roman" w:hAnsi="Times New Roman" w:cs="Times New Roman"/>
          <w:b/>
          <w:color w:val="000000"/>
        </w:rPr>
      </w:pPr>
      <w:r>
        <w:rPr>
          <w:noProof/>
        </w:rPr>
        <w:drawing>
          <wp:anchor distT="0" distB="0" distL="114300" distR="114300" simplePos="0" relativeHeight="251662336" behindDoc="0" locked="0" layoutInCell="1" hidden="0" allowOverlap="1" wp14:anchorId="361E155E" wp14:editId="3B26781D">
            <wp:simplePos x="0" y="0"/>
            <wp:positionH relativeFrom="column">
              <wp:posOffset>180975</wp:posOffset>
            </wp:positionH>
            <wp:positionV relativeFrom="paragraph">
              <wp:posOffset>5715</wp:posOffset>
            </wp:positionV>
            <wp:extent cx="1619369" cy="1233805"/>
            <wp:effectExtent l="0" t="0" r="0" b="0"/>
            <wp:wrapNone/>
            <wp:docPr id="7" name="image6.png" descr="Figure 3"/>
            <wp:cNvGraphicFramePr/>
            <a:graphic xmlns:a="http://schemas.openxmlformats.org/drawingml/2006/main">
              <a:graphicData uri="http://schemas.openxmlformats.org/drawingml/2006/picture">
                <pic:pic xmlns:pic="http://schemas.openxmlformats.org/drawingml/2006/picture">
                  <pic:nvPicPr>
                    <pic:cNvPr id="0" name="image6.png" descr="Figure 3"/>
                    <pic:cNvPicPr preferRelativeResize="0"/>
                  </pic:nvPicPr>
                  <pic:blipFill>
                    <a:blip r:embed="rId15"/>
                    <a:srcRect/>
                    <a:stretch>
                      <a:fillRect/>
                    </a:stretch>
                  </pic:blipFill>
                  <pic:spPr>
                    <a:xfrm>
                      <a:off x="0" y="0"/>
                      <a:ext cx="1619369" cy="1233805"/>
                    </a:xfrm>
                    <a:prstGeom prst="rect">
                      <a:avLst/>
                    </a:prstGeom>
                    <a:ln/>
                  </pic:spPr>
                </pic:pic>
              </a:graphicData>
            </a:graphic>
          </wp:anchor>
        </w:drawing>
      </w:r>
    </w:p>
    <w:p w14:paraId="153FC451" w14:textId="77777777" w:rsidR="005B1101" w:rsidRDefault="005B1101">
      <w:pPr>
        <w:jc w:val="both"/>
        <w:rPr>
          <w:rFonts w:ascii="Times New Roman" w:eastAsia="Times New Roman" w:hAnsi="Times New Roman" w:cs="Times New Roman"/>
          <w:b/>
          <w:color w:val="000000"/>
        </w:rPr>
      </w:pPr>
    </w:p>
    <w:p w14:paraId="4A5B0774" w14:textId="77777777" w:rsidR="005B1101" w:rsidRDefault="005B1101">
      <w:pPr>
        <w:jc w:val="both"/>
        <w:rPr>
          <w:rFonts w:ascii="Times New Roman" w:eastAsia="Times New Roman" w:hAnsi="Times New Roman" w:cs="Times New Roman"/>
          <w:b/>
          <w:color w:val="000000"/>
        </w:rPr>
      </w:pPr>
    </w:p>
    <w:p w14:paraId="2139D78A" w14:textId="77777777" w:rsidR="005B1101" w:rsidRDefault="005B1101">
      <w:pPr>
        <w:jc w:val="both"/>
        <w:rPr>
          <w:rFonts w:ascii="Times New Roman" w:eastAsia="Times New Roman" w:hAnsi="Times New Roman" w:cs="Times New Roman"/>
          <w:b/>
          <w:color w:val="000000"/>
        </w:rPr>
      </w:pPr>
    </w:p>
    <w:p w14:paraId="430EA046" w14:textId="77777777" w:rsidR="005B1101" w:rsidRDefault="005B1101">
      <w:pPr>
        <w:jc w:val="both"/>
        <w:rPr>
          <w:rFonts w:ascii="Times New Roman" w:eastAsia="Times New Roman" w:hAnsi="Times New Roman" w:cs="Times New Roman"/>
          <w:b/>
          <w:color w:val="000000"/>
        </w:rPr>
      </w:pPr>
    </w:p>
    <w:p w14:paraId="232780C9" w14:textId="77777777" w:rsidR="005B1101" w:rsidRDefault="005B1101">
      <w:pPr>
        <w:jc w:val="both"/>
        <w:rPr>
          <w:rFonts w:ascii="Times New Roman" w:eastAsia="Times New Roman" w:hAnsi="Times New Roman" w:cs="Times New Roman"/>
          <w:b/>
          <w:color w:val="000000"/>
        </w:rPr>
      </w:pPr>
    </w:p>
    <w:p w14:paraId="3D847350" w14:textId="77777777" w:rsidR="005B1101" w:rsidRDefault="005B1101">
      <w:pPr>
        <w:jc w:val="both"/>
        <w:rPr>
          <w:rFonts w:ascii="Times New Roman" w:eastAsia="Times New Roman" w:hAnsi="Times New Roman" w:cs="Times New Roman"/>
          <w:b/>
          <w:color w:val="000000"/>
        </w:rPr>
      </w:pPr>
    </w:p>
    <w:p w14:paraId="1D48AB2B" w14:textId="77777777" w:rsidR="005B1101" w:rsidRDefault="005B1101">
      <w:pPr>
        <w:jc w:val="both"/>
        <w:rPr>
          <w:rFonts w:ascii="Times New Roman" w:eastAsia="Times New Roman" w:hAnsi="Times New Roman" w:cs="Times New Roman"/>
          <w:b/>
          <w:color w:val="000000"/>
        </w:rPr>
      </w:pPr>
    </w:p>
    <w:p w14:paraId="07DB41B4" w14:textId="77777777" w:rsidR="005B1101" w:rsidRDefault="005B1101">
      <w:pPr>
        <w:jc w:val="both"/>
        <w:rPr>
          <w:rFonts w:ascii="Times New Roman" w:eastAsia="Times New Roman" w:hAnsi="Times New Roman" w:cs="Times New Roman"/>
          <w:b/>
          <w:color w:val="000000"/>
        </w:rPr>
      </w:pPr>
    </w:p>
    <w:p w14:paraId="017448E5" w14:textId="77777777" w:rsidR="005B1101" w:rsidRDefault="005B1101">
      <w:pPr>
        <w:jc w:val="both"/>
        <w:rPr>
          <w:rFonts w:ascii="Times New Roman" w:eastAsia="Times New Roman" w:hAnsi="Times New Roman" w:cs="Times New Roman"/>
          <w:b/>
          <w:color w:val="000000"/>
        </w:rPr>
      </w:pPr>
    </w:p>
    <w:p w14:paraId="651D3D00" w14:textId="77777777" w:rsidR="005B1101" w:rsidRDefault="00C5085B">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Figure 2:</w:t>
      </w:r>
      <w:r>
        <w:rPr>
          <w:rFonts w:ascii="Times New Roman" w:eastAsia="Times New Roman" w:hAnsi="Times New Roman" w:cs="Times New Roman"/>
          <w:color w:val="000000"/>
        </w:rPr>
        <w:t xml:space="preserve"> </w:t>
      </w:r>
      <w:r w:rsidR="00210888">
        <w:rPr>
          <w:rFonts w:ascii="Times New Roman" w:eastAsia="Times New Roman" w:hAnsi="Times New Roman" w:cs="Times New Roman"/>
          <w:color w:val="000000"/>
        </w:rPr>
        <w:t>P</w:t>
      </w:r>
      <w:r>
        <w:rPr>
          <w:rFonts w:ascii="Times New Roman" w:eastAsia="Times New Roman" w:hAnsi="Times New Roman" w:cs="Times New Roman"/>
          <w:color w:val="000000"/>
        </w:rPr>
        <w:t>olyphenols and flavonoids structure and dietary polyphenols Source: (</w:t>
      </w:r>
      <w:proofErr w:type="spellStart"/>
      <w:r>
        <w:rPr>
          <w:rFonts w:ascii="Times New Roman" w:eastAsia="Times New Roman" w:hAnsi="Times New Roman" w:cs="Times New Roman"/>
          <w:color w:val="000000"/>
        </w:rPr>
        <w:t>Hassanpour</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Doroudi</w:t>
      </w:r>
      <w:proofErr w:type="spellEnd"/>
      <w:r>
        <w:rPr>
          <w:rFonts w:ascii="Times New Roman" w:eastAsia="Times New Roman" w:hAnsi="Times New Roman" w:cs="Times New Roman"/>
          <w:color w:val="000000"/>
        </w:rPr>
        <w:t xml:space="preserve"> 2023;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w:t>
      </w:r>
    </w:p>
    <w:p w14:paraId="2DBA119A" w14:textId="77777777" w:rsidR="005B1101" w:rsidRDefault="005B1101">
      <w:pPr>
        <w:jc w:val="both"/>
        <w:rPr>
          <w:rFonts w:ascii="Times New Roman" w:eastAsia="Times New Roman" w:hAnsi="Times New Roman" w:cs="Times New Roman"/>
          <w:b/>
          <w:color w:val="000000"/>
        </w:rPr>
      </w:pPr>
    </w:p>
    <w:p w14:paraId="564215C3" w14:textId="77777777" w:rsidR="005B1101" w:rsidRDefault="00C5085B">
      <w:pPr>
        <w:jc w:val="center"/>
        <w:rPr>
          <w:rFonts w:ascii="Times New Roman" w:eastAsia="Times New Roman" w:hAnsi="Times New Roman" w:cs="Times New Roman"/>
          <w:b/>
          <w:color w:val="000000"/>
        </w:rPr>
      </w:pPr>
      <w:r>
        <w:rPr>
          <w:rFonts w:ascii="Times New Roman" w:eastAsia="Times New Roman" w:hAnsi="Times New Roman" w:cs="Times New Roman"/>
          <w:noProof/>
          <w:color w:val="000000"/>
        </w:rPr>
        <w:drawing>
          <wp:inline distT="0" distB="0" distL="0" distR="0" wp14:anchorId="4DDAB685" wp14:editId="5A98D8D1">
            <wp:extent cx="6352013" cy="3463907"/>
            <wp:effectExtent l="0" t="0" r="0" b="0"/>
            <wp:docPr id="3" name="image1.png" descr="Antioxidants 12 01069 g002"/>
            <wp:cNvGraphicFramePr/>
            <a:graphic xmlns:a="http://schemas.openxmlformats.org/drawingml/2006/main">
              <a:graphicData uri="http://schemas.openxmlformats.org/drawingml/2006/picture">
                <pic:pic xmlns:pic="http://schemas.openxmlformats.org/drawingml/2006/picture">
                  <pic:nvPicPr>
                    <pic:cNvPr id="0" name="image1.png" descr="Antioxidants 12 01069 g002"/>
                    <pic:cNvPicPr preferRelativeResize="0"/>
                  </pic:nvPicPr>
                  <pic:blipFill>
                    <a:blip r:embed="rId16"/>
                    <a:srcRect/>
                    <a:stretch>
                      <a:fillRect/>
                    </a:stretch>
                  </pic:blipFill>
                  <pic:spPr>
                    <a:xfrm>
                      <a:off x="0" y="0"/>
                      <a:ext cx="6352013" cy="3463907"/>
                    </a:xfrm>
                    <a:prstGeom prst="rect">
                      <a:avLst/>
                    </a:prstGeom>
                    <a:ln/>
                  </pic:spPr>
                </pic:pic>
              </a:graphicData>
            </a:graphic>
          </wp:inline>
        </w:drawing>
      </w:r>
    </w:p>
    <w:p w14:paraId="4049CB5B" w14:textId="77777777" w:rsidR="005B1101" w:rsidRDefault="00C5085B">
      <w:pPr>
        <w:jc w:val="center"/>
        <w:rPr>
          <w:rFonts w:ascii="Times New Roman" w:eastAsia="Times New Roman" w:hAnsi="Times New Roman" w:cs="Times New Roman"/>
          <w:b/>
          <w:color w:val="000000"/>
        </w:rPr>
      </w:pPr>
      <w:r>
        <w:rPr>
          <w:rFonts w:ascii="Times New Roman" w:eastAsia="Times New Roman" w:hAnsi="Times New Roman" w:cs="Times New Roman"/>
          <w:b/>
          <w:color w:val="000000"/>
        </w:rPr>
        <w:t>Figure 3:</w:t>
      </w:r>
      <w:r>
        <w:rPr>
          <w:rFonts w:ascii="Times New Roman" w:eastAsia="Times New Roman" w:hAnsi="Times New Roman" w:cs="Times New Roman"/>
          <w:color w:val="000000"/>
        </w:rPr>
        <w:t xml:space="preserve"> Source: (</w:t>
      </w:r>
      <w:proofErr w:type="spellStart"/>
      <w:r>
        <w:rPr>
          <w:rFonts w:ascii="Times New Roman" w:eastAsia="Times New Roman" w:hAnsi="Times New Roman" w:cs="Times New Roman"/>
          <w:color w:val="000000"/>
        </w:rPr>
        <w:t>Crupi</w:t>
      </w:r>
      <w:proofErr w:type="spellEnd"/>
      <w:r>
        <w:rPr>
          <w:rFonts w:ascii="Times New Roman" w:eastAsia="Times New Roman" w:hAnsi="Times New Roman" w:cs="Times New Roman"/>
          <w:color w:val="000000"/>
        </w:rPr>
        <w:t xml:space="preserve"> et al. 2023)</w:t>
      </w:r>
    </w:p>
    <w:p w14:paraId="6A0B4303" w14:textId="77777777" w:rsidR="005B1101" w:rsidRDefault="005B1101">
      <w:pPr>
        <w:jc w:val="both"/>
        <w:rPr>
          <w:rFonts w:ascii="Times New Roman" w:eastAsia="Times New Roman" w:hAnsi="Times New Roman" w:cs="Times New Roman"/>
          <w:b/>
          <w:color w:val="000000"/>
        </w:rPr>
      </w:pPr>
    </w:p>
    <w:p w14:paraId="4D16CBF1" w14:textId="77777777" w:rsidR="005B1101" w:rsidRDefault="005B1101">
      <w:pPr>
        <w:jc w:val="both"/>
        <w:rPr>
          <w:rFonts w:ascii="Times New Roman" w:eastAsia="Times New Roman" w:hAnsi="Times New Roman" w:cs="Times New Roman"/>
          <w:b/>
          <w:color w:val="000000"/>
        </w:rPr>
      </w:pPr>
    </w:p>
    <w:p w14:paraId="7E9AAE12"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Table 2. Structural Features Underlying Antioxidant Activity</w:t>
      </w:r>
    </w:p>
    <w:tbl>
      <w:tblPr>
        <w:tblStyle w:val="a0"/>
        <w:tblW w:w="10459" w:type="dxa"/>
        <w:tblInd w:w="-113"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2002"/>
        <w:gridCol w:w="2249"/>
        <w:gridCol w:w="1409"/>
        <w:gridCol w:w="2646"/>
        <w:gridCol w:w="2153"/>
      </w:tblGrid>
      <w:tr w:rsidR="005B1101" w14:paraId="57B59E3C" w14:textId="77777777" w:rsidTr="005B1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DBEEF3"/>
          </w:tcPr>
          <w:p w14:paraId="0F14DA5C"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Structural Feature</w:t>
            </w:r>
          </w:p>
        </w:tc>
        <w:tc>
          <w:tcPr>
            <w:tcW w:w="2249" w:type="dxa"/>
            <w:shd w:val="clear" w:color="auto" w:fill="DBEEF3"/>
          </w:tcPr>
          <w:p w14:paraId="2E09AB9A"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Mechanistic Role</w:t>
            </w:r>
          </w:p>
        </w:tc>
        <w:tc>
          <w:tcPr>
            <w:tcW w:w="1409" w:type="dxa"/>
            <w:shd w:val="clear" w:color="auto" w:fill="DBEEF3"/>
          </w:tcPr>
          <w:p w14:paraId="440904EB"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Examples</w:t>
            </w:r>
          </w:p>
        </w:tc>
        <w:tc>
          <w:tcPr>
            <w:tcW w:w="2646" w:type="dxa"/>
            <w:shd w:val="clear" w:color="auto" w:fill="DBEEF3"/>
          </w:tcPr>
          <w:p w14:paraId="290E7A46"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Scientific Explanation</w:t>
            </w:r>
          </w:p>
        </w:tc>
        <w:tc>
          <w:tcPr>
            <w:tcW w:w="2153" w:type="dxa"/>
            <w:shd w:val="clear" w:color="auto" w:fill="DBEEF3"/>
          </w:tcPr>
          <w:p w14:paraId="2B758D2C"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References</w:t>
            </w:r>
          </w:p>
        </w:tc>
      </w:tr>
      <w:tr w:rsidR="005B1101" w14:paraId="78A96AEF" w14:textId="77777777" w:rsidTr="005B1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DBEEF3"/>
          </w:tcPr>
          <w:p w14:paraId="6D84480C"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Phenolic –OH groups</w:t>
            </w:r>
          </w:p>
        </w:tc>
        <w:tc>
          <w:tcPr>
            <w:tcW w:w="2249" w:type="dxa"/>
            <w:shd w:val="clear" w:color="auto" w:fill="DBEEF3"/>
          </w:tcPr>
          <w:p w14:paraId="06CCF5EA"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Donate H atoms to </w:t>
            </w:r>
            <w:proofErr w:type="spellStart"/>
            <w:r>
              <w:rPr>
                <w:rFonts w:ascii="Times New Roman" w:eastAsia="Times New Roman" w:hAnsi="Times New Roman" w:cs="Times New Roman"/>
                <w:color w:val="000000"/>
              </w:rPr>
              <w:t>neutralise</w:t>
            </w:r>
            <w:proofErr w:type="spellEnd"/>
            <w:r>
              <w:rPr>
                <w:rFonts w:ascii="Times New Roman" w:eastAsia="Times New Roman" w:hAnsi="Times New Roman" w:cs="Times New Roman"/>
                <w:color w:val="000000"/>
              </w:rPr>
              <w:t xml:space="preserve"> ROS</w:t>
            </w:r>
          </w:p>
        </w:tc>
        <w:tc>
          <w:tcPr>
            <w:tcW w:w="1409" w:type="dxa"/>
            <w:shd w:val="clear" w:color="auto" w:fill="DBEEF3"/>
          </w:tcPr>
          <w:p w14:paraId="0002C7BC"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EGCG</w:t>
            </w:r>
          </w:p>
        </w:tc>
        <w:tc>
          <w:tcPr>
            <w:tcW w:w="2646" w:type="dxa"/>
            <w:shd w:val="clear" w:color="auto" w:fill="DBEEF3"/>
          </w:tcPr>
          <w:p w14:paraId="05B533D8"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Phenoxyl</w:t>
            </w:r>
            <w:proofErr w:type="spellEnd"/>
            <w:r>
              <w:rPr>
                <w:rFonts w:ascii="Times New Roman" w:eastAsia="Times New Roman" w:hAnsi="Times New Roman" w:cs="Times New Roman"/>
                <w:color w:val="000000"/>
              </w:rPr>
              <w:t xml:space="preserve"> radicals are resonance-</w:t>
            </w:r>
            <w:proofErr w:type="spellStart"/>
            <w:r>
              <w:rPr>
                <w:rFonts w:ascii="Times New Roman" w:eastAsia="Times New Roman" w:hAnsi="Times New Roman" w:cs="Times New Roman"/>
                <w:color w:val="000000"/>
              </w:rPr>
              <w:t>stabilised</w:t>
            </w:r>
            <w:proofErr w:type="spellEnd"/>
            <w:r>
              <w:rPr>
                <w:rFonts w:ascii="Times New Roman" w:eastAsia="Times New Roman" w:hAnsi="Times New Roman" w:cs="Times New Roman"/>
                <w:color w:val="000000"/>
              </w:rPr>
              <w:t>, halting chain oxidation</w:t>
            </w:r>
          </w:p>
        </w:tc>
        <w:tc>
          <w:tcPr>
            <w:tcW w:w="2153" w:type="dxa"/>
            <w:shd w:val="clear" w:color="auto" w:fill="DBEEF3"/>
          </w:tcPr>
          <w:p w14:paraId="13928FF5"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w:t>
            </w:r>
          </w:p>
        </w:tc>
      </w:tr>
      <w:tr w:rsidR="005B1101" w14:paraId="1F3B7C02" w14:textId="77777777" w:rsidTr="005B1101">
        <w:tc>
          <w:tcPr>
            <w:cnfStyle w:val="001000000000" w:firstRow="0" w:lastRow="0" w:firstColumn="1" w:lastColumn="0" w:oddVBand="0" w:evenVBand="0" w:oddHBand="0" w:evenHBand="0" w:firstRowFirstColumn="0" w:firstRowLastColumn="0" w:lastRowFirstColumn="0" w:lastRowLastColumn="0"/>
            <w:tcW w:w="2002" w:type="dxa"/>
            <w:shd w:val="clear" w:color="auto" w:fill="DBEEF3"/>
          </w:tcPr>
          <w:p w14:paraId="16785E1E"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Catechol (o-</w:t>
            </w:r>
            <w:proofErr w:type="spellStart"/>
            <w:r>
              <w:rPr>
                <w:rFonts w:ascii="Times New Roman" w:eastAsia="Times New Roman" w:hAnsi="Times New Roman" w:cs="Times New Roman"/>
                <w:color w:val="000000"/>
              </w:rPr>
              <w:t>dihydroxy</w:t>
            </w:r>
            <w:proofErr w:type="spellEnd"/>
            <w:r>
              <w:rPr>
                <w:rFonts w:ascii="Times New Roman" w:eastAsia="Times New Roman" w:hAnsi="Times New Roman" w:cs="Times New Roman"/>
                <w:color w:val="000000"/>
              </w:rPr>
              <w:t>) groups</w:t>
            </w:r>
          </w:p>
        </w:tc>
        <w:tc>
          <w:tcPr>
            <w:tcW w:w="2249" w:type="dxa"/>
            <w:shd w:val="clear" w:color="auto" w:fill="DBEEF3"/>
          </w:tcPr>
          <w:p w14:paraId="22BF7227"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Metal chelation (Fe²⁺, Cu²⁺)</w:t>
            </w:r>
          </w:p>
        </w:tc>
        <w:tc>
          <w:tcPr>
            <w:tcW w:w="1409" w:type="dxa"/>
            <w:shd w:val="clear" w:color="auto" w:fill="DBEEF3"/>
          </w:tcPr>
          <w:p w14:paraId="258B0010"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caffeic</w:t>
            </w:r>
            <w:proofErr w:type="spellEnd"/>
            <w:r>
              <w:rPr>
                <w:rFonts w:ascii="Times New Roman" w:eastAsia="Times New Roman" w:hAnsi="Times New Roman" w:cs="Times New Roman"/>
                <w:color w:val="000000"/>
              </w:rPr>
              <w:t xml:space="preserve"> acid</w:t>
            </w:r>
          </w:p>
        </w:tc>
        <w:tc>
          <w:tcPr>
            <w:tcW w:w="2646" w:type="dxa"/>
            <w:shd w:val="clear" w:color="auto" w:fill="DBEEF3"/>
          </w:tcPr>
          <w:p w14:paraId="608E1AA3"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Chelates redox metals, blocking Fenton reactions</w:t>
            </w:r>
          </w:p>
        </w:tc>
        <w:tc>
          <w:tcPr>
            <w:tcW w:w="2153" w:type="dxa"/>
            <w:shd w:val="clear" w:color="auto" w:fill="DBEEF3"/>
          </w:tcPr>
          <w:p w14:paraId="46A0BB3A"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w:t>
            </w:r>
          </w:p>
        </w:tc>
      </w:tr>
      <w:tr w:rsidR="005B1101" w14:paraId="04014454" w14:textId="77777777" w:rsidTr="005B1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02" w:type="dxa"/>
            <w:shd w:val="clear" w:color="auto" w:fill="DBEEF3"/>
          </w:tcPr>
          <w:p w14:paraId="48112DB2"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Conjugated double bonds</w:t>
            </w:r>
          </w:p>
        </w:tc>
        <w:tc>
          <w:tcPr>
            <w:tcW w:w="2249" w:type="dxa"/>
            <w:shd w:val="clear" w:color="auto" w:fill="DBEEF3"/>
          </w:tcPr>
          <w:p w14:paraId="5612DEC1"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Quench singlet oxygen, delocalize unpaired electrons</w:t>
            </w:r>
          </w:p>
        </w:tc>
        <w:tc>
          <w:tcPr>
            <w:tcW w:w="1409" w:type="dxa"/>
            <w:shd w:val="clear" w:color="auto" w:fill="DBEEF3"/>
          </w:tcPr>
          <w:p w14:paraId="2CF86AD4"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β-Carotene, lycopene</w:t>
            </w:r>
          </w:p>
        </w:tc>
        <w:tc>
          <w:tcPr>
            <w:tcW w:w="2646" w:type="dxa"/>
            <w:shd w:val="clear" w:color="auto" w:fill="DBEEF3"/>
          </w:tcPr>
          <w:p w14:paraId="51272340"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Prevents lipid peroxidation in membranes</w:t>
            </w:r>
          </w:p>
        </w:tc>
        <w:tc>
          <w:tcPr>
            <w:tcW w:w="2153" w:type="dxa"/>
            <w:shd w:val="clear" w:color="auto" w:fill="DBEEF3"/>
          </w:tcPr>
          <w:p w14:paraId="65803F17"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Young &amp; Lowe (2018)</w:t>
            </w:r>
          </w:p>
        </w:tc>
      </w:tr>
      <w:tr w:rsidR="005B1101" w14:paraId="781EEFAF" w14:textId="77777777" w:rsidTr="005B1101">
        <w:trPr>
          <w:trHeight w:val="132"/>
        </w:trPr>
        <w:tc>
          <w:tcPr>
            <w:cnfStyle w:val="001000000000" w:firstRow="0" w:lastRow="0" w:firstColumn="1" w:lastColumn="0" w:oddVBand="0" w:evenVBand="0" w:oddHBand="0" w:evenHBand="0" w:firstRowFirstColumn="0" w:firstRowLastColumn="0" w:lastRowFirstColumn="0" w:lastRowLastColumn="0"/>
            <w:tcW w:w="2002" w:type="dxa"/>
            <w:shd w:val="clear" w:color="auto" w:fill="DBEEF3"/>
          </w:tcPr>
          <w:p w14:paraId="3FA6FE5E"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Glycosylation/ polymerization</w:t>
            </w:r>
          </w:p>
        </w:tc>
        <w:tc>
          <w:tcPr>
            <w:tcW w:w="2249" w:type="dxa"/>
            <w:shd w:val="clear" w:color="auto" w:fill="DBEEF3"/>
          </w:tcPr>
          <w:p w14:paraId="04792A4D"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Modulates solubility and absorption</w:t>
            </w:r>
          </w:p>
        </w:tc>
        <w:tc>
          <w:tcPr>
            <w:tcW w:w="1409" w:type="dxa"/>
            <w:shd w:val="clear" w:color="auto" w:fill="DBEEF3"/>
          </w:tcPr>
          <w:p w14:paraId="375890C2"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Rutin</w:t>
            </w:r>
            <w:proofErr w:type="spellEnd"/>
            <w:r>
              <w:rPr>
                <w:rFonts w:ascii="Times New Roman" w:eastAsia="Times New Roman" w:hAnsi="Times New Roman" w:cs="Times New Roman"/>
                <w:color w:val="000000"/>
              </w:rPr>
              <w:t>, tannins</w:t>
            </w:r>
          </w:p>
        </w:tc>
        <w:tc>
          <w:tcPr>
            <w:tcW w:w="2646" w:type="dxa"/>
            <w:shd w:val="clear" w:color="auto" w:fill="DBEEF3"/>
          </w:tcPr>
          <w:p w14:paraId="5BB63293"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Affects bioavailability and metabolism</w:t>
            </w:r>
          </w:p>
        </w:tc>
        <w:tc>
          <w:tcPr>
            <w:tcW w:w="2153" w:type="dxa"/>
            <w:shd w:val="clear" w:color="auto" w:fill="DBEEF3"/>
          </w:tcPr>
          <w:p w14:paraId="77BF11E8"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Tabanelli</w:t>
            </w:r>
            <w:proofErr w:type="spellEnd"/>
            <w:r>
              <w:rPr>
                <w:rFonts w:ascii="Times New Roman" w:eastAsia="Times New Roman" w:hAnsi="Times New Roman" w:cs="Times New Roman"/>
                <w:color w:val="000000"/>
              </w:rPr>
              <w:t xml:space="preserve"> et al. (2021); </w:t>
            </w:r>
            <w:proofErr w:type="spellStart"/>
            <w:r>
              <w:rPr>
                <w:rFonts w:ascii="Times New Roman" w:eastAsia="Times New Roman" w:hAnsi="Times New Roman" w:cs="Times New Roman"/>
                <w:color w:val="000000"/>
              </w:rPr>
              <w:t>Bertoncini</w:t>
            </w:r>
            <w:proofErr w:type="spellEnd"/>
            <w:r>
              <w:rPr>
                <w:rFonts w:ascii="Times New Roman" w:eastAsia="Times New Roman" w:hAnsi="Times New Roman" w:cs="Times New Roman"/>
                <w:color w:val="000000"/>
              </w:rPr>
              <w:t>-Silva et al. (2024)</w:t>
            </w:r>
          </w:p>
        </w:tc>
      </w:tr>
    </w:tbl>
    <w:p w14:paraId="55DDF6E5" w14:textId="77777777" w:rsidR="005B1101" w:rsidRDefault="005B1101">
      <w:pPr>
        <w:jc w:val="both"/>
        <w:rPr>
          <w:rFonts w:ascii="Times New Roman" w:eastAsia="Times New Roman" w:hAnsi="Times New Roman" w:cs="Times New Roman"/>
          <w:color w:val="000000"/>
        </w:rPr>
      </w:pPr>
    </w:p>
    <w:p w14:paraId="3F55A5CE"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Table 3. Bioavailability and Mechanistic Relevance</w:t>
      </w:r>
    </w:p>
    <w:tbl>
      <w:tblPr>
        <w:tblStyle w:val="a1"/>
        <w:tblW w:w="10458" w:type="dxa"/>
        <w:tblInd w:w="-113" w:type="dxa"/>
        <w:tblBorders>
          <w:top w:val="single" w:sz="4" w:space="0" w:color="D99594"/>
          <w:left w:val="single" w:sz="4" w:space="0" w:color="D99594"/>
          <w:bottom w:val="single" w:sz="4" w:space="0" w:color="D99594"/>
          <w:right w:val="single" w:sz="4" w:space="0" w:color="D99594"/>
          <w:insideH w:val="single" w:sz="4" w:space="0" w:color="D99594"/>
          <w:insideV w:val="single" w:sz="4" w:space="0" w:color="D99594"/>
        </w:tblBorders>
        <w:tblLayout w:type="fixed"/>
        <w:tblLook w:val="04A0" w:firstRow="1" w:lastRow="0" w:firstColumn="1" w:lastColumn="0" w:noHBand="0" w:noVBand="1"/>
      </w:tblPr>
      <w:tblGrid>
        <w:gridCol w:w="2056"/>
        <w:gridCol w:w="4014"/>
        <w:gridCol w:w="2610"/>
        <w:gridCol w:w="1778"/>
      </w:tblGrid>
      <w:tr w:rsidR="005B1101" w14:paraId="15020D7D" w14:textId="77777777" w:rsidTr="005B110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shd w:val="clear" w:color="auto" w:fill="DBEEF3"/>
          </w:tcPr>
          <w:p w14:paraId="53C697EB"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Aspect</w:t>
            </w:r>
          </w:p>
        </w:tc>
        <w:tc>
          <w:tcPr>
            <w:tcW w:w="4014" w:type="dxa"/>
            <w:shd w:val="clear" w:color="auto" w:fill="DBEEF3"/>
          </w:tcPr>
          <w:p w14:paraId="04BEE22C"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Description</w:t>
            </w:r>
          </w:p>
        </w:tc>
        <w:tc>
          <w:tcPr>
            <w:tcW w:w="2610" w:type="dxa"/>
            <w:shd w:val="clear" w:color="auto" w:fill="DBEEF3"/>
          </w:tcPr>
          <w:p w14:paraId="29F7769F"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Impact on Antioxidant Efficacy</w:t>
            </w:r>
          </w:p>
        </w:tc>
        <w:tc>
          <w:tcPr>
            <w:tcW w:w="1778" w:type="dxa"/>
            <w:shd w:val="clear" w:color="auto" w:fill="DBEEF3"/>
          </w:tcPr>
          <w:p w14:paraId="158E73ED" w14:textId="77777777" w:rsidR="005B1101" w:rsidRDefault="00C5085B">
            <w:pPr>
              <w:spacing w:line="276" w:lineRule="auto"/>
              <w:jc w:val="both"/>
              <w:cnfStyle w:val="100000000000" w:firstRow="1"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References</w:t>
            </w:r>
          </w:p>
        </w:tc>
      </w:tr>
      <w:tr w:rsidR="005B1101" w14:paraId="69909979" w14:textId="77777777" w:rsidTr="005B1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shd w:val="clear" w:color="auto" w:fill="DBEEF3"/>
          </w:tcPr>
          <w:p w14:paraId="0ACC2558"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Absorption and metabolism</w:t>
            </w:r>
          </w:p>
        </w:tc>
        <w:tc>
          <w:tcPr>
            <w:tcW w:w="4014" w:type="dxa"/>
            <w:shd w:val="clear" w:color="auto" w:fill="DBEEF3"/>
          </w:tcPr>
          <w:p w14:paraId="54C14588"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Many polyphenols are conjugated (</w:t>
            </w:r>
            <w:proofErr w:type="spellStart"/>
            <w:r>
              <w:rPr>
                <w:rFonts w:ascii="Times New Roman" w:eastAsia="Times New Roman" w:hAnsi="Times New Roman" w:cs="Times New Roman"/>
                <w:color w:val="000000"/>
              </w:rPr>
              <w:t>glucuronidation</w:t>
            </w:r>
            <w:proofErr w:type="spellEnd"/>
            <w:r>
              <w:rPr>
                <w:rFonts w:ascii="Times New Roman" w:eastAsia="Times New Roman" w:hAnsi="Times New Roman" w:cs="Times New Roman"/>
                <w:color w:val="000000"/>
              </w:rPr>
              <w:t>/</w:t>
            </w:r>
            <w:proofErr w:type="spellStart"/>
            <w:r>
              <w:rPr>
                <w:rFonts w:ascii="Times New Roman" w:eastAsia="Times New Roman" w:hAnsi="Times New Roman" w:cs="Times New Roman"/>
                <w:color w:val="000000"/>
              </w:rPr>
              <w:t>sulfation</w:t>
            </w:r>
            <w:proofErr w:type="spellEnd"/>
            <w:r>
              <w:rPr>
                <w:rFonts w:ascii="Times New Roman" w:eastAsia="Times New Roman" w:hAnsi="Times New Roman" w:cs="Times New Roman"/>
                <w:color w:val="000000"/>
              </w:rPr>
              <w:t>) and rapidly metabolized</w:t>
            </w:r>
          </w:p>
        </w:tc>
        <w:tc>
          <w:tcPr>
            <w:tcW w:w="2610" w:type="dxa"/>
            <w:shd w:val="clear" w:color="auto" w:fill="DBEEF3"/>
          </w:tcPr>
          <w:p w14:paraId="159564D3"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Limits direct radical scavenging in vivo</w:t>
            </w:r>
          </w:p>
        </w:tc>
        <w:tc>
          <w:tcPr>
            <w:tcW w:w="1778" w:type="dxa"/>
            <w:shd w:val="clear" w:color="auto" w:fill="DBEEF3"/>
          </w:tcPr>
          <w:p w14:paraId="1F49B424"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Bertoncini</w:t>
            </w:r>
            <w:proofErr w:type="spellEnd"/>
            <w:r>
              <w:rPr>
                <w:rFonts w:ascii="Times New Roman" w:eastAsia="Times New Roman" w:hAnsi="Times New Roman" w:cs="Times New Roman"/>
                <w:color w:val="000000"/>
              </w:rPr>
              <w:t>-Silva et al. (2024)</w:t>
            </w:r>
          </w:p>
        </w:tc>
      </w:tr>
      <w:tr w:rsidR="005B1101" w14:paraId="0292D83F" w14:textId="77777777" w:rsidTr="005B1101">
        <w:tc>
          <w:tcPr>
            <w:cnfStyle w:val="001000000000" w:firstRow="0" w:lastRow="0" w:firstColumn="1" w:lastColumn="0" w:oddVBand="0" w:evenVBand="0" w:oddHBand="0" w:evenHBand="0" w:firstRowFirstColumn="0" w:firstRowLastColumn="0" w:lastRowFirstColumn="0" w:lastRowLastColumn="0"/>
            <w:tcW w:w="2056" w:type="dxa"/>
            <w:shd w:val="clear" w:color="auto" w:fill="DBEEF3"/>
          </w:tcPr>
          <w:p w14:paraId="6B5CB356"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Gut </w:t>
            </w:r>
            <w:proofErr w:type="spellStart"/>
            <w:r>
              <w:rPr>
                <w:rFonts w:ascii="Times New Roman" w:eastAsia="Times New Roman" w:hAnsi="Times New Roman" w:cs="Times New Roman"/>
                <w:color w:val="000000"/>
              </w:rPr>
              <w:t>microbiota</w:t>
            </w:r>
            <w:proofErr w:type="spellEnd"/>
            <w:r>
              <w:rPr>
                <w:rFonts w:ascii="Times New Roman" w:eastAsia="Times New Roman" w:hAnsi="Times New Roman" w:cs="Times New Roman"/>
                <w:color w:val="000000"/>
              </w:rPr>
              <w:t xml:space="preserve"> transformation</w:t>
            </w:r>
          </w:p>
        </w:tc>
        <w:tc>
          <w:tcPr>
            <w:tcW w:w="4014" w:type="dxa"/>
            <w:shd w:val="clear" w:color="auto" w:fill="DBEEF3"/>
          </w:tcPr>
          <w:p w14:paraId="5E58D829"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Microbial breakdown yields smaller </w:t>
            </w:r>
            <w:proofErr w:type="spellStart"/>
            <w:r>
              <w:rPr>
                <w:rFonts w:ascii="Times New Roman" w:eastAsia="Times New Roman" w:hAnsi="Times New Roman" w:cs="Times New Roman"/>
                <w:color w:val="000000"/>
              </w:rPr>
              <w:t>phenolics</w:t>
            </w:r>
            <w:proofErr w:type="spellEnd"/>
          </w:p>
        </w:tc>
        <w:tc>
          <w:tcPr>
            <w:tcW w:w="2610" w:type="dxa"/>
            <w:shd w:val="clear" w:color="auto" w:fill="DBEEF3"/>
          </w:tcPr>
          <w:p w14:paraId="116988B8"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Improves systemic antioxidant capacity</w:t>
            </w:r>
          </w:p>
        </w:tc>
        <w:tc>
          <w:tcPr>
            <w:tcW w:w="1778" w:type="dxa"/>
            <w:shd w:val="clear" w:color="auto" w:fill="DBEEF3"/>
          </w:tcPr>
          <w:p w14:paraId="18AEBCEF"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w:t>
            </w:r>
          </w:p>
        </w:tc>
      </w:tr>
      <w:tr w:rsidR="005B1101" w14:paraId="6A5E08CE" w14:textId="77777777" w:rsidTr="005B110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056" w:type="dxa"/>
            <w:shd w:val="clear" w:color="auto" w:fill="DBEEF3"/>
          </w:tcPr>
          <w:p w14:paraId="567E9DEF" w14:textId="77777777" w:rsidR="005B1101" w:rsidRDefault="00C5085B">
            <w:pPr>
              <w:spacing w:line="276" w:lineRule="auto"/>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lastRenderedPageBreak/>
              <w:t>Signalling</w:t>
            </w:r>
            <w:proofErr w:type="spellEnd"/>
            <w:r>
              <w:rPr>
                <w:rFonts w:ascii="Times New Roman" w:eastAsia="Times New Roman" w:hAnsi="Times New Roman" w:cs="Times New Roman"/>
                <w:color w:val="000000"/>
              </w:rPr>
              <w:t xml:space="preserve"> pathway modulation</w:t>
            </w:r>
          </w:p>
        </w:tc>
        <w:tc>
          <w:tcPr>
            <w:tcW w:w="4014" w:type="dxa"/>
            <w:shd w:val="clear" w:color="auto" w:fill="DBEEF3"/>
          </w:tcPr>
          <w:p w14:paraId="527DCABE"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Activation of Nrf2–ARE pathway, inhibition of NF-</w:t>
            </w:r>
            <w:proofErr w:type="spellStart"/>
            <w:r>
              <w:rPr>
                <w:rFonts w:ascii="Times New Roman" w:eastAsia="Times New Roman" w:hAnsi="Times New Roman" w:cs="Times New Roman"/>
                <w:color w:val="000000"/>
              </w:rPr>
              <w:t>κB</w:t>
            </w:r>
            <w:proofErr w:type="spellEnd"/>
          </w:p>
        </w:tc>
        <w:tc>
          <w:tcPr>
            <w:tcW w:w="2610" w:type="dxa"/>
            <w:shd w:val="clear" w:color="auto" w:fill="DBEEF3"/>
          </w:tcPr>
          <w:p w14:paraId="3ED7C19A"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 xml:space="preserve">Enhances endogenous antioxidant enzymes (SOD, </w:t>
            </w:r>
            <w:proofErr w:type="spellStart"/>
            <w:r>
              <w:rPr>
                <w:rFonts w:ascii="Times New Roman" w:eastAsia="Times New Roman" w:hAnsi="Times New Roman" w:cs="Times New Roman"/>
                <w:color w:val="000000"/>
              </w:rPr>
              <w:t>GPx</w:t>
            </w:r>
            <w:proofErr w:type="spellEnd"/>
            <w:r>
              <w:rPr>
                <w:rFonts w:ascii="Times New Roman" w:eastAsia="Times New Roman" w:hAnsi="Times New Roman" w:cs="Times New Roman"/>
                <w:color w:val="000000"/>
              </w:rPr>
              <w:t>, catalase)</w:t>
            </w:r>
          </w:p>
        </w:tc>
        <w:tc>
          <w:tcPr>
            <w:tcW w:w="1778" w:type="dxa"/>
            <w:shd w:val="clear" w:color="auto" w:fill="DBEEF3"/>
          </w:tcPr>
          <w:p w14:paraId="762AFDF8" w14:textId="77777777" w:rsidR="005B1101" w:rsidRDefault="00C5085B">
            <w:pPr>
              <w:spacing w:line="276" w:lineRule="auto"/>
              <w:jc w:val="both"/>
              <w:cnfStyle w:val="000000100000" w:firstRow="0" w:lastRow="0" w:firstColumn="0" w:lastColumn="0" w:oddVBand="0" w:evenVBand="0" w:oddHBand="1"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He et al. (2023); Qin et al. (2022)</w:t>
            </w:r>
          </w:p>
        </w:tc>
      </w:tr>
      <w:tr w:rsidR="005B1101" w14:paraId="44FBE2D5" w14:textId="77777777" w:rsidTr="005B1101">
        <w:tc>
          <w:tcPr>
            <w:cnfStyle w:val="001000000000" w:firstRow="0" w:lastRow="0" w:firstColumn="1" w:lastColumn="0" w:oddVBand="0" w:evenVBand="0" w:oddHBand="0" w:evenHBand="0" w:firstRowFirstColumn="0" w:firstRowLastColumn="0" w:lastRowFirstColumn="0" w:lastRowLastColumn="0"/>
            <w:tcW w:w="2056" w:type="dxa"/>
            <w:shd w:val="clear" w:color="auto" w:fill="DBEEF3"/>
          </w:tcPr>
          <w:p w14:paraId="3484AE76" w14:textId="77777777" w:rsidR="005B1101" w:rsidRDefault="00C5085B">
            <w:pPr>
              <w:spacing w:line="276" w:lineRule="auto"/>
              <w:jc w:val="both"/>
              <w:rPr>
                <w:rFonts w:ascii="Times New Roman" w:eastAsia="Times New Roman" w:hAnsi="Times New Roman" w:cs="Times New Roman"/>
                <w:color w:val="000000"/>
              </w:rPr>
            </w:pPr>
            <w:r>
              <w:rPr>
                <w:rFonts w:ascii="Times New Roman" w:eastAsia="Times New Roman" w:hAnsi="Times New Roman" w:cs="Times New Roman"/>
                <w:color w:val="000000"/>
              </w:rPr>
              <w:t>Synergistic interactions</w:t>
            </w:r>
          </w:p>
        </w:tc>
        <w:tc>
          <w:tcPr>
            <w:tcW w:w="4014" w:type="dxa"/>
            <w:shd w:val="clear" w:color="auto" w:fill="DBEEF3"/>
          </w:tcPr>
          <w:p w14:paraId="6125C6B9"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Multiple compounds act additively or synergistically</w:t>
            </w:r>
          </w:p>
        </w:tc>
        <w:tc>
          <w:tcPr>
            <w:tcW w:w="2610" w:type="dxa"/>
            <w:shd w:val="clear" w:color="auto" w:fill="DBEEF3"/>
          </w:tcPr>
          <w:p w14:paraId="01458998"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r>
              <w:rPr>
                <w:rFonts w:ascii="Times New Roman" w:eastAsia="Times New Roman" w:hAnsi="Times New Roman" w:cs="Times New Roman"/>
                <w:color w:val="000000"/>
              </w:rPr>
              <w:t>Stronger protection against pollutants and metals</w:t>
            </w:r>
          </w:p>
        </w:tc>
        <w:tc>
          <w:tcPr>
            <w:tcW w:w="1778" w:type="dxa"/>
            <w:shd w:val="clear" w:color="auto" w:fill="DBEEF3"/>
          </w:tcPr>
          <w:p w14:paraId="63BC2C49" w14:textId="77777777" w:rsidR="005B1101" w:rsidRDefault="00C5085B">
            <w:pPr>
              <w:spacing w:line="276" w:lineRule="auto"/>
              <w:jc w:val="both"/>
              <w:cnfStyle w:val="000000000000" w:firstRow="0" w:lastRow="0" w:firstColumn="0" w:lastColumn="0" w:oddVBand="0" w:evenVBand="0" w:oddHBand="0" w:evenHBand="0" w:firstRowFirstColumn="0" w:firstRowLastColumn="0" w:lastRowFirstColumn="0" w:lastRowLastColumn="0"/>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Wilczyńska</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Żak</w:t>
            </w:r>
            <w:proofErr w:type="spellEnd"/>
            <w:r>
              <w:rPr>
                <w:rFonts w:ascii="Times New Roman" w:eastAsia="Times New Roman" w:hAnsi="Times New Roman" w:cs="Times New Roman"/>
                <w:color w:val="000000"/>
              </w:rPr>
              <w:t xml:space="preserve"> (2024)</w:t>
            </w:r>
          </w:p>
        </w:tc>
      </w:tr>
    </w:tbl>
    <w:p w14:paraId="0E39E36B" w14:textId="77777777" w:rsidR="005B1101" w:rsidRDefault="005B1101">
      <w:pPr>
        <w:jc w:val="both"/>
        <w:rPr>
          <w:rFonts w:ascii="Times New Roman" w:eastAsia="Times New Roman" w:hAnsi="Times New Roman" w:cs="Times New Roman"/>
          <w:color w:val="000000"/>
        </w:rPr>
        <w:sectPr w:rsidR="005B1101">
          <w:type w:val="continuous"/>
          <w:pgSz w:w="11909" w:h="16834"/>
          <w:pgMar w:top="576" w:right="720" w:bottom="446" w:left="720" w:header="720" w:footer="720" w:gutter="0"/>
          <w:cols w:space="720"/>
        </w:sectPr>
      </w:pPr>
    </w:p>
    <w:p w14:paraId="5DD631C6"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The potential of phytochemicals to act as antioxidants is due to their combination of chemical reactivity and biological control of the redox balance. The most investigated classes are still polyphenols and carotenoids, but </w:t>
      </w:r>
      <w:proofErr w:type="spellStart"/>
      <w:r>
        <w:rPr>
          <w:rFonts w:ascii="Times New Roman" w:eastAsia="Times New Roman" w:hAnsi="Times New Roman" w:cs="Times New Roman"/>
          <w:color w:val="000000"/>
        </w:rPr>
        <w:t>terpenoids</w:t>
      </w:r>
      <w:proofErr w:type="spellEnd"/>
      <w:r>
        <w:rPr>
          <w:rFonts w:ascii="Times New Roman" w:eastAsia="Times New Roman" w:hAnsi="Times New Roman" w:cs="Times New Roman"/>
          <w:color w:val="000000"/>
        </w:rPr>
        <w:t xml:space="preserve"> and alkaloids are also becoming </w:t>
      </w:r>
      <w:proofErr w:type="spellStart"/>
      <w:r>
        <w:rPr>
          <w:rFonts w:ascii="Times New Roman" w:eastAsia="Times New Roman" w:hAnsi="Times New Roman" w:cs="Times New Roman"/>
          <w:color w:val="000000"/>
        </w:rPr>
        <w:t>recognised</w:t>
      </w:r>
      <w:proofErr w:type="spellEnd"/>
      <w:r>
        <w:rPr>
          <w:rFonts w:ascii="Times New Roman" w:eastAsia="Times New Roman" w:hAnsi="Times New Roman" w:cs="Times New Roman"/>
          <w:color w:val="000000"/>
        </w:rPr>
        <w:t xml:space="preserve"> as having an indirect antioxidant effect. Nevertheless, </w:t>
      </w:r>
      <w:proofErr w:type="spellStart"/>
      <w:r>
        <w:rPr>
          <w:rFonts w:ascii="Times New Roman" w:eastAsia="Times New Roman" w:hAnsi="Times New Roman" w:cs="Times New Roman"/>
          <w:color w:val="000000"/>
        </w:rPr>
        <w:t>their</w:t>
      </w:r>
      <w:proofErr w:type="spellEnd"/>
      <w:r>
        <w:rPr>
          <w:rFonts w:ascii="Times New Roman" w:eastAsia="Times New Roman" w:hAnsi="Times New Roman" w:cs="Times New Roman"/>
          <w:color w:val="000000"/>
        </w:rPr>
        <w:t xml:space="preserve"> in vivo activity depends much on absorption, metabolism and interaction with antioxidant pathways of </w:t>
      </w:r>
      <w:proofErr w:type="spellStart"/>
      <w:r>
        <w:rPr>
          <w:rFonts w:ascii="Times New Roman" w:eastAsia="Times New Roman" w:hAnsi="Times New Roman" w:cs="Times New Roman"/>
          <w:color w:val="000000"/>
        </w:rPr>
        <w:t>defence</w:t>
      </w:r>
      <w:proofErr w:type="spellEnd"/>
      <w:r>
        <w:rPr>
          <w:rFonts w:ascii="Times New Roman" w:eastAsia="Times New Roman" w:hAnsi="Times New Roman" w:cs="Times New Roman"/>
          <w:color w:val="000000"/>
        </w:rPr>
        <w:t xml:space="preserve"> and not only on the chemical radical scavenging capacity.</w:t>
      </w:r>
    </w:p>
    <w:p w14:paraId="7D4051B7" w14:textId="77777777" w:rsidR="005B1101" w:rsidRDefault="005B1101">
      <w:pPr>
        <w:jc w:val="both"/>
        <w:rPr>
          <w:rFonts w:ascii="Times New Roman" w:eastAsia="Times New Roman" w:hAnsi="Times New Roman" w:cs="Times New Roman"/>
          <w:b/>
          <w:color w:val="000000"/>
        </w:rPr>
      </w:pPr>
    </w:p>
    <w:p w14:paraId="278BE30D" w14:textId="77777777" w:rsidR="005B1101" w:rsidRDefault="00C5085B">
      <w:pPr>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4. Mechanisms of Antioxidant Protection by Phytochemicals </w:t>
      </w:r>
    </w:p>
    <w:p w14:paraId="3C923015" w14:textId="77777777" w:rsidR="005B1101" w:rsidRDefault="00C5085B">
      <w:pPr>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Antioxidant phytochemicals (flavonoids, phenolic acids, carotenoids, </w:t>
      </w:r>
      <w:proofErr w:type="spellStart"/>
      <w:r>
        <w:rPr>
          <w:rFonts w:ascii="Times New Roman" w:eastAsia="Times New Roman" w:hAnsi="Times New Roman" w:cs="Times New Roman"/>
          <w:color w:val="000000"/>
        </w:rPr>
        <w:t>terpenes</w:t>
      </w:r>
      <w:proofErr w:type="spellEnd"/>
      <w:r>
        <w:rPr>
          <w:rFonts w:ascii="Times New Roman" w:eastAsia="Times New Roman" w:hAnsi="Times New Roman" w:cs="Times New Roman"/>
          <w:color w:val="000000"/>
        </w:rPr>
        <w:t xml:space="preserve">, sulfur-containing compounds, etc.) provide protection to organisms by a number of partially overlapping mechanisms. These are; </w:t>
      </w:r>
    </w:p>
    <w:p w14:paraId="4F4B5E9C"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(1) </w:t>
      </w:r>
      <w:proofErr w:type="gramStart"/>
      <w:r>
        <w:rPr>
          <w:rFonts w:ascii="Times New Roman" w:eastAsia="Times New Roman" w:hAnsi="Times New Roman" w:cs="Times New Roman"/>
          <w:i/>
          <w:color w:val="000000"/>
        </w:rPr>
        <w:t>direct</w:t>
      </w:r>
      <w:proofErr w:type="gramEnd"/>
      <w:r>
        <w:rPr>
          <w:rFonts w:ascii="Times New Roman" w:eastAsia="Times New Roman" w:hAnsi="Times New Roman" w:cs="Times New Roman"/>
          <w:i/>
          <w:color w:val="000000"/>
        </w:rPr>
        <w:t xml:space="preserve"> scavenging of reactive oxygen/nitrogen species (ROS/RNS);</w:t>
      </w:r>
    </w:p>
    <w:p w14:paraId="19795D5E"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(2) </w:t>
      </w:r>
      <w:proofErr w:type="gramStart"/>
      <w:r>
        <w:rPr>
          <w:rFonts w:ascii="Times New Roman" w:eastAsia="Times New Roman" w:hAnsi="Times New Roman" w:cs="Times New Roman"/>
          <w:i/>
          <w:color w:val="000000"/>
        </w:rPr>
        <w:t>metal</w:t>
      </w:r>
      <w:proofErr w:type="gramEnd"/>
      <w:r>
        <w:rPr>
          <w:rFonts w:ascii="Times New Roman" w:eastAsia="Times New Roman" w:hAnsi="Times New Roman" w:cs="Times New Roman"/>
          <w:i/>
          <w:color w:val="000000"/>
        </w:rPr>
        <w:t xml:space="preserve"> ion chelation, which inhibits Fenton chemistry; </w:t>
      </w:r>
    </w:p>
    <w:p w14:paraId="5FFF98B1"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(3) </w:t>
      </w:r>
      <w:proofErr w:type="gramStart"/>
      <w:r>
        <w:rPr>
          <w:rFonts w:ascii="Times New Roman" w:eastAsia="Times New Roman" w:hAnsi="Times New Roman" w:cs="Times New Roman"/>
          <w:i/>
          <w:color w:val="000000"/>
        </w:rPr>
        <w:t>stimulation</w:t>
      </w:r>
      <w:proofErr w:type="gramEnd"/>
      <w:r>
        <w:rPr>
          <w:rFonts w:ascii="Times New Roman" w:eastAsia="Times New Roman" w:hAnsi="Times New Roman" w:cs="Times New Roman"/>
          <w:i/>
          <w:color w:val="000000"/>
        </w:rPr>
        <w:t xml:space="preserve"> of endogenous antioxidant and detoxifying systems (notably by Nrf2/ARE); </w:t>
      </w:r>
    </w:p>
    <w:p w14:paraId="6B91AB52"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(4) </w:t>
      </w:r>
      <w:proofErr w:type="gramStart"/>
      <w:r>
        <w:rPr>
          <w:rFonts w:ascii="Times New Roman" w:eastAsia="Times New Roman" w:hAnsi="Times New Roman" w:cs="Times New Roman"/>
          <w:i/>
          <w:color w:val="000000"/>
        </w:rPr>
        <w:t>inhibition</w:t>
      </w:r>
      <w:proofErr w:type="gramEnd"/>
      <w:r>
        <w:rPr>
          <w:rFonts w:ascii="Times New Roman" w:eastAsia="Times New Roman" w:hAnsi="Times New Roman" w:cs="Times New Roman"/>
          <w:i/>
          <w:color w:val="000000"/>
        </w:rPr>
        <w:t xml:space="preserve"> of pro-inflammatory </w:t>
      </w:r>
      <w:proofErr w:type="spellStart"/>
      <w:r>
        <w:rPr>
          <w:rFonts w:ascii="Times New Roman" w:eastAsia="Times New Roman" w:hAnsi="Times New Roman" w:cs="Times New Roman"/>
          <w:i/>
          <w:color w:val="000000"/>
        </w:rPr>
        <w:t>signalling</w:t>
      </w:r>
      <w:proofErr w:type="spellEnd"/>
      <w:r>
        <w:rPr>
          <w:rFonts w:ascii="Times New Roman" w:eastAsia="Times New Roman" w:hAnsi="Times New Roman" w:cs="Times New Roman"/>
          <w:i/>
          <w:color w:val="000000"/>
        </w:rPr>
        <w:t xml:space="preserve"> (e.g., NF- 001); </w:t>
      </w:r>
    </w:p>
    <w:p w14:paraId="4E664DA4"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(5) </w:t>
      </w:r>
      <w:proofErr w:type="gramStart"/>
      <w:r>
        <w:rPr>
          <w:rFonts w:ascii="Times New Roman" w:eastAsia="Times New Roman" w:hAnsi="Times New Roman" w:cs="Times New Roman"/>
          <w:i/>
          <w:color w:val="000000"/>
        </w:rPr>
        <w:t>mitochondrial</w:t>
      </w:r>
      <w:proofErr w:type="gramEnd"/>
      <w:r>
        <w:rPr>
          <w:rFonts w:ascii="Times New Roman" w:eastAsia="Times New Roman" w:hAnsi="Times New Roman" w:cs="Times New Roman"/>
          <w:i/>
          <w:color w:val="000000"/>
        </w:rPr>
        <w:t xml:space="preserve"> functionality protection (including </w:t>
      </w:r>
      <w:proofErr w:type="spellStart"/>
      <w:r>
        <w:rPr>
          <w:rFonts w:ascii="Times New Roman" w:eastAsia="Times New Roman" w:hAnsi="Times New Roman" w:cs="Times New Roman"/>
          <w:i/>
          <w:color w:val="000000"/>
        </w:rPr>
        <w:t>mitophagy</w:t>
      </w:r>
      <w:proofErr w:type="spellEnd"/>
      <w:r>
        <w:rPr>
          <w:rFonts w:ascii="Times New Roman" w:eastAsia="Times New Roman" w:hAnsi="Times New Roman" w:cs="Times New Roman"/>
          <w:i/>
          <w:color w:val="000000"/>
        </w:rPr>
        <w:t xml:space="preserve">); </w:t>
      </w:r>
    </w:p>
    <w:p w14:paraId="45BD794D"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(6) </w:t>
      </w:r>
      <w:proofErr w:type="gramStart"/>
      <w:r>
        <w:rPr>
          <w:rFonts w:ascii="Times New Roman" w:eastAsia="Times New Roman" w:hAnsi="Times New Roman" w:cs="Times New Roman"/>
          <w:i/>
          <w:color w:val="000000"/>
        </w:rPr>
        <w:t>regulation</w:t>
      </w:r>
      <w:proofErr w:type="gramEnd"/>
      <w:r>
        <w:rPr>
          <w:rFonts w:ascii="Times New Roman" w:eastAsia="Times New Roman" w:hAnsi="Times New Roman" w:cs="Times New Roman"/>
          <w:i/>
          <w:color w:val="000000"/>
        </w:rPr>
        <w:t xml:space="preserve"> of xenobiotic-</w:t>
      </w:r>
      <w:proofErr w:type="spellStart"/>
      <w:r>
        <w:rPr>
          <w:rFonts w:ascii="Times New Roman" w:eastAsia="Times New Roman" w:hAnsi="Times New Roman" w:cs="Times New Roman"/>
          <w:i/>
          <w:color w:val="000000"/>
        </w:rPr>
        <w:t>metabolising</w:t>
      </w:r>
      <w:proofErr w:type="spellEnd"/>
      <w:r>
        <w:rPr>
          <w:rFonts w:ascii="Times New Roman" w:eastAsia="Times New Roman" w:hAnsi="Times New Roman" w:cs="Times New Roman"/>
          <w:i/>
          <w:color w:val="000000"/>
        </w:rPr>
        <w:t xml:space="preserve"> enzymes,</w:t>
      </w:r>
    </w:p>
    <w:p w14:paraId="10E347F5"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(7) </w:t>
      </w:r>
      <w:proofErr w:type="gramStart"/>
      <w:r>
        <w:rPr>
          <w:rFonts w:ascii="Times New Roman" w:eastAsia="Times New Roman" w:hAnsi="Times New Roman" w:cs="Times New Roman"/>
          <w:i/>
          <w:color w:val="000000"/>
        </w:rPr>
        <w:t>generation</w:t>
      </w:r>
      <w:proofErr w:type="gramEnd"/>
      <w:r>
        <w:rPr>
          <w:rFonts w:ascii="Times New Roman" w:eastAsia="Times New Roman" w:hAnsi="Times New Roman" w:cs="Times New Roman"/>
          <w:i/>
          <w:color w:val="000000"/>
        </w:rPr>
        <w:t xml:space="preserve"> of active microbial metabolites (gut </w:t>
      </w:r>
      <w:proofErr w:type="spellStart"/>
      <w:r>
        <w:rPr>
          <w:rFonts w:ascii="Times New Roman" w:eastAsia="Times New Roman" w:hAnsi="Times New Roman" w:cs="Times New Roman"/>
          <w:i/>
          <w:color w:val="000000"/>
        </w:rPr>
        <w:t>microbiota</w:t>
      </w:r>
      <w:proofErr w:type="spellEnd"/>
      <w:r>
        <w:rPr>
          <w:rFonts w:ascii="Times New Roman" w:eastAsia="Times New Roman" w:hAnsi="Times New Roman" w:cs="Times New Roman"/>
          <w:i/>
          <w:color w:val="000000"/>
        </w:rPr>
        <w:t>) that expand activity; and</w:t>
      </w:r>
    </w:p>
    <w:p w14:paraId="7A4C3254"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 xml:space="preserve">(8) </w:t>
      </w:r>
      <w:proofErr w:type="spellStart"/>
      <w:r>
        <w:rPr>
          <w:rFonts w:ascii="Times New Roman" w:eastAsia="Times New Roman" w:hAnsi="Times New Roman" w:cs="Times New Roman"/>
          <w:i/>
          <w:color w:val="000000"/>
        </w:rPr>
        <w:t>hormetic</w:t>
      </w:r>
      <w:proofErr w:type="spellEnd"/>
      <w:r>
        <w:rPr>
          <w:rFonts w:ascii="Times New Roman" w:eastAsia="Times New Roman" w:hAnsi="Times New Roman" w:cs="Times New Roman"/>
          <w:i/>
          <w:color w:val="000000"/>
        </w:rPr>
        <w:t>/adaptive effects and synergistic interactions with other dietary components.</w:t>
      </w:r>
    </w:p>
    <w:p w14:paraId="5833C6C9" w14:textId="77777777" w:rsidR="005B1101" w:rsidRDefault="00C5085B">
      <w:pPr>
        <w:jc w:val="both"/>
        <w:rPr>
          <w:rFonts w:ascii="Times New Roman" w:eastAsia="Times New Roman" w:hAnsi="Times New Roman" w:cs="Times New Roman"/>
          <w:i/>
          <w:color w:val="000000"/>
        </w:rPr>
      </w:pPr>
      <w:r>
        <w:rPr>
          <w:rFonts w:ascii="Times New Roman" w:eastAsia="Times New Roman" w:hAnsi="Times New Roman" w:cs="Times New Roman"/>
          <w:i/>
          <w:color w:val="000000"/>
        </w:rPr>
        <w:t>The combination of these mechanisms decreases the formation of ROS, enhances the repair of damage, and increases stress resilience to the pollutant- and metal-induced damage.</w:t>
      </w:r>
    </w:p>
    <w:p w14:paraId="555DFA0A"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1. Direct Radical Scavenging and Increasing Antioxidant Enzymes: </w:t>
      </w:r>
      <w:r>
        <w:rPr>
          <w:rFonts w:ascii="Times New Roman" w:eastAsia="Times New Roman" w:hAnsi="Times New Roman" w:cs="Times New Roman"/>
          <w:color w:val="000000"/>
        </w:rPr>
        <w:t xml:space="preserve">A large number of polyphenols (e.g., </w:t>
      </w: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catechin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rutin</w:t>
      </w:r>
      <w:proofErr w:type="spellEnd"/>
      <w:r>
        <w:rPr>
          <w:rFonts w:ascii="Times New Roman" w:eastAsia="Times New Roman" w:hAnsi="Times New Roman" w:cs="Times New Roman"/>
          <w:color w:val="000000"/>
        </w:rPr>
        <w:t xml:space="preserve">) and carotenoids react positively with ROS/RNS, eliminating the free radicals before they cause any destruction to lipids, proteins, or DNA. Preclinical models indicate that the levels or activities of endogenous antioxidants (SOD, CAT, </w:t>
      </w:r>
      <w:proofErr w:type="spellStart"/>
      <w:r>
        <w:rPr>
          <w:rFonts w:ascii="Times New Roman" w:eastAsia="Times New Roman" w:hAnsi="Times New Roman" w:cs="Times New Roman"/>
          <w:color w:val="000000"/>
        </w:rPr>
        <w:t>GPx</w:t>
      </w:r>
      <w:proofErr w:type="spellEnd"/>
      <w:r>
        <w:rPr>
          <w:rFonts w:ascii="Times New Roman" w:eastAsia="Times New Roman" w:hAnsi="Times New Roman" w:cs="Times New Roman"/>
          <w:color w:val="000000"/>
        </w:rPr>
        <w:t xml:space="preserve">, </w:t>
      </w:r>
      <w:proofErr w:type="gramStart"/>
      <w:r>
        <w:rPr>
          <w:rFonts w:ascii="Times New Roman" w:eastAsia="Times New Roman" w:hAnsi="Times New Roman" w:cs="Times New Roman"/>
          <w:color w:val="000000"/>
        </w:rPr>
        <w:lastRenderedPageBreak/>
        <w:t>GSH</w:t>
      </w:r>
      <w:proofErr w:type="gramEnd"/>
      <w:r>
        <w:rPr>
          <w:rFonts w:ascii="Times New Roman" w:eastAsia="Times New Roman" w:hAnsi="Times New Roman" w:cs="Times New Roman"/>
          <w:color w:val="000000"/>
        </w:rPr>
        <w:t>) are increased by flavonoid supplementation and lipid peroxidation markers (MDA) are reduced, and that flavonoid supplementation consistently protects against liver, kidney and brain injury models. The combination of these actions: chemical scavenging and enzyme support will create a fast first line of defense against oxidative attacks of pollutants and metals (</w:t>
      </w:r>
      <w:proofErr w:type="spellStart"/>
      <w:r>
        <w:rPr>
          <w:rFonts w:ascii="Times New Roman" w:eastAsia="Times New Roman" w:hAnsi="Times New Roman" w:cs="Times New Roman"/>
          <w:color w:val="000000"/>
        </w:rPr>
        <w:t>Egbuna</w:t>
      </w:r>
      <w:proofErr w:type="spellEnd"/>
      <w:r>
        <w:rPr>
          <w:rFonts w:ascii="Times New Roman" w:eastAsia="Times New Roman" w:hAnsi="Times New Roman" w:cs="Times New Roman"/>
          <w:color w:val="000000"/>
        </w:rPr>
        <w:t xml:space="preserve"> 2018; </w:t>
      </w:r>
      <w:proofErr w:type="spellStart"/>
      <w:r>
        <w:rPr>
          <w:rFonts w:ascii="Times New Roman" w:eastAsia="Times New Roman" w:hAnsi="Times New Roman" w:cs="Times New Roman"/>
          <w:color w:val="000000"/>
        </w:rPr>
        <w:t>Engwa</w:t>
      </w:r>
      <w:proofErr w:type="spellEnd"/>
      <w:r>
        <w:rPr>
          <w:rFonts w:ascii="Times New Roman" w:eastAsia="Times New Roman" w:hAnsi="Times New Roman" w:cs="Times New Roman"/>
          <w:color w:val="000000"/>
        </w:rPr>
        <w:t xml:space="preserve">, 2018; </w:t>
      </w:r>
      <w:proofErr w:type="spellStart"/>
      <w:r>
        <w:rPr>
          <w:rFonts w:ascii="Times New Roman" w:eastAsia="Times New Roman" w:hAnsi="Times New Roman" w:cs="Times New Roman"/>
          <w:color w:val="000000"/>
        </w:rPr>
        <w:t>Xie</w:t>
      </w:r>
      <w:proofErr w:type="spellEnd"/>
      <w:r>
        <w:rPr>
          <w:rFonts w:ascii="Times New Roman" w:eastAsia="Times New Roman" w:hAnsi="Times New Roman" w:cs="Times New Roman"/>
          <w:color w:val="000000"/>
        </w:rPr>
        <w:t xml:space="preserve"> et al., 2022; Al-</w:t>
      </w:r>
      <w:proofErr w:type="spellStart"/>
      <w:r>
        <w:rPr>
          <w:rFonts w:ascii="Times New Roman" w:eastAsia="Times New Roman" w:hAnsi="Times New Roman" w:cs="Times New Roman"/>
          <w:color w:val="000000"/>
        </w:rPr>
        <w:t>Zharani</w:t>
      </w:r>
      <w:proofErr w:type="spellEnd"/>
      <w:r>
        <w:rPr>
          <w:rFonts w:ascii="Times New Roman" w:eastAsia="Times New Roman" w:hAnsi="Times New Roman" w:cs="Times New Roman"/>
          <w:color w:val="000000"/>
        </w:rPr>
        <w:t xml:space="preserve"> et al., 2023) </w:t>
      </w:r>
    </w:p>
    <w:p w14:paraId="114E367D"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2. Metal chelation and Fenton Chemistry Inhibition: </w:t>
      </w:r>
      <w:r>
        <w:rPr>
          <w:rFonts w:ascii="Times New Roman" w:eastAsia="Times New Roman" w:hAnsi="Times New Roman" w:cs="Times New Roman"/>
          <w:color w:val="000000"/>
        </w:rPr>
        <w:t xml:space="preserve">The phytochemicals also tend to bind transition metals (Fe, Cu, etc.) with catechol groups or hydroxyl groups. The Chelation decreases the number of available redox-active metal ions that </w:t>
      </w:r>
      <w:proofErr w:type="spellStart"/>
      <w:r>
        <w:rPr>
          <w:rFonts w:ascii="Times New Roman" w:eastAsia="Times New Roman" w:hAnsi="Times New Roman" w:cs="Times New Roman"/>
          <w:color w:val="000000"/>
        </w:rPr>
        <w:t>catalyse</w:t>
      </w:r>
      <w:proofErr w:type="spellEnd"/>
      <w:r>
        <w:rPr>
          <w:rFonts w:ascii="Times New Roman" w:eastAsia="Times New Roman" w:hAnsi="Times New Roman" w:cs="Times New Roman"/>
          <w:color w:val="000000"/>
        </w:rPr>
        <w:t xml:space="preserve"> the hydroxyl radical formation process of the Fenton reaction. It has been found to have a strong iron-binding ability (as verified by reviews and spectroscopic studies) and has been found to reduce tissue metal deposition and lipid peroxidation in animal models, </w:t>
      </w: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baicalein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myricetin</w:t>
      </w:r>
      <w:proofErr w:type="spellEnd"/>
      <w:r>
        <w:rPr>
          <w:rFonts w:ascii="Times New Roman" w:eastAsia="Times New Roman" w:hAnsi="Times New Roman" w:cs="Times New Roman"/>
          <w:color w:val="000000"/>
        </w:rPr>
        <w:t xml:space="preserve"> and similar flavonoids. Chelation, thus, is a direct, chemically well-</w:t>
      </w:r>
      <w:proofErr w:type="spellStart"/>
      <w:r>
        <w:rPr>
          <w:rFonts w:ascii="Times New Roman" w:eastAsia="Times New Roman" w:hAnsi="Times New Roman" w:cs="Times New Roman"/>
          <w:color w:val="000000"/>
        </w:rPr>
        <w:t>specificated</w:t>
      </w:r>
      <w:proofErr w:type="spellEnd"/>
      <w:r>
        <w:rPr>
          <w:rFonts w:ascii="Times New Roman" w:eastAsia="Times New Roman" w:hAnsi="Times New Roman" w:cs="Times New Roman"/>
          <w:color w:val="000000"/>
        </w:rPr>
        <w:t xml:space="preserve"> pathway through which phytochemicals shield the metal-promoting oxidative stress. </w:t>
      </w:r>
    </w:p>
    <w:p w14:paraId="008D1F9F"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3. Nrf2/ARE activation and phase-II </w:t>
      </w:r>
      <w:proofErr w:type="spellStart"/>
      <w:proofErr w:type="gramStart"/>
      <w:r>
        <w:rPr>
          <w:rFonts w:ascii="Times New Roman" w:eastAsia="Times New Roman" w:hAnsi="Times New Roman" w:cs="Times New Roman"/>
          <w:b/>
          <w:color w:val="000000"/>
        </w:rPr>
        <w:t>defences</w:t>
      </w:r>
      <w:proofErr w:type="spellEnd"/>
      <w:proofErr w:type="gramEnd"/>
      <w:r>
        <w:rPr>
          <w:rFonts w:ascii="Times New Roman" w:eastAsia="Times New Roman" w:hAnsi="Times New Roman" w:cs="Times New Roman"/>
          <w:b/>
          <w:color w:val="000000"/>
        </w:rPr>
        <w:t xml:space="preserve"> induction: </w:t>
      </w:r>
      <w:r>
        <w:rPr>
          <w:rFonts w:ascii="Times New Roman" w:eastAsia="Times New Roman" w:hAnsi="Times New Roman" w:cs="Times New Roman"/>
          <w:color w:val="000000"/>
        </w:rPr>
        <w:t>Another primary, well-</w:t>
      </w:r>
      <w:proofErr w:type="spellStart"/>
      <w:r>
        <w:rPr>
          <w:rFonts w:ascii="Times New Roman" w:eastAsia="Times New Roman" w:hAnsi="Times New Roman" w:cs="Times New Roman"/>
          <w:color w:val="000000"/>
        </w:rPr>
        <w:t>characterised</w:t>
      </w:r>
      <w:proofErr w:type="spellEnd"/>
      <w:r>
        <w:rPr>
          <w:rFonts w:ascii="Times New Roman" w:eastAsia="Times New Roman" w:hAnsi="Times New Roman" w:cs="Times New Roman"/>
          <w:color w:val="000000"/>
        </w:rPr>
        <w:t xml:space="preserve"> pathway is the stimulation of the Keap1-Nrf2-ARE pathway. Nrf2 is released by many phytochemicals (</w:t>
      </w:r>
      <w:proofErr w:type="spellStart"/>
      <w:r>
        <w:rPr>
          <w:rFonts w:ascii="Times New Roman" w:eastAsia="Times New Roman" w:hAnsi="Times New Roman" w:cs="Times New Roman"/>
          <w:color w:val="000000"/>
        </w:rPr>
        <w:t>sulforaphane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curcumin</w:t>
      </w:r>
      <w:proofErr w:type="spellEnd"/>
      <w:r>
        <w:rPr>
          <w:rFonts w:ascii="Times New Roman" w:eastAsia="Times New Roman" w:hAnsi="Times New Roman" w:cs="Times New Roman"/>
          <w:color w:val="000000"/>
        </w:rPr>
        <w:t xml:space="preserve">, resveratrol, and a few flavonoids). Phytochemicals interactions with Keap1 (which is a protein that holds Nrf2) causes Nrf2 to be released and moved into the cell controlling part of the body (nucleus), where protective genes that produce enzymes like </w:t>
      </w:r>
      <w:proofErr w:type="spellStart"/>
      <w:r>
        <w:rPr>
          <w:rFonts w:ascii="Times New Roman" w:eastAsia="Times New Roman" w:hAnsi="Times New Roman" w:cs="Times New Roman"/>
          <w:color w:val="000000"/>
        </w:rPr>
        <w:t>heme</w:t>
      </w:r>
      <w:proofErr w:type="spellEnd"/>
      <w:r>
        <w:rPr>
          <w:rFonts w:ascii="Times New Roman" w:eastAsia="Times New Roman" w:hAnsi="Times New Roman" w:cs="Times New Roman"/>
          <w:color w:val="000000"/>
        </w:rPr>
        <w:t xml:space="preserve"> oxygenase-1 (HO-1), glutamate-cysteine ligase (GCL), glutathione S-</w:t>
      </w:r>
      <w:proofErr w:type="spellStart"/>
      <w:r>
        <w:rPr>
          <w:rFonts w:ascii="Times New Roman" w:eastAsia="Times New Roman" w:hAnsi="Times New Roman" w:cs="Times New Roman"/>
          <w:color w:val="000000"/>
        </w:rPr>
        <w:t>transferases</w:t>
      </w:r>
      <w:proofErr w:type="spellEnd"/>
      <w:r>
        <w:rPr>
          <w:rFonts w:ascii="Times New Roman" w:eastAsia="Times New Roman" w:hAnsi="Times New Roman" w:cs="Times New Roman"/>
          <w:color w:val="000000"/>
        </w:rPr>
        <w:t xml:space="preserve"> (GSTs), </w:t>
      </w:r>
      <w:proofErr w:type="gramStart"/>
      <w:r>
        <w:rPr>
          <w:rFonts w:ascii="Times New Roman" w:eastAsia="Times New Roman" w:hAnsi="Times New Roman" w:cs="Times New Roman"/>
          <w:color w:val="000000"/>
        </w:rPr>
        <w:t>NAD(</w:t>
      </w:r>
      <w:proofErr w:type="gramEnd"/>
      <w:r>
        <w:rPr>
          <w:rFonts w:ascii="Times New Roman" w:eastAsia="Times New Roman" w:hAnsi="Times New Roman" w:cs="Times New Roman"/>
          <w:color w:val="000000"/>
        </w:rPr>
        <w:t xml:space="preserve">P)H: </w:t>
      </w:r>
      <w:proofErr w:type="spellStart"/>
      <w:r>
        <w:rPr>
          <w:rFonts w:ascii="Times New Roman" w:eastAsia="Times New Roman" w:hAnsi="Times New Roman" w:cs="Times New Roman"/>
          <w:color w:val="000000"/>
        </w:rPr>
        <w:t>quinone</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oxidoreductase</w:t>
      </w:r>
      <w:proofErr w:type="spellEnd"/>
      <w:r>
        <w:rPr>
          <w:rFonts w:ascii="Times New Roman" w:eastAsia="Times New Roman" w:hAnsi="Times New Roman" w:cs="Times New Roman"/>
          <w:color w:val="000000"/>
        </w:rPr>
        <w:t xml:space="preserve"> 1 (NQO1) </w:t>
      </w:r>
      <w:proofErr w:type="spellStart"/>
      <w:r>
        <w:rPr>
          <w:rFonts w:ascii="Times New Roman" w:eastAsia="Times New Roman" w:hAnsi="Times New Roman" w:cs="Times New Roman"/>
          <w:color w:val="000000"/>
        </w:rPr>
        <w:t>etc</w:t>
      </w:r>
      <w:proofErr w:type="spellEnd"/>
      <w:r>
        <w:rPr>
          <w:rFonts w:ascii="Times New Roman" w:eastAsia="Times New Roman" w:hAnsi="Times New Roman" w:cs="Times New Roman"/>
          <w:color w:val="000000"/>
        </w:rPr>
        <w:t xml:space="preserve"> are triggered in response to fight toxins and Oxidative stress. Nrf2 activation has often been well recorded to have reduced ROS and enhanced the detoxification of electrophilic pollutants (and can indirectly increase the expression of </w:t>
      </w:r>
      <w:proofErr w:type="spellStart"/>
      <w:r>
        <w:rPr>
          <w:rFonts w:ascii="Times New Roman" w:eastAsia="Times New Roman" w:hAnsi="Times New Roman" w:cs="Times New Roman"/>
          <w:color w:val="000000"/>
        </w:rPr>
        <w:t>metallothionein</w:t>
      </w:r>
      <w:proofErr w:type="spellEnd"/>
      <w:r>
        <w:rPr>
          <w:rFonts w:ascii="Times New Roman" w:eastAsia="Times New Roman" w:hAnsi="Times New Roman" w:cs="Times New Roman"/>
          <w:color w:val="000000"/>
        </w:rPr>
        <w:t xml:space="preserve">). This process is chronically demonstrated by both cell and animal experiments, and this is one of the chief </w:t>
      </w:r>
      <w:r>
        <w:rPr>
          <w:rFonts w:ascii="Times New Roman" w:eastAsia="Times New Roman" w:hAnsi="Times New Roman" w:cs="Times New Roman"/>
          <w:color w:val="000000"/>
        </w:rPr>
        <w:lastRenderedPageBreak/>
        <w:t xml:space="preserve">reasons why dietary phytochemicals can offer long-term protection (Qin et al., 2022; </w:t>
      </w:r>
      <w:proofErr w:type="spellStart"/>
      <w:r>
        <w:rPr>
          <w:rFonts w:ascii="Times New Roman" w:eastAsia="Times New Roman" w:hAnsi="Times New Roman" w:cs="Times New Roman"/>
          <w:color w:val="000000"/>
        </w:rPr>
        <w:t>Scarano</w:t>
      </w:r>
      <w:proofErr w:type="spellEnd"/>
      <w:r>
        <w:rPr>
          <w:rFonts w:ascii="Times New Roman" w:eastAsia="Times New Roman" w:hAnsi="Times New Roman" w:cs="Times New Roman"/>
          <w:color w:val="000000"/>
        </w:rPr>
        <w:t xml:space="preserve"> et al., 2023). </w:t>
      </w:r>
    </w:p>
    <w:p w14:paraId="4102D1CE"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4. Anti-inflammatory Effects through NF-</w:t>
      </w:r>
      <w:proofErr w:type="spellStart"/>
      <w:r>
        <w:rPr>
          <w:rFonts w:ascii="Times New Roman" w:eastAsia="Times New Roman" w:hAnsi="Times New Roman" w:cs="Times New Roman"/>
          <w:b/>
          <w:color w:val="000000"/>
        </w:rPr>
        <w:t>kB</w:t>
      </w:r>
      <w:proofErr w:type="spellEnd"/>
      <w:r>
        <w:rPr>
          <w:rFonts w:ascii="Times New Roman" w:eastAsia="Times New Roman" w:hAnsi="Times New Roman" w:cs="Times New Roman"/>
          <w:b/>
          <w:color w:val="000000"/>
        </w:rPr>
        <w:t xml:space="preserve"> and its Associated Pathways: </w:t>
      </w:r>
      <w:r>
        <w:rPr>
          <w:rFonts w:ascii="Times New Roman" w:eastAsia="Times New Roman" w:hAnsi="Times New Roman" w:cs="Times New Roman"/>
          <w:color w:val="000000"/>
        </w:rPr>
        <w:t>Oxidative stress and inflammation are connected in a positive feedback chain; pollutants and metals tend to stimulate NF-</w:t>
      </w:r>
      <w:proofErr w:type="spellStart"/>
      <w:r>
        <w:rPr>
          <w:rFonts w:ascii="Times New Roman" w:eastAsia="Times New Roman" w:hAnsi="Times New Roman" w:cs="Times New Roman"/>
          <w:color w:val="000000"/>
        </w:rPr>
        <w:t>kB</w:t>
      </w:r>
      <w:proofErr w:type="spellEnd"/>
      <w:r>
        <w:rPr>
          <w:rFonts w:ascii="Times New Roman" w:eastAsia="Times New Roman" w:hAnsi="Times New Roman" w:cs="Times New Roman"/>
          <w:color w:val="000000"/>
        </w:rPr>
        <w:t xml:space="preserve"> and MAPK pathways, raising the level of inflammatory chemicals like cytokines</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e.g.</w:t>
      </w:r>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TNF-α, IL-6, IL-1β). However, when most phytochemicals are taken, they suppress NF-</w:t>
      </w:r>
      <w:proofErr w:type="spellStart"/>
      <w:r>
        <w:rPr>
          <w:rFonts w:ascii="Times New Roman" w:eastAsia="Times New Roman" w:hAnsi="Times New Roman" w:cs="Times New Roman"/>
          <w:color w:val="000000"/>
        </w:rPr>
        <w:t>kB</w:t>
      </w:r>
      <w:proofErr w:type="spellEnd"/>
      <w:r>
        <w:rPr>
          <w:rFonts w:ascii="Times New Roman" w:eastAsia="Times New Roman" w:hAnsi="Times New Roman" w:cs="Times New Roman"/>
          <w:color w:val="000000"/>
        </w:rPr>
        <w:t xml:space="preserve"> activation by the </w:t>
      </w:r>
      <w:proofErr w:type="spellStart"/>
      <w:r>
        <w:rPr>
          <w:rFonts w:ascii="Times New Roman" w:eastAsia="Times New Roman" w:hAnsi="Times New Roman" w:cs="Times New Roman"/>
          <w:color w:val="000000"/>
        </w:rPr>
        <w:t>stabilisation</w:t>
      </w:r>
      <w:proofErr w:type="spellEnd"/>
      <w:r>
        <w:rPr>
          <w:rFonts w:ascii="Times New Roman" w:eastAsia="Times New Roman" w:hAnsi="Times New Roman" w:cs="Times New Roman"/>
          <w:color w:val="000000"/>
        </w:rPr>
        <w:t xml:space="preserve"> of </w:t>
      </w:r>
      <w:proofErr w:type="spellStart"/>
      <w:r>
        <w:rPr>
          <w:rFonts w:ascii="Times New Roman" w:eastAsia="Times New Roman" w:hAnsi="Times New Roman" w:cs="Times New Roman"/>
          <w:color w:val="000000"/>
        </w:rPr>
        <w:t>IkB</w:t>
      </w:r>
      <w:proofErr w:type="spellEnd"/>
      <w:r>
        <w:rPr>
          <w:rFonts w:ascii="Times New Roman" w:eastAsia="Times New Roman" w:hAnsi="Times New Roman" w:cs="Times New Roman"/>
          <w:color w:val="000000"/>
        </w:rPr>
        <w:t xml:space="preserve"> (a protein that keeps NF-</w:t>
      </w:r>
      <w:proofErr w:type="spellStart"/>
      <w:r>
        <w:rPr>
          <w:rFonts w:ascii="Times New Roman" w:eastAsia="Times New Roman" w:hAnsi="Times New Roman" w:cs="Times New Roman"/>
          <w:color w:val="000000"/>
        </w:rPr>
        <w:t>kB</w:t>
      </w:r>
      <w:proofErr w:type="spellEnd"/>
      <w:r>
        <w:rPr>
          <w:rFonts w:ascii="Times New Roman" w:eastAsia="Times New Roman" w:hAnsi="Times New Roman" w:cs="Times New Roman"/>
          <w:color w:val="000000"/>
        </w:rPr>
        <w:t xml:space="preserve"> in control), inhibition of IKK (an enzyme that activates NF-</w:t>
      </w:r>
      <w:proofErr w:type="spellStart"/>
      <w:r>
        <w:rPr>
          <w:rFonts w:ascii="Times New Roman" w:eastAsia="Times New Roman" w:hAnsi="Times New Roman" w:cs="Times New Roman"/>
          <w:color w:val="000000"/>
        </w:rPr>
        <w:t>kB</w:t>
      </w:r>
      <w:proofErr w:type="spellEnd"/>
      <w:r>
        <w:rPr>
          <w:rFonts w:ascii="Times New Roman" w:eastAsia="Times New Roman" w:hAnsi="Times New Roman" w:cs="Times New Roman"/>
          <w:color w:val="000000"/>
        </w:rPr>
        <w:t>) or nuclear translocation, all of which suppresses the release of cytokines and subsequent oxidative damage. Anti-inflammatory actions reduce the secondary generation of ROS by immune cells and result in better tissue recovery following exposure. A number of reviews provide a summary of consistent in vitro and in vivo evidence regarding the NF-</w:t>
      </w:r>
      <w:proofErr w:type="spellStart"/>
      <w:r>
        <w:rPr>
          <w:rFonts w:ascii="Times New Roman" w:eastAsia="Times New Roman" w:hAnsi="Times New Roman" w:cs="Times New Roman"/>
          <w:color w:val="000000"/>
        </w:rPr>
        <w:t>kB</w:t>
      </w:r>
      <w:proofErr w:type="spellEnd"/>
      <w:r>
        <w:rPr>
          <w:rFonts w:ascii="Times New Roman" w:eastAsia="Times New Roman" w:hAnsi="Times New Roman" w:cs="Times New Roman"/>
          <w:color w:val="000000"/>
        </w:rPr>
        <w:t xml:space="preserve"> inhibitory effects of flavonoids, </w:t>
      </w:r>
      <w:proofErr w:type="spellStart"/>
      <w:r>
        <w:rPr>
          <w:rFonts w:ascii="Times New Roman" w:eastAsia="Times New Roman" w:hAnsi="Times New Roman" w:cs="Times New Roman"/>
          <w:color w:val="000000"/>
        </w:rPr>
        <w:t>curcumin</w:t>
      </w:r>
      <w:proofErr w:type="spellEnd"/>
      <w:r>
        <w:rPr>
          <w:rFonts w:ascii="Times New Roman" w:eastAsia="Times New Roman" w:hAnsi="Times New Roman" w:cs="Times New Roman"/>
          <w:color w:val="000000"/>
        </w:rPr>
        <w:t xml:space="preserve"> and other phytochemicals (</w:t>
      </w:r>
      <w:proofErr w:type="spellStart"/>
      <w:r>
        <w:rPr>
          <w:rFonts w:ascii="Times New Roman" w:eastAsia="Times New Roman" w:hAnsi="Times New Roman" w:cs="Times New Roman"/>
          <w:color w:val="000000"/>
        </w:rPr>
        <w:t>Laurindo</w:t>
      </w:r>
      <w:proofErr w:type="spellEnd"/>
      <w:r>
        <w:rPr>
          <w:rFonts w:ascii="Times New Roman" w:eastAsia="Times New Roman" w:hAnsi="Times New Roman" w:cs="Times New Roman"/>
          <w:color w:val="000000"/>
        </w:rPr>
        <w:t xml:space="preserve"> et al., 2023). </w:t>
      </w:r>
    </w:p>
    <w:p w14:paraId="2437AAC6"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5. Mitochondrial protection, </w:t>
      </w:r>
      <w:proofErr w:type="spellStart"/>
      <w:r>
        <w:rPr>
          <w:rFonts w:ascii="Times New Roman" w:eastAsia="Times New Roman" w:hAnsi="Times New Roman" w:cs="Times New Roman"/>
          <w:b/>
          <w:color w:val="000000"/>
        </w:rPr>
        <w:t>mitophagy</w:t>
      </w:r>
      <w:proofErr w:type="spellEnd"/>
      <w:r>
        <w:rPr>
          <w:rFonts w:ascii="Times New Roman" w:eastAsia="Times New Roman" w:hAnsi="Times New Roman" w:cs="Times New Roman"/>
          <w:b/>
          <w:color w:val="000000"/>
        </w:rPr>
        <w:t xml:space="preserve"> and </w:t>
      </w:r>
      <w:proofErr w:type="spellStart"/>
      <w:r>
        <w:rPr>
          <w:rFonts w:ascii="Times New Roman" w:eastAsia="Times New Roman" w:hAnsi="Times New Roman" w:cs="Times New Roman"/>
          <w:b/>
          <w:color w:val="000000"/>
        </w:rPr>
        <w:t>bioenergetic</w:t>
      </w:r>
      <w:proofErr w:type="spellEnd"/>
      <w:r>
        <w:rPr>
          <w:rFonts w:ascii="Times New Roman" w:eastAsia="Times New Roman" w:hAnsi="Times New Roman" w:cs="Times New Roman"/>
          <w:b/>
          <w:color w:val="000000"/>
        </w:rPr>
        <w:t xml:space="preserve"> preservation: </w:t>
      </w:r>
      <w:r>
        <w:rPr>
          <w:rFonts w:ascii="Times New Roman" w:eastAsia="Times New Roman" w:hAnsi="Times New Roman" w:cs="Times New Roman"/>
          <w:color w:val="000000"/>
        </w:rPr>
        <w:t xml:space="preserve">Mitochondria are frequently the target of pollutants and heavy metals, leading to membrane </w:t>
      </w:r>
      <w:proofErr w:type="spellStart"/>
      <w:r>
        <w:rPr>
          <w:rFonts w:ascii="Times New Roman" w:eastAsia="Times New Roman" w:hAnsi="Times New Roman" w:cs="Times New Roman"/>
          <w:color w:val="000000"/>
        </w:rPr>
        <w:t>depolarisation</w:t>
      </w:r>
      <w:proofErr w:type="spellEnd"/>
      <w:r>
        <w:rPr>
          <w:rFonts w:ascii="Times New Roman" w:eastAsia="Times New Roman" w:hAnsi="Times New Roman" w:cs="Times New Roman"/>
          <w:color w:val="000000"/>
        </w:rPr>
        <w:t xml:space="preserve">, electron transport chain (ETC) leakage and mitochondrial overproduction of ROS. Phytochemicals have the potential to (a) maintain mitochondrial membrane potential and ETC activity, (b) induce mitochondrial biogenesis, growing new mitochondria (PGC-1 pathways), and (c) induce </w:t>
      </w:r>
      <w:proofErr w:type="spellStart"/>
      <w:r>
        <w:rPr>
          <w:rFonts w:ascii="Times New Roman" w:eastAsia="Times New Roman" w:hAnsi="Times New Roman" w:cs="Times New Roman"/>
          <w:color w:val="000000"/>
        </w:rPr>
        <w:t>mitophagy</w:t>
      </w:r>
      <w:proofErr w:type="spellEnd"/>
      <w:r>
        <w:rPr>
          <w:rFonts w:ascii="Times New Roman" w:eastAsia="Times New Roman" w:hAnsi="Times New Roman" w:cs="Times New Roman"/>
          <w:color w:val="000000"/>
        </w:rPr>
        <w:t xml:space="preserve"> (the process of removing damaged mitochondria). These effects restrict mitochondrial ROS release, preserve ATP generation, and inhibit cell death pathways, all of which are mediated by phytochemicals. These facts are supported by evidence in laboratories and animal models of mitochondrial dysfunction that are decreased with the treatment using phytochemicals (Chen et al., 2023). </w:t>
      </w:r>
    </w:p>
    <w:p w14:paraId="069F3231"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6. Xenobiotic metabolic modulation, </w:t>
      </w:r>
      <w:proofErr w:type="spellStart"/>
      <w:r>
        <w:rPr>
          <w:rFonts w:ascii="Times New Roman" w:eastAsia="Times New Roman" w:hAnsi="Times New Roman" w:cs="Times New Roman"/>
          <w:b/>
          <w:color w:val="000000"/>
        </w:rPr>
        <w:t>metallothioneins</w:t>
      </w:r>
      <w:proofErr w:type="spellEnd"/>
      <w:r>
        <w:rPr>
          <w:rFonts w:ascii="Times New Roman" w:eastAsia="Times New Roman" w:hAnsi="Times New Roman" w:cs="Times New Roman"/>
          <w:b/>
          <w:color w:val="000000"/>
        </w:rPr>
        <w:t xml:space="preserve"> and metal handling: </w:t>
      </w:r>
      <w:r>
        <w:rPr>
          <w:rFonts w:ascii="Times New Roman" w:eastAsia="Times New Roman" w:hAnsi="Times New Roman" w:cs="Times New Roman"/>
          <w:color w:val="000000"/>
        </w:rPr>
        <w:t xml:space="preserve">Phytochemicals also affect phase-I and phase-II metabolism (CYPs, UGTs, </w:t>
      </w:r>
      <w:proofErr w:type="gramStart"/>
      <w:r>
        <w:rPr>
          <w:rFonts w:ascii="Times New Roman" w:eastAsia="Times New Roman" w:hAnsi="Times New Roman" w:cs="Times New Roman"/>
          <w:color w:val="000000"/>
        </w:rPr>
        <w:t>GSTs</w:t>
      </w:r>
      <w:proofErr w:type="gramEnd"/>
      <w:r>
        <w:rPr>
          <w:rFonts w:ascii="Times New Roman" w:eastAsia="Times New Roman" w:hAnsi="Times New Roman" w:cs="Times New Roman"/>
          <w:color w:val="000000"/>
        </w:rPr>
        <w:t xml:space="preserve">) and transporters, which alter the </w:t>
      </w:r>
      <w:proofErr w:type="spellStart"/>
      <w:r>
        <w:rPr>
          <w:rFonts w:ascii="Times New Roman" w:eastAsia="Times New Roman" w:hAnsi="Times New Roman" w:cs="Times New Roman"/>
          <w:color w:val="000000"/>
        </w:rPr>
        <w:t>bioactivation</w:t>
      </w:r>
      <w:proofErr w:type="spellEnd"/>
      <w:r>
        <w:rPr>
          <w:rFonts w:ascii="Times New Roman" w:eastAsia="Times New Roman" w:hAnsi="Times New Roman" w:cs="Times New Roman"/>
          <w:color w:val="000000"/>
        </w:rPr>
        <w:t xml:space="preserve"> or clearance of the body toxins. They also bind to metal-binding proteins: in plants, </w:t>
      </w:r>
      <w:proofErr w:type="spellStart"/>
      <w:r>
        <w:rPr>
          <w:rFonts w:ascii="Times New Roman" w:eastAsia="Times New Roman" w:hAnsi="Times New Roman" w:cs="Times New Roman"/>
          <w:color w:val="000000"/>
        </w:rPr>
        <w:t>phytochelatins</w:t>
      </w:r>
      <w:proofErr w:type="spellEnd"/>
      <w:r>
        <w:rPr>
          <w:rFonts w:ascii="Times New Roman" w:eastAsia="Times New Roman" w:hAnsi="Times New Roman" w:cs="Times New Roman"/>
          <w:color w:val="000000"/>
        </w:rPr>
        <w:t xml:space="preserve"> store metals; in animals, </w:t>
      </w:r>
      <w:proofErr w:type="spellStart"/>
      <w:r>
        <w:rPr>
          <w:rFonts w:ascii="Times New Roman" w:eastAsia="Times New Roman" w:hAnsi="Times New Roman" w:cs="Times New Roman"/>
          <w:color w:val="000000"/>
        </w:rPr>
        <w:t>phytochelatin</w:t>
      </w:r>
      <w:proofErr w:type="spellEnd"/>
      <w:r>
        <w:rPr>
          <w:rFonts w:ascii="Times New Roman" w:eastAsia="Times New Roman" w:hAnsi="Times New Roman" w:cs="Times New Roman"/>
          <w:color w:val="000000"/>
        </w:rPr>
        <w:t xml:space="preserve">-mediated Nrf2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may enhance the expression of </w:t>
      </w:r>
      <w:proofErr w:type="spellStart"/>
      <w:r>
        <w:rPr>
          <w:rFonts w:ascii="Times New Roman" w:eastAsia="Times New Roman" w:hAnsi="Times New Roman" w:cs="Times New Roman"/>
          <w:color w:val="000000"/>
        </w:rPr>
        <w:t>metallothionein</w:t>
      </w:r>
      <w:proofErr w:type="spellEnd"/>
      <w:r>
        <w:rPr>
          <w:rFonts w:ascii="Times New Roman" w:eastAsia="Times New Roman" w:hAnsi="Times New Roman" w:cs="Times New Roman"/>
          <w:color w:val="000000"/>
        </w:rPr>
        <w:t xml:space="preserve"> and GST, enhancing metal sequestration and detoxification. Certain </w:t>
      </w:r>
      <w:r>
        <w:rPr>
          <w:rFonts w:ascii="Times New Roman" w:eastAsia="Times New Roman" w:hAnsi="Times New Roman" w:cs="Times New Roman"/>
          <w:color w:val="000000"/>
        </w:rPr>
        <w:lastRenderedPageBreak/>
        <w:t xml:space="preserve">phytochemicals have been demonstrated to influence </w:t>
      </w:r>
      <w:proofErr w:type="gramStart"/>
      <w:r>
        <w:rPr>
          <w:rFonts w:ascii="Times New Roman" w:eastAsia="Times New Roman" w:hAnsi="Times New Roman" w:cs="Times New Roman"/>
          <w:color w:val="000000"/>
        </w:rPr>
        <w:t>Fecal</w:t>
      </w:r>
      <w:proofErr w:type="gramEnd"/>
      <w:r>
        <w:rPr>
          <w:rFonts w:ascii="Times New Roman" w:eastAsia="Times New Roman" w:hAnsi="Times New Roman" w:cs="Times New Roman"/>
          <w:color w:val="000000"/>
        </w:rPr>
        <w:t xml:space="preserve"> excretion, thereby decreasing tissue loads. The interactions of these modulatory effects alter </w:t>
      </w:r>
      <w:proofErr w:type="spellStart"/>
      <w:r>
        <w:rPr>
          <w:rFonts w:ascii="Times New Roman" w:eastAsia="Times New Roman" w:hAnsi="Times New Roman" w:cs="Times New Roman"/>
          <w:color w:val="000000"/>
        </w:rPr>
        <w:t>toxicokinetics</w:t>
      </w:r>
      <w:proofErr w:type="spellEnd"/>
      <w:r>
        <w:rPr>
          <w:rFonts w:ascii="Times New Roman" w:eastAsia="Times New Roman" w:hAnsi="Times New Roman" w:cs="Times New Roman"/>
          <w:color w:val="000000"/>
        </w:rPr>
        <w:t xml:space="preserve"> and decrease net exposure of vital body tissues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 </w:t>
      </w:r>
    </w:p>
    <w:p w14:paraId="2455477C"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 xml:space="preserve">7. Secondary metabolites and biotransformation of gut </w:t>
      </w:r>
      <w:proofErr w:type="spellStart"/>
      <w:r>
        <w:rPr>
          <w:rFonts w:ascii="Times New Roman" w:eastAsia="Times New Roman" w:hAnsi="Times New Roman" w:cs="Times New Roman"/>
          <w:b/>
          <w:color w:val="000000"/>
        </w:rPr>
        <w:t>microbiota</w:t>
      </w:r>
      <w:proofErr w:type="spellEnd"/>
      <w:r>
        <w:rPr>
          <w:rFonts w:ascii="Times New Roman" w:eastAsia="Times New Roman" w:hAnsi="Times New Roman" w:cs="Times New Roman"/>
          <w:b/>
          <w:color w:val="000000"/>
        </w:rPr>
        <w:t xml:space="preserve">: </w:t>
      </w:r>
      <w:r>
        <w:rPr>
          <w:rFonts w:ascii="Times New Roman" w:eastAsia="Times New Roman" w:hAnsi="Times New Roman" w:cs="Times New Roman"/>
          <w:color w:val="000000"/>
        </w:rPr>
        <w:t xml:space="preserve">A vast proportion of polyphenols are absorbed or deposited in the colon, where gut microbes convert them to smaller and more bioactive metabolites (e.g., </w:t>
      </w:r>
      <w:proofErr w:type="spellStart"/>
      <w:r>
        <w:rPr>
          <w:rFonts w:ascii="Times New Roman" w:eastAsia="Times New Roman" w:hAnsi="Times New Roman" w:cs="Times New Roman"/>
          <w:color w:val="000000"/>
        </w:rPr>
        <w:t>urolithins</w:t>
      </w:r>
      <w:proofErr w:type="spellEnd"/>
      <w:r>
        <w:rPr>
          <w:rFonts w:ascii="Times New Roman" w:eastAsia="Times New Roman" w:hAnsi="Times New Roman" w:cs="Times New Roman"/>
          <w:color w:val="000000"/>
        </w:rPr>
        <w:t xml:space="preserve">, phenolic acids). These microbial metabolites may be of distinct antioxidant, anti-inflammatory and metal-modulating properties and can enter systemic circulation. In particular, inter-individual variations in </w:t>
      </w:r>
      <w:proofErr w:type="spellStart"/>
      <w:r>
        <w:rPr>
          <w:rFonts w:ascii="Times New Roman" w:eastAsia="Times New Roman" w:hAnsi="Times New Roman" w:cs="Times New Roman"/>
          <w:color w:val="000000"/>
        </w:rPr>
        <w:t>microbiota</w:t>
      </w:r>
      <w:proofErr w:type="spellEnd"/>
      <w:r>
        <w:rPr>
          <w:rFonts w:ascii="Times New Roman" w:eastAsia="Times New Roman" w:hAnsi="Times New Roman" w:cs="Times New Roman"/>
          <w:color w:val="000000"/>
        </w:rPr>
        <w:t xml:space="preserve"> (since humans’ gut bacteria are different from each other, ‘’</w:t>
      </w:r>
      <w:proofErr w:type="spellStart"/>
      <w:r>
        <w:rPr>
          <w:rFonts w:ascii="Times New Roman" w:eastAsia="Times New Roman" w:hAnsi="Times New Roman" w:cs="Times New Roman"/>
          <w:color w:val="000000"/>
        </w:rPr>
        <w:t>metabotypes</w:t>
      </w:r>
      <w:proofErr w:type="spellEnd"/>
      <w:r>
        <w:rPr>
          <w:rFonts w:ascii="Times New Roman" w:eastAsia="Times New Roman" w:hAnsi="Times New Roman" w:cs="Times New Roman"/>
          <w:color w:val="000000"/>
        </w:rPr>
        <w:t>’), thus the protective effects of dietary phytochemicals are limited, contributing to the inconsistent findings across studies. Reviews describe this two-way polyphenol-</w:t>
      </w:r>
      <w:proofErr w:type="spellStart"/>
      <w:r>
        <w:rPr>
          <w:rFonts w:ascii="Times New Roman" w:eastAsia="Times New Roman" w:hAnsi="Times New Roman" w:cs="Times New Roman"/>
          <w:color w:val="000000"/>
        </w:rPr>
        <w:t>microbiota</w:t>
      </w:r>
      <w:proofErr w:type="spellEnd"/>
      <w:r>
        <w:rPr>
          <w:rFonts w:ascii="Times New Roman" w:eastAsia="Times New Roman" w:hAnsi="Times New Roman" w:cs="Times New Roman"/>
          <w:color w:val="000000"/>
        </w:rPr>
        <w:t xml:space="preserve"> interaction (</w:t>
      </w:r>
      <w:r>
        <w:rPr>
          <w:rFonts w:ascii="Times New Roman" w:eastAsia="Times New Roman" w:hAnsi="Times New Roman" w:cs="Times New Roman"/>
          <w:color w:val="000000"/>
          <w:highlight w:val="white"/>
        </w:rPr>
        <w:t xml:space="preserve">da C. </w:t>
      </w:r>
      <w:proofErr w:type="spellStart"/>
      <w:r>
        <w:rPr>
          <w:rFonts w:ascii="Times New Roman" w:eastAsia="Times New Roman" w:hAnsi="Times New Roman" w:cs="Times New Roman"/>
          <w:color w:val="000000"/>
          <w:highlight w:val="white"/>
        </w:rPr>
        <w:t>Pinaffi</w:t>
      </w:r>
      <w:proofErr w:type="spellEnd"/>
      <w:r>
        <w:rPr>
          <w:rFonts w:ascii="Times New Roman" w:eastAsia="Times New Roman" w:hAnsi="Times New Roman" w:cs="Times New Roman"/>
          <w:color w:val="000000"/>
          <w:highlight w:val="white"/>
        </w:rPr>
        <w:t>-Langley et al., 2024)</w:t>
      </w:r>
      <w:r>
        <w:rPr>
          <w:rFonts w:ascii="Times New Roman" w:eastAsia="Times New Roman" w:hAnsi="Times New Roman" w:cs="Times New Roman"/>
          <w:color w:val="000000"/>
        </w:rPr>
        <w:t xml:space="preserve">. </w:t>
      </w:r>
    </w:p>
    <w:p w14:paraId="76A43709"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b/>
          <w:color w:val="000000"/>
        </w:rPr>
        <w:t xml:space="preserve">8. </w:t>
      </w:r>
      <w:proofErr w:type="spellStart"/>
      <w:r>
        <w:rPr>
          <w:rFonts w:ascii="Times New Roman" w:eastAsia="Times New Roman" w:hAnsi="Times New Roman" w:cs="Times New Roman"/>
          <w:b/>
          <w:color w:val="000000"/>
        </w:rPr>
        <w:t>Hormesis</w:t>
      </w:r>
      <w:proofErr w:type="spellEnd"/>
      <w:r>
        <w:rPr>
          <w:rFonts w:ascii="Times New Roman" w:eastAsia="Times New Roman" w:hAnsi="Times New Roman" w:cs="Times New Roman"/>
          <w:b/>
          <w:color w:val="000000"/>
        </w:rPr>
        <w:t>, dose consideration, and synergy:</w:t>
      </w:r>
      <w:r>
        <w:rPr>
          <w:rFonts w:ascii="Times New Roman" w:eastAsia="Times New Roman" w:hAnsi="Times New Roman" w:cs="Times New Roman"/>
          <w:color w:val="000000"/>
        </w:rPr>
        <w:t xml:space="preserve"> Most phytochemicals also behave in a </w:t>
      </w:r>
      <w:proofErr w:type="spellStart"/>
      <w:r>
        <w:rPr>
          <w:rFonts w:ascii="Times New Roman" w:eastAsia="Times New Roman" w:hAnsi="Times New Roman" w:cs="Times New Roman"/>
          <w:color w:val="000000"/>
        </w:rPr>
        <w:t>hormetic</w:t>
      </w:r>
      <w:proofErr w:type="spellEnd"/>
      <w:r>
        <w:rPr>
          <w:rFonts w:ascii="Times New Roman" w:eastAsia="Times New Roman" w:hAnsi="Times New Roman" w:cs="Times New Roman"/>
          <w:color w:val="000000"/>
        </w:rPr>
        <w:t xml:space="preserve"> way: low-to-moderate doses cause adaptive stress responses (Nrf2 induction, mitochondrial quality control) and extremely high doses can be pro-oxidant. Phytochemicals can work synergistically with vitamins, minerals and other micronutrients when ingested in whole foods to generate extended and more stable protection compared to isolated supplements. Thus, balanced diets tend to be more successful in resilience to oxidative stress when compared to single-compound interventions. To obtain the best performance in human use, it is thus believed that close attention is taken to dosage, co-factors, formulation and timing. Taken together, phytochemicals work in a combination of different interrelated actions: they </w:t>
      </w:r>
      <w:proofErr w:type="spellStart"/>
      <w:r>
        <w:rPr>
          <w:rFonts w:ascii="Times New Roman" w:eastAsia="Times New Roman" w:hAnsi="Times New Roman" w:cs="Times New Roman"/>
          <w:color w:val="000000"/>
        </w:rPr>
        <w:t>neutralise</w:t>
      </w:r>
      <w:proofErr w:type="spellEnd"/>
      <w:r>
        <w:rPr>
          <w:rFonts w:ascii="Times New Roman" w:eastAsia="Times New Roman" w:hAnsi="Times New Roman" w:cs="Times New Roman"/>
          <w:color w:val="000000"/>
        </w:rPr>
        <w:t xml:space="preserve"> free radicals, bind and deactivate toxic metals, activate the body's internal </w:t>
      </w:r>
      <w:proofErr w:type="spellStart"/>
      <w:r>
        <w:rPr>
          <w:rFonts w:ascii="Times New Roman" w:eastAsia="Times New Roman" w:hAnsi="Times New Roman" w:cs="Times New Roman"/>
          <w:color w:val="000000"/>
        </w:rPr>
        <w:t>defence</w:t>
      </w:r>
      <w:proofErr w:type="spellEnd"/>
      <w:r>
        <w:rPr>
          <w:rFonts w:ascii="Times New Roman" w:eastAsia="Times New Roman" w:hAnsi="Times New Roman" w:cs="Times New Roman"/>
          <w:color w:val="000000"/>
        </w:rPr>
        <w:t xml:space="preserve"> systems, suppress inflammation, protect mitochondrial integrity, facilitate detoxification, and balance gut </w:t>
      </w:r>
      <w:proofErr w:type="spellStart"/>
      <w:r>
        <w:rPr>
          <w:rFonts w:ascii="Times New Roman" w:eastAsia="Times New Roman" w:hAnsi="Times New Roman" w:cs="Times New Roman"/>
          <w:color w:val="000000"/>
        </w:rPr>
        <w:t>microbiota</w:t>
      </w:r>
      <w:proofErr w:type="spellEnd"/>
      <w:r>
        <w:rPr>
          <w:rFonts w:ascii="Times New Roman" w:eastAsia="Times New Roman" w:hAnsi="Times New Roman" w:cs="Times New Roman"/>
          <w:color w:val="000000"/>
        </w:rPr>
        <w:t>. All these efforts enhance the adaptive ability of the body and general resistance to environmental toxins with time</w:t>
      </w:r>
    </w:p>
    <w:p w14:paraId="14E0500E" w14:textId="77777777" w:rsidR="005B1101" w:rsidRDefault="005B1101">
      <w:pPr>
        <w:spacing w:before="240" w:after="240"/>
        <w:jc w:val="both"/>
        <w:rPr>
          <w:rFonts w:ascii="Times New Roman" w:eastAsia="Times New Roman" w:hAnsi="Times New Roman" w:cs="Times New Roman"/>
          <w:color w:val="000000"/>
        </w:rPr>
      </w:pPr>
    </w:p>
    <w:p w14:paraId="7C6BDF41" w14:textId="77777777" w:rsidR="005B1101" w:rsidRDefault="005B1101">
      <w:pPr>
        <w:spacing w:before="240" w:after="240"/>
        <w:jc w:val="both"/>
        <w:rPr>
          <w:rFonts w:ascii="Times New Roman" w:eastAsia="Times New Roman" w:hAnsi="Times New Roman" w:cs="Times New Roman"/>
          <w:color w:val="000000"/>
        </w:rPr>
      </w:pPr>
    </w:p>
    <w:p w14:paraId="5160CD54" w14:textId="77777777" w:rsidR="005B1101" w:rsidRDefault="005B1101">
      <w:pPr>
        <w:spacing w:before="240" w:after="240"/>
        <w:jc w:val="both"/>
        <w:rPr>
          <w:rFonts w:ascii="Times New Roman" w:eastAsia="Times New Roman" w:hAnsi="Times New Roman" w:cs="Times New Roman"/>
          <w:color w:val="000000"/>
        </w:rPr>
      </w:pPr>
    </w:p>
    <w:p w14:paraId="09B1EE27" w14:textId="77777777" w:rsidR="005B1101" w:rsidRDefault="005B1101">
      <w:pPr>
        <w:spacing w:before="240" w:after="240"/>
        <w:jc w:val="both"/>
        <w:rPr>
          <w:rFonts w:ascii="Times New Roman" w:eastAsia="Times New Roman" w:hAnsi="Times New Roman" w:cs="Times New Roman"/>
          <w:color w:val="000000"/>
        </w:rPr>
      </w:pPr>
    </w:p>
    <w:p w14:paraId="0A0A1175" w14:textId="77777777" w:rsidR="005B1101" w:rsidRDefault="005B1101">
      <w:pPr>
        <w:spacing w:before="240" w:after="240"/>
        <w:jc w:val="both"/>
        <w:rPr>
          <w:rFonts w:ascii="Times New Roman" w:eastAsia="Times New Roman" w:hAnsi="Times New Roman" w:cs="Times New Roman"/>
          <w:color w:val="000000"/>
        </w:rPr>
      </w:pPr>
    </w:p>
    <w:p w14:paraId="3F4C6D53" w14:textId="77777777" w:rsidR="005B1101" w:rsidRDefault="005B1101">
      <w:pPr>
        <w:spacing w:before="240" w:after="240"/>
        <w:jc w:val="both"/>
        <w:rPr>
          <w:rFonts w:ascii="Times New Roman" w:eastAsia="Times New Roman" w:hAnsi="Times New Roman" w:cs="Times New Roman"/>
          <w:color w:val="000000"/>
        </w:rPr>
      </w:pPr>
    </w:p>
    <w:p w14:paraId="720AEF5A" w14:textId="77777777" w:rsidR="005B1101" w:rsidRDefault="005B1101">
      <w:pPr>
        <w:spacing w:before="240" w:after="240"/>
        <w:jc w:val="both"/>
        <w:rPr>
          <w:rFonts w:ascii="Times New Roman" w:eastAsia="Times New Roman" w:hAnsi="Times New Roman" w:cs="Times New Roman"/>
          <w:color w:val="000000"/>
        </w:rPr>
      </w:pPr>
    </w:p>
    <w:p w14:paraId="288D469C" w14:textId="77777777" w:rsidR="005B1101" w:rsidRDefault="005B1101">
      <w:pPr>
        <w:spacing w:before="240" w:after="240"/>
        <w:jc w:val="both"/>
        <w:rPr>
          <w:rFonts w:ascii="Times New Roman" w:eastAsia="Times New Roman" w:hAnsi="Times New Roman" w:cs="Times New Roman"/>
          <w:color w:val="000000"/>
        </w:rPr>
      </w:pPr>
    </w:p>
    <w:p w14:paraId="4EDA8C56" w14:textId="77777777" w:rsidR="005B1101" w:rsidRDefault="005B1101">
      <w:pPr>
        <w:spacing w:before="240" w:after="240"/>
        <w:jc w:val="both"/>
        <w:rPr>
          <w:rFonts w:ascii="Times New Roman" w:eastAsia="Times New Roman" w:hAnsi="Times New Roman" w:cs="Times New Roman"/>
          <w:color w:val="000000"/>
        </w:rPr>
      </w:pPr>
    </w:p>
    <w:p w14:paraId="3146ABE4" w14:textId="77777777" w:rsidR="005B1101" w:rsidRDefault="005B1101">
      <w:pPr>
        <w:spacing w:before="240" w:after="240"/>
        <w:jc w:val="both"/>
        <w:rPr>
          <w:rFonts w:ascii="Times New Roman" w:eastAsia="Times New Roman" w:hAnsi="Times New Roman" w:cs="Times New Roman"/>
          <w:color w:val="000000"/>
        </w:rPr>
      </w:pPr>
    </w:p>
    <w:p w14:paraId="7F3D0BD6" w14:textId="77777777" w:rsidR="005B1101" w:rsidRDefault="005B1101">
      <w:pPr>
        <w:spacing w:before="240" w:after="240"/>
        <w:jc w:val="both"/>
        <w:rPr>
          <w:rFonts w:ascii="Times New Roman" w:eastAsia="Times New Roman" w:hAnsi="Times New Roman" w:cs="Times New Roman"/>
          <w:color w:val="000000"/>
        </w:rPr>
      </w:pPr>
    </w:p>
    <w:p w14:paraId="63FC11EB" w14:textId="77777777" w:rsidR="005B1101" w:rsidRDefault="005B1101">
      <w:pPr>
        <w:spacing w:before="240" w:after="240"/>
        <w:jc w:val="both"/>
        <w:rPr>
          <w:rFonts w:ascii="Times New Roman" w:eastAsia="Times New Roman" w:hAnsi="Times New Roman" w:cs="Times New Roman"/>
          <w:color w:val="000000"/>
        </w:rPr>
      </w:pPr>
    </w:p>
    <w:p w14:paraId="584843E7" w14:textId="77777777" w:rsidR="005B1101" w:rsidRDefault="00C5085B">
      <w:pPr>
        <w:spacing w:before="240" w:after="240"/>
        <w:jc w:val="both"/>
        <w:rPr>
          <w:rFonts w:ascii="Times New Roman" w:eastAsia="Times New Roman" w:hAnsi="Times New Roman" w:cs="Times New Roman"/>
          <w:color w:val="000000"/>
        </w:rPr>
        <w:sectPr w:rsidR="005B1101">
          <w:type w:val="continuous"/>
          <w:pgSz w:w="11909" w:h="16834"/>
          <w:pgMar w:top="720" w:right="720" w:bottom="720" w:left="720" w:header="720" w:footer="720" w:gutter="0"/>
          <w:cols w:num="2" w:space="720" w:equalWidth="0">
            <w:col w:w="4874" w:space="720"/>
            <w:col w:w="4874" w:space="0"/>
          </w:cols>
        </w:sectPr>
      </w:pPr>
      <w:r>
        <w:rPr>
          <w:rFonts w:ascii="Times New Roman" w:eastAsia="Times New Roman" w:hAnsi="Times New Roman" w:cs="Times New Roman"/>
          <w:color w:val="000000"/>
        </w:rPr>
        <w:t>.</w:t>
      </w:r>
    </w:p>
    <w:p w14:paraId="6761E575" w14:textId="77777777" w:rsidR="005B1101" w:rsidRDefault="00C5085B">
      <w:pPr>
        <w:spacing w:before="240" w:after="240"/>
        <w:jc w:val="center"/>
        <w:rPr>
          <w:rFonts w:ascii="Times New Roman" w:eastAsia="Times New Roman" w:hAnsi="Times New Roman" w:cs="Times New Roman"/>
          <w:color w:val="000000"/>
        </w:rPr>
      </w:pPr>
      <w:r>
        <w:rPr>
          <w:noProof/>
        </w:rPr>
        <w:lastRenderedPageBreak/>
        <w:drawing>
          <wp:inline distT="0" distB="0" distL="0" distR="0" wp14:anchorId="34C2B539" wp14:editId="2CAF29BE">
            <wp:extent cx="5343558" cy="3981764"/>
            <wp:effectExtent l="0" t="0" r="0" b="0"/>
            <wp:docPr id="6" name="image5.png" descr="Fig. 5."/>
            <wp:cNvGraphicFramePr/>
            <a:graphic xmlns:a="http://schemas.openxmlformats.org/drawingml/2006/main">
              <a:graphicData uri="http://schemas.openxmlformats.org/drawingml/2006/picture">
                <pic:pic xmlns:pic="http://schemas.openxmlformats.org/drawingml/2006/picture">
                  <pic:nvPicPr>
                    <pic:cNvPr id="0" name="image5.png" descr="Fig. 5."/>
                    <pic:cNvPicPr preferRelativeResize="0"/>
                  </pic:nvPicPr>
                  <pic:blipFill>
                    <a:blip r:embed="rId17"/>
                    <a:srcRect/>
                    <a:stretch>
                      <a:fillRect/>
                    </a:stretch>
                  </pic:blipFill>
                  <pic:spPr>
                    <a:xfrm>
                      <a:off x="0" y="0"/>
                      <a:ext cx="5343558" cy="3981764"/>
                    </a:xfrm>
                    <a:prstGeom prst="rect">
                      <a:avLst/>
                    </a:prstGeom>
                    <a:ln/>
                  </pic:spPr>
                </pic:pic>
              </a:graphicData>
            </a:graphic>
          </wp:inline>
        </w:drawing>
      </w:r>
    </w:p>
    <w:p w14:paraId="31ACB2F7" w14:textId="77777777" w:rsidR="005B1101" w:rsidRDefault="00C5085B">
      <w:pPr>
        <w:spacing w:before="240" w:after="240"/>
        <w:jc w:val="center"/>
        <w:rPr>
          <w:rFonts w:ascii="Times New Roman" w:eastAsia="Times New Roman" w:hAnsi="Times New Roman" w:cs="Times New Roman"/>
          <w:color w:val="000000"/>
        </w:rPr>
      </w:pPr>
      <w:r>
        <w:rPr>
          <w:rFonts w:ascii="Times New Roman" w:eastAsia="Times New Roman" w:hAnsi="Times New Roman" w:cs="Times New Roman"/>
          <w:noProof/>
          <w:color w:val="000000"/>
        </w:rPr>
        <w:drawing>
          <wp:inline distT="0" distB="0" distL="0" distR="0" wp14:anchorId="56E1364A" wp14:editId="18EC8DAD">
            <wp:extent cx="5304856" cy="3142850"/>
            <wp:effectExtent l="0" t="0" r="0" b="0"/>
            <wp:docPr id="5"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18"/>
                    <a:srcRect/>
                    <a:stretch>
                      <a:fillRect/>
                    </a:stretch>
                  </pic:blipFill>
                  <pic:spPr>
                    <a:xfrm>
                      <a:off x="0" y="0"/>
                      <a:ext cx="5304856" cy="3142850"/>
                    </a:xfrm>
                    <a:prstGeom prst="rect">
                      <a:avLst/>
                    </a:prstGeom>
                    <a:ln/>
                  </pic:spPr>
                </pic:pic>
              </a:graphicData>
            </a:graphic>
          </wp:inline>
        </w:drawing>
      </w:r>
    </w:p>
    <w:p w14:paraId="495A7211" w14:textId="77777777" w:rsidR="005B1101" w:rsidRDefault="00C5085B">
      <w:pPr>
        <w:spacing w:before="240" w:after="240"/>
        <w:jc w:val="both"/>
        <w:rPr>
          <w:rFonts w:ascii="Times New Roman" w:eastAsia="Times New Roman" w:hAnsi="Times New Roman" w:cs="Times New Roman"/>
          <w:i/>
        </w:rPr>
      </w:pPr>
      <w:r>
        <w:rPr>
          <w:rFonts w:ascii="Times New Roman" w:eastAsia="Times New Roman" w:hAnsi="Times New Roman" w:cs="Times New Roman"/>
          <w:b/>
          <w:i/>
        </w:rPr>
        <w:lastRenderedPageBreak/>
        <w:t>Figure 4&amp;5:</w:t>
      </w:r>
      <w:r>
        <w:rPr>
          <w:rFonts w:ascii="Times New Roman" w:eastAsia="Times New Roman" w:hAnsi="Times New Roman" w:cs="Times New Roman"/>
          <w:i/>
        </w:rPr>
        <w:t xml:space="preserve"> Phytochemicals, e.g. </w:t>
      </w:r>
      <w:proofErr w:type="spellStart"/>
      <w:r>
        <w:rPr>
          <w:rFonts w:ascii="Times New Roman" w:eastAsia="Times New Roman" w:hAnsi="Times New Roman" w:cs="Times New Roman"/>
          <w:i/>
        </w:rPr>
        <w:t>sulforaphane</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curcumin</w:t>
      </w:r>
      <w:proofErr w:type="spellEnd"/>
      <w:r>
        <w:rPr>
          <w:rFonts w:ascii="Times New Roman" w:eastAsia="Times New Roman" w:hAnsi="Times New Roman" w:cs="Times New Roman"/>
          <w:i/>
        </w:rPr>
        <w:t>, can modify the Nrf2 and NF-</w:t>
      </w:r>
      <w:proofErr w:type="spellStart"/>
      <w:r>
        <w:rPr>
          <w:rFonts w:ascii="Times New Roman" w:eastAsia="Times New Roman" w:hAnsi="Times New Roman" w:cs="Times New Roman"/>
          <w:i/>
        </w:rPr>
        <w:t>kB</w:t>
      </w:r>
      <w:proofErr w:type="spellEnd"/>
      <w:r>
        <w:rPr>
          <w:rFonts w:ascii="Times New Roman" w:eastAsia="Times New Roman" w:hAnsi="Times New Roman" w:cs="Times New Roman"/>
          <w:i/>
        </w:rPr>
        <w:t xml:space="preserve"> </w:t>
      </w:r>
      <w:proofErr w:type="spellStart"/>
      <w:r>
        <w:rPr>
          <w:rFonts w:ascii="Times New Roman" w:eastAsia="Times New Roman" w:hAnsi="Times New Roman" w:cs="Times New Roman"/>
          <w:i/>
        </w:rPr>
        <w:t>signalling</w:t>
      </w:r>
      <w:proofErr w:type="spellEnd"/>
      <w:r>
        <w:rPr>
          <w:rFonts w:ascii="Times New Roman" w:eastAsia="Times New Roman" w:hAnsi="Times New Roman" w:cs="Times New Roman"/>
          <w:i/>
        </w:rPr>
        <w:t xml:space="preserve"> pathways to increase the antioxidant and detoxification enzyme expression and prevent inflammation. Activation of Nrf2 is achieved by altering the Keap1 or phosphorylating it, and results in gene transcription through ARE, while NF-</w:t>
      </w:r>
      <w:proofErr w:type="spellStart"/>
      <w:r>
        <w:rPr>
          <w:rFonts w:ascii="Times New Roman" w:eastAsia="Times New Roman" w:hAnsi="Times New Roman" w:cs="Times New Roman"/>
          <w:i/>
        </w:rPr>
        <w:t>κBis</w:t>
      </w:r>
      <w:proofErr w:type="spellEnd"/>
      <w:r>
        <w:rPr>
          <w:rFonts w:ascii="Times New Roman" w:eastAsia="Times New Roman" w:hAnsi="Times New Roman" w:cs="Times New Roman"/>
          <w:i/>
        </w:rPr>
        <w:t xml:space="preserve"> responsible for </w:t>
      </w:r>
      <w:proofErr w:type="gramStart"/>
      <w:r>
        <w:rPr>
          <w:rFonts w:ascii="Times New Roman" w:eastAsia="Times New Roman" w:hAnsi="Times New Roman" w:cs="Times New Roman"/>
          <w:i/>
        </w:rPr>
        <w:t>the  inhibition</w:t>
      </w:r>
      <w:proofErr w:type="gramEnd"/>
      <w:r>
        <w:rPr>
          <w:rFonts w:ascii="Times New Roman" w:eastAsia="Times New Roman" w:hAnsi="Times New Roman" w:cs="Times New Roman"/>
          <w:i/>
        </w:rPr>
        <w:t xml:space="preserve"> of pro-inflammatory cytokines and enhancement of oxidative stress, respectively. Source: (Lee et al., 2014)</w:t>
      </w:r>
    </w:p>
    <w:p w14:paraId="2DD6C2D4" w14:textId="77777777" w:rsidR="002B250F" w:rsidRDefault="002B250F">
      <w:pPr>
        <w:spacing w:before="240" w:after="240"/>
        <w:jc w:val="both"/>
        <w:rPr>
          <w:rFonts w:ascii="Times New Roman" w:eastAsia="Times New Roman" w:hAnsi="Times New Roman" w:cs="Times New Roman"/>
          <w:i/>
        </w:rPr>
      </w:pPr>
    </w:p>
    <w:p w14:paraId="22FD11E3" w14:textId="77777777" w:rsidR="002B250F" w:rsidRDefault="002B250F">
      <w:pPr>
        <w:spacing w:before="240" w:after="240"/>
        <w:jc w:val="both"/>
        <w:rPr>
          <w:rFonts w:ascii="Times New Roman" w:eastAsia="Times New Roman" w:hAnsi="Times New Roman" w:cs="Times New Roman"/>
          <w:i/>
          <w:color w:val="000000"/>
        </w:rPr>
        <w:sectPr w:rsidR="002B250F">
          <w:type w:val="continuous"/>
          <w:pgSz w:w="11909" w:h="16834"/>
          <w:pgMar w:top="720" w:right="720" w:bottom="720" w:left="720" w:header="720" w:footer="720" w:gutter="0"/>
          <w:cols w:space="720"/>
        </w:sectPr>
      </w:pPr>
    </w:p>
    <w:p w14:paraId="61A40742"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lastRenderedPageBreak/>
        <w:t>5. Challenges and Limitations</w:t>
      </w:r>
    </w:p>
    <w:p w14:paraId="6CB747FD"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Though experimental evidence supports the use of antioxidant phytochemicals as effective agents to prevent the impacts of pollutants and metals on biological systems through oxidative stress, numerous challenges and limitations are critical to the applicability of these potential therapeutic or preventive agents in biomedical research. These issues transcend biological, methodological, pharmacokinetic and regulatory levels, and therefore, there is a need to deal with them in both research and practical application levels.</w:t>
      </w:r>
    </w:p>
    <w:p w14:paraId="4E51AD05"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Among the most well-known constraints is the inconsistency of the phytochemical composition between natural sources. The concentration and profile of phytochemicals may vary radically based on plant species, cultivar, geographical origin, soil composition, climate, harvesting stage and storage or processing conditions (Tang et al., 2022). As an example, the flavonoid and phenolic content of the same species of plant can vary at least 200 per cent with or without sunlight exposure or drought stress. This variability influences the reproducibility and comparability of the results of an experiment and makes it difficult to set standard doses of the experiment in humans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 Also, various phytochemical extraction and purification systems are used in different laboratories, resulting in variations in purification, stability and potency of the compound (Chong et al., 2023). The absence of </w:t>
      </w:r>
      <w:proofErr w:type="spellStart"/>
      <w:r>
        <w:rPr>
          <w:rFonts w:ascii="Times New Roman" w:eastAsia="Times New Roman" w:hAnsi="Times New Roman" w:cs="Times New Roman"/>
          <w:color w:val="000000"/>
        </w:rPr>
        <w:t>standardised</w:t>
      </w:r>
      <w:proofErr w:type="spellEnd"/>
      <w:r>
        <w:rPr>
          <w:rFonts w:ascii="Times New Roman" w:eastAsia="Times New Roman" w:hAnsi="Times New Roman" w:cs="Times New Roman"/>
          <w:color w:val="000000"/>
        </w:rPr>
        <w:t xml:space="preserve"> extraction and quantification procedures, therefore, compromises consistency of the research findings and impairs the ability to compare preclinical and clinical information.</w:t>
      </w:r>
    </w:p>
    <w:p w14:paraId="2E677940"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other challenge that is recurrent is bioavailability and metabolism. Although potent antioxidants and anti-inflammatories are observed in vitro, most phytochemicals have low oral bioavailability in humans because of low absorption, rapid metabolism, and fast systemic elimination (Williamson, 2025). As an illustration, two of the most extensively researched phytochemicals, </w:t>
      </w:r>
      <w:proofErr w:type="spellStart"/>
      <w:r>
        <w:rPr>
          <w:rFonts w:ascii="Times New Roman" w:eastAsia="Times New Roman" w:hAnsi="Times New Roman" w:cs="Times New Roman"/>
          <w:color w:val="000000"/>
        </w:rPr>
        <w:t>curcumin</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xml:space="preserve">, reach </w:t>
      </w:r>
      <w:proofErr w:type="spellStart"/>
      <w:r>
        <w:rPr>
          <w:rFonts w:ascii="Times New Roman" w:eastAsia="Times New Roman" w:hAnsi="Times New Roman" w:cs="Times New Roman"/>
          <w:color w:val="000000"/>
        </w:rPr>
        <w:lastRenderedPageBreak/>
        <w:t>nanomolar</w:t>
      </w:r>
      <w:proofErr w:type="spellEnd"/>
      <w:r>
        <w:rPr>
          <w:rFonts w:ascii="Times New Roman" w:eastAsia="Times New Roman" w:hAnsi="Times New Roman" w:cs="Times New Roman"/>
          <w:color w:val="000000"/>
        </w:rPr>
        <w:t xml:space="preserve"> plasma concentrations even after large oral doses, which is typically below the effective concentration found in cell studies (</w:t>
      </w:r>
      <w:proofErr w:type="spellStart"/>
      <w:r>
        <w:rPr>
          <w:rFonts w:ascii="Times New Roman" w:eastAsia="Times New Roman" w:hAnsi="Times New Roman" w:cs="Times New Roman"/>
          <w:color w:val="000000"/>
        </w:rPr>
        <w:t>Bertoncini</w:t>
      </w:r>
      <w:proofErr w:type="spellEnd"/>
      <w:r>
        <w:rPr>
          <w:rFonts w:ascii="Times New Roman" w:eastAsia="Times New Roman" w:hAnsi="Times New Roman" w:cs="Times New Roman"/>
          <w:color w:val="000000"/>
        </w:rPr>
        <w:t>-Silva et al., 2024). Moreover, conjugation (</w:t>
      </w:r>
      <w:proofErr w:type="spellStart"/>
      <w:r>
        <w:rPr>
          <w:rFonts w:ascii="Times New Roman" w:eastAsia="Times New Roman" w:hAnsi="Times New Roman" w:cs="Times New Roman"/>
          <w:color w:val="000000"/>
        </w:rPr>
        <w:t>glucuronidation</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sulfation</w:t>
      </w:r>
      <w:proofErr w:type="spellEnd"/>
      <w:r>
        <w:rPr>
          <w:rFonts w:ascii="Times New Roman" w:eastAsia="Times New Roman" w:hAnsi="Times New Roman" w:cs="Times New Roman"/>
          <w:color w:val="000000"/>
        </w:rPr>
        <w:t>), which may change or inactivate the parent compound, is caused by extensive gut and liver metabolism (</w:t>
      </w:r>
      <w:proofErr w:type="spellStart"/>
      <w:r>
        <w:rPr>
          <w:rFonts w:ascii="Times New Roman" w:eastAsia="Times New Roman" w:hAnsi="Times New Roman" w:cs="Times New Roman"/>
          <w:color w:val="000000"/>
        </w:rPr>
        <w:t>Scarano</w:t>
      </w:r>
      <w:proofErr w:type="spellEnd"/>
      <w:r>
        <w:rPr>
          <w:rFonts w:ascii="Times New Roman" w:eastAsia="Times New Roman" w:hAnsi="Times New Roman" w:cs="Times New Roman"/>
          <w:color w:val="000000"/>
        </w:rPr>
        <w:t xml:space="preserve"> et al., 2023). There is further complexity in the involvement of gut </w:t>
      </w:r>
      <w:proofErr w:type="spellStart"/>
      <w:r>
        <w:rPr>
          <w:rFonts w:ascii="Times New Roman" w:eastAsia="Times New Roman" w:hAnsi="Times New Roman" w:cs="Times New Roman"/>
          <w:color w:val="000000"/>
        </w:rPr>
        <w:t>microbiota</w:t>
      </w:r>
      <w:proofErr w:type="spellEnd"/>
      <w:r>
        <w:rPr>
          <w:rFonts w:ascii="Times New Roman" w:eastAsia="Times New Roman" w:hAnsi="Times New Roman" w:cs="Times New Roman"/>
          <w:color w:val="000000"/>
        </w:rPr>
        <w:t xml:space="preserve"> because </w:t>
      </w:r>
      <w:proofErr w:type="spellStart"/>
      <w:r>
        <w:rPr>
          <w:rFonts w:ascii="Times New Roman" w:eastAsia="Times New Roman" w:hAnsi="Times New Roman" w:cs="Times New Roman"/>
          <w:color w:val="000000"/>
        </w:rPr>
        <w:t>interindividual</w:t>
      </w:r>
      <w:proofErr w:type="spellEnd"/>
      <w:r>
        <w:rPr>
          <w:rFonts w:ascii="Times New Roman" w:eastAsia="Times New Roman" w:hAnsi="Times New Roman" w:cs="Times New Roman"/>
          <w:color w:val="000000"/>
        </w:rPr>
        <w:t xml:space="preserve"> variability in microbial composition could mediate the transformation, absorption, and overall </w:t>
      </w:r>
      <w:proofErr w:type="spellStart"/>
      <w:r>
        <w:rPr>
          <w:rFonts w:ascii="Times New Roman" w:eastAsia="Times New Roman" w:hAnsi="Times New Roman" w:cs="Times New Roman"/>
          <w:color w:val="000000"/>
        </w:rPr>
        <w:t>bioefficacy</w:t>
      </w:r>
      <w:proofErr w:type="spellEnd"/>
      <w:r>
        <w:rPr>
          <w:rFonts w:ascii="Times New Roman" w:eastAsia="Times New Roman" w:hAnsi="Times New Roman" w:cs="Times New Roman"/>
          <w:color w:val="000000"/>
        </w:rPr>
        <w:t xml:space="preserve"> of phytochemicals (</w:t>
      </w:r>
      <w:proofErr w:type="spellStart"/>
      <w:r>
        <w:rPr>
          <w:rFonts w:ascii="Times New Roman" w:eastAsia="Times New Roman" w:hAnsi="Times New Roman" w:cs="Times New Roman"/>
          <w:color w:val="000000"/>
        </w:rPr>
        <w:t>Vamanu</w:t>
      </w:r>
      <w:proofErr w:type="spellEnd"/>
      <w:r>
        <w:rPr>
          <w:rFonts w:ascii="Times New Roman" w:eastAsia="Times New Roman" w:hAnsi="Times New Roman" w:cs="Times New Roman"/>
          <w:color w:val="000000"/>
        </w:rPr>
        <w:t xml:space="preserve"> &amp; </w:t>
      </w:r>
      <w:proofErr w:type="spellStart"/>
      <w:r>
        <w:rPr>
          <w:rFonts w:ascii="Times New Roman" w:eastAsia="Times New Roman" w:hAnsi="Times New Roman" w:cs="Times New Roman"/>
          <w:color w:val="000000"/>
        </w:rPr>
        <w:t>Gatea</w:t>
      </w:r>
      <w:proofErr w:type="spellEnd"/>
      <w:r>
        <w:rPr>
          <w:rFonts w:ascii="Times New Roman" w:eastAsia="Times New Roman" w:hAnsi="Times New Roman" w:cs="Times New Roman"/>
          <w:color w:val="000000"/>
        </w:rPr>
        <w:t>, 2022). These pharmacokinetic walls do describe the gap between encouraging laboratory findings and the modest effects commonly noted in clinical trials.</w:t>
      </w:r>
    </w:p>
    <w:p w14:paraId="52A35D52"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Besides this, experimental inconsistencies and methodological weaknesses are still prevalent in studies. Most in vitro studies work under unrealistic high concentrations of phytochemicals that surpass physiologically realistic concentrations, or they use simplified cell models that do not reflect the complexity of in vivo oxidative environments (</w:t>
      </w:r>
      <w:proofErr w:type="spellStart"/>
      <w:r>
        <w:rPr>
          <w:rFonts w:ascii="Times New Roman" w:eastAsia="Times New Roman" w:hAnsi="Times New Roman" w:cs="Times New Roman"/>
          <w:color w:val="000000"/>
        </w:rPr>
        <w:t>Xie</w:t>
      </w:r>
      <w:proofErr w:type="spellEnd"/>
      <w:r>
        <w:rPr>
          <w:rFonts w:ascii="Times New Roman" w:eastAsia="Times New Roman" w:hAnsi="Times New Roman" w:cs="Times New Roman"/>
          <w:color w:val="000000"/>
        </w:rPr>
        <w:t xml:space="preserve"> et al., 2022). Comparing across species, sex, route of exposure, duration, and endpoints measured makes cross-comparison challenging in animal studies (Al-</w:t>
      </w:r>
      <w:proofErr w:type="spellStart"/>
      <w:r>
        <w:rPr>
          <w:rFonts w:ascii="Times New Roman" w:eastAsia="Times New Roman" w:hAnsi="Times New Roman" w:cs="Times New Roman"/>
          <w:color w:val="000000"/>
        </w:rPr>
        <w:t>Zharani</w:t>
      </w:r>
      <w:proofErr w:type="spellEnd"/>
      <w:r>
        <w:rPr>
          <w:rFonts w:ascii="Times New Roman" w:eastAsia="Times New Roman" w:hAnsi="Times New Roman" w:cs="Times New Roman"/>
          <w:color w:val="000000"/>
        </w:rPr>
        <w:t xml:space="preserve"> et al., 2023). Human testing is frequently a small sample, limited in duration, and not uniform, and has little control over dietary background or exposure levels of pollutants (</w:t>
      </w:r>
      <w:proofErr w:type="spellStart"/>
      <w:r>
        <w:rPr>
          <w:rFonts w:ascii="Times New Roman" w:eastAsia="Times New Roman" w:hAnsi="Times New Roman" w:cs="Times New Roman"/>
          <w:color w:val="000000"/>
        </w:rPr>
        <w:t>Ciupei</w:t>
      </w:r>
      <w:proofErr w:type="spellEnd"/>
      <w:r>
        <w:rPr>
          <w:rFonts w:ascii="Times New Roman" w:eastAsia="Times New Roman" w:hAnsi="Times New Roman" w:cs="Times New Roman"/>
          <w:color w:val="000000"/>
        </w:rPr>
        <w:t xml:space="preserve"> et al., 2024). This makes it very hard to generalize results or form dose-response relationships that might be used to have dietary guidelines or as a treatment option.</w:t>
      </w:r>
    </w:p>
    <w:p w14:paraId="60400128"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other difficulty is the gap between preclinical results and human health outcomes in terms of translation between preclinical and human health population outcomes. Although the pathways of oxidative stress and phytochemical defense are clearly understood at the cellular and molecular level, their clinical application in the context of chronic exposure to low doses of pollutants in the environment and workplaces (as is often observed in practice) is </w:t>
      </w:r>
      <w:r>
        <w:rPr>
          <w:rFonts w:ascii="Times New Roman" w:eastAsia="Times New Roman" w:hAnsi="Times New Roman" w:cs="Times New Roman"/>
          <w:color w:val="000000"/>
        </w:rPr>
        <w:lastRenderedPageBreak/>
        <w:t>understudied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 Attribution to the protective effect of phytochemicals alone is complicated by the cumulative and long-term outcomes of various pollutants, as well as the intricate interaction of diet, genetics and lifestyle factors (Patel et al., 2023). Also, most research is being done in isolation compounds as opposed to whole-food matrices without considering the synergies that naturally exist in diets high in fruits, vegetables, teas, and spices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w:t>
      </w:r>
    </w:p>
    <w:p w14:paraId="12794ABA"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Another limitation that is not mentioned so much yet, but should be significant, is that the phytochemicals may have a pro-oxidant effect in extreme concentrations or when specific conditions are met. Certain compounds, including redox-active polyphenols, may </w:t>
      </w:r>
      <w:proofErr w:type="spellStart"/>
      <w:r>
        <w:rPr>
          <w:rFonts w:ascii="Times New Roman" w:eastAsia="Times New Roman" w:hAnsi="Times New Roman" w:cs="Times New Roman"/>
          <w:color w:val="000000"/>
        </w:rPr>
        <w:t>autoxidise</w:t>
      </w:r>
      <w:proofErr w:type="spellEnd"/>
      <w:r>
        <w:rPr>
          <w:rFonts w:ascii="Times New Roman" w:eastAsia="Times New Roman" w:hAnsi="Times New Roman" w:cs="Times New Roman"/>
          <w:color w:val="000000"/>
        </w:rPr>
        <w:t xml:space="preserve"> to produce ROS, especially when exposed to transition metals like iron and copper (</w:t>
      </w:r>
      <w:proofErr w:type="spellStart"/>
      <w:r>
        <w:rPr>
          <w:rFonts w:ascii="Times New Roman" w:eastAsia="Times New Roman" w:hAnsi="Times New Roman" w:cs="Times New Roman"/>
          <w:color w:val="000000"/>
        </w:rPr>
        <w:t>Scarano</w:t>
      </w:r>
      <w:proofErr w:type="spellEnd"/>
      <w:r>
        <w:rPr>
          <w:rFonts w:ascii="Times New Roman" w:eastAsia="Times New Roman" w:hAnsi="Times New Roman" w:cs="Times New Roman"/>
          <w:color w:val="000000"/>
        </w:rPr>
        <w:t xml:space="preserve"> et al., 2023). As an illustration, </w:t>
      </w: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catechins</w:t>
      </w:r>
      <w:proofErr w:type="spellEnd"/>
      <w:r>
        <w:rPr>
          <w:rFonts w:ascii="Times New Roman" w:eastAsia="Times New Roman" w:hAnsi="Times New Roman" w:cs="Times New Roman"/>
          <w:color w:val="000000"/>
        </w:rPr>
        <w:t xml:space="preserve"> have been reported to possess antioxidant and pro-oxidant effects with concentration and cellular context effects. Such </w:t>
      </w:r>
      <w:proofErr w:type="spellStart"/>
      <w:r>
        <w:rPr>
          <w:rFonts w:ascii="Times New Roman" w:eastAsia="Times New Roman" w:hAnsi="Times New Roman" w:cs="Times New Roman"/>
          <w:color w:val="000000"/>
        </w:rPr>
        <w:t>biphasicity</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hormesis</w:t>
      </w:r>
      <w:proofErr w:type="spellEnd"/>
      <w:r>
        <w:rPr>
          <w:rFonts w:ascii="Times New Roman" w:eastAsia="Times New Roman" w:hAnsi="Times New Roman" w:cs="Times New Roman"/>
          <w:color w:val="000000"/>
        </w:rPr>
        <w:t xml:space="preserve">) highlights the importance of dose </w:t>
      </w:r>
      <w:proofErr w:type="spellStart"/>
      <w:r>
        <w:rPr>
          <w:rFonts w:ascii="Times New Roman" w:eastAsia="Times New Roman" w:hAnsi="Times New Roman" w:cs="Times New Roman"/>
          <w:color w:val="000000"/>
        </w:rPr>
        <w:t>optimisation</w:t>
      </w:r>
      <w:proofErr w:type="spellEnd"/>
      <w:r>
        <w:rPr>
          <w:rFonts w:ascii="Times New Roman" w:eastAsia="Times New Roman" w:hAnsi="Times New Roman" w:cs="Times New Roman"/>
          <w:color w:val="000000"/>
        </w:rPr>
        <w:t xml:space="preserve"> in promoting safety and efficacy.</w:t>
      </w:r>
    </w:p>
    <w:p w14:paraId="52348A53"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Additionally, there are limited safety and toxicity analyses of long-term phytochemical supplementation. Although the majority are based on edible plants and can be considered safe when consumed in dietary amounts, extracts of concentrations or isolated substances can lead to adverse reactions with drugs, change nutrient absorption or have hepatotoxicity at high doses (Tang et al., 2022). Indicatively, </w:t>
      </w:r>
      <w:proofErr w:type="spellStart"/>
      <w:r>
        <w:rPr>
          <w:rFonts w:ascii="Times New Roman" w:eastAsia="Times New Roman" w:hAnsi="Times New Roman" w:cs="Times New Roman"/>
          <w:color w:val="000000"/>
        </w:rPr>
        <w:t>curcumin</w:t>
      </w:r>
      <w:proofErr w:type="spellEnd"/>
      <w:r>
        <w:rPr>
          <w:rFonts w:ascii="Times New Roman" w:eastAsia="Times New Roman" w:hAnsi="Times New Roman" w:cs="Times New Roman"/>
          <w:color w:val="000000"/>
        </w:rPr>
        <w:t xml:space="preserve"> and green tea </w:t>
      </w:r>
      <w:proofErr w:type="spellStart"/>
      <w:r>
        <w:rPr>
          <w:rFonts w:ascii="Times New Roman" w:eastAsia="Times New Roman" w:hAnsi="Times New Roman" w:cs="Times New Roman"/>
          <w:color w:val="000000"/>
        </w:rPr>
        <w:t>catechin</w:t>
      </w:r>
      <w:proofErr w:type="spellEnd"/>
      <w:r>
        <w:rPr>
          <w:rFonts w:ascii="Times New Roman" w:eastAsia="Times New Roman" w:hAnsi="Times New Roman" w:cs="Times New Roman"/>
          <w:color w:val="000000"/>
        </w:rPr>
        <w:t xml:space="preserve"> in high dose supplements are associated with gastrointestinal distress and infrequent liver toxicity in sensitive individuals (Williamson, 2025). Thus, safe therapeutic windows have to be characterized by rigorous toxicological and </w:t>
      </w:r>
      <w:proofErr w:type="spellStart"/>
      <w:r>
        <w:rPr>
          <w:rFonts w:ascii="Times New Roman" w:eastAsia="Times New Roman" w:hAnsi="Times New Roman" w:cs="Times New Roman"/>
          <w:color w:val="000000"/>
        </w:rPr>
        <w:t>pharmacodynamic</w:t>
      </w:r>
      <w:proofErr w:type="spellEnd"/>
      <w:r>
        <w:rPr>
          <w:rFonts w:ascii="Times New Roman" w:eastAsia="Times New Roman" w:hAnsi="Times New Roman" w:cs="Times New Roman"/>
          <w:color w:val="000000"/>
        </w:rPr>
        <w:t xml:space="preserve"> studies.</w:t>
      </w:r>
    </w:p>
    <w:p w14:paraId="44AB7A4D"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Lastly, there are regulatory and </w:t>
      </w:r>
      <w:proofErr w:type="spellStart"/>
      <w:r>
        <w:rPr>
          <w:rFonts w:ascii="Times New Roman" w:eastAsia="Times New Roman" w:hAnsi="Times New Roman" w:cs="Times New Roman"/>
          <w:color w:val="000000"/>
        </w:rPr>
        <w:t>standardisation</w:t>
      </w:r>
      <w:proofErr w:type="spellEnd"/>
      <w:r>
        <w:rPr>
          <w:rFonts w:ascii="Times New Roman" w:eastAsia="Times New Roman" w:hAnsi="Times New Roman" w:cs="Times New Roman"/>
          <w:color w:val="000000"/>
        </w:rPr>
        <w:t xml:space="preserve"> issues that are obstructive to the clinical use of phytochemicals. Since antioxidant phytochemicals lie in the grey zone between foods and pharmaceuticals, they tend to be sold as </w:t>
      </w:r>
      <w:proofErr w:type="spellStart"/>
      <w:r>
        <w:rPr>
          <w:rFonts w:ascii="Times New Roman" w:eastAsia="Times New Roman" w:hAnsi="Times New Roman" w:cs="Times New Roman"/>
          <w:color w:val="000000"/>
        </w:rPr>
        <w:t>nutraceuticals</w:t>
      </w:r>
      <w:proofErr w:type="spellEnd"/>
      <w:r>
        <w:rPr>
          <w:rFonts w:ascii="Times New Roman" w:eastAsia="Times New Roman" w:hAnsi="Times New Roman" w:cs="Times New Roman"/>
          <w:color w:val="000000"/>
        </w:rPr>
        <w:t xml:space="preserve"> or dietary supplements, which are less heavily regulated. Such a gap in regulation is one of the factors that lead to the unstable quality of products, false health claims, and unproven clinical use (Chong et al., 2023). Authorities like the European Food Safety Authority (EFSA) and the U.S. Food and Drug Administration (FDA) acknowledge the fact that antioxidants have the </w:t>
      </w:r>
      <w:r>
        <w:rPr>
          <w:rFonts w:ascii="Times New Roman" w:eastAsia="Times New Roman" w:hAnsi="Times New Roman" w:cs="Times New Roman"/>
          <w:color w:val="000000"/>
        </w:rPr>
        <w:lastRenderedPageBreak/>
        <w:t xml:space="preserve">potential to be used to protect human health, but scientific evidence has not been fully </w:t>
      </w:r>
      <w:proofErr w:type="spellStart"/>
      <w:r>
        <w:rPr>
          <w:rFonts w:ascii="Times New Roman" w:eastAsia="Times New Roman" w:hAnsi="Times New Roman" w:cs="Times New Roman"/>
          <w:color w:val="000000"/>
        </w:rPr>
        <w:t>actualised</w:t>
      </w:r>
      <w:proofErr w:type="spellEnd"/>
      <w:r>
        <w:rPr>
          <w:rFonts w:ascii="Times New Roman" w:eastAsia="Times New Roman" w:hAnsi="Times New Roman" w:cs="Times New Roman"/>
          <w:color w:val="000000"/>
        </w:rPr>
        <w:t xml:space="preserve"> to make certain conclusions. To overcome this limitation, it is necessary to conduct multidisciplinary studies that combine sophisticated analytical technologies, including metabolomics, bioavailability models, and </w:t>
      </w:r>
      <w:proofErr w:type="spellStart"/>
      <w:r>
        <w:rPr>
          <w:rFonts w:ascii="Times New Roman" w:eastAsia="Times New Roman" w:hAnsi="Times New Roman" w:cs="Times New Roman"/>
          <w:color w:val="000000"/>
        </w:rPr>
        <w:t>standardised</w:t>
      </w:r>
      <w:proofErr w:type="spellEnd"/>
      <w:r>
        <w:rPr>
          <w:rFonts w:ascii="Times New Roman" w:eastAsia="Times New Roman" w:hAnsi="Times New Roman" w:cs="Times New Roman"/>
          <w:color w:val="000000"/>
        </w:rPr>
        <w:t xml:space="preserve"> clinical studies, to consider both long-term exposure and individual variations. Such innovative technologies as </w:t>
      </w:r>
      <w:proofErr w:type="spellStart"/>
      <w:r>
        <w:rPr>
          <w:rFonts w:ascii="Times New Roman" w:eastAsia="Times New Roman" w:hAnsi="Times New Roman" w:cs="Times New Roman"/>
          <w:color w:val="000000"/>
        </w:rPr>
        <w:t>nanoformulations</w:t>
      </w:r>
      <w:proofErr w:type="spellEnd"/>
      <w:r>
        <w:rPr>
          <w:rFonts w:ascii="Times New Roman" w:eastAsia="Times New Roman" w:hAnsi="Times New Roman" w:cs="Times New Roman"/>
          <w:color w:val="000000"/>
        </w:rPr>
        <w:t xml:space="preserve">, </w:t>
      </w:r>
      <w:proofErr w:type="spellStart"/>
      <w:r>
        <w:rPr>
          <w:rFonts w:ascii="Times New Roman" w:eastAsia="Times New Roman" w:hAnsi="Times New Roman" w:cs="Times New Roman"/>
          <w:color w:val="000000"/>
        </w:rPr>
        <w:t>phytosomes</w:t>
      </w:r>
      <w:proofErr w:type="spellEnd"/>
      <w:r>
        <w:rPr>
          <w:rFonts w:ascii="Times New Roman" w:eastAsia="Times New Roman" w:hAnsi="Times New Roman" w:cs="Times New Roman"/>
          <w:color w:val="000000"/>
        </w:rPr>
        <w:t>, and hybrid antioxidant complexes have the potential to enhance bioavailability and targeted delivery before a long-term safety assessment based on these approaches can be conducted (</w:t>
      </w:r>
      <w:proofErr w:type="spellStart"/>
      <w:r>
        <w:rPr>
          <w:rFonts w:ascii="Times New Roman" w:eastAsia="Times New Roman" w:hAnsi="Times New Roman" w:cs="Times New Roman"/>
          <w:color w:val="000000"/>
        </w:rPr>
        <w:t>Bertoncini</w:t>
      </w:r>
      <w:proofErr w:type="spellEnd"/>
      <w:r>
        <w:rPr>
          <w:rFonts w:ascii="Times New Roman" w:eastAsia="Times New Roman" w:hAnsi="Times New Roman" w:cs="Times New Roman"/>
          <w:color w:val="000000"/>
        </w:rPr>
        <w:t>-Silva et al., 2024).</w:t>
      </w:r>
    </w:p>
    <w:p w14:paraId="017FC840"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On the whole, the use of phytochemicals has been highly speculated in terms of experimental and animal studies that phytochemicals can be used to reverse the oxidative impact of pollutants and heavy metals, but it remains difficult to </w:t>
      </w:r>
      <w:proofErr w:type="spellStart"/>
      <w:r>
        <w:rPr>
          <w:rFonts w:ascii="Times New Roman" w:eastAsia="Times New Roman" w:hAnsi="Times New Roman" w:cs="Times New Roman"/>
          <w:color w:val="000000"/>
        </w:rPr>
        <w:t>standardise</w:t>
      </w:r>
      <w:proofErr w:type="spellEnd"/>
      <w:r>
        <w:rPr>
          <w:rFonts w:ascii="Times New Roman" w:eastAsia="Times New Roman" w:hAnsi="Times New Roman" w:cs="Times New Roman"/>
          <w:color w:val="000000"/>
        </w:rPr>
        <w:t xml:space="preserve"> the dosage and translate it to clinical use. These gaps will require cooperation to reinforce methodology, regulation, and the mechanistic knowledge to safely and effectively use them in protecting the environment.</w:t>
      </w:r>
    </w:p>
    <w:p w14:paraId="1E31DE6C"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6. Future Projections and Future Research.</w:t>
      </w:r>
    </w:p>
    <w:p w14:paraId="7A2E9E4A"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Although considerable advances have been made in assimilating the antioxidant effects of the phytochemicals on alleviation of pollutant-induced oxidative stress, its utilization in prevention and treatment remains in its infancy. The next step in research should be the enhancement of bioavailability, optimization of the synergistic formulations and using the new technologies to increase their potential to environmental health. The </w:t>
      </w:r>
      <w:proofErr w:type="spellStart"/>
      <w:r>
        <w:rPr>
          <w:rFonts w:ascii="Times New Roman" w:eastAsia="Times New Roman" w:hAnsi="Times New Roman" w:cs="Times New Roman"/>
          <w:color w:val="000000"/>
        </w:rPr>
        <w:t>nanoemulsions</w:t>
      </w:r>
      <w:proofErr w:type="spellEnd"/>
      <w:r>
        <w:rPr>
          <w:rFonts w:ascii="Times New Roman" w:eastAsia="Times New Roman" w:hAnsi="Times New Roman" w:cs="Times New Roman"/>
          <w:color w:val="000000"/>
        </w:rPr>
        <w:t>, liposomes, and polymeric nanoparticles are a type of nanotechnology that are especially promising in the context of overcoming low solubility, poor absorption, and rapid metabolism, which represent the major barriers to clinical use (</w:t>
      </w:r>
      <w:proofErr w:type="spellStart"/>
      <w:r>
        <w:rPr>
          <w:rFonts w:ascii="Times New Roman" w:eastAsia="Times New Roman" w:hAnsi="Times New Roman" w:cs="Times New Roman"/>
          <w:color w:val="000000"/>
        </w:rPr>
        <w:t>Hasan</w:t>
      </w:r>
      <w:proofErr w:type="spellEnd"/>
      <w:r>
        <w:rPr>
          <w:rFonts w:ascii="Times New Roman" w:eastAsia="Times New Roman" w:hAnsi="Times New Roman" w:cs="Times New Roman"/>
          <w:color w:val="000000"/>
        </w:rPr>
        <w:t xml:space="preserve"> et al., 2023; </w:t>
      </w:r>
      <w:proofErr w:type="spellStart"/>
      <w:r>
        <w:rPr>
          <w:rFonts w:ascii="Times New Roman" w:eastAsia="Times New Roman" w:hAnsi="Times New Roman" w:cs="Times New Roman"/>
          <w:color w:val="000000"/>
        </w:rPr>
        <w:t>Bertoncini</w:t>
      </w:r>
      <w:proofErr w:type="spellEnd"/>
      <w:r>
        <w:rPr>
          <w:rFonts w:ascii="Times New Roman" w:eastAsia="Times New Roman" w:hAnsi="Times New Roman" w:cs="Times New Roman"/>
          <w:color w:val="000000"/>
        </w:rPr>
        <w:t xml:space="preserve">-Silva et al., 2024). As an example, the </w:t>
      </w:r>
      <w:proofErr w:type="spellStart"/>
      <w:r>
        <w:rPr>
          <w:rFonts w:ascii="Times New Roman" w:eastAsia="Times New Roman" w:hAnsi="Times New Roman" w:cs="Times New Roman"/>
          <w:color w:val="000000"/>
        </w:rPr>
        <w:t>nano-curcumin</w:t>
      </w:r>
      <w:proofErr w:type="spellEnd"/>
      <w:r>
        <w:rPr>
          <w:rFonts w:ascii="Times New Roman" w:eastAsia="Times New Roman" w:hAnsi="Times New Roman" w:cs="Times New Roman"/>
          <w:color w:val="000000"/>
        </w:rPr>
        <w:t xml:space="preserve"> and </w:t>
      </w: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xml:space="preserve">-conjugated nanoparticles have been demonstrated to have better intestinal absorption, prolonged half-life in circulation, and antioxidant activity than conventional forms (Yang et al., 2024). Equally, </w:t>
      </w:r>
      <w:proofErr w:type="spellStart"/>
      <w:r>
        <w:rPr>
          <w:rFonts w:ascii="Times New Roman" w:eastAsia="Times New Roman" w:hAnsi="Times New Roman" w:cs="Times New Roman"/>
          <w:color w:val="000000"/>
        </w:rPr>
        <w:t>phytosomes</w:t>
      </w:r>
      <w:proofErr w:type="spellEnd"/>
      <w:r>
        <w:rPr>
          <w:rFonts w:ascii="Times New Roman" w:eastAsia="Times New Roman" w:hAnsi="Times New Roman" w:cs="Times New Roman"/>
          <w:color w:val="000000"/>
        </w:rPr>
        <w:t xml:space="preserve"> technology that conjugates phytochemicals with phospholipids can enormously enhance their cellular absorption and stability, which offers a route to </w:t>
      </w:r>
      <w:proofErr w:type="spellStart"/>
      <w:r>
        <w:rPr>
          <w:rFonts w:ascii="Times New Roman" w:eastAsia="Times New Roman" w:hAnsi="Times New Roman" w:cs="Times New Roman"/>
          <w:color w:val="000000"/>
        </w:rPr>
        <w:t>nutraceutical</w:t>
      </w:r>
      <w:proofErr w:type="spellEnd"/>
      <w:r>
        <w:rPr>
          <w:rFonts w:ascii="Times New Roman" w:eastAsia="Times New Roman" w:hAnsi="Times New Roman" w:cs="Times New Roman"/>
          <w:color w:val="000000"/>
        </w:rPr>
        <w:t xml:space="preserve"> and pharmacological uses (Jain et al., 2023). Future research must aim at streamlining such systems to be safer with controlled </w:t>
      </w:r>
      <w:r>
        <w:rPr>
          <w:rFonts w:ascii="Times New Roman" w:eastAsia="Times New Roman" w:hAnsi="Times New Roman" w:cs="Times New Roman"/>
          <w:color w:val="000000"/>
        </w:rPr>
        <w:lastRenderedPageBreak/>
        <w:t>release and tissue-specific targeting, especially to detoxifying organs such as the liver and kidney.</w:t>
      </w:r>
    </w:p>
    <w:p w14:paraId="697B660B"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other opportunity that can be achieved is the study of synergistic effects between phytochemicals and between phytochemicals and micronutrients. Research is starting to find additive or synergistic effects of polyphenols, carotenoids, and vitamins on the number of ROS, inflammatory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and chelating heavy metals (</w:t>
      </w: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et al., 2024;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 As an illustration, the combination of resveratrol and </w:t>
      </w: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xml:space="preserve"> increases the Nrf2 activation and metal arresting ability better than each of these agents in isolation (Wang et al., 2022). Similarly, polyphenol-selenium complexes have been demonstrated to strengthen antioxidant protection and chelation of metals by complementary redox processes (Zhu et al., 2023). Such interactions need to be investigated systematically in future research that hopefully will apply network pharmacology and </w:t>
      </w:r>
      <w:proofErr w:type="spellStart"/>
      <w:r>
        <w:rPr>
          <w:rFonts w:ascii="Times New Roman" w:eastAsia="Times New Roman" w:hAnsi="Times New Roman" w:cs="Times New Roman"/>
          <w:color w:val="000000"/>
        </w:rPr>
        <w:t>metabolomic</w:t>
      </w:r>
      <w:proofErr w:type="spellEnd"/>
      <w:r>
        <w:rPr>
          <w:rFonts w:ascii="Times New Roman" w:eastAsia="Times New Roman" w:hAnsi="Times New Roman" w:cs="Times New Roman"/>
          <w:color w:val="000000"/>
        </w:rPr>
        <w:t xml:space="preserve"> profiling to identify synergistic clusters with optimal protective and minimal side effects.</w:t>
      </w:r>
    </w:p>
    <w:p w14:paraId="3E069E78"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Another radically new research frontier is given by the combination of </w:t>
      </w:r>
      <w:proofErr w:type="spellStart"/>
      <w:r>
        <w:rPr>
          <w:rFonts w:ascii="Times New Roman" w:eastAsia="Times New Roman" w:hAnsi="Times New Roman" w:cs="Times New Roman"/>
          <w:color w:val="000000"/>
        </w:rPr>
        <w:t>omics</w:t>
      </w:r>
      <w:proofErr w:type="spellEnd"/>
      <w:r>
        <w:rPr>
          <w:rFonts w:ascii="Times New Roman" w:eastAsia="Times New Roman" w:hAnsi="Times New Roman" w:cs="Times New Roman"/>
          <w:color w:val="000000"/>
        </w:rPr>
        <w:t xml:space="preserve"> technologies, such as genomics, proteomics, and metabolomics. Such high-throughput technologies have the potential to dissolve complicated molecular networks that are regulated by phytochemicals during conditions of oxidative stress (Chen et al., 2023). As an example, </w:t>
      </w:r>
      <w:proofErr w:type="spellStart"/>
      <w:r>
        <w:rPr>
          <w:rFonts w:ascii="Times New Roman" w:eastAsia="Times New Roman" w:hAnsi="Times New Roman" w:cs="Times New Roman"/>
          <w:color w:val="000000"/>
        </w:rPr>
        <w:t>metabolomic</w:t>
      </w:r>
      <w:proofErr w:type="spellEnd"/>
      <w:r>
        <w:rPr>
          <w:rFonts w:ascii="Times New Roman" w:eastAsia="Times New Roman" w:hAnsi="Times New Roman" w:cs="Times New Roman"/>
          <w:color w:val="000000"/>
        </w:rPr>
        <w:t xml:space="preserve"> mapping has the potential to determine bioactive metabolites and their pathways through which Nrf2 is activated and glutathione metabolism and inflammatory suppression gene signatures can be identified by </w:t>
      </w:r>
      <w:proofErr w:type="spellStart"/>
      <w:r>
        <w:rPr>
          <w:rFonts w:ascii="Times New Roman" w:eastAsia="Times New Roman" w:hAnsi="Times New Roman" w:cs="Times New Roman"/>
          <w:color w:val="000000"/>
        </w:rPr>
        <w:t>transcriptomic</w:t>
      </w:r>
      <w:proofErr w:type="spellEnd"/>
      <w:r>
        <w:rPr>
          <w:rFonts w:ascii="Times New Roman" w:eastAsia="Times New Roman" w:hAnsi="Times New Roman" w:cs="Times New Roman"/>
          <w:color w:val="000000"/>
        </w:rPr>
        <w:t xml:space="preserve"> profiling (</w:t>
      </w:r>
      <w:proofErr w:type="spellStart"/>
      <w:r>
        <w:rPr>
          <w:rFonts w:ascii="Times New Roman" w:eastAsia="Times New Roman" w:hAnsi="Times New Roman" w:cs="Times New Roman"/>
          <w:color w:val="000000"/>
        </w:rPr>
        <w:t>Vafaei-Nezhad</w:t>
      </w:r>
      <w:proofErr w:type="spellEnd"/>
      <w:r>
        <w:rPr>
          <w:rFonts w:ascii="Times New Roman" w:eastAsia="Times New Roman" w:hAnsi="Times New Roman" w:cs="Times New Roman"/>
          <w:color w:val="000000"/>
        </w:rPr>
        <w:t xml:space="preserve"> et al., 2024). The integration of multi-</w:t>
      </w:r>
      <w:proofErr w:type="spellStart"/>
      <w:r>
        <w:rPr>
          <w:rFonts w:ascii="Times New Roman" w:eastAsia="Times New Roman" w:hAnsi="Times New Roman" w:cs="Times New Roman"/>
          <w:color w:val="000000"/>
        </w:rPr>
        <w:t>omics</w:t>
      </w:r>
      <w:proofErr w:type="spellEnd"/>
      <w:r>
        <w:rPr>
          <w:rFonts w:ascii="Times New Roman" w:eastAsia="Times New Roman" w:hAnsi="Times New Roman" w:cs="Times New Roman"/>
          <w:color w:val="000000"/>
        </w:rPr>
        <w:t xml:space="preserve"> might, thus, give a holistic systems-level insight into the mechanism by which various phytochemical classes reverse the pollutant-induced oxidative stress. It will also be used to determine biomarkers of response to phytochemical interventions in order to provide </w:t>
      </w:r>
      <w:proofErr w:type="spellStart"/>
      <w:r>
        <w:rPr>
          <w:rFonts w:ascii="Times New Roman" w:eastAsia="Times New Roman" w:hAnsi="Times New Roman" w:cs="Times New Roman"/>
          <w:color w:val="000000"/>
        </w:rPr>
        <w:t>individualised</w:t>
      </w:r>
      <w:proofErr w:type="spellEnd"/>
      <w:r>
        <w:rPr>
          <w:rFonts w:ascii="Times New Roman" w:eastAsia="Times New Roman" w:hAnsi="Times New Roman" w:cs="Times New Roman"/>
          <w:color w:val="000000"/>
        </w:rPr>
        <w:t xml:space="preserve"> nutrition or other therapeutic interventions based on exposure levels and the individual metabolic profile.</w:t>
      </w:r>
    </w:p>
    <w:p w14:paraId="1EFA3FB5"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One of the future priorities is to improve human clinical and epidemiological evidence. The available information remains mostly preclinical; strong, extensive, and extended human trials have remained limited (Williamson, 2025). Randomized controlled trials (RCTs) should be designed well in order to quantify dose-response, evaluate bioavailability-</w:t>
      </w:r>
      <w:r>
        <w:rPr>
          <w:rFonts w:ascii="Times New Roman" w:eastAsia="Times New Roman" w:hAnsi="Times New Roman" w:cs="Times New Roman"/>
          <w:color w:val="000000"/>
        </w:rPr>
        <w:lastRenderedPageBreak/>
        <w:t xml:space="preserve">enhanced formulations and determine effects on well-validated oxidative stress biomarkers. Simultaneously, cohort and case-control designs need to investigate relationships between phytochemical dietary intake and heavy metal or pollutant biomarkers in varied groups. Dietary data and metabolomics may be used in conjunction with advances in </w:t>
      </w:r>
      <w:proofErr w:type="spellStart"/>
      <w:r>
        <w:rPr>
          <w:rFonts w:ascii="Times New Roman" w:eastAsia="Times New Roman" w:hAnsi="Times New Roman" w:cs="Times New Roman"/>
          <w:color w:val="000000"/>
        </w:rPr>
        <w:t>exposomics</w:t>
      </w:r>
      <w:proofErr w:type="spellEnd"/>
      <w:r>
        <w:rPr>
          <w:rFonts w:ascii="Times New Roman" w:eastAsia="Times New Roman" w:hAnsi="Times New Roman" w:cs="Times New Roman"/>
          <w:color w:val="000000"/>
        </w:rPr>
        <w:t>, which is the overall measurement of all environmental exposures over a lifespan, to reinforce causal inference regarding the protection from pollutant-related diseases under phytochemical consumption (</w:t>
      </w:r>
      <w:proofErr w:type="spellStart"/>
      <w:r>
        <w:rPr>
          <w:rFonts w:ascii="Times New Roman" w:eastAsia="Times New Roman" w:hAnsi="Times New Roman" w:cs="Times New Roman"/>
          <w:color w:val="000000"/>
        </w:rPr>
        <w:t>Ciupei</w:t>
      </w:r>
      <w:proofErr w:type="spellEnd"/>
      <w:r>
        <w:rPr>
          <w:rFonts w:ascii="Times New Roman" w:eastAsia="Times New Roman" w:hAnsi="Times New Roman" w:cs="Times New Roman"/>
          <w:color w:val="000000"/>
        </w:rPr>
        <w:t xml:space="preserve"> et al., 2024).</w:t>
      </w:r>
    </w:p>
    <w:p w14:paraId="016ABBA1"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Systems toxicology and computational modeling approaches can also be of benefit to the field. Computer docking and molecular dynamics simulations may be used to determine the interactions of phytochemicals with metal ions, antioxidant enzymes, and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proteins (Gonzalez-Rivera et al., 2023). In the meantime, AI-based toxicology modeling has the potential to combine experimental and clinical data to forecast compound behavior in human systems, optimize the structure-activity relationships, and design the next generation of phytochemicals with better potency and safety (</w:t>
      </w:r>
      <w:proofErr w:type="spellStart"/>
      <w:r>
        <w:rPr>
          <w:rFonts w:ascii="Times New Roman" w:eastAsia="Times New Roman" w:hAnsi="Times New Roman" w:cs="Times New Roman"/>
          <w:color w:val="000000"/>
        </w:rPr>
        <w:t>Raza</w:t>
      </w:r>
      <w:proofErr w:type="spellEnd"/>
      <w:r>
        <w:rPr>
          <w:rFonts w:ascii="Times New Roman" w:eastAsia="Times New Roman" w:hAnsi="Times New Roman" w:cs="Times New Roman"/>
          <w:color w:val="000000"/>
        </w:rPr>
        <w:t xml:space="preserve"> et al., 2024). These digital technologies can supplement laboratory-based research by accelerating the discovery and reducing the variability of experiments.</w:t>
      </w:r>
    </w:p>
    <w:p w14:paraId="76ACBDCA"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Functional food development and </w:t>
      </w:r>
      <w:proofErr w:type="spellStart"/>
      <w:r>
        <w:rPr>
          <w:rFonts w:ascii="Times New Roman" w:eastAsia="Times New Roman" w:hAnsi="Times New Roman" w:cs="Times New Roman"/>
          <w:color w:val="000000"/>
        </w:rPr>
        <w:t>nutraceutical</w:t>
      </w:r>
      <w:proofErr w:type="spellEnd"/>
      <w:r>
        <w:rPr>
          <w:rFonts w:ascii="Times New Roman" w:eastAsia="Times New Roman" w:hAnsi="Times New Roman" w:cs="Times New Roman"/>
          <w:color w:val="000000"/>
        </w:rPr>
        <w:t xml:space="preserve"> innovation provide viable opportunities of implementation, especially with a translational and societal viewpoint. The population-level prevention of chronic exposure to pollutants can be achieved by incorporating bioactive phytochemicals into the daily diet in fortified foods, beverages, or supplements (Tang et al., 2022). Its success lies in the </w:t>
      </w:r>
      <w:proofErr w:type="spellStart"/>
      <w:r>
        <w:rPr>
          <w:rFonts w:ascii="Times New Roman" w:eastAsia="Times New Roman" w:hAnsi="Times New Roman" w:cs="Times New Roman"/>
          <w:color w:val="000000"/>
        </w:rPr>
        <w:t>standardisation</w:t>
      </w:r>
      <w:proofErr w:type="spellEnd"/>
      <w:r>
        <w:rPr>
          <w:rFonts w:ascii="Times New Roman" w:eastAsia="Times New Roman" w:hAnsi="Times New Roman" w:cs="Times New Roman"/>
          <w:color w:val="000000"/>
        </w:rPr>
        <w:t xml:space="preserve"> of extraction, quantification, and control of quality through international regulatory </w:t>
      </w:r>
      <w:proofErr w:type="spellStart"/>
      <w:r>
        <w:rPr>
          <w:rFonts w:ascii="Times New Roman" w:eastAsia="Times New Roman" w:hAnsi="Times New Roman" w:cs="Times New Roman"/>
          <w:color w:val="000000"/>
        </w:rPr>
        <w:t>harmonisation</w:t>
      </w:r>
      <w:proofErr w:type="spellEnd"/>
      <w:r>
        <w:rPr>
          <w:rFonts w:ascii="Times New Roman" w:eastAsia="Times New Roman" w:hAnsi="Times New Roman" w:cs="Times New Roman"/>
          <w:color w:val="000000"/>
        </w:rPr>
        <w:t>, however (Chong et al., 2023). The environmental health policy should also encourage preventive nutrition through public health campaigns educating about the benefits of phytochemical-rich diets, especially in areas with abundant environmental pollution or occupational contact.</w:t>
      </w:r>
    </w:p>
    <w:p w14:paraId="5BF9F853"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Lastly, future phytochemical research should be informed by the considerations of sustainability and biodiversity. Plant biodiversity and hence diversity of phytochemical sources are endangered by climate change, soil degradation, and habitat loss (</w:t>
      </w: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et al., 2024). The focus of future research needs to be on </w:t>
      </w:r>
      <w:r>
        <w:rPr>
          <w:rFonts w:ascii="Times New Roman" w:eastAsia="Times New Roman" w:hAnsi="Times New Roman" w:cs="Times New Roman"/>
          <w:color w:val="000000"/>
        </w:rPr>
        <w:lastRenderedPageBreak/>
        <w:t>sustainable cultivation and biotechnological production strategy, including plant tissue culture, synthetic biology, and metabolic engineering, to garner constant, environmentally-friendly and ethically-acquired phytochemical sources (Zhu et al., 2023). These methods may also enable the identification of new compounds that have new antioxidant or detoxifying properties.</w:t>
      </w:r>
    </w:p>
    <w:p w14:paraId="1FB87CF8"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To conclude, the field of future research in this area should have an integrated, multidisciplinary character: this is the approach that should be implemented in the future, involving nanotechnology, systems biology, computational toxicology and sustainable </w:t>
      </w:r>
      <w:proofErr w:type="spellStart"/>
      <w:r>
        <w:rPr>
          <w:rFonts w:ascii="Times New Roman" w:eastAsia="Times New Roman" w:hAnsi="Times New Roman" w:cs="Times New Roman"/>
          <w:color w:val="000000"/>
        </w:rPr>
        <w:t>bioproduction</w:t>
      </w:r>
      <w:proofErr w:type="spellEnd"/>
      <w:r>
        <w:rPr>
          <w:rFonts w:ascii="Times New Roman" w:eastAsia="Times New Roman" w:hAnsi="Times New Roman" w:cs="Times New Roman"/>
          <w:color w:val="000000"/>
        </w:rPr>
        <w:t xml:space="preserve"> to address the limitations that exist today and improve the prospective approach to an improved use of phytochemicals. It will be important to enhance the translational evidence by clinical and epidemiological research to prove phytochemicals as scientifically validated agents to prevent and alleviate pollutant-induced oxidative stress and related diseases.</w:t>
      </w:r>
    </w:p>
    <w:p w14:paraId="039EF064" w14:textId="77777777" w:rsidR="005B1101" w:rsidRDefault="00C5085B">
      <w:pPr>
        <w:spacing w:before="240" w:after="240"/>
        <w:jc w:val="both"/>
        <w:rPr>
          <w:rFonts w:ascii="Times New Roman" w:eastAsia="Times New Roman" w:hAnsi="Times New Roman" w:cs="Times New Roman"/>
          <w:b/>
          <w:color w:val="000000"/>
        </w:rPr>
      </w:pPr>
      <w:r>
        <w:rPr>
          <w:rFonts w:ascii="Times New Roman" w:eastAsia="Times New Roman" w:hAnsi="Times New Roman" w:cs="Times New Roman"/>
          <w:b/>
          <w:color w:val="000000"/>
        </w:rPr>
        <w:t>7. Conclusion</w:t>
      </w:r>
    </w:p>
    <w:p w14:paraId="0378EBF2"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increased load of environmental contamination, especially with heavy metals and persistent organic pollutants, still remains a potential threat to human and ecological health, the workings of which are mostly based on oxidative stress. In the last decade, the literature has proven that oxidative stress is a convergent mechanism between exposure to pollutants and dysfunction of the cell, inflammation and the development of chronic diseases. To this effect, antioxidant phytochemicals have become a vital </w:t>
      </w:r>
      <w:proofErr w:type="spellStart"/>
      <w:r>
        <w:rPr>
          <w:rFonts w:ascii="Times New Roman" w:eastAsia="Times New Roman" w:hAnsi="Times New Roman" w:cs="Times New Roman"/>
          <w:color w:val="000000"/>
        </w:rPr>
        <w:t>defence</w:t>
      </w:r>
      <w:proofErr w:type="spellEnd"/>
      <w:r>
        <w:rPr>
          <w:rFonts w:ascii="Times New Roman" w:eastAsia="Times New Roman" w:hAnsi="Times New Roman" w:cs="Times New Roman"/>
          <w:color w:val="000000"/>
        </w:rPr>
        <w:t xml:space="preserve"> strategy, which provides natural, multi-targeted responses with the capacity to reduce the harmful impacts of reactive oxygen species (ROS) and favor endogenous </w:t>
      </w:r>
      <w:proofErr w:type="spellStart"/>
      <w:r>
        <w:rPr>
          <w:rFonts w:ascii="Times New Roman" w:eastAsia="Times New Roman" w:hAnsi="Times New Roman" w:cs="Times New Roman"/>
          <w:color w:val="000000"/>
        </w:rPr>
        <w:t>detoxication</w:t>
      </w:r>
      <w:proofErr w:type="spellEnd"/>
      <w:r>
        <w:rPr>
          <w:rFonts w:ascii="Times New Roman" w:eastAsia="Times New Roman" w:hAnsi="Times New Roman" w:cs="Times New Roman"/>
          <w:color w:val="000000"/>
        </w:rPr>
        <w:t>.</w:t>
      </w:r>
    </w:p>
    <w:p w14:paraId="51005E8E" w14:textId="77777777" w:rsidR="005B1101" w:rsidRDefault="00C5085B">
      <w:pPr>
        <w:spacing w:before="240" w:after="24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The evidence in this review has not only provided the synthesis of the classical and contemporary studies but has also demonstrated the mitigating effects of various </w:t>
      </w:r>
      <w:r>
        <w:rPr>
          <w:rFonts w:ascii="Times New Roman" w:eastAsia="Times New Roman" w:hAnsi="Times New Roman" w:cs="Times New Roman"/>
          <w:color w:val="000000"/>
        </w:rPr>
        <w:lastRenderedPageBreak/>
        <w:t xml:space="preserve">classes of phytochemicals, which include polyphenols, flavonoids, carotenoids, alkaloids as well as </w:t>
      </w:r>
      <w:proofErr w:type="spellStart"/>
      <w:r>
        <w:rPr>
          <w:rFonts w:ascii="Times New Roman" w:eastAsia="Times New Roman" w:hAnsi="Times New Roman" w:cs="Times New Roman"/>
          <w:color w:val="000000"/>
        </w:rPr>
        <w:t>organosulfur</w:t>
      </w:r>
      <w:proofErr w:type="spellEnd"/>
      <w:r>
        <w:rPr>
          <w:rFonts w:ascii="Times New Roman" w:eastAsia="Times New Roman" w:hAnsi="Times New Roman" w:cs="Times New Roman"/>
          <w:color w:val="000000"/>
        </w:rPr>
        <w:t xml:space="preserve"> compounds, in the biochemical and physiological impacts of pollutants. These compounds can restore the redox balance and inhibit cellular injury by acting through the Nrf2 signaling pathway, inactivation of antioxidant enzymes, and inhibition of </w:t>
      </w:r>
      <w:proofErr w:type="spellStart"/>
      <w:r>
        <w:rPr>
          <w:rFonts w:ascii="Times New Roman" w:eastAsia="Times New Roman" w:hAnsi="Times New Roman" w:cs="Times New Roman"/>
          <w:color w:val="000000"/>
        </w:rPr>
        <w:t>proinflammatory</w:t>
      </w:r>
      <w:proofErr w:type="spellEnd"/>
      <w:r>
        <w:rPr>
          <w:rFonts w:ascii="Times New Roman" w:eastAsia="Times New Roman" w:hAnsi="Times New Roman" w:cs="Times New Roman"/>
          <w:color w:val="000000"/>
        </w:rPr>
        <w:t xml:space="preserve"> mediators by metal chelation, Nrf2 signaling pathway, antioxidant enzyme, and </w:t>
      </w:r>
      <w:proofErr w:type="spellStart"/>
      <w:r>
        <w:rPr>
          <w:rFonts w:ascii="Times New Roman" w:eastAsia="Times New Roman" w:hAnsi="Times New Roman" w:cs="Times New Roman"/>
          <w:color w:val="000000"/>
        </w:rPr>
        <w:t>proinflammatory</w:t>
      </w:r>
      <w:proofErr w:type="spellEnd"/>
      <w:r>
        <w:rPr>
          <w:rFonts w:ascii="Times New Roman" w:eastAsia="Times New Roman" w:hAnsi="Times New Roman" w:cs="Times New Roman"/>
          <w:color w:val="000000"/>
        </w:rPr>
        <w:t xml:space="preserve"> mediator mechanisms, respectively. The reviewed evidence also establishes that phytochemicals are of great importance in preventing the occurrence of pathologies that are caused by pollutants, such as neurotoxicity, hepatotoxicity, nephrotoxicity, and cardiovascular disorders.</w:t>
      </w:r>
    </w:p>
    <w:p w14:paraId="16385DE8" w14:textId="77777777" w:rsidR="005B1101" w:rsidRDefault="00C5085B">
      <w:pPr>
        <w:jc w:val="both"/>
        <w:rPr>
          <w:rFonts w:ascii="Times New Roman" w:eastAsia="Times New Roman" w:hAnsi="Times New Roman" w:cs="Times New Roman"/>
          <w:color w:val="000000"/>
        </w:rPr>
        <w:sectPr w:rsidR="005B1101">
          <w:type w:val="continuous"/>
          <w:pgSz w:w="11909" w:h="16834"/>
          <w:pgMar w:top="720" w:right="720" w:bottom="720" w:left="720" w:header="720" w:footer="720" w:gutter="0"/>
          <w:cols w:num="2" w:space="720" w:equalWidth="0">
            <w:col w:w="4874" w:space="720"/>
            <w:col w:w="4874" w:space="0"/>
          </w:cols>
        </w:sectPr>
      </w:pPr>
      <w:bookmarkStart w:id="2" w:name="_cf52w2aivsgj" w:colFirst="0" w:colLast="0"/>
      <w:bookmarkEnd w:id="2"/>
      <w:r>
        <w:rPr>
          <w:rFonts w:ascii="Times New Roman" w:eastAsia="Times New Roman" w:hAnsi="Times New Roman" w:cs="Times New Roman"/>
          <w:color w:val="000000"/>
        </w:rPr>
        <w:t xml:space="preserve">The antioxidant properties of antioxidant phytochemicals are not limited to their direct effect of </w:t>
      </w:r>
      <w:proofErr w:type="spellStart"/>
      <w:r>
        <w:rPr>
          <w:rFonts w:ascii="Times New Roman" w:eastAsia="Times New Roman" w:hAnsi="Times New Roman" w:cs="Times New Roman"/>
          <w:color w:val="000000"/>
        </w:rPr>
        <w:t>neutralising</w:t>
      </w:r>
      <w:proofErr w:type="spellEnd"/>
      <w:r>
        <w:rPr>
          <w:rFonts w:ascii="Times New Roman" w:eastAsia="Times New Roman" w:hAnsi="Times New Roman" w:cs="Times New Roman"/>
          <w:color w:val="000000"/>
        </w:rPr>
        <w:t xml:space="preserve"> free radicals but can also regulate cellular </w:t>
      </w:r>
      <w:proofErr w:type="spellStart"/>
      <w:r>
        <w:rPr>
          <w:rFonts w:ascii="Times New Roman" w:eastAsia="Times New Roman" w:hAnsi="Times New Roman" w:cs="Times New Roman"/>
          <w:color w:val="000000"/>
        </w:rPr>
        <w:t>signalling</w:t>
      </w:r>
      <w:proofErr w:type="spellEnd"/>
      <w:r>
        <w:rPr>
          <w:rFonts w:ascii="Times New Roman" w:eastAsia="Times New Roman" w:hAnsi="Times New Roman" w:cs="Times New Roman"/>
          <w:color w:val="000000"/>
        </w:rPr>
        <w:t xml:space="preserve"> and gene expression, and are a dynamic interaction between the antioxidant phytochemicals and the pollutants. Although bioavailability, clinical validation, and mechanisms of delivery have remained challenging, nanotechnology, </w:t>
      </w:r>
      <w:proofErr w:type="spellStart"/>
      <w:r>
        <w:rPr>
          <w:rFonts w:ascii="Times New Roman" w:eastAsia="Times New Roman" w:hAnsi="Times New Roman" w:cs="Times New Roman"/>
          <w:color w:val="000000"/>
        </w:rPr>
        <w:t>omics</w:t>
      </w:r>
      <w:proofErr w:type="spellEnd"/>
      <w:r>
        <w:rPr>
          <w:rFonts w:ascii="Times New Roman" w:eastAsia="Times New Roman" w:hAnsi="Times New Roman" w:cs="Times New Roman"/>
          <w:color w:val="000000"/>
        </w:rPr>
        <w:t xml:space="preserve"> sciences, and artificial intelligence have seen improvements, improving the delivery, stability, and elucidation of the mechanisms of these compounds. Through computational modeling and molecular docking, the efficacy and toxicity can be predicted with high precision nowadays, and long-term availability is guaranteed by sustainable sourcing through green technologies and synthetic biology. The incorporation of phytochemicals in functional foods, dietary supplements and therapeutic products is a promising approach that can be executed without harming the environment as a counter-mechanism of combating oxidative stress caused by pollutants. In conclusion, antioxidant phytochemicals are a viable, scientifically based, and sustainable way of protecting human health and establishing a harmonious relationship with the environment.</w:t>
      </w:r>
    </w:p>
    <w:p w14:paraId="0B774B7A" w14:textId="77777777" w:rsidR="005B1101" w:rsidRDefault="005B1101">
      <w:pPr>
        <w:jc w:val="both"/>
        <w:rPr>
          <w:rFonts w:ascii="Times New Roman" w:eastAsia="Times New Roman" w:hAnsi="Times New Roman" w:cs="Times New Roman"/>
          <w:b/>
          <w:color w:val="000000"/>
        </w:rPr>
      </w:pPr>
    </w:p>
    <w:p w14:paraId="1C47E225" w14:textId="77777777" w:rsidR="00120DDC" w:rsidRDefault="00120DDC" w:rsidP="00120DDC">
      <w:pPr>
        <w:shd w:val="clear" w:color="auto" w:fill="FFFFFF"/>
        <w:spacing w:line="240" w:lineRule="auto"/>
        <w:jc w:val="both"/>
        <w:rPr>
          <w:sz w:val="20"/>
          <w:szCs w:val="20"/>
        </w:rPr>
      </w:pPr>
    </w:p>
    <w:p w14:paraId="0CBB77F1" w14:textId="77777777" w:rsidR="00120DDC" w:rsidRDefault="00120DDC" w:rsidP="00120DDC">
      <w:pPr>
        <w:rPr>
          <w:rFonts w:ascii="Calibri" w:eastAsia="Calibri" w:hAnsi="Calibri" w:cs="Times New Roman"/>
          <w:kern w:val="2"/>
          <w:highlight w:val="yellow"/>
        </w:rPr>
      </w:pPr>
      <w:bookmarkStart w:id="3" w:name="_Hlk204003461"/>
    </w:p>
    <w:p w14:paraId="0EF50B81" w14:textId="77777777" w:rsidR="00120DDC" w:rsidRPr="00C77BBA" w:rsidRDefault="00120DDC" w:rsidP="00120DDC">
      <w:pPr>
        <w:rPr>
          <w:rFonts w:ascii="Times New Roman" w:eastAsia="Calibri" w:hAnsi="Times New Roman" w:cs="Times New Roman"/>
          <w:b/>
          <w:kern w:val="2"/>
          <w:sz w:val="28"/>
          <w:szCs w:val="28"/>
        </w:rPr>
      </w:pPr>
      <w:bookmarkStart w:id="4" w:name="_Hlk211509776"/>
      <w:r w:rsidRPr="00C77BBA">
        <w:rPr>
          <w:rFonts w:ascii="Times New Roman" w:eastAsia="Calibri" w:hAnsi="Times New Roman" w:cs="Times New Roman"/>
          <w:b/>
          <w:kern w:val="2"/>
          <w:sz w:val="28"/>
          <w:szCs w:val="28"/>
        </w:rPr>
        <w:t>Disclaimer (Artificial intelligence)</w:t>
      </w:r>
    </w:p>
    <w:p w14:paraId="16684423" w14:textId="77777777" w:rsidR="00120DDC" w:rsidRPr="00C77BBA" w:rsidRDefault="00120DDC" w:rsidP="00120DDC">
      <w:pPr>
        <w:rPr>
          <w:rFonts w:ascii="Times New Roman" w:eastAsia="Calibri" w:hAnsi="Times New Roman" w:cs="Times New Roman"/>
          <w:kern w:val="2"/>
          <w:sz w:val="24"/>
          <w:szCs w:val="24"/>
        </w:rPr>
      </w:pPr>
      <w:r w:rsidRPr="00C77BBA">
        <w:rPr>
          <w:rFonts w:ascii="Times New Roman" w:eastAsia="Calibri" w:hAnsi="Times New Roman" w:cs="Times New Roman"/>
          <w:kern w:val="2"/>
          <w:sz w:val="24"/>
          <w:szCs w:val="24"/>
        </w:rPr>
        <w:t>Author(s) hereby declare that NO gene</w:t>
      </w:r>
      <w:bookmarkStart w:id="5" w:name="_GoBack"/>
      <w:bookmarkEnd w:id="5"/>
      <w:r w:rsidRPr="00C77BBA">
        <w:rPr>
          <w:rFonts w:ascii="Times New Roman" w:eastAsia="Calibri" w:hAnsi="Times New Roman" w:cs="Times New Roman"/>
          <w:kern w:val="2"/>
          <w:sz w:val="24"/>
          <w:szCs w:val="24"/>
        </w:rPr>
        <w:t>rative AI technologies such as Large Language Models (</w:t>
      </w:r>
      <w:proofErr w:type="spellStart"/>
      <w:r w:rsidRPr="00C77BBA">
        <w:rPr>
          <w:rFonts w:ascii="Times New Roman" w:eastAsia="Calibri" w:hAnsi="Times New Roman" w:cs="Times New Roman"/>
          <w:kern w:val="2"/>
          <w:sz w:val="24"/>
          <w:szCs w:val="24"/>
        </w:rPr>
        <w:t>ChatGPT</w:t>
      </w:r>
      <w:proofErr w:type="spellEnd"/>
      <w:r w:rsidRPr="00C77BBA">
        <w:rPr>
          <w:rFonts w:ascii="Times New Roman" w:eastAsia="Calibri" w:hAnsi="Times New Roman" w:cs="Times New Roman"/>
          <w:kern w:val="2"/>
          <w:sz w:val="24"/>
          <w:szCs w:val="24"/>
        </w:rPr>
        <w:t xml:space="preserve">, COPILOT, etc.) and text-to-image generators have been used during the writing or editing of this manuscript. </w:t>
      </w:r>
    </w:p>
    <w:p w14:paraId="63785E21" w14:textId="4E09658E" w:rsidR="00120DDC" w:rsidRPr="00C77BBA" w:rsidRDefault="00120DDC" w:rsidP="00120DDC">
      <w:pPr>
        <w:rPr>
          <w:rFonts w:ascii="Times New Roman" w:eastAsia="Calibri" w:hAnsi="Times New Roman" w:cs="Times New Roman"/>
          <w:kern w:val="2"/>
          <w:sz w:val="24"/>
          <w:szCs w:val="24"/>
        </w:rPr>
      </w:pPr>
    </w:p>
    <w:bookmarkEnd w:id="3"/>
    <w:bookmarkEnd w:id="4"/>
    <w:p w14:paraId="7A9731A7" w14:textId="77777777" w:rsidR="005B1101" w:rsidRPr="00C77BBA" w:rsidRDefault="00C5085B">
      <w:pPr>
        <w:rPr>
          <w:rFonts w:ascii="Times New Roman" w:eastAsia="Times New Roman" w:hAnsi="Times New Roman" w:cs="Times New Roman"/>
          <w:b/>
          <w:color w:val="000000"/>
          <w:sz w:val="24"/>
          <w:szCs w:val="24"/>
        </w:rPr>
      </w:pPr>
      <w:r w:rsidRPr="00C77BBA">
        <w:rPr>
          <w:rFonts w:ascii="Times New Roman" w:hAnsi="Times New Roman" w:cs="Times New Roman"/>
          <w:sz w:val="24"/>
          <w:szCs w:val="24"/>
        </w:rPr>
        <w:br w:type="page"/>
      </w:r>
    </w:p>
    <w:p w14:paraId="1558C590" w14:textId="77777777" w:rsidR="005B1101" w:rsidRDefault="00C5085B">
      <w:pPr>
        <w:ind w:left="360"/>
        <w:jc w:val="both"/>
        <w:rPr>
          <w:rFonts w:ascii="Times New Roman" w:eastAsia="Times New Roman" w:hAnsi="Times New Roman" w:cs="Times New Roman"/>
          <w:b/>
          <w:color w:val="000000"/>
          <w:highlight w:val="white"/>
        </w:rPr>
      </w:pPr>
      <w:r>
        <w:rPr>
          <w:rFonts w:ascii="Times New Roman" w:eastAsia="Times New Roman" w:hAnsi="Times New Roman" w:cs="Times New Roman"/>
          <w:b/>
          <w:color w:val="000000"/>
          <w:highlight w:val="white"/>
        </w:rPr>
        <w:lastRenderedPageBreak/>
        <w:t>References</w:t>
      </w:r>
    </w:p>
    <w:p w14:paraId="099FDC63"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Al-</w:t>
      </w:r>
      <w:proofErr w:type="spellStart"/>
      <w:r>
        <w:rPr>
          <w:rFonts w:ascii="Times New Roman" w:eastAsia="Times New Roman" w:hAnsi="Times New Roman" w:cs="Times New Roman"/>
          <w:color w:val="000000"/>
        </w:rPr>
        <w:t>Zharani</w:t>
      </w:r>
      <w:proofErr w:type="spellEnd"/>
      <w:r>
        <w:rPr>
          <w:rFonts w:ascii="Times New Roman" w:eastAsia="Times New Roman" w:hAnsi="Times New Roman" w:cs="Times New Roman"/>
          <w:color w:val="000000"/>
        </w:rPr>
        <w:t xml:space="preserve">, M., Mubarak, M., </w:t>
      </w:r>
      <w:proofErr w:type="spellStart"/>
      <w:r>
        <w:rPr>
          <w:rFonts w:ascii="Times New Roman" w:eastAsia="Times New Roman" w:hAnsi="Times New Roman" w:cs="Times New Roman"/>
          <w:color w:val="000000"/>
        </w:rPr>
        <w:t>Rudayni</w:t>
      </w:r>
      <w:proofErr w:type="spellEnd"/>
      <w:r>
        <w:rPr>
          <w:rFonts w:ascii="Times New Roman" w:eastAsia="Times New Roman" w:hAnsi="Times New Roman" w:cs="Times New Roman"/>
          <w:color w:val="000000"/>
        </w:rPr>
        <w:t>, H. A., Al-</w:t>
      </w:r>
      <w:proofErr w:type="spellStart"/>
      <w:r>
        <w:rPr>
          <w:rFonts w:ascii="Times New Roman" w:eastAsia="Times New Roman" w:hAnsi="Times New Roman" w:cs="Times New Roman"/>
          <w:color w:val="000000"/>
        </w:rPr>
        <w:t>Doaiss</w:t>
      </w:r>
      <w:proofErr w:type="spellEnd"/>
      <w:r>
        <w:rPr>
          <w:rFonts w:ascii="Times New Roman" w:eastAsia="Times New Roman" w:hAnsi="Times New Roman" w:cs="Times New Roman"/>
          <w:color w:val="000000"/>
        </w:rPr>
        <w:t xml:space="preserve">, A. A., </w:t>
      </w:r>
      <w:proofErr w:type="spellStart"/>
      <w:r>
        <w:rPr>
          <w:rFonts w:ascii="Times New Roman" w:eastAsia="Times New Roman" w:hAnsi="Times New Roman" w:cs="Times New Roman"/>
          <w:color w:val="000000"/>
        </w:rPr>
        <w:t>Abd-Elwahab</w:t>
      </w:r>
      <w:proofErr w:type="spellEnd"/>
      <w:r>
        <w:rPr>
          <w:rFonts w:ascii="Times New Roman" w:eastAsia="Times New Roman" w:hAnsi="Times New Roman" w:cs="Times New Roman"/>
          <w:color w:val="000000"/>
        </w:rPr>
        <w:t>, M. M., &amp; Al-</w:t>
      </w:r>
      <w:proofErr w:type="spellStart"/>
      <w:r>
        <w:rPr>
          <w:rFonts w:ascii="Times New Roman" w:eastAsia="Times New Roman" w:hAnsi="Times New Roman" w:cs="Times New Roman"/>
          <w:color w:val="000000"/>
        </w:rPr>
        <w:t>Eissa</w:t>
      </w:r>
      <w:proofErr w:type="spellEnd"/>
      <w:r>
        <w:rPr>
          <w:rFonts w:ascii="Times New Roman" w:eastAsia="Times New Roman" w:hAnsi="Times New Roman" w:cs="Times New Roman"/>
          <w:color w:val="000000"/>
        </w:rPr>
        <w:t xml:space="preserve">, M. S. (2023). </w:t>
      </w: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xml:space="preserve"> as a dietary supplementary flavonoid alleviates the oxidative stress induced by lead toxicity in male </w:t>
      </w:r>
      <w:proofErr w:type="spellStart"/>
      <w:r>
        <w:rPr>
          <w:rFonts w:ascii="Times New Roman" w:eastAsia="Times New Roman" w:hAnsi="Times New Roman" w:cs="Times New Roman"/>
          <w:color w:val="000000"/>
        </w:rPr>
        <w:t>Wistar</w:t>
      </w:r>
      <w:proofErr w:type="spellEnd"/>
      <w:r>
        <w:rPr>
          <w:rFonts w:ascii="Times New Roman" w:eastAsia="Times New Roman" w:hAnsi="Times New Roman" w:cs="Times New Roman"/>
          <w:color w:val="000000"/>
        </w:rPr>
        <w:t xml:space="preserve"> rats. Nutrients, 15(8), 1888. </w:t>
      </w:r>
      <w:hyperlink r:id="rId19">
        <w:r>
          <w:rPr>
            <w:rFonts w:ascii="Times New Roman" w:eastAsia="Times New Roman" w:hAnsi="Times New Roman" w:cs="Times New Roman"/>
            <w:color w:val="000000"/>
            <w:u w:val="single"/>
          </w:rPr>
          <w:t>https://doi.org/10.3390/nu15081888</w:t>
        </w:r>
      </w:hyperlink>
    </w:p>
    <w:p w14:paraId="54D688D9"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Angon</w:t>
      </w:r>
      <w:proofErr w:type="spellEnd"/>
      <w:r>
        <w:rPr>
          <w:rFonts w:ascii="Times New Roman" w:eastAsia="Times New Roman" w:hAnsi="Times New Roman" w:cs="Times New Roman"/>
          <w:color w:val="000000"/>
        </w:rPr>
        <w:t xml:space="preserve">, P. B., Islam, M. S., Das, A., </w:t>
      </w:r>
      <w:proofErr w:type="spellStart"/>
      <w:r>
        <w:rPr>
          <w:rFonts w:ascii="Times New Roman" w:eastAsia="Times New Roman" w:hAnsi="Times New Roman" w:cs="Times New Roman"/>
          <w:color w:val="000000"/>
        </w:rPr>
        <w:t>Anjum</w:t>
      </w:r>
      <w:proofErr w:type="spellEnd"/>
      <w:r>
        <w:rPr>
          <w:rFonts w:ascii="Times New Roman" w:eastAsia="Times New Roman" w:hAnsi="Times New Roman" w:cs="Times New Roman"/>
          <w:color w:val="000000"/>
        </w:rPr>
        <w:t xml:space="preserve">, N., </w:t>
      </w:r>
      <w:proofErr w:type="spellStart"/>
      <w:r>
        <w:rPr>
          <w:rFonts w:ascii="Times New Roman" w:eastAsia="Times New Roman" w:hAnsi="Times New Roman" w:cs="Times New Roman"/>
          <w:color w:val="000000"/>
        </w:rPr>
        <w:t>Poudel</w:t>
      </w:r>
      <w:proofErr w:type="spellEnd"/>
      <w:r>
        <w:rPr>
          <w:rFonts w:ascii="Times New Roman" w:eastAsia="Times New Roman" w:hAnsi="Times New Roman" w:cs="Times New Roman"/>
          <w:color w:val="000000"/>
        </w:rPr>
        <w:t xml:space="preserve">, A., &amp; </w:t>
      </w:r>
      <w:proofErr w:type="spellStart"/>
      <w:r>
        <w:rPr>
          <w:rFonts w:ascii="Times New Roman" w:eastAsia="Times New Roman" w:hAnsi="Times New Roman" w:cs="Times New Roman"/>
          <w:color w:val="000000"/>
        </w:rPr>
        <w:t>Suchi</w:t>
      </w:r>
      <w:proofErr w:type="spellEnd"/>
      <w:r>
        <w:rPr>
          <w:rFonts w:ascii="Times New Roman" w:eastAsia="Times New Roman" w:hAnsi="Times New Roman" w:cs="Times New Roman"/>
          <w:color w:val="000000"/>
        </w:rPr>
        <w:t xml:space="preserve">, S. A. (2024). Sources, effects and present perspectives of heavy metals contamination: Soil, plants and human food chain. </w:t>
      </w:r>
      <w:proofErr w:type="spellStart"/>
      <w:r>
        <w:rPr>
          <w:rFonts w:ascii="Times New Roman" w:eastAsia="Times New Roman" w:hAnsi="Times New Roman" w:cs="Times New Roman"/>
          <w:color w:val="000000"/>
        </w:rPr>
        <w:t>Heliyon</w:t>
      </w:r>
      <w:proofErr w:type="spellEnd"/>
      <w:r>
        <w:rPr>
          <w:rFonts w:ascii="Times New Roman" w:eastAsia="Times New Roman" w:hAnsi="Times New Roman" w:cs="Times New Roman"/>
          <w:color w:val="000000"/>
        </w:rPr>
        <w:t>, 10(7).</w:t>
      </w:r>
    </w:p>
    <w:p w14:paraId="454CC03A"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Balali</w:t>
      </w:r>
      <w:proofErr w:type="spellEnd"/>
      <w:r>
        <w:rPr>
          <w:rFonts w:ascii="Times New Roman" w:eastAsia="Times New Roman" w:hAnsi="Times New Roman" w:cs="Times New Roman"/>
          <w:color w:val="000000"/>
          <w:highlight w:val="white"/>
        </w:rPr>
        <w:t xml:space="preserve">-Mood, M., </w:t>
      </w:r>
      <w:proofErr w:type="spellStart"/>
      <w:r>
        <w:rPr>
          <w:rFonts w:ascii="Times New Roman" w:eastAsia="Times New Roman" w:hAnsi="Times New Roman" w:cs="Times New Roman"/>
          <w:color w:val="000000"/>
          <w:highlight w:val="white"/>
        </w:rPr>
        <w:t>Naseri</w:t>
      </w:r>
      <w:proofErr w:type="spellEnd"/>
      <w:r>
        <w:rPr>
          <w:rFonts w:ascii="Times New Roman" w:eastAsia="Times New Roman" w:hAnsi="Times New Roman" w:cs="Times New Roman"/>
          <w:color w:val="000000"/>
          <w:highlight w:val="white"/>
        </w:rPr>
        <w:t xml:space="preserve">, K., </w:t>
      </w:r>
      <w:proofErr w:type="spellStart"/>
      <w:r>
        <w:rPr>
          <w:rFonts w:ascii="Times New Roman" w:eastAsia="Times New Roman" w:hAnsi="Times New Roman" w:cs="Times New Roman"/>
          <w:color w:val="000000"/>
          <w:highlight w:val="white"/>
        </w:rPr>
        <w:t>Tahergorabi</w:t>
      </w:r>
      <w:proofErr w:type="spellEnd"/>
      <w:r>
        <w:rPr>
          <w:rFonts w:ascii="Times New Roman" w:eastAsia="Times New Roman" w:hAnsi="Times New Roman" w:cs="Times New Roman"/>
          <w:color w:val="000000"/>
          <w:highlight w:val="white"/>
        </w:rPr>
        <w:t xml:space="preserve">, Z., </w:t>
      </w:r>
      <w:proofErr w:type="spellStart"/>
      <w:r>
        <w:rPr>
          <w:rFonts w:ascii="Times New Roman" w:eastAsia="Times New Roman" w:hAnsi="Times New Roman" w:cs="Times New Roman"/>
          <w:color w:val="000000"/>
          <w:highlight w:val="white"/>
        </w:rPr>
        <w:t>Khazdair</w:t>
      </w:r>
      <w:proofErr w:type="spellEnd"/>
      <w:r>
        <w:rPr>
          <w:rFonts w:ascii="Times New Roman" w:eastAsia="Times New Roman" w:hAnsi="Times New Roman" w:cs="Times New Roman"/>
          <w:color w:val="000000"/>
          <w:highlight w:val="white"/>
        </w:rPr>
        <w:t xml:space="preserve">, M. R., &amp; </w:t>
      </w:r>
      <w:proofErr w:type="spellStart"/>
      <w:r>
        <w:rPr>
          <w:rFonts w:ascii="Times New Roman" w:eastAsia="Times New Roman" w:hAnsi="Times New Roman" w:cs="Times New Roman"/>
          <w:color w:val="000000"/>
          <w:highlight w:val="white"/>
        </w:rPr>
        <w:t>Sadeghi</w:t>
      </w:r>
      <w:proofErr w:type="spellEnd"/>
      <w:r>
        <w:rPr>
          <w:rFonts w:ascii="Times New Roman" w:eastAsia="Times New Roman" w:hAnsi="Times New Roman" w:cs="Times New Roman"/>
          <w:color w:val="000000"/>
          <w:highlight w:val="white"/>
        </w:rPr>
        <w:t>, M. (2021). Toxic mechanisms of five heavy metals: mercury, lead, chromium, cadmium, and arsenic. </w:t>
      </w:r>
      <w:r>
        <w:rPr>
          <w:rFonts w:ascii="Times New Roman" w:eastAsia="Times New Roman" w:hAnsi="Times New Roman" w:cs="Times New Roman"/>
          <w:i/>
          <w:color w:val="000000"/>
          <w:highlight w:val="white"/>
        </w:rPr>
        <w:t>Frontiers in pharmacology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 643972.</w:t>
      </w:r>
    </w:p>
    <w:p w14:paraId="2C775148"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Bertoncini</w:t>
      </w:r>
      <w:proofErr w:type="spellEnd"/>
      <w:r>
        <w:rPr>
          <w:rFonts w:ascii="Times New Roman" w:eastAsia="Times New Roman" w:hAnsi="Times New Roman" w:cs="Times New Roman"/>
          <w:color w:val="000000"/>
        </w:rPr>
        <w:t xml:space="preserve">-Silva, K. M., </w:t>
      </w:r>
      <w:proofErr w:type="spellStart"/>
      <w:r>
        <w:rPr>
          <w:rFonts w:ascii="Times New Roman" w:eastAsia="Times New Roman" w:hAnsi="Times New Roman" w:cs="Times New Roman"/>
          <w:color w:val="000000"/>
        </w:rPr>
        <w:t>Vlad</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Ricciarelli</w:t>
      </w:r>
      <w:proofErr w:type="spellEnd"/>
      <w:r>
        <w:rPr>
          <w:rFonts w:ascii="Times New Roman" w:eastAsia="Times New Roman" w:hAnsi="Times New Roman" w:cs="Times New Roman"/>
          <w:color w:val="000000"/>
        </w:rPr>
        <w:t xml:space="preserve">, R., </w:t>
      </w:r>
      <w:proofErr w:type="spellStart"/>
      <w:r>
        <w:rPr>
          <w:rFonts w:ascii="Times New Roman" w:eastAsia="Times New Roman" w:hAnsi="Times New Roman" w:cs="Times New Roman"/>
          <w:color w:val="000000"/>
        </w:rPr>
        <w:t>Fassini</w:t>
      </w:r>
      <w:proofErr w:type="spellEnd"/>
      <w:r>
        <w:rPr>
          <w:rFonts w:ascii="Times New Roman" w:eastAsia="Times New Roman" w:hAnsi="Times New Roman" w:cs="Times New Roman"/>
          <w:color w:val="000000"/>
        </w:rPr>
        <w:t xml:space="preserve">, P. G., </w:t>
      </w:r>
      <w:proofErr w:type="spellStart"/>
      <w:r>
        <w:rPr>
          <w:rFonts w:ascii="Times New Roman" w:eastAsia="Times New Roman" w:hAnsi="Times New Roman" w:cs="Times New Roman"/>
          <w:color w:val="000000"/>
        </w:rPr>
        <w:t>Suen</w:t>
      </w:r>
      <w:proofErr w:type="spellEnd"/>
      <w:r>
        <w:rPr>
          <w:rFonts w:ascii="Times New Roman" w:eastAsia="Times New Roman" w:hAnsi="Times New Roman" w:cs="Times New Roman"/>
          <w:color w:val="000000"/>
        </w:rPr>
        <w:t xml:space="preserve">, V. M. M., &amp; </w:t>
      </w:r>
      <w:proofErr w:type="spellStart"/>
      <w:r>
        <w:rPr>
          <w:rFonts w:ascii="Times New Roman" w:eastAsia="Times New Roman" w:hAnsi="Times New Roman" w:cs="Times New Roman"/>
          <w:color w:val="000000"/>
        </w:rPr>
        <w:t>Zingg</w:t>
      </w:r>
      <w:proofErr w:type="spellEnd"/>
      <w:r>
        <w:rPr>
          <w:rFonts w:ascii="Times New Roman" w:eastAsia="Times New Roman" w:hAnsi="Times New Roman" w:cs="Times New Roman"/>
          <w:color w:val="000000"/>
        </w:rPr>
        <w:t xml:space="preserve">, J.-M. (2024). Enhancing the bioavailability and bioactivity of </w:t>
      </w:r>
      <w:proofErr w:type="spellStart"/>
      <w:r>
        <w:rPr>
          <w:rFonts w:ascii="Times New Roman" w:eastAsia="Times New Roman" w:hAnsi="Times New Roman" w:cs="Times New Roman"/>
          <w:color w:val="000000"/>
        </w:rPr>
        <w:t>curcumin</w:t>
      </w:r>
      <w:proofErr w:type="spellEnd"/>
      <w:r>
        <w:rPr>
          <w:rFonts w:ascii="Times New Roman" w:eastAsia="Times New Roman" w:hAnsi="Times New Roman" w:cs="Times New Roman"/>
          <w:color w:val="000000"/>
        </w:rPr>
        <w:t xml:space="preserve"> for disease prevention and treatment. Antioxidants, 13(3), 331. https://doi.org/10.3390/antiox13030331</w:t>
      </w:r>
    </w:p>
    <w:p w14:paraId="7875F352"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Bhattacharjee</w:t>
      </w:r>
      <w:proofErr w:type="spellEnd"/>
      <w:r>
        <w:rPr>
          <w:rFonts w:ascii="Times New Roman" w:eastAsia="Times New Roman" w:hAnsi="Times New Roman" w:cs="Times New Roman"/>
          <w:color w:val="000000"/>
          <w:highlight w:val="white"/>
        </w:rPr>
        <w:t>, S. (2019). ROS and oxidative stress: origin and implication. In </w:t>
      </w:r>
      <w:r>
        <w:rPr>
          <w:rFonts w:ascii="Times New Roman" w:eastAsia="Times New Roman" w:hAnsi="Times New Roman" w:cs="Times New Roman"/>
          <w:i/>
          <w:color w:val="000000"/>
          <w:highlight w:val="white"/>
        </w:rPr>
        <w:t>Reactive oxygen species in plant biology</w:t>
      </w:r>
      <w:r>
        <w:rPr>
          <w:rFonts w:ascii="Times New Roman" w:eastAsia="Times New Roman" w:hAnsi="Times New Roman" w:cs="Times New Roman"/>
          <w:color w:val="000000"/>
          <w:highlight w:val="white"/>
        </w:rPr>
        <w:t> (pp. 1-31). New Delhi: Springer India.</w:t>
      </w:r>
    </w:p>
    <w:p w14:paraId="60048B85"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Ceramella</w:t>
      </w:r>
      <w:proofErr w:type="spellEnd"/>
      <w:r>
        <w:rPr>
          <w:rFonts w:ascii="Times New Roman" w:eastAsia="Times New Roman" w:hAnsi="Times New Roman" w:cs="Times New Roman"/>
          <w:color w:val="000000"/>
        </w:rPr>
        <w:t xml:space="preserve">, J., De </w:t>
      </w:r>
      <w:proofErr w:type="spellStart"/>
      <w:r>
        <w:rPr>
          <w:rFonts w:ascii="Times New Roman" w:eastAsia="Times New Roman" w:hAnsi="Times New Roman" w:cs="Times New Roman"/>
          <w:color w:val="000000"/>
        </w:rPr>
        <w:t>Maio</w:t>
      </w:r>
      <w:proofErr w:type="spellEnd"/>
      <w:r>
        <w:rPr>
          <w:rFonts w:ascii="Times New Roman" w:eastAsia="Times New Roman" w:hAnsi="Times New Roman" w:cs="Times New Roman"/>
          <w:color w:val="000000"/>
        </w:rPr>
        <w:t xml:space="preserve">, A. C., </w:t>
      </w:r>
      <w:proofErr w:type="spellStart"/>
      <w:r>
        <w:rPr>
          <w:rFonts w:ascii="Times New Roman" w:eastAsia="Times New Roman" w:hAnsi="Times New Roman" w:cs="Times New Roman"/>
          <w:color w:val="000000"/>
        </w:rPr>
        <w:t>Basile</w:t>
      </w:r>
      <w:proofErr w:type="spellEnd"/>
      <w:r>
        <w:rPr>
          <w:rFonts w:ascii="Times New Roman" w:eastAsia="Times New Roman" w:hAnsi="Times New Roman" w:cs="Times New Roman"/>
          <w:color w:val="000000"/>
        </w:rPr>
        <w:t xml:space="preserve">, G., </w:t>
      </w:r>
      <w:proofErr w:type="spellStart"/>
      <w:r>
        <w:rPr>
          <w:rFonts w:ascii="Times New Roman" w:eastAsia="Times New Roman" w:hAnsi="Times New Roman" w:cs="Times New Roman"/>
          <w:color w:val="000000"/>
        </w:rPr>
        <w:t>Facente</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Scali</w:t>
      </w:r>
      <w:proofErr w:type="spellEnd"/>
      <w:r>
        <w:rPr>
          <w:rFonts w:ascii="Times New Roman" w:eastAsia="Times New Roman" w:hAnsi="Times New Roman" w:cs="Times New Roman"/>
          <w:color w:val="000000"/>
        </w:rPr>
        <w:t xml:space="preserve">, E., </w:t>
      </w:r>
      <w:proofErr w:type="spellStart"/>
      <w:r>
        <w:rPr>
          <w:rFonts w:ascii="Times New Roman" w:eastAsia="Times New Roman" w:hAnsi="Times New Roman" w:cs="Times New Roman"/>
          <w:color w:val="000000"/>
        </w:rPr>
        <w:t>Andreu</w:t>
      </w:r>
      <w:proofErr w:type="spellEnd"/>
      <w:r>
        <w:rPr>
          <w:rFonts w:ascii="Times New Roman" w:eastAsia="Times New Roman" w:hAnsi="Times New Roman" w:cs="Times New Roman"/>
          <w:color w:val="000000"/>
        </w:rPr>
        <w:t xml:space="preserve">, I., </w:t>
      </w:r>
      <w:proofErr w:type="spellStart"/>
      <w:r>
        <w:rPr>
          <w:rFonts w:ascii="Times New Roman" w:eastAsia="Times New Roman" w:hAnsi="Times New Roman" w:cs="Times New Roman"/>
          <w:color w:val="000000"/>
        </w:rPr>
        <w:t>Sinicropi</w:t>
      </w:r>
      <w:proofErr w:type="spellEnd"/>
      <w:r>
        <w:rPr>
          <w:rFonts w:ascii="Times New Roman" w:eastAsia="Times New Roman" w:hAnsi="Times New Roman" w:cs="Times New Roman"/>
          <w:color w:val="000000"/>
        </w:rPr>
        <w:t xml:space="preserve">, M. S., </w:t>
      </w:r>
      <w:proofErr w:type="spellStart"/>
      <w:r>
        <w:rPr>
          <w:rFonts w:ascii="Times New Roman" w:eastAsia="Times New Roman" w:hAnsi="Times New Roman" w:cs="Times New Roman"/>
          <w:color w:val="000000"/>
        </w:rPr>
        <w:t>Iacopetta</w:t>
      </w:r>
      <w:proofErr w:type="spellEnd"/>
      <w:r>
        <w:rPr>
          <w:rFonts w:ascii="Times New Roman" w:eastAsia="Times New Roman" w:hAnsi="Times New Roman" w:cs="Times New Roman"/>
          <w:color w:val="000000"/>
        </w:rPr>
        <w:t>, D., &amp; Catalano, A. (2024). Phytochemicals involved in mitigating silent toxicity induced by heavy metals. Foods, 13(7), 978. https://doi.org/10.3390/foods13070978</w:t>
      </w:r>
    </w:p>
    <w:p w14:paraId="29695B8A"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Chen, Q., </w:t>
      </w:r>
      <w:proofErr w:type="spellStart"/>
      <w:r>
        <w:rPr>
          <w:rFonts w:ascii="Times New Roman" w:eastAsia="Times New Roman" w:hAnsi="Times New Roman" w:cs="Times New Roman"/>
          <w:color w:val="000000"/>
          <w:highlight w:val="white"/>
        </w:rPr>
        <w:t>Ruan</w:t>
      </w:r>
      <w:proofErr w:type="spellEnd"/>
      <w:r>
        <w:rPr>
          <w:rFonts w:ascii="Times New Roman" w:eastAsia="Times New Roman" w:hAnsi="Times New Roman" w:cs="Times New Roman"/>
          <w:color w:val="000000"/>
          <w:highlight w:val="white"/>
        </w:rPr>
        <w:t xml:space="preserve">, D., Shi, J., Du, D., &amp; </w:t>
      </w:r>
      <w:proofErr w:type="spellStart"/>
      <w:r>
        <w:rPr>
          <w:rFonts w:ascii="Times New Roman" w:eastAsia="Times New Roman" w:hAnsi="Times New Roman" w:cs="Times New Roman"/>
          <w:color w:val="000000"/>
          <w:highlight w:val="white"/>
        </w:rPr>
        <w:t>Bian</w:t>
      </w:r>
      <w:proofErr w:type="spellEnd"/>
      <w:r>
        <w:rPr>
          <w:rFonts w:ascii="Times New Roman" w:eastAsia="Times New Roman" w:hAnsi="Times New Roman" w:cs="Times New Roman"/>
          <w:color w:val="000000"/>
          <w:highlight w:val="white"/>
        </w:rPr>
        <w:t>, C. (2023). The multifaceted roles of natural products in mitochondrial dysfunction. </w:t>
      </w:r>
      <w:r>
        <w:rPr>
          <w:rFonts w:ascii="Times New Roman" w:eastAsia="Times New Roman" w:hAnsi="Times New Roman" w:cs="Times New Roman"/>
          <w:i/>
          <w:color w:val="000000"/>
          <w:highlight w:val="white"/>
        </w:rPr>
        <w:t>Frontiers in Pharmacology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14</w:t>
      </w:r>
      <w:r>
        <w:rPr>
          <w:rFonts w:ascii="Times New Roman" w:eastAsia="Times New Roman" w:hAnsi="Times New Roman" w:cs="Times New Roman"/>
          <w:color w:val="000000"/>
          <w:highlight w:val="white"/>
        </w:rPr>
        <w:t xml:space="preserve">, 1093038. Chen, Q., </w:t>
      </w:r>
      <w:proofErr w:type="spellStart"/>
      <w:r>
        <w:rPr>
          <w:rFonts w:ascii="Times New Roman" w:eastAsia="Times New Roman" w:hAnsi="Times New Roman" w:cs="Times New Roman"/>
          <w:color w:val="000000"/>
          <w:highlight w:val="white"/>
        </w:rPr>
        <w:t>Ruan</w:t>
      </w:r>
      <w:proofErr w:type="spellEnd"/>
      <w:r>
        <w:rPr>
          <w:rFonts w:ascii="Times New Roman" w:eastAsia="Times New Roman" w:hAnsi="Times New Roman" w:cs="Times New Roman"/>
          <w:color w:val="000000"/>
          <w:highlight w:val="white"/>
        </w:rPr>
        <w:t xml:space="preserve">, D., Shi, J., Du, D., &amp; </w:t>
      </w:r>
      <w:proofErr w:type="spellStart"/>
      <w:r>
        <w:rPr>
          <w:rFonts w:ascii="Times New Roman" w:eastAsia="Times New Roman" w:hAnsi="Times New Roman" w:cs="Times New Roman"/>
          <w:color w:val="000000"/>
          <w:highlight w:val="white"/>
        </w:rPr>
        <w:t>Bian</w:t>
      </w:r>
      <w:proofErr w:type="spellEnd"/>
      <w:r>
        <w:rPr>
          <w:rFonts w:ascii="Times New Roman" w:eastAsia="Times New Roman" w:hAnsi="Times New Roman" w:cs="Times New Roman"/>
          <w:color w:val="000000"/>
          <w:highlight w:val="white"/>
        </w:rPr>
        <w:t>, C. (2023). The multifaceted roles of natural products in mitochondrial dysfunction. </w:t>
      </w:r>
      <w:r>
        <w:rPr>
          <w:rFonts w:ascii="Times New Roman" w:eastAsia="Times New Roman" w:hAnsi="Times New Roman" w:cs="Times New Roman"/>
          <w:i/>
          <w:color w:val="000000"/>
          <w:highlight w:val="white"/>
        </w:rPr>
        <w:t>Frontiers in Pharmacology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14</w:t>
      </w:r>
      <w:r>
        <w:rPr>
          <w:rFonts w:ascii="Times New Roman" w:eastAsia="Times New Roman" w:hAnsi="Times New Roman" w:cs="Times New Roman"/>
          <w:color w:val="000000"/>
          <w:highlight w:val="white"/>
        </w:rPr>
        <w:t>, 1093038.</w:t>
      </w:r>
    </w:p>
    <w:p w14:paraId="49E97807"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Chong, H., Chai, Z., </w:t>
      </w:r>
      <w:proofErr w:type="spellStart"/>
      <w:r>
        <w:rPr>
          <w:rFonts w:ascii="Times New Roman" w:eastAsia="Times New Roman" w:hAnsi="Times New Roman" w:cs="Times New Roman"/>
          <w:color w:val="000000"/>
        </w:rPr>
        <w:t>Gao</w:t>
      </w:r>
      <w:proofErr w:type="spellEnd"/>
      <w:r>
        <w:rPr>
          <w:rFonts w:ascii="Times New Roman" w:eastAsia="Times New Roman" w:hAnsi="Times New Roman" w:cs="Times New Roman"/>
          <w:color w:val="000000"/>
        </w:rPr>
        <w:t>, Q., &amp; Zhang, L. (2023). Standardization and quality control challenges in botanical antioxidant research. Frontiers in Pharmacology, 14, 1123457. https://doi.org/10.3389/fphar.2023.1123457</w:t>
      </w:r>
    </w:p>
    <w:p w14:paraId="1CAE758B"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Ciupei</w:t>
      </w:r>
      <w:proofErr w:type="spellEnd"/>
      <w:r>
        <w:rPr>
          <w:rFonts w:ascii="Times New Roman" w:eastAsia="Times New Roman" w:hAnsi="Times New Roman" w:cs="Times New Roman"/>
          <w:color w:val="000000"/>
        </w:rPr>
        <w:t>, A. V., et al. (2024). Dietary polyphenols and human oxidative stress markers: An epidemiological synthesis. Nutrients, 16(4), 998. https://doi.org/10.3390/nu16040998</w:t>
      </w:r>
    </w:p>
    <w:p w14:paraId="6BE01688"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da C. </w:t>
      </w:r>
      <w:proofErr w:type="spellStart"/>
      <w:r>
        <w:rPr>
          <w:rFonts w:ascii="Times New Roman" w:eastAsia="Times New Roman" w:hAnsi="Times New Roman" w:cs="Times New Roman"/>
          <w:color w:val="000000"/>
          <w:highlight w:val="white"/>
        </w:rPr>
        <w:t>Pinaffi</w:t>
      </w:r>
      <w:proofErr w:type="spellEnd"/>
      <w:r>
        <w:rPr>
          <w:rFonts w:ascii="Times New Roman" w:eastAsia="Times New Roman" w:hAnsi="Times New Roman" w:cs="Times New Roman"/>
          <w:color w:val="000000"/>
          <w:highlight w:val="white"/>
        </w:rPr>
        <w:t xml:space="preserve">-Langley, A. C., </w:t>
      </w:r>
      <w:proofErr w:type="spellStart"/>
      <w:r>
        <w:rPr>
          <w:rFonts w:ascii="Times New Roman" w:eastAsia="Times New Roman" w:hAnsi="Times New Roman" w:cs="Times New Roman"/>
          <w:color w:val="000000"/>
          <w:highlight w:val="white"/>
        </w:rPr>
        <w:t>Tarantini</w:t>
      </w:r>
      <w:proofErr w:type="spellEnd"/>
      <w:r>
        <w:rPr>
          <w:rFonts w:ascii="Times New Roman" w:eastAsia="Times New Roman" w:hAnsi="Times New Roman" w:cs="Times New Roman"/>
          <w:color w:val="000000"/>
          <w:highlight w:val="white"/>
        </w:rPr>
        <w:t xml:space="preserve">, S., </w:t>
      </w:r>
      <w:proofErr w:type="spellStart"/>
      <w:r>
        <w:rPr>
          <w:rFonts w:ascii="Times New Roman" w:eastAsia="Times New Roman" w:hAnsi="Times New Roman" w:cs="Times New Roman"/>
          <w:color w:val="000000"/>
          <w:highlight w:val="white"/>
        </w:rPr>
        <w:t>Hord</w:t>
      </w:r>
      <w:proofErr w:type="spellEnd"/>
      <w:r>
        <w:rPr>
          <w:rFonts w:ascii="Times New Roman" w:eastAsia="Times New Roman" w:hAnsi="Times New Roman" w:cs="Times New Roman"/>
          <w:color w:val="000000"/>
          <w:highlight w:val="white"/>
        </w:rPr>
        <w:t xml:space="preserve">, N. G., &amp; </w:t>
      </w:r>
      <w:proofErr w:type="spellStart"/>
      <w:r>
        <w:rPr>
          <w:rFonts w:ascii="Times New Roman" w:eastAsia="Times New Roman" w:hAnsi="Times New Roman" w:cs="Times New Roman"/>
          <w:color w:val="000000"/>
          <w:highlight w:val="white"/>
        </w:rPr>
        <w:t>Yabluchanskiy</w:t>
      </w:r>
      <w:proofErr w:type="spellEnd"/>
      <w:r>
        <w:rPr>
          <w:rFonts w:ascii="Times New Roman" w:eastAsia="Times New Roman" w:hAnsi="Times New Roman" w:cs="Times New Roman"/>
          <w:color w:val="000000"/>
          <w:highlight w:val="white"/>
        </w:rPr>
        <w:t xml:space="preserve">, A. (2024). Polyphenol-derived </w:t>
      </w:r>
      <w:proofErr w:type="spellStart"/>
      <w:r>
        <w:rPr>
          <w:rFonts w:ascii="Times New Roman" w:eastAsia="Times New Roman" w:hAnsi="Times New Roman" w:cs="Times New Roman"/>
          <w:color w:val="000000"/>
          <w:highlight w:val="white"/>
        </w:rPr>
        <w:t>microbiota</w:t>
      </w:r>
      <w:proofErr w:type="spellEnd"/>
      <w:r>
        <w:rPr>
          <w:rFonts w:ascii="Times New Roman" w:eastAsia="Times New Roman" w:hAnsi="Times New Roman" w:cs="Times New Roman"/>
          <w:color w:val="000000"/>
          <w:highlight w:val="white"/>
        </w:rPr>
        <w:t xml:space="preserve"> metabolites and cardiovascular health: a concise review of human studies.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(12), 1552.</w:t>
      </w:r>
    </w:p>
    <w:p w14:paraId="0ECD52B9"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Day, M. W., Daley, C., Wu, Y., </w:t>
      </w:r>
      <w:proofErr w:type="spellStart"/>
      <w:r>
        <w:rPr>
          <w:rFonts w:ascii="Times New Roman" w:eastAsia="Times New Roman" w:hAnsi="Times New Roman" w:cs="Times New Roman"/>
          <w:color w:val="000000"/>
          <w:highlight w:val="white"/>
        </w:rPr>
        <w:t>Pathmaraj</w:t>
      </w:r>
      <w:proofErr w:type="spellEnd"/>
      <w:r>
        <w:rPr>
          <w:rFonts w:ascii="Times New Roman" w:eastAsia="Times New Roman" w:hAnsi="Times New Roman" w:cs="Times New Roman"/>
          <w:color w:val="000000"/>
          <w:highlight w:val="white"/>
        </w:rPr>
        <w:t xml:space="preserve">, M., </w:t>
      </w:r>
      <w:proofErr w:type="spellStart"/>
      <w:r>
        <w:rPr>
          <w:rFonts w:ascii="Times New Roman" w:eastAsia="Times New Roman" w:hAnsi="Times New Roman" w:cs="Times New Roman"/>
          <w:color w:val="000000"/>
          <w:highlight w:val="white"/>
        </w:rPr>
        <w:t>Verner</w:t>
      </w:r>
      <w:proofErr w:type="spellEnd"/>
      <w:r>
        <w:rPr>
          <w:rFonts w:ascii="Times New Roman" w:eastAsia="Times New Roman" w:hAnsi="Times New Roman" w:cs="Times New Roman"/>
          <w:color w:val="000000"/>
          <w:highlight w:val="white"/>
        </w:rPr>
        <w:t>, M. A., &amp; Caron-</w:t>
      </w:r>
      <w:proofErr w:type="spellStart"/>
      <w:r>
        <w:rPr>
          <w:rFonts w:ascii="Times New Roman" w:eastAsia="Times New Roman" w:hAnsi="Times New Roman" w:cs="Times New Roman"/>
          <w:color w:val="000000"/>
          <w:highlight w:val="white"/>
        </w:rPr>
        <w:t>Beaudoin</w:t>
      </w:r>
      <w:proofErr w:type="spellEnd"/>
      <w:r>
        <w:rPr>
          <w:rFonts w:ascii="Times New Roman" w:eastAsia="Times New Roman" w:hAnsi="Times New Roman" w:cs="Times New Roman"/>
          <w:color w:val="000000"/>
          <w:highlight w:val="white"/>
        </w:rPr>
        <w:t>, É. (2024). Altered oxidative stress and antioxidant biomarkers concentrations in pregnant individuals exposed to oil and gas sites in Northeastern British Columbia. </w:t>
      </w:r>
      <w:r>
        <w:rPr>
          <w:rFonts w:ascii="Times New Roman" w:eastAsia="Times New Roman" w:hAnsi="Times New Roman" w:cs="Times New Roman"/>
          <w:i/>
          <w:color w:val="000000"/>
          <w:highlight w:val="white"/>
        </w:rPr>
        <w:t>Toxicological Sciences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201</w:t>
      </w:r>
      <w:r>
        <w:rPr>
          <w:rFonts w:ascii="Times New Roman" w:eastAsia="Times New Roman" w:hAnsi="Times New Roman" w:cs="Times New Roman"/>
          <w:color w:val="000000"/>
          <w:highlight w:val="white"/>
        </w:rPr>
        <w:t>(1), 73-84.</w:t>
      </w:r>
    </w:p>
    <w:p w14:paraId="75EB4BA9"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de Almeida, A. J. P. O., de Oliveira, J. C. P. L., da Silva Pontes, L. V., de Souza </w:t>
      </w:r>
      <w:proofErr w:type="spellStart"/>
      <w:r>
        <w:rPr>
          <w:rFonts w:ascii="Times New Roman" w:eastAsia="Times New Roman" w:hAnsi="Times New Roman" w:cs="Times New Roman"/>
          <w:color w:val="000000"/>
          <w:highlight w:val="white"/>
        </w:rPr>
        <w:t>Júnior</w:t>
      </w:r>
      <w:proofErr w:type="spellEnd"/>
      <w:r>
        <w:rPr>
          <w:rFonts w:ascii="Times New Roman" w:eastAsia="Times New Roman" w:hAnsi="Times New Roman" w:cs="Times New Roman"/>
          <w:color w:val="000000"/>
          <w:highlight w:val="white"/>
        </w:rPr>
        <w:t xml:space="preserve">, J. F., </w:t>
      </w:r>
      <w:proofErr w:type="spellStart"/>
      <w:r>
        <w:rPr>
          <w:rFonts w:ascii="Times New Roman" w:eastAsia="Times New Roman" w:hAnsi="Times New Roman" w:cs="Times New Roman"/>
          <w:color w:val="000000"/>
          <w:highlight w:val="white"/>
        </w:rPr>
        <w:t>Gonçalves</w:t>
      </w:r>
      <w:proofErr w:type="spellEnd"/>
      <w:r>
        <w:rPr>
          <w:rFonts w:ascii="Times New Roman" w:eastAsia="Times New Roman" w:hAnsi="Times New Roman" w:cs="Times New Roman"/>
          <w:color w:val="000000"/>
          <w:highlight w:val="white"/>
        </w:rPr>
        <w:t xml:space="preserve">, T. A. F., </w:t>
      </w:r>
      <w:proofErr w:type="spellStart"/>
      <w:r>
        <w:rPr>
          <w:rFonts w:ascii="Times New Roman" w:eastAsia="Times New Roman" w:hAnsi="Times New Roman" w:cs="Times New Roman"/>
          <w:color w:val="000000"/>
          <w:highlight w:val="white"/>
        </w:rPr>
        <w:t>Dantas</w:t>
      </w:r>
      <w:proofErr w:type="spellEnd"/>
      <w:r>
        <w:rPr>
          <w:rFonts w:ascii="Times New Roman" w:eastAsia="Times New Roman" w:hAnsi="Times New Roman" w:cs="Times New Roman"/>
          <w:color w:val="000000"/>
          <w:highlight w:val="white"/>
        </w:rPr>
        <w:t>, S. H., ... &amp; de Medeiros, I. A. (2022). ROS: basic concepts, sources, cellular signaling, and its implications in aging pathways. </w:t>
      </w:r>
      <w:r>
        <w:rPr>
          <w:rFonts w:ascii="Times New Roman" w:eastAsia="Times New Roman" w:hAnsi="Times New Roman" w:cs="Times New Roman"/>
          <w:i/>
          <w:color w:val="000000"/>
          <w:highlight w:val="white"/>
        </w:rPr>
        <w:t>Oxidative medicine and cellular longevity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2022</w:t>
      </w:r>
      <w:r>
        <w:rPr>
          <w:rFonts w:ascii="Times New Roman" w:eastAsia="Times New Roman" w:hAnsi="Times New Roman" w:cs="Times New Roman"/>
          <w:color w:val="000000"/>
          <w:highlight w:val="white"/>
        </w:rPr>
        <w:t>(1), 1225578.</w:t>
      </w:r>
    </w:p>
    <w:p w14:paraId="5EC28509"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Dua</w:t>
      </w:r>
      <w:proofErr w:type="spellEnd"/>
      <w:r>
        <w:rPr>
          <w:rFonts w:ascii="Times New Roman" w:eastAsia="Times New Roman" w:hAnsi="Times New Roman" w:cs="Times New Roman"/>
          <w:color w:val="000000"/>
          <w:highlight w:val="white"/>
        </w:rPr>
        <w:t xml:space="preserve">, K., Gupta, G., </w:t>
      </w:r>
      <w:proofErr w:type="spellStart"/>
      <w:r>
        <w:rPr>
          <w:rFonts w:ascii="Times New Roman" w:eastAsia="Times New Roman" w:hAnsi="Times New Roman" w:cs="Times New Roman"/>
          <w:color w:val="000000"/>
          <w:highlight w:val="white"/>
        </w:rPr>
        <w:t>MacLoughlin</w:t>
      </w:r>
      <w:proofErr w:type="spellEnd"/>
      <w:r>
        <w:rPr>
          <w:rFonts w:ascii="Times New Roman" w:eastAsia="Times New Roman" w:hAnsi="Times New Roman" w:cs="Times New Roman"/>
          <w:color w:val="000000"/>
          <w:highlight w:val="white"/>
        </w:rPr>
        <w:t xml:space="preserve">, R., Singh, S. K., &amp; </w:t>
      </w:r>
      <w:proofErr w:type="spellStart"/>
      <w:r>
        <w:rPr>
          <w:rFonts w:ascii="Times New Roman" w:eastAsia="Times New Roman" w:hAnsi="Times New Roman" w:cs="Times New Roman"/>
          <w:color w:val="000000"/>
          <w:highlight w:val="white"/>
        </w:rPr>
        <w:t>Bhat</w:t>
      </w:r>
      <w:proofErr w:type="spellEnd"/>
      <w:r>
        <w:rPr>
          <w:rFonts w:ascii="Times New Roman" w:eastAsia="Times New Roman" w:hAnsi="Times New Roman" w:cs="Times New Roman"/>
          <w:color w:val="000000"/>
          <w:highlight w:val="white"/>
        </w:rPr>
        <w:t>, A. A. (Eds.). (2025). </w:t>
      </w:r>
      <w:r>
        <w:rPr>
          <w:rFonts w:ascii="Times New Roman" w:eastAsia="Times New Roman" w:hAnsi="Times New Roman" w:cs="Times New Roman"/>
          <w:i/>
          <w:color w:val="000000"/>
          <w:highlight w:val="white"/>
        </w:rPr>
        <w:t>Lung Cancer and Environmental Toxicants</w:t>
      </w:r>
      <w:r>
        <w:rPr>
          <w:rFonts w:ascii="Times New Roman" w:eastAsia="Times New Roman" w:hAnsi="Times New Roman" w:cs="Times New Roman"/>
          <w:color w:val="000000"/>
          <w:highlight w:val="white"/>
        </w:rPr>
        <w:t>. Academic Press.</w:t>
      </w:r>
    </w:p>
    <w:p w14:paraId="677680CF"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Egbuna</w:t>
      </w:r>
      <w:proofErr w:type="spellEnd"/>
      <w:r>
        <w:rPr>
          <w:rFonts w:ascii="Times New Roman" w:eastAsia="Times New Roman" w:hAnsi="Times New Roman" w:cs="Times New Roman"/>
          <w:color w:val="000000"/>
          <w:highlight w:val="white"/>
        </w:rPr>
        <w:t>, C. (2018). Antioxidants and phytochemicals. In </w:t>
      </w:r>
      <w:proofErr w:type="spellStart"/>
      <w:r>
        <w:rPr>
          <w:rFonts w:ascii="Times New Roman" w:eastAsia="Times New Roman" w:hAnsi="Times New Roman" w:cs="Times New Roman"/>
          <w:i/>
          <w:color w:val="000000"/>
          <w:highlight w:val="white"/>
        </w:rPr>
        <w:t>Phytochemistry</w:t>
      </w:r>
      <w:proofErr w:type="spellEnd"/>
      <w:r>
        <w:rPr>
          <w:rFonts w:ascii="Times New Roman" w:eastAsia="Times New Roman" w:hAnsi="Times New Roman" w:cs="Times New Roman"/>
          <w:color w:val="000000"/>
          <w:highlight w:val="white"/>
        </w:rPr>
        <w:t> (pp. 131-146). Apple Academic Press.</w:t>
      </w:r>
    </w:p>
    <w:p w14:paraId="48387D89"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Engwa</w:t>
      </w:r>
      <w:proofErr w:type="spellEnd"/>
      <w:r>
        <w:rPr>
          <w:rFonts w:ascii="Times New Roman" w:eastAsia="Times New Roman" w:hAnsi="Times New Roman" w:cs="Times New Roman"/>
          <w:color w:val="000000"/>
          <w:highlight w:val="white"/>
        </w:rPr>
        <w:t xml:space="preserve">, G. A., </w:t>
      </w:r>
      <w:proofErr w:type="spellStart"/>
      <w:r>
        <w:rPr>
          <w:rFonts w:ascii="Times New Roman" w:eastAsia="Times New Roman" w:hAnsi="Times New Roman" w:cs="Times New Roman"/>
          <w:color w:val="000000"/>
          <w:highlight w:val="white"/>
        </w:rPr>
        <w:t>Nweke</w:t>
      </w:r>
      <w:proofErr w:type="spellEnd"/>
      <w:r>
        <w:rPr>
          <w:rFonts w:ascii="Times New Roman" w:eastAsia="Times New Roman" w:hAnsi="Times New Roman" w:cs="Times New Roman"/>
          <w:color w:val="000000"/>
          <w:highlight w:val="white"/>
        </w:rPr>
        <w:t xml:space="preserve">, F. N., &amp; </w:t>
      </w:r>
      <w:proofErr w:type="spellStart"/>
      <w:r>
        <w:rPr>
          <w:rFonts w:ascii="Times New Roman" w:eastAsia="Times New Roman" w:hAnsi="Times New Roman" w:cs="Times New Roman"/>
          <w:color w:val="000000"/>
          <w:highlight w:val="white"/>
        </w:rPr>
        <w:t>Nkeh-Chungag</w:t>
      </w:r>
      <w:proofErr w:type="spellEnd"/>
      <w:r>
        <w:rPr>
          <w:rFonts w:ascii="Times New Roman" w:eastAsia="Times New Roman" w:hAnsi="Times New Roman" w:cs="Times New Roman"/>
          <w:color w:val="000000"/>
          <w:highlight w:val="white"/>
        </w:rPr>
        <w:t>, B. N. (2022). Free radicals, oxidative stress-related diseases and antioxidant supplementation. </w:t>
      </w:r>
      <w:r>
        <w:rPr>
          <w:rFonts w:ascii="Times New Roman" w:eastAsia="Times New Roman" w:hAnsi="Times New Roman" w:cs="Times New Roman"/>
          <w:i/>
          <w:color w:val="000000"/>
          <w:highlight w:val="white"/>
        </w:rPr>
        <w:t>Alternative Therapies in Health &amp; Medicine</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28</w:t>
      </w:r>
      <w:r>
        <w:rPr>
          <w:rFonts w:ascii="Times New Roman" w:eastAsia="Times New Roman" w:hAnsi="Times New Roman" w:cs="Times New Roman"/>
          <w:color w:val="000000"/>
          <w:highlight w:val="white"/>
        </w:rPr>
        <w:t>(1).</w:t>
      </w:r>
    </w:p>
    <w:p w14:paraId="3A34BFAB"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Eskander</w:t>
      </w:r>
      <w:proofErr w:type="spellEnd"/>
      <w:r>
        <w:rPr>
          <w:rFonts w:ascii="Times New Roman" w:eastAsia="Times New Roman" w:hAnsi="Times New Roman" w:cs="Times New Roman"/>
          <w:color w:val="000000"/>
          <w:highlight w:val="white"/>
        </w:rPr>
        <w:t>, S. B., &amp; Saleh, H. M. (2020). Heavy metal-induced oxidative stress and related cellular process. In </w:t>
      </w:r>
      <w:r>
        <w:rPr>
          <w:rFonts w:ascii="Times New Roman" w:eastAsia="Times New Roman" w:hAnsi="Times New Roman" w:cs="Times New Roman"/>
          <w:i/>
          <w:color w:val="000000"/>
          <w:highlight w:val="white"/>
        </w:rPr>
        <w:t xml:space="preserve">Cellular and molecular </w:t>
      </w:r>
      <w:proofErr w:type="spellStart"/>
      <w:r>
        <w:rPr>
          <w:rFonts w:ascii="Times New Roman" w:eastAsia="Times New Roman" w:hAnsi="Times New Roman" w:cs="Times New Roman"/>
          <w:i/>
          <w:color w:val="000000"/>
          <w:highlight w:val="white"/>
        </w:rPr>
        <w:t>phytotoxicity</w:t>
      </w:r>
      <w:proofErr w:type="spellEnd"/>
      <w:r>
        <w:rPr>
          <w:rFonts w:ascii="Times New Roman" w:eastAsia="Times New Roman" w:hAnsi="Times New Roman" w:cs="Times New Roman"/>
          <w:i/>
          <w:color w:val="000000"/>
          <w:highlight w:val="white"/>
        </w:rPr>
        <w:t xml:space="preserve"> of heavy metals</w:t>
      </w:r>
      <w:r>
        <w:rPr>
          <w:rFonts w:ascii="Times New Roman" w:eastAsia="Times New Roman" w:hAnsi="Times New Roman" w:cs="Times New Roman"/>
          <w:color w:val="000000"/>
          <w:highlight w:val="white"/>
        </w:rPr>
        <w:t> (pp. 99-123). Cham: Springer International Publishing.</w:t>
      </w:r>
    </w:p>
    <w:p w14:paraId="14A9E73A"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Fu, Z., &amp; Xi, S. (2020). The effects of heavy metals on human metabolism. </w:t>
      </w:r>
      <w:r>
        <w:rPr>
          <w:rFonts w:ascii="Times New Roman" w:eastAsia="Times New Roman" w:hAnsi="Times New Roman" w:cs="Times New Roman"/>
          <w:i/>
          <w:color w:val="000000"/>
          <w:highlight w:val="white"/>
        </w:rPr>
        <w:t>Toxicology mechanisms and methods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30</w:t>
      </w:r>
      <w:r>
        <w:rPr>
          <w:rFonts w:ascii="Times New Roman" w:eastAsia="Times New Roman" w:hAnsi="Times New Roman" w:cs="Times New Roman"/>
          <w:color w:val="000000"/>
          <w:highlight w:val="white"/>
        </w:rPr>
        <w:t>(3), 167-176.</w:t>
      </w:r>
    </w:p>
    <w:p w14:paraId="55186952"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Gandhi, D., </w:t>
      </w:r>
      <w:proofErr w:type="spellStart"/>
      <w:r>
        <w:rPr>
          <w:rFonts w:ascii="Times New Roman" w:eastAsia="Times New Roman" w:hAnsi="Times New Roman" w:cs="Times New Roman"/>
          <w:color w:val="000000"/>
          <w:highlight w:val="white"/>
        </w:rPr>
        <w:t>Rudrashetti</w:t>
      </w:r>
      <w:proofErr w:type="spellEnd"/>
      <w:r>
        <w:rPr>
          <w:rFonts w:ascii="Times New Roman" w:eastAsia="Times New Roman" w:hAnsi="Times New Roman" w:cs="Times New Roman"/>
          <w:color w:val="000000"/>
          <w:highlight w:val="white"/>
        </w:rPr>
        <w:t xml:space="preserve">, A. P., &amp; </w:t>
      </w:r>
      <w:proofErr w:type="spellStart"/>
      <w:r>
        <w:rPr>
          <w:rFonts w:ascii="Times New Roman" w:eastAsia="Times New Roman" w:hAnsi="Times New Roman" w:cs="Times New Roman"/>
          <w:color w:val="000000"/>
          <w:highlight w:val="white"/>
        </w:rPr>
        <w:t>Rajasekaran</w:t>
      </w:r>
      <w:proofErr w:type="spellEnd"/>
      <w:r>
        <w:rPr>
          <w:rFonts w:ascii="Times New Roman" w:eastAsia="Times New Roman" w:hAnsi="Times New Roman" w:cs="Times New Roman"/>
          <w:color w:val="000000"/>
          <w:highlight w:val="white"/>
        </w:rPr>
        <w:t>, S. (2022). The impact of environmental and occupational exposures of manganese on pulmonary, hepatic, and renal functions. </w:t>
      </w:r>
      <w:r>
        <w:rPr>
          <w:rFonts w:ascii="Times New Roman" w:eastAsia="Times New Roman" w:hAnsi="Times New Roman" w:cs="Times New Roman"/>
          <w:i/>
          <w:color w:val="000000"/>
          <w:highlight w:val="white"/>
        </w:rPr>
        <w:t>Journal of Applied Toxicology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42</w:t>
      </w:r>
      <w:r>
        <w:rPr>
          <w:rFonts w:ascii="Times New Roman" w:eastAsia="Times New Roman" w:hAnsi="Times New Roman" w:cs="Times New Roman"/>
          <w:color w:val="000000"/>
          <w:highlight w:val="white"/>
        </w:rPr>
        <w:t>(1), 103-129.</w:t>
      </w:r>
    </w:p>
    <w:p w14:paraId="248D530C"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Gęgotek</w:t>
      </w:r>
      <w:proofErr w:type="spellEnd"/>
      <w:r>
        <w:rPr>
          <w:rFonts w:ascii="Times New Roman" w:eastAsia="Times New Roman" w:hAnsi="Times New Roman" w:cs="Times New Roman"/>
          <w:color w:val="000000"/>
          <w:highlight w:val="white"/>
        </w:rPr>
        <w:t xml:space="preserve">, A., &amp; </w:t>
      </w:r>
      <w:proofErr w:type="spellStart"/>
      <w:r>
        <w:rPr>
          <w:rFonts w:ascii="Times New Roman" w:eastAsia="Times New Roman" w:hAnsi="Times New Roman" w:cs="Times New Roman"/>
          <w:color w:val="000000"/>
          <w:highlight w:val="white"/>
        </w:rPr>
        <w:t>Skrzydlewska</w:t>
      </w:r>
      <w:proofErr w:type="spellEnd"/>
      <w:r>
        <w:rPr>
          <w:rFonts w:ascii="Times New Roman" w:eastAsia="Times New Roman" w:hAnsi="Times New Roman" w:cs="Times New Roman"/>
          <w:color w:val="000000"/>
          <w:highlight w:val="white"/>
        </w:rPr>
        <w:t>, E. (2019). Biological effect of protein modifications by lipid peroxidation products. </w:t>
      </w:r>
      <w:r>
        <w:rPr>
          <w:rFonts w:ascii="Times New Roman" w:eastAsia="Times New Roman" w:hAnsi="Times New Roman" w:cs="Times New Roman"/>
          <w:i/>
          <w:color w:val="000000"/>
          <w:highlight w:val="white"/>
        </w:rPr>
        <w:t>Chemistry and physics of lipids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221</w:t>
      </w:r>
      <w:r>
        <w:rPr>
          <w:rFonts w:ascii="Times New Roman" w:eastAsia="Times New Roman" w:hAnsi="Times New Roman" w:cs="Times New Roman"/>
          <w:color w:val="000000"/>
          <w:highlight w:val="white"/>
        </w:rPr>
        <w:t>, 46-52.</w:t>
      </w:r>
    </w:p>
    <w:p w14:paraId="5CB7A82F"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González-Rivera, J. C., et al. (2023). In </w:t>
      </w:r>
      <w:proofErr w:type="spellStart"/>
      <w:r>
        <w:rPr>
          <w:rFonts w:ascii="Times New Roman" w:eastAsia="Times New Roman" w:hAnsi="Times New Roman" w:cs="Times New Roman"/>
          <w:color w:val="000000"/>
        </w:rPr>
        <w:t>silico</w:t>
      </w:r>
      <w:proofErr w:type="spellEnd"/>
      <w:r>
        <w:rPr>
          <w:rFonts w:ascii="Times New Roman" w:eastAsia="Times New Roman" w:hAnsi="Times New Roman" w:cs="Times New Roman"/>
          <w:color w:val="000000"/>
        </w:rPr>
        <w:t xml:space="preserve"> modeling of flavonoid–metal interactions and redox properties in environmental toxicology. Journal of Molecular Graphics and Modelling, 121, 108365. https://doi.org/10.1016/j.jmgm.2023.108365</w:t>
      </w:r>
    </w:p>
    <w:p w14:paraId="0CBBEF17"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lastRenderedPageBreak/>
        <w:t>Hameister</w:t>
      </w:r>
      <w:proofErr w:type="spellEnd"/>
      <w:r>
        <w:rPr>
          <w:rFonts w:ascii="Times New Roman" w:eastAsia="Times New Roman" w:hAnsi="Times New Roman" w:cs="Times New Roman"/>
          <w:color w:val="000000"/>
          <w:highlight w:val="white"/>
        </w:rPr>
        <w:t xml:space="preserve">, R., Kaur, C., </w:t>
      </w:r>
      <w:proofErr w:type="spellStart"/>
      <w:r>
        <w:rPr>
          <w:rFonts w:ascii="Times New Roman" w:eastAsia="Times New Roman" w:hAnsi="Times New Roman" w:cs="Times New Roman"/>
          <w:color w:val="000000"/>
          <w:highlight w:val="white"/>
        </w:rPr>
        <w:t>Dheen</w:t>
      </w:r>
      <w:proofErr w:type="spellEnd"/>
      <w:r>
        <w:rPr>
          <w:rFonts w:ascii="Times New Roman" w:eastAsia="Times New Roman" w:hAnsi="Times New Roman" w:cs="Times New Roman"/>
          <w:color w:val="000000"/>
          <w:highlight w:val="white"/>
        </w:rPr>
        <w:t xml:space="preserve">, S. T., </w:t>
      </w:r>
      <w:proofErr w:type="spellStart"/>
      <w:r>
        <w:rPr>
          <w:rFonts w:ascii="Times New Roman" w:eastAsia="Times New Roman" w:hAnsi="Times New Roman" w:cs="Times New Roman"/>
          <w:color w:val="000000"/>
          <w:highlight w:val="white"/>
        </w:rPr>
        <w:t>Lohmann</w:t>
      </w:r>
      <w:proofErr w:type="spellEnd"/>
      <w:r>
        <w:rPr>
          <w:rFonts w:ascii="Times New Roman" w:eastAsia="Times New Roman" w:hAnsi="Times New Roman" w:cs="Times New Roman"/>
          <w:color w:val="000000"/>
          <w:highlight w:val="white"/>
        </w:rPr>
        <w:t xml:space="preserve">, C. H., &amp; Singh, G. (2020). Reactive oxygen/nitrogen species (ROS/RNS) and oxidative stress in </w:t>
      </w:r>
      <w:proofErr w:type="spellStart"/>
      <w:r>
        <w:rPr>
          <w:rFonts w:ascii="Times New Roman" w:eastAsia="Times New Roman" w:hAnsi="Times New Roman" w:cs="Times New Roman"/>
          <w:color w:val="000000"/>
          <w:highlight w:val="white"/>
        </w:rPr>
        <w:t>arthroplasty</w:t>
      </w:r>
      <w:proofErr w:type="spellEnd"/>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Journal of Biomedical Materials Research Part B: Applied Biomaterials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108</w:t>
      </w:r>
      <w:r>
        <w:rPr>
          <w:rFonts w:ascii="Times New Roman" w:eastAsia="Times New Roman" w:hAnsi="Times New Roman" w:cs="Times New Roman"/>
          <w:color w:val="000000"/>
          <w:highlight w:val="white"/>
        </w:rPr>
        <w:t>(5), 2073-2087.</w:t>
      </w:r>
    </w:p>
    <w:p w14:paraId="20CFFAEE"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Hasan</w:t>
      </w:r>
      <w:proofErr w:type="spellEnd"/>
      <w:r>
        <w:rPr>
          <w:rFonts w:ascii="Times New Roman" w:eastAsia="Times New Roman" w:hAnsi="Times New Roman" w:cs="Times New Roman"/>
          <w:color w:val="000000"/>
        </w:rPr>
        <w:t xml:space="preserve">, N., Ahmad, F., &amp; Khan, M. S. (2023). </w:t>
      </w:r>
      <w:proofErr w:type="spellStart"/>
      <w:r>
        <w:rPr>
          <w:rFonts w:ascii="Times New Roman" w:eastAsia="Times New Roman" w:hAnsi="Times New Roman" w:cs="Times New Roman"/>
          <w:color w:val="000000"/>
        </w:rPr>
        <w:t>Nanodelivery</w:t>
      </w:r>
      <w:proofErr w:type="spellEnd"/>
      <w:r>
        <w:rPr>
          <w:rFonts w:ascii="Times New Roman" w:eastAsia="Times New Roman" w:hAnsi="Times New Roman" w:cs="Times New Roman"/>
          <w:color w:val="000000"/>
        </w:rPr>
        <w:t xml:space="preserve"> of phytochemicals: Opportunities for bioavailability enhancement and environmental detoxification. Environmental Research, 229, 115048. https://doi.org/10.1016/j.envres.2023.115048</w:t>
      </w:r>
    </w:p>
    <w:p w14:paraId="65DA516D"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Hassanpour</w:t>
      </w:r>
      <w:proofErr w:type="spellEnd"/>
      <w:r>
        <w:rPr>
          <w:rFonts w:ascii="Times New Roman" w:eastAsia="Times New Roman" w:hAnsi="Times New Roman" w:cs="Times New Roman"/>
          <w:color w:val="000000"/>
          <w:highlight w:val="white"/>
        </w:rPr>
        <w:t xml:space="preserve">, S. H., &amp; </w:t>
      </w:r>
      <w:proofErr w:type="spellStart"/>
      <w:r>
        <w:rPr>
          <w:rFonts w:ascii="Times New Roman" w:eastAsia="Times New Roman" w:hAnsi="Times New Roman" w:cs="Times New Roman"/>
          <w:color w:val="000000"/>
          <w:highlight w:val="white"/>
        </w:rPr>
        <w:t>Doroudi</w:t>
      </w:r>
      <w:proofErr w:type="spellEnd"/>
      <w:r>
        <w:rPr>
          <w:rFonts w:ascii="Times New Roman" w:eastAsia="Times New Roman" w:hAnsi="Times New Roman" w:cs="Times New Roman"/>
          <w:color w:val="000000"/>
          <w:highlight w:val="white"/>
        </w:rPr>
        <w:t>, A. (2023). Review of the antioxidant potential of flavonoids as a subgroup of polyphenols and partial substitute for synthetic antioxidants. </w:t>
      </w:r>
      <w:r>
        <w:rPr>
          <w:rFonts w:ascii="Times New Roman" w:eastAsia="Times New Roman" w:hAnsi="Times New Roman" w:cs="Times New Roman"/>
          <w:i/>
          <w:color w:val="000000"/>
          <w:highlight w:val="white"/>
        </w:rPr>
        <w:t xml:space="preserve">Avicenna journal of </w:t>
      </w:r>
      <w:proofErr w:type="spellStart"/>
      <w:r>
        <w:rPr>
          <w:rFonts w:ascii="Times New Roman" w:eastAsia="Times New Roman" w:hAnsi="Times New Roman" w:cs="Times New Roman"/>
          <w:i/>
          <w:color w:val="000000"/>
          <w:highlight w:val="white"/>
        </w:rPr>
        <w:t>phytomedicine</w:t>
      </w:r>
      <w:proofErr w:type="spellEnd"/>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(4), 354.</w:t>
      </w:r>
    </w:p>
    <w:p w14:paraId="0372C20E"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He, W. J., </w:t>
      </w:r>
      <w:proofErr w:type="spellStart"/>
      <w:r>
        <w:rPr>
          <w:rFonts w:ascii="Times New Roman" w:eastAsia="Times New Roman" w:hAnsi="Times New Roman" w:cs="Times New Roman"/>
          <w:color w:val="000000"/>
          <w:highlight w:val="white"/>
        </w:rPr>
        <w:t>Lv</w:t>
      </w:r>
      <w:proofErr w:type="spellEnd"/>
      <w:r>
        <w:rPr>
          <w:rFonts w:ascii="Times New Roman" w:eastAsia="Times New Roman" w:hAnsi="Times New Roman" w:cs="Times New Roman"/>
          <w:color w:val="000000"/>
          <w:highlight w:val="white"/>
        </w:rPr>
        <w:t xml:space="preserve">, C. H., Chen, Z., Shi, M., Zeng, C. X., </w:t>
      </w:r>
      <w:proofErr w:type="spellStart"/>
      <w:r>
        <w:rPr>
          <w:rFonts w:ascii="Times New Roman" w:eastAsia="Times New Roman" w:hAnsi="Times New Roman" w:cs="Times New Roman"/>
          <w:color w:val="000000"/>
          <w:highlight w:val="white"/>
        </w:rPr>
        <w:t>Hou</w:t>
      </w:r>
      <w:proofErr w:type="spellEnd"/>
      <w:r>
        <w:rPr>
          <w:rFonts w:ascii="Times New Roman" w:eastAsia="Times New Roman" w:hAnsi="Times New Roman" w:cs="Times New Roman"/>
          <w:color w:val="000000"/>
          <w:highlight w:val="white"/>
        </w:rPr>
        <w:t>, D. X., &amp; Qin, S. (2023). The regulatory effect of phytochemicals on chronic diseases by targeting Nrf2-ARE signaling pathway.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(2), 236.</w:t>
      </w:r>
    </w:p>
    <w:p w14:paraId="648B4570"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Hernansanz-Agustín</w:t>
      </w:r>
      <w:proofErr w:type="spellEnd"/>
      <w:r>
        <w:rPr>
          <w:rFonts w:ascii="Times New Roman" w:eastAsia="Times New Roman" w:hAnsi="Times New Roman" w:cs="Times New Roman"/>
          <w:color w:val="000000"/>
          <w:highlight w:val="white"/>
        </w:rPr>
        <w:t xml:space="preserve">, P., &amp; </w:t>
      </w:r>
      <w:proofErr w:type="spellStart"/>
      <w:r>
        <w:rPr>
          <w:rFonts w:ascii="Times New Roman" w:eastAsia="Times New Roman" w:hAnsi="Times New Roman" w:cs="Times New Roman"/>
          <w:color w:val="000000"/>
          <w:highlight w:val="white"/>
        </w:rPr>
        <w:t>Enríquez</w:t>
      </w:r>
      <w:proofErr w:type="spellEnd"/>
      <w:r>
        <w:rPr>
          <w:rFonts w:ascii="Times New Roman" w:eastAsia="Times New Roman" w:hAnsi="Times New Roman" w:cs="Times New Roman"/>
          <w:color w:val="000000"/>
          <w:highlight w:val="white"/>
        </w:rPr>
        <w:t>, J. A. (2021). Generation of reactive oxygen species by mitochondria.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10</w:t>
      </w:r>
      <w:r>
        <w:rPr>
          <w:rFonts w:ascii="Times New Roman" w:eastAsia="Times New Roman" w:hAnsi="Times New Roman" w:cs="Times New Roman"/>
          <w:color w:val="000000"/>
          <w:highlight w:val="white"/>
        </w:rPr>
        <w:t>(3), 415.</w:t>
      </w:r>
    </w:p>
    <w:p w14:paraId="4DF3B5EC" w14:textId="77777777" w:rsidR="002A5BE7" w:rsidRPr="002A5BE7" w:rsidRDefault="002A5BE7" w:rsidP="002A5BE7">
      <w:pPr>
        <w:autoSpaceDE w:val="0"/>
        <w:autoSpaceDN w:val="0"/>
        <w:adjustRightInd w:val="0"/>
        <w:ind w:left="720" w:hanging="360"/>
        <w:jc w:val="both"/>
        <w:rPr>
          <w:rFonts w:ascii="Times New Roman" w:eastAsia="Times New Roman" w:hAnsi="Times New Roman" w:cs="Times New Roman"/>
          <w:bdr w:val="none" w:sz="0" w:space="0" w:color="auto" w:frame="1"/>
          <w:shd w:val="clear" w:color="auto" w:fill="FFFFFF"/>
        </w:rPr>
      </w:pPr>
      <w:proofErr w:type="spellStart"/>
      <w:r w:rsidRPr="002A5BE7">
        <w:rPr>
          <w:rFonts w:ascii="Times New Roman" w:hAnsi="Times New Roman" w:cs="Times New Roman"/>
        </w:rPr>
        <w:t>Idowu</w:t>
      </w:r>
      <w:proofErr w:type="spellEnd"/>
      <w:r w:rsidRPr="002A5BE7">
        <w:rPr>
          <w:rFonts w:ascii="Times New Roman" w:hAnsi="Times New Roman" w:cs="Times New Roman"/>
        </w:rPr>
        <w:t xml:space="preserve">, D.A., </w:t>
      </w:r>
      <w:proofErr w:type="spellStart"/>
      <w:r w:rsidRPr="002A5BE7">
        <w:rPr>
          <w:rFonts w:ascii="Times New Roman" w:hAnsi="Times New Roman" w:cs="Times New Roman"/>
        </w:rPr>
        <w:t>Umoren</w:t>
      </w:r>
      <w:proofErr w:type="spellEnd"/>
      <w:r w:rsidRPr="002A5BE7">
        <w:rPr>
          <w:rFonts w:ascii="Times New Roman" w:hAnsi="Times New Roman" w:cs="Times New Roman"/>
        </w:rPr>
        <w:t xml:space="preserve">, O.D., </w:t>
      </w:r>
      <w:proofErr w:type="spellStart"/>
      <w:r w:rsidRPr="002A5BE7">
        <w:rPr>
          <w:rFonts w:ascii="Times New Roman" w:hAnsi="Times New Roman" w:cs="Times New Roman"/>
        </w:rPr>
        <w:t>Oresegun</w:t>
      </w:r>
      <w:proofErr w:type="spellEnd"/>
      <w:r w:rsidRPr="002A5BE7">
        <w:rPr>
          <w:rFonts w:ascii="Times New Roman" w:hAnsi="Times New Roman" w:cs="Times New Roman"/>
        </w:rPr>
        <w:t xml:space="preserve">, O.I., </w:t>
      </w:r>
      <w:proofErr w:type="spellStart"/>
      <w:r w:rsidRPr="002A5BE7">
        <w:rPr>
          <w:rFonts w:ascii="Times New Roman" w:hAnsi="Times New Roman" w:cs="Times New Roman"/>
        </w:rPr>
        <w:t>Igiekhumhe</w:t>
      </w:r>
      <w:proofErr w:type="spellEnd"/>
      <w:r w:rsidRPr="002A5BE7">
        <w:rPr>
          <w:rFonts w:ascii="Times New Roman" w:hAnsi="Times New Roman" w:cs="Times New Roman"/>
        </w:rPr>
        <w:t xml:space="preserve">, O.G., </w:t>
      </w:r>
      <w:proofErr w:type="spellStart"/>
      <w:r w:rsidRPr="002A5BE7">
        <w:rPr>
          <w:rFonts w:ascii="Times New Roman" w:hAnsi="Times New Roman" w:cs="Times New Roman"/>
        </w:rPr>
        <w:t>Effa</w:t>
      </w:r>
      <w:proofErr w:type="spellEnd"/>
      <w:r w:rsidRPr="002A5BE7">
        <w:rPr>
          <w:rFonts w:ascii="Times New Roman" w:hAnsi="Times New Roman" w:cs="Times New Roman"/>
        </w:rPr>
        <w:t xml:space="preserve">, A.A., </w:t>
      </w:r>
      <w:proofErr w:type="spellStart"/>
      <w:r w:rsidRPr="002A5BE7">
        <w:rPr>
          <w:rFonts w:ascii="Times New Roman" w:hAnsi="Times New Roman" w:cs="Times New Roman"/>
        </w:rPr>
        <w:t>Oko</w:t>
      </w:r>
      <w:proofErr w:type="spellEnd"/>
      <w:r w:rsidRPr="002A5BE7">
        <w:rPr>
          <w:rFonts w:ascii="Times New Roman" w:hAnsi="Times New Roman" w:cs="Times New Roman"/>
        </w:rPr>
        <w:t xml:space="preserve">, E.O., and </w:t>
      </w:r>
      <w:proofErr w:type="spellStart"/>
      <w:r w:rsidRPr="002A5BE7">
        <w:rPr>
          <w:rFonts w:ascii="Times New Roman" w:hAnsi="Times New Roman" w:cs="Times New Roman"/>
        </w:rPr>
        <w:t>Edet</w:t>
      </w:r>
      <w:proofErr w:type="spellEnd"/>
      <w:r w:rsidRPr="002A5BE7">
        <w:rPr>
          <w:rFonts w:ascii="Times New Roman" w:hAnsi="Times New Roman" w:cs="Times New Roman"/>
        </w:rPr>
        <w:t xml:space="preserve">, I.V. (2025b). Physicochemical and Multivariate Analysis of Parameters of </w:t>
      </w:r>
      <w:proofErr w:type="spellStart"/>
      <w:r w:rsidRPr="002A5BE7">
        <w:rPr>
          <w:rFonts w:ascii="Times New Roman" w:hAnsi="Times New Roman" w:cs="Times New Roman"/>
        </w:rPr>
        <w:t>Alabukunfun</w:t>
      </w:r>
      <w:proofErr w:type="spellEnd"/>
      <w:r w:rsidRPr="002A5BE7">
        <w:rPr>
          <w:rFonts w:ascii="Times New Roman" w:hAnsi="Times New Roman" w:cs="Times New Roman"/>
        </w:rPr>
        <w:t xml:space="preserve"> and </w:t>
      </w:r>
      <w:proofErr w:type="spellStart"/>
      <w:r w:rsidRPr="002A5BE7">
        <w:rPr>
          <w:rFonts w:ascii="Times New Roman" w:hAnsi="Times New Roman" w:cs="Times New Roman"/>
        </w:rPr>
        <w:t>Avelluz</w:t>
      </w:r>
      <w:proofErr w:type="spellEnd"/>
      <w:r w:rsidRPr="002A5BE7">
        <w:rPr>
          <w:rFonts w:ascii="Times New Roman" w:hAnsi="Times New Roman" w:cs="Times New Roman"/>
        </w:rPr>
        <w:t xml:space="preserve"> Tributaries in </w:t>
      </w:r>
      <w:proofErr w:type="spellStart"/>
      <w:r w:rsidRPr="002A5BE7">
        <w:rPr>
          <w:rFonts w:ascii="Times New Roman" w:hAnsi="Times New Roman" w:cs="Times New Roman"/>
        </w:rPr>
        <w:t>Kuto</w:t>
      </w:r>
      <w:proofErr w:type="spellEnd"/>
      <w:r w:rsidRPr="002A5BE7">
        <w:rPr>
          <w:rFonts w:ascii="Times New Roman" w:hAnsi="Times New Roman" w:cs="Times New Roman"/>
        </w:rPr>
        <w:t xml:space="preserve"> Community, </w:t>
      </w:r>
      <w:proofErr w:type="spellStart"/>
      <w:r w:rsidRPr="002A5BE7">
        <w:rPr>
          <w:rFonts w:ascii="Times New Roman" w:hAnsi="Times New Roman" w:cs="Times New Roman"/>
        </w:rPr>
        <w:t>Ogun</w:t>
      </w:r>
      <w:proofErr w:type="spellEnd"/>
      <w:r w:rsidRPr="002A5BE7">
        <w:rPr>
          <w:rFonts w:ascii="Times New Roman" w:hAnsi="Times New Roman" w:cs="Times New Roman"/>
        </w:rPr>
        <w:t xml:space="preserve"> State, Nigeria. </w:t>
      </w:r>
      <w:r w:rsidRPr="002A5BE7">
        <w:rPr>
          <w:rFonts w:ascii="Times New Roman" w:hAnsi="Times New Roman" w:cs="Times New Roman"/>
          <w:color w:val="000000" w:themeColor="text1"/>
        </w:rPr>
        <w:t>FUAM Journal of Pure and Applied Sciences (FUAMJPAS). 6(1): 34-45.</w:t>
      </w:r>
    </w:p>
    <w:p w14:paraId="19970F94"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Ighodaro</w:t>
      </w:r>
      <w:proofErr w:type="spellEnd"/>
      <w:r>
        <w:rPr>
          <w:rFonts w:ascii="Times New Roman" w:eastAsia="Times New Roman" w:hAnsi="Times New Roman" w:cs="Times New Roman"/>
          <w:color w:val="000000"/>
          <w:highlight w:val="white"/>
        </w:rPr>
        <w:t xml:space="preserve">, O. M., &amp; </w:t>
      </w:r>
      <w:proofErr w:type="spellStart"/>
      <w:r>
        <w:rPr>
          <w:rFonts w:ascii="Times New Roman" w:eastAsia="Times New Roman" w:hAnsi="Times New Roman" w:cs="Times New Roman"/>
          <w:color w:val="000000"/>
          <w:highlight w:val="white"/>
        </w:rPr>
        <w:t>Akinloye</w:t>
      </w:r>
      <w:proofErr w:type="spellEnd"/>
      <w:r>
        <w:rPr>
          <w:rFonts w:ascii="Times New Roman" w:eastAsia="Times New Roman" w:hAnsi="Times New Roman" w:cs="Times New Roman"/>
          <w:color w:val="000000"/>
          <w:highlight w:val="white"/>
        </w:rPr>
        <w:t xml:space="preserve">, O. A. (2018). First line </w:t>
      </w:r>
      <w:proofErr w:type="spellStart"/>
      <w:r>
        <w:rPr>
          <w:rFonts w:ascii="Times New Roman" w:eastAsia="Times New Roman" w:hAnsi="Times New Roman" w:cs="Times New Roman"/>
          <w:color w:val="000000"/>
          <w:highlight w:val="white"/>
        </w:rPr>
        <w:t>defence</w:t>
      </w:r>
      <w:proofErr w:type="spellEnd"/>
      <w:r>
        <w:rPr>
          <w:rFonts w:ascii="Times New Roman" w:eastAsia="Times New Roman" w:hAnsi="Times New Roman" w:cs="Times New Roman"/>
          <w:color w:val="000000"/>
          <w:highlight w:val="white"/>
        </w:rPr>
        <w:t xml:space="preserve"> antioxidants-superoxide dismutase (SOD), catalase (CAT) and glutathione peroxidase (GPX): Their fundamental role in the entire antioxidant </w:t>
      </w:r>
      <w:proofErr w:type="spellStart"/>
      <w:r>
        <w:rPr>
          <w:rFonts w:ascii="Times New Roman" w:eastAsia="Times New Roman" w:hAnsi="Times New Roman" w:cs="Times New Roman"/>
          <w:color w:val="000000"/>
          <w:highlight w:val="white"/>
        </w:rPr>
        <w:t>defence</w:t>
      </w:r>
      <w:proofErr w:type="spellEnd"/>
      <w:r>
        <w:rPr>
          <w:rFonts w:ascii="Times New Roman" w:eastAsia="Times New Roman" w:hAnsi="Times New Roman" w:cs="Times New Roman"/>
          <w:color w:val="000000"/>
          <w:highlight w:val="white"/>
        </w:rPr>
        <w:t xml:space="preserve"> grid. </w:t>
      </w:r>
      <w:r>
        <w:rPr>
          <w:rFonts w:ascii="Times New Roman" w:eastAsia="Times New Roman" w:hAnsi="Times New Roman" w:cs="Times New Roman"/>
          <w:i/>
          <w:color w:val="000000"/>
          <w:highlight w:val="white"/>
        </w:rPr>
        <w:t>Alexandria journal of medicine</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54</w:t>
      </w:r>
      <w:r>
        <w:rPr>
          <w:rFonts w:ascii="Times New Roman" w:eastAsia="Times New Roman" w:hAnsi="Times New Roman" w:cs="Times New Roman"/>
          <w:color w:val="000000"/>
          <w:highlight w:val="white"/>
        </w:rPr>
        <w:t>(4), 287-293.</w:t>
      </w:r>
    </w:p>
    <w:p w14:paraId="533D695F"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Jain, S., Roy, M., &amp; Mehta, P. (2023). </w:t>
      </w:r>
      <w:proofErr w:type="spellStart"/>
      <w:r>
        <w:rPr>
          <w:rFonts w:ascii="Times New Roman" w:eastAsia="Times New Roman" w:hAnsi="Times New Roman" w:cs="Times New Roman"/>
          <w:color w:val="000000"/>
        </w:rPr>
        <w:t>Phytosome</w:t>
      </w:r>
      <w:proofErr w:type="spellEnd"/>
      <w:r>
        <w:rPr>
          <w:rFonts w:ascii="Times New Roman" w:eastAsia="Times New Roman" w:hAnsi="Times New Roman" w:cs="Times New Roman"/>
          <w:color w:val="000000"/>
        </w:rPr>
        <w:t xml:space="preserve"> formulations for improved antioxidant efficacy: Trends and translational potential. International Journal of Pharmaceutics, 643, 123008. https://doi.org/10.1016/j.ijpharm.2023.123008</w:t>
      </w:r>
    </w:p>
    <w:p w14:paraId="76003BB9"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Jaishankar</w:t>
      </w:r>
      <w:proofErr w:type="spellEnd"/>
      <w:r>
        <w:rPr>
          <w:rFonts w:ascii="Times New Roman" w:eastAsia="Times New Roman" w:hAnsi="Times New Roman" w:cs="Times New Roman"/>
          <w:color w:val="000000"/>
          <w:highlight w:val="white"/>
        </w:rPr>
        <w:t xml:space="preserve">, M., </w:t>
      </w:r>
      <w:proofErr w:type="spellStart"/>
      <w:r>
        <w:rPr>
          <w:rFonts w:ascii="Times New Roman" w:eastAsia="Times New Roman" w:hAnsi="Times New Roman" w:cs="Times New Roman"/>
          <w:color w:val="000000"/>
          <w:highlight w:val="white"/>
        </w:rPr>
        <w:t>Tseten</w:t>
      </w:r>
      <w:proofErr w:type="spellEnd"/>
      <w:r>
        <w:rPr>
          <w:rFonts w:ascii="Times New Roman" w:eastAsia="Times New Roman" w:hAnsi="Times New Roman" w:cs="Times New Roman"/>
          <w:color w:val="000000"/>
          <w:highlight w:val="white"/>
        </w:rPr>
        <w:t xml:space="preserve">, T., </w:t>
      </w:r>
      <w:proofErr w:type="spellStart"/>
      <w:r>
        <w:rPr>
          <w:rFonts w:ascii="Times New Roman" w:eastAsia="Times New Roman" w:hAnsi="Times New Roman" w:cs="Times New Roman"/>
          <w:color w:val="000000"/>
          <w:highlight w:val="white"/>
        </w:rPr>
        <w:t>Anbalagan</w:t>
      </w:r>
      <w:proofErr w:type="spellEnd"/>
      <w:r>
        <w:rPr>
          <w:rFonts w:ascii="Times New Roman" w:eastAsia="Times New Roman" w:hAnsi="Times New Roman" w:cs="Times New Roman"/>
          <w:color w:val="000000"/>
          <w:highlight w:val="white"/>
        </w:rPr>
        <w:t xml:space="preserve">, N., Mathew, B. B., &amp; </w:t>
      </w:r>
      <w:proofErr w:type="spellStart"/>
      <w:r>
        <w:rPr>
          <w:rFonts w:ascii="Times New Roman" w:eastAsia="Times New Roman" w:hAnsi="Times New Roman" w:cs="Times New Roman"/>
          <w:color w:val="000000"/>
          <w:highlight w:val="white"/>
        </w:rPr>
        <w:t>Beeregowda</w:t>
      </w:r>
      <w:proofErr w:type="spellEnd"/>
      <w:r>
        <w:rPr>
          <w:rFonts w:ascii="Times New Roman" w:eastAsia="Times New Roman" w:hAnsi="Times New Roman" w:cs="Times New Roman"/>
          <w:color w:val="000000"/>
          <w:highlight w:val="white"/>
        </w:rPr>
        <w:t>, K. N. (2014). Toxicity, mechanism and health effects of some heavy metals. </w:t>
      </w:r>
      <w:r>
        <w:rPr>
          <w:rFonts w:ascii="Times New Roman" w:eastAsia="Times New Roman" w:hAnsi="Times New Roman" w:cs="Times New Roman"/>
          <w:i/>
          <w:color w:val="000000"/>
          <w:highlight w:val="white"/>
        </w:rPr>
        <w:t>Interdisciplinary toxicology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7</w:t>
      </w:r>
      <w:r>
        <w:rPr>
          <w:rFonts w:ascii="Times New Roman" w:eastAsia="Times New Roman" w:hAnsi="Times New Roman" w:cs="Times New Roman"/>
          <w:color w:val="000000"/>
          <w:highlight w:val="white"/>
        </w:rPr>
        <w:t>(2), 60.</w:t>
      </w:r>
    </w:p>
    <w:p w14:paraId="02001CBA"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Jomova</w:t>
      </w:r>
      <w:proofErr w:type="spellEnd"/>
      <w:r>
        <w:rPr>
          <w:rFonts w:ascii="Times New Roman" w:eastAsia="Times New Roman" w:hAnsi="Times New Roman" w:cs="Times New Roman"/>
          <w:color w:val="000000"/>
          <w:highlight w:val="white"/>
        </w:rPr>
        <w:t xml:space="preserve">, K., Alomar, S. Y., </w:t>
      </w:r>
      <w:proofErr w:type="spellStart"/>
      <w:r>
        <w:rPr>
          <w:rFonts w:ascii="Times New Roman" w:eastAsia="Times New Roman" w:hAnsi="Times New Roman" w:cs="Times New Roman"/>
          <w:color w:val="000000"/>
          <w:highlight w:val="white"/>
        </w:rPr>
        <w:t>Alwasel</w:t>
      </w:r>
      <w:proofErr w:type="spellEnd"/>
      <w:r>
        <w:rPr>
          <w:rFonts w:ascii="Times New Roman" w:eastAsia="Times New Roman" w:hAnsi="Times New Roman" w:cs="Times New Roman"/>
          <w:color w:val="000000"/>
          <w:highlight w:val="white"/>
        </w:rPr>
        <w:t xml:space="preserve">, S. H., </w:t>
      </w:r>
      <w:proofErr w:type="spellStart"/>
      <w:r>
        <w:rPr>
          <w:rFonts w:ascii="Times New Roman" w:eastAsia="Times New Roman" w:hAnsi="Times New Roman" w:cs="Times New Roman"/>
          <w:color w:val="000000"/>
          <w:highlight w:val="white"/>
        </w:rPr>
        <w:t>Nepovimova</w:t>
      </w:r>
      <w:proofErr w:type="spellEnd"/>
      <w:r>
        <w:rPr>
          <w:rFonts w:ascii="Times New Roman" w:eastAsia="Times New Roman" w:hAnsi="Times New Roman" w:cs="Times New Roman"/>
          <w:color w:val="000000"/>
          <w:highlight w:val="white"/>
        </w:rPr>
        <w:t xml:space="preserve">, E., </w:t>
      </w:r>
      <w:proofErr w:type="spellStart"/>
      <w:r>
        <w:rPr>
          <w:rFonts w:ascii="Times New Roman" w:eastAsia="Times New Roman" w:hAnsi="Times New Roman" w:cs="Times New Roman"/>
          <w:color w:val="000000"/>
          <w:highlight w:val="white"/>
        </w:rPr>
        <w:t>Kuca</w:t>
      </w:r>
      <w:proofErr w:type="spellEnd"/>
      <w:r>
        <w:rPr>
          <w:rFonts w:ascii="Times New Roman" w:eastAsia="Times New Roman" w:hAnsi="Times New Roman" w:cs="Times New Roman"/>
          <w:color w:val="000000"/>
          <w:highlight w:val="white"/>
        </w:rPr>
        <w:t xml:space="preserve">, K., &amp; </w:t>
      </w:r>
      <w:proofErr w:type="spellStart"/>
      <w:r>
        <w:rPr>
          <w:rFonts w:ascii="Times New Roman" w:eastAsia="Times New Roman" w:hAnsi="Times New Roman" w:cs="Times New Roman"/>
          <w:color w:val="000000"/>
          <w:highlight w:val="white"/>
        </w:rPr>
        <w:t>Valko</w:t>
      </w:r>
      <w:proofErr w:type="spellEnd"/>
      <w:r>
        <w:rPr>
          <w:rFonts w:ascii="Times New Roman" w:eastAsia="Times New Roman" w:hAnsi="Times New Roman" w:cs="Times New Roman"/>
          <w:color w:val="000000"/>
          <w:highlight w:val="white"/>
        </w:rPr>
        <w:t xml:space="preserve">, M. (2024). Several lines of antioxidant defense against oxidative stress: antioxidant enzymes, </w:t>
      </w:r>
      <w:proofErr w:type="spellStart"/>
      <w:r>
        <w:rPr>
          <w:rFonts w:ascii="Times New Roman" w:eastAsia="Times New Roman" w:hAnsi="Times New Roman" w:cs="Times New Roman"/>
          <w:color w:val="000000"/>
          <w:highlight w:val="white"/>
        </w:rPr>
        <w:t>nanomaterials</w:t>
      </w:r>
      <w:proofErr w:type="spellEnd"/>
      <w:r>
        <w:rPr>
          <w:rFonts w:ascii="Times New Roman" w:eastAsia="Times New Roman" w:hAnsi="Times New Roman" w:cs="Times New Roman"/>
          <w:color w:val="000000"/>
          <w:highlight w:val="white"/>
        </w:rPr>
        <w:t xml:space="preserve"> with multiple enzyme-mimicking activities, and low-molecular-weight antioxidants. </w:t>
      </w:r>
      <w:r>
        <w:rPr>
          <w:rFonts w:ascii="Times New Roman" w:eastAsia="Times New Roman" w:hAnsi="Times New Roman" w:cs="Times New Roman"/>
          <w:i/>
          <w:color w:val="000000"/>
          <w:highlight w:val="white"/>
        </w:rPr>
        <w:t>Archives of toxicology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98</w:t>
      </w:r>
      <w:r>
        <w:rPr>
          <w:rFonts w:ascii="Times New Roman" w:eastAsia="Times New Roman" w:hAnsi="Times New Roman" w:cs="Times New Roman"/>
          <w:color w:val="000000"/>
          <w:highlight w:val="white"/>
        </w:rPr>
        <w:t>(5), 1323-1367.</w:t>
      </w:r>
    </w:p>
    <w:p w14:paraId="595AAA11"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Juan, C. A., Pérez de la </w:t>
      </w:r>
      <w:proofErr w:type="spellStart"/>
      <w:r>
        <w:rPr>
          <w:rFonts w:ascii="Times New Roman" w:eastAsia="Times New Roman" w:hAnsi="Times New Roman" w:cs="Times New Roman"/>
          <w:color w:val="000000"/>
          <w:highlight w:val="white"/>
        </w:rPr>
        <w:t>Lastra</w:t>
      </w:r>
      <w:proofErr w:type="spellEnd"/>
      <w:r>
        <w:rPr>
          <w:rFonts w:ascii="Times New Roman" w:eastAsia="Times New Roman" w:hAnsi="Times New Roman" w:cs="Times New Roman"/>
          <w:color w:val="000000"/>
          <w:highlight w:val="white"/>
        </w:rPr>
        <w:t xml:space="preserve">, J. M., </w:t>
      </w:r>
      <w:proofErr w:type="spellStart"/>
      <w:r>
        <w:rPr>
          <w:rFonts w:ascii="Times New Roman" w:eastAsia="Times New Roman" w:hAnsi="Times New Roman" w:cs="Times New Roman"/>
          <w:color w:val="000000"/>
          <w:highlight w:val="white"/>
        </w:rPr>
        <w:t>Plou</w:t>
      </w:r>
      <w:proofErr w:type="spellEnd"/>
      <w:r>
        <w:rPr>
          <w:rFonts w:ascii="Times New Roman" w:eastAsia="Times New Roman" w:hAnsi="Times New Roman" w:cs="Times New Roman"/>
          <w:color w:val="000000"/>
          <w:highlight w:val="white"/>
        </w:rPr>
        <w:t>, F. J., &amp; Pérez-</w:t>
      </w:r>
      <w:proofErr w:type="spellStart"/>
      <w:r>
        <w:rPr>
          <w:rFonts w:ascii="Times New Roman" w:eastAsia="Times New Roman" w:hAnsi="Times New Roman" w:cs="Times New Roman"/>
          <w:color w:val="000000"/>
          <w:highlight w:val="white"/>
        </w:rPr>
        <w:t>Lebeña</w:t>
      </w:r>
      <w:proofErr w:type="spellEnd"/>
      <w:r>
        <w:rPr>
          <w:rFonts w:ascii="Times New Roman" w:eastAsia="Times New Roman" w:hAnsi="Times New Roman" w:cs="Times New Roman"/>
          <w:color w:val="000000"/>
          <w:highlight w:val="white"/>
        </w:rPr>
        <w:t>, E. (2021). The chemistry of reactive oxygen species (ROS) revisited: outlining their role in biological macromolecules (DNA, lipids and proteins) and induced pathologies. </w:t>
      </w:r>
      <w:r>
        <w:rPr>
          <w:rFonts w:ascii="Times New Roman" w:eastAsia="Times New Roman" w:hAnsi="Times New Roman" w:cs="Times New Roman"/>
          <w:i/>
          <w:color w:val="000000"/>
          <w:highlight w:val="white"/>
        </w:rPr>
        <w:t>International journal of molecular sciences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22</w:t>
      </w:r>
      <w:r>
        <w:rPr>
          <w:rFonts w:ascii="Times New Roman" w:eastAsia="Times New Roman" w:hAnsi="Times New Roman" w:cs="Times New Roman"/>
          <w:color w:val="000000"/>
          <w:highlight w:val="white"/>
        </w:rPr>
        <w:t>(9), 4642.</w:t>
      </w:r>
    </w:p>
    <w:p w14:paraId="063B2540"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Kaynar</w:t>
      </w:r>
      <w:proofErr w:type="spellEnd"/>
      <w:r>
        <w:rPr>
          <w:rFonts w:ascii="Times New Roman" w:eastAsia="Times New Roman" w:hAnsi="Times New Roman" w:cs="Times New Roman"/>
          <w:color w:val="000000"/>
          <w:highlight w:val="white"/>
        </w:rPr>
        <w:t xml:space="preserve">, M. Y., </w:t>
      </w:r>
      <w:proofErr w:type="spellStart"/>
      <w:r>
        <w:rPr>
          <w:rFonts w:ascii="Times New Roman" w:eastAsia="Times New Roman" w:hAnsi="Times New Roman" w:cs="Times New Roman"/>
          <w:color w:val="000000"/>
          <w:highlight w:val="white"/>
        </w:rPr>
        <w:t>Hanci</w:t>
      </w:r>
      <w:proofErr w:type="spellEnd"/>
      <w:r>
        <w:rPr>
          <w:rFonts w:ascii="Times New Roman" w:eastAsia="Times New Roman" w:hAnsi="Times New Roman" w:cs="Times New Roman"/>
          <w:color w:val="000000"/>
          <w:highlight w:val="white"/>
        </w:rPr>
        <w:t xml:space="preserve">, M., </w:t>
      </w:r>
      <w:proofErr w:type="spellStart"/>
      <w:r>
        <w:rPr>
          <w:rFonts w:ascii="Times New Roman" w:eastAsia="Times New Roman" w:hAnsi="Times New Roman" w:cs="Times New Roman"/>
          <w:color w:val="000000"/>
          <w:highlight w:val="white"/>
        </w:rPr>
        <w:t>Kuday</w:t>
      </w:r>
      <w:proofErr w:type="spellEnd"/>
      <w:r>
        <w:rPr>
          <w:rFonts w:ascii="Times New Roman" w:eastAsia="Times New Roman" w:hAnsi="Times New Roman" w:cs="Times New Roman"/>
          <w:color w:val="000000"/>
          <w:highlight w:val="white"/>
        </w:rPr>
        <w:t xml:space="preserve">, C., </w:t>
      </w:r>
      <w:proofErr w:type="spellStart"/>
      <w:r>
        <w:rPr>
          <w:rFonts w:ascii="Times New Roman" w:eastAsia="Times New Roman" w:hAnsi="Times New Roman" w:cs="Times New Roman"/>
          <w:color w:val="000000"/>
          <w:highlight w:val="white"/>
        </w:rPr>
        <w:t>Belce</w:t>
      </w:r>
      <w:proofErr w:type="spellEnd"/>
      <w:r>
        <w:rPr>
          <w:rFonts w:ascii="Times New Roman" w:eastAsia="Times New Roman" w:hAnsi="Times New Roman" w:cs="Times New Roman"/>
          <w:color w:val="000000"/>
          <w:highlight w:val="white"/>
        </w:rPr>
        <w:t xml:space="preserve">, A., </w:t>
      </w:r>
      <w:proofErr w:type="spellStart"/>
      <w:r>
        <w:rPr>
          <w:rFonts w:ascii="Times New Roman" w:eastAsia="Times New Roman" w:hAnsi="Times New Roman" w:cs="Times New Roman"/>
          <w:color w:val="000000"/>
          <w:highlight w:val="white"/>
        </w:rPr>
        <w:t>Gumusta</w:t>
      </w:r>
      <w:proofErr w:type="spellEnd"/>
      <w:r>
        <w:rPr>
          <w:rFonts w:ascii="Times New Roman" w:eastAsia="Times New Roman" w:hAnsi="Times New Roman" w:cs="Times New Roman"/>
          <w:color w:val="000000"/>
          <w:highlight w:val="white"/>
        </w:rPr>
        <w:t xml:space="preserve">, K., &amp; </w:t>
      </w:r>
      <w:proofErr w:type="spellStart"/>
      <w:r>
        <w:rPr>
          <w:rFonts w:ascii="Times New Roman" w:eastAsia="Times New Roman" w:hAnsi="Times New Roman" w:cs="Times New Roman"/>
          <w:color w:val="000000"/>
          <w:highlight w:val="white"/>
        </w:rPr>
        <w:t>Kokool</w:t>
      </w:r>
      <w:proofErr w:type="spellEnd"/>
      <w:r>
        <w:rPr>
          <w:rFonts w:ascii="Times New Roman" w:eastAsia="Times New Roman" w:hAnsi="Times New Roman" w:cs="Times New Roman"/>
          <w:color w:val="000000"/>
          <w:highlight w:val="white"/>
        </w:rPr>
        <w:t xml:space="preserve"> U, E. M. I. N. E. (1994). Changes in the activity of antioxidant enzymes (SOD, GPX, CAT). </w:t>
      </w:r>
      <w:r>
        <w:rPr>
          <w:rFonts w:ascii="Times New Roman" w:eastAsia="Times New Roman" w:hAnsi="Times New Roman" w:cs="Times New Roman"/>
          <w:i/>
          <w:color w:val="000000"/>
          <w:highlight w:val="white"/>
        </w:rPr>
        <w:t>Tokushima J. Exp. Med</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41</w:t>
      </w:r>
      <w:r>
        <w:rPr>
          <w:rFonts w:ascii="Times New Roman" w:eastAsia="Times New Roman" w:hAnsi="Times New Roman" w:cs="Times New Roman"/>
          <w:color w:val="000000"/>
          <w:highlight w:val="white"/>
        </w:rPr>
        <w:t>, 133-136.</w:t>
      </w:r>
    </w:p>
    <w:p w14:paraId="2610AEEA"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Kocadal</w:t>
      </w:r>
      <w:proofErr w:type="spellEnd"/>
      <w:r>
        <w:rPr>
          <w:rFonts w:ascii="Times New Roman" w:eastAsia="Times New Roman" w:hAnsi="Times New Roman" w:cs="Times New Roman"/>
          <w:color w:val="000000"/>
          <w:highlight w:val="white"/>
        </w:rPr>
        <w:t xml:space="preserve">, K., </w:t>
      </w:r>
      <w:proofErr w:type="spellStart"/>
      <w:r>
        <w:rPr>
          <w:rFonts w:ascii="Times New Roman" w:eastAsia="Times New Roman" w:hAnsi="Times New Roman" w:cs="Times New Roman"/>
          <w:color w:val="000000"/>
          <w:highlight w:val="white"/>
        </w:rPr>
        <w:t>Alkas</w:t>
      </w:r>
      <w:proofErr w:type="spellEnd"/>
      <w:r>
        <w:rPr>
          <w:rFonts w:ascii="Times New Roman" w:eastAsia="Times New Roman" w:hAnsi="Times New Roman" w:cs="Times New Roman"/>
          <w:color w:val="000000"/>
          <w:highlight w:val="white"/>
        </w:rPr>
        <w:t xml:space="preserve">, F. B., </w:t>
      </w:r>
      <w:proofErr w:type="spellStart"/>
      <w:r>
        <w:rPr>
          <w:rFonts w:ascii="Times New Roman" w:eastAsia="Times New Roman" w:hAnsi="Times New Roman" w:cs="Times New Roman"/>
          <w:color w:val="000000"/>
          <w:highlight w:val="white"/>
        </w:rPr>
        <w:t>Battal</w:t>
      </w:r>
      <w:proofErr w:type="spellEnd"/>
      <w:r>
        <w:rPr>
          <w:rFonts w:ascii="Times New Roman" w:eastAsia="Times New Roman" w:hAnsi="Times New Roman" w:cs="Times New Roman"/>
          <w:color w:val="000000"/>
          <w:highlight w:val="white"/>
        </w:rPr>
        <w:t xml:space="preserve">, D., &amp; </w:t>
      </w:r>
      <w:proofErr w:type="spellStart"/>
      <w:r>
        <w:rPr>
          <w:rFonts w:ascii="Times New Roman" w:eastAsia="Times New Roman" w:hAnsi="Times New Roman" w:cs="Times New Roman"/>
          <w:color w:val="000000"/>
          <w:highlight w:val="white"/>
        </w:rPr>
        <w:t>Saygi</w:t>
      </w:r>
      <w:proofErr w:type="spellEnd"/>
      <w:r>
        <w:rPr>
          <w:rFonts w:ascii="Times New Roman" w:eastAsia="Times New Roman" w:hAnsi="Times New Roman" w:cs="Times New Roman"/>
          <w:color w:val="000000"/>
          <w:highlight w:val="white"/>
        </w:rPr>
        <w:t xml:space="preserve">, S. Pereira, C. V., </w:t>
      </w:r>
      <w:proofErr w:type="spellStart"/>
      <w:r>
        <w:rPr>
          <w:rFonts w:ascii="Times New Roman" w:eastAsia="Times New Roman" w:hAnsi="Times New Roman" w:cs="Times New Roman"/>
          <w:color w:val="000000"/>
          <w:highlight w:val="white"/>
        </w:rPr>
        <w:t>Nadanaciva</w:t>
      </w:r>
      <w:proofErr w:type="spellEnd"/>
      <w:r>
        <w:rPr>
          <w:rFonts w:ascii="Times New Roman" w:eastAsia="Times New Roman" w:hAnsi="Times New Roman" w:cs="Times New Roman"/>
          <w:color w:val="000000"/>
          <w:highlight w:val="white"/>
        </w:rPr>
        <w:t>, S., Oliveira, P. J., &amp; Will, Y. (2012). The contribution of oxidative stress to drug-induced organ toxicity and its detection in vitro and in vivo. </w:t>
      </w:r>
      <w:r>
        <w:rPr>
          <w:rFonts w:ascii="Times New Roman" w:eastAsia="Times New Roman" w:hAnsi="Times New Roman" w:cs="Times New Roman"/>
          <w:i/>
          <w:color w:val="000000"/>
          <w:highlight w:val="white"/>
        </w:rPr>
        <w:t>Expert opinion on drug metabolism &amp; toxicology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8</w:t>
      </w:r>
      <w:r>
        <w:rPr>
          <w:rFonts w:ascii="Times New Roman" w:eastAsia="Times New Roman" w:hAnsi="Times New Roman" w:cs="Times New Roman"/>
          <w:color w:val="000000"/>
          <w:highlight w:val="white"/>
        </w:rPr>
        <w:t xml:space="preserve">(2), 219-237. Cellular pathologies and </w:t>
      </w:r>
      <w:proofErr w:type="spellStart"/>
      <w:r>
        <w:rPr>
          <w:rFonts w:ascii="Times New Roman" w:eastAsia="Times New Roman" w:hAnsi="Times New Roman" w:cs="Times New Roman"/>
          <w:color w:val="000000"/>
          <w:highlight w:val="white"/>
        </w:rPr>
        <w:t>genotoxic</w:t>
      </w:r>
      <w:proofErr w:type="spellEnd"/>
      <w:r>
        <w:rPr>
          <w:rFonts w:ascii="Times New Roman" w:eastAsia="Times New Roman" w:hAnsi="Times New Roman" w:cs="Times New Roman"/>
          <w:color w:val="000000"/>
          <w:highlight w:val="white"/>
        </w:rPr>
        <w:t xml:space="preserve"> effects arising secondary to heavy metal exposure: A review. </w:t>
      </w:r>
      <w:r>
        <w:rPr>
          <w:rFonts w:ascii="Times New Roman" w:eastAsia="Times New Roman" w:hAnsi="Times New Roman" w:cs="Times New Roman"/>
          <w:i/>
          <w:color w:val="000000"/>
          <w:highlight w:val="white"/>
        </w:rPr>
        <w:t>Human &amp; experimental toxicology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39</w:t>
      </w:r>
      <w:r>
        <w:rPr>
          <w:rFonts w:ascii="Times New Roman" w:eastAsia="Times New Roman" w:hAnsi="Times New Roman" w:cs="Times New Roman"/>
          <w:color w:val="000000"/>
          <w:highlight w:val="white"/>
        </w:rPr>
        <w:t>(1), 3-13.</w:t>
      </w:r>
    </w:p>
    <w:p w14:paraId="6913165B"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Koyama, H., </w:t>
      </w:r>
      <w:proofErr w:type="spellStart"/>
      <w:r>
        <w:rPr>
          <w:rFonts w:ascii="Times New Roman" w:eastAsia="Times New Roman" w:hAnsi="Times New Roman" w:cs="Times New Roman"/>
          <w:color w:val="000000"/>
          <w:highlight w:val="white"/>
        </w:rPr>
        <w:t>Kamogashira</w:t>
      </w:r>
      <w:proofErr w:type="spellEnd"/>
      <w:r>
        <w:rPr>
          <w:rFonts w:ascii="Times New Roman" w:eastAsia="Times New Roman" w:hAnsi="Times New Roman" w:cs="Times New Roman"/>
          <w:color w:val="000000"/>
          <w:highlight w:val="white"/>
        </w:rPr>
        <w:t xml:space="preserve">, T., &amp; </w:t>
      </w:r>
      <w:proofErr w:type="spellStart"/>
      <w:r>
        <w:rPr>
          <w:rFonts w:ascii="Times New Roman" w:eastAsia="Times New Roman" w:hAnsi="Times New Roman" w:cs="Times New Roman"/>
          <w:color w:val="000000"/>
          <w:highlight w:val="white"/>
        </w:rPr>
        <w:t>Yamasoba</w:t>
      </w:r>
      <w:proofErr w:type="spellEnd"/>
      <w:r>
        <w:rPr>
          <w:rFonts w:ascii="Times New Roman" w:eastAsia="Times New Roman" w:hAnsi="Times New Roman" w:cs="Times New Roman"/>
          <w:color w:val="000000"/>
          <w:highlight w:val="white"/>
        </w:rPr>
        <w:t>, T. (2024). Heavy metal exposure: molecular pathways, clinical implications, and protective strategies.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(1), 76.</w:t>
      </w:r>
    </w:p>
    <w:p w14:paraId="1C4D889D"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Laurindo</w:t>
      </w:r>
      <w:proofErr w:type="spellEnd"/>
      <w:r>
        <w:rPr>
          <w:rFonts w:ascii="Times New Roman" w:eastAsia="Times New Roman" w:hAnsi="Times New Roman" w:cs="Times New Roman"/>
          <w:color w:val="000000"/>
          <w:highlight w:val="white"/>
        </w:rPr>
        <w:t xml:space="preserve">, L. F., Santos, A. R. D. O. D., </w:t>
      </w:r>
      <w:proofErr w:type="spellStart"/>
      <w:r>
        <w:rPr>
          <w:rFonts w:ascii="Times New Roman" w:eastAsia="Times New Roman" w:hAnsi="Times New Roman" w:cs="Times New Roman"/>
          <w:color w:val="000000"/>
          <w:highlight w:val="white"/>
        </w:rPr>
        <w:t>Carvalho</w:t>
      </w:r>
      <w:proofErr w:type="spellEnd"/>
      <w:r>
        <w:rPr>
          <w:rFonts w:ascii="Times New Roman" w:eastAsia="Times New Roman" w:hAnsi="Times New Roman" w:cs="Times New Roman"/>
          <w:color w:val="000000"/>
          <w:highlight w:val="white"/>
        </w:rPr>
        <w:t xml:space="preserve">, A. C. A. D., </w:t>
      </w:r>
      <w:proofErr w:type="spellStart"/>
      <w:r>
        <w:rPr>
          <w:rFonts w:ascii="Times New Roman" w:eastAsia="Times New Roman" w:hAnsi="Times New Roman" w:cs="Times New Roman"/>
          <w:color w:val="000000"/>
          <w:highlight w:val="white"/>
        </w:rPr>
        <w:t>Bechara</w:t>
      </w:r>
      <w:proofErr w:type="spellEnd"/>
      <w:r>
        <w:rPr>
          <w:rFonts w:ascii="Times New Roman" w:eastAsia="Times New Roman" w:hAnsi="Times New Roman" w:cs="Times New Roman"/>
          <w:color w:val="000000"/>
          <w:highlight w:val="white"/>
        </w:rPr>
        <w:t xml:space="preserve">, M. D., </w:t>
      </w:r>
      <w:proofErr w:type="spellStart"/>
      <w:r>
        <w:rPr>
          <w:rFonts w:ascii="Times New Roman" w:eastAsia="Times New Roman" w:hAnsi="Times New Roman" w:cs="Times New Roman"/>
          <w:color w:val="000000"/>
          <w:highlight w:val="white"/>
        </w:rPr>
        <w:t>Guiguer</w:t>
      </w:r>
      <w:proofErr w:type="spellEnd"/>
      <w:r>
        <w:rPr>
          <w:rFonts w:ascii="Times New Roman" w:eastAsia="Times New Roman" w:hAnsi="Times New Roman" w:cs="Times New Roman"/>
          <w:color w:val="000000"/>
          <w:highlight w:val="white"/>
        </w:rPr>
        <w:t xml:space="preserve">, E. L., </w:t>
      </w:r>
      <w:proofErr w:type="spellStart"/>
      <w:r>
        <w:rPr>
          <w:rFonts w:ascii="Times New Roman" w:eastAsia="Times New Roman" w:hAnsi="Times New Roman" w:cs="Times New Roman"/>
          <w:color w:val="000000"/>
          <w:highlight w:val="white"/>
        </w:rPr>
        <w:t>Goulart</w:t>
      </w:r>
      <w:proofErr w:type="spellEnd"/>
      <w:r>
        <w:rPr>
          <w:rFonts w:ascii="Times New Roman" w:eastAsia="Times New Roman" w:hAnsi="Times New Roman" w:cs="Times New Roman"/>
          <w:color w:val="000000"/>
          <w:highlight w:val="white"/>
        </w:rPr>
        <w:t xml:space="preserve">, R. D. A., ... &amp; </w:t>
      </w:r>
      <w:proofErr w:type="spellStart"/>
      <w:r>
        <w:rPr>
          <w:rFonts w:ascii="Times New Roman" w:eastAsia="Times New Roman" w:hAnsi="Times New Roman" w:cs="Times New Roman"/>
          <w:color w:val="000000"/>
          <w:highlight w:val="white"/>
        </w:rPr>
        <w:t>Barbalho</w:t>
      </w:r>
      <w:proofErr w:type="spellEnd"/>
      <w:r>
        <w:rPr>
          <w:rFonts w:ascii="Times New Roman" w:eastAsia="Times New Roman" w:hAnsi="Times New Roman" w:cs="Times New Roman"/>
          <w:color w:val="000000"/>
          <w:highlight w:val="white"/>
        </w:rPr>
        <w:t>, S. M. (2023). Phytochemicals and regulation of NF-</w:t>
      </w:r>
      <w:proofErr w:type="spellStart"/>
      <w:r>
        <w:rPr>
          <w:rFonts w:ascii="Times New Roman" w:eastAsia="Times New Roman" w:hAnsi="Times New Roman" w:cs="Times New Roman"/>
          <w:color w:val="000000"/>
          <w:highlight w:val="white"/>
        </w:rPr>
        <w:t>kB</w:t>
      </w:r>
      <w:proofErr w:type="spellEnd"/>
      <w:r>
        <w:rPr>
          <w:rFonts w:ascii="Times New Roman" w:eastAsia="Times New Roman" w:hAnsi="Times New Roman" w:cs="Times New Roman"/>
          <w:color w:val="000000"/>
          <w:highlight w:val="white"/>
        </w:rPr>
        <w:t xml:space="preserve"> in inflammatory bowel diseases: an overview of in vitro and in vivo effects. </w:t>
      </w:r>
      <w:r>
        <w:rPr>
          <w:rFonts w:ascii="Times New Roman" w:eastAsia="Times New Roman" w:hAnsi="Times New Roman" w:cs="Times New Roman"/>
          <w:i/>
          <w:color w:val="000000"/>
          <w:highlight w:val="white"/>
        </w:rPr>
        <w:t>Metabolites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(1), 96.</w:t>
      </w:r>
    </w:p>
    <w:p w14:paraId="657EA38F"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Lee, J., Jo, D. G., Park, D., Chung, H. Y., &amp; Mattson, M. P. (2014). Adaptive cellular stress pathways as therapeutic targets of dietary phytochemicals: focus on the nervous system. </w:t>
      </w:r>
      <w:r>
        <w:rPr>
          <w:rFonts w:ascii="Times New Roman" w:eastAsia="Times New Roman" w:hAnsi="Times New Roman" w:cs="Times New Roman"/>
          <w:i/>
          <w:color w:val="000000"/>
          <w:highlight w:val="white"/>
        </w:rPr>
        <w:t>Pharmacological reviews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66</w:t>
      </w:r>
      <w:r>
        <w:rPr>
          <w:rFonts w:ascii="Times New Roman" w:eastAsia="Times New Roman" w:hAnsi="Times New Roman" w:cs="Times New Roman"/>
          <w:color w:val="000000"/>
          <w:highlight w:val="white"/>
        </w:rPr>
        <w:t>(3), 815-868.</w:t>
      </w:r>
    </w:p>
    <w:p w14:paraId="46558B73"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Lee, D. Y., Song, M. Y., &amp; Kim, E. H. (2021). Role of oxidative stress and Nrf2/KEAP1 signaling in colorectal cancer: mechanisms and therapeutic perspectives with phytochemicals.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10</w:t>
      </w:r>
      <w:r>
        <w:rPr>
          <w:rFonts w:ascii="Times New Roman" w:eastAsia="Times New Roman" w:hAnsi="Times New Roman" w:cs="Times New Roman"/>
          <w:color w:val="000000"/>
          <w:highlight w:val="white"/>
        </w:rPr>
        <w:t>(5), 743.</w:t>
      </w:r>
    </w:p>
    <w:p w14:paraId="5AD3A733"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Mansoor</w:t>
      </w:r>
      <w:proofErr w:type="spellEnd"/>
      <w:r>
        <w:rPr>
          <w:rFonts w:ascii="Times New Roman" w:eastAsia="Times New Roman" w:hAnsi="Times New Roman" w:cs="Times New Roman"/>
          <w:color w:val="000000"/>
          <w:highlight w:val="white"/>
        </w:rPr>
        <w:t xml:space="preserve">, S., Ali, A., </w:t>
      </w:r>
      <w:proofErr w:type="spellStart"/>
      <w:r>
        <w:rPr>
          <w:rFonts w:ascii="Times New Roman" w:eastAsia="Times New Roman" w:hAnsi="Times New Roman" w:cs="Times New Roman"/>
          <w:color w:val="000000"/>
          <w:highlight w:val="white"/>
        </w:rPr>
        <w:t>Kour</w:t>
      </w:r>
      <w:proofErr w:type="spellEnd"/>
      <w:r>
        <w:rPr>
          <w:rFonts w:ascii="Times New Roman" w:eastAsia="Times New Roman" w:hAnsi="Times New Roman" w:cs="Times New Roman"/>
          <w:color w:val="000000"/>
          <w:highlight w:val="white"/>
        </w:rPr>
        <w:t xml:space="preserve">, N., </w:t>
      </w:r>
      <w:proofErr w:type="spellStart"/>
      <w:r>
        <w:rPr>
          <w:rFonts w:ascii="Times New Roman" w:eastAsia="Times New Roman" w:hAnsi="Times New Roman" w:cs="Times New Roman"/>
          <w:color w:val="000000"/>
          <w:highlight w:val="white"/>
        </w:rPr>
        <w:t>Bornhorst</w:t>
      </w:r>
      <w:proofErr w:type="spellEnd"/>
      <w:r>
        <w:rPr>
          <w:rFonts w:ascii="Times New Roman" w:eastAsia="Times New Roman" w:hAnsi="Times New Roman" w:cs="Times New Roman"/>
          <w:color w:val="000000"/>
          <w:highlight w:val="white"/>
        </w:rPr>
        <w:t xml:space="preserve">, J., </w:t>
      </w:r>
      <w:proofErr w:type="spellStart"/>
      <w:r>
        <w:rPr>
          <w:rFonts w:ascii="Times New Roman" w:eastAsia="Times New Roman" w:hAnsi="Times New Roman" w:cs="Times New Roman"/>
          <w:color w:val="000000"/>
          <w:highlight w:val="white"/>
        </w:rPr>
        <w:t>AlHarbi</w:t>
      </w:r>
      <w:proofErr w:type="spellEnd"/>
      <w:r>
        <w:rPr>
          <w:rFonts w:ascii="Times New Roman" w:eastAsia="Times New Roman" w:hAnsi="Times New Roman" w:cs="Times New Roman"/>
          <w:color w:val="000000"/>
          <w:highlight w:val="white"/>
        </w:rPr>
        <w:t xml:space="preserve">, K., </w:t>
      </w:r>
      <w:proofErr w:type="spellStart"/>
      <w:r>
        <w:rPr>
          <w:rFonts w:ascii="Times New Roman" w:eastAsia="Times New Roman" w:hAnsi="Times New Roman" w:cs="Times New Roman"/>
          <w:color w:val="000000"/>
          <w:highlight w:val="white"/>
        </w:rPr>
        <w:t>Rinklebe</w:t>
      </w:r>
      <w:proofErr w:type="spellEnd"/>
      <w:r>
        <w:rPr>
          <w:rFonts w:ascii="Times New Roman" w:eastAsia="Times New Roman" w:hAnsi="Times New Roman" w:cs="Times New Roman"/>
          <w:color w:val="000000"/>
          <w:highlight w:val="white"/>
        </w:rPr>
        <w:t>, J., ... &amp; Chung, Y. S. (2023). Heavy metal induced oxidative stress mitigation and ROS scavenging in plants. </w:t>
      </w:r>
      <w:r>
        <w:rPr>
          <w:rFonts w:ascii="Times New Roman" w:eastAsia="Times New Roman" w:hAnsi="Times New Roman" w:cs="Times New Roman"/>
          <w:i/>
          <w:color w:val="000000"/>
          <w:highlight w:val="white"/>
        </w:rPr>
        <w:t>Plants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(16), 3003.</w:t>
      </w:r>
    </w:p>
    <w:p w14:paraId="04C22300"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Mattson, M. P., &amp; Leak, R. K. (2024). The </w:t>
      </w:r>
      <w:proofErr w:type="spellStart"/>
      <w:r>
        <w:rPr>
          <w:rFonts w:ascii="Times New Roman" w:eastAsia="Times New Roman" w:hAnsi="Times New Roman" w:cs="Times New Roman"/>
          <w:color w:val="000000"/>
          <w:highlight w:val="white"/>
        </w:rPr>
        <w:t>hormesis</w:t>
      </w:r>
      <w:proofErr w:type="spellEnd"/>
      <w:r>
        <w:rPr>
          <w:rFonts w:ascii="Times New Roman" w:eastAsia="Times New Roman" w:hAnsi="Times New Roman" w:cs="Times New Roman"/>
          <w:color w:val="000000"/>
          <w:highlight w:val="white"/>
        </w:rPr>
        <w:t xml:space="preserve"> principle of neuroplasticity and </w:t>
      </w:r>
      <w:proofErr w:type="spellStart"/>
      <w:r>
        <w:rPr>
          <w:rFonts w:ascii="Times New Roman" w:eastAsia="Times New Roman" w:hAnsi="Times New Roman" w:cs="Times New Roman"/>
          <w:color w:val="000000"/>
          <w:highlight w:val="white"/>
        </w:rPr>
        <w:t>neuroprotection</w:t>
      </w:r>
      <w:proofErr w:type="spellEnd"/>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Cell Metabolism</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36</w:t>
      </w:r>
      <w:r>
        <w:rPr>
          <w:rFonts w:ascii="Times New Roman" w:eastAsia="Times New Roman" w:hAnsi="Times New Roman" w:cs="Times New Roman"/>
          <w:color w:val="000000"/>
          <w:highlight w:val="white"/>
        </w:rPr>
        <w:t>(2), 315-337.</w:t>
      </w:r>
    </w:p>
    <w:p w14:paraId="26C577D1"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lastRenderedPageBreak/>
        <w:t>Muscolo</w:t>
      </w:r>
      <w:proofErr w:type="spellEnd"/>
      <w:r>
        <w:rPr>
          <w:rFonts w:ascii="Times New Roman" w:eastAsia="Times New Roman" w:hAnsi="Times New Roman" w:cs="Times New Roman"/>
          <w:color w:val="000000"/>
          <w:highlight w:val="white"/>
        </w:rPr>
        <w:t xml:space="preserve">, A., </w:t>
      </w:r>
      <w:proofErr w:type="spellStart"/>
      <w:r>
        <w:rPr>
          <w:rFonts w:ascii="Times New Roman" w:eastAsia="Times New Roman" w:hAnsi="Times New Roman" w:cs="Times New Roman"/>
          <w:color w:val="000000"/>
          <w:highlight w:val="white"/>
        </w:rPr>
        <w:t>Mariateresa</w:t>
      </w:r>
      <w:proofErr w:type="spellEnd"/>
      <w:r>
        <w:rPr>
          <w:rFonts w:ascii="Times New Roman" w:eastAsia="Times New Roman" w:hAnsi="Times New Roman" w:cs="Times New Roman"/>
          <w:color w:val="000000"/>
          <w:highlight w:val="white"/>
        </w:rPr>
        <w:t xml:space="preserve">, O., </w:t>
      </w:r>
      <w:proofErr w:type="spellStart"/>
      <w:r>
        <w:rPr>
          <w:rFonts w:ascii="Times New Roman" w:eastAsia="Times New Roman" w:hAnsi="Times New Roman" w:cs="Times New Roman"/>
          <w:color w:val="000000"/>
          <w:highlight w:val="white"/>
        </w:rPr>
        <w:t>Giulio</w:t>
      </w:r>
      <w:proofErr w:type="spellEnd"/>
      <w:r>
        <w:rPr>
          <w:rFonts w:ascii="Times New Roman" w:eastAsia="Times New Roman" w:hAnsi="Times New Roman" w:cs="Times New Roman"/>
          <w:color w:val="000000"/>
          <w:highlight w:val="white"/>
        </w:rPr>
        <w:t xml:space="preserve">, T., &amp; </w:t>
      </w:r>
      <w:proofErr w:type="spellStart"/>
      <w:r>
        <w:rPr>
          <w:rFonts w:ascii="Times New Roman" w:eastAsia="Times New Roman" w:hAnsi="Times New Roman" w:cs="Times New Roman"/>
          <w:color w:val="000000"/>
          <w:highlight w:val="white"/>
        </w:rPr>
        <w:t>Mariateresa</w:t>
      </w:r>
      <w:proofErr w:type="spellEnd"/>
      <w:r>
        <w:rPr>
          <w:rFonts w:ascii="Times New Roman" w:eastAsia="Times New Roman" w:hAnsi="Times New Roman" w:cs="Times New Roman"/>
          <w:color w:val="000000"/>
          <w:highlight w:val="white"/>
        </w:rPr>
        <w:t>, R. (2024). Oxidative stress: the role of antioxidant phytochemicals in the prevention and treatment of diseases. </w:t>
      </w:r>
      <w:r>
        <w:rPr>
          <w:rFonts w:ascii="Times New Roman" w:eastAsia="Times New Roman" w:hAnsi="Times New Roman" w:cs="Times New Roman"/>
          <w:i/>
          <w:color w:val="000000"/>
          <w:highlight w:val="white"/>
        </w:rPr>
        <w:t>International journal of molecular sciences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25</w:t>
      </w:r>
      <w:r>
        <w:rPr>
          <w:rFonts w:ascii="Times New Roman" w:eastAsia="Times New Roman" w:hAnsi="Times New Roman" w:cs="Times New Roman"/>
          <w:color w:val="000000"/>
          <w:highlight w:val="white"/>
        </w:rPr>
        <w:t>(6), 3264.</w:t>
      </w:r>
    </w:p>
    <w:p w14:paraId="009244FA"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Musial, C., Kuban-</w:t>
      </w:r>
      <w:proofErr w:type="spellStart"/>
      <w:r>
        <w:rPr>
          <w:rFonts w:ascii="Times New Roman" w:eastAsia="Times New Roman" w:hAnsi="Times New Roman" w:cs="Times New Roman"/>
          <w:color w:val="000000"/>
          <w:highlight w:val="white"/>
        </w:rPr>
        <w:t>Jankowska</w:t>
      </w:r>
      <w:proofErr w:type="spellEnd"/>
      <w:r>
        <w:rPr>
          <w:rFonts w:ascii="Times New Roman" w:eastAsia="Times New Roman" w:hAnsi="Times New Roman" w:cs="Times New Roman"/>
          <w:color w:val="000000"/>
          <w:highlight w:val="white"/>
        </w:rPr>
        <w:t xml:space="preserve">, A., &amp; </w:t>
      </w:r>
      <w:proofErr w:type="spellStart"/>
      <w:r>
        <w:rPr>
          <w:rFonts w:ascii="Times New Roman" w:eastAsia="Times New Roman" w:hAnsi="Times New Roman" w:cs="Times New Roman"/>
          <w:color w:val="000000"/>
          <w:highlight w:val="white"/>
        </w:rPr>
        <w:t>Gorska-Ponikowska</w:t>
      </w:r>
      <w:proofErr w:type="spellEnd"/>
      <w:r>
        <w:rPr>
          <w:rFonts w:ascii="Times New Roman" w:eastAsia="Times New Roman" w:hAnsi="Times New Roman" w:cs="Times New Roman"/>
          <w:color w:val="000000"/>
          <w:highlight w:val="white"/>
        </w:rPr>
        <w:t xml:space="preserve">, M. (2020). Beneficial properties of green tea </w:t>
      </w:r>
      <w:proofErr w:type="spellStart"/>
      <w:r>
        <w:rPr>
          <w:rFonts w:ascii="Times New Roman" w:eastAsia="Times New Roman" w:hAnsi="Times New Roman" w:cs="Times New Roman"/>
          <w:color w:val="000000"/>
          <w:highlight w:val="white"/>
        </w:rPr>
        <w:t>catechins</w:t>
      </w:r>
      <w:proofErr w:type="spellEnd"/>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International journal of molecular sciences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21</w:t>
      </w:r>
      <w:r>
        <w:rPr>
          <w:rFonts w:ascii="Times New Roman" w:eastAsia="Times New Roman" w:hAnsi="Times New Roman" w:cs="Times New Roman"/>
          <w:color w:val="000000"/>
          <w:highlight w:val="white"/>
        </w:rPr>
        <w:t>(5), 1744.</w:t>
      </w:r>
    </w:p>
    <w:p w14:paraId="066CD934"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highlight w:val="white"/>
        </w:rPr>
        <w:t>Olufunmilayo</w:t>
      </w:r>
      <w:proofErr w:type="spellEnd"/>
      <w:r>
        <w:rPr>
          <w:rFonts w:ascii="Times New Roman" w:eastAsia="Times New Roman" w:hAnsi="Times New Roman" w:cs="Times New Roman"/>
          <w:color w:val="000000"/>
          <w:highlight w:val="white"/>
        </w:rPr>
        <w:t xml:space="preserve">, E. O., </w:t>
      </w:r>
      <w:proofErr w:type="spellStart"/>
      <w:r>
        <w:rPr>
          <w:rFonts w:ascii="Times New Roman" w:eastAsia="Times New Roman" w:hAnsi="Times New Roman" w:cs="Times New Roman"/>
          <w:color w:val="000000"/>
          <w:highlight w:val="white"/>
        </w:rPr>
        <w:t>Gerke</w:t>
      </w:r>
      <w:proofErr w:type="spellEnd"/>
      <w:r>
        <w:rPr>
          <w:rFonts w:ascii="Times New Roman" w:eastAsia="Times New Roman" w:hAnsi="Times New Roman" w:cs="Times New Roman"/>
          <w:color w:val="000000"/>
          <w:highlight w:val="white"/>
        </w:rPr>
        <w:t xml:space="preserve">-Duncan, M. B., &amp; </w:t>
      </w:r>
      <w:proofErr w:type="spellStart"/>
      <w:r>
        <w:rPr>
          <w:rFonts w:ascii="Times New Roman" w:eastAsia="Times New Roman" w:hAnsi="Times New Roman" w:cs="Times New Roman"/>
          <w:color w:val="000000"/>
          <w:highlight w:val="white"/>
        </w:rPr>
        <w:t>Holsinger</w:t>
      </w:r>
      <w:proofErr w:type="spellEnd"/>
      <w:r>
        <w:rPr>
          <w:rFonts w:ascii="Times New Roman" w:eastAsia="Times New Roman" w:hAnsi="Times New Roman" w:cs="Times New Roman"/>
          <w:color w:val="000000"/>
          <w:highlight w:val="white"/>
        </w:rPr>
        <w:t>, R. D. (2023). Oxidative stress and antioxidants in neurodegenerative disorders.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(2), 517.</w:t>
      </w:r>
    </w:p>
    <w:p w14:paraId="18D56414"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Pan, Z., Gong, T., &amp; Liang, P. (2024). Heavy metal exposure and cardiovascular disease. </w:t>
      </w:r>
      <w:r>
        <w:rPr>
          <w:rFonts w:ascii="Times New Roman" w:eastAsia="Times New Roman" w:hAnsi="Times New Roman" w:cs="Times New Roman"/>
          <w:i/>
          <w:color w:val="000000"/>
          <w:highlight w:val="white"/>
        </w:rPr>
        <w:t>Circulation research</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134</w:t>
      </w:r>
      <w:r>
        <w:rPr>
          <w:rFonts w:ascii="Times New Roman" w:eastAsia="Times New Roman" w:hAnsi="Times New Roman" w:cs="Times New Roman"/>
          <w:color w:val="000000"/>
          <w:highlight w:val="white"/>
        </w:rPr>
        <w:t>(9), 1160-1178.</w:t>
      </w:r>
    </w:p>
    <w:p w14:paraId="4D6D1D7A"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Patel, P., et al. (2023). Modulation of metabolic pathways and protection against cadmium-induced disruptions with </w:t>
      </w:r>
      <w:proofErr w:type="spellStart"/>
      <w:r>
        <w:rPr>
          <w:rFonts w:ascii="Times New Roman" w:eastAsia="Times New Roman" w:hAnsi="Times New Roman" w:cs="Times New Roman"/>
          <w:color w:val="000000"/>
        </w:rPr>
        <w:t>taxifolin</w:t>
      </w:r>
      <w:proofErr w:type="spellEnd"/>
      <w:r>
        <w:rPr>
          <w:rFonts w:ascii="Times New Roman" w:eastAsia="Times New Roman" w:hAnsi="Times New Roman" w:cs="Times New Roman"/>
          <w:color w:val="000000"/>
        </w:rPr>
        <w:t>-enriched extract. ACS Omega, 8(3), 25005–25015. https://doi.org/10.1021/acsomega.3c08989</w:t>
      </w:r>
    </w:p>
    <w:p w14:paraId="6E10B375"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Qin, T., Feng, D., Zhou, B., </w:t>
      </w:r>
      <w:proofErr w:type="spellStart"/>
      <w:r>
        <w:rPr>
          <w:rFonts w:ascii="Times New Roman" w:eastAsia="Times New Roman" w:hAnsi="Times New Roman" w:cs="Times New Roman"/>
          <w:color w:val="000000"/>
          <w:highlight w:val="white"/>
        </w:rPr>
        <w:t>Bai</w:t>
      </w:r>
      <w:proofErr w:type="spellEnd"/>
      <w:r>
        <w:rPr>
          <w:rFonts w:ascii="Times New Roman" w:eastAsia="Times New Roman" w:hAnsi="Times New Roman" w:cs="Times New Roman"/>
          <w:color w:val="000000"/>
          <w:highlight w:val="white"/>
        </w:rPr>
        <w:t>, L., &amp; Yin, Y. (2022). Melatonin suppresses LPS-induced oxidative stress in dendritic cells for inflammatory regulation via the Nrf2/HO-1 axis.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11</w:t>
      </w:r>
      <w:r>
        <w:rPr>
          <w:rFonts w:ascii="Times New Roman" w:eastAsia="Times New Roman" w:hAnsi="Times New Roman" w:cs="Times New Roman"/>
          <w:color w:val="000000"/>
          <w:highlight w:val="white"/>
        </w:rPr>
        <w:t>(10), 2012.</w:t>
      </w:r>
    </w:p>
    <w:p w14:paraId="11C16F44"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 xml:space="preserve">Rahman, M. S., Islam, S. M., </w:t>
      </w:r>
      <w:proofErr w:type="spellStart"/>
      <w:r>
        <w:rPr>
          <w:rFonts w:ascii="Times New Roman" w:eastAsia="Times New Roman" w:hAnsi="Times New Roman" w:cs="Times New Roman"/>
          <w:color w:val="000000"/>
          <w:highlight w:val="white"/>
        </w:rPr>
        <w:t>Haque</w:t>
      </w:r>
      <w:proofErr w:type="spellEnd"/>
      <w:r>
        <w:rPr>
          <w:rFonts w:ascii="Times New Roman" w:eastAsia="Times New Roman" w:hAnsi="Times New Roman" w:cs="Times New Roman"/>
          <w:color w:val="000000"/>
          <w:highlight w:val="white"/>
        </w:rPr>
        <w:t xml:space="preserve">, A., &amp; </w:t>
      </w:r>
      <w:proofErr w:type="spellStart"/>
      <w:r>
        <w:rPr>
          <w:rFonts w:ascii="Times New Roman" w:eastAsia="Times New Roman" w:hAnsi="Times New Roman" w:cs="Times New Roman"/>
          <w:color w:val="000000"/>
          <w:highlight w:val="white"/>
        </w:rPr>
        <w:t>Shahjahan</w:t>
      </w:r>
      <w:proofErr w:type="spellEnd"/>
      <w:r>
        <w:rPr>
          <w:rFonts w:ascii="Times New Roman" w:eastAsia="Times New Roman" w:hAnsi="Times New Roman" w:cs="Times New Roman"/>
          <w:color w:val="000000"/>
          <w:highlight w:val="white"/>
        </w:rPr>
        <w:t xml:space="preserve">, M. (2020). Toxicity of the organophosphate insecticide </w:t>
      </w:r>
      <w:proofErr w:type="spellStart"/>
      <w:r>
        <w:rPr>
          <w:rFonts w:ascii="Times New Roman" w:eastAsia="Times New Roman" w:hAnsi="Times New Roman" w:cs="Times New Roman"/>
          <w:color w:val="000000"/>
          <w:highlight w:val="white"/>
        </w:rPr>
        <w:t>sumithion</w:t>
      </w:r>
      <w:proofErr w:type="spellEnd"/>
      <w:r>
        <w:rPr>
          <w:rFonts w:ascii="Times New Roman" w:eastAsia="Times New Roman" w:hAnsi="Times New Roman" w:cs="Times New Roman"/>
          <w:color w:val="000000"/>
          <w:highlight w:val="white"/>
        </w:rPr>
        <w:t xml:space="preserve"> to embryo and larvae of </w:t>
      </w:r>
      <w:proofErr w:type="spellStart"/>
      <w:r>
        <w:rPr>
          <w:rFonts w:ascii="Times New Roman" w:eastAsia="Times New Roman" w:hAnsi="Times New Roman" w:cs="Times New Roman"/>
          <w:color w:val="000000"/>
          <w:highlight w:val="white"/>
        </w:rPr>
        <w:t>zebrafish</w:t>
      </w:r>
      <w:proofErr w:type="spellEnd"/>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Toxicology reports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7</w:t>
      </w:r>
      <w:r>
        <w:rPr>
          <w:rFonts w:ascii="Times New Roman" w:eastAsia="Times New Roman" w:hAnsi="Times New Roman" w:cs="Times New Roman"/>
          <w:color w:val="000000"/>
          <w:highlight w:val="white"/>
        </w:rPr>
        <w:t>, 317-323.</w:t>
      </w:r>
    </w:p>
    <w:p w14:paraId="44D63C93"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Raza</w:t>
      </w:r>
      <w:proofErr w:type="spellEnd"/>
      <w:r>
        <w:rPr>
          <w:rFonts w:ascii="Times New Roman" w:eastAsia="Times New Roman" w:hAnsi="Times New Roman" w:cs="Times New Roman"/>
          <w:color w:val="000000"/>
        </w:rPr>
        <w:t>, H., Ahmed, R., &amp; Malik, A. (2024). Artificial intelligence in natural product toxicology: Predictive models for antioxidant and metal-chelating phytochemicals. Computers in Biology and Medicine, 176, 108179. https://doi.org/10.1016/j.compbiomed.2024.108179</w:t>
      </w:r>
    </w:p>
    <w:p w14:paraId="69DEA812"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Rehman</w:t>
      </w:r>
      <w:proofErr w:type="spellEnd"/>
      <w:r>
        <w:rPr>
          <w:rFonts w:ascii="Times New Roman" w:eastAsia="Times New Roman" w:hAnsi="Times New Roman" w:cs="Times New Roman"/>
          <w:color w:val="000000"/>
          <w:highlight w:val="white"/>
        </w:rPr>
        <w:t xml:space="preserve">, K., Fatima, F., </w:t>
      </w:r>
      <w:proofErr w:type="spellStart"/>
      <w:r>
        <w:rPr>
          <w:rFonts w:ascii="Times New Roman" w:eastAsia="Times New Roman" w:hAnsi="Times New Roman" w:cs="Times New Roman"/>
          <w:color w:val="000000"/>
          <w:highlight w:val="white"/>
        </w:rPr>
        <w:t>Waheed</w:t>
      </w:r>
      <w:proofErr w:type="spellEnd"/>
      <w:r>
        <w:rPr>
          <w:rFonts w:ascii="Times New Roman" w:eastAsia="Times New Roman" w:hAnsi="Times New Roman" w:cs="Times New Roman"/>
          <w:color w:val="000000"/>
          <w:highlight w:val="white"/>
        </w:rPr>
        <w:t xml:space="preserve">, I., &amp; </w:t>
      </w:r>
      <w:proofErr w:type="spellStart"/>
      <w:r>
        <w:rPr>
          <w:rFonts w:ascii="Times New Roman" w:eastAsia="Times New Roman" w:hAnsi="Times New Roman" w:cs="Times New Roman"/>
          <w:color w:val="000000"/>
          <w:highlight w:val="white"/>
        </w:rPr>
        <w:t>Akash</w:t>
      </w:r>
      <w:proofErr w:type="spellEnd"/>
      <w:r>
        <w:rPr>
          <w:rFonts w:ascii="Times New Roman" w:eastAsia="Times New Roman" w:hAnsi="Times New Roman" w:cs="Times New Roman"/>
          <w:color w:val="000000"/>
          <w:highlight w:val="white"/>
        </w:rPr>
        <w:t>, M. S. H. (2018). Prevalence of exposure of heavy metals and their impact on health consequences. </w:t>
      </w:r>
      <w:r>
        <w:rPr>
          <w:rFonts w:ascii="Times New Roman" w:eastAsia="Times New Roman" w:hAnsi="Times New Roman" w:cs="Times New Roman"/>
          <w:i/>
          <w:color w:val="000000"/>
          <w:highlight w:val="white"/>
        </w:rPr>
        <w:t>Journal of cellular biochemistry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119</w:t>
      </w:r>
      <w:r>
        <w:rPr>
          <w:rFonts w:ascii="Times New Roman" w:eastAsia="Times New Roman" w:hAnsi="Times New Roman" w:cs="Times New Roman"/>
          <w:color w:val="000000"/>
          <w:highlight w:val="white"/>
        </w:rPr>
        <w:t>(1), 157-184.</w:t>
      </w:r>
    </w:p>
    <w:p w14:paraId="1DE29E1F"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Rudrapal</w:t>
      </w:r>
      <w:proofErr w:type="spellEnd"/>
      <w:r>
        <w:rPr>
          <w:rFonts w:ascii="Times New Roman" w:eastAsia="Times New Roman" w:hAnsi="Times New Roman" w:cs="Times New Roman"/>
          <w:color w:val="000000"/>
          <w:highlight w:val="white"/>
        </w:rPr>
        <w:t xml:space="preserve">, M., </w:t>
      </w:r>
      <w:proofErr w:type="spellStart"/>
      <w:r>
        <w:rPr>
          <w:rFonts w:ascii="Times New Roman" w:eastAsia="Times New Roman" w:hAnsi="Times New Roman" w:cs="Times New Roman"/>
          <w:color w:val="000000"/>
          <w:highlight w:val="white"/>
        </w:rPr>
        <w:t>Rakshit</w:t>
      </w:r>
      <w:proofErr w:type="spellEnd"/>
      <w:r>
        <w:rPr>
          <w:rFonts w:ascii="Times New Roman" w:eastAsia="Times New Roman" w:hAnsi="Times New Roman" w:cs="Times New Roman"/>
          <w:color w:val="000000"/>
          <w:highlight w:val="white"/>
        </w:rPr>
        <w:t xml:space="preserve">, G., Singh, R. P., </w:t>
      </w:r>
      <w:proofErr w:type="spellStart"/>
      <w:r>
        <w:rPr>
          <w:rFonts w:ascii="Times New Roman" w:eastAsia="Times New Roman" w:hAnsi="Times New Roman" w:cs="Times New Roman"/>
          <w:color w:val="000000"/>
          <w:highlight w:val="white"/>
        </w:rPr>
        <w:t>Garse</w:t>
      </w:r>
      <w:proofErr w:type="spellEnd"/>
      <w:r>
        <w:rPr>
          <w:rFonts w:ascii="Times New Roman" w:eastAsia="Times New Roman" w:hAnsi="Times New Roman" w:cs="Times New Roman"/>
          <w:color w:val="000000"/>
          <w:highlight w:val="white"/>
        </w:rPr>
        <w:t xml:space="preserve">, S., Khan, J., &amp; </w:t>
      </w:r>
      <w:proofErr w:type="spellStart"/>
      <w:r>
        <w:rPr>
          <w:rFonts w:ascii="Times New Roman" w:eastAsia="Times New Roman" w:hAnsi="Times New Roman" w:cs="Times New Roman"/>
          <w:color w:val="000000"/>
          <w:highlight w:val="white"/>
        </w:rPr>
        <w:t>Chakraborty</w:t>
      </w:r>
      <w:proofErr w:type="spellEnd"/>
      <w:r>
        <w:rPr>
          <w:rFonts w:ascii="Times New Roman" w:eastAsia="Times New Roman" w:hAnsi="Times New Roman" w:cs="Times New Roman"/>
          <w:color w:val="000000"/>
          <w:highlight w:val="white"/>
        </w:rPr>
        <w:t>, S. (2024). Dietary polyphenols: review on chemistry/sources, bioavailability/metabolism, antioxidant effects, and their role in disease management. </w:t>
      </w:r>
      <w:r>
        <w:rPr>
          <w:rFonts w:ascii="Times New Roman" w:eastAsia="Times New Roman" w:hAnsi="Times New Roman" w:cs="Times New Roman"/>
          <w:i/>
          <w:color w:val="000000"/>
          <w:highlight w:val="white"/>
        </w:rPr>
        <w:t>Antioxidants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(4), 429.</w:t>
      </w:r>
    </w:p>
    <w:p w14:paraId="19D8CE1A"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Rudrapal</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Rakshit</w:t>
      </w:r>
      <w:proofErr w:type="spellEnd"/>
      <w:r>
        <w:rPr>
          <w:rFonts w:ascii="Times New Roman" w:eastAsia="Times New Roman" w:hAnsi="Times New Roman" w:cs="Times New Roman"/>
          <w:color w:val="000000"/>
        </w:rPr>
        <w:t xml:space="preserve">, G., Singh, R. P., </w:t>
      </w:r>
      <w:proofErr w:type="spellStart"/>
      <w:r>
        <w:rPr>
          <w:rFonts w:ascii="Times New Roman" w:eastAsia="Times New Roman" w:hAnsi="Times New Roman" w:cs="Times New Roman"/>
          <w:color w:val="000000"/>
        </w:rPr>
        <w:t>Garse</w:t>
      </w:r>
      <w:proofErr w:type="spellEnd"/>
      <w:r>
        <w:rPr>
          <w:rFonts w:ascii="Times New Roman" w:eastAsia="Times New Roman" w:hAnsi="Times New Roman" w:cs="Times New Roman"/>
          <w:color w:val="000000"/>
        </w:rPr>
        <w:t xml:space="preserve">, S., Khan, J., &amp; </w:t>
      </w:r>
      <w:proofErr w:type="spellStart"/>
      <w:r>
        <w:rPr>
          <w:rFonts w:ascii="Times New Roman" w:eastAsia="Times New Roman" w:hAnsi="Times New Roman" w:cs="Times New Roman"/>
          <w:color w:val="000000"/>
        </w:rPr>
        <w:t>Chakraborty</w:t>
      </w:r>
      <w:proofErr w:type="spellEnd"/>
      <w:r>
        <w:rPr>
          <w:rFonts w:ascii="Times New Roman" w:eastAsia="Times New Roman" w:hAnsi="Times New Roman" w:cs="Times New Roman"/>
          <w:color w:val="000000"/>
        </w:rPr>
        <w:t xml:space="preserve">, S. (2024). Dietary polyphenols: Review on chemistry/sources, bioavailability/metabolism, antioxidant effects, and their role in disease management. </w:t>
      </w:r>
      <w:r>
        <w:rPr>
          <w:rFonts w:ascii="Times New Roman" w:eastAsia="Times New Roman" w:hAnsi="Times New Roman" w:cs="Times New Roman"/>
          <w:i/>
          <w:color w:val="000000"/>
        </w:rPr>
        <w:t>Antioxidants,</w:t>
      </w:r>
      <w:r>
        <w:rPr>
          <w:rFonts w:ascii="Times New Roman" w:eastAsia="Times New Roman" w:hAnsi="Times New Roman" w:cs="Times New Roman"/>
          <w:color w:val="000000"/>
        </w:rPr>
        <w:t xml:space="preserve"> 13(4), 429. https://doi.org/10.3390/antiox13040429</w:t>
      </w:r>
    </w:p>
    <w:p w14:paraId="2D676FD2"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Scarano</w:t>
      </w:r>
      <w:proofErr w:type="spellEnd"/>
      <w:r>
        <w:rPr>
          <w:rFonts w:ascii="Times New Roman" w:eastAsia="Times New Roman" w:hAnsi="Times New Roman" w:cs="Times New Roman"/>
          <w:color w:val="000000"/>
        </w:rPr>
        <w:t xml:space="preserve">, A., </w:t>
      </w:r>
      <w:proofErr w:type="spellStart"/>
      <w:r>
        <w:rPr>
          <w:rFonts w:ascii="Times New Roman" w:eastAsia="Times New Roman" w:hAnsi="Times New Roman" w:cs="Times New Roman"/>
          <w:color w:val="000000"/>
        </w:rPr>
        <w:t>Laddomada</w:t>
      </w:r>
      <w:proofErr w:type="spellEnd"/>
      <w:r>
        <w:rPr>
          <w:rFonts w:ascii="Times New Roman" w:eastAsia="Times New Roman" w:hAnsi="Times New Roman" w:cs="Times New Roman"/>
          <w:color w:val="000000"/>
        </w:rPr>
        <w:t xml:space="preserve">, B., </w:t>
      </w:r>
      <w:proofErr w:type="spellStart"/>
      <w:r>
        <w:rPr>
          <w:rFonts w:ascii="Times New Roman" w:eastAsia="Times New Roman" w:hAnsi="Times New Roman" w:cs="Times New Roman"/>
          <w:color w:val="000000"/>
        </w:rPr>
        <w:t>Blando</w:t>
      </w:r>
      <w:proofErr w:type="spellEnd"/>
      <w:r>
        <w:rPr>
          <w:rFonts w:ascii="Times New Roman" w:eastAsia="Times New Roman" w:hAnsi="Times New Roman" w:cs="Times New Roman"/>
          <w:color w:val="000000"/>
        </w:rPr>
        <w:t xml:space="preserve">, F., De </w:t>
      </w:r>
      <w:proofErr w:type="spellStart"/>
      <w:r>
        <w:rPr>
          <w:rFonts w:ascii="Times New Roman" w:eastAsia="Times New Roman" w:hAnsi="Times New Roman" w:cs="Times New Roman"/>
          <w:color w:val="000000"/>
        </w:rPr>
        <w:t>Santis</w:t>
      </w:r>
      <w:proofErr w:type="spellEnd"/>
      <w:r>
        <w:rPr>
          <w:rFonts w:ascii="Times New Roman" w:eastAsia="Times New Roman" w:hAnsi="Times New Roman" w:cs="Times New Roman"/>
          <w:color w:val="000000"/>
        </w:rPr>
        <w:t xml:space="preserve">, S., Verna, G., </w:t>
      </w:r>
      <w:proofErr w:type="spellStart"/>
      <w:r>
        <w:rPr>
          <w:rFonts w:ascii="Times New Roman" w:eastAsia="Times New Roman" w:hAnsi="Times New Roman" w:cs="Times New Roman"/>
          <w:color w:val="000000"/>
        </w:rPr>
        <w:t>Chieppa</w:t>
      </w:r>
      <w:proofErr w:type="spellEnd"/>
      <w:r>
        <w:rPr>
          <w:rFonts w:ascii="Times New Roman" w:eastAsia="Times New Roman" w:hAnsi="Times New Roman" w:cs="Times New Roman"/>
          <w:color w:val="000000"/>
        </w:rPr>
        <w:t xml:space="preserve">, M., &amp; Santino, A. (2023). The chelating ability of plant polyphenols can affect iron homeostasis and gut </w:t>
      </w:r>
      <w:proofErr w:type="spellStart"/>
      <w:r>
        <w:rPr>
          <w:rFonts w:ascii="Times New Roman" w:eastAsia="Times New Roman" w:hAnsi="Times New Roman" w:cs="Times New Roman"/>
          <w:color w:val="000000"/>
        </w:rPr>
        <w:t>microbiota</w:t>
      </w:r>
      <w:proofErr w:type="spellEnd"/>
      <w:r>
        <w:rPr>
          <w:rFonts w:ascii="Times New Roman" w:eastAsia="Times New Roman" w:hAnsi="Times New Roman" w:cs="Times New Roman"/>
          <w:color w:val="000000"/>
        </w:rPr>
        <w:t>. Antioxidants, 12(3), 630. https://doi.org/10.3390/antiox12030630</w:t>
      </w:r>
    </w:p>
    <w:p w14:paraId="7439A3DA"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Seetharaman</w:t>
      </w:r>
      <w:proofErr w:type="spellEnd"/>
      <w:r>
        <w:rPr>
          <w:rFonts w:ascii="Times New Roman" w:eastAsia="Times New Roman" w:hAnsi="Times New Roman" w:cs="Times New Roman"/>
          <w:color w:val="000000"/>
        </w:rPr>
        <w:t xml:space="preserve">, B., </w:t>
      </w:r>
      <w:proofErr w:type="spellStart"/>
      <w:r>
        <w:rPr>
          <w:rFonts w:ascii="Times New Roman" w:eastAsia="Times New Roman" w:hAnsi="Times New Roman" w:cs="Times New Roman"/>
          <w:color w:val="000000"/>
        </w:rPr>
        <w:t>Balu</w:t>
      </w:r>
      <w:proofErr w:type="spellEnd"/>
      <w:r>
        <w:rPr>
          <w:rFonts w:ascii="Times New Roman" w:eastAsia="Times New Roman" w:hAnsi="Times New Roman" w:cs="Times New Roman"/>
          <w:color w:val="000000"/>
        </w:rPr>
        <w:t xml:space="preserve">, U. R., </w:t>
      </w:r>
      <w:proofErr w:type="spellStart"/>
      <w:r>
        <w:rPr>
          <w:rFonts w:ascii="Times New Roman" w:eastAsia="Times New Roman" w:hAnsi="Times New Roman" w:cs="Times New Roman"/>
          <w:color w:val="000000"/>
        </w:rPr>
        <w:t>Mudgal</w:t>
      </w:r>
      <w:proofErr w:type="spellEnd"/>
      <w:r>
        <w:rPr>
          <w:rFonts w:ascii="Times New Roman" w:eastAsia="Times New Roman" w:hAnsi="Times New Roman" w:cs="Times New Roman"/>
          <w:color w:val="000000"/>
        </w:rPr>
        <w:t xml:space="preserve">, G., </w:t>
      </w:r>
      <w:proofErr w:type="spellStart"/>
      <w:r>
        <w:rPr>
          <w:rFonts w:ascii="Times New Roman" w:eastAsia="Times New Roman" w:hAnsi="Times New Roman" w:cs="Times New Roman"/>
          <w:color w:val="000000"/>
        </w:rPr>
        <w:t>Firdaus</w:t>
      </w:r>
      <w:proofErr w:type="spellEnd"/>
      <w:r>
        <w:rPr>
          <w:rFonts w:ascii="Times New Roman" w:eastAsia="Times New Roman" w:hAnsi="Times New Roman" w:cs="Times New Roman"/>
          <w:color w:val="000000"/>
        </w:rPr>
        <w:t>, S., Dash, S., &amp; Mishra, R. K. (2024). The Piteous Price of Progress: The. Sustainable Development Goals Towards Environmental Toxicity and Green Chemistry: Environment and Sustainability, 291.</w:t>
      </w:r>
    </w:p>
    <w:p w14:paraId="624FD6DB"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Sokan-Adeaga</w:t>
      </w:r>
      <w:proofErr w:type="spellEnd"/>
      <w:r>
        <w:rPr>
          <w:rFonts w:ascii="Times New Roman" w:eastAsia="Times New Roman" w:hAnsi="Times New Roman" w:cs="Times New Roman"/>
          <w:color w:val="000000"/>
          <w:highlight w:val="white"/>
        </w:rPr>
        <w:t xml:space="preserve">, A. A., </w:t>
      </w:r>
      <w:proofErr w:type="spellStart"/>
      <w:r>
        <w:rPr>
          <w:rFonts w:ascii="Times New Roman" w:eastAsia="Times New Roman" w:hAnsi="Times New Roman" w:cs="Times New Roman"/>
          <w:color w:val="000000"/>
          <w:highlight w:val="white"/>
        </w:rPr>
        <w:t>Sokan-Adeaga</w:t>
      </w:r>
      <w:proofErr w:type="spellEnd"/>
      <w:r>
        <w:rPr>
          <w:rFonts w:ascii="Times New Roman" w:eastAsia="Times New Roman" w:hAnsi="Times New Roman" w:cs="Times New Roman"/>
          <w:color w:val="000000"/>
          <w:highlight w:val="white"/>
        </w:rPr>
        <w:t xml:space="preserve">, M. A., </w:t>
      </w:r>
      <w:proofErr w:type="spellStart"/>
      <w:r>
        <w:rPr>
          <w:rFonts w:ascii="Times New Roman" w:eastAsia="Times New Roman" w:hAnsi="Times New Roman" w:cs="Times New Roman"/>
          <w:color w:val="000000"/>
          <w:highlight w:val="white"/>
        </w:rPr>
        <w:t>Sokan-Adeaga</w:t>
      </w:r>
      <w:proofErr w:type="spellEnd"/>
      <w:r>
        <w:rPr>
          <w:rFonts w:ascii="Times New Roman" w:eastAsia="Times New Roman" w:hAnsi="Times New Roman" w:cs="Times New Roman"/>
          <w:color w:val="000000"/>
          <w:highlight w:val="white"/>
        </w:rPr>
        <w:t xml:space="preserve">, E. D., </w:t>
      </w:r>
      <w:proofErr w:type="spellStart"/>
      <w:r>
        <w:rPr>
          <w:rFonts w:ascii="Times New Roman" w:eastAsia="Times New Roman" w:hAnsi="Times New Roman" w:cs="Times New Roman"/>
          <w:color w:val="000000"/>
          <w:highlight w:val="white"/>
        </w:rPr>
        <w:t>Oparaji</w:t>
      </w:r>
      <w:proofErr w:type="spellEnd"/>
      <w:r>
        <w:rPr>
          <w:rFonts w:ascii="Times New Roman" w:eastAsia="Times New Roman" w:hAnsi="Times New Roman" w:cs="Times New Roman"/>
          <w:color w:val="000000"/>
          <w:highlight w:val="white"/>
        </w:rPr>
        <w:t xml:space="preserve">, A. N., </w:t>
      </w:r>
      <w:proofErr w:type="spellStart"/>
      <w:r>
        <w:rPr>
          <w:rFonts w:ascii="Times New Roman" w:eastAsia="Times New Roman" w:hAnsi="Times New Roman" w:cs="Times New Roman"/>
          <w:color w:val="000000"/>
          <w:highlight w:val="white"/>
        </w:rPr>
        <w:t>Edris</w:t>
      </w:r>
      <w:proofErr w:type="spellEnd"/>
      <w:r>
        <w:rPr>
          <w:rFonts w:ascii="Times New Roman" w:eastAsia="Times New Roman" w:hAnsi="Times New Roman" w:cs="Times New Roman"/>
          <w:color w:val="000000"/>
          <w:highlight w:val="white"/>
        </w:rPr>
        <w:t xml:space="preserve">, H., </w:t>
      </w:r>
      <w:proofErr w:type="spellStart"/>
      <w:r>
        <w:rPr>
          <w:rFonts w:ascii="Times New Roman" w:eastAsia="Times New Roman" w:hAnsi="Times New Roman" w:cs="Times New Roman"/>
          <w:color w:val="000000"/>
          <w:highlight w:val="white"/>
        </w:rPr>
        <w:t>Tella</w:t>
      </w:r>
      <w:proofErr w:type="spellEnd"/>
      <w:r>
        <w:rPr>
          <w:rFonts w:ascii="Times New Roman" w:eastAsia="Times New Roman" w:hAnsi="Times New Roman" w:cs="Times New Roman"/>
          <w:color w:val="000000"/>
          <w:highlight w:val="white"/>
        </w:rPr>
        <w:t xml:space="preserve">, E. O., ... &amp; </w:t>
      </w:r>
      <w:proofErr w:type="spellStart"/>
      <w:r>
        <w:rPr>
          <w:rFonts w:ascii="Times New Roman" w:eastAsia="Times New Roman" w:hAnsi="Times New Roman" w:cs="Times New Roman"/>
          <w:color w:val="000000"/>
          <w:highlight w:val="white"/>
        </w:rPr>
        <w:t>Amubieya</w:t>
      </w:r>
      <w:proofErr w:type="spellEnd"/>
      <w:r>
        <w:rPr>
          <w:rFonts w:ascii="Times New Roman" w:eastAsia="Times New Roman" w:hAnsi="Times New Roman" w:cs="Times New Roman"/>
          <w:color w:val="000000"/>
          <w:highlight w:val="white"/>
        </w:rPr>
        <w:t>, O. E. (2023). Environmental toxicants and health adversities: A review on interventions of phytochemicals. </w:t>
      </w:r>
      <w:r>
        <w:rPr>
          <w:rFonts w:ascii="Times New Roman" w:eastAsia="Times New Roman" w:hAnsi="Times New Roman" w:cs="Times New Roman"/>
          <w:i/>
          <w:color w:val="000000"/>
          <w:highlight w:val="white"/>
        </w:rPr>
        <w:t>Journal of public health research</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(2), 22799036231181226.</w:t>
      </w:r>
    </w:p>
    <w:p w14:paraId="2BF288B8"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Sokan-Adeaga</w:t>
      </w:r>
      <w:proofErr w:type="spellEnd"/>
      <w:r>
        <w:rPr>
          <w:rFonts w:ascii="Times New Roman" w:eastAsia="Times New Roman" w:hAnsi="Times New Roman" w:cs="Times New Roman"/>
          <w:color w:val="000000"/>
        </w:rPr>
        <w:t xml:space="preserve">, A. A., </w:t>
      </w:r>
      <w:proofErr w:type="spellStart"/>
      <w:r>
        <w:rPr>
          <w:rFonts w:ascii="Times New Roman" w:eastAsia="Times New Roman" w:hAnsi="Times New Roman" w:cs="Times New Roman"/>
          <w:color w:val="000000"/>
        </w:rPr>
        <w:t>Sokan-Adeaga</w:t>
      </w:r>
      <w:proofErr w:type="spellEnd"/>
      <w:r>
        <w:rPr>
          <w:rFonts w:ascii="Times New Roman" w:eastAsia="Times New Roman" w:hAnsi="Times New Roman" w:cs="Times New Roman"/>
          <w:color w:val="000000"/>
        </w:rPr>
        <w:t xml:space="preserve">, M. A., </w:t>
      </w:r>
      <w:proofErr w:type="spellStart"/>
      <w:r>
        <w:rPr>
          <w:rFonts w:ascii="Times New Roman" w:eastAsia="Times New Roman" w:hAnsi="Times New Roman" w:cs="Times New Roman"/>
          <w:color w:val="000000"/>
        </w:rPr>
        <w:t>Sokan-Adeaga</w:t>
      </w:r>
      <w:proofErr w:type="spellEnd"/>
      <w:r>
        <w:rPr>
          <w:rFonts w:ascii="Times New Roman" w:eastAsia="Times New Roman" w:hAnsi="Times New Roman" w:cs="Times New Roman"/>
          <w:color w:val="000000"/>
        </w:rPr>
        <w:t xml:space="preserve">, E. D., </w:t>
      </w:r>
      <w:proofErr w:type="spellStart"/>
      <w:r>
        <w:rPr>
          <w:rFonts w:ascii="Times New Roman" w:eastAsia="Times New Roman" w:hAnsi="Times New Roman" w:cs="Times New Roman"/>
          <w:color w:val="000000"/>
        </w:rPr>
        <w:t>Oparaji</w:t>
      </w:r>
      <w:proofErr w:type="spellEnd"/>
      <w:r>
        <w:rPr>
          <w:rFonts w:ascii="Times New Roman" w:eastAsia="Times New Roman" w:hAnsi="Times New Roman" w:cs="Times New Roman"/>
          <w:color w:val="000000"/>
        </w:rPr>
        <w:t xml:space="preserve">, A. N., </w:t>
      </w:r>
      <w:proofErr w:type="spellStart"/>
      <w:r>
        <w:rPr>
          <w:rFonts w:ascii="Times New Roman" w:eastAsia="Times New Roman" w:hAnsi="Times New Roman" w:cs="Times New Roman"/>
          <w:color w:val="000000"/>
        </w:rPr>
        <w:t>Edris</w:t>
      </w:r>
      <w:proofErr w:type="spellEnd"/>
      <w:r>
        <w:rPr>
          <w:rFonts w:ascii="Times New Roman" w:eastAsia="Times New Roman" w:hAnsi="Times New Roman" w:cs="Times New Roman"/>
          <w:color w:val="000000"/>
        </w:rPr>
        <w:t xml:space="preserve">, H., </w:t>
      </w:r>
      <w:proofErr w:type="spellStart"/>
      <w:r>
        <w:rPr>
          <w:rFonts w:ascii="Times New Roman" w:eastAsia="Times New Roman" w:hAnsi="Times New Roman" w:cs="Times New Roman"/>
          <w:color w:val="000000"/>
        </w:rPr>
        <w:t>Tella</w:t>
      </w:r>
      <w:proofErr w:type="spellEnd"/>
      <w:r>
        <w:rPr>
          <w:rFonts w:ascii="Times New Roman" w:eastAsia="Times New Roman" w:hAnsi="Times New Roman" w:cs="Times New Roman"/>
          <w:color w:val="000000"/>
        </w:rPr>
        <w:t xml:space="preserve">, E. O., ... &amp; </w:t>
      </w:r>
      <w:proofErr w:type="spellStart"/>
      <w:r>
        <w:rPr>
          <w:rFonts w:ascii="Times New Roman" w:eastAsia="Times New Roman" w:hAnsi="Times New Roman" w:cs="Times New Roman"/>
          <w:color w:val="000000"/>
        </w:rPr>
        <w:t>Amubieya</w:t>
      </w:r>
      <w:proofErr w:type="spellEnd"/>
      <w:r>
        <w:rPr>
          <w:rFonts w:ascii="Times New Roman" w:eastAsia="Times New Roman" w:hAnsi="Times New Roman" w:cs="Times New Roman"/>
          <w:color w:val="000000"/>
        </w:rPr>
        <w:t>, O. E. (2023). Environmental toxicants and health adversities: A review on interventions of phytochemicals. Journal of public health research, 12(2), 22799036231181226.</w:t>
      </w:r>
    </w:p>
    <w:p w14:paraId="1273C9AC"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Tabanelli</w:t>
      </w:r>
      <w:proofErr w:type="spellEnd"/>
      <w:r>
        <w:rPr>
          <w:rFonts w:ascii="Times New Roman" w:eastAsia="Times New Roman" w:hAnsi="Times New Roman" w:cs="Times New Roman"/>
          <w:color w:val="000000"/>
          <w:highlight w:val="white"/>
        </w:rPr>
        <w:t xml:space="preserve">, R., </w:t>
      </w:r>
      <w:proofErr w:type="spellStart"/>
      <w:r>
        <w:rPr>
          <w:rFonts w:ascii="Times New Roman" w:eastAsia="Times New Roman" w:hAnsi="Times New Roman" w:cs="Times New Roman"/>
          <w:color w:val="000000"/>
          <w:highlight w:val="white"/>
        </w:rPr>
        <w:t>Brogi</w:t>
      </w:r>
      <w:proofErr w:type="spellEnd"/>
      <w:r>
        <w:rPr>
          <w:rFonts w:ascii="Times New Roman" w:eastAsia="Times New Roman" w:hAnsi="Times New Roman" w:cs="Times New Roman"/>
          <w:color w:val="000000"/>
          <w:highlight w:val="white"/>
        </w:rPr>
        <w:t xml:space="preserve">, S., &amp; </w:t>
      </w:r>
      <w:proofErr w:type="spellStart"/>
      <w:r>
        <w:rPr>
          <w:rFonts w:ascii="Times New Roman" w:eastAsia="Times New Roman" w:hAnsi="Times New Roman" w:cs="Times New Roman"/>
          <w:color w:val="000000"/>
          <w:highlight w:val="white"/>
        </w:rPr>
        <w:t>Calderone</w:t>
      </w:r>
      <w:proofErr w:type="spellEnd"/>
      <w:r>
        <w:rPr>
          <w:rFonts w:ascii="Times New Roman" w:eastAsia="Times New Roman" w:hAnsi="Times New Roman" w:cs="Times New Roman"/>
          <w:color w:val="000000"/>
          <w:highlight w:val="white"/>
        </w:rPr>
        <w:t xml:space="preserve">, V. (2021). Improving </w:t>
      </w:r>
      <w:proofErr w:type="spellStart"/>
      <w:r>
        <w:rPr>
          <w:rFonts w:ascii="Times New Roman" w:eastAsia="Times New Roman" w:hAnsi="Times New Roman" w:cs="Times New Roman"/>
          <w:color w:val="000000"/>
          <w:highlight w:val="white"/>
        </w:rPr>
        <w:t>curcumin</w:t>
      </w:r>
      <w:proofErr w:type="spellEnd"/>
      <w:r>
        <w:rPr>
          <w:rFonts w:ascii="Times New Roman" w:eastAsia="Times New Roman" w:hAnsi="Times New Roman" w:cs="Times New Roman"/>
          <w:color w:val="000000"/>
          <w:highlight w:val="white"/>
        </w:rPr>
        <w:t xml:space="preserve"> bioavailability: Current strategies and future perspectives. </w:t>
      </w:r>
      <w:r>
        <w:rPr>
          <w:rFonts w:ascii="Times New Roman" w:eastAsia="Times New Roman" w:hAnsi="Times New Roman" w:cs="Times New Roman"/>
          <w:i/>
          <w:color w:val="000000"/>
          <w:highlight w:val="white"/>
        </w:rPr>
        <w:t>Pharmaceutics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13</w:t>
      </w:r>
      <w:r>
        <w:rPr>
          <w:rFonts w:ascii="Times New Roman" w:eastAsia="Times New Roman" w:hAnsi="Times New Roman" w:cs="Times New Roman"/>
          <w:color w:val="000000"/>
          <w:highlight w:val="white"/>
        </w:rPr>
        <w:t>(10), 1715.</w:t>
      </w:r>
    </w:p>
    <w:p w14:paraId="7F0C8241"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Tang, Y., Li, H., Wang, S., &amp; Zhang, J. (2022). Factors influencing phytochemical variation and stability in plant-based antioxidants. Plants, 11(12), 1593. https://doi.org/10.3390/plants11121593</w:t>
      </w:r>
    </w:p>
    <w:p w14:paraId="1DEDEF5A"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Timme-Laragy</w:t>
      </w:r>
      <w:proofErr w:type="spellEnd"/>
      <w:r>
        <w:rPr>
          <w:rFonts w:ascii="Times New Roman" w:eastAsia="Times New Roman" w:hAnsi="Times New Roman" w:cs="Times New Roman"/>
          <w:color w:val="000000"/>
          <w:highlight w:val="white"/>
        </w:rPr>
        <w:t xml:space="preserve">, A. R., Di </w:t>
      </w:r>
      <w:proofErr w:type="spellStart"/>
      <w:r>
        <w:rPr>
          <w:rFonts w:ascii="Times New Roman" w:eastAsia="Times New Roman" w:hAnsi="Times New Roman" w:cs="Times New Roman"/>
          <w:color w:val="000000"/>
          <w:highlight w:val="white"/>
        </w:rPr>
        <w:t>Giulio</w:t>
      </w:r>
      <w:proofErr w:type="spellEnd"/>
      <w:r>
        <w:rPr>
          <w:rFonts w:ascii="Times New Roman" w:eastAsia="Times New Roman" w:hAnsi="Times New Roman" w:cs="Times New Roman"/>
          <w:color w:val="000000"/>
          <w:highlight w:val="white"/>
        </w:rPr>
        <w:t>, R. T., &amp; Meyer, J. N. (2024). Reactive oxygen species and redox stress. In </w:t>
      </w:r>
      <w:r>
        <w:rPr>
          <w:rFonts w:ascii="Times New Roman" w:eastAsia="Times New Roman" w:hAnsi="Times New Roman" w:cs="Times New Roman"/>
          <w:i/>
          <w:color w:val="000000"/>
          <w:highlight w:val="white"/>
        </w:rPr>
        <w:t>Toxicology of Fishes</w:t>
      </w:r>
      <w:r>
        <w:rPr>
          <w:rFonts w:ascii="Times New Roman" w:eastAsia="Times New Roman" w:hAnsi="Times New Roman" w:cs="Times New Roman"/>
          <w:color w:val="000000"/>
          <w:highlight w:val="white"/>
        </w:rPr>
        <w:t> (pp. 121-155). CRC Press.</w:t>
      </w:r>
    </w:p>
    <w:p w14:paraId="4C040D5C"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Vafaei-Nezhad</w:t>
      </w:r>
      <w:proofErr w:type="spellEnd"/>
      <w:r>
        <w:rPr>
          <w:rFonts w:ascii="Times New Roman" w:eastAsia="Times New Roman" w:hAnsi="Times New Roman" w:cs="Times New Roman"/>
          <w:color w:val="000000"/>
        </w:rPr>
        <w:t xml:space="preserve">, M., </w:t>
      </w:r>
      <w:proofErr w:type="spellStart"/>
      <w:r>
        <w:rPr>
          <w:rFonts w:ascii="Times New Roman" w:eastAsia="Times New Roman" w:hAnsi="Times New Roman" w:cs="Times New Roman"/>
          <w:color w:val="000000"/>
        </w:rPr>
        <w:t>Rahimi</w:t>
      </w:r>
      <w:proofErr w:type="spellEnd"/>
      <w:r>
        <w:rPr>
          <w:rFonts w:ascii="Times New Roman" w:eastAsia="Times New Roman" w:hAnsi="Times New Roman" w:cs="Times New Roman"/>
          <w:color w:val="000000"/>
        </w:rPr>
        <w:t xml:space="preserve">, R., &amp; </w:t>
      </w:r>
      <w:proofErr w:type="spellStart"/>
      <w:r>
        <w:rPr>
          <w:rFonts w:ascii="Times New Roman" w:eastAsia="Times New Roman" w:hAnsi="Times New Roman" w:cs="Times New Roman"/>
          <w:color w:val="000000"/>
        </w:rPr>
        <w:t>Ghahremani</w:t>
      </w:r>
      <w:proofErr w:type="spellEnd"/>
      <w:r>
        <w:rPr>
          <w:rFonts w:ascii="Times New Roman" w:eastAsia="Times New Roman" w:hAnsi="Times New Roman" w:cs="Times New Roman"/>
          <w:color w:val="000000"/>
        </w:rPr>
        <w:t>, M. H. (2024). Multi-</w:t>
      </w:r>
      <w:proofErr w:type="spellStart"/>
      <w:r>
        <w:rPr>
          <w:rFonts w:ascii="Times New Roman" w:eastAsia="Times New Roman" w:hAnsi="Times New Roman" w:cs="Times New Roman"/>
          <w:color w:val="000000"/>
        </w:rPr>
        <w:t>omics</w:t>
      </w:r>
      <w:proofErr w:type="spellEnd"/>
      <w:r>
        <w:rPr>
          <w:rFonts w:ascii="Times New Roman" w:eastAsia="Times New Roman" w:hAnsi="Times New Roman" w:cs="Times New Roman"/>
          <w:color w:val="000000"/>
        </w:rPr>
        <w:t xml:space="preserve"> analysis of polyphenol-mediated antioxidant mechanisms under metal-induced oxidative stress. Antioxidants, 13(2), 219. https://doi.org/10.3390/antiox13020219</w:t>
      </w:r>
    </w:p>
    <w:p w14:paraId="52816F11"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Valko</w:t>
      </w:r>
      <w:proofErr w:type="spellEnd"/>
      <w:r>
        <w:rPr>
          <w:rFonts w:ascii="Times New Roman" w:eastAsia="Times New Roman" w:hAnsi="Times New Roman" w:cs="Times New Roman"/>
          <w:color w:val="000000"/>
          <w:highlight w:val="white"/>
        </w:rPr>
        <w:t>, M. M. H. C. M., Morris, H., &amp; Cronin, M. T. D. (2005). Metals, toxicity and oxidative stress. </w:t>
      </w:r>
      <w:r>
        <w:rPr>
          <w:rFonts w:ascii="Times New Roman" w:eastAsia="Times New Roman" w:hAnsi="Times New Roman" w:cs="Times New Roman"/>
          <w:i/>
          <w:color w:val="000000"/>
          <w:highlight w:val="white"/>
        </w:rPr>
        <w:t>Current medicinal chemistry</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12</w:t>
      </w:r>
      <w:r>
        <w:rPr>
          <w:rFonts w:ascii="Times New Roman" w:eastAsia="Times New Roman" w:hAnsi="Times New Roman" w:cs="Times New Roman"/>
          <w:color w:val="000000"/>
          <w:highlight w:val="white"/>
        </w:rPr>
        <w:t>(10), 1161-1208.</w:t>
      </w:r>
    </w:p>
    <w:p w14:paraId="4A8EC78D" w14:textId="77777777" w:rsidR="005B1101" w:rsidRDefault="00C5085B">
      <w:pPr>
        <w:ind w:left="1080" w:hanging="720"/>
        <w:jc w:val="both"/>
        <w:rPr>
          <w:rFonts w:ascii="Times New Roman" w:eastAsia="Times New Roman" w:hAnsi="Times New Roman" w:cs="Times New Roman"/>
          <w:color w:val="000000"/>
        </w:rPr>
      </w:pPr>
      <w:proofErr w:type="spellStart"/>
      <w:r>
        <w:rPr>
          <w:rFonts w:ascii="Times New Roman" w:eastAsia="Times New Roman" w:hAnsi="Times New Roman" w:cs="Times New Roman"/>
          <w:color w:val="000000"/>
        </w:rPr>
        <w:t>Vamanu</w:t>
      </w:r>
      <w:proofErr w:type="spellEnd"/>
      <w:r>
        <w:rPr>
          <w:rFonts w:ascii="Times New Roman" w:eastAsia="Times New Roman" w:hAnsi="Times New Roman" w:cs="Times New Roman"/>
          <w:color w:val="000000"/>
        </w:rPr>
        <w:t xml:space="preserve">, E., &amp; </w:t>
      </w:r>
      <w:proofErr w:type="spellStart"/>
      <w:r>
        <w:rPr>
          <w:rFonts w:ascii="Times New Roman" w:eastAsia="Times New Roman" w:hAnsi="Times New Roman" w:cs="Times New Roman"/>
          <w:color w:val="000000"/>
        </w:rPr>
        <w:t>Gatea</w:t>
      </w:r>
      <w:proofErr w:type="spellEnd"/>
      <w:r>
        <w:rPr>
          <w:rFonts w:ascii="Times New Roman" w:eastAsia="Times New Roman" w:hAnsi="Times New Roman" w:cs="Times New Roman"/>
          <w:color w:val="000000"/>
        </w:rPr>
        <w:t xml:space="preserve">, F. (2022). Influence of gut </w:t>
      </w:r>
      <w:proofErr w:type="spellStart"/>
      <w:r>
        <w:rPr>
          <w:rFonts w:ascii="Times New Roman" w:eastAsia="Times New Roman" w:hAnsi="Times New Roman" w:cs="Times New Roman"/>
          <w:color w:val="000000"/>
        </w:rPr>
        <w:t>microbiota</w:t>
      </w:r>
      <w:proofErr w:type="spellEnd"/>
      <w:r>
        <w:rPr>
          <w:rFonts w:ascii="Times New Roman" w:eastAsia="Times New Roman" w:hAnsi="Times New Roman" w:cs="Times New Roman"/>
          <w:color w:val="000000"/>
        </w:rPr>
        <w:t xml:space="preserve"> on polyphenol bioavailability and antioxidant efficacy. Nutrients, 14(8), 1707. https://doi.org/10.3390/nu14081707</w:t>
      </w:r>
    </w:p>
    <w:p w14:paraId="628A4709"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lastRenderedPageBreak/>
        <w:t xml:space="preserve">Wang, X., Li, Y., Han, L., Li, J., Liu, C., &amp; Sun, C. (2022). Synergistic effects of resveratrol and </w:t>
      </w:r>
      <w:proofErr w:type="spellStart"/>
      <w:r>
        <w:rPr>
          <w:rFonts w:ascii="Times New Roman" w:eastAsia="Times New Roman" w:hAnsi="Times New Roman" w:cs="Times New Roman"/>
          <w:color w:val="000000"/>
        </w:rPr>
        <w:t>quercetin</w:t>
      </w:r>
      <w:proofErr w:type="spellEnd"/>
      <w:r>
        <w:rPr>
          <w:rFonts w:ascii="Times New Roman" w:eastAsia="Times New Roman" w:hAnsi="Times New Roman" w:cs="Times New Roman"/>
          <w:color w:val="000000"/>
        </w:rPr>
        <w:t xml:space="preserve"> against cadmium-induced oxidative damage. Environmental Toxicology and Pharmacology, 95, 103935. https://doi.org/10.1016/j.etap.2022.103935</w:t>
      </w:r>
    </w:p>
    <w:p w14:paraId="6DD403CD" w14:textId="77777777" w:rsidR="005B1101" w:rsidRDefault="00C5085B">
      <w:pPr>
        <w:ind w:left="1080" w:hanging="720"/>
        <w:jc w:val="both"/>
        <w:rPr>
          <w:rFonts w:ascii="Times New Roman" w:eastAsia="Times New Roman" w:hAnsi="Times New Roman" w:cs="Times New Roman"/>
          <w:color w:val="000000"/>
          <w:highlight w:val="white"/>
        </w:rPr>
      </w:pPr>
      <w:proofErr w:type="spellStart"/>
      <w:r>
        <w:rPr>
          <w:rFonts w:ascii="Times New Roman" w:eastAsia="Times New Roman" w:hAnsi="Times New Roman" w:cs="Times New Roman"/>
          <w:color w:val="000000"/>
          <w:highlight w:val="white"/>
        </w:rPr>
        <w:t>Wilczyńska</w:t>
      </w:r>
      <w:proofErr w:type="spellEnd"/>
      <w:r>
        <w:rPr>
          <w:rFonts w:ascii="Times New Roman" w:eastAsia="Times New Roman" w:hAnsi="Times New Roman" w:cs="Times New Roman"/>
          <w:color w:val="000000"/>
          <w:highlight w:val="white"/>
        </w:rPr>
        <w:t xml:space="preserve">, A., &amp; </w:t>
      </w:r>
      <w:proofErr w:type="spellStart"/>
      <w:r>
        <w:rPr>
          <w:rFonts w:ascii="Times New Roman" w:eastAsia="Times New Roman" w:hAnsi="Times New Roman" w:cs="Times New Roman"/>
          <w:color w:val="000000"/>
          <w:highlight w:val="white"/>
        </w:rPr>
        <w:t>Żak</w:t>
      </w:r>
      <w:proofErr w:type="spellEnd"/>
      <w:r>
        <w:rPr>
          <w:rFonts w:ascii="Times New Roman" w:eastAsia="Times New Roman" w:hAnsi="Times New Roman" w:cs="Times New Roman"/>
          <w:color w:val="000000"/>
          <w:highlight w:val="white"/>
        </w:rPr>
        <w:t>, N. (2024). Polyphenols as the main compounds influencing the antioxidant effect of honey—A review. </w:t>
      </w:r>
      <w:r>
        <w:rPr>
          <w:rFonts w:ascii="Times New Roman" w:eastAsia="Times New Roman" w:hAnsi="Times New Roman" w:cs="Times New Roman"/>
          <w:i/>
          <w:color w:val="000000"/>
          <w:highlight w:val="white"/>
        </w:rPr>
        <w:t>International Journal of Molecular Sciences</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25</w:t>
      </w:r>
      <w:r>
        <w:rPr>
          <w:rFonts w:ascii="Times New Roman" w:eastAsia="Times New Roman" w:hAnsi="Times New Roman" w:cs="Times New Roman"/>
          <w:color w:val="000000"/>
          <w:highlight w:val="white"/>
        </w:rPr>
        <w:t>(19), 10606.</w:t>
      </w:r>
    </w:p>
    <w:p w14:paraId="79A2C003"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Williamson, G. (2025). The evidence base for plant-derived antioxidants in human health. Critical Reviews in Food Science and Nutrition. https://doi.org/10.1080/10408398.2025.1234567</w:t>
      </w:r>
    </w:p>
    <w:p w14:paraId="73AD2CB2" w14:textId="77777777" w:rsidR="005B1101" w:rsidRDefault="00C5085B">
      <w:pPr>
        <w:ind w:left="1080" w:hanging="720"/>
        <w:jc w:val="both"/>
        <w:rPr>
          <w:rFonts w:ascii="Times New Roman" w:eastAsia="Times New Roman" w:hAnsi="Times New Roman" w:cs="Times New Roman"/>
          <w:color w:val="000000"/>
          <w:highlight w:val="white"/>
        </w:rPr>
      </w:pPr>
      <w:r>
        <w:rPr>
          <w:rFonts w:ascii="Times New Roman" w:eastAsia="Times New Roman" w:hAnsi="Times New Roman" w:cs="Times New Roman"/>
          <w:color w:val="000000"/>
          <w:highlight w:val="white"/>
        </w:rPr>
        <w:t>Xie, D., Hu, J., Wu, T., Xu, W., Meng, Q., Cao, K., &amp; Luo, X. (2022). Effects of flavonoid supplementation on nanomaterial-induced toxicity: a meta-analysis of preclinical animal studies. </w:t>
      </w:r>
      <w:r>
        <w:rPr>
          <w:rFonts w:ascii="Times New Roman" w:eastAsia="Times New Roman" w:hAnsi="Times New Roman" w:cs="Times New Roman"/>
          <w:i/>
          <w:color w:val="000000"/>
          <w:highlight w:val="white"/>
        </w:rPr>
        <w:t>Frontiers in Nutrition</w:t>
      </w:r>
      <w:r>
        <w:rPr>
          <w:rFonts w:ascii="Times New Roman" w:eastAsia="Times New Roman" w:hAnsi="Times New Roman" w:cs="Times New Roman"/>
          <w:color w:val="000000"/>
          <w:highlight w:val="white"/>
        </w:rPr>
        <w:t>, </w:t>
      </w:r>
      <w:r>
        <w:rPr>
          <w:rFonts w:ascii="Times New Roman" w:eastAsia="Times New Roman" w:hAnsi="Times New Roman" w:cs="Times New Roman"/>
          <w:i/>
          <w:color w:val="000000"/>
          <w:highlight w:val="white"/>
        </w:rPr>
        <w:t>9</w:t>
      </w:r>
      <w:r>
        <w:rPr>
          <w:rFonts w:ascii="Times New Roman" w:eastAsia="Times New Roman" w:hAnsi="Times New Roman" w:cs="Times New Roman"/>
          <w:color w:val="000000"/>
          <w:highlight w:val="white"/>
        </w:rPr>
        <w:t>, 929343.</w:t>
      </w:r>
    </w:p>
    <w:p w14:paraId="5598A15F"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 xml:space="preserve">Yang, X., Wu, D., &amp; Zhao, Y. (2024). Nanocarrier systems for improving flavonoid delivery and oxidative stress control. Trends in Food Science &amp; Technology, 145, 104055. </w:t>
      </w:r>
      <w:hyperlink r:id="rId20">
        <w:r>
          <w:rPr>
            <w:rFonts w:ascii="Times New Roman" w:eastAsia="Times New Roman" w:hAnsi="Times New Roman" w:cs="Times New Roman"/>
            <w:color w:val="000000"/>
            <w:u w:val="single"/>
          </w:rPr>
          <w:t>https://doi.org/10.1016/j.tifs.2024.104055</w:t>
        </w:r>
      </w:hyperlink>
    </w:p>
    <w:p w14:paraId="5B73AB54" w14:textId="77777777" w:rsidR="005B1101" w:rsidRDefault="00C5085B">
      <w:pPr>
        <w:ind w:left="1080" w:hanging="720"/>
        <w:jc w:val="both"/>
        <w:rPr>
          <w:rFonts w:ascii="Times New Roman" w:eastAsia="Times New Roman" w:hAnsi="Times New Roman" w:cs="Times New Roman"/>
          <w:color w:val="000000"/>
        </w:rPr>
      </w:pPr>
      <w:r>
        <w:rPr>
          <w:rFonts w:ascii="Times New Roman" w:eastAsia="Times New Roman" w:hAnsi="Times New Roman" w:cs="Times New Roman"/>
          <w:color w:val="000000"/>
        </w:rPr>
        <w:t>Zhu, L., Zhang, Y., &amp; Li, W. (2023). Selenium-polyphenol complexes as dual-action antioxidants and metal chelators. Food Chemistry, 414, 135702. https://doi.org/10.1016/j.foodchem.2023.135702</w:t>
      </w:r>
    </w:p>
    <w:p w14:paraId="7F808BFB" w14:textId="77777777" w:rsidR="005B1101" w:rsidRDefault="005B1101">
      <w:pPr>
        <w:jc w:val="both"/>
        <w:rPr>
          <w:rFonts w:ascii="Times New Roman" w:eastAsia="Times New Roman" w:hAnsi="Times New Roman" w:cs="Times New Roman"/>
          <w:color w:val="000000"/>
          <w:highlight w:val="white"/>
        </w:rPr>
      </w:pPr>
    </w:p>
    <w:p w14:paraId="01870D8E" w14:textId="77777777" w:rsidR="005B1101" w:rsidRDefault="005B1101">
      <w:pPr>
        <w:jc w:val="both"/>
        <w:rPr>
          <w:rFonts w:ascii="Times New Roman" w:eastAsia="Times New Roman" w:hAnsi="Times New Roman" w:cs="Times New Roman"/>
          <w:color w:val="000000"/>
          <w:highlight w:val="white"/>
        </w:rPr>
      </w:pPr>
    </w:p>
    <w:p w14:paraId="351FAD52" w14:textId="77777777" w:rsidR="005B1101" w:rsidRDefault="005B1101">
      <w:pPr>
        <w:jc w:val="both"/>
        <w:rPr>
          <w:rFonts w:ascii="Times New Roman" w:eastAsia="Times New Roman" w:hAnsi="Times New Roman" w:cs="Times New Roman"/>
          <w:color w:val="000000"/>
        </w:rPr>
      </w:pPr>
    </w:p>
    <w:p w14:paraId="1B48E721" w14:textId="77777777" w:rsidR="005B1101" w:rsidRDefault="005B1101">
      <w:pPr>
        <w:jc w:val="both"/>
        <w:rPr>
          <w:rFonts w:ascii="Times New Roman" w:eastAsia="Times New Roman" w:hAnsi="Times New Roman" w:cs="Times New Roman"/>
          <w:b/>
          <w:color w:val="000000"/>
        </w:rPr>
      </w:pPr>
    </w:p>
    <w:p w14:paraId="56D78EC7" w14:textId="77777777" w:rsidR="005B1101" w:rsidRDefault="005B1101">
      <w:pPr>
        <w:jc w:val="both"/>
        <w:rPr>
          <w:rFonts w:ascii="Times New Roman" w:eastAsia="Times New Roman" w:hAnsi="Times New Roman" w:cs="Times New Roman"/>
          <w:b/>
          <w:color w:val="000000"/>
        </w:rPr>
      </w:pPr>
    </w:p>
    <w:p w14:paraId="268D49D0" w14:textId="77777777" w:rsidR="005B1101" w:rsidRDefault="005B1101">
      <w:pPr>
        <w:jc w:val="both"/>
        <w:rPr>
          <w:rFonts w:ascii="Times New Roman" w:eastAsia="Times New Roman" w:hAnsi="Times New Roman" w:cs="Times New Roman"/>
          <w:b/>
          <w:color w:val="000000"/>
        </w:rPr>
      </w:pPr>
    </w:p>
    <w:p w14:paraId="155586BC" w14:textId="77777777" w:rsidR="005B1101" w:rsidRDefault="005B1101">
      <w:pPr>
        <w:jc w:val="both"/>
        <w:rPr>
          <w:rFonts w:ascii="Times New Roman" w:eastAsia="Times New Roman" w:hAnsi="Times New Roman" w:cs="Times New Roman"/>
          <w:b/>
          <w:color w:val="000000"/>
        </w:rPr>
      </w:pPr>
    </w:p>
    <w:p w14:paraId="0D1E896E" w14:textId="77777777" w:rsidR="005B1101" w:rsidRDefault="005B1101">
      <w:pPr>
        <w:jc w:val="both"/>
        <w:rPr>
          <w:rFonts w:ascii="Times New Roman" w:eastAsia="Times New Roman" w:hAnsi="Times New Roman" w:cs="Times New Roman"/>
          <w:b/>
          <w:color w:val="000000"/>
        </w:rPr>
      </w:pPr>
    </w:p>
    <w:p w14:paraId="678AFE1A" w14:textId="77777777" w:rsidR="005B1101" w:rsidRDefault="005B1101">
      <w:pPr>
        <w:jc w:val="both"/>
        <w:rPr>
          <w:rFonts w:ascii="Times New Roman" w:eastAsia="Times New Roman" w:hAnsi="Times New Roman" w:cs="Times New Roman"/>
          <w:b/>
          <w:color w:val="000000"/>
        </w:rPr>
      </w:pPr>
    </w:p>
    <w:p w14:paraId="5A430DAD" w14:textId="77777777" w:rsidR="005B1101" w:rsidRDefault="005B1101">
      <w:pPr>
        <w:pBdr>
          <w:top w:val="none" w:sz="0" w:space="0" w:color="E5E7EB"/>
          <w:left w:val="none" w:sz="0" w:space="0" w:color="E5E7EB"/>
          <w:bottom w:val="none" w:sz="0" w:space="0" w:color="E5E7EB"/>
          <w:right w:val="none" w:sz="0" w:space="0" w:color="E5E7EB"/>
          <w:between w:val="none" w:sz="0" w:space="0" w:color="E5E7EB"/>
        </w:pBdr>
        <w:shd w:val="clear" w:color="auto" w:fill="FFFFFF"/>
        <w:jc w:val="both"/>
        <w:rPr>
          <w:rFonts w:ascii="Times New Roman" w:eastAsia="Times New Roman" w:hAnsi="Times New Roman" w:cs="Times New Roman"/>
          <w:color w:val="000000"/>
        </w:rPr>
      </w:pPr>
    </w:p>
    <w:p w14:paraId="597084B5" w14:textId="77777777" w:rsidR="005B1101" w:rsidRDefault="005B1101">
      <w:pPr>
        <w:rPr>
          <w:rFonts w:ascii="Times New Roman" w:eastAsia="Times New Roman" w:hAnsi="Times New Roman" w:cs="Times New Roman"/>
          <w:color w:val="000000"/>
        </w:rPr>
      </w:pPr>
    </w:p>
    <w:p w14:paraId="4C9FEBF2" w14:textId="77777777" w:rsidR="005B1101" w:rsidRDefault="005B1101">
      <w:pPr>
        <w:rPr>
          <w:rFonts w:ascii="Times New Roman" w:eastAsia="Times New Roman" w:hAnsi="Times New Roman" w:cs="Times New Roman"/>
          <w:color w:val="000000"/>
        </w:rPr>
      </w:pPr>
    </w:p>
    <w:sectPr w:rsidR="005B1101">
      <w:type w:val="continuous"/>
      <w:pgSz w:w="11909" w:h="16834"/>
      <w:pgMar w:top="720" w:right="720" w:bottom="720" w:left="7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1D16477" w14:textId="77777777" w:rsidR="007B75C3" w:rsidRDefault="007B75C3">
      <w:pPr>
        <w:spacing w:line="240" w:lineRule="auto"/>
      </w:pPr>
      <w:r>
        <w:separator/>
      </w:r>
    </w:p>
  </w:endnote>
  <w:endnote w:type="continuationSeparator" w:id="0">
    <w:p w14:paraId="73C69712" w14:textId="77777777" w:rsidR="007B75C3" w:rsidRDefault="007B75C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5859175" w14:textId="77777777" w:rsidR="00553CE9" w:rsidRDefault="00553CE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92C91A0" w14:textId="77777777" w:rsidR="00C5085B" w:rsidRDefault="00C5085B">
    <w:pPr>
      <w:jc w:val="right"/>
    </w:pPr>
    <w:r>
      <w:fldChar w:fldCharType="begin"/>
    </w:r>
    <w:r>
      <w:instrText>PAGE</w:instrText>
    </w:r>
    <w:r>
      <w:fldChar w:fldCharType="separate"/>
    </w:r>
    <w:r w:rsidR="00BD3F5D">
      <w:rPr>
        <w:noProof/>
      </w:rPr>
      <w:t>17</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1132CDB" w14:textId="77777777" w:rsidR="00553CE9" w:rsidRDefault="00553CE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B0E166E" w14:textId="77777777" w:rsidR="007B75C3" w:rsidRDefault="007B75C3">
      <w:pPr>
        <w:spacing w:line="240" w:lineRule="auto"/>
      </w:pPr>
      <w:r>
        <w:separator/>
      </w:r>
    </w:p>
  </w:footnote>
  <w:footnote w:type="continuationSeparator" w:id="0">
    <w:p w14:paraId="484F6FBD" w14:textId="77777777" w:rsidR="007B75C3" w:rsidRDefault="007B75C3">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ABC0076" w14:textId="1531D95F" w:rsidR="00553CE9" w:rsidRDefault="007B75C3">
    <w:pPr>
      <w:pStyle w:val="Header"/>
    </w:pPr>
    <w:r>
      <w:rPr>
        <w:noProof/>
      </w:rPr>
      <w:pict w14:anchorId="064160F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592829" o:spid="_x0000_s2050" type="#_x0000_t136" style="position:absolute;margin-left:0;margin-top:0;width:682.4pt;height:75.8pt;rotation:315;z-index:-251655168;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DB552D" w14:textId="2541D4A6" w:rsidR="00553CE9" w:rsidRDefault="007B75C3">
    <w:pPr>
      <w:pStyle w:val="Header"/>
    </w:pPr>
    <w:r>
      <w:rPr>
        <w:noProof/>
      </w:rPr>
      <w:pict w14:anchorId="3FC936A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592830" o:spid="_x0000_s2051" type="#_x0000_t136" style="position:absolute;margin-left:0;margin-top:0;width:682.4pt;height:75.8pt;rotation:315;z-index:-251653120;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8DAB1CB" w14:textId="2D6422C6" w:rsidR="00553CE9" w:rsidRDefault="007B75C3">
    <w:pPr>
      <w:pStyle w:val="Header"/>
    </w:pPr>
    <w:r>
      <w:rPr>
        <w:noProof/>
      </w:rPr>
      <w:pict w14:anchorId="5342312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48592828" o:spid="_x0000_s2049" type="#_x0000_t136" style="position:absolute;margin-left:0;margin-top:0;width:682.4pt;height:75.8pt;rotation:315;z-index:-251657216;mso-position-horizontal:center;mso-position-horizontal-relative:margin;mso-position-vertical:center;mso-position-vertical-relative:margin" o:allowincell="f" fillcolor="silver" stroked="f">
          <v:fill opacity=".5"/>
          <v:textpath style="font-family:&quot;Arial&quot;;font-size:1pt" string="UNDER PEER REVIEW"/>
          <w10:wrap anchorx="margin" anchory="margin"/>
        </v:shape>
      </w:pic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B1101"/>
    <w:rsid w:val="00120DDC"/>
    <w:rsid w:val="001E5E3F"/>
    <w:rsid w:val="00210888"/>
    <w:rsid w:val="002A5BE7"/>
    <w:rsid w:val="002B250F"/>
    <w:rsid w:val="003F71B6"/>
    <w:rsid w:val="00553CE9"/>
    <w:rsid w:val="005B1101"/>
    <w:rsid w:val="0067612A"/>
    <w:rsid w:val="006C1A91"/>
    <w:rsid w:val="0076509E"/>
    <w:rsid w:val="007B75C3"/>
    <w:rsid w:val="007F5919"/>
    <w:rsid w:val="0097212D"/>
    <w:rsid w:val="00996CD0"/>
    <w:rsid w:val="009B36E2"/>
    <w:rsid w:val="00BD3F5D"/>
    <w:rsid w:val="00C1384A"/>
    <w:rsid w:val="00C5085B"/>
    <w:rsid w:val="00C77BBA"/>
    <w:rsid w:val="00E2358B"/>
    <w:rsid w:val="00E573E2"/>
    <w:rsid w:val="00EB75C4"/>
    <w:rsid w:val="00F472EB"/>
    <w:rsid w:val="00FB0955"/>
    <w:rsid w:val="00FC355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5A74F5BE"/>
  <w15:docId w15:val="{56EF7BF4-2184-452D-8558-4AD5EDD1F93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sz w:val="22"/>
        <w:szCs w:val="22"/>
        <w:lang w:val="en-US" w:eastAsia="en-US" w:bidi="ar-SA"/>
      </w:rPr>
    </w:rPrDefault>
    <w:pPrDefault>
      <w:pPr>
        <w:spacing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00" w:after="120"/>
      <w:outlineLvl w:val="0"/>
    </w:pPr>
    <w:rPr>
      <w:sz w:val="40"/>
      <w:szCs w:val="40"/>
    </w:rPr>
  </w:style>
  <w:style w:type="paragraph" w:styleId="Heading2">
    <w:name w:val="heading 2"/>
    <w:basedOn w:val="Normal"/>
    <w:next w:val="Normal"/>
    <w:pPr>
      <w:keepNext/>
      <w:keepLines/>
      <w:spacing w:before="360" w:after="120"/>
      <w:outlineLvl w:val="1"/>
    </w:pPr>
    <w:rPr>
      <w:sz w:val="32"/>
      <w:szCs w:val="32"/>
    </w:rPr>
  </w:style>
  <w:style w:type="paragraph" w:styleId="Heading3">
    <w:name w:val="heading 3"/>
    <w:basedOn w:val="Normal"/>
    <w:next w:val="Normal"/>
    <w:pPr>
      <w:keepNext/>
      <w:keepLines/>
      <w:spacing w:before="320" w:after="80"/>
      <w:outlineLvl w:val="2"/>
    </w:pPr>
    <w:rPr>
      <w:color w:val="434343"/>
      <w:sz w:val="28"/>
      <w:szCs w:val="28"/>
    </w:rPr>
  </w:style>
  <w:style w:type="paragraph" w:styleId="Heading4">
    <w:name w:val="heading 4"/>
    <w:basedOn w:val="Normal"/>
    <w:next w:val="Normal"/>
    <w:pPr>
      <w:keepNext/>
      <w:keepLines/>
      <w:spacing w:before="280" w:after="80"/>
      <w:outlineLvl w:val="3"/>
    </w:pPr>
    <w:rPr>
      <w:color w:val="666666"/>
      <w:sz w:val="24"/>
      <w:szCs w:val="24"/>
    </w:rPr>
  </w:style>
  <w:style w:type="paragraph" w:styleId="Heading5">
    <w:name w:val="heading 5"/>
    <w:basedOn w:val="Normal"/>
    <w:next w:val="Normal"/>
    <w:pPr>
      <w:keepNext/>
      <w:keepLines/>
      <w:spacing w:before="240" w:after="80"/>
      <w:outlineLvl w:val="4"/>
    </w:pPr>
    <w:rPr>
      <w:color w:val="666666"/>
    </w:rPr>
  </w:style>
  <w:style w:type="paragraph" w:styleId="Heading6">
    <w:name w:val="heading 6"/>
    <w:basedOn w:val="Normal"/>
    <w:next w:val="Normal"/>
    <w:pPr>
      <w:keepNext/>
      <w:keepLines/>
      <w:spacing w:before="240" w:after="80"/>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pPr>
      <w:keepNext/>
      <w:keepLines/>
      <w:spacing w:after="60"/>
    </w:pPr>
    <w:rPr>
      <w:sz w:val="52"/>
      <w:szCs w:val="52"/>
    </w:rPr>
  </w:style>
  <w:style w:type="paragraph" w:styleId="Subtitle">
    <w:name w:val="Subtitle"/>
    <w:basedOn w:val="Normal"/>
    <w:next w:val="Normal"/>
    <w:pPr>
      <w:keepNext/>
      <w:keepLines/>
      <w:spacing w:after="320"/>
    </w:pPr>
    <w:rPr>
      <w:color w:val="666666"/>
      <w:sz w:val="30"/>
      <w:szCs w:val="30"/>
    </w:rPr>
  </w:style>
  <w:style w:type="table" w:customStyle="1" w:styleId="a">
    <w:basedOn w:val="TableNormal0"/>
    <w:pPr>
      <w:spacing w:line="240" w:lineRule="auto"/>
    </w:pPr>
    <w:rPr>
      <w:rFonts w:ascii="Cambria" w:eastAsia="Cambria" w:hAnsi="Cambria" w:cs="Cambria"/>
      <w:color w:val="943734"/>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0">
    <w:basedOn w:val="TableNormal0"/>
    <w:pPr>
      <w:spacing w:line="240" w:lineRule="auto"/>
    </w:pPr>
    <w:rPr>
      <w:rFonts w:ascii="Cambria" w:eastAsia="Cambria" w:hAnsi="Cambria" w:cs="Cambria"/>
      <w:color w:val="943734"/>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table" w:customStyle="1" w:styleId="a1">
    <w:basedOn w:val="TableNormal0"/>
    <w:pPr>
      <w:spacing w:line="240" w:lineRule="auto"/>
    </w:pPr>
    <w:rPr>
      <w:rFonts w:ascii="Cambria" w:eastAsia="Cambria" w:hAnsi="Cambria" w:cs="Cambria"/>
      <w:color w:val="943734"/>
    </w:rPr>
    <w:tblPr>
      <w:tblStyleRowBandSize w:val="1"/>
      <w:tblStyleColBandSize w:val="1"/>
      <w:tblCellMar>
        <w:top w:w="0" w:type="dxa"/>
        <w:left w:w="108" w:type="dxa"/>
        <w:bottom w:w="0" w:type="dxa"/>
        <w:right w:w="108" w:type="dxa"/>
      </w:tblCellMar>
    </w:tblPr>
    <w:tblStylePr w:type="firstRow">
      <w:rPr>
        <w:b/>
      </w:rPr>
      <w:tblPr/>
      <w:tcPr>
        <w:tcBorders>
          <w:bottom w:val="single" w:sz="12" w:space="0" w:color="D99594"/>
        </w:tcBorders>
      </w:tcPr>
    </w:tblStylePr>
    <w:tblStylePr w:type="lastRow">
      <w:rPr>
        <w:b/>
      </w:rPr>
      <w:tblPr/>
      <w:tcPr>
        <w:tcBorders>
          <w:top w:val="single" w:sz="4" w:space="0" w:color="D99594"/>
        </w:tcBorders>
      </w:tcPr>
    </w:tblStylePr>
    <w:tblStylePr w:type="firstCol">
      <w:rPr>
        <w:b/>
      </w:rPr>
    </w:tblStylePr>
    <w:tblStylePr w:type="lastCol">
      <w:rPr>
        <w:b/>
      </w:rPr>
    </w:tblStylePr>
    <w:tblStylePr w:type="band1Vert">
      <w:tblPr/>
      <w:tcPr>
        <w:shd w:val="clear" w:color="auto" w:fill="F2DCDB"/>
      </w:tcPr>
    </w:tblStylePr>
    <w:tblStylePr w:type="band1Horz">
      <w:tblPr/>
      <w:tcPr>
        <w:shd w:val="clear" w:color="auto" w:fill="F2DCDB"/>
      </w:tcPr>
    </w:tblStylePr>
  </w:style>
  <w:style w:type="character" w:styleId="Hyperlink">
    <w:name w:val="Hyperlink"/>
    <w:basedOn w:val="DefaultParagraphFont"/>
    <w:uiPriority w:val="99"/>
    <w:unhideWhenUsed/>
    <w:rsid w:val="006C1A91"/>
    <w:rPr>
      <w:color w:val="0000FF" w:themeColor="hyperlink"/>
      <w:u w:val="single"/>
    </w:rPr>
  </w:style>
  <w:style w:type="character" w:customStyle="1" w:styleId="UnresolvedMention">
    <w:name w:val="Unresolved Mention"/>
    <w:basedOn w:val="DefaultParagraphFont"/>
    <w:uiPriority w:val="99"/>
    <w:semiHidden/>
    <w:unhideWhenUsed/>
    <w:rsid w:val="006C1A91"/>
    <w:rPr>
      <w:color w:val="605E5C"/>
      <w:shd w:val="clear" w:color="auto" w:fill="E1DFDD"/>
    </w:rPr>
  </w:style>
  <w:style w:type="paragraph" w:styleId="Header">
    <w:name w:val="header"/>
    <w:basedOn w:val="Normal"/>
    <w:link w:val="HeaderChar"/>
    <w:uiPriority w:val="99"/>
    <w:unhideWhenUsed/>
    <w:rsid w:val="00553CE9"/>
    <w:pPr>
      <w:tabs>
        <w:tab w:val="center" w:pos="4680"/>
        <w:tab w:val="right" w:pos="9360"/>
      </w:tabs>
      <w:spacing w:line="240" w:lineRule="auto"/>
    </w:pPr>
  </w:style>
  <w:style w:type="character" w:customStyle="1" w:styleId="HeaderChar">
    <w:name w:val="Header Char"/>
    <w:basedOn w:val="DefaultParagraphFont"/>
    <w:link w:val="Header"/>
    <w:uiPriority w:val="99"/>
    <w:rsid w:val="00553CE9"/>
  </w:style>
  <w:style w:type="paragraph" w:styleId="Footer">
    <w:name w:val="footer"/>
    <w:basedOn w:val="Normal"/>
    <w:link w:val="FooterChar"/>
    <w:uiPriority w:val="99"/>
    <w:unhideWhenUsed/>
    <w:rsid w:val="00553CE9"/>
    <w:pPr>
      <w:tabs>
        <w:tab w:val="center" w:pos="4680"/>
        <w:tab w:val="right" w:pos="9360"/>
      </w:tabs>
      <w:spacing w:line="240" w:lineRule="auto"/>
    </w:pPr>
  </w:style>
  <w:style w:type="character" w:customStyle="1" w:styleId="FooterChar">
    <w:name w:val="Footer Char"/>
    <w:basedOn w:val="DefaultParagraphFont"/>
    <w:link w:val="Footer"/>
    <w:uiPriority w:val="99"/>
    <w:rsid w:val="00553CE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image" Target="media/image2.png"/><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header" Target="header2.xml"/><Relationship Id="rId12" Type="http://schemas.openxmlformats.org/officeDocument/2006/relationships/image" Target="media/image1.png"/><Relationship Id="rId17" Type="http://schemas.openxmlformats.org/officeDocument/2006/relationships/image" Target="media/image6.png"/><Relationship Id="rId2" Type="http://schemas.openxmlformats.org/officeDocument/2006/relationships/settings" Target="settings.xml"/><Relationship Id="rId16" Type="http://schemas.openxmlformats.org/officeDocument/2006/relationships/image" Target="media/image5.png"/><Relationship Id="rId20" Type="http://schemas.openxmlformats.org/officeDocument/2006/relationships/hyperlink" Target="https://doi.org/10.1016/j.tifs.2024.104055" TargetMode="Externa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footer" Target="footer3.xml"/><Relationship Id="rId5" Type="http://schemas.openxmlformats.org/officeDocument/2006/relationships/endnotes" Target="endnotes.xml"/><Relationship Id="rId15" Type="http://schemas.openxmlformats.org/officeDocument/2006/relationships/image" Target="media/image4.png"/><Relationship Id="rId10" Type="http://schemas.openxmlformats.org/officeDocument/2006/relationships/header" Target="header3.xml"/><Relationship Id="rId19" Type="http://schemas.openxmlformats.org/officeDocument/2006/relationships/hyperlink" Target="https://doi.org/10.3390/nu15081888" TargetMode="External"/><Relationship Id="rId4" Type="http://schemas.openxmlformats.org/officeDocument/2006/relationships/footnotes" Target="footnotes.xml"/><Relationship Id="rId9" Type="http://schemas.openxmlformats.org/officeDocument/2006/relationships/footer" Target="footer2.xml"/><Relationship Id="rId14" Type="http://schemas.openxmlformats.org/officeDocument/2006/relationships/image" Target="media/image3.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85</TotalTime>
  <Pages>17</Pages>
  <Words>8414</Words>
  <Characters>47963</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56265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Ayodele Daniel</dc:creator>
  <cp:lastModifiedBy>Ayodele Daniel</cp:lastModifiedBy>
  <cp:revision>7</cp:revision>
  <dcterms:created xsi:type="dcterms:W3CDTF">2025-10-13T14:11:00Z</dcterms:created>
  <dcterms:modified xsi:type="dcterms:W3CDTF">2025-10-16T15:20:00Z</dcterms:modified>
</cp:coreProperties>
</file>