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spacing w:lineRule="auto" w:line="360"/>
        <w:jc w:val="center"/>
        <w:rPr>
          <w:rFonts w:ascii="Times New Roman" w:cs="Times New Roman" w:eastAsia="Times New Roman" w:hAnsi="Times New Roman"/>
          <w:b/>
          <w:bCs/>
        </w:rPr>
      </w:pPr>
      <w:bookmarkStart w:id="0" w:name="introduction"/>
      <w:bookmarkStart w:id="1" w:name="X98a9049a0cb0cfaceab1619d0b400e37b6ca4de"/>
      <w:r>
        <w:rPr>
          <w:rFonts w:ascii="Times New Roman" w:cs="Times New Roman" w:eastAsia="Times New Roman" w:hAnsi="Times New Roman"/>
          <w:b/>
          <w:bCs/>
        </w:rPr>
        <w:t xml:space="preserve">Investigation of the connection between Stock Market Development and Economic Growth in Nigeria (1999-2023) </w:t>
      </w:r>
    </w:p>
    <w:p>
      <w:pPr>
        <w:pStyle w:val="style66"/>
        <w:spacing w:lineRule="auto" w:line="360"/>
        <w:jc w:val="both"/>
        <w:rPr>
          <w:rFonts w:ascii="Times New Roman" w:cs="Times New Roman" w:eastAsia="Times New Roman" w:hAnsi="Times New Roman"/>
          <w:b w:val="false"/>
          <w:bCs w:val="false"/>
        </w:rPr>
      </w:pPr>
    </w:p>
    <w:p>
      <w:pPr>
        <w:pStyle w:val="style66"/>
        <w:spacing w:lineRule="auto" w:line="360"/>
        <w:jc w:val="both"/>
        <w:rPr>
          <w:rFonts w:ascii="Times New Roman" w:cs="Times New Roman" w:eastAsia="Times New Roman" w:hAnsi="Times New Roman"/>
          <w:b/>
          <w:bCs/>
        </w:rPr>
      </w:pPr>
      <w:r>
        <w:rPr>
          <w:rFonts w:ascii="Times New Roman" w:cs="Times New Roman" w:eastAsia="Times New Roman" w:hAnsi="Times New Roman"/>
          <w:b/>
          <w:bCs/>
        </w:rPr>
        <w:t>Abstract</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This paper analyses the dependence of the development of the stock market on economic growth in Nigeria with the help of pooled data during the period between 1999 and 2023. The results demonstrate significant, positive relationship between the market capitalization and the economic growth whereas the volume of transaction and value of transaction have insignificant negative relationship with the economic growth. The study confirms that there is long run relationship between the market capitalization, volume of transaction and market development. It also indicates unidirectional causal correlation with economic growth influencing market capitalization and volume of transaction. The findings confirm the opinion that stock market development is instrumental when it comes to economic development in Nigeria. The research proposes policy measures to spur productivity, enhance savings and investor confidence and the process of dealing in the market capitalization to entice the participation of foreign investors. The results are useful additions to what already exists in literature on the dependence between stock market evolution and the economic growth, which could be of use to policymakers and the other interested parties in the Nigerian economy.</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bCs/>
        </w:rPr>
        <w:t>Keywords:</w:t>
      </w:r>
      <w:r>
        <w:rPr>
          <w:rFonts w:ascii="Times New Roman" w:cs="Times New Roman" w:eastAsia="Times New Roman" w:hAnsi="Times New Roman"/>
          <w:b w:val="false"/>
          <w:bCs w:val="false"/>
        </w:rPr>
        <w:t xml:space="preserve"> Product development in stock market, economic growth, stock market capitalization, Nigeria, ARDL model</w:t>
      </w:r>
    </w:p>
    <w:p>
      <w:pPr>
        <w:pStyle w:val="style66"/>
        <w:numPr>
          <w:ilvl w:val="0"/>
          <w:numId w:val="1"/>
        </w:numPr>
        <w:spacing w:lineRule="auto" w:line="360"/>
        <w:jc w:val="both"/>
        <w:rPr>
          <w:rFonts w:ascii="Times New Roman" w:cs="Times New Roman" w:eastAsia="Times New Roman" w:hAnsi="Times New Roman"/>
          <w:b/>
          <w:bCs/>
        </w:rPr>
      </w:pPr>
      <w:r>
        <w:rPr>
          <w:rFonts w:ascii="Times New Roman" w:cs="Times New Roman" w:eastAsia="Times New Roman" w:hAnsi="Times New Roman"/>
          <w:b/>
          <w:bCs/>
        </w:rPr>
        <w:t>Introduction</w:t>
      </w:r>
    </w:p>
    <w:p>
      <w:pPr>
        <w:pStyle w:val="style0"/>
        <w:snapToGrid w:val="false"/>
        <w:spacing w:before="180" w:after="180" w:lineRule="auto" w:line="24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The stock market is one of the significant economic institutions that increases the effectiveness of capital formation and allocation</w:t>
      </w:r>
      <w:r>
        <w:rPr>
          <w:rFonts w:ascii="Times New Roman" w:cs="Times New Roman" w:eastAsia="Times New Roman" w:hAnsi="Times New Roman"/>
          <w:b w:val="false"/>
          <w:bCs w:val="false"/>
          <w:lang w:val="en-US"/>
        </w:rPr>
        <w:t>n (</w:t>
      </w:r>
      <w:r>
        <w:rPr>
          <w:rFonts w:ascii="Times New Roman" w:cs="Times New Roman" w:eastAsia="Times New Roman" w:hAnsi="Times New Roman"/>
          <w:b w:val="false"/>
          <w:bCs w:val="false"/>
        </w:rPr>
        <w:t>Arestis et al., 2001).</w:t>
      </w:r>
      <w:r>
        <w:rPr>
          <w:rFonts w:ascii="Times New Roman" w:cs="Times New Roman" w:eastAsia="Times New Roman" w:hAnsi="Times New Roman"/>
          <w:b w:val="false"/>
          <w:bCs w:val="false"/>
          <w:lang w:val="en-US"/>
        </w:rPr>
        <w:t>Theoretical literature posits that financial markets mitigate information and transaction costs, thereby influencing growth through capital accumulation and technological innovation (Levine, 2005).</w:t>
      </w:r>
      <w:r>
        <w:rPr>
          <w:rFonts w:ascii="Times New Roman" w:cs="Times New Roman" w:eastAsia="Times New Roman" w:hAnsi="Times New Roman"/>
          <w:b w:val="false"/>
          <w:bCs w:val="false"/>
        </w:rPr>
        <w:t xml:space="preserve"> </w:t>
      </w: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 xml:space="preserve">Firms utilize the stock market to access long-term capital for expansion and modernization projects, which is crucial for economic development (Demirgüç-Kunt &amp; Maksimovic, 1996). Empirical evidence from multi-country analyses strongly supports the positive role of stock markets in economic growth (Beck &amp; Levine, 2004). </w:t>
      </w:r>
      <w:r>
        <w:rPr>
          <w:rFonts w:ascii="Times New Roman" w:cs="Times New Roman" w:eastAsia="Times New Roman" w:hAnsi="Times New Roman"/>
          <w:b w:val="false"/>
          <w:bCs w:val="false"/>
        </w:rPr>
        <w:t>It assists companies and the state to have a long-term investment to fund new projects or undertake other business activities. When it supplies capital to productive economic units, the performance of the economy is enhanced. Moreover, with the development of economies, the demand of more funds to support the high rate of development necessitates the involvement and application of the stock market as a suitable instrument in mobilization and allocation of the savings amidst the competing uses, which as a result of high demand, are fundamental to growth and effectiveness within the economy (Levine, 2003).</w:t>
      </w:r>
    </w:p>
    <w:p>
      <w:pPr>
        <w:pStyle w:val="style0"/>
        <w:snapToGrid w:val="false"/>
        <w:spacing w:before="180" w:after="180" w:lineRule="auto" w:line="24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 xml:space="preserve">Stock market acts as a connector through which long and short term funds can be obtained to fund the developmental needs. The establishment of stock markets has been widespread among the underdeveloped nations such as Nigeria and it can be a significant factor in predicting future economic performance (Levine, 2003; Zervos et al., 1992). </w:t>
      </w:r>
      <w:r>
        <w:rPr>
          <w:rFonts w:ascii="Times New Roman" w:cs="Times New Roman" w:eastAsia="Times New Roman" w:hAnsi="Times New Roman"/>
          <w:b w:val="false"/>
          <w:bCs w:val="false"/>
          <w:lang w:val="en-US"/>
        </w:rPr>
        <w:t xml:space="preserve"> </w:t>
      </w: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 xml:space="preserve">The role of stock markets in the process of financial liberalization and development has been extensively debated (Singh, 1997). </w:t>
      </w:r>
      <w:r>
        <w:rPr>
          <w:rFonts w:ascii="Times New Roman" w:cs="Times New Roman" w:eastAsia="Times New Roman" w:hAnsi="Times New Roman"/>
          <w:b w:val="false"/>
          <w:bCs w:val="false"/>
        </w:rPr>
        <w:t>Such markets enable a typical underdeveloped country like Nigeria to bolster its local economy by enticing the necessary investments into politics and directing those funds into other sectors that in turn are rewarding in terms of development (Pardy, 2012).</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The challenges that have been experienced in Nigerian stock market notwithstanding its potential benefits are enormous. Between 2004 and 2008, there was a continuous increase in oil prices; the economy however, could not absorb excess liquidity that were a result of the oil revenue and foreign investment in viable sectors (Sanusi, 2010). This resulted in the considerable inflow of cash to the capital markets in the form of margin loans and proprietary trading disguised as loans. This acceleration of prices in assets contributed to the upheaval in the stock market in 2008, which was activated by global factors that caused the stock market to fall down by 70 percent during 2008-2009 (Sanusi, 2010).</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rPr>
        <w:t>The goals of the stock market such as the influence on growth and development of the economy have not been adequately achieved as a consequence of factors like small market size, illiquidity of the stock market, poor performance of the security market, poor underwriting, delays in delivery of share certificates, dual taxation, and macroeconomic instability</w:t>
      </w:r>
      <w:r>
        <w:rPr>
          <w:rFonts w:ascii="Times New Roman" w:cs="Times New Roman" w:eastAsia="Times New Roman" w:hAnsi="Times New Roman"/>
          <w:b w:val="false"/>
          <w:bCs w:val="false"/>
          <w:lang w:val="en-US"/>
        </w:rPr>
        <w:t>.</w:t>
      </w:r>
      <w:r>
        <w:rPr>
          <w:rFonts w:ascii="Times New Roman" w:cs="Times New Roman" w:eastAsia="Times New Roman" w:hAnsi="Times New Roman"/>
          <w:b w:val="false"/>
          <w:bCs w:val="false"/>
        </w:rPr>
        <w:t xml:space="preserve"> Nevertheless, a number of scholars do argue that capital markets can boost the economic growth of any country</w:t>
      </w:r>
      <w:bookmarkStart w:id="2" w:name="research-questions"/>
      <w:bookmarkEnd w:id="0"/>
      <w:r>
        <w:rPr>
          <w:rFonts w:ascii="Times New Roman" w:cs="Times New Roman" w:eastAsia="Times New Roman" w:hAnsi="Times New Roman"/>
          <w:b w:val="false"/>
          <w:bCs w:val="false"/>
          <w:lang w:val="en-US"/>
        </w:rPr>
        <w:t>.</w:t>
      </w:r>
    </w:p>
    <w:p>
      <w:pPr>
        <w:pStyle w:val="style66"/>
        <w:spacing w:lineRule="auto" w:line="360"/>
        <w:jc w:val="both"/>
        <w:rPr>
          <w:rFonts w:ascii="Times New Roman" w:cs="Times New Roman" w:eastAsia="Times New Roman" w:hAnsi="Times New Roman"/>
          <w:b/>
          <w:bCs/>
          <w:color w:val="36363d"/>
        </w:rPr>
      </w:pPr>
      <w:r>
        <w:rPr>
          <w:rFonts w:ascii="Times New Roman" w:cs="Times New Roman" w:eastAsia="Times New Roman" w:hAnsi="Times New Roman"/>
          <w:b/>
          <w:bCs/>
          <w:color w:val="36363d"/>
        </w:rPr>
        <w:t>Research Questions</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Based on the research objectives, the following questions were raised:</w:t>
      </w:r>
    </w:p>
    <w:p>
      <w:pPr>
        <w:pStyle w:val="style4099"/>
        <w:numPr>
          <w:ilvl w:val="0"/>
          <w:numId w:val="2"/>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What is the relationship between market capitalization and gross domestic product in Nigeria?</w:t>
      </w:r>
    </w:p>
    <w:p>
      <w:pPr>
        <w:pStyle w:val="style4099"/>
        <w:numPr>
          <w:ilvl w:val="0"/>
          <w:numId w:val="2"/>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What is the effect between volume of transaction and gross domestic product in Nigeria?</w:t>
      </w:r>
    </w:p>
    <w:p>
      <w:pPr>
        <w:pStyle w:val="style4099"/>
        <w:numPr>
          <w:ilvl w:val="0"/>
          <w:numId w:val="2"/>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What is the relationship between value of transactions and gross domestic product in Nigeria?</w:t>
      </w:r>
    </w:p>
    <w:bookmarkStart w:id="3" w:name="research-hypotheses"/>
    <w:bookmarkEnd w:id="2"/>
    <w:p>
      <w:pPr>
        <w:pStyle w:val="style4105"/>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Research Hypotheses</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following null hypotheses were stated:</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H₀₁: There is no significant relationship between market capitalization and gross domestic product in Nigeria</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H₀₂: There is no significant relationship between volume of transaction and gross domestic product in Nigeria</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H₀₃: There is no significant relationship between value of transaction and gross domestic product in Nigeria</w:t>
      </w:r>
    </w:p>
    <w:bookmarkStart w:id="4" w:name="literature-review"/>
    <w:bookmarkStart w:id="5" w:name="empirical-review"/>
    <w:bookmarkEnd w:id="3"/>
    <w:p>
      <w:pPr>
        <w:pStyle w:val="style66"/>
        <w:numPr>
          <w:ilvl w:val="0"/>
          <w:numId w:val="4"/>
        </w:numPr>
        <w:spacing w:lineRule="auto" w:line="360"/>
        <w:jc w:val="both"/>
        <w:rPr>
          <w:rFonts w:ascii="Times New Roman" w:cs="Times New Roman" w:eastAsia="Times New Roman" w:hAnsi="Times New Roman"/>
          <w:b/>
          <w:bCs/>
        </w:rPr>
      </w:pPr>
      <w:r>
        <w:rPr>
          <w:rFonts w:ascii="Times New Roman" w:cs="Times New Roman" w:eastAsia="Times New Roman" w:hAnsi="Times New Roman"/>
          <w:b/>
          <w:bCs/>
        </w:rPr>
        <w:t>Literature Review</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Conceptual Clarifications</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i/>
          <w:iCs/>
        </w:rPr>
        <w:t>The Basic of Stock Market Development</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lang w:val="en-US"/>
        </w:rPr>
        <w:t xml:space="preserve">The Nigerian Stock Exchange (NSE), founded in 1960, began operations in 1961 and has played a pivotal role in the nation's financial system (Alile, 1984). </w:t>
      </w:r>
      <w:r>
        <w:rPr>
          <w:rFonts w:ascii="Times New Roman" w:cs="Times New Roman" w:eastAsia="Times New Roman" w:hAnsi="Times New Roman"/>
          <w:b w:val="false"/>
          <w:bCs w:val="false"/>
        </w:rPr>
        <w:t>The secondary capital market plays a pivotal role in opening up the stock market that facilitates sales and purchase of stocks and shares, and other securities as a method to allow both government and privately owned companies raise money through which they can implement businesses expansion programmes to boost their economies.</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DS: What you see is what you get. Market Capitalization and Economic Growth</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Market cap is now the standard measurement of business valuation, the total price of an enterprise or a share</w:t>
      </w:r>
      <w:r>
        <w:rPr>
          <w:rFonts w:ascii="Times New Roman" w:cs="Times New Roman" w:eastAsia="Times New Roman" w:hAnsi="Times New Roman"/>
          <w:b w:val="false"/>
          <w:bCs w:val="false"/>
          <w:lang w:val="en-US"/>
        </w:rPr>
        <w:t xml:space="preserve">. </w:t>
      </w:r>
      <w:r>
        <w:rPr>
          <w:rFonts w:ascii="Times New Roman" w:cs="Times New Roman" w:eastAsia="Times New Roman" w:hAnsi="Times New Roman"/>
          <w:b w:val="false"/>
          <w:bCs w:val="false"/>
        </w:rPr>
        <w:t>It is considered as the most commonly applied indicator in terms of evaluating the dimension of capital market to the economy. Capital formation is a part and parcel of economic growth and development and contributes significantly in the economic theory of production and distribution</w:t>
      </w:r>
      <w:r>
        <w:rPr>
          <w:rFonts w:ascii="Times New Roman" w:cs="Times New Roman" w:eastAsia="Times New Roman" w:hAnsi="Times New Roman"/>
          <w:b w:val="false"/>
          <w:bCs w:val="false"/>
          <w:lang w:val="en-US"/>
        </w:rPr>
        <w:t xml:space="preserve">. </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i/>
          <w:iCs/>
        </w:rPr>
        <w:t>Transaction and growth of the economy</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Volume of transactions is an amount of transactions that takes place in a market or industry. It is a considerable indicator that helps to study the economic activity and market trends. It has been revealed that transaction volume is determined by a number of situations, such as monetary policy, economic growth, and financial regulation</w:t>
      </w:r>
      <w:r>
        <w:rPr>
          <w:rFonts w:ascii="Times New Roman" w:cs="Times New Roman" w:eastAsia="Times New Roman" w:hAnsi="Times New Roman"/>
          <w:b w:val="false"/>
          <w:bCs w:val="false"/>
          <w:lang w:val="en-US"/>
        </w:rPr>
        <w:t>.</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i/>
          <w:iCs/>
        </w:rPr>
        <w:t>Value of the Transaction and Economic Growth</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lang w:val="en-US"/>
        </w:rPr>
        <w:t>O</w:t>
      </w:r>
      <w:r>
        <w:rPr>
          <w:rFonts w:ascii="Times New Roman" w:cs="Times New Roman" w:eastAsia="Times New Roman" w:hAnsi="Times New Roman"/>
          <w:b w:val="false"/>
          <w:bCs w:val="false"/>
        </w:rPr>
        <w:t>ne of the most important elements of economics and finance is the value of transactions, and there are several aspects of this aspect, including the price of transactions, their efficiency, and dynamics in the market. In Nigeria, during 1961-1975 the size of NSE was on the scale of less than N100 million, and in 1976- 1994 the NSE was on the scale of N100-600 million</w:t>
      </w:r>
      <w:r>
        <w:rPr>
          <w:rFonts w:ascii="Times New Roman" w:cs="Times New Roman" w:eastAsia="Times New Roman" w:hAnsi="Times New Roman"/>
          <w:b w:val="false"/>
          <w:bCs w:val="false"/>
          <w:lang w:val="en-US"/>
        </w:rPr>
        <w:t>.</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i/>
          <w:iCs/>
        </w:rPr>
        <w:t>Dimentions of Financial Intermediation</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Financial intermediation in stock markets proves to be beneficial to economic growth in a number of ways. First, the stock markets promote long-term funds mobilization as a hub where financial instruments are traded</w:t>
      </w:r>
      <w:r>
        <w:rPr>
          <w:rFonts w:ascii="Times New Roman" w:cs="Times New Roman" w:eastAsia="Times New Roman" w:hAnsi="Times New Roman"/>
          <w:b w:val="false"/>
          <w:bCs w:val="false"/>
          <w:lang w:val="en-US"/>
        </w:rPr>
        <w:t xml:space="preserve">. </w:t>
      </w:r>
      <w:r>
        <w:rPr>
          <w:rFonts w:ascii="Times New Roman" w:cs="Times New Roman" w:eastAsia="Times New Roman" w:hAnsi="Times New Roman"/>
          <w:b w:val="false"/>
          <w:bCs w:val="false"/>
        </w:rPr>
        <w:t xml:space="preserve"> </w:t>
      </w:r>
      <w:r>
        <w:rPr>
          <w:rFonts w:ascii="Times New Roman" w:cs="Times New Roman" w:eastAsia="Times New Roman" w:hAnsi="Times New Roman"/>
          <w:b w:val="false"/>
          <w:bCs w:val="false"/>
          <w:lang w:val="en-US"/>
        </w:rPr>
        <w:t>Second, stock markets facilitate liquidity, allowing investors to easily buy and sell securities, which in turn encourages investment and promotes economic growth (Levine &amp; Zervos, 1998). Third, stock markets contribute to economic growth by improving the availability and dissemination of information, which reduces the cost of capital (Mishkin, 2001).</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i/>
          <w:iCs/>
        </w:rPr>
        <w:t>Output in Growth in the Manufacturing Sector</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The manufacturing industry is one of the key elements of the economy growth and can as well be important input in the development of the stock market. Stock markets influence manufacturing production by improving their access to capital, improving their investment opportunities, as well as improving their mechanisms of allocating diverse resource</w:t>
      </w:r>
      <w:r>
        <w:rPr>
          <w:rFonts w:ascii="Times New Roman" w:cs="Times New Roman" w:eastAsia="Times New Roman" w:hAnsi="Times New Roman"/>
          <w:b w:val="false"/>
          <w:bCs w:val="false"/>
          <w:lang w:val="en-US"/>
        </w:rPr>
        <w:t xml:space="preserve">s. </w:t>
      </w:r>
      <w:r>
        <w:rPr>
          <w:rFonts w:ascii="Times New Roman" w:cs="Times New Roman" w:eastAsia="Times New Roman" w:hAnsi="Times New Roman"/>
          <w:b w:val="false"/>
          <w:bCs w:val="false"/>
        </w:rPr>
        <w:t>The manufacturing industries use the stock markets to generate funds with which they can undertake expansion and modernization as well as develop new products leading to economic growth.</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Related Theories</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Demand Under Theory</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Patrick (1966) put forward the demand-following role of financial development. In this perspective, real economic growth leads to the demand of modern financial institutions and services; financial sectors development is accompanied by growth in the real economy. The real sector as it grows and expands, therefore requires more and a broader variety of financial services and more institutions to offer these services.</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Endogenous growth theory</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The endogenous growth theory was formulated in the late 1980s and early 1990s by Paul Romer and Robert Lucas Jr. and it incorporates a mathematical explanation of technological progress. This model introduced a new element in human capital, the skills and knowledge that makes workers productive. Among the first endogenous growth models were those described by Benicvenge and Bencivenga and Smith and Levine who tried to determine how the financial markets could influence long-run economic growth through which various channels.</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Big Push Theory</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lang w:val="en-US"/>
        </w:rPr>
        <w:t>Th</w:t>
      </w:r>
      <w:r>
        <w:rPr>
          <w:rFonts w:ascii="Times New Roman" w:cs="Times New Roman" w:eastAsia="Times New Roman" w:hAnsi="Times New Roman"/>
          <w:b w:val="false"/>
          <w:bCs w:val="false"/>
        </w:rPr>
        <w:t>ere is a need of a Big Push to initiate growth. He noted that, low-income nations are usually at dead centers in the sense that no would-be investor can expect investments by others and, consequently, predict an investment-large enough- market. The solution is a wholesome programme of investment projects in which numerous projects will be undertaken concurrently to generate demand that will lead to profitability of the projects.</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Empirical Review</w:t>
      </w:r>
    </w:p>
    <w:p>
      <w:pPr>
        <w:pStyle w:val="style0"/>
        <w:snapToGrid w:val="false"/>
        <w:spacing w:before="180" w:after="180" w:lineRule="auto" w:line="240"/>
        <w:jc w:val="both"/>
        <w:rPr>
          <w:rFonts w:ascii="Times New Roman" w:cs="Times New Roman" w:eastAsia="Times New Roman" w:hAnsi="Times New Roman"/>
          <w:b w:val="false"/>
          <w:bCs w:val="false"/>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Early empirical work by Atje and Jovanovic (1993) laid the groundwork for investigating the link between stock markets and growth.</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 xml:space="preserve">There exists a number of empirical studies that are specific about the relation between stock market development and economic growth in Nigeria and other countries. </w:t>
      </w:r>
      <w:r>
        <w:rPr>
          <w:rFonts w:ascii="Times New Roman" w:cs="Times New Roman" w:eastAsia="Times New Roman" w:hAnsi="Times New Roman"/>
          <w:b w:val="false"/>
          <w:bCs w:val="false"/>
          <w:lang w:val="en-US"/>
        </w:rPr>
        <w:t>Th</w:t>
      </w:r>
      <w:r>
        <w:rPr>
          <w:rFonts w:ascii="Times New Roman" w:cs="Times New Roman" w:eastAsia="Times New Roman" w:hAnsi="Times New Roman"/>
          <w:b w:val="false"/>
          <w:bCs w:val="false"/>
        </w:rPr>
        <w:t>e effect of the Nigerian capital market on economic growth based on 1990-2020. They used Johansen co-integrating and Granger causality tests, the outcome of which revealed that the Nigerian capital market and economic growth are co-integrated and therefore has a long-run relationship.</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lang w:val="en-US"/>
        </w:rPr>
        <w:t>Th</w:t>
      </w:r>
      <w:r>
        <w:rPr>
          <w:rFonts w:ascii="Times New Roman" w:cs="Times New Roman" w:eastAsia="Times New Roman" w:hAnsi="Times New Roman"/>
          <w:b w:val="false"/>
          <w:bCs w:val="false"/>
        </w:rPr>
        <w:t>e data on the Nigerian stock market and economic growth and the development of the country. The finding indicated that there is a strong relationship between capital market indices and the GDP. Causal relationship between sto</w:t>
      </w:r>
      <w:r>
        <w:rPr>
          <w:rFonts w:ascii="Times New Roman" w:cs="Times New Roman" w:eastAsia="Times New Roman" w:hAnsi="Times New Roman"/>
          <w:b w:val="false"/>
          <w:bCs w:val="false"/>
          <w:lang w:val="en-US"/>
        </w:rPr>
        <w:t>c</w:t>
      </w:r>
      <w:r>
        <w:rPr>
          <w:rFonts w:ascii="Times New Roman" w:cs="Times New Roman" w:eastAsia="Times New Roman" w:hAnsi="Times New Roman"/>
          <w:b w:val="false"/>
          <w:bCs w:val="false"/>
        </w:rPr>
        <w:t>k market development and economic growth in Nigeria was established by Ali (2021) during the period 1984 to 2020, with an effect percentage of about 88 that stock market development is able to explain the economic growth change.</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lang w:val="en-US"/>
        </w:rPr>
        <w:t>Th</w:t>
      </w:r>
      <w:r>
        <w:rPr>
          <w:rFonts w:ascii="Times New Roman" w:cs="Times New Roman" w:eastAsia="Times New Roman" w:hAnsi="Times New Roman"/>
          <w:b w:val="false"/>
          <w:bCs w:val="false"/>
        </w:rPr>
        <w:t>e effects of the stock market on the economy of Nigeria in terms of time series between 2000 and 2019. It indicated that there were remarkable relationships amid the share index, market value and the market capitalization with GDP. In a sample of forty-one countries over the period of 1976 and 1993, a pooled cross-country time-series regression analysis, explores that there is indeed a strong correlation between overall development in the stock market and economic development</w:t>
      </w:r>
      <w:r>
        <w:rPr>
          <w:rFonts w:ascii="Times New Roman" w:cs="Times New Roman" w:eastAsia="Times New Roman" w:hAnsi="Times New Roman"/>
          <w:b w:val="false"/>
          <w:bCs w:val="false"/>
          <w:lang w:val="en-US"/>
        </w:rPr>
        <w:t>.</w:t>
      </w:r>
    </w:p>
    <w:p>
      <w:pPr>
        <w:pStyle w:val="style0"/>
        <w:snapToGrid w:val="false"/>
        <w:spacing w:before="180" w:after="180" w:lineRule="auto" w:line="24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lang w:val="en-US"/>
        </w:rPr>
        <w:t>Th</w:t>
      </w:r>
      <w:r>
        <w:rPr>
          <w:rFonts w:ascii="Times New Roman" w:cs="Times New Roman" w:eastAsia="Times New Roman" w:hAnsi="Times New Roman"/>
          <w:b w:val="false"/>
          <w:bCs w:val="false"/>
        </w:rPr>
        <w:t>e contribution of the stock market development on economic growth of Nigeria between the period 1994 and 2018. The outcome indicated that market capitalization and value traded ratios exhibit very weak negative correlation with economic growth whereas turnover ratio exhibits a very strong positive correlation with the economic growth. Using error-correction method,</w:t>
      </w:r>
      <w:r>
        <w:rPr>
          <w:rFonts w:ascii="Times New Roman" w:cs="Times New Roman" w:eastAsia="Times New Roman" w:hAnsi="Times New Roman"/>
          <w:b w:val="false"/>
          <w:bCs w:val="false"/>
          <w:lang w:val="en-US"/>
        </w:rPr>
        <w:t xml:space="preserve"> </w:t>
      </w:r>
      <w:bookmarkStart w:id="6" w:name="methodology"/>
      <w:bookmarkEnd w:id="4"/>
      <w:bookmarkEnd w:id="5"/>
      <w:r>
        <w:rPr>
          <w:rFonts w:ascii="Times New Roman" w:cs="Times New Roman" w:eastAsia="Times New Roman" w:hAnsi="Times New Roman"/>
          <w:b w:val="false"/>
          <w:bCs w:val="false"/>
          <w:lang w:val="en-US"/>
        </w:rPr>
        <w:t xml:space="preserve">studies in other developing regions, such as the Middle East and North Africa, have also explored the determinants of market development (Naceur et al., 2007). Similarly, analysis of China's market, one of the world's largest emerging economies, has provided significant evidence of this relationship (Pan &amp; Mishra, 2018). </w:t>
      </w: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It is important to note that the empirical evidence on the stock market-growth nexus is not universally positive, with some studies offering a more nuanced reassessment (Harris, 1997).</w:t>
      </w:r>
    </w:p>
    <w:p>
      <w:pPr>
        <w:pStyle w:val="style66"/>
        <w:spacing w:lineRule="auto" w:line="360"/>
        <w:jc w:val="both"/>
        <w:rPr>
          <w:rFonts w:ascii="Times New Roman" w:cs="Times New Roman" w:eastAsia="Times New Roman" w:hAnsi="Times New Roman"/>
          <w:b w:val="false"/>
          <w:bCs w:val="false"/>
          <w:color w:val="36363d"/>
        </w:rPr>
      </w:pPr>
    </w:p>
    <w:p>
      <w:pPr>
        <w:pStyle w:val="style66"/>
        <w:spacing w:lineRule="auto" w:line="360"/>
        <w:jc w:val="both"/>
        <w:rPr>
          <w:rFonts w:ascii="Times New Roman" w:cs="Times New Roman" w:eastAsia="Times New Roman" w:hAnsi="Times New Roman"/>
          <w:b/>
          <w:bCs/>
          <w:color w:val="36363d"/>
        </w:rPr>
      </w:pPr>
    </w:p>
    <w:p>
      <w:pPr>
        <w:pStyle w:val="style66"/>
        <w:spacing w:lineRule="auto" w:line="360"/>
        <w:jc w:val="both"/>
        <w:rPr>
          <w:rFonts w:ascii="Times New Roman" w:cs="Times New Roman" w:eastAsia="Times New Roman" w:hAnsi="Times New Roman"/>
          <w:b/>
          <w:bCs/>
          <w:color w:val="36363d"/>
        </w:rPr>
      </w:pPr>
      <w:r>
        <w:rPr>
          <w:rFonts w:ascii="Times New Roman" w:cs="Times New Roman" w:eastAsia="Times New Roman" w:hAnsi="Times New Roman"/>
          <w:b/>
          <w:bCs/>
          <w:color w:val="36363d"/>
        </w:rPr>
        <w:t>Methodology</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This study adopted the ex-post facto research design, which is useful where survey is descriptive or explanatory. The population consists of the entire components of the stock market in the Nigeria economy ranging from 1999-2023. Since the study is based on secondary data analysis, the determination of sample size and sampling technique is not applicable.</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study employed secondary data obtained from the Central Bank of Nigeria Statistical Bulletin, Nigerian Stock Exchange Factbook, Securities and Exchange Commission database, and relevant literature. The independent variables are market capitalization (MC), volume of transactions (VTS), and value of transactions (VL), while the dependent variable is economic growth measured using Real Gross Domestic Product (GDP).</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model specification is: GDP = f(MC, VTS, VL)</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Where:</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GDP = Gross domestic product as a proxy for economic growth</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 = Market Capitalization</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 = Volume of Transactions</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 = Value of Transaction</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econometric model is: GDP = α₀ + α₁MC + α₂VTS + α₃VL + e</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Where α₀ is the constant, αs are coefficients of respective independent variables, and e is the error term.</w:t>
      </w:r>
    </w:p>
    <w:p>
      <w:pPr>
        <w:pStyle w:val="style0"/>
        <w:snapToGrid w:val="false"/>
        <w:spacing w:before="180" w:after="180" w:lineRule="auto" w:line="24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 xml:space="preserve">The techniques used to analyze the data are Descriptive Statistics, Regression, and Correlation. Multiple regression was employed because when a given dependent variable is influenced by several independent variables, it is more appropriate to use multiple regressions. </w:t>
      </w:r>
      <w:r>
        <w:rPr>
          <w:rFonts w:ascii="Times New Roman" w:cs="Times New Roman" w:eastAsia="Times New Roman" w:hAnsi="Times New Roman"/>
          <w:b w:val="false"/>
          <w:bCs w:val="false"/>
          <w:color w:val="36363d"/>
          <w:lang w:val="en-US"/>
        </w:rPr>
        <w:t xml:space="preserve">The analysis of long-run relationships between equity markets and growth using time-series data is well-established in the literature (Rousseau &amp; Wachtel, 2000). </w:t>
      </w: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The Auto Regressive Distributed Lag (ARDL) bounds testing approach to cointegration was employed, a method grounded in the seminal work on cointegration and error correction modeling (Engle &amp; Granger, 1987).</w:t>
      </w:r>
    </w:p>
    <w:bookmarkStart w:id="7" w:name="results"/>
    <w:bookmarkEnd w:id="6"/>
    <w:p>
      <w:pPr>
        <w:pStyle w:val="style4105"/>
        <w:numPr>
          <w:ilvl w:val="0"/>
          <w:numId w:val="2"/>
        </w:numPr>
        <w:spacing w:lineRule="auto" w:line="360"/>
        <w:jc w:val="both"/>
        <w:rPr>
          <w:rFonts w:ascii="Times New Roman" w:cs="Times New Roman" w:eastAsia="Times New Roman" w:hAnsi="Times New Roman"/>
          <w:b/>
          <w:bCs/>
          <w:color w:val="36363d"/>
        </w:rPr>
      </w:pPr>
      <w:r>
        <w:rPr>
          <w:rFonts w:ascii="Times New Roman" w:cs="Times New Roman" w:eastAsia="Times New Roman" w:hAnsi="Times New Roman"/>
          <w:b/>
          <w:bCs/>
          <w:color w:val="36363d"/>
        </w:rPr>
        <w:t>Results</w:t>
      </w:r>
    </w:p>
    <w:bookmarkStart w:id="8" w:name="data-presentation"/>
    <w:p>
      <w:pPr>
        <w:pStyle w:val="style410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Data Presentation</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data covers the period from 1999 to 2023, representing 25 years of observations. Table 1 presents the complete dataset used in this study.</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1: Data Presentation (1999-2023)</w:t>
      </w:r>
    </w:p>
    <w:tbl>
      <w:tblPr>
        <w:tblStyle w:val="style4114"/>
        <w:tblW w:w="0" w:type="auto"/>
        <w:tblInd w:w="0" w:type="dxa"/>
        <w:tblLayout w:type="fixed"/>
        <w:tblLook w:val="04A0" w:firstRow="1" w:lastRow="0" w:firstColumn="1" w:lastColumn="0" w:noHBand="0" w:noVBand="1"/>
      </w:tblPr>
      <w:tblGrid>
        <w:gridCol w:w="748"/>
        <w:gridCol w:w="1378"/>
        <w:gridCol w:w="1245"/>
        <w:gridCol w:w="1245"/>
        <w:gridCol w:w="1112"/>
      </w:tblGrid>
      <w:tr>
        <w:trPr>
          <w:tblHeader/>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Year</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GDP (₦B)</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 (₦B)</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 (₦B)</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 (₦B)</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1999</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5,426.47</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294.10</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123,509</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14.07</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2000</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6,990.62</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466.06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256,523</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28.15</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2001</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8,150.02</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648.45</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426,163</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57.68</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2002</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11,383.66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748.70</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451,850</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59.41</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2003</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13,418.01</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1,324.90</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621,717</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120.40</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2004</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17,938.38</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1,925.94</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973,526</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225.82</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2005</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22,884.90</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2,523.49</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1,021,967</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262.94</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2006</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30,063.96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4,227.13</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1,367,954</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470.25</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2007</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34,318.67</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10,180.29</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2,615,020</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1,076.02</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2008</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39,542.43</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6,957.45</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3,535,631</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1,679.14</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2009</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43,012.51</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4,989.39</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1,739,365</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685.72</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2010</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54,612.26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7,913.75</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1,925,314</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799.91</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2011</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62,980.40</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6,532.58</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1,235,467</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638.93</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2012</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71,713.94</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8,974.45</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1,147,626</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808.99</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2013</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80,092.56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13,226.00</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3,245,866</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2,350.88</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2014</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89,043.62</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11,477.66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2,248,939</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338.60</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2015</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94,144.96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9,850.61</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950,001</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978.05</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2016</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101,489.49</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9,246.92</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837,259</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577.82</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2017</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113,711.63</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13,609.47</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879,067</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1,078.49</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2018</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127,736.83</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11,720.72</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1,048,777</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1,203.37</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2019</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144,210.49</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12,968.59</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875,711</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931.48</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2020</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152,324.07</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21,056.76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1,156,830</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1,086.18</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2021</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173,527.66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22,296.84</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1,060,017</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953.87</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2022</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199,336.04</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27,915.07</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1,068,959</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1,168.53</w:t>
            </w:r>
          </w:p>
        </w:tc>
      </w:tr>
      <w:tr>
        <w:tblPrEx/>
        <w:trPr/>
        <w:tc>
          <w:tcPr>
            <w:tcW w:w="74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2023</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176,800.46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25,847.85</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995,472</w:t>
            </w:r>
          </w:p>
        </w:tc>
        <w:tc>
          <w:tcPr>
            <w:tcW w:w="11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1,214.47</w:t>
            </w:r>
          </w:p>
        </w:tc>
      </w:tr>
    </w:tbl>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Source: CBN Statistical Bulletin of various years</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Where: GDP = Gross Domestic Product, MC = Market Capitalization, VTS = Volume of Transaction, VL = Value of Transaction</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GDP ranged from ₦5,426.47 billion in 1999 to ₦199,336.04 billion in 2022. Market capitalization ranged from ₦294.10 billion in 1999 to ₦27,915.07 billion in 2022. Volume of transactions ranged from 123,509 in 1999 to 3,535,631 in 2008. Value of transactions ranged from ₦14.07 billion in 1999 to ₦2,350.88 billion in 2013.</w:t>
      </w:r>
    </w:p>
    <w:bookmarkStart w:id="9" w:name="descriptive-statistics"/>
    <w:bookmarkEnd w:id="8"/>
    <w:p>
      <w:pPr>
        <w:pStyle w:val="style410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Descriptive Statistics</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2 presents the descriptive statistics of the main variables used in the analysis, providing information on the characteristics and quality of the data.</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2: Descriptive Statistics</w:t>
      </w:r>
    </w:p>
    <w:tbl>
      <w:tblPr>
        <w:tblStyle w:val="style4114"/>
        <w:tblW w:w="0" w:type="auto"/>
        <w:tblInd w:w="0" w:type="dxa"/>
        <w:tblLayout w:type="fixed"/>
        <w:tblLook w:val="04A0" w:firstRow="1" w:lastRow="0" w:firstColumn="1" w:lastColumn="0" w:noHBand="0" w:noVBand="1"/>
      </w:tblPr>
      <w:tblGrid>
        <w:gridCol w:w="1574"/>
        <w:gridCol w:w="1247"/>
        <w:gridCol w:w="1247"/>
        <w:gridCol w:w="1378"/>
        <w:gridCol w:w="1245"/>
      </w:tblGrid>
      <w:tr>
        <w:trPr>
          <w:tblHeader/>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Statistic</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GDP</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Mean</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74,994.16</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9,476.927</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1,272,341</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792.3672</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Median</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62,980.40</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8,974.449</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1,048,777</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808.9943</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Maximum</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199,336.0</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27,915.07</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3,535,631</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2,350.876</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Minimum</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5,426.471</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294.1000</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123,509.0</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14.07200</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Std. Dev.</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59,910.48</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7,948.646</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856,158.4</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571.3821</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Skewness</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0.583034</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0.851280</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1.265794</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0.578756</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Kurtosis</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2.133321</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2.935125</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4.028466</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3.419441</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Jarque-Bera</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2.198801</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3.023877</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7.777795</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1.578921</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Probability</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0.333071</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0.220482</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0.020468</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0.454090</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Sum</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1,874,854</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236,923.2</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31,808,530</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19,809.18</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Sum Sq. Dev.</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8.61E+10</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1.52E+09</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1.76E+13</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7,835,460</w:t>
            </w:r>
          </w:p>
        </w:tc>
      </w:tr>
      <w:tr>
        <w:tblPrEx/>
        <w:trPr/>
        <w:tc>
          <w:tcPr>
            <w:tcW w:w="1574"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Observations</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25</w:t>
            </w:r>
          </w:p>
        </w:tc>
        <w:tc>
          <w:tcPr>
            <w:tcW w:w="124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25</w:t>
            </w:r>
          </w:p>
        </w:tc>
        <w:tc>
          <w:tcPr>
            <w:tcW w:w="13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25</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25</w:t>
            </w:r>
          </w:p>
        </w:tc>
      </w:tr>
    </w:tbl>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Source: Author’s computation using E-views 13</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mean values of GDP, MC, VTS, and VL are 74,994.16, 9,476.927, 1,272,341, and 792.3672 respectively. The standard deviations are 59,910.48, 7,948.646, 856,158.4, and 571.3821 respectively, indicating the level of dispersion of the series around their means. The skewness statistics show that all variables are positively skewed. The kurtosis results show that VTS and VL have peaked (leptokurtic) distribution while GDP and MC have flat (platykurtic) distribution.</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Jarque-Bera test results indicate that GDP, MC, and VL are normally distributed while VTS is not normally distributed. The probability values for GDP (0.333071), MC (0.220482), and VL (0.454090) are all greater than 0.05, confirming normal distribution.</w:t>
      </w:r>
    </w:p>
    <w:bookmarkStart w:id="10" w:name="correlation-analysis"/>
    <w:bookmarkEnd w:id="9"/>
    <w:p>
      <w:pPr>
        <w:pStyle w:val="style410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Correlation Analysis</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3 presents the correlation matrix showing the degree of linear association between the variables in the study.</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3: Correlation Analysis</w:t>
      </w:r>
    </w:p>
    <w:tbl>
      <w:tblPr>
        <w:tblStyle w:val="style4114"/>
        <w:tblW w:w="0" w:type="auto"/>
        <w:tblInd w:w="0" w:type="dxa"/>
        <w:tblLayout w:type="fixed"/>
        <w:tblLook w:val="04A0" w:firstRow="1" w:lastRow="0" w:firstColumn="1" w:lastColumn="0" w:noHBand="0" w:noVBand="1"/>
      </w:tblPr>
      <w:tblGrid>
        <w:gridCol w:w="1178"/>
        <w:gridCol w:w="1298"/>
        <w:gridCol w:w="1195"/>
        <w:gridCol w:w="1298"/>
        <w:gridCol w:w="1195"/>
      </w:tblGrid>
      <w:tr>
        <w:trPr>
          <w:tblHeader/>
        </w:trPr>
        <w:tc>
          <w:tcPr>
            <w:tcW w:w="11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Variables</w:t>
            </w:r>
          </w:p>
        </w:tc>
        <w:tc>
          <w:tcPr>
            <w:tcW w:w="129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GDP</w:t>
            </w:r>
          </w:p>
        </w:tc>
        <w:tc>
          <w:tcPr>
            <w:tcW w:w="119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w:t>
            </w:r>
          </w:p>
        </w:tc>
        <w:tc>
          <w:tcPr>
            <w:tcW w:w="129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w:t>
            </w:r>
          </w:p>
        </w:tc>
        <w:tc>
          <w:tcPr>
            <w:tcW w:w="119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w:t>
            </w:r>
          </w:p>
        </w:tc>
      </w:tr>
      <w:tr>
        <w:tblPrEx/>
        <w:trPr/>
        <w:tc>
          <w:tcPr>
            <w:tcW w:w="11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GDP</w:t>
            </w:r>
          </w:p>
        </w:tc>
        <w:tc>
          <w:tcPr>
            <w:tcW w:w="129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1.000000</w:t>
            </w:r>
          </w:p>
        </w:tc>
        <w:tc>
          <w:tcPr>
            <w:tcW w:w="1195" w:type="dxa"/>
            <w:tcBorders/>
          </w:tcPr>
          <w:p>
            <w:pPr>
              <w:pStyle w:val="style4099"/>
              <w:spacing w:lineRule="auto" w:line="360"/>
              <w:jc w:val="both"/>
              <w:rPr>
                <w:rFonts w:ascii="Times New Roman" w:cs="Times New Roman" w:eastAsia="Times New Roman" w:hAnsi="Times New Roman"/>
                <w:b w:val="false"/>
                <w:bCs w:val="false"/>
                <w:color w:val="36363d"/>
              </w:rPr>
            </w:pPr>
          </w:p>
        </w:tc>
        <w:tc>
          <w:tcPr>
            <w:tcW w:w="1298" w:type="dxa"/>
            <w:tcBorders/>
          </w:tcPr>
          <w:p>
            <w:pPr>
              <w:pStyle w:val="style4099"/>
              <w:spacing w:lineRule="auto" w:line="360"/>
              <w:jc w:val="both"/>
              <w:rPr>
                <w:rFonts w:ascii="Times New Roman" w:cs="Times New Roman" w:eastAsia="Times New Roman" w:hAnsi="Times New Roman"/>
                <w:b w:val="false"/>
                <w:bCs w:val="false"/>
                <w:color w:val="36363d"/>
              </w:rPr>
            </w:pPr>
          </w:p>
        </w:tc>
        <w:tc>
          <w:tcPr>
            <w:tcW w:w="1195" w:type="dxa"/>
            <w:tcBorders/>
          </w:tcPr>
          <w:p>
            <w:pPr>
              <w:pStyle w:val="style4099"/>
              <w:spacing w:lineRule="auto" w:line="360"/>
              <w:jc w:val="both"/>
              <w:rPr>
                <w:rFonts w:ascii="Times New Roman" w:cs="Times New Roman" w:eastAsia="Times New Roman" w:hAnsi="Times New Roman"/>
                <w:b w:val="false"/>
                <w:bCs w:val="false"/>
                <w:color w:val="36363d"/>
              </w:rPr>
            </w:pPr>
          </w:p>
        </w:tc>
      </w:tr>
      <w:tr>
        <w:tblPrEx/>
        <w:trPr/>
        <w:tc>
          <w:tcPr>
            <w:tcW w:w="11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w:t>
            </w:r>
          </w:p>
        </w:tc>
        <w:tc>
          <w:tcPr>
            <w:tcW w:w="129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0.952607*</w:t>
            </w:r>
          </w:p>
        </w:tc>
        <w:tc>
          <w:tcPr>
            <w:tcW w:w="119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1.000000</w:t>
            </w:r>
          </w:p>
        </w:tc>
        <w:tc>
          <w:tcPr>
            <w:tcW w:w="1298" w:type="dxa"/>
            <w:tcBorders/>
          </w:tcPr>
          <w:p>
            <w:pPr>
              <w:pStyle w:val="style4099"/>
              <w:spacing w:lineRule="auto" w:line="360"/>
              <w:jc w:val="both"/>
              <w:rPr>
                <w:rFonts w:ascii="Times New Roman" w:cs="Times New Roman" w:eastAsia="Times New Roman" w:hAnsi="Times New Roman"/>
                <w:b w:val="false"/>
                <w:bCs w:val="false"/>
                <w:color w:val="36363d"/>
              </w:rPr>
            </w:pPr>
          </w:p>
        </w:tc>
        <w:tc>
          <w:tcPr>
            <w:tcW w:w="1195" w:type="dxa"/>
            <w:tcBorders/>
          </w:tcPr>
          <w:p>
            <w:pPr>
              <w:pStyle w:val="style4099"/>
              <w:spacing w:lineRule="auto" w:line="360"/>
              <w:jc w:val="both"/>
              <w:rPr>
                <w:rFonts w:ascii="Times New Roman" w:cs="Times New Roman" w:eastAsia="Times New Roman" w:hAnsi="Times New Roman"/>
                <w:b w:val="false"/>
                <w:bCs w:val="false"/>
                <w:color w:val="36363d"/>
              </w:rPr>
            </w:pPr>
          </w:p>
        </w:tc>
      </w:tr>
      <w:tr>
        <w:tblPrEx/>
        <w:trPr/>
        <w:tc>
          <w:tcPr>
            <w:tcW w:w="11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w:t>
            </w:r>
          </w:p>
        </w:tc>
        <w:tc>
          <w:tcPr>
            <w:tcW w:w="129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0.024089</w:t>
            </w:r>
          </w:p>
        </w:tc>
        <w:tc>
          <w:tcPr>
            <w:tcW w:w="119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0.177003</w:t>
            </w:r>
          </w:p>
        </w:tc>
        <w:tc>
          <w:tcPr>
            <w:tcW w:w="129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1.000000</w:t>
            </w:r>
          </w:p>
        </w:tc>
        <w:tc>
          <w:tcPr>
            <w:tcW w:w="1195" w:type="dxa"/>
            <w:tcBorders/>
          </w:tcPr>
          <w:p>
            <w:pPr>
              <w:pStyle w:val="style4099"/>
              <w:spacing w:lineRule="auto" w:line="360"/>
              <w:jc w:val="both"/>
              <w:rPr>
                <w:rFonts w:ascii="Times New Roman" w:cs="Times New Roman" w:eastAsia="Times New Roman" w:hAnsi="Times New Roman"/>
                <w:b w:val="false"/>
                <w:bCs w:val="false"/>
                <w:color w:val="36363d"/>
              </w:rPr>
            </w:pPr>
          </w:p>
        </w:tc>
      </w:tr>
      <w:tr>
        <w:tblPrEx/>
        <w:trPr/>
        <w:tc>
          <w:tcPr>
            <w:tcW w:w="11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w:t>
            </w:r>
          </w:p>
        </w:tc>
        <w:tc>
          <w:tcPr>
            <w:tcW w:w="129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0.564699</w:t>
            </w:r>
          </w:p>
        </w:tc>
        <w:tc>
          <w:tcPr>
            <w:tcW w:w="119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0.641133</w:t>
            </w:r>
          </w:p>
        </w:tc>
        <w:tc>
          <w:tcPr>
            <w:tcW w:w="129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0.772516*</w:t>
            </w:r>
          </w:p>
        </w:tc>
        <w:tc>
          <w:tcPr>
            <w:tcW w:w="119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1.000000</w:t>
            </w:r>
          </w:p>
        </w:tc>
      </w:tr>
    </w:tbl>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Correlation is significant at the 0.05 level</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Source: Author’s computation using E-views 13</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correlation analysis reveals that all variables have positive relationships. The correlations between GDP and the independent variables are: GDP-MC (0.952607), GDP-VTS (0.024089), and GDP-VL (0.564699). The strong positive correlation between GDP and MC suggests a significant relationship, while the correlations with VTS and VL are weaker. However, most correlations were observed to be insignificant because the p-values exceed the 5% confidence interval, except for the correlation between VL and VTS which is significant.</w:t>
      </w:r>
    </w:p>
    <w:bookmarkStart w:id="11" w:name="unit-root-test-results"/>
    <w:bookmarkEnd w:id="10"/>
    <w:p>
      <w:pPr>
        <w:pStyle w:val="style410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Unit Root Test Results</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4 presents the results of the Augmented Dickey-Fuller unit root test conducted to avoid spurious regression and ensure stationarity of the time series data.</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4: Augmented Dickey-Fuller Unit Root Test Results</w:t>
      </w:r>
    </w:p>
    <w:tbl>
      <w:tblPr>
        <w:tblStyle w:val="style4114"/>
        <w:tblW w:w="0" w:type="auto"/>
        <w:tblInd w:w="0" w:type="dxa"/>
        <w:tblLayout w:type="fixed"/>
        <w:tblLook w:val="04A0" w:firstRow="1" w:lastRow="0" w:firstColumn="1" w:lastColumn="0" w:noHBand="0" w:noVBand="1"/>
      </w:tblPr>
      <w:tblGrid>
        <w:gridCol w:w="1178"/>
        <w:gridCol w:w="1352"/>
        <w:gridCol w:w="1400"/>
        <w:gridCol w:w="1582"/>
        <w:gridCol w:w="1400"/>
        <w:gridCol w:w="1607"/>
      </w:tblGrid>
      <w:tr>
        <w:trPr>
          <w:tblHeader/>
        </w:trPr>
        <w:tc>
          <w:tcPr>
            <w:tcW w:w="11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Variables</w:t>
            </w:r>
          </w:p>
        </w:tc>
        <w:tc>
          <w:tcPr>
            <w:tcW w:w="135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ADF at Level</w:t>
            </w:r>
          </w:p>
        </w:tc>
        <w:tc>
          <w:tcPr>
            <w:tcW w:w="14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 Critical Value</w:t>
            </w:r>
          </w:p>
        </w:tc>
        <w:tc>
          <w:tcPr>
            <w:tcW w:w="158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ADF at 1st Difference</w:t>
            </w:r>
          </w:p>
        </w:tc>
        <w:tc>
          <w:tcPr>
            <w:tcW w:w="14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 Critical Value</w:t>
            </w:r>
          </w:p>
        </w:tc>
        <w:tc>
          <w:tcPr>
            <w:tcW w:w="160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Order of Integration</w:t>
            </w:r>
          </w:p>
        </w:tc>
      </w:tr>
      <w:tr>
        <w:tblPrEx/>
        <w:trPr/>
        <w:tc>
          <w:tcPr>
            <w:tcW w:w="11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GDP</w:t>
            </w:r>
          </w:p>
        </w:tc>
        <w:tc>
          <w:tcPr>
            <w:tcW w:w="135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3.483542*</w:t>
            </w:r>
          </w:p>
        </w:tc>
        <w:tc>
          <w:tcPr>
            <w:tcW w:w="14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-3.004861</w:t>
            </w:r>
          </w:p>
        </w:tc>
        <w:tc>
          <w:tcPr>
            <w:tcW w:w="158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-5.130011</w:t>
            </w:r>
          </w:p>
        </w:tc>
        <w:tc>
          <w:tcPr>
            <w:tcW w:w="14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-2.598011</w:t>
            </w:r>
          </w:p>
        </w:tc>
        <w:tc>
          <w:tcPr>
            <w:tcW w:w="160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I(0)</w:t>
            </w:r>
          </w:p>
        </w:tc>
      </w:tr>
      <w:tr>
        <w:tblPrEx/>
        <w:trPr/>
        <w:tc>
          <w:tcPr>
            <w:tcW w:w="11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w:t>
            </w:r>
          </w:p>
        </w:tc>
        <w:tc>
          <w:tcPr>
            <w:tcW w:w="135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-0.012916</w:t>
            </w:r>
          </w:p>
        </w:tc>
        <w:tc>
          <w:tcPr>
            <w:tcW w:w="14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-2.991878</w:t>
            </w:r>
          </w:p>
        </w:tc>
        <w:tc>
          <w:tcPr>
            <w:tcW w:w="158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-5.430113*</w:t>
            </w:r>
          </w:p>
        </w:tc>
        <w:tc>
          <w:tcPr>
            <w:tcW w:w="14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-2.998064</w:t>
            </w:r>
          </w:p>
        </w:tc>
        <w:tc>
          <w:tcPr>
            <w:tcW w:w="160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I(1)</w:t>
            </w:r>
          </w:p>
        </w:tc>
      </w:tr>
      <w:tr>
        <w:tblPrEx/>
        <w:trPr/>
        <w:tc>
          <w:tcPr>
            <w:tcW w:w="11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w:t>
            </w:r>
          </w:p>
        </w:tc>
        <w:tc>
          <w:tcPr>
            <w:tcW w:w="135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-2.593375</w:t>
            </w:r>
          </w:p>
        </w:tc>
        <w:tc>
          <w:tcPr>
            <w:tcW w:w="14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-2.991878</w:t>
            </w:r>
          </w:p>
        </w:tc>
        <w:tc>
          <w:tcPr>
            <w:tcW w:w="158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-5.048099*</w:t>
            </w:r>
          </w:p>
        </w:tc>
        <w:tc>
          <w:tcPr>
            <w:tcW w:w="14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-2.998064</w:t>
            </w:r>
          </w:p>
        </w:tc>
        <w:tc>
          <w:tcPr>
            <w:tcW w:w="160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I(1)</w:t>
            </w:r>
          </w:p>
        </w:tc>
      </w:tr>
      <w:tr>
        <w:tblPrEx/>
        <w:trPr/>
        <w:tc>
          <w:tcPr>
            <w:tcW w:w="1178"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w:t>
            </w:r>
          </w:p>
        </w:tc>
        <w:tc>
          <w:tcPr>
            <w:tcW w:w="135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-2.514784</w:t>
            </w:r>
          </w:p>
        </w:tc>
        <w:tc>
          <w:tcPr>
            <w:tcW w:w="14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-2.991878</w:t>
            </w:r>
          </w:p>
        </w:tc>
        <w:tc>
          <w:tcPr>
            <w:tcW w:w="158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-5.784000*</w:t>
            </w:r>
          </w:p>
        </w:tc>
        <w:tc>
          <w:tcPr>
            <w:tcW w:w="14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-2.998064</w:t>
            </w:r>
          </w:p>
        </w:tc>
        <w:tc>
          <w:tcPr>
            <w:tcW w:w="160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I(1)</w:t>
            </w:r>
          </w:p>
        </w:tc>
      </w:tr>
    </w:tbl>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Denotes significance at 5% level</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Source: Author’s computation using E-views 13</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Augmented Dickey-Fuller unit root test results show that GDP is stationary at level I(0) with ADF statistic of 3.483542, which is greater than the 5% critical value of -3.004861. Market capitalization (MC), volume of transactions (VTS), and value of transactions (VL) are stationary at first difference I(1) with ADF statistics of -5.430113, -5.048099, and -5.784000 respectively, all greater in absolute terms than the 5% critical value of -2.998064. This mixed order of integration justifies the use of the ARDL approach.</w:t>
      </w:r>
    </w:p>
    <w:bookmarkStart w:id="12" w:name="ordinary-least-square-estimation"/>
    <w:bookmarkEnd w:id="11"/>
    <w:p>
      <w:pPr>
        <w:pStyle w:val="style410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Ordinary Least Square Estimation</w:t>
      </w:r>
    </w:p>
    <w:bookmarkStart w:id="13" w:name="ardl-short-run-dynamic-model-results"/>
    <w:p>
      <w:pPr>
        <w:pStyle w:val="style4107"/>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ARDL Short-Run Dynamic Model Results</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5 presents the results of the ARDL Error Correction Model showing the short-run dynamics between stock market development indicators and economic growth.</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5: ARDL ECM Short-Run Dynamic Model Results</w:t>
      </w:r>
    </w:p>
    <w:tbl>
      <w:tblPr>
        <w:tblStyle w:val="style4114"/>
        <w:tblW w:w="0" w:type="auto"/>
        <w:tblInd w:w="0" w:type="dxa"/>
        <w:tblLayout w:type="fixed"/>
        <w:tblLook w:val="04A0" w:firstRow="1" w:lastRow="0" w:firstColumn="1" w:lastColumn="0" w:noHBand="0" w:noVBand="1"/>
      </w:tblPr>
      <w:tblGrid>
        <w:gridCol w:w="1700"/>
        <w:gridCol w:w="1312"/>
        <w:gridCol w:w="1215"/>
        <w:gridCol w:w="1275"/>
        <w:gridCol w:w="1237"/>
      </w:tblGrid>
      <w:tr>
        <w:trPr>
          <w:tblHeader/>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Variable</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Coefficient</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Std. Error</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t-Statistic</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Prob.</w:t>
            </w:r>
          </w:p>
        </w:tc>
      </w:tr>
      <w:tr>
        <w:tblPrEx/>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COINTEQ(-1)*</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-0.218771</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0.041308</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-5.296076</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0.0003***</w:t>
            </w:r>
          </w:p>
        </w:tc>
      </w:tr>
      <w:tr>
        <w:tblPrEx/>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D(MC)</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1.358982</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0.487535</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2.787455</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0.0177**</w:t>
            </w:r>
          </w:p>
        </w:tc>
      </w:tr>
      <w:tr>
        <w:tblPrEx/>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D(MC(-1))</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-3.483159</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1.100260</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-3.165759</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0.0090***</w:t>
            </w:r>
          </w:p>
        </w:tc>
      </w:tr>
      <w:tr>
        <w:tblPrEx/>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D(MC(-2))</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-2.174738</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0.935864</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-2.323775</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0.0403**</w:t>
            </w:r>
          </w:p>
        </w:tc>
      </w:tr>
      <w:tr>
        <w:tblPrEx/>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D(MC(-3))</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-5.777220</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0.876147</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-6.593893</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0.0000***</w:t>
            </w:r>
          </w:p>
        </w:tc>
      </w:tr>
      <w:tr>
        <w:tblPrEx/>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D(VTS)</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0.008036</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0.004504</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1.784269</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0.1020</w:t>
            </w:r>
          </w:p>
        </w:tc>
      </w:tr>
      <w:tr>
        <w:tblPrEx/>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D(VTS(-1))</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0.000431</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0.002468</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0.174674</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0.8645</w:t>
            </w:r>
          </w:p>
        </w:tc>
      </w:tr>
      <w:tr>
        <w:tblPrEx/>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D(VTS(-2))</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0.009116</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0.002574</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3.541243</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0.0046***</w:t>
            </w:r>
          </w:p>
        </w:tc>
      </w:tr>
      <w:tr>
        <w:tblPrEx/>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D(VTS(-3))</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0.006784</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0.002074</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3.271259</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0.0074***</w:t>
            </w:r>
          </w:p>
        </w:tc>
      </w:tr>
      <w:tr>
        <w:tblPrEx/>
        <w:trPr/>
        <w:tc>
          <w:tcPr>
            <w:tcW w:w="170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D(VL)</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-3.233142</w:t>
            </w:r>
          </w:p>
        </w:tc>
        <w:tc>
          <w:tcPr>
            <w:tcW w:w="121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6.304376</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-0.512841</w:t>
            </w:r>
          </w:p>
        </w:tc>
        <w:tc>
          <w:tcPr>
            <w:tcW w:w="1237"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0.6182</w:t>
            </w:r>
          </w:p>
        </w:tc>
      </w:tr>
    </w:tbl>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Model Statistics:</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R-squared: 0.815802</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Adjusted R-squared: 0.665095</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F-statistic: 5.413156</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Prob(F-statistic): 0.005470</w:t>
      </w:r>
    </w:p>
    <w:p>
      <w:pPr>
        <w:pStyle w:val="style4099"/>
        <w:numPr>
          <w:ilvl w:val="0"/>
          <w:numId w:val="3"/>
        </w:numPr>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Durbin-Watson stat: 2.650865</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 **, * denote significance at 1%, 5%, and 10% levels respectively</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Source: Author’s computation using E-views 13</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Market capitalization has a positive relationship in the current period with GDP and is statistically significant. In the 1st, 2nd, and 3rd year lag periods, market capitalization has negative relationships with GDP and is statistically significant. Volume of transaction has positive relationships with GDP in current and lagged periods, being statistically significant in the 2nd and 3rd lag periods. Value of transaction is negatively related to GDP in the current period and is statistically insignificant.</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Error Correction Model coefficient is -0.218771 with p-value of 0.0003, indicating that the system would converge at an average speed of 22% every year in the event of disequilibrium. The R-squared value of 0.815802 indicates that 82% of total variations in GDP are accounted for by the independent variables.</w:t>
      </w:r>
    </w:p>
    <w:bookmarkStart w:id="14" w:name="ardl-long-run-results"/>
    <w:bookmarkEnd w:id="13"/>
    <w:p>
      <w:pPr>
        <w:pStyle w:val="style4107"/>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ARDL Long-Run Results</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6 presents the long-run relationships between stock market development indicators and economic growth.</w:t>
      </w:r>
    </w:p>
    <w:p>
      <w:pPr>
        <w:pStyle w:val="style66"/>
        <w:spacing w:lineRule="auto" w:line="360"/>
        <w:jc w:val="both"/>
        <w:rPr>
          <w:rFonts w:ascii="Times New Roman" w:cs="Times New Roman" w:eastAsia="Times New Roman" w:hAnsi="Times New Roman"/>
          <w:b w:val="false"/>
          <w:bCs w:val="false"/>
          <w:color w:val="36363d"/>
        </w:rPr>
      </w:pPr>
    </w:p>
    <w:p>
      <w:pPr>
        <w:pStyle w:val="style66"/>
        <w:spacing w:lineRule="auto" w:line="360"/>
        <w:jc w:val="both"/>
        <w:rPr>
          <w:rFonts w:ascii="Times New Roman" w:cs="Times New Roman" w:eastAsia="Times New Roman" w:hAnsi="Times New Roman"/>
          <w:b w:val="false"/>
          <w:bCs w:val="false"/>
          <w:color w:val="36363d"/>
        </w:rPr>
      </w:pPr>
    </w:p>
    <w:p>
      <w:pPr>
        <w:pStyle w:val="style66"/>
        <w:spacing w:lineRule="auto" w:line="360"/>
        <w:jc w:val="both"/>
        <w:rPr>
          <w:rFonts w:ascii="Times New Roman" w:cs="Times New Roman" w:eastAsia="Times New Roman" w:hAnsi="Times New Roman"/>
          <w:b w:val="false"/>
          <w:bCs w:val="false"/>
          <w:color w:val="36363d"/>
        </w:rPr>
      </w:pP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6: ARDL Long-Run Results</w:t>
      </w:r>
    </w:p>
    <w:tbl>
      <w:tblPr>
        <w:tblStyle w:val="style4114"/>
        <w:tblW w:w="0" w:type="auto"/>
        <w:tblInd w:w="0" w:type="dxa"/>
        <w:tblLayout w:type="fixed"/>
        <w:tblLook w:val="04A0" w:firstRow="1" w:lastRow="0" w:firstColumn="1" w:lastColumn="0" w:noHBand="0" w:noVBand="1"/>
      </w:tblPr>
      <w:tblGrid>
        <w:gridCol w:w="1075"/>
        <w:gridCol w:w="1312"/>
        <w:gridCol w:w="1245"/>
        <w:gridCol w:w="1275"/>
        <w:gridCol w:w="930"/>
      </w:tblGrid>
      <w:tr>
        <w:trPr>
          <w:tblHeader/>
        </w:trPr>
        <w:tc>
          <w:tcPr>
            <w:tcW w:w="10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Variable</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Coefficient</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Std. Error</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t-Statistic</w:t>
            </w:r>
          </w:p>
        </w:tc>
        <w:tc>
          <w:tcPr>
            <w:tcW w:w="93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Prob.</w:t>
            </w:r>
          </w:p>
        </w:tc>
      </w:tr>
      <w:tr>
        <w:tblPrEx/>
        <w:trPr/>
        <w:tc>
          <w:tcPr>
            <w:tcW w:w="10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MC(-1)</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14.80462</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11.70301</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1.265027</w:t>
            </w:r>
          </w:p>
        </w:tc>
        <w:tc>
          <w:tcPr>
            <w:tcW w:w="93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0.2229</w:t>
            </w:r>
          </w:p>
        </w:tc>
      </w:tr>
      <w:tr>
        <w:tblPrEx/>
        <w:trPr/>
        <w:tc>
          <w:tcPr>
            <w:tcW w:w="10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VTS(-1)</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-0.021587</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0.030834</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-0.700129</w:t>
            </w:r>
          </w:p>
        </w:tc>
        <w:tc>
          <w:tcPr>
            <w:tcW w:w="93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0.4933</w:t>
            </w:r>
          </w:p>
        </w:tc>
      </w:tr>
      <w:tr>
        <w:tblPrEx/>
        <w:trPr/>
        <w:tc>
          <w:tcPr>
            <w:tcW w:w="10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VL(-1)</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38.29555</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70.82432</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0.540712</w:t>
            </w:r>
          </w:p>
        </w:tc>
        <w:tc>
          <w:tcPr>
            <w:tcW w:w="93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0.5957</w:t>
            </w:r>
          </w:p>
        </w:tc>
      </w:tr>
      <w:tr>
        <w:tblPrEx/>
        <w:trPr/>
        <w:tc>
          <w:tcPr>
            <w:tcW w:w="10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C</w:t>
            </w:r>
          </w:p>
        </w:tc>
        <w:tc>
          <w:tcPr>
            <w:tcW w:w="1312"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11,566.78</w:t>
            </w:r>
          </w:p>
        </w:tc>
        <w:tc>
          <w:tcPr>
            <w:tcW w:w="124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32,010.15</w:t>
            </w:r>
          </w:p>
        </w:tc>
        <w:tc>
          <w:tcPr>
            <w:tcW w:w="1275"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0.361347</w:t>
            </w:r>
          </w:p>
        </w:tc>
        <w:tc>
          <w:tcPr>
            <w:tcW w:w="930" w:type="dxa"/>
            <w:tcBorders/>
          </w:tcPr>
          <w:p>
            <w:pPr>
              <w:pStyle w:val="style4099"/>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0.7223</w:t>
            </w:r>
          </w:p>
        </w:tc>
      </w:tr>
    </w:tbl>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Source: Author’s computation using E-views 13</w:t>
      </w:r>
    </w:p>
    <w:bookmarkStart w:id="15" w:name="model-diagnostic-tests"/>
    <w:bookmarkEnd w:id="14"/>
    <w:p>
      <w:pPr>
        <w:pStyle w:val="style4107"/>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Model Diagnostic Tests</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7 presents the results of various diagnostic tests conducted to ensure the reliability and validity of the regression model.</w:t>
      </w:r>
    </w:p>
    <w:p>
      <w:pPr>
        <w:pStyle w:val="style66"/>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7: Model Diagnostic Tests</w:t>
      </w:r>
    </w:p>
    <w:tbl>
      <w:tblPr>
        <w:tblStyle w:val="style4114"/>
        <w:tblW w:w="0" w:type="auto"/>
        <w:tblInd w:w="0" w:type="dxa"/>
        <w:tblLayout w:type="fixed"/>
        <w:tblLook w:val="04A0" w:firstRow="1" w:lastRow="0" w:firstColumn="1" w:lastColumn="0" w:noHBand="0" w:noVBand="1"/>
      </w:tblPr>
      <w:tblGrid>
        <w:gridCol w:w="2232"/>
        <w:gridCol w:w="1449"/>
        <w:gridCol w:w="1616"/>
        <w:gridCol w:w="1360"/>
        <w:gridCol w:w="1864"/>
      </w:tblGrid>
      <w:tr>
        <w:trPr>
          <w:tblHeader/>
        </w:trPr>
        <w:tc>
          <w:tcPr>
            <w:tcW w:w="2232"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Test</w:t>
            </w:r>
          </w:p>
        </w:tc>
        <w:tc>
          <w:tcPr>
            <w:tcW w:w="144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Statistic</w:t>
            </w:r>
          </w:p>
        </w:tc>
        <w:tc>
          <w:tcPr>
            <w:tcW w:w="1616"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F-Statistic/Chi-Square</w:t>
            </w:r>
          </w:p>
        </w:tc>
        <w:tc>
          <w:tcPr>
            <w:tcW w:w="1360"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Probability</w:t>
            </w:r>
          </w:p>
        </w:tc>
        <w:tc>
          <w:tcPr>
            <w:tcW w:w="1864"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Decision</w:t>
            </w:r>
          </w:p>
        </w:tc>
      </w:tr>
      <w:tr>
        <w:tblPrEx/>
        <w:trPr/>
        <w:tc>
          <w:tcPr>
            <w:tcW w:w="2232"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Serial Correlation Test</w:t>
            </w:r>
          </w:p>
        </w:tc>
        <w:tc>
          <w:tcPr>
            <w:tcW w:w="1449" w:type="dxa"/>
            <w:tcBorders/>
          </w:tcPr>
          <w:p>
            <w:pPr>
              <w:pStyle w:val="style4099"/>
              <w:snapToGrid w:val="false"/>
              <w:jc w:val="both"/>
              <w:rPr>
                <w:rFonts w:ascii="Times New Roman" w:cs="Times New Roman" w:eastAsia="Times New Roman" w:hAnsi="Times New Roman"/>
                <w:b w:val="false"/>
                <w:bCs w:val="false"/>
                <w:color w:val="36363d"/>
              </w:rPr>
            </w:pPr>
          </w:p>
        </w:tc>
        <w:tc>
          <w:tcPr>
            <w:tcW w:w="1616" w:type="dxa"/>
            <w:tcBorders/>
          </w:tcPr>
          <w:p>
            <w:pPr>
              <w:pStyle w:val="style4099"/>
              <w:snapToGrid w:val="false"/>
              <w:jc w:val="both"/>
              <w:rPr>
                <w:rFonts w:ascii="Times New Roman" w:cs="Times New Roman" w:eastAsia="Times New Roman" w:hAnsi="Times New Roman"/>
                <w:b w:val="false"/>
                <w:bCs w:val="false"/>
                <w:color w:val="36363d"/>
              </w:rPr>
            </w:pPr>
          </w:p>
        </w:tc>
        <w:tc>
          <w:tcPr>
            <w:tcW w:w="1360" w:type="dxa"/>
            <w:tcBorders/>
          </w:tcPr>
          <w:p>
            <w:pPr>
              <w:pStyle w:val="style4099"/>
              <w:snapToGrid w:val="false"/>
              <w:jc w:val="both"/>
              <w:rPr>
                <w:rFonts w:ascii="Times New Roman" w:cs="Times New Roman" w:eastAsia="Times New Roman" w:hAnsi="Times New Roman"/>
                <w:b w:val="false"/>
                <w:bCs w:val="false"/>
                <w:color w:val="36363d"/>
              </w:rPr>
            </w:pPr>
          </w:p>
        </w:tc>
        <w:tc>
          <w:tcPr>
            <w:tcW w:w="1864" w:type="dxa"/>
            <w:tcBorders/>
          </w:tcPr>
          <w:p>
            <w:pPr>
              <w:pStyle w:val="style4099"/>
              <w:snapToGrid w:val="false"/>
              <w:jc w:val="both"/>
              <w:rPr>
                <w:rFonts w:ascii="Times New Roman" w:cs="Times New Roman" w:eastAsia="Times New Roman" w:hAnsi="Times New Roman"/>
                <w:b w:val="false"/>
                <w:bCs w:val="false"/>
                <w:color w:val="36363d"/>
              </w:rPr>
            </w:pPr>
          </w:p>
        </w:tc>
      </w:tr>
      <w:tr>
        <w:tblPrEx/>
        <w:trPr/>
        <w:tc>
          <w:tcPr>
            <w:tcW w:w="2232"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Breusch-Godfrey LM Test</w:t>
            </w:r>
          </w:p>
        </w:tc>
        <w:tc>
          <w:tcPr>
            <w:tcW w:w="144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F(2,5)</w:t>
            </w:r>
          </w:p>
        </w:tc>
        <w:tc>
          <w:tcPr>
            <w:tcW w:w="1616"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0.819903</w:t>
            </w:r>
          </w:p>
        </w:tc>
        <w:tc>
          <w:tcPr>
            <w:tcW w:w="1360"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0.4921</w:t>
            </w:r>
          </w:p>
        </w:tc>
        <w:tc>
          <w:tcPr>
            <w:tcW w:w="1864"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No Serial Correlation</w:t>
            </w:r>
          </w:p>
        </w:tc>
      </w:tr>
      <w:tr>
        <w:tblPrEx/>
        <w:trPr/>
        <w:tc>
          <w:tcPr>
            <w:tcW w:w="2232"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Obs*R-squared</w:t>
            </w:r>
          </w:p>
        </w:tc>
        <w:tc>
          <w:tcPr>
            <w:tcW w:w="144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Chi-Square(2)</w:t>
            </w:r>
          </w:p>
        </w:tc>
        <w:tc>
          <w:tcPr>
            <w:tcW w:w="1616"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5.186286</w:t>
            </w:r>
          </w:p>
        </w:tc>
        <w:tc>
          <w:tcPr>
            <w:tcW w:w="1360"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0.0748</w:t>
            </w:r>
          </w:p>
        </w:tc>
        <w:tc>
          <w:tcPr>
            <w:tcW w:w="1864" w:type="dxa"/>
            <w:tcBorders/>
          </w:tcPr>
          <w:p>
            <w:pPr>
              <w:pStyle w:val="style4099"/>
              <w:snapToGrid w:val="false"/>
              <w:jc w:val="both"/>
              <w:rPr>
                <w:rFonts w:ascii="Times New Roman" w:cs="Times New Roman" w:eastAsia="Times New Roman" w:hAnsi="Times New Roman"/>
                <w:b w:val="false"/>
                <w:bCs w:val="false"/>
                <w:color w:val="36363d"/>
              </w:rPr>
            </w:pPr>
          </w:p>
        </w:tc>
      </w:tr>
      <w:tr>
        <w:tblPrEx/>
        <w:trPr/>
        <w:tc>
          <w:tcPr>
            <w:tcW w:w="2232"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Heteroskedasticity Test</w:t>
            </w:r>
          </w:p>
        </w:tc>
        <w:tc>
          <w:tcPr>
            <w:tcW w:w="1449" w:type="dxa"/>
            <w:tcBorders/>
          </w:tcPr>
          <w:p>
            <w:pPr>
              <w:pStyle w:val="style4099"/>
              <w:snapToGrid w:val="false"/>
              <w:jc w:val="both"/>
              <w:rPr>
                <w:rFonts w:ascii="Times New Roman" w:cs="Times New Roman" w:eastAsia="Times New Roman" w:hAnsi="Times New Roman"/>
                <w:b w:val="false"/>
                <w:bCs w:val="false"/>
                <w:color w:val="36363d"/>
              </w:rPr>
            </w:pPr>
          </w:p>
        </w:tc>
        <w:tc>
          <w:tcPr>
            <w:tcW w:w="1616" w:type="dxa"/>
            <w:tcBorders/>
          </w:tcPr>
          <w:p>
            <w:pPr>
              <w:pStyle w:val="style4099"/>
              <w:snapToGrid w:val="false"/>
              <w:jc w:val="both"/>
              <w:rPr>
                <w:rFonts w:ascii="Times New Roman" w:cs="Times New Roman" w:eastAsia="Times New Roman" w:hAnsi="Times New Roman"/>
                <w:b w:val="false"/>
                <w:bCs w:val="false"/>
                <w:color w:val="36363d"/>
              </w:rPr>
            </w:pPr>
          </w:p>
        </w:tc>
        <w:tc>
          <w:tcPr>
            <w:tcW w:w="1360" w:type="dxa"/>
            <w:tcBorders/>
          </w:tcPr>
          <w:p>
            <w:pPr>
              <w:pStyle w:val="style4099"/>
              <w:snapToGrid w:val="false"/>
              <w:jc w:val="both"/>
              <w:rPr>
                <w:rFonts w:ascii="Times New Roman" w:cs="Times New Roman" w:eastAsia="Times New Roman" w:hAnsi="Times New Roman"/>
                <w:b w:val="false"/>
                <w:bCs w:val="false"/>
                <w:color w:val="36363d"/>
              </w:rPr>
            </w:pPr>
          </w:p>
        </w:tc>
        <w:tc>
          <w:tcPr>
            <w:tcW w:w="1864" w:type="dxa"/>
            <w:tcBorders/>
          </w:tcPr>
          <w:p>
            <w:pPr>
              <w:pStyle w:val="style4099"/>
              <w:snapToGrid w:val="false"/>
              <w:jc w:val="both"/>
              <w:rPr>
                <w:rFonts w:ascii="Times New Roman" w:cs="Times New Roman" w:eastAsia="Times New Roman" w:hAnsi="Times New Roman"/>
                <w:b w:val="false"/>
                <w:bCs w:val="false"/>
                <w:color w:val="36363d"/>
              </w:rPr>
            </w:pPr>
          </w:p>
        </w:tc>
      </w:tr>
      <w:tr>
        <w:tblPrEx/>
        <w:trPr/>
        <w:tc>
          <w:tcPr>
            <w:tcW w:w="2232"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Breusch-Pagan-Godfrey</w:t>
            </w:r>
          </w:p>
        </w:tc>
        <w:tc>
          <w:tcPr>
            <w:tcW w:w="144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F(13,7)</w:t>
            </w:r>
          </w:p>
        </w:tc>
        <w:tc>
          <w:tcPr>
            <w:tcW w:w="1616"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0.386236</w:t>
            </w:r>
          </w:p>
        </w:tc>
        <w:tc>
          <w:tcPr>
            <w:tcW w:w="1360"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0.9342</w:t>
            </w:r>
          </w:p>
        </w:tc>
        <w:tc>
          <w:tcPr>
            <w:tcW w:w="1864"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Homoskedastic</w:t>
            </w:r>
          </w:p>
        </w:tc>
      </w:tr>
      <w:tr>
        <w:tblPrEx/>
        <w:trPr/>
        <w:tc>
          <w:tcPr>
            <w:tcW w:w="2232"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Obs*R-squared</w:t>
            </w:r>
          </w:p>
        </w:tc>
        <w:tc>
          <w:tcPr>
            <w:tcW w:w="144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Chi-Square(13)</w:t>
            </w:r>
          </w:p>
        </w:tc>
        <w:tc>
          <w:tcPr>
            <w:tcW w:w="1616"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8.771471</w:t>
            </w:r>
          </w:p>
        </w:tc>
        <w:tc>
          <w:tcPr>
            <w:tcW w:w="1360"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0.7900</w:t>
            </w:r>
          </w:p>
        </w:tc>
        <w:tc>
          <w:tcPr>
            <w:tcW w:w="1864" w:type="dxa"/>
            <w:tcBorders/>
          </w:tcPr>
          <w:p>
            <w:pPr>
              <w:pStyle w:val="style4099"/>
              <w:snapToGrid w:val="false"/>
              <w:jc w:val="both"/>
              <w:rPr>
                <w:rFonts w:ascii="Times New Roman" w:cs="Times New Roman" w:eastAsia="Times New Roman" w:hAnsi="Times New Roman"/>
                <w:b w:val="false"/>
                <w:bCs w:val="false"/>
                <w:color w:val="36363d"/>
              </w:rPr>
            </w:pPr>
          </w:p>
        </w:tc>
      </w:tr>
      <w:tr>
        <w:tblPrEx/>
        <w:trPr/>
        <w:tc>
          <w:tcPr>
            <w:tcW w:w="2232"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Normality Test</w:t>
            </w:r>
          </w:p>
        </w:tc>
        <w:tc>
          <w:tcPr>
            <w:tcW w:w="1449" w:type="dxa"/>
            <w:tcBorders/>
          </w:tcPr>
          <w:p>
            <w:pPr>
              <w:pStyle w:val="style4099"/>
              <w:snapToGrid w:val="false"/>
              <w:jc w:val="both"/>
              <w:rPr>
                <w:rFonts w:ascii="Times New Roman" w:cs="Times New Roman" w:eastAsia="Times New Roman" w:hAnsi="Times New Roman"/>
                <w:b w:val="false"/>
                <w:bCs w:val="false"/>
                <w:color w:val="36363d"/>
              </w:rPr>
            </w:pPr>
          </w:p>
        </w:tc>
        <w:tc>
          <w:tcPr>
            <w:tcW w:w="1616" w:type="dxa"/>
            <w:tcBorders/>
          </w:tcPr>
          <w:p>
            <w:pPr>
              <w:pStyle w:val="style4099"/>
              <w:snapToGrid w:val="false"/>
              <w:jc w:val="both"/>
              <w:rPr>
                <w:rFonts w:ascii="Times New Roman" w:cs="Times New Roman" w:eastAsia="Times New Roman" w:hAnsi="Times New Roman"/>
                <w:b w:val="false"/>
                <w:bCs w:val="false"/>
                <w:color w:val="36363d"/>
              </w:rPr>
            </w:pPr>
          </w:p>
        </w:tc>
        <w:tc>
          <w:tcPr>
            <w:tcW w:w="1360" w:type="dxa"/>
            <w:tcBorders/>
          </w:tcPr>
          <w:p>
            <w:pPr>
              <w:pStyle w:val="style4099"/>
              <w:snapToGrid w:val="false"/>
              <w:jc w:val="both"/>
              <w:rPr>
                <w:rFonts w:ascii="Times New Roman" w:cs="Times New Roman" w:eastAsia="Times New Roman" w:hAnsi="Times New Roman"/>
                <w:b w:val="false"/>
                <w:bCs w:val="false"/>
                <w:color w:val="36363d"/>
              </w:rPr>
            </w:pPr>
          </w:p>
        </w:tc>
        <w:tc>
          <w:tcPr>
            <w:tcW w:w="1864" w:type="dxa"/>
            <w:tcBorders/>
          </w:tcPr>
          <w:p>
            <w:pPr>
              <w:pStyle w:val="style4099"/>
              <w:snapToGrid w:val="false"/>
              <w:jc w:val="both"/>
              <w:rPr>
                <w:rFonts w:ascii="Times New Roman" w:cs="Times New Roman" w:eastAsia="Times New Roman" w:hAnsi="Times New Roman"/>
                <w:b w:val="false"/>
                <w:bCs w:val="false"/>
                <w:color w:val="36363d"/>
              </w:rPr>
            </w:pPr>
          </w:p>
        </w:tc>
      </w:tr>
      <w:tr>
        <w:tblPrEx/>
        <w:trPr/>
        <w:tc>
          <w:tcPr>
            <w:tcW w:w="2232"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Jarque-Bera</w:t>
            </w:r>
          </w:p>
        </w:tc>
        <w:tc>
          <w:tcPr>
            <w:tcW w:w="1449" w:type="dxa"/>
            <w:tcBorders/>
          </w:tcPr>
          <w:p>
            <w:pPr>
              <w:pStyle w:val="style4099"/>
              <w:snapToGrid w:val="false"/>
              <w:jc w:val="both"/>
              <w:rPr>
                <w:rFonts w:ascii="Times New Roman" w:cs="Times New Roman" w:eastAsia="Times New Roman" w:hAnsi="Times New Roman"/>
                <w:b w:val="false"/>
                <w:bCs w:val="false"/>
                <w:color w:val="36363d"/>
              </w:rPr>
            </w:pPr>
          </w:p>
        </w:tc>
        <w:tc>
          <w:tcPr>
            <w:tcW w:w="1616"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5.702555</w:t>
            </w:r>
          </w:p>
        </w:tc>
        <w:tc>
          <w:tcPr>
            <w:tcW w:w="1360"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0.057770</w:t>
            </w:r>
          </w:p>
        </w:tc>
        <w:tc>
          <w:tcPr>
            <w:tcW w:w="1864"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Normally Distributed</w:t>
            </w:r>
          </w:p>
        </w:tc>
      </w:tr>
    </w:tbl>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Source: Author’s computation using E-views 13</w:t>
      </w:r>
    </w:p>
    <w:bookmarkStart w:id="16" w:name="granger-causality-test-results"/>
    <w:bookmarkEnd w:id="15"/>
    <w:p>
      <w:pPr>
        <w:pStyle w:val="style4107"/>
        <w:spacing w:lineRule="auto" w:line="360"/>
        <w:jc w:val="both"/>
        <w:rPr>
          <w:rFonts w:ascii="Times New Roman" w:cs="Times New Roman" w:eastAsia="Times New Roman" w:hAnsi="Times New Roman"/>
          <w:b w:val="false"/>
          <w:bCs w:val="false"/>
          <w:color w:val="36363d"/>
        </w:rPr>
      </w:pPr>
    </w:p>
    <w:p>
      <w:pPr>
        <w:pStyle w:val="style4107"/>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Granger Causality Test Results</w:t>
      </w:r>
    </w:p>
    <w:p>
      <w:pPr>
        <w:pStyle w:val="style4098"/>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8 presents the results of the pairwise Granger causality test to determine the direction of causality between the variables.</w:t>
      </w:r>
    </w:p>
    <w:p>
      <w:pPr>
        <w:pStyle w:val="style66"/>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8: Pairwise Granger Causality Test Results</w:t>
      </w:r>
    </w:p>
    <w:tbl>
      <w:tblPr>
        <w:tblStyle w:val="style4114"/>
        <w:tblW w:w="0" w:type="auto"/>
        <w:tblInd w:w="0" w:type="dxa"/>
        <w:tblLayout w:type="fixed"/>
        <w:tblLook w:val="04A0" w:firstRow="1" w:lastRow="0" w:firstColumn="1" w:lastColumn="0" w:noHBand="0" w:noVBand="1"/>
      </w:tblPr>
      <w:tblGrid>
        <w:gridCol w:w="3589"/>
        <w:gridCol w:w="607"/>
        <w:gridCol w:w="1247"/>
        <w:gridCol w:w="1135"/>
        <w:gridCol w:w="1215"/>
      </w:tblGrid>
      <w:tr>
        <w:trPr>
          <w:tblHeader/>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Null Hypothesis</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Obs</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F-Statistic</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Prob.</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Decision</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 does not Granger Cause GDP</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0.51588</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0.6055</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GDP does not Granger Cause MC</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5.26850</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0.0158**</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Reject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 does not Granger Cause GDP</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0.00964</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0.9904</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GDP does not Granger Cause VTS</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0.23109</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0.7960</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 does not Granger Cause GDP</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0.00906</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0.9910</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GDP does not Granger Cause VL</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0.90329</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0.4228</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 does not Granger Cause MC</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1.94558</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0.1718</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 does not Granger Cause VTS</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2.67343</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0.0962*</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Reject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 does not Granger Cause MC</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1.88053</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0.1813</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 does not Granger Cause VL</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2.09849</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0.1516</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 does not Granger Cause VTS</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0.90314</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0.4229</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r>
      <w:tr>
        <w:tblPrEx/>
        <w:trPr/>
        <w:tc>
          <w:tcPr>
            <w:tcW w:w="3589"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 does not Granger Cause VL</w:t>
            </w:r>
          </w:p>
        </w:tc>
        <w:tc>
          <w:tcPr>
            <w:tcW w:w="60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23</w:t>
            </w:r>
          </w:p>
        </w:tc>
        <w:tc>
          <w:tcPr>
            <w:tcW w:w="124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0.14714</w:t>
            </w:r>
          </w:p>
        </w:tc>
        <w:tc>
          <w:tcPr>
            <w:tcW w:w="113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0.8642</w:t>
            </w:r>
          </w:p>
        </w:tc>
        <w:tc>
          <w:tcPr>
            <w:tcW w:w="121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r>
    </w:tbl>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 xml:space="preserve">**, * denote significance at 5% and 10% levels respectively </w:t>
      </w:r>
      <w:r>
        <w:rPr>
          <w:rFonts w:ascii="Times New Roman" w:cs="Times New Roman" w:eastAsia="Times New Roman" w:hAnsi="Times New Roman"/>
          <w:b w:val="false"/>
          <w:bCs w:val="false"/>
          <w:i/>
          <w:iCs/>
          <w:color w:val="36363d"/>
        </w:rPr>
        <w:t>Lags: 2</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Source: Author’s computation using E-views 13</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The Granger causality test results show unidirectional causality from GDP to MC (F-statistic = 5.26850, p-value = 0.0158), indicating that economic growth drives market capitalization development. There is also weak evidence of causality from MC to VTS at the 10% significance level (F-statistic = 2.67343, p-value = 0.0962). No other significant causal relationships were found between the variables.</w:t>
      </w:r>
    </w:p>
    <w:bookmarkStart w:id="17" w:name="test-of-hypotheses"/>
    <w:bookmarkEnd w:id="7"/>
    <w:bookmarkEnd w:id="12"/>
    <w:bookmarkEnd w:id="16"/>
    <w:p>
      <w:pPr>
        <w:pStyle w:val="style4105"/>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Test of Hypotheses</w:t>
      </w:r>
    </w:p>
    <w:p>
      <w:pPr>
        <w:pStyle w:val="style4098"/>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9 summarizes the test of hypotheses based on the ARDL long-run results and the established decision criteria.</w:t>
      </w:r>
    </w:p>
    <w:p>
      <w:pPr>
        <w:pStyle w:val="style66"/>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Table 9: Summary of Hypothesis Testing</w:t>
      </w:r>
    </w:p>
    <w:tbl>
      <w:tblPr>
        <w:tblStyle w:val="style4114"/>
        <w:tblW w:w="0" w:type="auto"/>
        <w:tblInd w:w="0" w:type="dxa"/>
        <w:tblLayout w:type="fixed"/>
        <w:tblLook w:val="04A0" w:firstRow="1" w:lastRow="0" w:firstColumn="1" w:lastColumn="0" w:noHBand="0" w:noVBand="1"/>
      </w:tblPr>
      <w:tblGrid>
        <w:gridCol w:w="1205"/>
        <w:gridCol w:w="954"/>
        <w:gridCol w:w="1158"/>
        <w:gridCol w:w="1057"/>
        <w:gridCol w:w="1057"/>
        <w:gridCol w:w="830"/>
        <w:gridCol w:w="971"/>
        <w:gridCol w:w="1285"/>
      </w:tblGrid>
      <w:tr>
        <w:trPr>
          <w:tblHeader/>
        </w:trPr>
        <w:tc>
          <w:tcPr>
            <w:tcW w:w="120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Hypothesis</w:t>
            </w:r>
          </w:p>
        </w:tc>
        <w:tc>
          <w:tcPr>
            <w:tcW w:w="954"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Variable</w:t>
            </w:r>
          </w:p>
        </w:tc>
        <w:tc>
          <w:tcPr>
            <w:tcW w:w="1158"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Coefficient</w:t>
            </w:r>
          </w:p>
        </w:tc>
        <w:tc>
          <w:tcPr>
            <w:tcW w:w="105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Std. Error</w:t>
            </w:r>
          </w:p>
        </w:tc>
        <w:tc>
          <w:tcPr>
            <w:tcW w:w="105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t-Statistic</w:t>
            </w:r>
          </w:p>
        </w:tc>
        <w:tc>
          <w:tcPr>
            <w:tcW w:w="830"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P-value</w:t>
            </w:r>
          </w:p>
        </w:tc>
        <w:tc>
          <w:tcPr>
            <w:tcW w:w="971"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Decision</w:t>
            </w:r>
          </w:p>
        </w:tc>
        <w:tc>
          <w:tcPr>
            <w:tcW w:w="128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Conclusion</w:t>
            </w:r>
          </w:p>
        </w:tc>
      </w:tr>
      <w:tr>
        <w:tblPrEx/>
        <w:trPr/>
        <w:tc>
          <w:tcPr>
            <w:tcW w:w="120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H₀₁</w:t>
            </w:r>
          </w:p>
        </w:tc>
        <w:tc>
          <w:tcPr>
            <w:tcW w:w="954"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MC</w:t>
            </w:r>
          </w:p>
        </w:tc>
        <w:tc>
          <w:tcPr>
            <w:tcW w:w="1158"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14.80462</w:t>
            </w:r>
          </w:p>
        </w:tc>
        <w:tc>
          <w:tcPr>
            <w:tcW w:w="105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11.70301</w:t>
            </w:r>
          </w:p>
        </w:tc>
        <w:tc>
          <w:tcPr>
            <w:tcW w:w="105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1.265027</w:t>
            </w:r>
          </w:p>
        </w:tc>
        <w:tc>
          <w:tcPr>
            <w:tcW w:w="830"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0.2229</w:t>
            </w:r>
          </w:p>
        </w:tc>
        <w:tc>
          <w:tcPr>
            <w:tcW w:w="971"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c>
          <w:tcPr>
            <w:tcW w:w="128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No significant relationship</w:t>
            </w:r>
          </w:p>
        </w:tc>
      </w:tr>
      <w:tr>
        <w:tblPrEx/>
        <w:trPr/>
        <w:tc>
          <w:tcPr>
            <w:tcW w:w="120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H₀₂</w:t>
            </w:r>
          </w:p>
        </w:tc>
        <w:tc>
          <w:tcPr>
            <w:tcW w:w="954"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VTS</w:t>
            </w:r>
          </w:p>
        </w:tc>
        <w:tc>
          <w:tcPr>
            <w:tcW w:w="1158"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-0.021587</w:t>
            </w:r>
          </w:p>
        </w:tc>
        <w:tc>
          <w:tcPr>
            <w:tcW w:w="105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0.030834</w:t>
            </w:r>
          </w:p>
        </w:tc>
        <w:tc>
          <w:tcPr>
            <w:tcW w:w="105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-0.700129</w:t>
            </w:r>
          </w:p>
        </w:tc>
        <w:tc>
          <w:tcPr>
            <w:tcW w:w="830"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0.4933</w:t>
            </w:r>
          </w:p>
        </w:tc>
        <w:tc>
          <w:tcPr>
            <w:tcW w:w="971"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c>
          <w:tcPr>
            <w:tcW w:w="128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No significant relationship</w:t>
            </w:r>
          </w:p>
        </w:tc>
      </w:tr>
      <w:tr>
        <w:tblPrEx/>
        <w:trPr/>
        <w:tc>
          <w:tcPr>
            <w:tcW w:w="120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H₀₃</w:t>
            </w:r>
          </w:p>
        </w:tc>
        <w:tc>
          <w:tcPr>
            <w:tcW w:w="954"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VL</w:t>
            </w:r>
          </w:p>
        </w:tc>
        <w:tc>
          <w:tcPr>
            <w:tcW w:w="1158"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38.29555</w:t>
            </w:r>
          </w:p>
        </w:tc>
        <w:tc>
          <w:tcPr>
            <w:tcW w:w="105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70.82432</w:t>
            </w:r>
          </w:p>
        </w:tc>
        <w:tc>
          <w:tcPr>
            <w:tcW w:w="1057"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0.540712</w:t>
            </w:r>
          </w:p>
        </w:tc>
        <w:tc>
          <w:tcPr>
            <w:tcW w:w="830"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0.5957</w:t>
            </w:r>
          </w:p>
        </w:tc>
        <w:tc>
          <w:tcPr>
            <w:tcW w:w="971"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Accept H₀</w:t>
            </w:r>
          </w:p>
        </w:tc>
        <w:tc>
          <w:tcPr>
            <w:tcW w:w="1285" w:type="dxa"/>
            <w:tcBorders/>
          </w:tcPr>
          <w:p>
            <w:pPr>
              <w:pStyle w:val="style4099"/>
              <w:snapToGrid w:val="false"/>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No significant relationship</w:t>
            </w:r>
          </w:p>
        </w:tc>
      </w:tr>
    </w:tbl>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Decision Rule: Reject H₀ if p-value &lt; 0.05</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i/>
          <w:iCs/>
          <w:color w:val="36363d"/>
        </w:rPr>
        <w:t>Source: Author’s computation</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H₀₁: Market Capitalization has a positive and insignificant effect on GDP with p-value of 0.2229, which is greater than 0.05. Hence, we accept the null hypothesis.</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H₀₂: Volume of Transaction has a negative and insignificant effect on GDP with p-value of 0.4933, which is greater than 0.05. Hence, we accept the null hypothesis.</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color w:val="36363d"/>
        </w:rPr>
        <w:t>H₀₃: Value of Transaction has a positive and insignificant effect on GDP with p-value of 0.5957, which is greater than 0.05. Hence, we accept the null hypothesis.</w:t>
      </w:r>
    </w:p>
    <w:bookmarkStart w:id="18" w:name="conclusion"/>
    <w:bookmarkEnd w:id="17"/>
    <w:p>
      <w:pPr>
        <w:pStyle w:val="style66"/>
        <w:spacing w:lineRule="auto" w:line="360"/>
        <w:jc w:val="both"/>
        <w:rPr>
          <w:rFonts w:ascii="Times New Roman" w:cs="Times New Roman" w:eastAsia="Times New Roman" w:hAnsi="Times New Roman"/>
          <w:b/>
          <w:bCs/>
        </w:rPr>
      </w:pPr>
      <w:r>
        <w:rPr>
          <w:rFonts w:ascii="Times New Roman" w:cs="Times New Roman" w:eastAsia="Times New Roman" w:hAnsi="Times New Roman"/>
          <w:b/>
          <w:bCs/>
        </w:rPr>
        <w:t>Discussion of Findings</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The paper has examined the role of stock market development in the Nigerian economy using pooled dataset between 1999 and 2023. There are mixed findings on the question of the connection between stock market indicators and the growth of the economy. The rejection of the three null hypotheses indicates that although they do have relationships, they are not significant at an alpha set at 5 percent.</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 xml:space="preserve">The insignificant and positive association of market capitalization and economic growth is in line with yet another study, but also conflicting with another. </w:t>
      </w:r>
      <w:r>
        <w:rPr>
          <w:rFonts w:ascii="Times New Roman" w:cs="Times New Roman" w:eastAsia="Times New Roman" w:hAnsi="Times New Roman"/>
          <w:b w:val="false"/>
          <w:bCs w:val="false"/>
          <w:lang w:val="en-US"/>
        </w:rPr>
        <w:t xml:space="preserve">The weak relationship observed may be attributed to macroeconomic instability, which is a key determinant of stock market development (Garcia &amp; Liu, 1999). </w:t>
      </w:r>
      <w:r>
        <w:rPr>
          <w:rFonts w:ascii="Times New Roman" w:cs="Times New Roman" w:eastAsia="Times New Roman" w:hAnsi="Times New Roman"/>
          <w:b w:val="false"/>
          <w:bCs w:val="false"/>
        </w:rPr>
        <w:t>This finding of an insignificant relationship contrasts with some cross-country African studies which found a positive link, suggesting country-specific factors are at play (Adjasi &amp; Biekpe, 2006).</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lang w:val="en-US"/>
        </w:rPr>
        <w:t xml:space="preserve">The insignificant impact of transaction values and volumes on growth may reflect issues related to market liquidity and depth, which are crucial for the growth-enhancing effects of stock markets (Levine &amp; Schmukler, 2006). </w:t>
      </w:r>
      <w:r>
        <w:rPr>
          <w:rFonts w:ascii="Times New Roman" w:cs="Times New Roman" w:eastAsia="Times New Roman" w:hAnsi="Times New Roman"/>
          <w:b w:val="false"/>
          <w:bCs w:val="false"/>
        </w:rPr>
        <w:t>The non-important correlation between the amount of transactions and economic growth implies that the acquisition and selling alone can not directly lead to economic growth. This may be due to the gamble aspect of some trading practices which are not productive investments</w:t>
      </w:r>
      <w:r>
        <w:rPr>
          <w:rFonts w:ascii="Times New Roman" w:cs="Times New Roman" w:eastAsia="Times New Roman" w:hAnsi="Times New Roman"/>
          <w:b w:val="false"/>
          <w:bCs w:val="false"/>
          <w:lang w:val="en-US"/>
        </w:rPr>
        <w:t>.</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The fact that the value of transactions and economic growth is not very significant means that though the monetary value of transactions can be crucial to economic growth, other factors could play a more critical role towards economic growth.</w:t>
      </w:r>
      <w:r>
        <w:rPr>
          <w:rFonts w:ascii="Times New Roman" w:cs="Times New Roman" w:eastAsia="Times New Roman" w:hAnsi="Times New Roman"/>
          <w:b w:val="false"/>
          <w:bCs w:val="false"/>
          <w:lang w:val="en-US"/>
        </w:rPr>
        <w:t xml:space="preserve"> T</w:t>
      </w:r>
      <w:r>
        <w:rPr>
          <w:rFonts w:ascii="Times New Roman" w:cs="Times New Roman" w:eastAsia="Times New Roman" w:hAnsi="Times New Roman"/>
          <w:b w:val="false"/>
          <w:bCs w:val="false"/>
        </w:rPr>
        <w:t xml:space="preserve">here is a long-run relationship between capital market and economic growth but differed in terms of the level of statistical significance. The finding also confirms the unilateral cause bond between economic growth and the market indicators, as suggested by Patrick (1966) the postulate that demand follows. </w:t>
      </w:r>
      <w:r>
        <w:rPr>
          <w:rFonts w:ascii="Times New Roman" w:cs="Times New Roman" w:eastAsia="Times New Roman" w:hAnsi="Times New Roman"/>
          <w:b w:val="false"/>
          <w:bCs w:val="false"/>
          <w:lang w:val="en-US"/>
        </w:rPr>
        <w:t>The finding of unidirectional causality from GDP to market capitalization aligns with the 'demand-following' hypothesis observed in other studies (Caporale et al., 2004).</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lang w:val="en-US"/>
        </w:rPr>
        <w:t xml:space="preserve">The finding of insignificant relationships lends some support to skeptical views questioning the strength of the connection between stock markets and growth in emerging economies (Filer et al., 2000). </w:t>
      </w:r>
      <w:r>
        <w:rPr>
          <w:rFonts w:ascii="Times New Roman" w:cs="Times New Roman" w:eastAsia="Times New Roman" w:hAnsi="Times New Roman"/>
          <w:b w:val="false"/>
          <w:bCs w:val="false"/>
        </w:rPr>
        <w:t>The Error Correction Model shows that the Nigerian stock market takes a moderate pace of 22 percent every year to achieve long-running equilibrium, thus hinting on some efficiency in the market machinery albeit there are no significant relations denoted.</w:t>
      </w:r>
    </w:p>
    <w:p>
      <w:pPr>
        <w:pStyle w:val="style66"/>
        <w:spacing w:lineRule="auto" w:line="360"/>
        <w:jc w:val="both"/>
        <w:rPr>
          <w:rFonts w:ascii="Times New Roman" w:cs="Times New Roman" w:eastAsia="Times New Roman" w:hAnsi="Times New Roman"/>
          <w:b/>
          <w:bCs/>
        </w:rPr>
      </w:pPr>
      <w:r>
        <w:rPr>
          <w:rFonts w:ascii="Times New Roman" w:cs="Times New Roman" w:eastAsia="Times New Roman" w:hAnsi="Times New Roman"/>
          <w:b/>
          <w:bCs/>
        </w:rPr>
        <w:t>5</w:t>
      </w:r>
      <w:r>
        <w:rPr>
          <w:rFonts w:ascii="Times New Roman" w:cs="Times New Roman" w:eastAsia="Times New Roman" w:hAnsi="Times New Roman"/>
          <w:b/>
          <w:bCs/>
          <w:lang w:val="en-US"/>
        </w:rPr>
        <w:t xml:space="preserve">. </w:t>
      </w:r>
      <w:r>
        <w:rPr>
          <w:rFonts w:ascii="Times New Roman" w:cs="Times New Roman" w:eastAsia="Times New Roman" w:hAnsi="Times New Roman"/>
          <w:b/>
          <w:bCs/>
        </w:rPr>
        <w:t xml:space="preserve"> Conclusion</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This paper analyzed the linkage between economic growth and development of stock markets in Nigeria between the year 1999-2023. The results denote that positive correlations do obtain between the indicators of the stock market and the economic growth, but these are not significant. The analysis itself supports the presence of a long-run relationship between the economic growth and stock market development, with unidirectional linkages being present between the stock market indicators and economic growth.</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These insignificant relationships support the view that the Nigerian stock market has not attained to the level that can make major contributions to economic growth. This may be explained by a number of structural and institutional reasons, such as illiquidity of a market, the lack of effective regulation, market depth, and investor confidence.</w:t>
      </w:r>
    </w:p>
    <w:p>
      <w:pPr>
        <w:pStyle w:val="style66"/>
        <w:spacing w:lineRule="auto" w:line="360"/>
        <w:jc w:val="both"/>
        <w:rPr>
          <w:rFonts w:ascii="Times New Roman" w:cs="Times New Roman" w:eastAsia="Times New Roman" w:hAnsi="Times New Roman"/>
          <w:b w:val="false"/>
          <w:bCs w:val="false"/>
        </w:rPr>
      </w:pPr>
      <w:r>
        <w:rPr>
          <w:rFonts w:ascii="Times New Roman" w:cs="Times New Roman" w:eastAsia="Times New Roman" w:hAnsi="Times New Roman"/>
          <w:b w:val="false"/>
          <w:bCs w:val="false"/>
        </w:rPr>
        <w:t>The study has added value to the already existing studies based on the current empirical results of the relationship between stock market and economic growth in Nigeria. The results have significant relevance to policy makers and stakeholders of the Nigerian economy especially as they relate to the fact that more and better efforts are necessary in building and enhancing the infrastructure of the stock market.</w:t>
      </w:r>
    </w:p>
    <w:p>
      <w:pPr>
        <w:pStyle w:val="style66"/>
        <w:spacing w:lineRule="auto" w:line="360"/>
        <w:jc w:val="both"/>
        <w:rPr>
          <w:rFonts w:ascii="Times New Roman" w:cs="Times New Roman" w:eastAsia="Times New Roman" w:hAnsi="Times New Roman"/>
          <w:b w:val="false"/>
          <w:bCs w:val="false"/>
          <w:color w:val="36363d"/>
        </w:rPr>
      </w:pPr>
      <w:r>
        <w:rPr>
          <w:rFonts w:ascii="Times New Roman" w:cs="Times New Roman" w:eastAsia="Times New Roman" w:hAnsi="Times New Roman"/>
          <w:b w:val="false"/>
          <w:bCs w:val="false"/>
          <w:lang w:val="en-US"/>
        </w:rPr>
        <w:t>On the basis of the findings, we recommend that strengthening legal institutions and investor protection mechanisms is critical for deepening the stock market, as these are key legal determinants of external finance (La Porta et al., 1997).</w:t>
      </w:r>
    </w:p>
    <w:p>
      <w:pPr>
        <w:pStyle w:val="style66"/>
        <w:spacing w:lineRule="auto" w:line="360"/>
        <w:jc w:val="both"/>
        <w:rPr>
          <w:rFonts w:ascii="Times New Roman" w:cs="Times New Roman" w:eastAsia="Times New Roman" w:hAnsi="Times New Roman"/>
          <w:b w:val="false"/>
          <w:bCs w:val="false"/>
          <w:color w:val="36363d"/>
        </w:rPr>
      </w:pPr>
    </w:p>
    <w:bookmarkStart w:id="19" w:name="_Hlk190852809"/>
    <w:p>
      <w:pPr>
        <w:pStyle w:val="style0"/>
        <w:jc w:val="both"/>
        <w:rPr>
          <w:b w:val="false"/>
          <w:bCs w:val="false"/>
          <w:highlight w:val="none"/>
        </w:rPr>
      </w:pPr>
      <w:r>
        <w:rPr>
          <w:b w:val="false"/>
          <w:bCs w:val="false"/>
          <w:highlight w:val="none"/>
        </w:rPr>
        <w:t>Disclaimer (Artificial intelligence)</w:t>
      </w:r>
    </w:p>
    <w:p>
      <w:pPr>
        <w:pStyle w:val="style0"/>
        <w:jc w:val="both"/>
        <w:rPr>
          <w:b w:val="false"/>
          <w:bCs w:val="false"/>
          <w:highlight w:val="none"/>
        </w:rPr>
      </w:pPr>
      <w:r>
        <w:rPr>
          <w:b w:val="false"/>
          <w:bCs w:val="false"/>
          <w:highlight w:val="none"/>
        </w:rPr>
        <w:t xml:space="preserve">Option 2: </w:t>
      </w:r>
    </w:p>
    <w:p>
      <w:pPr>
        <w:pStyle w:val="style0"/>
        <w:jc w:val="both"/>
        <w:rPr>
          <w:b w:val="false"/>
          <w:bCs w:val="false"/>
          <w:highlight w:val="none"/>
        </w:rPr>
      </w:pPr>
      <w:r>
        <w:rPr>
          <w:b w:val="false"/>
          <w:bCs w:val="false"/>
          <w:highlight w:val="none"/>
        </w:rPr>
        <w:t>Author(s) hereby declare that generative AI technology was used during the editing of this manuscript to improve language, clarity, and academic phrasing. This assistance was strictly in an advisory and editorial capacity; all ideas, data analysis, results, and intellectual content remain the sole responsibility of the authors.</w:t>
      </w:r>
    </w:p>
    <w:p>
      <w:pPr>
        <w:pStyle w:val="style0"/>
        <w:jc w:val="both"/>
        <w:rPr>
          <w:b w:val="false"/>
          <w:bCs w:val="false"/>
          <w:highlight w:val="none"/>
        </w:rPr>
      </w:pPr>
      <w:r>
        <w:rPr>
          <w:b w:val="false"/>
          <w:bCs w:val="false"/>
          <w:highlight w:val="none"/>
        </w:rPr>
        <w:t>Details of the AI usage are given below:</w:t>
      </w:r>
    </w:p>
    <w:p>
      <w:pPr>
        <w:pStyle w:val="style0"/>
        <w:jc w:val="both"/>
        <w:rPr>
          <w:b w:val="false"/>
          <w:bCs w:val="false"/>
          <w:highlight w:val="none"/>
        </w:rPr>
      </w:pPr>
      <w:r>
        <w:rPr>
          <w:b w:val="false"/>
          <w:bCs w:val="false"/>
          <w:highlight w:val="none"/>
        </w:rPr>
        <w:t>1.</w:t>
      </w:r>
      <w:r>
        <w:rPr>
          <w:b w:val="false"/>
          <w:bCs w:val="false"/>
          <w:highlight w:val="none"/>
          <w:lang w:val="en-US"/>
        </w:rPr>
        <w:t xml:space="preserve"> Technology: A Large Language Model AI assistant.</w:t>
      </w:r>
    </w:p>
    <w:p>
      <w:pPr>
        <w:pStyle w:val="style0"/>
        <w:jc w:val="both"/>
        <w:rPr>
          <w:b w:val="false"/>
          <w:bCs w:val="false"/>
          <w:highlight w:val="none"/>
        </w:rPr>
      </w:pPr>
      <w:r>
        <w:rPr>
          <w:b w:val="false"/>
          <w:bCs w:val="false"/>
          <w:highlight w:val="none"/>
          <w:lang w:val="en-US"/>
        </w:rPr>
        <w:t>2. Purpose of Use: To assist with phrasing and grammar corrections, to suggest revisions for improved academic tone</w:t>
      </w:r>
    </w:p>
    <w:p>
      <w:pPr>
        <w:pStyle w:val="style0"/>
        <w:jc w:val="both"/>
        <w:rPr>
          <w:rFonts w:ascii="Times New Roman" w:cs="Times New Roman" w:eastAsia="Times New Roman" w:hAnsi="Times New Roman"/>
          <w:b w:val="false"/>
          <w:bCs w:val="false"/>
          <w:color w:val="36363d"/>
          <w:highlight w:val="none"/>
        </w:rPr>
      </w:pPr>
      <w:r>
        <w:rPr>
          <w:b w:val="false"/>
          <w:bCs w:val="false"/>
          <w:highlight w:val="none"/>
          <w:lang w:val="en-US"/>
        </w:rPr>
        <w:t>3. Author's Role: The author(s) directed the entire process, reviewed, edited, and approved every change and suggestion made by the AI tool. The core research, data, methodology, findings, and conclusions are entirely the author's own work.</w:t>
      </w:r>
      <w:bookmarkStart w:id="20" w:name="_GoBack"/>
      <w:bookmarkEnd w:id="19"/>
      <w:bookmarkEnd w:id="20"/>
    </w:p>
    <w:p>
      <w:pPr>
        <w:pStyle w:val="style0"/>
        <w:jc w:val="both"/>
        <w:rPr>
          <w:rFonts w:ascii="Times New Roman" w:cs="Times New Roman" w:eastAsia="Times New Roman" w:hAnsi="Times New Roman"/>
          <w:b w:val="false"/>
          <w:bCs w:val="false"/>
          <w:color w:val="36363d"/>
        </w:rPr>
      </w:pPr>
    </w:p>
    <w:bookmarkStart w:id="21" w:name="references"/>
    <w:bookmarkEnd w:id="18"/>
    <w:p>
      <w:pPr>
        <w:pStyle w:val="style4105"/>
        <w:snapToGrid w:val="false"/>
        <w:jc w:val="both"/>
        <w:rPr>
          <w:rFonts w:ascii="Times New Roman" w:cs="Times New Roman" w:eastAsia="Times New Roman" w:hAnsi="Times New Roman"/>
          <w:b/>
          <w:bCs/>
          <w:color w:val="36363d"/>
          <w:sz w:val="20"/>
          <w:szCs w:val="20"/>
        </w:rPr>
      </w:pPr>
      <w:r>
        <w:rPr>
          <w:rFonts w:ascii="Times New Roman" w:cs="Times New Roman" w:eastAsia="Times New Roman" w:hAnsi="Times New Roman"/>
          <w:b/>
          <w:bCs/>
          <w:color w:val="36363d"/>
          <w:sz w:val="20"/>
          <w:szCs w:val="20"/>
        </w:rPr>
        <w:t>References</w:t>
      </w:r>
    </w:p>
    <w:p>
      <w:pPr>
        <w:pStyle w:val="style4098"/>
        <w:snapToGrid w:val="false"/>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b w:val="false"/>
          <w:bCs w:val="false"/>
          <w:color w:val="36363d"/>
          <w:sz w:val="20"/>
          <w:szCs w:val="20"/>
          <w:lang w:val="en-US"/>
        </w:rPr>
        <w:t xml:space="preserve">1. </w:t>
      </w:r>
      <w:r>
        <w:rPr>
          <w:rFonts w:ascii="Times New Roman" w:cs="Times New Roman" w:eastAsia="Times New Roman" w:hAnsi="Times New Roman"/>
          <w:b w:val="false"/>
          <w:bCs w:val="false"/>
          <w:color w:val="36363d"/>
          <w:sz w:val="20"/>
          <w:szCs w:val="20"/>
        </w:rPr>
        <w:t>Arestis, P., Demetriades, P. O., &amp; Luintel, K. B. (2001). Financial development and economic growth: The role of stock markets. Journal of Money, Credit and Banking, 33(1), 16-41. https://doi.org/10.2307/2673870</w:t>
      </w:r>
    </w:p>
    <w:p>
      <w:pPr>
        <w:pStyle w:val="style66"/>
        <w:snapToGrid w:val="false"/>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b w:val="false"/>
          <w:bCs w:val="false"/>
          <w:color w:val="36363d"/>
          <w:sz w:val="20"/>
          <w:szCs w:val="20"/>
          <w:lang w:val="en-US"/>
        </w:rPr>
        <w:t>2. Alile, H. I. (1984). The Nigerian Stock Exchange: Historical Perspective, Operations and Contributions to Economic Development. Central Bank of Nigeria Economic and Financial Review, 22(2), 17-29.</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3. Levine, R., &amp; Zervos, S. (1998). Stock markets, banks, and economic growth. American Economic Review, 88(3), 537–558. https://www.jstor.org/stable/116848</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b w:val="false"/>
          <w:bCs w:val="false"/>
          <w:color w:val="36363d"/>
          <w:sz w:val="20"/>
          <w:szCs w:val="20"/>
          <w:lang w:val="en-US"/>
        </w:rPr>
        <w:t xml:space="preserve">4. </w:t>
      </w: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Adjasi, C. K. D., &amp; Biekpe, N. B. (2006). Stock market development and economic growth: The case of selected African countries. African Development Review, 18(1), 144–161. https://doi.org/10.1111/j.1467-8268.2006.00136.x</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5. Demirgüç-Kunt, A., &amp; Maksimovic, V. (1996). Stock market development and financing choices of firms. The World Bank Economic Review, 10(2), 341–369. https://doi.org/10.1093/wber/10.2.341</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6. Garcia, V. F., &amp; Liu, L. (1999). Macroeconomic determinants of stock market development. Journal of Applied Economics, 2(1), 29–59. https://doi.org/10.1080/15140326.1999.12040536</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7. Naceur, S. B., Ghazouani, S., &amp; Omran, M. (2007). The determinants of stock market development in the Middle Eastern and North African region. Managerial Finance, 33(7), 477–489. https://doi.org/10.1108/03074350710753753</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8. Beck, T., &amp; Levine, R. (2004). Stock markets, banks, and growth: Panel evidence. Journal of Banking &amp; Finance, 28(3), 423–442. https://doi.org/10.1016/S0378-4266(02)00408-9</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9. Rousseau, P. L., &amp; Wachtel, P. (2000). Equity markets and growth: Cross-country evidence on timing and outcomes, 1980–1995. Journal of Banking &amp; Finance, 24(12), 1933–1957. https://doi.org/10.1016/S0378-4266(99)00123-5</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10. Caporale, G. M., Howells, P. G., &amp; Soliman, A. M. (2004). Stock market development and economic growth: The causal linkage. Journal of Economic Development, 29(1), 33–50.</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11. Singh, A. (1997). Financial liberalisation, stock markets and economic development. The Economic Journal, 107(442), 771–782. https://doi.org/10.1111/1468-0297.00201</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12. Mishkin, F. S. (2001). The transmission mechanism and the role of asset prices in monetary policy. NBER Working Paper No. 8617. https://www.nber.org/papers/w8617</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13. La Porta, R., Lopez‐de‐Silanes, F., Shleifer, A., &amp; Vishny, R. W. (1997). Legal determinants of external finance. The Journal of Finance, 52(3), 1131–1150. https://doi.org/10.1111/j.1540-6261.1997.tb02727.x</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14. Engle, R. F., &amp; Granger, C. W. J. (1987). Co-integration and error correction: Representation, estimation, and testing. Econometrica, 55(2), 251–276. https://doi.org/10.2307/1913236</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15. Levine, R. (2005). Finance and growth: Theory and evidence. In P. Aghion &amp; S. N. Durlauf (Eds.), Handbook of Economic Growth (Vol. 1, pp. 865-934). Elsevier. https://doi.org/10.1016/S1574-0684(05)01012-9</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16. Levine, R., &amp; Schmukler, S. L. (2006). Internationalization and stock market liquidity. Review of Finance, 10(1), 153–187. https://doi.org/10.1007/s10679-006-6983-5</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17. Harris, R. D. F. (1997). Stock markets and development: A re-assessment. European Economic Review, 41(1), 139–146. https://doi.org/10.1016/S0014-2921(96)00021-9</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 xml:space="preserve">18. Pan, L., &amp; Mishra, V. (2018). Stock market development and economic growth: Empirical evidence from China. Economic Modelling, 68, 661-673. https://www.sciencedirect.com/science/article/pii/S0264999317310659 </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19. Atje, R., &amp; Jovanovic, B. (1993). Stock markets and development. European Economic Review, 37(2-3), 632–640. https://doi.org/10.1016/0014-2921(93)90053-D</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20. Filer, R. K., Hanousek, J., &amp; Campos, N. F. (2000). Do stock markets promote economic growth? William Davidson Institute Working Paper No. 267. https://deepblue.lib.umich.edu/handle/2027.42/39697</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21. Rosenstein-Rodan, P. N. (1943). Problems of industrialization of eastern and south-eastern Europe. The Economic Journal, 53(210/211), 202–211. https://doi.org/10.2307/2226317</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22. Patrick, H. T. (1966). Financial development and economic growth in underdeveloped countries. Economic Development and Cultural Change, 14(2), 174–189. https://doi.org/10.1086/450153</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23. Pardy, R. (2012). Institutional reform in emerging securities markets. World Bank Policy Research Working Paper No. 907.</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24. Sanusi, L. S. (2010). The Nigerian banking industry: What went wrong and the way forward. Being text of a convocation lecture delivered at Bayero University, Kano.</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r>
        <w:rPr>
          <w:rFonts w:ascii="Times New Roman" w:cs="Times New Roman" w:eastAsia="Times New Roman" w:hAnsi="Times New Roman" w:hint="default"/>
          <w:b w:val="false"/>
          <w:bCs w:val="false"/>
          <w:i w:val="false"/>
          <w:iCs w:val="false"/>
          <w:color w:val="36363d"/>
          <w:sz w:val="24"/>
          <w:szCs w:val="24"/>
          <w:highlight w:val="none"/>
          <w:vertAlign w:val="baseline"/>
          <w:em w:val="none"/>
          <w:lang w:val="en-US" w:eastAsia="en-US"/>
        </w:rPr>
        <w:t>25. Zervos, S., Levine, R., &amp; Beck, T. (1998). Stock markets, banks, and economic growth. American Economic Review, 88(3), 537-558. https://www.jstor.org/stable/116848</w:t>
      </w: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p>
    <w:p>
      <w:pPr>
        <w:pStyle w:val="style0"/>
        <w:snapToGrid w:val="false"/>
        <w:spacing w:before="180" w:after="180" w:lineRule="auto" w:line="240"/>
        <w:jc w:val="left"/>
        <w:rPr>
          <w:rFonts w:ascii="Times New Roman" w:cs="Times New Roman" w:eastAsia="Times New Roman" w:hAnsi="Times New Roman"/>
          <w:b w:val="false"/>
          <w:bCs w:val="false"/>
          <w:color w:val="36363d"/>
          <w:sz w:val="20"/>
          <w:szCs w:val="20"/>
        </w:rPr>
      </w:pPr>
    </w:p>
    <w:bookmarkEnd w:id="1"/>
    <w:bookmarkEnd w:id="21"/>
    <w:p>
      <w:pPr>
        <w:pStyle w:val="style66"/>
        <w:snapToGrid w:val="false"/>
        <w:jc w:val="both"/>
        <w:rPr>
          <w:rFonts w:ascii="Times New Roman" w:cs="Times New Roman" w:eastAsia="Times New Roman" w:hAnsi="Times New Roman"/>
          <w:b w:val="false"/>
          <w:bCs w:val="false"/>
          <w:color w:val="36363d"/>
        </w:rPr>
      </w:pPr>
    </w:p>
    <w:sectPr>
      <w:headerReference w:type="even" r:id="rId2"/>
      <w:headerReference w:type="default" r:id="rId3"/>
      <w:footerReference w:type="even" r:id="rId4"/>
      <w:footerReference w:type="default" r:id="rId5"/>
      <w:headerReference w:type="first" r:id="rId6"/>
      <w:pgSz w:w="11906" w:h="16838"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000030204"/>
    <w:charset w:val="00"/>
    <w:family w:val="roman"/>
    <w:pitch w:val="variable"/>
    <w:sig w:usb0="E00006FF" w:usb1="420024FF" w:usb2="02000000"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onsolas">
    <w:altName w:val="Consolas"/>
    <w:panose1 w:val="020b0609020000030204"/>
    <w:charset w:val="00"/>
    <w:family w:val="modern"/>
    <w:pitch w:val="fixed"/>
    <w:sig w:usb0="E00006FF" w:usb1="0000FCFF" w:usb2="00000001"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20.4pt;height:65.0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mbria&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20.4pt;height:65.0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mbria&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20.4pt;height:65.0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mbria&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8A93AB1"/>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nsid w:val="00000001"/>
    <w:multiLevelType w:val="singleLevel"/>
    <w:tmpl w:val="68A93FAE"/>
    <w:lvl w:ilvl="0">
      <w:start w:val="3"/>
      <w:numFmt w:val="decimal"/>
      <w:lvlText w:val="%1."/>
      <w:lvlJc w:val="left"/>
      <w:pPr/>
    </w:lvl>
  </w:abstractNum>
  <w:abstractNum w:abstractNumId="2">
    <w:nsid w:val="00000002"/>
    <w:multiLevelType w:val="singleLevel"/>
    <w:tmpl w:val="68A93FEA"/>
    <w:lvl w:ilvl="0">
      <w:start w:val="2"/>
      <w:numFmt w:val="decimal"/>
      <w:lvlText w:val="%1."/>
      <w:lvlJc w:val="left"/>
      <w:pPr/>
    </w:lvl>
  </w:abstractNum>
  <w:abstractNum w:abstractNumId="3">
    <w:nsid w:val="00000003"/>
    <w:multiLevelType w:val="singleLevel"/>
    <w:tmpl w:val="68A94032"/>
    <w:lvl w:ilvl="0">
      <w:start w:val="1"/>
      <w:numFmt w:val="decimal"/>
      <w:lvlText w:val="%1."/>
      <w:lvlJc w:val="left"/>
      <w:pPr/>
    </w:lvl>
  </w:abstractNum>
  <w:abstractNum w:abstractNumId="4">
    <w:nsid w:val="00000004"/>
    <w:multiLevelType w:val="multilevel"/>
    <w:tmpl w:val="00000002"/>
    <w:lvl w:ilvl="0">
      <w:start w:val="1"/>
      <w:numFmt w:val="bullet"/>
      <w:lvlText w:val="•"/>
      <w:lvlJc w:val="left"/>
      <w:pPr>
        <w:ind w:left="720" w:hanging="480"/>
      </w:pPr>
    </w:lvl>
    <w:lvl w:ilvl="1">
      <w:start w:val="1"/>
      <w:numFmt w:val="bullet"/>
      <w:lvlText w:val="–"/>
      <w:lvlJc w:val="left"/>
      <w:pPr>
        <w:ind w:left="1440" w:hanging="480"/>
      </w:pPr>
    </w:lvl>
    <w:lvl w:ilvl="2">
      <w:start w:val="1"/>
      <w:numFmt w:val="bullet"/>
      <w:lvlText w:val="•"/>
      <w:lvlJc w:val="left"/>
      <w:pPr>
        <w:ind w:left="2160" w:hanging="480"/>
      </w:pPr>
    </w:lvl>
    <w:lvl w:ilvl="3">
      <w:start w:val="1"/>
      <w:numFmt w:val="bullet"/>
      <w:lvlText w:val="–"/>
      <w:lvlJc w:val="left"/>
      <w:pPr>
        <w:ind w:left="2880" w:hanging="480"/>
      </w:pPr>
    </w:lvl>
    <w:lvl w:ilvl="4">
      <w:start w:val="1"/>
      <w:numFmt w:val="bullet"/>
      <w:lvlText w:val="•"/>
      <w:lvlJc w:val="left"/>
      <w:pPr>
        <w:ind w:left="3600" w:hanging="480"/>
      </w:pPr>
    </w:lvl>
    <w:lvl w:ilvl="5">
      <w:start w:val="1"/>
      <w:numFmt w:val="bullet"/>
      <w:lvlText w:val="–"/>
      <w:lvlJc w:val="left"/>
      <w:pPr>
        <w:ind w:left="4320" w:hanging="480"/>
      </w:pPr>
    </w:lvl>
    <w:lvl w:ilvl="6">
      <w:start w:val="1"/>
      <w:numFmt w:val="bullet"/>
      <w:lvlText w:val="•"/>
      <w:lvlJc w:val="left"/>
      <w:pPr>
        <w:ind w:left="5040" w:hanging="480"/>
      </w:pPr>
    </w:lvl>
    <w:lvl w:ilvl="7">
      <w:start w:val="1"/>
      <w:numFmt w:val="bullet"/>
      <w:lvlText w:val="–"/>
      <w:lvlJc w:val="left"/>
      <w:pPr>
        <w:ind w:left="5760" w:hanging="480"/>
      </w:pPr>
    </w:lvl>
    <w:lvl w:ilvl="8">
      <w:start w:val="1"/>
      <w:numFmt w:val="bullet"/>
      <w:lvlText w:val="•"/>
      <w:lvlJc w:val="left"/>
      <w:pPr>
        <w:ind w:left="6480" w:hanging="4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SimSun" w:eastAsia="Cambria" w:hAnsi="Cambria"/>
        <w:lang w:val="en-GB" w:bidi="ar-SA" w:eastAsia="en-GB"/>
      </w:rPr>
    </w:rPrDefault>
    <w:pPrDefault>
      <w:pPr/>
    </w:pPrDefault>
  </w:docDefaults>
  <w:style w:type="paragraph" w:default="1" w:styleId="style0">
    <w:name w:val="Normal"/>
    <w:next w:val="style0"/>
    <w:qFormat/>
    <w:pPr>
      <w:spacing w:after="200"/>
    </w:pPr>
    <w:rPr>
      <w:sz w:val="24"/>
      <w:szCs w:val="24"/>
      <w:lang w:val="en-US"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84">
    <w:name w:val="Block Text"/>
    <w:basedOn w:val="style66"/>
    <w:next w:val="style66"/>
    <w:qFormat/>
    <w:uiPriority w:val="9"/>
    <w:pPr>
      <w:spacing w:before="100" w:after="100"/>
      <w:ind w:left="480" w:right="480"/>
    </w:pPr>
    <w:rPr/>
  </w:style>
  <w:style w:type="paragraph" w:styleId="style66">
    <w:name w:val="Body Text"/>
    <w:basedOn w:val="style0"/>
    <w:next w:val="style66"/>
    <w:link w:val="style4097"/>
    <w:qFormat/>
    <w:pPr>
      <w:spacing w:before="180" w:after="180"/>
    </w:pPr>
    <w:rPr/>
  </w:style>
  <w:style w:type="paragraph" w:styleId="style76">
    <w:name w:val="Date"/>
    <w:next w:val="style66"/>
    <w:qFormat/>
    <w:pPr>
      <w:keepNext/>
      <w:keepLines/>
      <w:spacing w:after="200"/>
      <w:jc w:val="center"/>
    </w:pPr>
    <w:rPr>
      <w:sz w:val="24"/>
      <w:szCs w:val="24"/>
      <w:lang w:val="en-US" w:eastAsia="en-US"/>
    </w:rPr>
  </w:style>
  <w:style w:type="paragraph" w:styleId="style74">
    <w:name w:val="Subtitle"/>
    <w:basedOn w:val="style62"/>
    <w:next w:val="style66"/>
    <w:qFormat/>
    <w:uiPriority w:val="11"/>
    <w:pPr>
      <w:spacing w:before="240"/>
    </w:pPr>
    <w:rPr>
      <w:sz w:val="30"/>
      <w:szCs w:val="30"/>
    </w:rPr>
  </w:style>
  <w:style w:type="paragraph" w:styleId="style62">
    <w:name w:val="Title"/>
    <w:basedOn w:val="style0"/>
    <w:next w:val="style66"/>
    <w:qFormat/>
    <w:uiPriority w:val="10"/>
    <w:pPr>
      <w:keepNext/>
      <w:keepLines/>
      <w:spacing w:before="480" w:after="240"/>
      <w:jc w:val="center"/>
    </w:pPr>
    <w:rPr>
      <w:rFonts w:ascii="Calibri" w:eastAsia="SimSun" w:hAnsi="Calibri"/>
      <w:b/>
      <w:bCs/>
      <w:color w:val="345a8a"/>
      <w:sz w:val="36"/>
      <w:szCs w:val="36"/>
    </w:rPr>
  </w:style>
  <w:style w:type="character" w:styleId="style85">
    <w:name w:val="Hyperlink"/>
    <w:basedOn w:val="style4097"/>
    <w:next w:val="style85"/>
    <w:rPr>
      <w:color w:val="4f81bd"/>
    </w:rPr>
  </w:style>
  <w:style w:type="character" w:customStyle="1" w:styleId="style4097">
    <w:name w:val="Body Text Char"/>
    <w:basedOn w:val="style65"/>
    <w:next w:val="style4097"/>
    <w:link w:val="style66"/>
  </w:style>
  <w:style w:type="paragraph" w:customStyle="1" w:styleId="style4098">
    <w:name w:val="First Paragraph"/>
    <w:basedOn w:val="style66"/>
    <w:next w:val="style66"/>
    <w:qFormat/>
    <w:pPr/>
  </w:style>
  <w:style w:type="paragraph" w:customStyle="1" w:styleId="style4099">
    <w:name w:val="Compact"/>
    <w:basedOn w:val="style66"/>
    <w:next w:val="style4099"/>
    <w:qFormat/>
    <w:pPr>
      <w:spacing w:before="36" w:after="36"/>
    </w:pPr>
    <w:rPr/>
  </w:style>
  <w:style w:type="paragraph" w:customStyle="1" w:styleId="style4100">
    <w:name w:val="Author"/>
    <w:next w:val="style66"/>
    <w:qFormat/>
    <w:pPr>
      <w:keepNext/>
      <w:keepLines/>
      <w:spacing w:after="200"/>
      <w:jc w:val="center"/>
    </w:pPr>
    <w:rPr>
      <w:sz w:val="24"/>
      <w:szCs w:val="24"/>
      <w:lang w:val="en-US" w:eastAsia="en-US"/>
    </w:rPr>
  </w:style>
  <w:style w:type="paragraph" w:customStyle="1" w:styleId="style4101">
    <w:name w:val="Abstract Title"/>
    <w:basedOn w:val="style0"/>
    <w:next w:val="style4102"/>
    <w:qFormat/>
    <w:pPr>
      <w:keepNext/>
      <w:keepLines/>
      <w:spacing w:before="300" w:after="0"/>
      <w:jc w:val="center"/>
    </w:pPr>
    <w:rPr>
      <w:b/>
      <w:color w:val="345a8a"/>
      <w:sz w:val="20"/>
      <w:szCs w:val="20"/>
    </w:rPr>
  </w:style>
  <w:style w:type="paragraph" w:customStyle="1" w:styleId="style4102">
    <w:name w:val="Abstract"/>
    <w:basedOn w:val="style0"/>
    <w:next w:val="style66"/>
    <w:qFormat/>
    <w:pPr>
      <w:keepNext/>
      <w:keepLines/>
      <w:spacing w:before="100" w:after="300"/>
    </w:pPr>
    <w:rPr>
      <w:sz w:val="20"/>
      <w:szCs w:val="20"/>
    </w:rPr>
  </w:style>
  <w:style w:type="paragraph" w:customStyle="1" w:styleId="style4103">
    <w:name w:val="Bibliography_25f60215-1516-4baf-80dc-309dfa11b988"/>
    <w:basedOn w:val="style0"/>
    <w:next w:val="style4103"/>
    <w:qFormat/>
    <w:pPr/>
  </w:style>
  <w:style w:type="paragraph" w:customStyle="1" w:styleId="style4104">
    <w:name w:val="Heading 11"/>
    <w:basedOn w:val="style0"/>
    <w:next w:val="style66"/>
    <w:qFormat/>
    <w:uiPriority w:val="9"/>
    <w:pPr>
      <w:keepNext/>
      <w:keepLines/>
      <w:spacing w:before="480" w:after="0"/>
      <w:outlineLvl w:val="0"/>
    </w:pPr>
    <w:rPr>
      <w:rFonts w:ascii="Calibri" w:eastAsia="SimSun" w:hAnsi="Calibri"/>
      <w:b/>
      <w:bCs/>
      <w:color w:val="4f81bd"/>
      <w:sz w:val="32"/>
      <w:szCs w:val="32"/>
    </w:rPr>
  </w:style>
  <w:style w:type="paragraph" w:customStyle="1" w:styleId="style4105">
    <w:name w:val="Heading 21"/>
    <w:basedOn w:val="style0"/>
    <w:next w:val="style66"/>
    <w:qFormat/>
    <w:uiPriority w:val="9"/>
    <w:pPr>
      <w:keepNext/>
      <w:keepLines/>
      <w:spacing w:before="200" w:after="0"/>
      <w:outlineLvl w:val="1"/>
    </w:pPr>
    <w:rPr>
      <w:rFonts w:ascii="Calibri" w:eastAsia="SimSun" w:hAnsi="Calibri"/>
      <w:b/>
      <w:bCs/>
      <w:color w:val="4f81bd"/>
      <w:sz w:val="28"/>
      <w:szCs w:val="28"/>
    </w:rPr>
  </w:style>
  <w:style w:type="paragraph" w:customStyle="1" w:styleId="style4106">
    <w:name w:val="Heading 31"/>
    <w:basedOn w:val="style0"/>
    <w:next w:val="style66"/>
    <w:qFormat/>
    <w:uiPriority w:val="9"/>
    <w:pPr>
      <w:keepNext/>
      <w:keepLines/>
      <w:spacing w:before="200" w:after="0"/>
      <w:outlineLvl w:val="2"/>
    </w:pPr>
    <w:rPr>
      <w:rFonts w:ascii="Calibri" w:eastAsia="SimSun" w:hAnsi="Calibri"/>
      <w:b/>
      <w:bCs/>
      <w:color w:val="4f81bd"/>
    </w:rPr>
  </w:style>
  <w:style w:type="paragraph" w:customStyle="1" w:styleId="style4107">
    <w:name w:val="Heading 41"/>
    <w:basedOn w:val="style0"/>
    <w:next w:val="style66"/>
    <w:qFormat/>
    <w:uiPriority w:val="9"/>
    <w:pPr>
      <w:keepNext/>
      <w:keepLines/>
      <w:spacing w:before="200" w:after="0"/>
      <w:outlineLvl w:val="3"/>
    </w:pPr>
    <w:rPr>
      <w:rFonts w:ascii="Calibri" w:eastAsia="SimSun" w:hAnsi="Calibri"/>
      <w:bCs/>
      <w:i/>
      <w:color w:val="4f81bd"/>
    </w:rPr>
  </w:style>
  <w:style w:type="paragraph" w:customStyle="1" w:styleId="style4108">
    <w:name w:val="Heading 51"/>
    <w:basedOn w:val="style0"/>
    <w:next w:val="style66"/>
    <w:qFormat/>
    <w:uiPriority w:val="9"/>
    <w:pPr>
      <w:keepNext/>
      <w:keepLines/>
      <w:spacing w:before="200" w:after="0"/>
      <w:outlineLvl w:val="4"/>
    </w:pPr>
    <w:rPr>
      <w:rFonts w:ascii="Calibri" w:eastAsia="SimSun" w:hAnsi="Calibri"/>
      <w:iCs/>
      <w:color w:val="4f81bd"/>
    </w:rPr>
  </w:style>
  <w:style w:type="paragraph" w:customStyle="1" w:styleId="style4109">
    <w:name w:val="Heading 61"/>
    <w:basedOn w:val="style0"/>
    <w:next w:val="style66"/>
    <w:qFormat/>
    <w:uiPriority w:val="9"/>
    <w:pPr>
      <w:keepNext/>
      <w:keepLines/>
      <w:spacing w:before="200" w:after="0"/>
      <w:outlineLvl w:val="5"/>
    </w:pPr>
    <w:rPr>
      <w:rFonts w:ascii="Calibri" w:eastAsia="SimSun" w:hAnsi="Calibri"/>
      <w:color w:val="4f81bd"/>
    </w:rPr>
  </w:style>
  <w:style w:type="paragraph" w:customStyle="1" w:styleId="style4110">
    <w:name w:val="Heading 71"/>
    <w:basedOn w:val="style0"/>
    <w:next w:val="style66"/>
    <w:qFormat/>
    <w:uiPriority w:val="9"/>
    <w:pPr>
      <w:keepNext/>
      <w:keepLines/>
      <w:spacing w:before="200" w:after="0"/>
      <w:outlineLvl w:val="6"/>
    </w:pPr>
    <w:rPr>
      <w:rFonts w:ascii="Calibri" w:eastAsia="SimSun" w:hAnsi="Calibri"/>
      <w:color w:val="4f81bd"/>
    </w:rPr>
  </w:style>
  <w:style w:type="paragraph" w:customStyle="1" w:styleId="style4111">
    <w:name w:val="Heading 81"/>
    <w:basedOn w:val="style0"/>
    <w:next w:val="style66"/>
    <w:qFormat/>
    <w:uiPriority w:val="9"/>
    <w:pPr>
      <w:keepNext/>
      <w:keepLines/>
      <w:spacing w:before="200" w:after="0"/>
      <w:outlineLvl w:val="7"/>
    </w:pPr>
    <w:rPr>
      <w:rFonts w:ascii="Calibri" w:eastAsia="SimSun" w:hAnsi="Calibri"/>
      <w:color w:val="4f81bd"/>
    </w:rPr>
  </w:style>
  <w:style w:type="paragraph" w:customStyle="1" w:styleId="style4112">
    <w:name w:val="Heading 91"/>
    <w:basedOn w:val="style0"/>
    <w:next w:val="style66"/>
    <w:qFormat/>
    <w:uiPriority w:val="9"/>
    <w:pPr>
      <w:keepNext/>
      <w:keepLines/>
      <w:spacing w:before="200" w:after="0"/>
      <w:outlineLvl w:val="8"/>
    </w:pPr>
    <w:rPr>
      <w:rFonts w:ascii="Calibri" w:eastAsia="SimSun" w:hAnsi="Calibri"/>
      <w:color w:val="4f81bd"/>
    </w:rPr>
  </w:style>
  <w:style w:type="paragraph" w:customStyle="1" w:styleId="style4113">
    <w:name w:val="Footnote Text1"/>
    <w:basedOn w:val="style0"/>
    <w:next w:val="style4113"/>
    <w:qFormat/>
    <w:uiPriority w:val="9"/>
    <w:pPr/>
  </w:style>
  <w:style w:type="table" w:customStyle="1" w:styleId="style4114">
    <w:name w:val="Table"/>
    <w:next w:val="style4114"/>
    <w:qFormat/>
    <w:pPr/>
    <w:rPr/>
    <w:tblPr>
      <w:tblCellMar>
        <w:top w:w="0" w:type="dxa"/>
        <w:left w:w="108" w:type="dxa"/>
        <w:bottom w:w="0" w:type="dxa"/>
        <w:right w:w="108" w:type="dxa"/>
      </w:tblCellMar>
    </w:tblPr>
    <w:tblStylePr w:type="firstRow">
      <w:pPr/>
      <w:tblPr/>
      <w:tcPr>
        <w:tcBorders>
          <w:bottom w:val="single" w:sz="4" w:space="0" w:color="auto"/>
        </w:tcBorders>
        <w:vAlign w:val="bottom"/>
      </w:tcPr>
    </w:tblStylePr>
    <w:tcPr>
      <w:tcBorders/>
    </w:tcPr>
  </w:style>
  <w:style w:type="paragraph" w:customStyle="1" w:styleId="style4115">
    <w:name w:val="Definition Term"/>
    <w:basedOn w:val="style0"/>
    <w:next w:val="style4116"/>
    <w:pPr>
      <w:keepNext/>
      <w:keepLines/>
      <w:spacing w:after="0"/>
    </w:pPr>
    <w:rPr>
      <w:b/>
    </w:rPr>
  </w:style>
  <w:style w:type="paragraph" w:customStyle="1" w:styleId="style4116">
    <w:name w:val="Definition"/>
    <w:basedOn w:val="style0"/>
    <w:next w:val="style4116"/>
    <w:pPr/>
  </w:style>
  <w:style w:type="paragraph" w:customStyle="1" w:styleId="style4117">
    <w:name w:val="Caption1"/>
    <w:basedOn w:val="style0"/>
    <w:next w:val="style4117"/>
    <w:pPr>
      <w:spacing w:after="120"/>
    </w:pPr>
    <w:rPr>
      <w:i/>
    </w:rPr>
  </w:style>
  <w:style w:type="paragraph" w:customStyle="1" w:styleId="style4118">
    <w:name w:val="Table Caption"/>
    <w:basedOn w:val="style4117"/>
    <w:next w:val="style4118"/>
    <w:pPr>
      <w:keepNext/>
    </w:pPr>
    <w:rPr/>
  </w:style>
  <w:style w:type="paragraph" w:customStyle="1" w:styleId="style4119">
    <w:name w:val="Image Caption"/>
    <w:basedOn w:val="style4117"/>
    <w:next w:val="style4119"/>
    <w:pPr/>
  </w:style>
  <w:style w:type="paragraph" w:customStyle="1" w:styleId="style4120">
    <w:name w:val="Figure"/>
    <w:basedOn w:val="style0"/>
    <w:next w:val="style4120"/>
    <w:pPr/>
  </w:style>
  <w:style w:type="paragraph" w:customStyle="1" w:styleId="style4121">
    <w:name w:val="Captioned Figure"/>
    <w:basedOn w:val="style4120"/>
    <w:next w:val="style4121"/>
    <w:pPr>
      <w:keepNext/>
    </w:pPr>
    <w:rPr/>
  </w:style>
  <w:style w:type="character" w:customStyle="1" w:styleId="style4122">
    <w:name w:val="Verbatim Char"/>
    <w:basedOn w:val="style4097"/>
    <w:next w:val="style4122"/>
    <w:link w:val="style4123"/>
    <w:rPr>
      <w:rFonts w:ascii="Consolas" w:hAnsi="Consolas"/>
      <w:sz w:val="22"/>
    </w:rPr>
  </w:style>
  <w:style w:type="paragraph" w:customStyle="1" w:styleId="style4123">
    <w:name w:val="Source Code"/>
    <w:basedOn w:val="style0"/>
    <w:next w:val="style4123"/>
    <w:link w:val="style4122"/>
    <w:pPr>
      <w:wordWrap w:val="false"/>
    </w:pPr>
    <w:rPr/>
  </w:style>
  <w:style w:type="character" w:customStyle="1" w:styleId="style4124">
    <w:name w:val="Section Number"/>
    <w:basedOn w:val="style4097"/>
    <w:next w:val="style4124"/>
  </w:style>
  <w:style w:type="character" w:customStyle="1" w:styleId="style4125">
    <w:name w:val="Footnote Reference1"/>
    <w:basedOn w:val="style4097"/>
    <w:next w:val="style4125"/>
    <w:rPr>
      <w:vertAlign w:val="superscript"/>
    </w:rPr>
  </w:style>
  <w:style w:type="paragraph" w:customStyle="1" w:styleId="style4126">
    <w:name w:val="TOC Heading_75f0df20-fd40-473d-8ace-66340ab5a8db"/>
    <w:basedOn w:val="style4104"/>
    <w:next w:val="style66"/>
    <w:qFormat/>
    <w:uiPriority w:val="39"/>
    <w:pPr>
      <w:spacing w:before="240" w:lineRule="auto" w:line="259"/>
      <w:outlineLvl w:val="9"/>
    </w:pPr>
    <w:rPr>
      <w:b w:val="false"/>
      <w:bCs w:val="false"/>
      <w:color w:val="365f91"/>
    </w:rPr>
  </w:style>
  <w:style w:type="character" w:customStyle="1" w:styleId="style4127">
    <w:name w:val="KeywordTok"/>
    <w:basedOn w:val="style4122"/>
    <w:next w:val="style4127"/>
    <w:rPr>
      <w:rFonts w:ascii="Consolas" w:hAnsi="Consolas"/>
      <w:b/>
      <w:color w:val="007020"/>
      <w:sz w:val="22"/>
    </w:rPr>
  </w:style>
  <w:style w:type="character" w:customStyle="1" w:styleId="style4128">
    <w:name w:val="DataTypeTok"/>
    <w:basedOn w:val="style4122"/>
    <w:next w:val="style4128"/>
    <w:rPr>
      <w:rFonts w:ascii="Consolas" w:hAnsi="Consolas"/>
      <w:color w:val="902000"/>
      <w:sz w:val="22"/>
    </w:rPr>
  </w:style>
  <w:style w:type="character" w:customStyle="1" w:styleId="style4129">
    <w:name w:val="DecValTok"/>
    <w:basedOn w:val="style4122"/>
    <w:next w:val="style4129"/>
    <w:rPr>
      <w:rFonts w:ascii="Consolas" w:hAnsi="Consolas"/>
      <w:color w:val="40a070"/>
      <w:sz w:val="22"/>
    </w:rPr>
  </w:style>
  <w:style w:type="character" w:customStyle="1" w:styleId="style4130">
    <w:name w:val="BaseNTok"/>
    <w:basedOn w:val="style4122"/>
    <w:next w:val="style4130"/>
    <w:rPr>
      <w:rFonts w:ascii="Consolas" w:hAnsi="Consolas"/>
      <w:color w:val="40a070"/>
      <w:sz w:val="22"/>
    </w:rPr>
  </w:style>
  <w:style w:type="character" w:customStyle="1" w:styleId="style4131">
    <w:name w:val="FloatTok"/>
    <w:basedOn w:val="style4122"/>
    <w:next w:val="style4131"/>
    <w:rPr>
      <w:rFonts w:ascii="Consolas" w:hAnsi="Consolas"/>
      <w:color w:val="40a070"/>
      <w:sz w:val="22"/>
    </w:rPr>
  </w:style>
  <w:style w:type="character" w:customStyle="1" w:styleId="style4132">
    <w:name w:val="ConstantTok"/>
    <w:basedOn w:val="style4122"/>
    <w:next w:val="style4132"/>
    <w:rPr>
      <w:rFonts w:ascii="Consolas" w:hAnsi="Consolas"/>
      <w:color w:val="880000"/>
      <w:sz w:val="22"/>
    </w:rPr>
  </w:style>
  <w:style w:type="character" w:customStyle="1" w:styleId="style4133">
    <w:name w:val="CharTok"/>
    <w:basedOn w:val="style4122"/>
    <w:next w:val="style4133"/>
    <w:rPr>
      <w:rFonts w:ascii="Consolas" w:hAnsi="Consolas"/>
      <w:color w:val="4070a0"/>
      <w:sz w:val="22"/>
    </w:rPr>
  </w:style>
  <w:style w:type="character" w:customStyle="1" w:styleId="style4134">
    <w:name w:val="SpecialCharTok"/>
    <w:basedOn w:val="style4122"/>
    <w:next w:val="style4134"/>
    <w:rPr>
      <w:rFonts w:ascii="Consolas" w:hAnsi="Consolas"/>
      <w:color w:val="4070a0"/>
      <w:sz w:val="22"/>
    </w:rPr>
  </w:style>
  <w:style w:type="character" w:customStyle="1" w:styleId="style4135">
    <w:name w:val="StringTok"/>
    <w:basedOn w:val="style4122"/>
    <w:next w:val="style4135"/>
    <w:rPr>
      <w:rFonts w:ascii="Consolas" w:hAnsi="Consolas"/>
      <w:color w:val="4070a0"/>
      <w:sz w:val="22"/>
    </w:rPr>
  </w:style>
  <w:style w:type="character" w:customStyle="1" w:styleId="style4136">
    <w:name w:val="VerbatimStringTok"/>
    <w:basedOn w:val="style4122"/>
    <w:next w:val="style4136"/>
    <w:rPr>
      <w:rFonts w:ascii="Consolas" w:hAnsi="Consolas"/>
      <w:color w:val="4070a0"/>
      <w:sz w:val="22"/>
    </w:rPr>
  </w:style>
  <w:style w:type="character" w:customStyle="1" w:styleId="style4137">
    <w:name w:val="SpecialStringTok"/>
    <w:basedOn w:val="style4122"/>
    <w:next w:val="style4137"/>
    <w:rPr>
      <w:rFonts w:ascii="Consolas" w:hAnsi="Consolas"/>
      <w:color w:val="bb6688"/>
      <w:sz w:val="22"/>
    </w:rPr>
  </w:style>
  <w:style w:type="character" w:customStyle="1" w:styleId="style4138">
    <w:name w:val="ImportTok"/>
    <w:basedOn w:val="style4122"/>
    <w:next w:val="style4138"/>
    <w:rPr>
      <w:rFonts w:ascii="Consolas" w:hAnsi="Consolas"/>
      <w:b/>
      <w:color w:val="008000"/>
      <w:sz w:val="22"/>
    </w:rPr>
  </w:style>
  <w:style w:type="character" w:customStyle="1" w:styleId="style4139">
    <w:name w:val="CommentTok"/>
    <w:basedOn w:val="style4122"/>
    <w:next w:val="style4139"/>
    <w:rPr>
      <w:rFonts w:ascii="Consolas" w:hAnsi="Consolas"/>
      <w:i/>
      <w:color w:val="60a0b0"/>
      <w:sz w:val="22"/>
    </w:rPr>
  </w:style>
  <w:style w:type="character" w:customStyle="1" w:styleId="style4140">
    <w:name w:val="DocumentationTok"/>
    <w:basedOn w:val="style4122"/>
    <w:next w:val="style4140"/>
    <w:rPr>
      <w:rFonts w:ascii="Consolas" w:hAnsi="Consolas"/>
      <w:i/>
      <w:color w:val="ba2121"/>
      <w:sz w:val="22"/>
    </w:rPr>
  </w:style>
  <w:style w:type="character" w:customStyle="1" w:styleId="style4141">
    <w:name w:val="AnnotationTok"/>
    <w:basedOn w:val="style4122"/>
    <w:next w:val="style4141"/>
    <w:rPr>
      <w:rFonts w:ascii="Consolas" w:hAnsi="Consolas"/>
      <w:b/>
      <w:i/>
      <w:color w:val="60a0b0"/>
      <w:sz w:val="22"/>
    </w:rPr>
  </w:style>
  <w:style w:type="character" w:customStyle="1" w:styleId="style4142">
    <w:name w:val="CommentVarTok"/>
    <w:basedOn w:val="style4122"/>
    <w:next w:val="style4142"/>
    <w:rPr>
      <w:rFonts w:ascii="Consolas" w:hAnsi="Consolas"/>
      <w:b/>
      <w:i/>
      <w:color w:val="60a0b0"/>
      <w:sz w:val="22"/>
    </w:rPr>
  </w:style>
  <w:style w:type="character" w:customStyle="1" w:styleId="style4143">
    <w:name w:val="OtherTok"/>
    <w:basedOn w:val="style4122"/>
    <w:next w:val="style4143"/>
    <w:rPr>
      <w:rFonts w:ascii="Consolas" w:hAnsi="Consolas"/>
      <w:color w:val="007020"/>
      <w:sz w:val="22"/>
    </w:rPr>
  </w:style>
  <w:style w:type="character" w:customStyle="1" w:styleId="style4144">
    <w:name w:val="FunctionTok"/>
    <w:basedOn w:val="style4122"/>
    <w:next w:val="style4144"/>
    <w:rPr>
      <w:rFonts w:ascii="Consolas" w:hAnsi="Consolas"/>
      <w:color w:val="06287e"/>
      <w:sz w:val="22"/>
    </w:rPr>
  </w:style>
  <w:style w:type="character" w:customStyle="1" w:styleId="style4145">
    <w:name w:val="VariableTok"/>
    <w:basedOn w:val="style4122"/>
    <w:next w:val="style4145"/>
    <w:rPr>
      <w:rFonts w:ascii="Consolas" w:hAnsi="Consolas"/>
      <w:color w:val="19177c"/>
      <w:sz w:val="22"/>
    </w:rPr>
  </w:style>
  <w:style w:type="character" w:customStyle="1" w:styleId="style4146">
    <w:name w:val="ControlFlowTok"/>
    <w:basedOn w:val="style4122"/>
    <w:next w:val="style4146"/>
    <w:rPr>
      <w:rFonts w:ascii="Consolas" w:hAnsi="Consolas"/>
      <w:b/>
      <w:color w:val="007020"/>
      <w:sz w:val="22"/>
    </w:rPr>
  </w:style>
  <w:style w:type="character" w:customStyle="1" w:styleId="style4147">
    <w:name w:val="OperatorTok"/>
    <w:basedOn w:val="style4122"/>
    <w:next w:val="style4147"/>
    <w:rPr>
      <w:rFonts w:ascii="Consolas" w:hAnsi="Consolas"/>
      <w:color w:val="666666"/>
      <w:sz w:val="22"/>
    </w:rPr>
  </w:style>
  <w:style w:type="character" w:customStyle="1" w:styleId="style4148">
    <w:name w:val="BuiltInTok"/>
    <w:basedOn w:val="style4122"/>
    <w:next w:val="style4148"/>
    <w:rPr>
      <w:rFonts w:ascii="Consolas" w:hAnsi="Consolas"/>
      <w:color w:val="008000"/>
      <w:sz w:val="22"/>
    </w:rPr>
  </w:style>
  <w:style w:type="character" w:customStyle="1" w:styleId="style4149">
    <w:name w:val="ExtensionTok"/>
    <w:basedOn w:val="style4122"/>
    <w:next w:val="style4149"/>
    <w:rPr>
      <w:rFonts w:ascii="Consolas" w:hAnsi="Consolas"/>
      <w:sz w:val="22"/>
    </w:rPr>
  </w:style>
  <w:style w:type="character" w:customStyle="1" w:styleId="style4150">
    <w:name w:val="PreprocessorTok"/>
    <w:basedOn w:val="style4122"/>
    <w:next w:val="style4150"/>
    <w:rPr>
      <w:rFonts w:ascii="Consolas" w:hAnsi="Consolas"/>
      <w:color w:val="bc7a00"/>
      <w:sz w:val="22"/>
    </w:rPr>
  </w:style>
  <w:style w:type="character" w:customStyle="1" w:styleId="style4151">
    <w:name w:val="AttributeTok"/>
    <w:basedOn w:val="style4122"/>
    <w:next w:val="style4151"/>
    <w:rPr>
      <w:rFonts w:ascii="Consolas" w:hAnsi="Consolas"/>
      <w:color w:val="7d9029"/>
      <w:sz w:val="22"/>
    </w:rPr>
  </w:style>
  <w:style w:type="character" w:customStyle="1" w:styleId="style4152">
    <w:name w:val="RegionMarkerTok"/>
    <w:basedOn w:val="style4122"/>
    <w:next w:val="style4152"/>
    <w:rPr>
      <w:rFonts w:ascii="Consolas" w:hAnsi="Consolas"/>
      <w:sz w:val="22"/>
    </w:rPr>
  </w:style>
  <w:style w:type="character" w:customStyle="1" w:styleId="style4153">
    <w:name w:val="InformationTok"/>
    <w:basedOn w:val="style4122"/>
    <w:next w:val="style4153"/>
    <w:rPr>
      <w:rFonts w:ascii="Consolas" w:hAnsi="Consolas"/>
      <w:b/>
      <w:i/>
      <w:color w:val="60a0b0"/>
      <w:sz w:val="22"/>
    </w:rPr>
  </w:style>
  <w:style w:type="character" w:customStyle="1" w:styleId="style4154">
    <w:name w:val="WarningTok"/>
    <w:basedOn w:val="style4122"/>
    <w:next w:val="style4154"/>
    <w:rPr>
      <w:rFonts w:ascii="Consolas" w:hAnsi="Consolas"/>
      <w:b/>
      <w:i/>
      <w:color w:val="60a0b0"/>
      <w:sz w:val="22"/>
    </w:rPr>
  </w:style>
  <w:style w:type="character" w:customStyle="1" w:styleId="style4155">
    <w:name w:val="AlertTok"/>
    <w:basedOn w:val="style4122"/>
    <w:next w:val="style4155"/>
    <w:rPr>
      <w:rFonts w:ascii="Consolas" w:hAnsi="Consolas"/>
      <w:b/>
      <w:color w:val="ff0000"/>
      <w:sz w:val="22"/>
    </w:rPr>
  </w:style>
  <w:style w:type="character" w:customStyle="1" w:styleId="style4156">
    <w:name w:val="ErrorTok"/>
    <w:basedOn w:val="style4122"/>
    <w:next w:val="style4156"/>
    <w:rPr>
      <w:rFonts w:ascii="Consolas" w:hAnsi="Consolas"/>
      <w:b/>
      <w:color w:val="ff0000"/>
      <w:sz w:val="22"/>
    </w:rPr>
  </w:style>
  <w:style w:type="character" w:customStyle="1" w:styleId="style4157">
    <w:name w:val="NormalTok"/>
    <w:basedOn w:val="style4122"/>
    <w:next w:val="style4157"/>
    <w:rPr>
      <w:rFonts w:ascii="Consolas" w:hAnsi="Consolas"/>
      <w:sz w:val="22"/>
    </w:rPr>
  </w:style>
  <w:style w:type="character" w:customStyle="1" w:styleId="style4158">
    <w:name w:val="Unresolved Mention"/>
    <w:basedOn w:val="style65"/>
    <w:next w:val="style4158"/>
    <w:uiPriority w:val="99"/>
    <w:rPr>
      <w:color w:val="605e5c"/>
      <w:shd w:val="clear" w:color="auto" w:fill="e1dfdd"/>
    </w:rPr>
  </w:style>
  <w:style w:type="paragraph" w:styleId="style31">
    <w:name w:val="header"/>
    <w:basedOn w:val="style0"/>
    <w:next w:val="style31"/>
    <w:link w:val="style4159"/>
    <w:uiPriority w:val="99"/>
    <w:pPr>
      <w:tabs>
        <w:tab w:val="center" w:leader="none" w:pos="4680"/>
        <w:tab w:val="right" w:leader="none" w:pos="9360"/>
      </w:tabs>
      <w:spacing w:after="0"/>
    </w:pPr>
    <w:rPr/>
  </w:style>
  <w:style w:type="character" w:customStyle="1" w:styleId="style4159">
    <w:name w:val="Header Char_9e8e2140-d63d-4ae0-841d-1a435ce1d2f4"/>
    <w:basedOn w:val="style65"/>
    <w:next w:val="style4159"/>
    <w:link w:val="style31"/>
    <w:uiPriority w:val="99"/>
    <w:rPr>
      <w:sz w:val="24"/>
      <w:szCs w:val="24"/>
      <w:lang w:val="en-US" w:eastAsia="en-US"/>
    </w:rPr>
  </w:style>
  <w:style w:type="paragraph" w:styleId="style32">
    <w:name w:val="footer"/>
    <w:basedOn w:val="style0"/>
    <w:next w:val="style32"/>
    <w:link w:val="style4160"/>
    <w:uiPriority w:val="99"/>
    <w:pPr>
      <w:tabs>
        <w:tab w:val="center" w:leader="none" w:pos="4680"/>
        <w:tab w:val="right" w:leader="none" w:pos="9360"/>
      </w:tabs>
      <w:spacing w:after="0"/>
    </w:pPr>
    <w:rPr/>
  </w:style>
  <w:style w:type="character" w:customStyle="1" w:styleId="style4160">
    <w:name w:val="Footer Char_26d9f614-c727-4a9e-bff7-27b62f437f81"/>
    <w:basedOn w:val="style65"/>
    <w:next w:val="style4160"/>
    <w:link w:val="style32"/>
    <w:uiPriority w:val="99"/>
    <w:rPr>
      <w:sz w:val="24"/>
      <w:szCs w:val="24"/>
      <w:lang w:val="en-US"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Words>5002</Words>
  <Pages>19</Pages>
  <Characters>29633</Characters>
  <Application>WPS Office</Application>
  <DocSecurity>0</DocSecurity>
  <Paragraphs>748</Paragraphs>
  <ScaleCrop>false</ScaleCrop>
  <LinksUpToDate>false</LinksUpToDate>
  <CharactersWithSpaces>34011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1970-01-01T01:00:00Z</dcterms:created>
  <dc:creator>WPS Office</dc:creator>
  <lastModifiedBy>itel A671L</lastModifiedBy>
  <dcterms:modified xsi:type="dcterms:W3CDTF">2025-09-26T23:07:29Z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c419440b1f3b447994c13a4d0a5b9c1d</vt:lpwstr>
  </property>
  <property fmtid="{D5CDD505-2E9C-101B-9397-08002B2CF9AE}" pid="3" name="KSOProductBuildVer">
    <vt:lpwstr>3081-11.35.00</vt:lpwstr>
  </property>
</Properties>
</file>