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A907C0" w14:textId="77777777" w:rsidR="004B43EE" w:rsidRDefault="004B43EE" w:rsidP="004B43EE">
      <w:pPr>
        <w:jc w:val="both"/>
        <w:rPr>
          <w:b/>
          <w:bCs/>
        </w:rPr>
      </w:pPr>
      <w:r w:rsidRPr="00290626">
        <w:rPr>
          <w:b/>
          <w:bCs/>
        </w:rPr>
        <w:t>The Lasting Effects of R&amp;D Support on Tech</w:t>
      </w:r>
      <w:r>
        <w:rPr>
          <w:b/>
          <w:bCs/>
        </w:rPr>
        <w:t>nology</w:t>
      </w:r>
      <w:r w:rsidRPr="00290626">
        <w:rPr>
          <w:b/>
          <w:bCs/>
        </w:rPr>
        <w:t>-Driven Startups: Insights from South Korea</w:t>
      </w:r>
    </w:p>
    <w:p w14:paraId="1F8C0931" w14:textId="77777777" w:rsidR="0082793D" w:rsidRPr="00B34BA9" w:rsidRDefault="0082793D" w:rsidP="004B43EE">
      <w:pPr>
        <w:jc w:val="both"/>
        <w:rPr>
          <w:b/>
          <w:bCs/>
        </w:rPr>
      </w:pPr>
    </w:p>
    <w:p w14:paraId="1C73C994" w14:textId="51864CF8" w:rsidR="00C3246F" w:rsidRDefault="00C3246F" w:rsidP="00195EFE">
      <w:pPr>
        <w:jc w:val="center"/>
        <w:rPr>
          <w:b/>
          <w:bCs/>
        </w:rPr>
      </w:pPr>
    </w:p>
    <w:p w14:paraId="28439538" w14:textId="43C057FD" w:rsidR="00E94B58" w:rsidRDefault="00E94B58" w:rsidP="00195EFE">
      <w:pPr>
        <w:jc w:val="center"/>
        <w:rPr>
          <w:b/>
          <w:bCs/>
        </w:rPr>
      </w:pPr>
    </w:p>
    <w:p w14:paraId="44FC6C29" w14:textId="22CE4646" w:rsidR="00E94B58" w:rsidRDefault="00E94B58" w:rsidP="00195EFE">
      <w:pPr>
        <w:jc w:val="center"/>
        <w:rPr>
          <w:b/>
          <w:bCs/>
        </w:rPr>
      </w:pPr>
    </w:p>
    <w:p w14:paraId="5E6ABC0D" w14:textId="77777777" w:rsidR="00E94B58" w:rsidRDefault="00E94B58" w:rsidP="00195EFE">
      <w:pPr>
        <w:jc w:val="center"/>
        <w:rPr>
          <w:b/>
          <w:bCs/>
        </w:rPr>
      </w:pPr>
    </w:p>
    <w:p w14:paraId="2022EC9D" w14:textId="6F34EB79" w:rsidR="00195EFE" w:rsidRDefault="004B43EE" w:rsidP="00195EFE">
      <w:pPr>
        <w:jc w:val="center"/>
        <w:rPr>
          <w:b/>
          <w:bCs/>
        </w:rPr>
      </w:pPr>
      <w:r w:rsidRPr="00B34BA9">
        <w:rPr>
          <w:b/>
          <w:bCs/>
        </w:rPr>
        <w:t>Abstract</w:t>
      </w:r>
    </w:p>
    <w:p w14:paraId="549B2A83" w14:textId="1672F469" w:rsidR="004B43EE" w:rsidRPr="00E04851" w:rsidRDefault="00FD59AF" w:rsidP="00FD59AF">
      <w:pPr>
        <w:jc w:val="both"/>
      </w:pPr>
      <w:r w:rsidRPr="000B01F5">
        <w:rPr>
          <w:highlight w:val="yellow"/>
        </w:rPr>
        <w:t>Th</w:t>
      </w:r>
      <w:r w:rsidRPr="000B01F5">
        <w:rPr>
          <w:highlight w:val="yellow"/>
        </w:rPr>
        <w:t>e</w:t>
      </w:r>
      <w:r w:rsidRPr="000B01F5">
        <w:rPr>
          <w:highlight w:val="yellow"/>
        </w:rPr>
        <w:t xml:space="preserve"> study assesses a 2015 research and development (R&amp;D) support program initiated by the South Korean Ministry of Science and ICT (MSIT) to provide funding for high-tech startups.</w:t>
      </w:r>
      <w:r>
        <w:t xml:space="preserve"> </w:t>
      </w:r>
      <w:r w:rsidR="004B43EE" w:rsidRPr="00E04851">
        <w:t xml:space="preserve">This analysis investigates the effects of a governmental research and development support initiative in South Korea aimed at high-tech startups in 2015. Employing a Regression Discontinuity Design (RDD) grounded in project scores given </w:t>
      </w:r>
      <w:r w:rsidR="004B43EE" w:rsidRPr="00282575">
        <w:t>by an expert panel, we assess the program's influence on innovation and corporate success over 10 years</w:t>
      </w:r>
      <w:r w:rsidR="004B43EE" w:rsidRPr="00E04851">
        <w:t xml:space="preserve">. </w:t>
      </w:r>
      <w:r w:rsidR="007835BB" w:rsidRPr="000B01F5">
        <w:rPr>
          <w:highlight w:val="yellow"/>
        </w:rPr>
        <w:t>A more thorough analysis of manipulation is carried out in, which provides estimates of the density function and closely examines the region surrounding the cut-off.</w:t>
      </w:r>
      <w:r w:rsidR="007835BB">
        <w:t xml:space="preserve"> </w:t>
      </w:r>
      <w:r w:rsidR="004B43EE" w:rsidRPr="00E04851">
        <w:t xml:space="preserve">The findings indicate that the subsidies had a substantial impact on enhancing investments in intangible assets and contributed positively to the success of firms. Nonetheless, the program did not result in a quantifiable rise in patent activity. </w:t>
      </w:r>
      <w:r w:rsidR="005C5793" w:rsidRPr="000B01F5">
        <w:rPr>
          <w:highlight w:val="yellow"/>
        </w:rPr>
        <w:t>Our findings demonstrate how crucial R&amp;D subsidies are for promoting business expansion and performance, especially in high-tech industries. Government support for research and development in innovation has significantly boosted employment, total sales, and the proportion of innovative sales for seven years</w:t>
      </w:r>
      <w:r w:rsidR="005C5793" w:rsidRPr="000B01F5">
        <w:rPr>
          <w:highlight w:val="yellow"/>
        </w:rPr>
        <w:t>.</w:t>
      </w:r>
      <w:r w:rsidR="005C5793">
        <w:t xml:space="preserve"> </w:t>
      </w:r>
      <w:r w:rsidR="004B43EE" w:rsidRPr="00282575">
        <w:t xml:space="preserve">The findings contribute to the current literature on the impact of </w:t>
      </w:r>
      <w:r w:rsidR="004B43EE">
        <w:t>government</w:t>
      </w:r>
      <w:r w:rsidR="004B43EE" w:rsidRPr="00282575">
        <w:t xml:space="preserve"> R&amp;D </w:t>
      </w:r>
      <w:r w:rsidR="004B43EE">
        <w:t xml:space="preserve">support </w:t>
      </w:r>
      <w:r w:rsidR="004B43EE" w:rsidRPr="00282575">
        <w:t>in fostering innovativeness and economic growth</w:t>
      </w:r>
      <w:r w:rsidR="004B43EE" w:rsidRPr="00E84CB0">
        <w:t>.</w:t>
      </w:r>
      <w:r>
        <w:t xml:space="preserve"> </w:t>
      </w:r>
      <w:r w:rsidRPr="000B01F5">
        <w:rPr>
          <w:highlight w:val="yellow"/>
        </w:rPr>
        <w:t>The study shows that public R&amp;D funding effectively boosts business performance and intangible investment, which drives long-term growth and innovation. We recommend that future researchers uncover the exact model under certain market conditions, as suggested in previous studies</w:t>
      </w:r>
      <w:r w:rsidR="005C5793">
        <w:t xml:space="preserve">. </w:t>
      </w:r>
      <w:r>
        <w:t xml:space="preserve"> </w:t>
      </w:r>
    </w:p>
    <w:p w14:paraId="5FBAD4A8" w14:textId="7FC7E81B" w:rsidR="004B43EE" w:rsidRDefault="004B43EE" w:rsidP="004B43EE">
      <w:pPr>
        <w:jc w:val="both"/>
      </w:pPr>
      <w:r w:rsidRPr="00B34BA9">
        <w:rPr>
          <w:b/>
          <w:bCs/>
        </w:rPr>
        <w:t>Keywords: </w:t>
      </w:r>
      <w:r w:rsidRPr="00B34BA9">
        <w:t xml:space="preserve">R&amp;D </w:t>
      </w:r>
      <w:r>
        <w:t>support</w:t>
      </w:r>
      <w:r w:rsidR="00195EFE">
        <w:t>;</w:t>
      </w:r>
      <w:r w:rsidRPr="00B34BA9">
        <w:t xml:space="preserve"> </w:t>
      </w:r>
      <w:r>
        <w:t>T</w:t>
      </w:r>
      <w:r w:rsidRPr="00290626">
        <w:t>echnology-driven startups</w:t>
      </w:r>
      <w:r w:rsidR="00195EFE">
        <w:t>;</w:t>
      </w:r>
      <w:r w:rsidRPr="00B34BA9">
        <w:t xml:space="preserve"> </w:t>
      </w:r>
      <w:r>
        <w:t xml:space="preserve">innovation-driven </w:t>
      </w:r>
      <w:r w:rsidRPr="00B34BA9">
        <w:t>policy</w:t>
      </w:r>
      <w:r w:rsidR="00195EFE">
        <w:t>;</w:t>
      </w:r>
      <w:r w:rsidRPr="00B34BA9">
        <w:t xml:space="preserve"> </w:t>
      </w:r>
      <w:r w:rsidRPr="00E84CB0">
        <w:t>Enterprise success</w:t>
      </w:r>
      <w:r w:rsidR="00195EFE">
        <w:t>;</w:t>
      </w:r>
      <w:r>
        <w:t xml:space="preserve"> </w:t>
      </w:r>
      <w:r w:rsidRPr="00B34BA9">
        <w:t>South Korea</w:t>
      </w:r>
    </w:p>
    <w:p w14:paraId="1D7D0E8B" w14:textId="77777777" w:rsidR="004B43EE" w:rsidRPr="00EC7C72" w:rsidRDefault="004B43EE" w:rsidP="004B43EE">
      <w:pPr>
        <w:jc w:val="both"/>
        <w:rPr>
          <w:b/>
          <w:bCs/>
        </w:rPr>
      </w:pPr>
      <w:r w:rsidRPr="00EC7C72">
        <w:rPr>
          <w:b/>
          <w:bCs/>
        </w:rPr>
        <w:t>1. Introduction</w:t>
      </w:r>
    </w:p>
    <w:p w14:paraId="61A3B858" w14:textId="0B59BB4D" w:rsidR="004B43EE" w:rsidRPr="002274CC" w:rsidRDefault="004B43EE" w:rsidP="000B01F5">
      <w:r>
        <w:t>Governmental</w:t>
      </w:r>
      <w:r w:rsidRPr="002274CC">
        <w:t xml:space="preserve"> support for innovation is a cornerstone of economic policy worldwide. </w:t>
      </w:r>
      <w:r w:rsidR="00B2281C" w:rsidRPr="000B01F5">
        <w:rPr>
          <w:highlight w:val="yellow"/>
        </w:rPr>
        <w:t xml:space="preserve">Technology is the main foundation of the modern world, as technological advancements drive socio-economic development in any society. Continued technical innovation is necessary to fuel economic expansion. Technological advancement is external to the production function of capital and </w:t>
      </w:r>
      <w:proofErr w:type="spellStart"/>
      <w:r w:rsidR="00B2281C" w:rsidRPr="000B01F5">
        <w:rPr>
          <w:highlight w:val="yellow"/>
        </w:rPr>
        <w:t>labour</w:t>
      </w:r>
      <w:proofErr w:type="spellEnd"/>
      <w:r w:rsidR="00B2281C" w:rsidRPr="000B01F5">
        <w:rPr>
          <w:highlight w:val="yellow"/>
        </w:rPr>
        <w:t xml:space="preserve">, and economies eventually reach a stable state with no growth in output per </w:t>
      </w:r>
      <w:r w:rsidR="00B2281C" w:rsidRPr="000B01F5">
        <w:rPr>
          <w:highlight w:val="yellow"/>
        </w:rPr>
        <w:lastRenderedPageBreak/>
        <w:t>capita. R&amp;D expenditure is essential for promoting innovation; the degree to which it impacts per capita output and entrepreneurship remains uncertain. Some argue that increasing R&amp;D spending is necessary to encourage entrepreneurial activity and innovation, which, in turn, can drive per capita output</w:t>
      </w:r>
      <w:r w:rsidR="00B2281C" w:rsidRPr="000B01F5">
        <w:rPr>
          <w:highlight w:val="yellow"/>
        </w:rPr>
        <w:t xml:space="preserve"> </w:t>
      </w:r>
      <w:r w:rsidR="00B2281C" w:rsidRPr="000B01F5">
        <w:rPr>
          <w:highlight w:val="yellow"/>
        </w:rPr>
        <w:t>(</w:t>
      </w:r>
      <w:proofErr w:type="spellStart"/>
      <w:r w:rsidR="00B2281C" w:rsidRPr="000B01F5">
        <w:rPr>
          <w:highlight w:val="yellow"/>
        </w:rPr>
        <w:t>Benlaria</w:t>
      </w:r>
      <w:proofErr w:type="spellEnd"/>
      <w:r w:rsidR="00B2281C" w:rsidRPr="000B01F5">
        <w:rPr>
          <w:highlight w:val="yellow"/>
        </w:rPr>
        <w:t xml:space="preserve"> </w:t>
      </w:r>
      <w:r w:rsidR="00B2281C" w:rsidRPr="000B01F5">
        <w:rPr>
          <w:i/>
          <w:iCs/>
          <w:highlight w:val="yellow"/>
        </w:rPr>
        <w:t>et al</w:t>
      </w:r>
      <w:r w:rsidR="00B2281C" w:rsidRPr="000B01F5">
        <w:rPr>
          <w:highlight w:val="yellow"/>
        </w:rPr>
        <w:t>., 2023</w:t>
      </w:r>
      <w:r w:rsidR="00B2281C">
        <w:rPr>
          <w:highlight w:val="yellow"/>
        </w:rPr>
        <w:t>;</w:t>
      </w:r>
      <w:r w:rsidR="00B2281C">
        <w:t xml:space="preserve"> </w:t>
      </w:r>
      <w:r w:rsidR="00B2281C" w:rsidRPr="000B01F5">
        <w:rPr>
          <w:highlight w:val="yellow"/>
        </w:rPr>
        <w:t xml:space="preserve">Boeing </w:t>
      </w:r>
      <w:r w:rsidR="00B2281C" w:rsidRPr="000B01F5">
        <w:rPr>
          <w:i/>
          <w:iCs/>
          <w:highlight w:val="yellow"/>
        </w:rPr>
        <w:t>et al</w:t>
      </w:r>
      <w:r w:rsidR="00B2281C" w:rsidRPr="000B01F5">
        <w:rPr>
          <w:highlight w:val="yellow"/>
        </w:rPr>
        <w:t>., 2022).</w:t>
      </w:r>
      <w:r w:rsidR="00B2281C" w:rsidRPr="00B2281C">
        <w:t xml:space="preserve"> </w:t>
      </w:r>
      <w:r>
        <w:t xml:space="preserve">Government spending on R&amp;D in South Korea </w:t>
      </w:r>
      <w:r w:rsidRPr="002274CC">
        <w:t xml:space="preserve">accounts for approximately 4.6% of GDP, one of the highest rates globally (OECD, 2023). </w:t>
      </w:r>
      <w:r>
        <w:t>Much</w:t>
      </w:r>
      <w:r w:rsidRPr="002274CC">
        <w:t xml:space="preserve"> of this funding is directed toward small and medium-sized enterprises (SMEs) and </w:t>
      </w:r>
      <w:r>
        <w:t xml:space="preserve">innovative </w:t>
      </w:r>
      <w:r w:rsidRPr="002274CC">
        <w:t>startups, particularly in high-tech sectors, where firms often face high innovation costs and financial constraints (Kim, 2021). However, the effectiveness of such subsidies remains debated, with concerns about crowding out private investment and limited aggregate benefits (</w:t>
      </w:r>
      <w:r w:rsidRPr="003E30E1">
        <w:t>Ko, Kim &amp; Lee, 2021</w:t>
      </w:r>
      <w:r w:rsidRPr="002274CC">
        <w:t>).</w:t>
      </w:r>
    </w:p>
    <w:p w14:paraId="60E3FD9B" w14:textId="77777777" w:rsidR="004B43EE" w:rsidRDefault="004B43EE" w:rsidP="004B43EE">
      <w:pPr>
        <w:jc w:val="both"/>
      </w:pPr>
      <w:r w:rsidRPr="002274CC">
        <w:t xml:space="preserve">Recent literature underscores the importance of tailored innovation strategies for SMEs at different growth stages. For instance, Son (2025) highlights that SMEs' absorptive capacities and patent portfolios </w:t>
      </w:r>
      <w:r w:rsidRPr="009772A5">
        <w:t>positively affect the relationship between financial support for research and development and business success</w:t>
      </w:r>
      <w:r w:rsidRPr="002274CC">
        <w:t xml:space="preserve">. </w:t>
      </w:r>
      <w:r>
        <w:t xml:space="preserve">Park and McQuaid (2025) highlight that the flexibility of policy implementation is essential to </w:t>
      </w:r>
      <w:proofErr w:type="spellStart"/>
      <w:r>
        <w:t>maximise</w:t>
      </w:r>
      <w:proofErr w:type="spellEnd"/>
      <w:r>
        <w:t xml:space="preserve"> the usefulness of R&amp;D support plans.</w:t>
      </w:r>
    </w:p>
    <w:p w14:paraId="258503E5" w14:textId="39F9C0C6" w:rsidR="004B43EE" w:rsidRDefault="004B43EE" w:rsidP="004B43EE">
      <w:pPr>
        <w:jc w:val="both"/>
      </w:pPr>
      <w:r>
        <w:t xml:space="preserve">This study assesses a 2015 research and development (R&amp;D) support program initiated by the South Korean Ministry of Science and ICT (MSIT) to provide funding for high-tech startups. </w:t>
      </w:r>
      <w:r w:rsidR="00FD59AF" w:rsidRPr="000B01F5">
        <w:rPr>
          <w:highlight w:val="yellow"/>
        </w:rPr>
        <w:t>In recent years, the business and entrepreneurial landscape has been reshaped by the rapid evolution of technology. The emergence of startups as key drivers of innovation and economic growth has been inextricably intertwined with technological advances. This intersection of technology, innovation, and growth has become a focal point for researchers, practitioners, and policymakers seeking to understand and harness the potential of startups in the modern business ecosystem</w:t>
      </w:r>
      <w:r w:rsidR="00FD59AF" w:rsidRPr="000B01F5">
        <w:rPr>
          <w:highlight w:val="yellow"/>
        </w:rPr>
        <w:t xml:space="preserve"> </w:t>
      </w:r>
      <w:r w:rsidR="00FD59AF" w:rsidRPr="000B01F5">
        <w:rPr>
          <w:highlight w:val="yellow"/>
        </w:rPr>
        <w:t xml:space="preserve">(Khuan </w:t>
      </w:r>
      <w:r w:rsidR="00FD59AF" w:rsidRPr="000B01F5">
        <w:rPr>
          <w:i/>
          <w:iCs/>
          <w:highlight w:val="yellow"/>
        </w:rPr>
        <w:t>et al</w:t>
      </w:r>
      <w:r w:rsidR="00FD59AF" w:rsidRPr="000B01F5">
        <w:rPr>
          <w:highlight w:val="yellow"/>
        </w:rPr>
        <w:t>., 2023).</w:t>
      </w:r>
      <w:r w:rsidR="00FD59AF">
        <w:t xml:space="preserve"> </w:t>
      </w:r>
      <w:r w:rsidRPr="0078070E">
        <w:t xml:space="preserve">Based on a Regression Discontinuity Design (RDD), a </w:t>
      </w:r>
      <w:proofErr w:type="spellStart"/>
      <w:r>
        <w:t>labour</w:t>
      </w:r>
      <w:proofErr w:type="spellEnd"/>
      <w:r w:rsidRPr="0078070E">
        <w:t xml:space="preserve"> work measurement method used to determine the causal impact of government R&amp;D support on businesses' long-term success, the results show that, while they did not significantly affect patenting activity, government R&amp;D support was issued to increase intangible fixed assets (IFA) and, consequently, to advance firm success over </w:t>
      </w:r>
      <w:r>
        <w:t>20 years.</w:t>
      </w:r>
    </w:p>
    <w:p w14:paraId="7AF320D5" w14:textId="49664169" w:rsidR="004B43EE" w:rsidRPr="00FD2968" w:rsidRDefault="004B43EE" w:rsidP="004B43EE">
      <w:pPr>
        <w:jc w:val="both"/>
      </w:pPr>
      <w:r w:rsidRPr="001E6944">
        <w:t xml:space="preserve">This </w:t>
      </w:r>
      <w:r>
        <w:t>paper</w:t>
      </w:r>
      <w:r w:rsidRPr="001E6944">
        <w:t xml:space="preserve"> </w:t>
      </w:r>
      <w:r>
        <w:t xml:space="preserve">contributes to research </w:t>
      </w:r>
      <w:r w:rsidRPr="001E6944">
        <w:t>on public R&amp;D financing, particularly concerning technology-driven start-ups</w:t>
      </w:r>
      <w:r>
        <w:t xml:space="preserve">. The existing literature has focused on developed economies like the USA and Europe (Zhao &amp; </w:t>
      </w:r>
      <w:proofErr w:type="spellStart"/>
      <w:r>
        <w:t>Ziedonis</w:t>
      </w:r>
      <w:proofErr w:type="spellEnd"/>
      <w:r>
        <w:t>, 2020; Howell, 2017), while evidence from East Asia is still relatively scant. Recent literature from South Korea, Kim et al. (2023) </w:t>
      </w:r>
      <w:r w:rsidR="00837CC1" w:rsidRPr="000B01F5">
        <w:rPr>
          <w:highlight w:val="yellow"/>
        </w:rPr>
        <w:t>has</w:t>
      </w:r>
      <w:r w:rsidR="00837CC1">
        <w:t xml:space="preserve"> </w:t>
      </w:r>
      <w:proofErr w:type="spellStart"/>
      <w:r>
        <w:t>emphasised</w:t>
      </w:r>
      <w:proofErr w:type="spellEnd"/>
      <w:r>
        <w:t xml:space="preserve"> that government policy is a significant determinant of innovation. However, few scholars have studied the long-lasting effects of R&amp;D support on tech-driven firms. </w:t>
      </w:r>
      <w:r w:rsidRPr="00FD2968">
        <w:t xml:space="preserve">This </w:t>
      </w:r>
      <w:r>
        <w:t>research addressed</w:t>
      </w:r>
      <w:r w:rsidRPr="00FD2968">
        <w:t xml:space="preserve"> the existing knowledge gap</w:t>
      </w:r>
      <w:r>
        <w:t>s</w:t>
      </w:r>
      <w:r w:rsidRPr="00FD2968">
        <w:t xml:space="preserve"> by </w:t>
      </w:r>
      <w:r>
        <w:t>discussing</w:t>
      </w:r>
      <w:r w:rsidRPr="00FD2968">
        <w:t xml:space="preserve"> </w:t>
      </w:r>
      <w:r>
        <w:t>long-term</w:t>
      </w:r>
      <w:r w:rsidRPr="00FD2968">
        <w:t xml:space="preserve"> perspectives on government R&amp;D support for technology-driven start-ups in South Korea.</w:t>
      </w:r>
    </w:p>
    <w:p w14:paraId="5C3F97DE" w14:textId="77777777" w:rsidR="004B43EE" w:rsidRDefault="004B43EE" w:rsidP="004B43EE">
      <w:pPr>
        <w:jc w:val="both"/>
        <w:rPr>
          <w:b/>
          <w:bCs/>
        </w:rPr>
      </w:pPr>
      <w:r w:rsidRPr="002274CC">
        <w:rPr>
          <w:b/>
          <w:bCs/>
        </w:rPr>
        <w:t>2. Background and Data</w:t>
      </w:r>
    </w:p>
    <w:p w14:paraId="0EB20FAB" w14:textId="77777777" w:rsidR="004B43EE" w:rsidRPr="00A643A4" w:rsidRDefault="004B43EE" w:rsidP="004B43EE">
      <w:pPr>
        <w:jc w:val="both"/>
        <w:rPr>
          <w:b/>
          <w:bCs/>
        </w:rPr>
      </w:pPr>
      <w:r w:rsidRPr="00A643A4">
        <w:rPr>
          <w:b/>
          <w:bCs/>
        </w:rPr>
        <w:lastRenderedPageBreak/>
        <w:t>2.1. The High-Tech Startup R&amp;D Support Program</w:t>
      </w:r>
    </w:p>
    <w:p w14:paraId="600FDBCD" w14:textId="7C071648" w:rsidR="004B43EE" w:rsidRDefault="004B43EE" w:rsidP="004B43EE">
      <w:pPr>
        <w:jc w:val="both"/>
      </w:pPr>
      <w:r w:rsidRPr="00C12035">
        <w:t xml:space="preserve">In 2015, the South Korean Ministry of Science and ICT (MSIT) launched the Innovative Start-ups Industrial Research Program to support </w:t>
      </w:r>
      <w:r>
        <w:t xml:space="preserve">innovation-driven start-ups' industrial research and experimental development projects </w:t>
      </w:r>
      <w:r w:rsidRPr="00C12035">
        <w:t xml:space="preserve">in </w:t>
      </w:r>
      <w:r>
        <w:t xml:space="preserve">technology </w:t>
      </w:r>
      <w:r w:rsidRPr="00C12035">
        <w:t>industries. The Ministry</w:t>
      </w:r>
      <w:r>
        <w:t xml:space="preserve"> exclusively allocated</w:t>
      </w:r>
      <w:r w:rsidRPr="00C12035">
        <w:t xml:space="preserve"> ₩35 billion from the national treasury </w:t>
      </w:r>
      <w:r>
        <w:t>and ₩20 billion from the Asian Development Bank</w:t>
      </w:r>
      <w:r w:rsidRPr="00C12035">
        <w:t xml:space="preserve"> for the businesses running in the southern region that covers the </w:t>
      </w:r>
      <w:proofErr w:type="spellStart"/>
      <w:r w:rsidRPr="00C12035">
        <w:t>Gyeongsang</w:t>
      </w:r>
      <w:proofErr w:type="spellEnd"/>
      <w:r w:rsidR="00837CC1">
        <w:t>,</w:t>
      </w:r>
      <w:r w:rsidRPr="00C12035">
        <w:t xml:space="preserve"> </w:t>
      </w:r>
      <w:proofErr w:type="spellStart"/>
      <w:r w:rsidRPr="00C12035">
        <w:t>Jeolla</w:t>
      </w:r>
      <w:proofErr w:type="spellEnd"/>
      <w:r w:rsidR="00837CC1">
        <w:t>,</w:t>
      </w:r>
      <w:r w:rsidRPr="00C12035">
        <w:t xml:space="preserve"> and Jeju areas.</w:t>
      </w:r>
      <w:r w:rsidRPr="0097776C">
        <w:t xml:space="preserve"> Each project may obtain loans of up to ₩2 billion, which can cover as much as 50% of the costs, along with direct funding ranging from 20% to 40%, contingent on the </w:t>
      </w:r>
      <w:r>
        <w:t>company's size</w:t>
      </w:r>
      <w:r w:rsidRPr="0097776C">
        <w:t xml:space="preserve"> (OECD, 2023).</w:t>
      </w:r>
    </w:p>
    <w:p w14:paraId="5B7028A7" w14:textId="77777777" w:rsidR="004B43EE" w:rsidRDefault="004B43EE" w:rsidP="004B43EE">
      <w:pPr>
        <w:jc w:val="both"/>
      </w:pPr>
      <w:r w:rsidRPr="0064302F">
        <w:t>Projects that qualify must come from companies that have been in operation for less than five years and must feature complete budget</w:t>
      </w:r>
      <w:r>
        <w:t>s</w:t>
      </w:r>
      <w:r w:rsidRPr="0064302F">
        <w:t xml:space="preserve"> that </w:t>
      </w:r>
      <w:r>
        <w:t xml:space="preserve">meet </w:t>
      </w:r>
      <w:r w:rsidRPr="0064302F">
        <w:t>specific criteria: (1) relates to advancements in process innovations</w:t>
      </w:r>
      <w:r>
        <w:t xml:space="preserve"> or </w:t>
      </w:r>
      <w:r w:rsidRPr="0064302F">
        <w:t xml:space="preserve">product development within </w:t>
      </w:r>
      <w:r>
        <w:t>technology-oriented</w:t>
      </w:r>
      <w:r w:rsidRPr="0064302F">
        <w:t xml:space="preserve"> industries; (2) </w:t>
      </w:r>
      <w:r>
        <w:t>involve</w:t>
      </w:r>
      <w:r w:rsidRPr="0064302F">
        <w:t xml:space="preserve"> particular research and development expenditures like patent filing, consulting</w:t>
      </w:r>
      <w:r>
        <w:t xml:space="preserve"> fee</w:t>
      </w:r>
      <w:r w:rsidRPr="0064302F">
        <w:t>,</w:t>
      </w:r>
      <w:r>
        <w:t xml:space="preserve"> </w:t>
      </w:r>
      <w:r w:rsidRPr="0064302F">
        <w:t>salaries, raw materials</w:t>
      </w:r>
      <w:r>
        <w:t xml:space="preserve">, or </w:t>
      </w:r>
      <w:r w:rsidRPr="0064302F">
        <w:t>equipment</w:t>
      </w:r>
      <w:r>
        <w:t>;</w:t>
      </w:r>
      <w:r w:rsidRPr="0064302F">
        <w:t xml:space="preserve"> and (3) is required to begin following the submission of the application</w:t>
      </w:r>
      <w:r w:rsidRPr="0097776C">
        <w:t xml:space="preserve">. Moreover, companies were prohibited from applying for or obtaining additional public funding and were required to commence operations within six months following the publication of the ranking (Park &amp; McQuaid, 2025). </w:t>
      </w:r>
    </w:p>
    <w:p w14:paraId="78D47F0F" w14:textId="77777777" w:rsidR="004B43EE" w:rsidRPr="00F534BA" w:rsidRDefault="004B43EE" w:rsidP="004B43EE">
      <w:pPr>
        <w:jc w:val="both"/>
        <w:rPr>
          <w:b/>
          <w:bCs/>
        </w:rPr>
      </w:pPr>
      <w:r w:rsidRPr="00F534BA">
        <w:rPr>
          <w:b/>
          <w:bCs/>
        </w:rPr>
        <w:t>2.2. Application and Evaluation Process</w:t>
      </w:r>
    </w:p>
    <w:p w14:paraId="0B1B4DFA" w14:textId="77777777" w:rsidR="004B43EE" w:rsidRPr="002274CC" w:rsidRDefault="004B43EE" w:rsidP="004B43EE">
      <w:pPr>
        <w:jc w:val="both"/>
      </w:pPr>
      <w:r w:rsidRPr="002274CC">
        <w:t xml:space="preserve">Companies could apply from September 23, 2015, to January 21, 2016, and </w:t>
      </w:r>
      <w:r>
        <w:t>request, on average,</w:t>
      </w:r>
      <w:r w:rsidRPr="002274CC">
        <w:t xml:space="preserve"> ₩620 million in credits and ₩430 million in subsidies. </w:t>
      </w:r>
      <w:r w:rsidRPr="00645437">
        <w:t xml:space="preserve">The Ministry appointed a five-member committee </w:t>
      </w:r>
      <w:r>
        <w:t>of</w:t>
      </w:r>
      <w:r w:rsidRPr="00645437">
        <w:t xml:space="preserve"> </w:t>
      </w:r>
      <w:r>
        <w:t xml:space="preserve">registered </w:t>
      </w:r>
      <w:r w:rsidRPr="00645437">
        <w:t xml:space="preserve">experts to assess projects according to </w:t>
      </w:r>
      <w:r>
        <w:t xml:space="preserve">the </w:t>
      </w:r>
      <w:r w:rsidRPr="00645437">
        <w:t xml:space="preserve">following </w:t>
      </w:r>
      <w:r>
        <w:t>criteria</w:t>
      </w:r>
      <w:r w:rsidRPr="00645437">
        <w:t xml:space="preserve">: (1) the firm's prior research and development activities (5 points); (2) innovation (15 points); and (3) </w:t>
      </w:r>
      <w:r>
        <w:t>five per cent</w:t>
      </w:r>
      <w:r w:rsidRPr="00645437">
        <w:t xml:space="preserve"> bonuses for female ownership, research partnerships</w:t>
      </w:r>
      <w:r>
        <w:t>, or</w:t>
      </w:r>
      <w:r w:rsidRPr="00645437">
        <w:t xml:space="preserve"> product innovation (Son, 2025).</w:t>
      </w:r>
      <w:r>
        <w:t xml:space="preserve"> </w:t>
      </w:r>
      <w:r w:rsidRPr="00616969">
        <w:t>The announcement regarding the r</w:t>
      </w:r>
      <w:r>
        <w:t>ating</w:t>
      </w:r>
      <w:r w:rsidRPr="00616969">
        <w:t xml:space="preserve"> took place on 19</w:t>
      </w:r>
      <w:r>
        <w:t xml:space="preserve"> </w:t>
      </w:r>
      <w:r w:rsidRPr="00616969">
        <w:t xml:space="preserve">April 2016, allocating funds to 65 out of 411 projects, which collectively amounted to ₩80 billion in total costs. </w:t>
      </w:r>
      <w:r w:rsidRPr="00645437">
        <w:t xml:space="preserve">For criterion (2), all firms placed up to 138 received the highest score, suggesting that the committee's project choices, not the companies' own, </w:t>
      </w:r>
      <w:r>
        <w:t>were primarily</w:t>
      </w:r>
      <w:r w:rsidRPr="00645437">
        <w:t xml:space="preserve"> reflected in the result</w:t>
      </w:r>
      <w:r w:rsidRPr="00616969">
        <w:t xml:space="preserve">. </w:t>
      </w:r>
      <w:r w:rsidRPr="00187571">
        <w:t xml:space="preserve">According to their economic efficiency, projects with identical ratings were given priority, and subsidies were given out until all available money had been used. </w:t>
      </w:r>
      <w:r w:rsidRPr="00F53BAA">
        <w:t>This indicates that merely achieving the threshold ratings was insufficient for securing funding and that companies in southern regions encountered a reduced threshold as they qualified for both funding sources.</w:t>
      </w:r>
      <w:r w:rsidRPr="00187571">
        <w:t xml:space="preserve"> Only two of the three southern companies</w:t>
      </w:r>
      <w:r>
        <w:t>, with a score of 17.25, and the nine non-southern companies, with a score of 18.9,</w:t>
      </w:r>
      <w:r w:rsidRPr="00187571">
        <w:t xml:space="preserve"> were awarded money in each area</w:t>
      </w:r>
      <w:r w:rsidRPr="00616969">
        <w:t xml:space="preserve">. This intricate system probably hindered the committee's ability to fully understand how scores would influence the funding decisions for specific projects (Choi, Han &amp; Kwak, 2021). </w:t>
      </w:r>
    </w:p>
    <w:p w14:paraId="318B161C" w14:textId="77777777" w:rsidR="004B43EE" w:rsidRPr="00F534BA" w:rsidRDefault="004B43EE" w:rsidP="004B43EE">
      <w:pPr>
        <w:jc w:val="both"/>
        <w:rPr>
          <w:b/>
          <w:bCs/>
        </w:rPr>
      </w:pPr>
      <w:r w:rsidRPr="00F534BA">
        <w:rPr>
          <w:b/>
          <w:bCs/>
        </w:rPr>
        <w:t>2.3. Data Sources and Variables</w:t>
      </w:r>
    </w:p>
    <w:p w14:paraId="3FDC030B" w14:textId="77777777" w:rsidR="004B43EE" w:rsidRPr="002274CC" w:rsidRDefault="004B43EE" w:rsidP="004B43EE">
      <w:pPr>
        <w:jc w:val="both"/>
      </w:pPr>
      <w:r w:rsidRPr="00616969">
        <w:lastRenderedPageBreak/>
        <w:t>The MSIT provided us with administrative data, such as applicant firm information</w:t>
      </w:r>
      <w:r>
        <w:t>,</w:t>
      </w:r>
      <w:r w:rsidRPr="00A72EEC">
        <w:t xml:space="preserve"> project scores, and funding status. Using the </w:t>
      </w:r>
      <w:r w:rsidRPr="008C6723">
        <w:t>Korea Enterprise Data (KED) and PATSTAT</w:t>
      </w:r>
      <w:r w:rsidRPr="00A72EEC">
        <w:t> databases, we tracked 435 of the 450 applicant firms, including all funded projects, from 2013 to 2023.</w:t>
      </w:r>
      <w:r w:rsidRPr="002274CC">
        <w:t xml:space="preserve"> </w:t>
      </w:r>
      <w:r w:rsidRPr="00A72EEC">
        <w:t xml:space="preserve">Financial data, such as balance sheets and income statements, </w:t>
      </w:r>
      <w:r w:rsidRPr="00DF644D">
        <w:t>were modified for inflation using the 2015 Bank of Korea Consumer Price Index (CPI) (2024)</w:t>
      </w:r>
      <w:r w:rsidRPr="002274CC">
        <w:t xml:space="preserve">. </w:t>
      </w:r>
      <w:r w:rsidRPr="00A72EEC">
        <w:t>The dataset is unbalanced, as 40% of firms were established after 2013, and 35% had ceased operations by 2023. Additionally, financial reporting was inconsistent for some firms, particularly smaller startups</w:t>
      </w:r>
      <w:r>
        <w:t xml:space="preserve"> </w:t>
      </w:r>
      <w:r w:rsidRPr="002274CC">
        <w:t>(OECD, 2023).</w:t>
      </w:r>
    </w:p>
    <w:p w14:paraId="766D92C9" w14:textId="77777777" w:rsidR="004B43EE" w:rsidRPr="002274CC" w:rsidRDefault="004B43EE" w:rsidP="004B43EE">
      <w:pPr>
        <w:jc w:val="both"/>
      </w:pPr>
      <w:r w:rsidRPr="008C6723">
        <w:t xml:space="preserve">We measure innovation using two primary metrics. First, due to </w:t>
      </w:r>
      <w:r>
        <w:t xml:space="preserve">the </w:t>
      </w:r>
      <w:r w:rsidRPr="008C6723">
        <w:t>limited availability of direct R&amp;D expenditure data, we use </w:t>
      </w:r>
      <w:r w:rsidRPr="00817CDC">
        <w:t>intangible fixed assets (IFA) as</w:t>
      </w:r>
      <w:r w:rsidRPr="008C6723">
        <w:t xml:space="preserve"> a proxy for R&amp;D investment. Under South Korean accounting standards, IFA includes R&amp;D expenditures (including personnel costs), software licenses, patent filing fees, intellectual property rights, and other intangible investments. We focus on the growth rate of IFA as an indicator of R&amp;D input. </w:t>
      </w:r>
      <w:r w:rsidRPr="00616969">
        <w:t xml:space="preserve">Secondly, we assess research and development output by </w:t>
      </w:r>
      <w:proofErr w:type="spellStart"/>
      <w:r>
        <w:t>analysing</w:t>
      </w:r>
      <w:proofErr w:type="spellEnd"/>
      <w:r w:rsidRPr="00616969">
        <w:t xml:space="preserve"> the yearly count of patents submitted and their subsequent citations. Success in an enterprise is assessed through various metrics, including sales (turnover), employment levels, wage rates, and </w:t>
      </w:r>
      <w:proofErr w:type="spellStart"/>
      <w:r>
        <w:t>labour</w:t>
      </w:r>
      <w:proofErr w:type="spellEnd"/>
      <w:r w:rsidRPr="00616969">
        <w:t xml:space="preserve"> productivity. </w:t>
      </w:r>
      <w:r w:rsidRPr="008C6723">
        <w:t xml:space="preserve">Following </w:t>
      </w:r>
      <w:r w:rsidRPr="002274CC">
        <w:t>Choi, Han, and Kwak (2021)</w:t>
      </w:r>
      <w:r>
        <w:t xml:space="preserve"> and </w:t>
      </w:r>
      <w:r w:rsidRPr="008C6723">
        <w:t>Kim et al. (2023), we also use total debt as a proxy for access to credit.</w:t>
      </w:r>
      <w:r w:rsidRPr="002274CC">
        <w:t xml:space="preserve"> </w:t>
      </w:r>
    </w:p>
    <w:p w14:paraId="64A52865" w14:textId="77777777" w:rsidR="004B43EE" w:rsidRDefault="004B43EE" w:rsidP="004B43EE">
      <w:pPr>
        <w:jc w:val="both"/>
        <w:rPr>
          <w:b/>
          <w:bCs/>
        </w:rPr>
      </w:pPr>
      <w:r w:rsidRPr="002274CC">
        <w:rPr>
          <w:b/>
          <w:bCs/>
        </w:rPr>
        <w:t>3. Methodology</w:t>
      </w:r>
    </w:p>
    <w:p w14:paraId="2F0BA2CE" w14:textId="77777777" w:rsidR="004B43EE" w:rsidRPr="00694FF8" w:rsidRDefault="004B43EE" w:rsidP="004B43EE">
      <w:pPr>
        <w:jc w:val="both"/>
        <w:rPr>
          <w:b/>
          <w:bCs/>
        </w:rPr>
      </w:pPr>
      <w:r w:rsidRPr="00694FF8">
        <w:rPr>
          <w:b/>
          <w:bCs/>
        </w:rPr>
        <w:t>3.1. Regression Discontinuity Design (RDD)</w:t>
      </w:r>
    </w:p>
    <w:p w14:paraId="6C7172D4" w14:textId="72E82F3D" w:rsidR="004B43EE" w:rsidRDefault="004B43EE" w:rsidP="004B43EE">
      <w:pPr>
        <w:jc w:val="both"/>
      </w:pPr>
      <w:r>
        <w:t>The ranking</w:t>
      </w:r>
      <w:r w:rsidRPr="001D2A75">
        <w:t xml:space="preserve"> shows a Fuzzy Regression Discontinuity Design (RDD) with many </w:t>
      </w:r>
      <w:r>
        <w:t>criteria</w:t>
      </w:r>
      <w:r w:rsidRPr="001D2A75">
        <w:t xml:space="preserve">, where treatment is a non-deterministic function of final </w:t>
      </w:r>
      <w:r>
        <w:t>ratings</w:t>
      </w:r>
      <w:r w:rsidRPr="001D2A75">
        <w:t xml:space="preserve">. Southern and non-southern enterprises had discontinuous increases in assignment likelihood at 17.25 and 18.9. The </w:t>
      </w:r>
      <w:proofErr w:type="spellStart"/>
      <w:r>
        <w:t>normalised</w:t>
      </w:r>
      <w:proofErr w:type="spellEnd"/>
      <w:r w:rsidRPr="001D2A75">
        <w:t xml:space="preserve"> score (</w:t>
      </w:r>
      <w:proofErr w:type="spellStart"/>
      <w:r w:rsidRPr="001D2A75">
        <w:t>NScore</w:t>
      </w:r>
      <w:proofErr w:type="spellEnd"/>
      <w:r w:rsidRPr="001D2A75">
        <w:t xml:space="preserve">) is calculated by </w:t>
      </w:r>
      <w:proofErr w:type="spellStart"/>
      <w:r w:rsidR="00837CC1" w:rsidRPr="000B01F5">
        <w:rPr>
          <w:highlight w:val="yellow"/>
        </w:rPr>
        <w:t>normalising</w:t>
      </w:r>
      <w:proofErr w:type="spellEnd"/>
      <w:r w:rsidR="00837CC1" w:rsidRPr="001D2A75">
        <w:t xml:space="preserve"> </w:t>
      </w:r>
      <w:r w:rsidRPr="001D2A75">
        <w:t xml:space="preserve">the actual score with the </w:t>
      </w:r>
      <w:r>
        <w:t>criterion value</w:t>
      </w:r>
      <w:r w:rsidRPr="001D2A75">
        <w:t xml:space="preserve"> to </w:t>
      </w:r>
      <w:proofErr w:type="spellStart"/>
      <w:r>
        <w:t>analyse</w:t>
      </w:r>
      <w:proofErr w:type="spellEnd"/>
      <w:r w:rsidRPr="001D2A75">
        <w:t xml:space="preserve"> both groups. However, the small sample size concerns the initial link between meeting the </w:t>
      </w:r>
      <w:proofErr w:type="spellStart"/>
      <w:r>
        <w:t>standardised</w:t>
      </w:r>
      <w:proofErr w:type="spellEnd"/>
      <w:r w:rsidRPr="001D2A75">
        <w:t xml:space="preserve"> </w:t>
      </w:r>
      <w:r>
        <w:t>cutoff point</w:t>
      </w:r>
      <w:r w:rsidRPr="001D2A75">
        <w:t xml:space="preserve"> and </w:t>
      </w:r>
      <w:r>
        <w:t xml:space="preserve">the </w:t>
      </w:r>
      <w:r w:rsidRPr="001D2A75">
        <w:t>treatment task. Cattaneo et al. (2024</w:t>
      </w:r>
      <w:r>
        <w:t>) argued that</w:t>
      </w:r>
      <w:r w:rsidRPr="001D2A75">
        <w:t xml:space="preserve"> Fuzzy RDDs have a minimum F-statistic of 20. Our design does not </w:t>
      </w:r>
      <w:r>
        <w:t>fulfil this requirement. Hence,</w:t>
      </w:r>
      <w:r w:rsidRPr="001D2A75">
        <w:t xml:space="preserve"> we estimate a Sharp RDD</w:t>
      </w:r>
      <w:r w:rsidRPr="00616969">
        <w:t>.</w:t>
      </w:r>
    </w:p>
    <w:p w14:paraId="574F1F7B" w14:textId="77777777" w:rsidR="004B43EE" w:rsidRDefault="00000000" w:rsidP="004B43EE">
      <w:pPr>
        <w:jc w:val="center"/>
        <w:rPr>
          <w:rFonts w:eastAsiaTheme="minorEastAsia"/>
        </w:rPr>
      </w:pPr>
      <m:oMath>
        <m:sSub>
          <m:sSubPr>
            <m:ctrlPr>
              <w:rPr>
                <w:rFonts w:ascii="Cambria Math" w:hAnsi="Cambria Math"/>
                <w:i/>
              </w:rPr>
            </m:ctrlPr>
          </m:sSubPr>
          <m:e>
            <m:r>
              <w:rPr>
                <w:rFonts w:ascii="Cambria Math" w:hAnsi="Cambria Math"/>
              </w:rPr>
              <m:t>Y</m:t>
            </m:r>
          </m:e>
          <m:sub>
            <m:r>
              <w:rPr>
                <w:rFonts w:ascii="Cambria Math" w:hAnsi="Cambria Math"/>
              </w:rPr>
              <m:t xml:space="preserve">t </m:t>
            </m:r>
          </m:sub>
        </m:sSub>
        <m:r>
          <w:rPr>
            <w:rFonts w:ascii="Cambria Math" w:eastAsiaTheme="minorEastAsia" w:hAnsi="Cambria Math"/>
          </w:rPr>
          <m:t>=α+</m:t>
        </m:r>
        <m:sSub>
          <m:sSubPr>
            <m:ctrlPr>
              <w:rPr>
                <w:rFonts w:ascii="Cambria Math" w:eastAsiaTheme="minorEastAsia" w:hAnsi="Cambria Math"/>
                <w:i/>
              </w:rPr>
            </m:ctrlPr>
          </m:sSubPr>
          <m:e>
            <m:r>
              <w:rPr>
                <w:rFonts w:ascii="Cambria Math" w:eastAsiaTheme="minorEastAsia" w:hAnsi="Cambria Math"/>
              </w:rPr>
              <m:t>βT</m:t>
            </m:r>
          </m:e>
          <m:sub>
            <m:r>
              <w:rPr>
                <w:rFonts w:ascii="Cambria Math" w:eastAsiaTheme="minorEastAsia" w:hAnsi="Cambria Math"/>
              </w:rPr>
              <m:t xml:space="preserve">i </m:t>
            </m:r>
          </m:sub>
        </m:sSub>
        <m:r>
          <w:rPr>
            <w:rFonts w:ascii="Cambria Math" w:eastAsiaTheme="minorEastAsia" w:hAnsi="Cambria Math"/>
          </w:rPr>
          <m:t>+f</m:t>
        </m:r>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NS</m:t>
                </m:r>
              </m:e>
              <m:sub>
                <m:r>
                  <w:rPr>
                    <w:rFonts w:ascii="Cambria Math" w:eastAsiaTheme="minorEastAsia" w:hAnsi="Cambria Math"/>
                  </w:rPr>
                  <m:t>i</m:t>
                </m:r>
              </m:sub>
            </m:sSub>
          </m:e>
        </m:d>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hint="eastAsia"/>
              </w:rPr>
              <m:t>ϵ</m:t>
            </m:r>
          </m:e>
          <m:sub>
            <m:r>
              <w:rPr>
                <w:rFonts w:ascii="Cambria Math" w:eastAsiaTheme="minorEastAsia" w:hAnsi="Cambria Math"/>
              </w:rPr>
              <m:t>i</m:t>
            </m:r>
          </m:sub>
        </m:sSub>
      </m:oMath>
      <w:r w:rsidR="004B43EE">
        <w:rPr>
          <w:rFonts w:eastAsiaTheme="minorEastAsia"/>
        </w:rPr>
        <w:t xml:space="preserve">  </w:t>
      </w:r>
      <w:r w:rsidR="004B43EE">
        <w:rPr>
          <w:rFonts w:eastAsiaTheme="minorEastAsia"/>
        </w:rPr>
        <w:tab/>
      </w:r>
      <w:r w:rsidR="004B43EE">
        <w:rPr>
          <w:rFonts w:eastAsiaTheme="minorEastAsia"/>
        </w:rPr>
        <w:tab/>
        <w:t>(1)</w:t>
      </w:r>
    </w:p>
    <w:p w14:paraId="1177A441" w14:textId="50691CB0" w:rsidR="004B43EE" w:rsidRDefault="004B43EE" w:rsidP="004B43EE">
      <w:pPr>
        <w:jc w:val="both"/>
      </w:pPr>
      <w:r w:rsidRPr="00694FF8">
        <w:t>where </w:t>
      </w:r>
      <w:r w:rsidRPr="00694FF8">
        <w:rPr>
          <w:i/>
          <w:iCs/>
        </w:rPr>
        <w:t>Yi</w:t>
      </w:r>
      <w:r w:rsidRPr="00694FF8">
        <w:t>​ represents firm outcomes, </w:t>
      </w:r>
      <w:r w:rsidRPr="00694FF8">
        <w:rPr>
          <w:i/>
          <w:iCs/>
        </w:rPr>
        <w:t>Ti</w:t>
      </w:r>
      <w:r w:rsidRPr="00694FF8">
        <w:t xml:space="preserve">​ is an indicator for </w:t>
      </w:r>
      <w:r>
        <w:t>subsidy recipients</w:t>
      </w:r>
      <w:r w:rsidRPr="00694FF8">
        <w:t>, and </w:t>
      </w:r>
      <w:r w:rsidRPr="00694FF8">
        <w:rPr>
          <w:i/>
          <w:iCs/>
        </w:rPr>
        <w:t>f</w:t>
      </w:r>
      <w:r w:rsidRPr="00694FF8">
        <w:t>(</w:t>
      </w:r>
      <w:proofErr w:type="spellStart"/>
      <w:r w:rsidRPr="00694FF8">
        <w:rPr>
          <w:i/>
          <w:iCs/>
        </w:rPr>
        <w:t>NSi</w:t>
      </w:r>
      <w:proofErr w:type="spellEnd"/>
      <w:r w:rsidRPr="00694FF8">
        <w:t xml:space="preserve">) controls for the </w:t>
      </w:r>
      <w:proofErr w:type="spellStart"/>
      <w:r>
        <w:t>normalised</w:t>
      </w:r>
      <w:proofErr w:type="spellEnd"/>
      <w:r w:rsidRPr="00694FF8">
        <w:t xml:space="preserve"> score. </w:t>
      </w:r>
      <w:r w:rsidRPr="0056310D">
        <w:t xml:space="preserve">Local linear regression is employed, </w:t>
      </w:r>
      <w:proofErr w:type="spellStart"/>
      <w:r>
        <w:t>utilising</w:t>
      </w:r>
      <w:proofErr w:type="spellEnd"/>
      <w:r w:rsidRPr="0056310D">
        <w:t xml:space="preserve"> a triangular kernel </w:t>
      </w:r>
      <w:r>
        <w:t>and</w:t>
      </w:r>
      <w:r w:rsidRPr="0056310D">
        <w:t xml:space="preserve"> robust standard errors. We </w:t>
      </w:r>
      <w:proofErr w:type="spellStart"/>
      <w:r>
        <w:t>utilise</w:t>
      </w:r>
      <w:proofErr w:type="spellEnd"/>
      <w:r w:rsidRPr="0056310D">
        <w:t xml:space="preserve"> the strong bias-corrected RD estimat</w:t>
      </w:r>
      <w:r>
        <w:t>ions</w:t>
      </w:r>
      <w:r w:rsidRPr="0056310D">
        <w:t xml:space="preserve"> described by </w:t>
      </w:r>
      <w:proofErr w:type="spellStart"/>
      <w:r w:rsidRPr="0056310D">
        <w:t>Calonico</w:t>
      </w:r>
      <w:proofErr w:type="spellEnd"/>
      <w:r w:rsidRPr="0056310D">
        <w:t xml:space="preserve"> et al. (2020) and </w:t>
      </w:r>
      <w:r>
        <w:t>adapted</w:t>
      </w:r>
      <w:r w:rsidRPr="0056310D">
        <w:t xml:space="preserve"> the approach </w:t>
      </w:r>
      <w:r>
        <w:t xml:space="preserve">that Card et al. (2014) suggested </w:t>
      </w:r>
      <w:r w:rsidRPr="0056310D">
        <w:t xml:space="preserve">by implementing a local linear RD estimator. Following </w:t>
      </w:r>
      <w:proofErr w:type="spellStart"/>
      <w:r w:rsidRPr="0056310D">
        <w:t>Calonico</w:t>
      </w:r>
      <w:proofErr w:type="spellEnd"/>
      <w:r w:rsidRPr="0056310D">
        <w:t xml:space="preserve"> et al. (2018) methodology, we employ </w:t>
      </w:r>
      <w:r>
        <w:t xml:space="preserve">the closest </w:t>
      </w:r>
      <w:proofErr w:type="spellStart"/>
      <w:r>
        <w:t>neighbour</w:t>
      </w:r>
      <w:proofErr w:type="spellEnd"/>
      <w:r>
        <w:t xml:space="preserve"> heteroskedasticity-robust </w:t>
      </w:r>
      <w:r w:rsidR="00837CC1" w:rsidRPr="000B01F5">
        <w:rPr>
          <w:highlight w:val="yellow"/>
        </w:rPr>
        <w:t>variance</w:t>
      </w:r>
      <w:r w:rsidR="00837CC1">
        <w:t xml:space="preserve"> </w:t>
      </w:r>
      <w:r>
        <w:t xml:space="preserve">estimates for inference, requiring a minimum of three </w:t>
      </w:r>
      <w:proofErr w:type="spellStart"/>
      <w:r>
        <w:t>neighbours</w:t>
      </w:r>
      <w:proofErr w:type="spellEnd"/>
      <w:r w:rsidRPr="002274CC">
        <w:t>.</w:t>
      </w:r>
    </w:p>
    <w:p w14:paraId="35E4FAAD" w14:textId="77777777" w:rsidR="004B43EE" w:rsidRPr="002274CC" w:rsidRDefault="004B43EE" w:rsidP="004B43EE">
      <w:pPr>
        <w:jc w:val="center"/>
      </w:pPr>
      <w:r>
        <w:rPr>
          <w:noProof/>
        </w:rPr>
        <w:lastRenderedPageBreak/>
        <w:drawing>
          <wp:inline distT="0" distB="0" distL="0" distR="0" wp14:anchorId="51EDA17D" wp14:editId="24592595">
            <wp:extent cx="5796980" cy="2876550"/>
            <wp:effectExtent l="0" t="0" r="0" b="0"/>
            <wp:docPr id="12912497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854529" cy="2905107"/>
                    </a:xfrm>
                    <a:prstGeom prst="rect">
                      <a:avLst/>
                    </a:prstGeom>
                    <a:noFill/>
                  </pic:spPr>
                </pic:pic>
              </a:graphicData>
            </a:graphic>
          </wp:inline>
        </w:drawing>
      </w:r>
    </w:p>
    <w:p w14:paraId="2C718701" w14:textId="77777777" w:rsidR="004B43EE" w:rsidRPr="002274CC" w:rsidRDefault="004B43EE" w:rsidP="004B43EE">
      <w:pPr>
        <w:jc w:val="both"/>
      </w:pPr>
      <w:r w:rsidRPr="003266E2">
        <w:t xml:space="preserve">There are no indications of discontinuities close to the </w:t>
      </w:r>
      <w:proofErr w:type="spellStart"/>
      <w:r>
        <w:t>normalised</w:t>
      </w:r>
      <w:proofErr w:type="spellEnd"/>
      <w:r w:rsidRPr="003266E2">
        <w:t xml:space="preserve"> cut-off in the NS frequency histogram displayed in Figure 1(a). A more thorough analysis of manipulation is carried out in Figure 1(b), which provides estimates of the density function and closely examines the region surrounding the cut-off. There appears to be an absence of manipulation based on the overlapping 95% confidence boundaries on both sides. Finally, following the guidelines provided by Cattaneo et al. (2020) and McCrary (2008)</w:t>
      </w:r>
      <w:r>
        <w:t xml:space="preserve">, the study </w:t>
      </w:r>
      <w:r w:rsidRPr="003266E2">
        <w:t>perform</w:t>
      </w:r>
      <w:r>
        <w:t>ed</w:t>
      </w:r>
      <w:r w:rsidRPr="003266E2">
        <w:t xml:space="preserve"> the prescribed tests and </w:t>
      </w:r>
      <w:r>
        <w:t>failed to reject the null hypothesis,</w:t>
      </w:r>
      <w:r w:rsidRPr="003266E2">
        <w:t xml:space="preserve"> </w:t>
      </w:r>
      <w:r>
        <w:t xml:space="preserve">showing </w:t>
      </w:r>
      <w:r w:rsidRPr="003266E2">
        <w:t>no discontinuity in either case</w:t>
      </w:r>
      <w:r w:rsidRPr="002274CC">
        <w:t>.</w:t>
      </w:r>
    </w:p>
    <w:p w14:paraId="1A550822" w14:textId="069E0282" w:rsidR="004B43EE" w:rsidRPr="002274CC" w:rsidRDefault="004B43EE" w:rsidP="004B43EE">
      <w:pPr>
        <w:jc w:val="both"/>
      </w:pPr>
      <w:r w:rsidRPr="009658FF">
        <w:t xml:space="preserve">Due to the restriction that qualifying firms could not run for more than five years, </w:t>
      </w:r>
      <w:r>
        <w:t xml:space="preserve">initial treatment balance sheet data transparency </w:t>
      </w:r>
      <w:r w:rsidRPr="009658FF">
        <w:t xml:space="preserve">differs widely. Next, </w:t>
      </w:r>
      <w:r>
        <w:t xml:space="preserve">the study uses pre-treatment characteristics to </w:t>
      </w:r>
      <w:proofErr w:type="spellStart"/>
      <w:r>
        <w:t>analyse</w:t>
      </w:r>
      <w:proofErr w:type="spellEnd"/>
      <w:r>
        <w:t xml:space="preserve"> Equation (1) to evaluate ex-ante variable variations</w:t>
      </w:r>
      <w:r w:rsidRPr="005272F6">
        <w:t xml:space="preserve">. Consequently, we </w:t>
      </w:r>
      <w:proofErr w:type="spellStart"/>
      <w:r>
        <w:t>utilise</w:t>
      </w:r>
      <w:proofErr w:type="spellEnd"/>
      <w:r w:rsidRPr="005272F6">
        <w:t xml:space="preserve"> the </w:t>
      </w:r>
      <w:r w:rsidR="00837CC1" w:rsidRPr="000B01F5">
        <w:rPr>
          <w:highlight w:val="yellow"/>
        </w:rPr>
        <w:t>means</w:t>
      </w:r>
      <w:r w:rsidR="00837CC1" w:rsidRPr="000B01F5">
        <w:rPr>
          <w:highlight w:val="yellow"/>
        </w:rPr>
        <w:t xml:space="preserve"> </w:t>
      </w:r>
      <w:r w:rsidRPr="005272F6">
        <w:t>of firm attributes from the preceding three financial years leading up to the application</w:t>
      </w:r>
      <w:r>
        <w:t>’s</w:t>
      </w:r>
      <w:r w:rsidRPr="005272F6">
        <w:t xml:space="preserve"> deadline. Table 1</w:t>
      </w:r>
      <w:r>
        <w:t>, in its 1 to 8 Columns, reveals</w:t>
      </w:r>
      <w:r w:rsidRPr="005272F6">
        <w:t xml:space="preserve"> no significant differences among </w:t>
      </w:r>
      <w:proofErr w:type="gramStart"/>
      <w:r w:rsidRPr="005272F6">
        <w:t>firms</w:t>
      </w:r>
      <w:proofErr w:type="gramEnd"/>
      <w:r w:rsidRPr="005272F6">
        <w:t xml:space="preserve"> </w:t>
      </w:r>
      <w:r>
        <w:t>ex-ante</w:t>
      </w:r>
      <w:r w:rsidRPr="005272F6">
        <w:t xml:space="preserve"> regarding innovation experience</w:t>
      </w:r>
      <w:r>
        <w:t xml:space="preserve">, </w:t>
      </w:r>
      <w:r w:rsidRPr="005272F6">
        <w:t>wages,</w:t>
      </w:r>
      <w:r>
        <w:t xml:space="preserve"> </w:t>
      </w:r>
      <w:r w:rsidRPr="005272F6">
        <w:t xml:space="preserve">enterprise </w:t>
      </w:r>
      <w:proofErr w:type="gramStart"/>
      <w:r w:rsidRPr="005272F6">
        <w:t>success,  assets</w:t>
      </w:r>
      <w:proofErr w:type="gramEnd"/>
      <w:r w:rsidRPr="005272F6">
        <w:t>,</w:t>
      </w:r>
      <w:r>
        <w:t xml:space="preserve"> </w:t>
      </w:r>
      <w:r w:rsidRPr="005272F6">
        <w:t>and debt</w:t>
      </w:r>
      <w:r>
        <w:t>,</w:t>
      </w:r>
      <w:r w:rsidRPr="005272F6">
        <w:t xml:space="preserve"> </w:t>
      </w:r>
      <w:r>
        <w:t>reinforcing our research design's validity</w:t>
      </w:r>
      <w:r w:rsidRPr="005272F6">
        <w:t xml:space="preserve">. Ultimately, </w:t>
      </w:r>
      <w:r>
        <w:t>column 9 indicates a noteworthy and statistically significant correlation between</w:t>
      </w:r>
      <w:r w:rsidRPr="005272F6">
        <w:t xml:space="preserve"> achieving the </w:t>
      </w:r>
      <w:r>
        <w:t>required rating</w:t>
      </w:r>
      <w:r w:rsidRPr="005272F6">
        <w:t xml:space="preserve"> and obtaining the subsidy</w:t>
      </w:r>
      <w:r w:rsidR="006B3BD6">
        <w:t>—the</w:t>
      </w:r>
      <w:r w:rsidRPr="005272F6">
        <w:t xml:space="preserve"> </w:t>
      </w:r>
      <w:r w:rsidR="00837CC1" w:rsidRPr="000B01F5">
        <w:rPr>
          <w:highlight w:val="yellow"/>
        </w:rPr>
        <w:t>values below 20</w:t>
      </w:r>
      <w:r w:rsidR="006B3BD6" w:rsidRPr="000B01F5">
        <w:rPr>
          <w:highlight w:val="yellow"/>
        </w:rPr>
        <w:t xml:space="preserve"> </w:t>
      </w:r>
      <w:r w:rsidR="006B3BD6">
        <w:t>from the F-statistic support</w:t>
      </w:r>
      <w:r w:rsidRPr="005272F6">
        <w:t xml:space="preserve"> our decision to present ITT estimates</w:t>
      </w:r>
      <w:r w:rsidRPr="002274CC">
        <w:t>.</w:t>
      </w:r>
    </w:p>
    <w:p w14:paraId="4B25C0DD" w14:textId="77777777" w:rsidR="004B43EE" w:rsidRPr="00747582" w:rsidRDefault="004B43EE" w:rsidP="004B43EE">
      <w:pPr>
        <w:jc w:val="both"/>
        <w:rPr>
          <w:b/>
          <w:bCs/>
        </w:rPr>
      </w:pPr>
      <w:r w:rsidRPr="00B67F15">
        <w:rPr>
          <w:b/>
          <w:bCs/>
        </w:rPr>
        <w:t xml:space="preserve">Table 1: </w:t>
      </w:r>
      <w:r w:rsidRPr="00747582">
        <w:rPr>
          <w:b/>
          <w:bCs/>
        </w:rPr>
        <w:t>Balancing of Covariates and Effect on Subsidy</w:t>
      </w:r>
    </w:p>
    <w:tbl>
      <w:tblPr>
        <w:tblW w:w="0" w:type="auto"/>
        <w:tblInd w:w="75" w:type="dxa"/>
        <w:tblBorders>
          <w:top w:val="single" w:sz="6" w:space="0" w:color="auto"/>
          <w:left w:val="single" w:sz="6" w:space="0" w:color="auto"/>
          <w:bottom w:val="single" w:sz="6" w:space="0" w:color="auto"/>
          <w:right w:val="single" w:sz="6" w:space="0" w:color="auto"/>
        </w:tblBorders>
        <w:shd w:val="clear" w:color="auto" w:fill="FAFAFA"/>
        <w:tblCellMar>
          <w:top w:w="15" w:type="dxa"/>
          <w:left w:w="15" w:type="dxa"/>
          <w:bottom w:w="15" w:type="dxa"/>
          <w:right w:w="15" w:type="dxa"/>
        </w:tblCellMar>
        <w:tblLook w:val="04A0" w:firstRow="1" w:lastRow="0" w:firstColumn="1" w:lastColumn="0" w:noHBand="0" w:noVBand="1"/>
      </w:tblPr>
      <w:tblGrid>
        <w:gridCol w:w="1193"/>
        <w:gridCol w:w="883"/>
        <w:gridCol w:w="1011"/>
        <w:gridCol w:w="670"/>
        <w:gridCol w:w="1415"/>
        <w:gridCol w:w="958"/>
        <w:gridCol w:w="670"/>
        <w:gridCol w:w="738"/>
        <w:gridCol w:w="901"/>
        <w:gridCol w:w="830"/>
      </w:tblGrid>
      <w:tr w:rsidR="004B43EE" w:rsidRPr="009658FF" w14:paraId="3D9DEABA" w14:textId="77777777" w:rsidTr="00351B28">
        <w:trPr>
          <w:tblHeader/>
        </w:trPr>
        <w:tc>
          <w:tcPr>
            <w:tcW w:w="1193" w:type="dxa"/>
            <w:tcBorders>
              <w:top w:val="single" w:sz="6" w:space="0" w:color="auto"/>
              <w:left w:val="single" w:sz="6" w:space="0" w:color="auto"/>
              <w:bottom w:val="single" w:sz="6" w:space="0" w:color="auto"/>
              <w:right w:val="single" w:sz="6" w:space="0" w:color="auto"/>
            </w:tcBorders>
            <w:shd w:val="clear" w:color="auto" w:fill="FAFAFA"/>
            <w:tcMar>
              <w:top w:w="15" w:type="dxa"/>
              <w:left w:w="75" w:type="dxa"/>
              <w:bottom w:w="15" w:type="dxa"/>
              <w:right w:w="75" w:type="dxa"/>
            </w:tcMar>
            <w:vAlign w:val="center"/>
            <w:hideMark/>
          </w:tcPr>
          <w:p w14:paraId="0264C730" w14:textId="77777777" w:rsidR="004B43EE" w:rsidRPr="009658FF" w:rsidRDefault="004B43EE" w:rsidP="00351B28">
            <w:pPr>
              <w:jc w:val="both"/>
              <w:rPr>
                <w:b/>
                <w:bCs/>
                <w:sz w:val="18"/>
                <w:szCs w:val="18"/>
              </w:rPr>
            </w:pPr>
            <w:r w:rsidRPr="009658FF">
              <w:rPr>
                <w:b/>
                <w:bCs/>
                <w:sz w:val="18"/>
                <w:szCs w:val="18"/>
              </w:rPr>
              <w:t>Variable</w:t>
            </w:r>
          </w:p>
        </w:tc>
        <w:tc>
          <w:tcPr>
            <w:tcW w:w="0" w:type="auto"/>
            <w:tcBorders>
              <w:top w:val="single" w:sz="6" w:space="0" w:color="auto"/>
              <w:left w:val="single" w:sz="6" w:space="0" w:color="auto"/>
              <w:bottom w:val="single" w:sz="6" w:space="0" w:color="auto"/>
              <w:right w:val="single" w:sz="6" w:space="0" w:color="auto"/>
            </w:tcBorders>
            <w:shd w:val="clear" w:color="auto" w:fill="FAFAFA"/>
            <w:tcMar>
              <w:top w:w="15" w:type="dxa"/>
              <w:left w:w="75" w:type="dxa"/>
              <w:bottom w:w="15" w:type="dxa"/>
              <w:right w:w="75" w:type="dxa"/>
            </w:tcMar>
            <w:vAlign w:val="center"/>
            <w:hideMark/>
          </w:tcPr>
          <w:p w14:paraId="6F3A3B4D" w14:textId="77777777" w:rsidR="004B43EE" w:rsidRPr="009658FF" w:rsidRDefault="004B43EE" w:rsidP="00351B28">
            <w:pPr>
              <w:jc w:val="both"/>
              <w:rPr>
                <w:b/>
                <w:bCs/>
                <w:sz w:val="18"/>
                <w:szCs w:val="18"/>
              </w:rPr>
            </w:pPr>
            <w:r w:rsidRPr="009658FF">
              <w:rPr>
                <w:b/>
                <w:bCs/>
                <w:sz w:val="18"/>
                <w:szCs w:val="18"/>
              </w:rPr>
              <w:t>Tangible Assets</w:t>
            </w:r>
          </w:p>
        </w:tc>
        <w:tc>
          <w:tcPr>
            <w:tcW w:w="0" w:type="auto"/>
            <w:tcBorders>
              <w:top w:val="single" w:sz="6" w:space="0" w:color="auto"/>
              <w:left w:val="single" w:sz="6" w:space="0" w:color="auto"/>
              <w:bottom w:val="single" w:sz="6" w:space="0" w:color="auto"/>
              <w:right w:val="single" w:sz="6" w:space="0" w:color="auto"/>
            </w:tcBorders>
            <w:shd w:val="clear" w:color="auto" w:fill="FAFAFA"/>
            <w:tcMar>
              <w:top w:w="15" w:type="dxa"/>
              <w:left w:w="75" w:type="dxa"/>
              <w:bottom w:w="15" w:type="dxa"/>
              <w:right w:w="75" w:type="dxa"/>
            </w:tcMar>
            <w:vAlign w:val="center"/>
            <w:hideMark/>
          </w:tcPr>
          <w:p w14:paraId="2801E207" w14:textId="77777777" w:rsidR="004B43EE" w:rsidRPr="009658FF" w:rsidRDefault="004B43EE" w:rsidP="00351B28">
            <w:pPr>
              <w:jc w:val="both"/>
              <w:rPr>
                <w:b/>
                <w:bCs/>
                <w:sz w:val="18"/>
                <w:szCs w:val="18"/>
              </w:rPr>
            </w:pPr>
            <w:r w:rsidRPr="009658FF">
              <w:rPr>
                <w:b/>
                <w:bCs/>
                <w:sz w:val="18"/>
                <w:szCs w:val="18"/>
              </w:rPr>
              <w:t>Intangible Assets</w:t>
            </w:r>
          </w:p>
        </w:tc>
        <w:tc>
          <w:tcPr>
            <w:tcW w:w="0" w:type="auto"/>
            <w:tcBorders>
              <w:top w:val="single" w:sz="6" w:space="0" w:color="auto"/>
              <w:left w:val="single" w:sz="6" w:space="0" w:color="auto"/>
              <w:bottom w:val="single" w:sz="6" w:space="0" w:color="auto"/>
              <w:right w:val="single" w:sz="6" w:space="0" w:color="auto"/>
            </w:tcBorders>
            <w:shd w:val="clear" w:color="auto" w:fill="FAFAFA"/>
            <w:tcMar>
              <w:top w:w="15" w:type="dxa"/>
              <w:left w:w="75" w:type="dxa"/>
              <w:bottom w:w="15" w:type="dxa"/>
              <w:right w:w="75" w:type="dxa"/>
            </w:tcMar>
            <w:vAlign w:val="center"/>
            <w:hideMark/>
          </w:tcPr>
          <w:p w14:paraId="6B48E40F" w14:textId="77777777" w:rsidR="004B43EE" w:rsidRPr="009658FF" w:rsidRDefault="004B43EE" w:rsidP="00351B28">
            <w:pPr>
              <w:jc w:val="both"/>
              <w:rPr>
                <w:b/>
                <w:bCs/>
                <w:sz w:val="18"/>
                <w:szCs w:val="18"/>
              </w:rPr>
            </w:pPr>
            <w:r w:rsidRPr="009658FF">
              <w:rPr>
                <w:b/>
                <w:bCs/>
                <w:sz w:val="18"/>
                <w:szCs w:val="18"/>
              </w:rPr>
              <w:t>Sales</w:t>
            </w:r>
          </w:p>
        </w:tc>
        <w:tc>
          <w:tcPr>
            <w:tcW w:w="0" w:type="auto"/>
            <w:tcBorders>
              <w:top w:val="single" w:sz="6" w:space="0" w:color="auto"/>
              <w:left w:val="single" w:sz="6" w:space="0" w:color="auto"/>
              <w:bottom w:val="single" w:sz="6" w:space="0" w:color="auto"/>
              <w:right w:val="single" w:sz="6" w:space="0" w:color="auto"/>
            </w:tcBorders>
            <w:shd w:val="clear" w:color="auto" w:fill="FAFAFA"/>
            <w:tcMar>
              <w:top w:w="15" w:type="dxa"/>
              <w:left w:w="75" w:type="dxa"/>
              <w:bottom w:w="15" w:type="dxa"/>
              <w:right w:w="75" w:type="dxa"/>
            </w:tcMar>
            <w:vAlign w:val="center"/>
            <w:hideMark/>
          </w:tcPr>
          <w:p w14:paraId="6661F228" w14:textId="77777777" w:rsidR="004B43EE" w:rsidRPr="009658FF" w:rsidRDefault="004B43EE" w:rsidP="00351B28">
            <w:pPr>
              <w:jc w:val="both"/>
              <w:rPr>
                <w:b/>
                <w:bCs/>
                <w:sz w:val="18"/>
                <w:szCs w:val="18"/>
              </w:rPr>
            </w:pPr>
            <w:r w:rsidRPr="009658FF">
              <w:rPr>
                <w:b/>
                <w:bCs/>
                <w:sz w:val="18"/>
                <w:szCs w:val="18"/>
              </w:rPr>
              <w:t>Sales/Employees</w:t>
            </w:r>
          </w:p>
        </w:tc>
        <w:tc>
          <w:tcPr>
            <w:tcW w:w="0" w:type="auto"/>
            <w:tcBorders>
              <w:top w:val="single" w:sz="6" w:space="0" w:color="auto"/>
              <w:left w:val="single" w:sz="6" w:space="0" w:color="auto"/>
              <w:bottom w:val="single" w:sz="6" w:space="0" w:color="auto"/>
              <w:right w:val="single" w:sz="6" w:space="0" w:color="auto"/>
            </w:tcBorders>
            <w:shd w:val="clear" w:color="auto" w:fill="FAFAFA"/>
            <w:tcMar>
              <w:top w:w="15" w:type="dxa"/>
              <w:left w:w="75" w:type="dxa"/>
              <w:bottom w:w="15" w:type="dxa"/>
              <w:right w:w="75" w:type="dxa"/>
            </w:tcMar>
            <w:vAlign w:val="center"/>
            <w:hideMark/>
          </w:tcPr>
          <w:p w14:paraId="5693D926" w14:textId="77777777" w:rsidR="004B43EE" w:rsidRPr="009658FF" w:rsidRDefault="004B43EE" w:rsidP="00351B28">
            <w:pPr>
              <w:jc w:val="both"/>
              <w:rPr>
                <w:b/>
                <w:bCs/>
                <w:sz w:val="18"/>
                <w:szCs w:val="18"/>
              </w:rPr>
            </w:pPr>
            <w:r w:rsidRPr="009658FF">
              <w:rPr>
                <w:b/>
                <w:bCs/>
                <w:sz w:val="18"/>
                <w:szCs w:val="18"/>
              </w:rPr>
              <w:t>Employees</w:t>
            </w:r>
          </w:p>
        </w:tc>
        <w:tc>
          <w:tcPr>
            <w:tcW w:w="0" w:type="auto"/>
            <w:tcBorders>
              <w:top w:val="single" w:sz="6" w:space="0" w:color="auto"/>
              <w:left w:val="single" w:sz="6" w:space="0" w:color="auto"/>
              <w:bottom w:val="single" w:sz="6" w:space="0" w:color="auto"/>
              <w:right w:val="single" w:sz="6" w:space="0" w:color="auto"/>
            </w:tcBorders>
            <w:shd w:val="clear" w:color="auto" w:fill="FAFAFA"/>
            <w:tcMar>
              <w:top w:w="15" w:type="dxa"/>
              <w:left w:w="75" w:type="dxa"/>
              <w:bottom w:w="15" w:type="dxa"/>
              <w:right w:w="75" w:type="dxa"/>
            </w:tcMar>
            <w:vAlign w:val="center"/>
            <w:hideMark/>
          </w:tcPr>
          <w:p w14:paraId="00FE60DF" w14:textId="77777777" w:rsidR="004B43EE" w:rsidRPr="009658FF" w:rsidRDefault="004B43EE" w:rsidP="00351B28">
            <w:pPr>
              <w:jc w:val="both"/>
              <w:rPr>
                <w:b/>
                <w:bCs/>
                <w:sz w:val="18"/>
                <w:szCs w:val="18"/>
              </w:rPr>
            </w:pPr>
            <w:r w:rsidRPr="009658FF">
              <w:rPr>
                <w:b/>
                <w:bCs/>
                <w:sz w:val="18"/>
                <w:szCs w:val="18"/>
              </w:rPr>
              <w:t>Wage</w:t>
            </w:r>
          </w:p>
        </w:tc>
        <w:tc>
          <w:tcPr>
            <w:tcW w:w="0" w:type="auto"/>
            <w:tcBorders>
              <w:top w:val="single" w:sz="6" w:space="0" w:color="auto"/>
              <w:left w:val="single" w:sz="6" w:space="0" w:color="auto"/>
              <w:bottom w:val="single" w:sz="6" w:space="0" w:color="auto"/>
              <w:right w:val="single" w:sz="6" w:space="0" w:color="auto"/>
            </w:tcBorders>
            <w:shd w:val="clear" w:color="auto" w:fill="FAFAFA"/>
            <w:tcMar>
              <w:top w:w="15" w:type="dxa"/>
              <w:left w:w="75" w:type="dxa"/>
              <w:bottom w:w="15" w:type="dxa"/>
              <w:right w:w="75" w:type="dxa"/>
            </w:tcMar>
            <w:vAlign w:val="center"/>
            <w:hideMark/>
          </w:tcPr>
          <w:p w14:paraId="39D70B3A" w14:textId="77777777" w:rsidR="004B43EE" w:rsidRPr="009658FF" w:rsidRDefault="004B43EE" w:rsidP="00351B28">
            <w:pPr>
              <w:jc w:val="both"/>
              <w:rPr>
                <w:b/>
                <w:bCs/>
                <w:sz w:val="18"/>
                <w:szCs w:val="18"/>
              </w:rPr>
            </w:pPr>
            <w:r w:rsidRPr="009658FF">
              <w:rPr>
                <w:b/>
                <w:bCs/>
                <w:sz w:val="18"/>
                <w:szCs w:val="18"/>
              </w:rPr>
              <w:t>Total Debts</w:t>
            </w:r>
          </w:p>
        </w:tc>
        <w:tc>
          <w:tcPr>
            <w:tcW w:w="0" w:type="auto"/>
            <w:tcBorders>
              <w:top w:val="single" w:sz="6" w:space="0" w:color="auto"/>
              <w:left w:val="single" w:sz="6" w:space="0" w:color="auto"/>
              <w:bottom w:val="single" w:sz="6" w:space="0" w:color="auto"/>
              <w:right w:val="single" w:sz="6" w:space="0" w:color="auto"/>
            </w:tcBorders>
            <w:shd w:val="clear" w:color="auto" w:fill="FAFAFA"/>
            <w:tcMar>
              <w:top w:w="15" w:type="dxa"/>
              <w:left w:w="75" w:type="dxa"/>
              <w:bottom w:w="15" w:type="dxa"/>
              <w:right w:w="75" w:type="dxa"/>
            </w:tcMar>
            <w:vAlign w:val="center"/>
            <w:hideMark/>
          </w:tcPr>
          <w:p w14:paraId="09D67D1A" w14:textId="77777777" w:rsidR="004B43EE" w:rsidRPr="009658FF" w:rsidRDefault="004B43EE" w:rsidP="00351B28">
            <w:pPr>
              <w:jc w:val="both"/>
              <w:rPr>
                <w:b/>
                <w:bCs/>
                <w:sz w:val="18"/>
                <w:szCs w:val="18"/>
              </w:rPr>
            </w:pPr>
            <w:r w:rsidRPr="009658FF">
              <w:rPr>
                <w:b/>
                <w:bCs/>
                <w:sz w:val="18"/>
                <w:szCs w:val="18"/>
              </w:rPr>
              <w:t>Ever Patented</w:t>
            </w:r>
          </w:p>
        </w:tc>
        <w:tc>
          <w:tcPr>
            <w:tcW w:w="0" w:type="auto"/>
            <w:tcBorders>
              <w:top w:val="single" w:sz="6" w:space="0" w:color="auto"/>
              <w:left w:val="single" w:sz="6" w:space="0" w:color="auto"/>
              <w:bottom w:val="single" w:sz="6" w:space="0" w:color="auto"/>
              <w:right w:val="single" w:sz="6" w:space="0" w:color="auto"/>
            </w:tcBorders>
            <w:shd w:val="clear" w:color="auto" w:fill="FAFAFA"/>
            <w:tcMar>
              <w:top w:w="15" w:type="dxa"/>
              <w:left w:w="75" w:type="dxa"/>
              <w:bottom w:w="15" w:type="dxa"/>
              <w:right w:w="75" w:type="dxa"/>
            </w:tcMar>
            <w:vAlign w:val="center"/>
            <w:hideMark/>
          </w:tcPr>
          <w:p w14:paraId="048A02E6" w14:textId="77777777" w:rsidR="004B43EE" w:rsidRPr="009658FF" w:rsidRDefault="004B43EE" w:rsidP="00351B28">
            <w:pPr>
              <w:jc w:val="both"/>
              <w:rPr>
                <w:b/>
                <w:bCs/>
                <w:sz w:val="18"/>
                <w:szCs w:val="18"/>
              </w:rPr>
            </w:pPr>
            <w:r w:rsidRPr="009658FF">
              <w:rPr>
                <w:b/>
                <w:bCs/>
                <w:sz w:val="18"/>
                <w:szCs w:val="18"/>
              </w:rPr>
              <w:t>Subsidy</w:t>
            </w:r>
          </w:p>
        </w:tc>
      </w:tr>
      <w:tr w:rsidR="004B43EE" w:rsidRPr="009658FF" w14:paraId="67F1BE27" w14:textId="77777777" w:rsidTr="00351B28">
        <w:tc>
          <w:tcPr>
            <w:tcW w:w="1193" w:type="dxa"/>
            <w:tcBorders>
              <w:top w:val="single" w:sz="6" w:space="0" w:color="auto"/>
              <w:left w:val="single" w:sz="6" w:space="0" w:color="auto"/>
              <w:bottom w:val="single" w:sz="6" w:space="0" w:color="auto"/>
              <w:right w:val="single" w:sz="6" w:space="0" w:color="auto"/>
            </w:tcBorders>
            <w:shd w:val="clear" w:color="auto" w:fill="FAFAFA"/>
            <w:tcMar>
              <w:top w:w="15" w:type="dxa"/>
              <w:left w:w="75" w:type="dxa"/>
              <w:bottom w:w="15" w:type="dxa"/>
              <w:right w:w="75" w:type="dxa"/>
            </w:tcMar>
            <w:vAlign w:val="center"/>
            <w:hideMark/>
          </w:tcPr>
          <w:p w14:paraId="6E42ABBF" w14:textId="77777777" w:rsidR="004B43EE" w:rsidRPr="009658FF" w:rsidRDefault="004B43EE" w:rsidP="00351B28">
            <w:pPr>
              <w:jc w:val="both"/>
              <w:rPr>
                <w:sz w:val="18"/>
                <w:szCs w:val="18"/>
              </w:rPr>
            </w:pPr>
            <w:r w:rsidRPr="009658FF">
              <w:rPr>
                <w:sz w:val="18"/>
                <w:szCs w:val="18"/>
              </w:rPr>
              <w:t>Treated</w:t>
            </w:r>
          </w:p>
        </w:tc>
        <w:tc>
          <w:tcPr>
            <w:tcW w:w="0" w:type="auto"/>
            <w:tcBorders>
              <w:top w:val="single" w:sz="6" w:space="0" w:color="auto"/>
              <w:left w:val="single" w:sz="6" w:space="0" w:color="auto"/>
              <w:bottom w:val="single" w:sz="6" w:space="0" w:color="auto"/>
              <w:right w:val="single" w:sz="6" w:space="0" w:color="auto"/>
            </w:tcBorders>
            <w:shd w:val="clear" w:color="auto" w:fill="FAFAFA"/>
            <w:tcMar>
              <w:top w:w="15" w:type="dxa"/>
              <w:left w:w="75" w:type="dxa"/>
              <w:bottom w:w="15" w:type="dxa"/>
              <w:right w:w="75" w:type="dxa"/>
            </w:tcMar>
            <w:vAlign w:val="center"/>
            <w:hideMark/>
          </w:tcPr>
          <w:p w14:paraId="0EC3B7D9" w14:textId="77777777" w:rsidR="004B43EE" w:rsidRPr="009658FF" w:rsidRDefault="004B43EE" w:rsidP="00351B28">
            <w:pPr>
              <w:jc w:val="both"/>
              <w:rPr>
                <w:sz w:val="18"/>
                <w:szCs w:val="18"/>
              </w:rPr>
            </w:pPr>
            <w:r w:rsidRPr="009658FF">
              <w:rPr>
                <w:sz w:val="18"/>
                <w:szCs w:val="18"/>
              </w:rPr>
              <w:t>1.075</w:t>
            </w:r>
          </w:p>
        </w:tc>
        <w:tc>
          <w:tcPr>
            <w:tcW w:w="0" w:type="auto"/>
            <w:tcBorders>
              <w:top w:val="single" w:sz="6" w:space="0" w:color="auto"/>
              <w:left w:val="single" w:sz="6" w:space="0" w:color="auto"/>
              <w:bottom w:val="single" w:sz="6" w:space="0" w:color="auto"/>
              <w:right w:val="single" w:sz="6" w:space="0" w:color="auto"/>
            </w:tcBorders>
            <w:shd w:val="clear" w:color="auto" w:fill="FAFAFA"/>
            <w:tcMar>
              <w:top w:w="15" w:type="dxa"/>
              <w:left w:w="75" w:type="dxa"/>
              <w:bottom w:w="15" w:type="dxa"/>
              <w:right w:w="75" w:type="dxa"/>
            </w:tcMar>
            <w:vAlign w:val="center"/>
            <w:hideMark/>
          </w:tcPr>
          <w:p w14:paraId="0570C43F" w14:textId="77777777" w:rsidR="004B43EE" w:rsidRPr="009658FF" w:rsidRDefault="004B43EE" w:rsidP="00351B28">
            <w:pPr>
              <w:jc w:val="both"/>
              <w:rPr>
                <w:sz w:val="18"/>
                <w:szCs w:val="18"/>
              </w:rPr>
            </w:pPr>
            <w:r w:rsidRPr="009658FF">
              <w:rPr>
                <w:sz w:val="18"/>
                <w:szCs w:val="18"/>
              </w:rPr>
              <w:t>-1.052</w:t>
            </w:r>
          </w:p>
        </w:tc>
        <w:tc>
          <w:tcPr>
            <w:tcW w:w="0" w:type="auto"/>
            <w:tcBorders>
              <w:top w:val="single" w:sz="6" w:space="0" w:color="auto"/>
              <w:left w:val="single" w:sz="6" w:space="0" w:color="auto"/>
              <w:bottom w:val="single" w:sz="6" w:space="0" w:color="auto"/>
              <w:right w:val="single" w:sz="6" w:space="0" w:color="auto"/>
            </w:tcBorders>
            <w:shd w:val="clear" w:color="auto" w:fill="FAFAFA"/>
            <w:tcMar>
              <w:top w:w="15" w:type="dxa"/>
              <w:left w:w="75" w:type="dxa"/>
              <w:bottom w:w="15" w:type="dxa"/>
              <w:right w:w="75" w:type="dxa"/>
            </w:tcMar>
            <w:vAlign w:val="center"/>
            <w:hideMark/>
          </w:tcPr>
          <w:p w14:paraId="52255225" w14:textId="77777777" w:rsidR="004B43EE" w:rsidRPr="009658FF" w:rsidRDefault="004B43EE" w:rsidP="00351B28">
            <w:pPr>
              <w:jc w:val="both"/>
              <w:rPr>
                <w:sz w:val="18"/>
                <w:szCs w:val="18"/>
              </w:rPr>
            </w:pPr>
            <w:r w:rsidRPr="009658FF">
              <w:rPr>
                <w:sz w:val="18"/>
                <w:szCs w:val="18"/>
              </w:rPr>
              <w:t>1.043</w:t>
            </w:r>
          </w:p>
        </w:tc>
        <w:tc>
          <w:tcPr>
            <w:tcW w:w="0" w:type="auto"/>
            <w:tcBorders>
              <w:top w:val="single" w:sz="6" w:space="0" w:color="auto"/>
              <w:left w:val="single" w:sz="6" w:space="0" w:color="auto"/>
              <w:bottom w:val="single" w:sz="6" w:space="0" w:color="auto"/>
              <w:right w:val="single" w:sz="6" w:space="0" w:color="auto"/>
            </w:tcBorders>
            <w:shd w:val="clear" w:color="auto" w:fill="FAFAFA"/>
            <w:tcMar>
              <w:top w:w="15" w:type="dxa"/>
              <w:left w:w="75" w:type="dxa"/>
              <w:bottom w:w="15" w:type="dxa"/>
              <w:right w:w="75" w:type="dxa"/>
            </w:tcMar>
            <w:vAlign w:val="center"/>
            <w:hideMark/>
          </w:tcPr>
          <w:p w14:paraId="7CCD2430" w14:textId="77777777" w:rsidR="004B43EE" w:rsidRPr="009658FF" w:rsidRDefault="004B43EE" w:rsidP="00351B28">
            <w:pPr>
              <w:jc w:val="both"/>
              <w:rPr>
                <w:sz w:val="18"/>
                <w:szCs w:val="18"/>
              </w:rPr>
            </w:pPr>
            <w:r w:rsidRPr="009658FF">
              <w:rPr>
                <w:sz w:val="18"/>
                <w:szCs w:val="18"/>
              </w:rPr>
              <w:t>0.889</w:t>
            </w:r>
          </w:p>
        </w:tc>
        <w:tc>
          <w:tcPr>
            <w:tcW w:w="0" w:type="auto"/>
            <w:tcBorders>
              <w:top w:val="single" w:sz="6" w:space="0" w:color="auto"/>
              <w:left w:val="single" w:sz="6" w:space="0" w:color="auto"/>
              <w:bottom w:val="single" w:sz="6" w:space="0" w:color="auto"/>
              <w:right w:val="single" w:sz="6" w:space="0" w:color="auto"/>
            </w:tcBorders>
            <w:shd w:val="clear" w:color="auto" w:fill="FAFAFA"/>
            <w:tcMar>
              <w:top w:w="15" w:type="dxa"/>
              <w:left w:w="75" w:type="dxa"/>
              <w:bottom w:w="15" w:type="dxa"/>
              <w:right w:w="75" w:type="dxa"/>
            </w:tcMar>
            <w:vAlign w:val="center"/>
            <w:hideMark/>
          </w:tcPr>
          <w:p w14:paraId="64F241F7" w14:textId="77777777" w:rsidR="004B43EE" w:rsidRPr="009658FF" w:rsidRDefault="004B43EE" w:rsidP="00351B28">
            <w:pPr>
              <w:jc w:val="both"/>
              <w:rPr>
                <w:sz w:val="18"/>
                <w:szCs w:val="18"/>
              </w:rPr>
            </w:pPr>
            <w:r w:rsidRPr="009658FF">
              <w:rPr>
                <w:sz w:val="18"/>
                <w:szCs w:val="18"/>
              </w:rPr>
              <w:t>-0.190</w:t>
            </w:r>
          </w:p>
        </w:tc>
        <w:tc>
          <w:tcPr>
            <w:tcW w:w="0" w:type="auto"/>
            <w:tcBorders>
              <w:top w:val="single" w:sz="6" w:space="0" w:color="auto"/>
              <w:left w:val="single" w:sz="6" w:space="0" w:color="auto"/>
              <w:bottom w:val="single" w:sz="6" w:space="0" w:color="auto"/>
              <w:right w:val="single" w:sz="6" w:space="0" w:color="auto"/>
            </w:tcBorders>
            <w:shd w:val="clear" w:color="auto" w:fill="FAFAFA"/>
            <w:tcMar>
              <w:top w:w="15" w:type="dxa"/>
              <w:left w:w="75" w:type="dxa"/>
              <w:bottom w:w="15" w:type="dxa"/>
              <w:right w:w="75" w:type="dxa"/>
            </w:tcMar>
            <w:vAlign w:val="center"/>
            <w:hideMark/>
          </w:tcPr>
          <w:p w14:paraId="3CD99CBD" w14:textId="77777777" w:rsidR="004B43EE" w:rsidRPr="009658FF" w:rsidRDefault="004B43EE" w:rsidP="00351B28">
            <w:pPr>
              <w:jc w:val="both"/>
              <w:rPr>
                <w:sz w:val="18"/>
                <w:szCs w:val="18"/>
              </w:rPr>
            </w:pPr>
            <w:r w:rsidRPr="009658FF">
              <w:rPr>
                <w:sz w:val="18"/>
                <w:szCs w:val="18"/>
              </w:rPr>
              <w:t>0.687</w:t>
            </w:r>
          </w:p>
        </w:tc>
        <w:tc>
          <w:tcPr>
            <w:tcW w:w="0" w:type="auto"/>
            <w:tcBorders>
              <w:top w:val="single" w:sz="6" w:space="0" w:color="auto"/>
              <w:left w:val="single" w:sz="6" w:space="0" w:color="auto"/>
              <w:bottom w:val="single" w:sz="6" w:space="0" w:color="auto"/>
              <w:right w:val="single" w:sz="6" w:space="0" w:color="auto"/>
            </w:tcBorders>
            <w:shd w:val="clear" w:color="auto" w:fill="FAFAFA"/>
            <w:tcMar>
              <w:top w:w="15" w:type="dxa"/>
              <w:left w:w="75" w:type="dxa"/>
              <w:bottom w:w="15" w:type="dxa"/>
              <w:right w:w="75" w:type="dxa"/>
            </w:tcMar>
            <w:vAlign w:val="center"/>
            <w:hideMark/>
          </w:tcPr>
          <w:p w14:paraId="035EC9BE" w14:textId="77777777" w:rsidR="004B43EE" w:rsidRPr="009658FF" w:rsidRDefault="004B43EE" w:rsidP="00351B28">
            <w:pPr>
              <w:jc w:val="both"/>
              <w:rPr>
                <w:sz w:val="18"/>
                <w:szCs w:val="18"/>
              </w:rPr>
            </w:pPr>
            <w:r w:rsidRPr="009658FF">
              <w:rPr>
                <w:sz w:val="18"/>
                <w:szCs w:val="18"/>
              </w:rPr>
              <w:t>-0.053</w:t>
            </w:r>
          </w:p>
        </w:tc>
        <w:tc>
          <w:tcPr>
            <w:tcW w:w="0" w:type="auto"/>
            <w:tcBorders>
              <w:top w:val="single" w:sz="6" w:space="0" w:color="auto"/>
              <w:left w:val="single" w:sz="6" w:space="0" w:color="auto"/>
              <w:bottom w:val="single" w:sz="6" w:space="0" w:color="auto"/>
              <w:right w:val="single" w:sz="6" w:space="0" w:color="auto"/>
            </w:tcBorders>
            <w:shd w:val="clear" w:color="auto" w:fill="FAFAFA"/>
            <w:tcMar>
              <w:top w:w="15" w:type="dxa"/>
              <w:left w:w="75" w:type="dxa"/>
              <w:bottom w:w="15" w:type="dxa"/>
              <w:right w:w="75" w:type="dxa"/>
            </w:tcMar>
            <w:vAlign w:val="center"/>
            <w:hideMark/>
          </w:tcPr>
          <w:p w14:paraId="666E31A6" w14:textId="77777777" w:rsidR="004B43EE" w:rsidRPr="009658FF" w:rsidRDefault="004B43EE" w:rsidP="00351B28">
            <w:pPr>
              <w:jc w:val="both"/>
              <w:rPr>
                <w:sz w:val="18"/>
                <w:szCs w:val="18"/>
              </w:rPr>
            </w:pPr>
            <w:r w:rsidRPr="009658FF">
              <w:rPr>
                <w:sz w:val="18"/>
                <w:szCs w:val="18"/>
              </w:rPr>
              <w:t>0.064</w:t>
            </w:r>
          </w:p>
        </w:tc>
        <w:tc>
          <w:tcPr>
            <w:tcW w:w="0" w:type="auto"/>
            <w:tcBorders>
              <w:top w:val="single" w:sz="6" w:space="0" w:color="auto"/>
              <w:left w:val="single" w:sz="6" w:space="0" w:color="auto"/>
              <w:bottom w:val="single" w:sz="6" w:space="0" w:color="auto"/>
              <w:right w:val="single" w:sz="6" w:space="0" w:color="auto"/>
            </w:tcBorders>
            <w:shd w:val="clear" w:color="auto" w:fill="FAFAFA"/>
            <w:tcMar>
              <w:top w:w="15" w:type="dxa"/>
              <w:left w:w="75" w:type="dxa"/>
              <w:bottom w:w="15" w:type="dxa"/>
              <w:right w:w="75" w:type="dxa"/>
            </w:tcMar>
            <w:vAlign w:val="center"/>
            <w:hideMark/>
          </w:tcPr>
          <w:p w14:paraId="2C738CEA" w14:textId="77777777" w:rsidR="004B43EE" w:rsidRPr="009658FF" w:rsidRDefault="004B43EE" w:rsidP="00351B28">
            <w:pPr>
              <w:jc w:val="both"/>
              <w:rPr>
                <w:sz w:val="18"/>
                <w:szCs w:val="18"/>
              </w:rPr>
            </w:pPr>
            <w:r w:rsidRPr="009658FF">
              <w:rPr>
                <w:sz w:val="18"/>
                <w:szCs w:val="18"/>
              </w:rPr>
              <w:t>0.353***</w:t>
            </w:r>
          </w:p>
        </w:tc>
      </w:tr>
      <w:tr w:rsidR="004B43EE" w:rsidRPr="009658FF" w14:paraId="7F3D42E8" w14:textId="77777777" w:rsidTr="00351B28">
        <w:tc>
          <w:tcPr>
            <w:tcW w:w="1193" w:type="dxa"/>
            <w:tcBorders>
              <w:top w:val="single" w:sz="6" w:space="0" w:color="auto"/>
              <w:left w:val="single" w:sz="6" w:space="0" w:color="auto"/>
              <w:bottom w:val="single" w:sz="6" w:space="0" w:color="auto"/>
              <w:right w:val="single" w:sz="6" w:space="0" w:color="auto"/>
            </w:tcBorders>
            <w:shd w:val="clear" w:color="auto" w:fill="FAFAFA"/>
            <w:tcMar>
              <w:top w:w="15" w:type="dxa"/>
              <w:left w:w="75" w:type="dxa"/>
              <w:bottom w:w="15" w:type="dxa"/>
              <w:right w:w="75" w:type="dxa"/>
            </w:tcMar>
            <w:vAlign w:val="center"/>
            <w:hideMark/>
          </w:tcPr>
          <w:p w14:paraId="4018D382" w14:textId="77777777" w:rsidR="004B43EE" w:rsidRPr="009658FF" w:rsidRDefault="004B43EE" w:rsidP="00351B28">
            <w:pPr>
              <w:jc w:val="both"/>
              <w:rPr>
                <w:sz w:val="18"/>
                <w:szCs w:val="18"/>
              </w:rPr>
            </w:pPr>
            <w:r w:rsidRPr="009658FF">
              <w:rPr>
                <w:sz w:val="18"/>
                <w:szCs w:val="18"/>
              </w:rPr>
              <w:t>(Std. Err.)</w:t>
            </w:r>
          </w:p>
        </w:tc>
        <w:tc>
          <w:tcPr>
            <w:tcW w:w="0" w:type="auto"/>
            <w:tcBorders>
              <w:top w:val="single" w:sz="6" w:space="0" w:color="auto"/>
              <w:left w:val="single" w:sz="6" w:space="0" w:color="auto"/>
              <w:bottom w:val="single" w:sz="6" w:space="0" w:color="auto"/>
              <w:right w:val="single" w:sz="6" w:space="0" w:color="auto"/>
            </w:tcBorders>
            <w:shd w:val="clear" w:color="auto" w:fill="FAFAFA"/>
            <w:tcMar>
              <w:top w:w="15" w:type="dxa"/>
              <w:left w:w="75" w:type="dxa"/>
              <w:bottom w:w="15" w:type="dxa"/>
              <w:right w:w="75" w:type="dxa"/>
            </w:tcMar>
            <w:vAlign w:val="center"/>
            <w:hideMark/>
          </w:tcPr>
          <w:p w14:paraId="1376E6F0" w14:textId="77777777" w:rsidR="004B43EE" w:rsidRPr="009658FF" w:rsidRDefault="004B43EE" w:rsidP="00351B28">
            <w:pPr>
              <w:jc w:val="both"/>
              <w:rPr>
                <w:sz w:val="18"/>
                <w:szCs w:val="18"/>
              </w:rPr>
            </w:pPr>
            <w:r w:rsidRPr="009658FF">
              <w:rPr>
                <w:sz w:val="18"/>
                <w:szCs w:val="18"/>
              </w:rPr>
              <w:t>(0.856)</w:t>
            </w:r>
          </w:p>
        </w:tc>
        <w:tc>
          <w:tcPr>
            <w:tcW w:w="0" w:type="auto"/>
            <w:tcBorders>
              <w:top w:val="single" w:sz="6" w:space="0" w:color="auto"/>
              <w:left w:val="single" w:sz="6" w:space="0" w:color="auto"/>
              <w:bottom w:val="single" w:sz="6" w:space="0" w:color="auto"/>
              <w:right w:val="single" w:sz="6" w:space="0" w:color="auto"/>
            </w:tcBorders>
            <w:shd w:val="clear" w:color="auto" w:fill="FAFAFA"/>
            <w:tcMar>
              <w:top w:w="15" w:type="dxa"/>
              <w:left w:w="75" w:type="dxa"/>
              <w:bottom w:w="15" w:type="dxa"/>
              <w:right w:w="75" w:type="dxa"/>
            </w:tcMar>
            <w:vAlign w:val="center"/>
            <w:hideMark/>
          </w:tcPr>
          <w:p w14:paraId="53864E51" w14:textId="77777777" w:rsidR="004B43EE" w:rsidRPr="009658FF" w:rsidRDefault="004B43EE" w:rsidP="00351B28">
            <w:pPr>
              <w:jc w:val="both"/>
              <w:rPr>
                <w:sz w:val="18"/>
                <w:szCs w:val="18"/>
              </w:rPr>
            </w:pPr>
            <w:r w:rsidRPr="009658FF">
              <w:rPr>
                <w:sz w:val="18"/>
                <w:szCs w:val="18"/>
              </w:rPr>
              <w:t>(0.909)</w:t>
            </w:r>
          </w:p>
        </w:tc>
        <w:tc>
          <w:tcPr>
            <w:tcW w:w="0" w:type="auto"/>
            <w:tcBorders>
              <w:top w:val="single" w:sz="6" w:space="0" w:color="auto"/>
              <w:left w:val="single" w:sz="6" w:space="0" w:color="auto"/>
              <w:bottom w:val="single" w:sz="6" w:space="0" w:color="auto"/>
              <w:right w:val="single" w:sz="6" w:space="0" w:color="auto"/>
            </w:tcBorders>
            <w:shd w:val="clear" w:color="auto" w:fill="FAFAFA"/>
            <w:tcMar>
              <w:top w:w="15" w:type="dxa"/>
              <w:left w:w="75" w:type="dxa"/>
              <w:bottom w:w="15" w:type="dxa"/>
              <w:right w:w="75" w:type="dxa"/>
            </w:tcMar>
            <w:vAlign w:val="center"/>
            <w:hideMark/>
          </w:tcPr>
          <w:p w14:paraId="62775E0D" w14:textId="77777777" w:rsidR="004B43EE" w:rsidRPr="009658FF" w:rsidRDefault="004B43EE" w:rsidP="00351B28">
            <w:pPr>
              <w:jc w:val="both"/>
              <w:rPr>
                <w:sz w:val="18"/>
                <w:szCs w:val="18"/>
              </w:rPr>
            </w:pPr>
            <w:r w:rsidRPr="009658FF">
              <w:rPr>
                <w:sz w:val="18"/>
                <w:szCs w:val="18"/>
              </w:rPr>
              <w:t>(0.792)</w:t>
            </w:r>
          </w:p>
        </w:tc>
        <w:tc>
          <w:tcPr>
            <w:tcW w:w="0" w:type="auto"/>
            <w:tcBorders>
              <w:top w:val="single" w:sz="6" w:space="0" w:color="auto"/>
              <w:left w:val="single" w:sz="6" w:space="0" w:color="auto"/>
              <w:bottom w:val="single" w:sz="6" w:space="0" w:color="auto"/>
              <w:right w:val="single" w:sz="6" w:space="0" w:color="auto"/>
            </w:tcBorders>
            <w:shd w:val="clear" w:color="auto" w:fill="FAFAFA"/>
            <w:tcMar>
              <w:top w:w="15" w:type="dxa"/>
              <w:left w:w="75" w:type="dxa"/>
              <w:bottom w:w="15" w:type="dxa"/>
              <w:right w:w="75" w:type="dxa"/>
            </w:tcMar>
            <w:vAlign w:val="center"/>
            <w:hideMark/>
          </w:tcPr>
          <w:p w14:paraId="186016C1" w14:textId="77777777" w:rsidR="004B43EE" w:rsidRPr="009658FF" w:rsidRDefault="004B43EE" w:rsidP="00351B28">
            <w:pPr>
              <w:jc w:val="both"/>
              <w:rPr>
                <w:sz w:val="18"/>
                <w:szCs w:val="18"/>
              </w:rPr>
            </w:pPr>
            <w:r w:rsidRPr="009658FF">
              <w:rPr>
                <w:sz w:val="18"/>
                <w:szCs w:val="18"/>
              </w:rPr>
              <w:t>(1.573)</w:t>
            </w:r>
          </w:p>
        </w:tc>
        <w:tc>
          <w:tcPr>
            <w:tcW w:w="0" w:type="auto"/>
            <w:tcBorders>
              <w:top w:val="single" w:sz="6" w:space="0" w:color="auto"/>
              <w:left w:val="single" w:sz="6" w:space="0" w:color="auto"/>
              <w:bottom w:val="single" w:sz="6" w:space="0" w:color="auto"/>
              <w:right w:val="single" w:sz="6" w:space="0" w:color="auto"/>
            </w:tcBorders>
            <w:shd w:val="clear" w:color="auto" w:fill="FAFAFA"/>
            <w:tcMar>
              <w:top w:w="15" w:type="dxa"/>
              <w:left w:w="75" w:type="dxa"/>
              <w:bottom w:w="15" w:type="dxa"/>
              <w:right w:w="75" w:type="dxa"/>
            </w:tcMar>
            <w:vAlign w:val="center"/>
            <w:hideMark/>
          </w:tcPr>
          <w:p w14:paraId="3955B185" w14:textId="77777777" w:rsidR="004B43EE" w:rsidRPr="009658FF" w:rsidRDefault="004B43EE" w:rsidP="00351B28">
            <w:pPr>
              <w:jc w:val="both"/>
              <w:rPr>
                <w:sz w:val="18"/>
                <w:szCs w:val="18"/>
              </w:rPr>
            </w:pPr>
            <w:r w:rsidRPr="009658FF">
              <w:rPr>
                <w:sz w:val="18"/>
                <w:szCs w:val="18"/>
              </w:rPr>
              <w:t>(1.177)</w:t>
            </w:r>
          </w:p>
        </w:tc>
        <w:tc>
          <w:tcPr>
            <w:tcW w:w="0" w:type="auto"/>
            <w:tcBorders>
              <w:top w:val="single" w:sz="6" w:space="0" w:color="auto"/>
              <w:left w:val="single" w:sz="6" w:space="0" w:color="auto"/>
              <w:bottom w:val="single" w:sz="6" w:space="0" w:color="auto"/>
              <w:right w:val="single" w:sz="6" w:space="0" w:color="auto"/>
            </w:tcBorders>
            <w:shd w:val="clear" w:color="auto" w:fill="FAFAFA"/>
            <w:tcMar>
              <w:top w:w="15" w:type="dxa"/>
              <w:left w:w="75" w:type="dxa"/>
              <w:bottom w:w="15" w:type="dxa"/>
              <w:right w:w="75" w:type="dxa"/>
            </w:tcMar>
            <w:vAlign w:val="center"/>
            <w:hideMark/>
          </w:tcPr>
          <w:p w14:paraId="27881921" w14:textId="77777777" w:rsidR="004B43EE" w:rsidRPr="009658FF" w:rsidRDefault="004B43EE" w:rsidP="00351B28">
            <w:pPr>
              <w:jc w:val="both"/>
              <w:rPr>
                <w:sz w:val="18"/>
                <w:szCs w:val="18"/>
              </w:rPr>
            </w:pPr>
            <w:r w:rsidRPr="009658FF">
              <w:rPr>
                <w:sz w:val="18"/>
                <w:szCs w:val="18"/>
              </w:rPr>
              <w:t>(1.276)</w:t>
            </w:r>
          </w:p>
        </w:tc>
        <w:tc>
          <w:tcPr>
            <w:tcW w:w="0" w:type="auto"/>
            <w:tcBorders>
              <w:top w:val="single" w:sz="6" w:space="0" w:color="auto"/>
              <w:left w:val="single" w:sz="6" w:space="0" w:color="auto"/>
              <w:bottom w:val="single" w:sz="6" w:space="0" w:color="auto"/>
              <w:right w:val="single" w:sz="6" w:space="0" w:color="auto"/>
            </w:tcBorders>
            <w:shd w:val="clear" w:color="auto" w:fill="FAFAFA"/>
            <w:tcMar>
              <w:top w:w="15" w:type="dxa"/>
              <w:left w:w="75" w:type="dxa"/>
              <w:bottom w:w="15" w:type="dxa"/>
              <w:right w:w="75" w:type="dxa"/>
            </w:tcMar>
            <w:vAlign w:val="center"/>
            <w:hideMark/>
          </w:tcPr>
          <w:p w14:paraId="2B38CA5A" w14:textId="77777777" w:rsidR="004B43EE" w:rsidRPr="009658FF" w:rsidRDefault="004B43EE" w:rsidP="00351B28">
            <w:pPr>
              <w:jc w:val="both"/>
              <w:rPr>
                <w:sz w:val="18"/>
                <w:szCs w:val="18"/>
              </w:rPr>
            </w:pPr>
            <w:r w:rsidRPr="009658FF">
              <w:rPr>
                <w:sz w:val="18"/>
                <w:szCs w:val="18"/>
              </w:rPr>
              <w:t>(0.687)</w:t>
            </w:r>
          </w:p>
        </w:tc>
        <w:tc>
          <w:tcPr>
            <w:tcW w:w="0" w:type="auto"/>
            <w:tcBorders>
              <w:top w:val="single" w:sz="6" w:space="0" w:color="auto"/>
              <w:left w:val="single" w:sz="6" w:space="0" w:color="auto"/>
              <w:bottom w:val="single" w:sz="6" w:space="0" w:color="auto"/>
              <w:right w:val="single" w:sz="6" w:space="0" w:color="auto"/>
            </w:tcBorders>
            <w:shd w:val="clear" w:color="auto" w:fill="FAFAFA"/>
            <w:tcMar>
              <w:top w:w="15" w:type="dxa"/>
              <w:left w:w="75" w:type="dxa"/>
              <w:bottom w:w="15" w:type="dxa"/>
              <w:right w:w="75" w:type="dxa"/>
            </w:tcMar>
            <w:vAlign w:val="center"/>
            <w:hideMark/>
          </w:tcPr>
          <w:p w14:paraId="3CB79D7C" w14:textId="77777777" w:rsidR="004B43EE" w:rsidRPr="009658FF" w:rsidRDefault="004B43EE" w:rsidP="00351B28">
            <w:pPr>
              <w:jc w:val="both"/>
              <w:rPr>
                <w:sz w:val="18"/>
                <w:szCs w:val="18"/>
              </w:rPr>
            </w:pPr>
            <w:r w:rsidRPr="009658FF">
              <w:rPr>
                <w:sz w:val="18"/>
                <w:szCs w:val="18"/>
              </w:rPr>
              <w:t>(0.173)</w:t>
            </w:r>
          </w:p>
        </w:tc>
        <w:tc>
          <w:tcPr>
            <w:tcW w:w="0" w:type="auto"/>
            <w:tcBorders>
              <w:top w:val="single" w:sz="6" w:space="0" w:color="auto"/>
              <w:left w:val="single" w:sz="6" w:space="0" w:color="auto"/>
              <w:bottom w:val="single" w:sz="6" w:space="0" w:color="auto"/>
              <w:right w:val="single" w:sz="6" w:space="0" w:color="auto"/>
            </w:tcBorders>
            <w:shd w:val="clear" w:color="auto" w:fill="FAFAFA"/>
            <w:tcMar>
              <w:top w:w="15" w:type="dxa"/>
              <w:left w:w="75" w:type="dxa"/>
              <w:bottom w:w="15" w:type="dxa"/>
              <w:right w:w="75" w:type="dxa"/>
            </w:tcMar>
            <w:vAlign w:val="center"/>
            <w:hideMark/>
          </w:tcPr>
          <w:p w14:paraId="6B218020" w14:textId="77777777" w:rsidR="004B43EE" w:rsidRPr="009658FF" w:rsidRDefault="004B43EE" w:rsidP="00351B28">
            <w:pPr>
              <w:jc w:val="both"/>
              <w:rPr>
                <w:sz w:val="18"/>
                <w:szCs w:val="18"/>
              </w:rPr>
            </w:pPr>
            <w:r w:rsidRPr="009658FF">
              <w:rPr>
                <w:sz w:val="18"/>
                <w:szCs w:val="18"/>
              </w:rPr>
              <w:t>(0.126)</w:t>
            </w:r>
          </w:p>
        </w:tc>
      </w:tr>
      <w:tr w:rsidR="004B43EE" w:rsidRPr="009658FF" w14:paraId="2B13FEAE" w14:textId="77777777" w:rsidTr="00351B28">
        <w:tc>
          <w:tcPr>
            <w:tcW w:w="1193" w:type="dxa"/>
            <w:tcBorders>
              <w:top w:val="single" w:sz="6" w:space="0" w:color="auto"/>
              <w:left w:val="single" w:sz="6" w:space="0" w:color="auto"/>
              <w:bottom w:val="single" w:sz="6" w:space="0" w:color="auto"/>
              <w:right w:val="single" w:sz="6" w:space="0" w:color="auto"/>
            </w:tcBorders>
            <w:shd w:val="clear" w:color="auto" w:fill="FAFAFA"/>
            <w:tcMar>
              <w:top w:w="15" w:type="dxa"/>
              <w:left w:w="75" w:type="dxa"/>
              <w:bottom w:w="15" w:type="dxa"/>
              <w:right w:w="75" w:type="dxa"/>
            </w:tcMar>
            <w:vAlign w:val="center"/>
            <w:hideMark/>
          </w:tcPr>
          <w:p w14:paraId="6C3CC513" w14:textId="77777777" w:rsidR="004B43EE" w:rsidRPr="009658FF" w:rsidRDefault="004B43EE" w:rsidP="00351B28">
            <w:pPr>
              <w:jc w:val="both"/>
              <w:rPr>
                <w:sz w:val="18"/>
                <w:szCs w:val="18"/>
              </w:rPr>
            </w:pPr>
            <w:r w:rsidRPr="009658FF">
              <w:rPr>
                <w:sz w:val="18"/>
                <w:szCs w:val="18"/>
              </w:rPr>
              <w:lastRenderedPageBreak/>
              <w:t>Observations</w:t>
            </w:r>
          </w:p>
        </w:tc>
        <w:tc>
          <w:tcPr>
            <w:tcW w:w="0" w:type="auto"/>
            <w:tcBorders>
              <w:top w:val="single" w:sz="6" w:space="0" w:color="auto"/>
              <w:left w:val="single" w:sz="6" w:space="0" w:color="auto"/>
              <w:bottom w:val="single" w:sz="6" w:space="0" w:color="auto"/>
              <w:right w:val="single" w:sz="6" w:space="0" w:color="auto"/>
            </w:tcBorders>
            <w:shd w:val="clear" w:color="auto" w:fill="FAFAFA"/>
            <w:tcMar>
              <w:top w:w="15" w:type="dxa"/>
              <w:left w:w="75" w:type="dxa"/>
              <w:bottom w:w="15" w:type="dxa"/>
              <w:right w:w="75" w:type="dxa"/>
            </w:tcMar>
            <w:vAlign w:val="center"/>
            <w:hideMark/>
          </w:tcPr>
          <w:p w14:paraId="72616169" w14:textId="77777777" w:rsidR="004B43EE" w:rsidRPr="009658FF" w:rsidRDefault="004B43EE" w:rsidP="00351B28">
            <w:pPr>
              <w:jc w:val="both"/>
              <w:rPr>
                <w:sz w:val="18"/>
                <w:szCs w:val="18"/>
              </w:rPr>
            </w:pPr>
            <w:r w:rsidRPr="009658FF">
              <w:rPr>
                <w:sz w:val="18"/>
                <w:szCs w:val="18"/>
              </w:rPr>
              <w:t>80</w:t>
            </w:r>
          </w:p>
        </w:tc>
        <w:tc>
          <w:tcPr>
            <w:tcW w:w="0" w:type="auto"/>
            <w:tcBorders>
              <w:top w:val="single" w:sz="6" w:space="0" w:color="auto"/>
              <w:left w:val="single" w:sz="6" w:space="0" w:color="auto"/>
              <w:bottom w:val="single" w:sz="6" w:space="0" w:color="auto"/>
              <w:right w:val="single" w:sz="6" w:space="0" w:color="auto"/>
            </w:tcBorders>
            <w:shd w:val="clear" w:color="auto" w:fill="FAFAFA"/>
            <w:tcMar>
              <w:top w:w="15" w:type="dxa"/>
              <w:left w:w="75" w:type="dxa"/>
              <w:bottom w:w="15" w:type="dxa"/>
              <w:right w:w="75" w:type="dxa"/>
            </w:tcMar>
            <w:vAlign w:val="center"/>
            <w:hideMark/>
          </w:tcPr>
          <w:p w14:paraId="1CE2EE8F" w14:textId="77777777" w:rsidR="004B43EE" w:rsidRPr="009658FF" w:rsidRDefault="004B43EE" w:rsidP="00351B28">
            <w:pPr>
              <w:jc w:val="both"/>
              <w:rPr>
                <w:sz w:val="18"/>
                <w:szCs w:val="18"/>
              </w:rPr>
            </w:pPr>
            <w:r w:rsidRPr="009658FF">
              <w:rPr>
                <w:sz w:val="18"/>
                <w:szCs w:val="18"/>
              </w:rPr>
              <w:t>120</w:t>
            </w:r>
          </w:p>
        </w:tc>
        <w:tc>
          <w:tcPr>
            <w:tcW w:w="0" w:type="auto"/>
            <w:tcBorders>
              <w:top w:val="single" w:sz="6" w:space="0" w:color="auto"/>
              <w:left w:val="single" w:sz="6" w:space="0" w:color="auto"/>
              <w:bottom w:val="single" w:sz="6" w:space="0" w:color="auto"/>
              <w:right w:val="single" w:sz="6" w:space="0" w:color="auto"/>
            </w:tcBorders>
            <w:shd w:val="clear" w:color="auto" w:fill="FAFAFA"/>
            <w:tcMar>
              <w:top w:w="15" w:type="dxa"/>
              <w:left w:w="75" w:type="dxa"/>
              <w:bottom w:w="15" w:type="dxa"/>
              <w:right w:w="75" w:type="dxa"/>
            </w:tcMar>
            <w:vAlign w:val="center"/>
            <w:hideMark/>
          </w:tcPr>
          <w:p w14:paraId="48E6AFB4" w14:textId="77777777" w:rsidR="004B43EE" w:rsidRPr="009658FF" w:rsidRDefault="004B43EE" w:rsidP="00351B28">
            <w:pPr>
              <w:jc w:val="both"/>
              <w:rPr>
                <w:sz w:val="18"/>
                <w:szCs w:val="18"/>
              </w:rPr>
            </w:pPr>
            <w:r w:rsidRPr="009658FF">
              <w:rPr>
                <w:sz w:val="18"/>
                <w:szCs w:val="18"/>
              </w:rPr>
              <w:t>73</w:t>
            </w:r>
          </w:p>
        </w:tc>
        <w:tc>
          <w:tcPr>
            <w:tcW w:w="0" w:type="auto"/>
            <w:tcBorders>
              <w:top w:val="single" w:sz="6" w:space="0" w:color="auto"/>
              <w:left w:val="single" w:sz="6" w:space="0" w:color="auto"/>
              <w:bottom w:val="single" w:sz="6" w:space="0" w:color="auto"/>
              <w:right w:val="single" w:sz="6" w:space="0" w:color="auto"/>
            </w:tcBorders>
            <w:shd w:val="clear" w:color="auto" w:fill="FAFAFA"/>
            <w:tcMar>
              <w:top w:w="15" w:type="dxa"/>
              <w:left w:w="75" w:type="dxa"/>
              <w:bottom w:w="15" w:type="dxa"/>
              <w:right w:w="75" w:type="dxa"/>
            </w:tcMar>
            <w:vAlign w:val="center"/>
            <w:hideMark/>
          </w:tcPr>
          <w:p w14:paraId="54EF585E" w14:textId="77777777" w:rsidR="004B43EE" w:rsidRPr="009658FF" w:rsidRDefault="004B43EE" w:rsidP="00351B28">
            <w:pPr>
              <w:jc w:val="both"/>
              <w:rPr>
                <w:sz w:val="18"/>
                <w:szCs w:val="18"/>
              </w:rPr>
            </w:pPr>
            <w:r w:rsidRPr="009658FF">
              <w:rPr>
                <w:sz w:val="18"/>
                <w:szCs w:val="18"/>
              </w:rPr>
              <w:t>55</w:t>
            </w:r>
          </w:p>
        </w:tc>
        <w:tc>
          <w:tcPr>
            <w:tcW w:w="0" w:type="auto"/>
            <w:tcBorders>
              <w:top w:val="single" w:sz="6" w:space="0" w:color="auto"/>
              <w:left w:val="single" w:sz="6" w:space="0" w:color="auto"/>
              <w:bottom w:val="single" w:sz="6" w:space="0" w:color="auto"/>
              <w:right w:val="single" w:sz="6" w:space="0" w:color="auto"/>
            </w:tcBorders>
            <w:shd w:val="clear" w:color="auto" w:fill="FAFAFA"/>
            <w:tcMar>
              <w:top w:w="15" w:type="dxa"/>
              <w:left w:w="75" w:type="dxa"/>
              <w:bottom w:w="15" w:type="dxa"/>
              <w:right w:w="75" w:type="dxa"/>
            </w:tcMar>
            <w:vAlign w:val="center"/>
            <w:hideMark/>
          </w:tcPr>
          <w:p w14:paraId="7D1DEF07" w14:textId="77777777" w:rsidR="004B43EE" w:rsidRPr="009658FF" w:rsidRDefault="004B43EE" w:rsidP="00351B28">
            <w:pPr>
              <w:jc w:val="both"/>
              <w:rPr>
                <w:sz w:val="18"/>
                <w:szCs w:val="18"/>
              </w:rPr>
            </w:pPr>
            <w:r w:rsidRPr="009658FF">
              <w:rPr>
                <w:sz w:val="18"/>
                <w:szCs w:val="18"/>
              </w:rPr>
              <w:t>38</w:t>
            </w:r>
          </w:p>
        </w:tc>
        <w:tc>
          <w:tcPr>
            <w:tcW w:w="0" w:type="auto"/>
            <w:tcBorders>
              <w:top w:val="single" w:sz="6" w:space="0" w:color="auto"/>
              <w:left w:val="single" w:sz="6" w:space="0" w:color="auto"/>
              <w:bottom w:val="single" w:sz="6" w:space="0" w:color="auto"/>
              <w:right w:val="single" w:sz="6" w:space="0" w:color="auto"/>
            </w:tcBorders>
            <w:shd w:val="clear" w:color="auto" w:fill="FAFAFA"/>
            <w:tcMar>
              <w:top w:w="15" w:type="dxa"/>
              <w:left w:w="75" w:type="dxa"/>
              <w:bottom w:w="15" w:type="dxa"/>
              <w:right w:w="75" w:type="dxa"/>
            </w:tcMar>
            <w:vAlign w:val="center"/>
            <w:hideMark/>
          </w:tcPr>
          <w:p w14:paraId="0067DA6E" w14:textId="77777777" w:rsidR="004B43EE" w:rsidRPr="009658FF" w:rsidRDefault="004B43EE" w:rsidP="00351B28">
            <w:pPr>
              <w:jc w:val="both"/>
              <w:rPr>
                <w:sz w:val="18"/>
                <w:szCs w:val="18"/>
              </w:rPr>
            </w:pPr>
            <w:r w:rsidRPr="009658FF">
              <w:rPr>
                <w:sz w:val="18"/>
                <w:szCs w:val="18"/>
              </w:rPr>
              <w:t>34</w:t>
            </w:r>
          </w:p>
        </w:tc>
        <w:tc>
          <w:tcPr>
            <w:tcW w:w="0" w:type="auto"/>
            <w:tcBorders>
              <w:top w:val="single" w:sz="6" w:space="0" w:color="auto"/>
              <w:left w:val="single" w:sz="6" w:space="0" w:color="auto"/>
              <w:bottom w:val="single" w:sz="6" w:space="0" w:color="auto"/>
              <w:right w:val="single" w:sz="6" w:space="0" w:color="auto"/>
            </w:tcBorders>
            <w:shd w:val="clear" w:color="auto" w:fill="FAFAFA"/>
            <w:tcMar>
              <w:top w:w="15" w:type="dxa"/>
              <w:left w:w="75" w:type="dxa"/>
              <w:bottom w:w="15" w:type="dxa"/>
              <w:right w:w="75" w:type="dxa"/>
            </w:tcMar>
            <w:vAlign w:val="center"/>
            <w:hideMark/>
          </w:tcPr>
          <w:p w14:paraId="2B335D3E" w14:textId="77777777" w:rsidR="004B43EE" w:rsidRPr="009658FF" w:rsidRDefault="004B43EE" w:rsidP="00351B28">
            <w:pPr>
              <w:jc w:val="both"/>
              <w:rPr>
                <w:sz w:val="18"/>
                <w:szCs w:val="18"/>
              </w:rPr>
            </w:pPr>
            <w:r w:rsidRPr="009658FF">
              <w:rPr>
                <w:sz w:val="18"/>
                <w:szCs w:val="18"/>
              </w:rPr>
              <w:t>121</w:t>
            </w:r>
          </w:p>
        </w:tc>
        <w:tc>
          <w:tcPr>
            <w:tcW w:w="0" w:type="auto"/>
            <w:tcBorders>
              <w:top w:val="single" w:sz="6" w:space="0" w:color="auto"/>
              <w:left w:val="single" w:sz="6" w:space="0" w:color="auto"/>
              <w:bottom w:val="single" w:sz="6" w:space="0" w:color="auto"/>
              <w:right w:val="single" w:sz="6" w:space="0" w:color="auto"/>
            </w:tcBorders>
            <w:shd w:val="clear" w:color="auto" w:fill="FAFAFA"/>
            <w:tcMar>
              <w:top w:w="15" w:type="dxa"/>
              <w:left w:w="75" w:type="dxa"/>
              <w:bottom w:w="15" w:type="dxa"/>
              <w:right w:w="75" w:type="dxa"/>
            </w:tcMar>
            <w:vAlign w:val="center"/>
            <w:hideMark/>
          </w:tcPr>
          <w:p w14:paraId="6C8CDE9A" w14:textId="77777777" w:rsidR="004B43EE" w:rsidRPr="009658FF" w:rsidRDefault="004B43EE" w:rsidP="00351B28">
            <w:pPr>
              <w:jc w:val="both"/>
              <w:rPr>
                <w:sz w:val="18"/>
                <w:szCs w:val="18"/>
              </w:rPr>
            </w:pPr>
            <w:r w:rsidRPr="009658FF">
              <w:rPr>
                <w:sz w:val="18"/>
                <w:szCs w:val="18"/>
              </w:rPr>
              <w:t>135</w:t>
            </w:r>
          </w:p>
        </w:tc>
        <w:tc>
          <w:tcPr>
            <w:tcW w:w="0" w:type="auto"/>
            <w:tcBorders>
              <w:top w:val="single" w:sz="6" w:space="0" w:color="auto"/>
              <w:left w:val="single" w:sz="6" w:space="0" w:color="auto"/>
              <w:bottom w:val="single" w:sz="6" w:space="0" w:color="auto"/>
              <w:right w:val="single" w:sz="6" w:space="0" w:color="auto"/>
            </w:tcBorders>
            <w:shd w:val="clear" w:color="auto" w:fill="FAFAFA"/>
            <w:tcMar>
              <w:top w:w="15" w:type="dxa"/>
              <w:left w:w="75" w:type="dxa"/>
              <w:bottom w:w="15" w:type="dxa"/>
              <w:right w:w="75" w:type="dxa"/>
            </w:tcMar>
            <w:vAlign w:val="center"/>
            <w:hideMark/>
          </w:tcPr>
          <w:p w14:paraId="7344A251" w14:textId="77777777" w:rsidR="004B43EE" w:rsidRPr="009658FF" w:rsidRDefault="004B43EE" w:rsidP="00351B28">
            <w:pPr>
              <w:jc w:val="both"/>
              <w:rPr>
                <w:sz w:val="18"/>
                <w:szCs w:val="18"/>
              </w:rPr>
            </w:pPr>
            <w:r w:rsidRPr="009658FF">
              <w:rPr>
                <w:sz w:val="18"/>
                <w:szCs w:val="18"/>
              </w:rPr>
              <w:t>86</w:t>
            </w:r>
          </w:p>
        </w:tc>
      </w:tr>
      <w:tr w:rsidR="004B43EE" w:rsidRPr="009658FF" w14:paraId="26C42A61" w14:textId="77777777" w:rsidTr="00351B28">
        <w:tc>
          <w:tcPr>
            <w:tcW w:w="1193" w:type="dxa"/>
            <w:tcBorders>
              <w:top w:val="single" w:sz="6" w:space="0" w:color="auto"/>
              <w:left w:val="single" w:sz="6" w:space="0" w:color="auto"/>
              <w:bottom w:val="single" w:sz="6" w:space="0" w:color="auto"/>
              <w:right w:val="single" w:sz="6" w:space="0" w:color="auto"/>
            </w:tcBorders>
            <w:shd w:val="clear" w:color="auto" w:fill="FAFAFA"/>
            <w:tcMar>
              <w:top w:w="15" w:type="dxa"/>
              <w:left w:w="75" w:type="dxa"/>
              <w:bottom w:w="15" w:type="dxa"/>
              <w:right w:w="75" w:type="dxa"/>
            </w:tcMar>
            <w:vAlign w:val="center"/>
            <w:hideMark/>
          </w:tcPr>
          <w:p w14:paraId="391E196D" w14:textId="77777777" w:rsidR="004B43EE" w:rsidRPr="009658FF" w:rsidRDefault="004B43EE" w:rsidP="00351B28">
            <w:pPr>
              <w:jc w:val="both"/>
              <w:rPr>
                <w:sz w:val="18"/>
                <w:szCs w:val="18"/>
              </w:rPr>
            </w:pPr>
            <w:r w:rsidRPr="009658FF">
              <w:rPr>
                <w:sz w:val="18"/>
                <w:szCs w:val="18"/>
              </w:rPr>
              <w:t>Bandwidth</w:t>
            </w:r>
          </w:p>
        </w:tc>
        <w:tc>
          <w:tcPr>
            <w:tcW w:w="0" w:type="auto"/>
            <w:tcBorders>
              <w:top w:val="single" w:sz="6" w:space="0" w:color="auto"/>
              <w:left w:val="single" w:sz="6" w:space="0" w:color="auto"/>
              <w:bottom w:val="single" w:sz="6" w:space="0" w:color="auto"/>
              <w:right w:val="single" w:sz="6" w:space="0" w:color="auto"/>
            </w:tcBorders>
            <w:shd w:val="clear" w:color="auto" w:fill="FAFAFA"/>
            <w:tcMar>
              <w:top w:w="15" w:type="dxa"/>
              <w:left w:w="75" w:type="dxa"/>
              <w:bottom w:w="15" w:type="dxa"/>
              <w:right w:w="75" w:type="dxa"/>
            </w:tcMar>
            <w:vAlign w:val="center"/>
            <w:hideMark/>
          </w:tcPr>
          <w:p w14:paraId="52C237A0" w14:textId="77777777" w:rsidR="004B43EE" w:rsidRPr="009658FF" w:rsidRDefault="004B43EE" w:rsidP="00351B28">
            <w:pPr>
              <w:jc w:val="both"/>
              <w:rPr>
                <w:sz w:val="18"/>
                <w:szCs w:val="18"/>
              </w:rPr>
            </w:pPr>
            <w:r w:rsidRPr="009658FF">
              <w:rPr>
                <w:sz w:val="18"/>
                <w:szCs w:val="18"/>
              </w:rPr>
              <w:t>1.782</w:t>
            </w:r>
          </w:p>
        </w:tc>
        <w:tc>
          <w:tcPr>
            <w:tcW w:w="0" w:type="auto"/>
            <w:tcBorders>
              <w:top w:val="single" w:sz="6" w:space="0" w:color="auto"/>
              <w:left w:val="single" w:sz="6" w:space="0" w:color="auto"/>
              <w:bottom w:val="single" w:sz="6" w:space="0" w:color="auto"/>
              <w:right w:val="single" w:sz="6" w:space="0" w:color="auto"/>
            </w:tcBorders>
            <w:shd w:val="clear" w:color="auto" w:fill="FAFAFA"/>
            <w:tcMar>
              <w:top w:w="15" w:type="dxa"/>
              <w:left w:w="75" w:type="dxa"/>
              <w:bottom w:w="15" w:type="dxa"/>
              <w:right w:w="75" w:type="dxa"/>
            </w:tcMar>
            <w:vAlign w:val="center"/>
            <w:hideMark/>
          </w:tcPr>
          <w:p w14:paraId="7FDCC478" w14:textId="77777777" w:rsidR="004B43EE" w:rsidRPr="009658FF" w:rsidRDefault="004B43EE" w:rsidP="00351B28">
            <w:pPr>
              <w:jc w:val="both"/>
              <w:rPr>
                <w:sz w:val="18"/>
                <w:szCs w:val="18"/>
              </w:rPr>
            </w:pPr>
            <w:r w:rsidRPr="009658FF">
              <w:rPr>
                <w:sz w:val="18"/>
                <w:szCs w:val="18"/>
              </w:rPr>
              <w:t>2.122</w:t>
            </w:r>
          </w:p>
        </w:tc>
        <w:tc>
          <w:tcPr>
            <w:tcW w:w="0" w:type="auto"/>
            <w:tcBorders>
              <w:top w:val="single" w:sz="6" w:space="0" w:color="auto"/>
              <w:left w:val="single" w:sz="6" w:space="0" w:color="auto"/>
              <w:bottom w:val="single" w:sz="6" w:space="0" w:color="auto"/>
              <w:right w:val="single" w:sz="6" w:space="0" w:color="auto"/>
            </w:tcBorders>
            <w:shd w:val="clear" w:color="auto" w:fill="FAFAFA"/>
            <w:tcMar>
              <w:top w:w="15" w:type="dxa"/>
              <w:left w:w="75" w:type="dxa"/>
              <w:bottom w:w="15" w:type="dxa"/>
              <w:right w:w="75" w:type="dxa"/>
            </w:tcMar>
            <w:vAlign w:val="center"/>
            <w:hideMark/>
          </w:tcPr>
          <w:p w14:paraId="536A3D82" w14:textId="77777777" w:rsidR="004B43EE" w:rsidRPr="009658FF" w:rsidRDefault="004B43EE" w:rsidP="00351B28">
            <w:pPr>
              <w:jc w:val="both"/>
              <w:rPr>
                <w:sz w:val="18"/>
                <w:szCs w:val="18"/>
              </w:rPr>
            </w:pPr>
            <w:r w:rsidRPr="009658FF">
              <w:rPr>
                <w:sz w:val="18"/>
                <w:szCs w:val="18"/>
              </w:rPr>
              <w:t>1.644</w:t>
            </w:r>
          </w:p>
        </w:tc>
        <w:tc>
          <w:tcPr>
            <w:tcW w:w="0" w:type="auto"/>
            <w:tcBorders>
              <w:top w:val="single" w:sz="6" w:space="0" w:color="auto"/>
              <w:left w:val="single" w:sz="6" w:space="0" w:color="auto"/>
              <w:bottom w:val="single" w:sz="6" w:space="0" w:color="auto"/>
              <w:right w:val="single" w:sz="6" w:space="0" w:color="auto"/>
            </w:tcBorders>
            <w:shd w:val="clear" w:color="auto" w:fill="FAFAFA"/>
            <w:tcMar>
              <w:top w:w="15" w:type="dxa"/>
              <w:left w:w="75" w:type="dxa"/>
              <w:bottom w:w="15" w:type="dxa"/>
              <w:right w:w="75" w:type="dxa"/>
            </w:tcMar>
            <w:vAlign w:val="center"/>
            <w:hideMark/>
          </w:tcPr>
          <w:p w14:paraId="2DC67F44" w14:textId="77777777" w:rsidR="004B43EE" w:rsidRPr="009658FF" w:rsidRDefault="004B43EE" w:rsidP="00351B28">
            <w:pPr>
              <w:jc w:val="both"/>
              <w:rPr>
                <w:sz w:val="18"/>
                <w:szCs w:val="18"/>
              </w:rPr>
            </w:pPr>
            <w:r w:rsidRPr="009658FF">
              <w:rPr>
                <w:sz w:val="18"/>
                <w:szCs w:val="18"/>
              </w:rPr>
              <w:t>2.093</w:t>
            </w:r>
          </w:p>
        </w:tc>
        <w:tc>
          <w:tcPr>
            <w:tcW w:w="0" w:type="auto"/>
            <w:tcBorders>
              <w:top w:val="single" w:sz="6" w:space="0" w:color="auto"/>
              <w:left w:val="single" w:sz="6" w:space="0" w:color="auto"/>
              <w:bottom w:val="single" w:sz="6" w:space="0" w:color="auto"/>
              <w:right w:val="single" w:sz="6" w:space="0" w:color="auto"/>
            </w:tcBorders>
            <w:shd w:val="clear" w:color="auto" w:fill="FAFAFA"/>
            <w:tcMar>
              <w:top w:w="15" w:type="dxa"/>
              <w:left w:w="75" w:type="dxa"/>
              <w:bottom w:w="15" w:type="dxa"/>
              <w:right w:w="75" w:type="dxa"/>
            </w:tcMar>
            <w:vAlign w:val="center"/>
            <w:hideMark/>
          </w:tcPr>
          <w:p w14:paraId="330D21C8" w14:textId="77777777" w:rsidR="004B43EE" w:rsidRPr="009658FF" w:rsidRDefault="004B43EE" w:rsidP="00351B28">
            <w:pPr>
              <w:jc w:val="both"/>
              <w:rPr>
                <w:sz w:val="18"/>
                <w:szCs w:val="18"/>
              </w:rPr>
            </w:pPr>
            <w:r w:rsidRPr="009658FF">
              <w:rPr>
                <w:sz w:val="18"/>
                <w:szCs w:val="18"/>
              </w:rPr>
              <w:t>1.336</w:t>
            </w:r>
          </w:p>
        </w:tc>
        <w:tc>
          <w:tcPr>
            <w:tcW w:w="0" w:type="auto"/>
            <w:tcBorders>
              <w:top w:val="single" w:sz="6" w:space="0" w:color="auto"/>
              <w:left w:val="single" w:sz="6" w:space="0" w:color="auto"/>
              <w:bottom w:val="single" w:sz="6" w:space="0" w:color="auto"/>
              <w:right w:val="single" w:sz="6" w:space="0" w:color="auto"/>
            </w:tcBorders>
            <w:shd w:val="clear" w:color="auto" w:fill="FAFAFA"/>
            <w:tcMar>
              <w:top w:w="15" w:type="dxa"/>
              <w:left w:w="75" w:type="dxa"/>
              <w:bottom w:w="15" w:type="dxa"/>
              <w:right w:w="75" w:type="dxa"/>
            </w:tcMar>
            <w:vAlign w:val="center"/>
            <w:hideMark/>
          </w:tcPr>
          <w:p w14:paraId="19D5B37A" w14:textId="77777777" w:rsidR="004B43EE" w:rsidRPr="009658FF" w:rsidRDefault="004B43EE" w:rsidP="00351B28">
            <w:pPr>
              <w:jc w:val="both"/>
              <w:rPr>
                <w:sz w:val="18"/>
                <w:szCs w:val="18"/>
              </w:rPr>
            </w:pPr>
            <w:r w:rsidRPr="009658FF">
              <w:rPr>
                <w:sz w:val="18"/>
                <w:szCs w:val="18"/>
              </w:rPr>
              <w:t>1.392</w:t>
            </w:r>
          </w:p>
        </w:tc>
        <w:tc>
          <w:tcPr>
            <w:tcW w:w="0" w:type="auto"/>
            <w:tcBorders>
              <w:top w:val="single" w:sz="6" w:space="0" w:color="auto"/>
              <w:left w:val="single" w:sz="6" w:space="0" w:color="auto"/>
              <w:bottom w:val="single" w:sz="6" w:space="0" w:color="auto"/>
              <w:right w:val="single" w:sz="6" w:space="0" w:color="auto"/>
            </w:tcBorders>
            <w:shd w:val="clear" w:color="auto" w:fill="FAFAFA"/>
            <w:tcMar>
              <w:top w:w="15" w:type="dxa"/>
              <w:left w:w="75" w:type="dxa"/>
              <w:bottom w:w="15" w:type="dxa"/>
              <w:right w:w="75" w:type="dxa"/>
            </w:tcMar>
            <w:vAlign w:val="center"/>
            <w:hideMark/>
          </w:tcPr>
          <w:p w14:paraId="3652FD2D" w14:textId="77777777" w:rsidR="004B43EE" w:rsidRPr="009658FF" w:rsidRDefault="004B43EE" w:rsidP="00351B28">
            <w:pPr>
              <w:jc w:val="both"/>
              <w:rPr>
                <w:sz w:val="18"/>
                <w:szCs w:val="18"/>
              </w:rPr>
            </w:pPr>
            <w:r w:rsidRPr="009658FF">
              <w:rPr>
                <w:sz w:val="18"/>
                <w:szCs w:val="18"/>
              </w:rPr>
              <w:t>2.358</w:t>
            </w:r>
          </w:p>
        </w:tc>
        <w:tc>
          <w:tcPr>
            <w:tcW w:w="0" w:type="auto"/>
            <w:tcBorders>
              <w:top w:val="single" w:sz="6" w:space="0" w:color="auto"/>
              <w:left w:val="single" w:sz="6" w:space="0" w:color="auto"/>
              <w:bottom w:val="single" w:sz="6" w:space="0" w:color="auto"/>
              <w:right w:val="single" w:sz="6" w:space="0" w:color="auto"/>
            </w:tcBorders>
            <w:shd w:val="clear" w:color="auto" w:fill="FAFAFA"/>
            <w:tcMar>
              <w:top w:w="15" w:type="dxa"/>
              <w:left w:w="75" w:type="dxa"/>
              <w:bottom w:w="15" w:type="dxa"/>
              <w:right w:w="75" w:type="dxa"/>
            </w:tcMar>
            <w:vAlign w:val="center"/>
            <w:hideMark/>
          </w:tcPr>
          <w:p w14:paraId="28C7877B" w14:textId="77777777" w:rsidR="004B43EE" w:rsidRPr="009658FF" w:rsidRDefault="004B43EE" w:rsidP="00351B28">
            <w:pPr>
              <w:jc w:val="both"/>
              <w:rPr>
                <w:sz w:val="18"/>
                <w:szCs w:val="18"/>
              </w:rPr>
            </w:pPr>
            <w:r w:rsidRPr="009658FF">
              <w:rPr>
                <w:sz w:val="18"/>
                <w:szCs w:val="18"/>
              </w:rPr>
              <w:t>2.466</w:t>
            </w:r>
          </w:p>
        </w:tc>
        <w:tc>
          <w:tcPr>
            <w:tcW w:w="0" w:type="auto"/>
            <w:tcBorders>
              <w:top w:val="single" w:sz="6" w:space="0" w:color="auto"/>
              <w:left w:val="single" w:sz="6" w:space="0" w:color="auto"/>
              <w:bottom w:val="single" w:sz="6" w:space="0" w:color="auto"/>
              <w:right w:val="single" w:sz="6" w:space="0" w:color="auto"/>
            </w:tcBorders>
            <w:shd w:val="clear" w:color="auto" w:fill="FAFAFA"/>
            <w:tcMar>
              <w:top w:w="15" w:type="dxa"/>
              <w:left w:w="75" w:type="dxa"/>
              <w:bottom w:w="15" w:type="dxa"/>
              <w:right w:w="75" w:type="dxa"/>
            </w:tcMar>
            <w:vAlign w:val="center"/>
            <w:hideMark/>
          </w:tcPr>
          <w:p w14:paraId="09A55540" w14:textId="77777777" w:rsidR="004B43EE" w:rsidRPr="009658FF" w:rsidRDefault="004B43EE" w:rsidP="00351B28">
            <w:pPr>
              <w:jc w:val="both"/>
              <w:rPr>
                <w:sz w:val="18"/>
                <w:szCs w:val="18"/>
              </w:rPr>
            </w:pPr>
            <w:r w:rsidRPr="009658FF">
              <w:rPr>
                <w:sz w:val="18"/>
                <w:szCs w:val="18"/>
              </w:rPr>
              <w:t>1.519</w:t>
            </w:r>
          </w:p>
        </w:tc>
      </w:tr>
    </w:tbl>
    <w:p w14:paraId="4E9A9292" w14:textId="353B9034" w:rsidR="004B43EE" w:rsidRPr="009658FF" w:rsidRDefault="004B43EE" w:rsidP="004B43EE">
      <w:pPr>
        <w:jc w:val="both"/>
        <w:rPr>
          <w:i/>
          <w:iCs/>
          <w:sz w:val="20"/>
          <w:szCs w:val="20"/>
        </w:rPr>
      </w:pPr>
      <w:r w:rsidRPr="009640DB">
        <w:rPr>
          <w:i/>
          <w:iCs/>
          <w:sz w:val="20"/>
          <w:szCs w:val="20"/>
        </w:rPr>
        <w:t>Point estimate coefficients are generated using the conservative RD estimat</w:t>
      </w:r>
      <w:r>
        <w:rPr>
          <w:i/>
          <w:iCs/>
          <w:sz w:val="20"/>
          <w:szCs w:val="20"/>
        </w:rPr>
        <w:t>ions</w:t>
      </w:r>
      <w:r w:rsidRPr="009640DB">
        <w:rPr>
          <w:i/>
          <w:iCs/>
          <w:sz w:val="20"/>
          <w:szCs w:val="20"/>
        </w:rPr>
        <w:t xml:space="preserve"> </w:t>
      </w:r>
      <w:r w:rsidR="006B3BD6">
        <w:rPr>
          <w:i/>
          <w:iCs/>
          <w:sz w:val="20"/>
          <w:szCs w:val="20"/>
        </w:rPr>
        <w:t>using</w:t>
      </w:r>
      <w:r w:rsidRPr="009640DB">
        <w:rPr>
          <w:i/>
          <w:iCs/>
          <w:sz w:val="20"/>
          <w:szCs w:val="20"/>
        </w:rPr>
        <w:t xml:space="preserve"> a first-order multinomial, a triangle kernel, and a solitary shared MSE-optim</w:t>
      </w:r>
      <w:r>
        <w:rPr>
          <w:i/>
          <w:iCs/>
          <w:sz w:val="20"/>
          <w:szCs w:val="20"/>
        </w:rPr>
        <w:t>um</w:t>
      </w:r>
      <w:r w:rsidRPr="009640DB">
        <w:rPr>
          <w:i/>
          <w:iCs/>
          <w:sz w:val="20"/>
          <w:szCs w:val="20"/>
        </w:rPr>
        <w:t xml:space="preserve"> bandwidth. The nearest </w:t>
      </w:r>
      <w:proofErr w:type="spellStart"/>
      <w:r>
        <w:rPr>
          <w:i/>
          <w:iCs/>
          <w:sz w:val="20"/>
          <w:szCs w:val="20"/>
        </w:rPr>
        <w:t>neighbour</w:t>
      </w:r>
      <w:proofErr w:type="spellEnd"/>
      <w:r w:rsidRPr="009640DB">
        <w:rPr>
          <w:i/>
          <w:iCs/>
          <w:sz w:val="20"/>
          <w:szCs w:val="20"/>
        </w:rPr>
        <w:t xml:space="preserve"> approach </w:t>
      </w:r>
      <w:r>
        <w:rPr>
          <w:i/>
          <w:iCs/>
          <w:sz w:val="20"/>
          <w:szCs w:val="20"/>
        </w:rPr>
        <w:t>estimates</w:t>
      </w:r>
      <w:r w:rsidRPr="009640DB">
        <w:rPr>
          <w:i/>
          <w:iCs/>
          <w:sz w:val="20"/>
          <w:szCs w:val="20"/>
        </w:rPr>
        <w:t xml:space="preserve"> heteroskedasticity variance with a minimum of three observations for the standard errors and the p-value for bias-corrected RD estimat</w:t>
      </w:r>
      <w:r>
        <w:rPr>
          <w:i/>
          <w:iCs/>
          <w:sz w:val="20"/>
          <w:szCs w:val="20"/>
        </w:rPr>
        <w:t>ions</w:t>
      </w:r>
      <w:r w:rsidR="00837CC1">
        <w:rPr>
          <w:i/>
          <w:iCs/>
          <w:sz w:val="20"/>
          <w:szCs w:val="20"/>
        </w:rPr>
        <w:t>,</w:t>
      </w:r>
      <w:r>
        <w:rPr>
          <w:i/>
          <w:iCs/>
          <w:sz w:val="20"/>
          <w:szCs w:val="20"/>
        </w:rPr>
        <w:t xml:space="preserve"> donated</w:t>
      </w:r>
      <w:r w:rsidRPr="009640DB">
        <w:rPr>
          <w:i/>
          <w:iCs/>
          <w:sz w:val="20"/>
          <w:szCs w:val="20"/>
        </w:rPr>
        <w:t xml:space="preserve"> *with a p&lt;0.1; **with a p&lt;0.05; ***with a p&lt;0.01</w:t>
      </w:r>
      <w:r w:rsidRPr="009658FF">
        <w:rPr>
          <w:i/>
          <w:iCs/>
          <w:sz w:val="20"/>
          <w:szCs w:val="20"/>
        </w:rPr>
        <w:t>.</w:t>
      </w:r>
    </w:p>
    <w:p w14:paraId="1AF5C1E2" w14:textId="77777777" w:rsidR="004B43EE" w:rsidRPr="00B67F15" w:rsidRDefault="004B43EE" w:rsidP="004B43EE">
      <w:pPr>
        <w:jc w:val="both"/>
      </w:pPr>
      <w:r w:rsidRPr="00B67F15">
        <w:rPr>
          <w:b/>
          <w:bCs/>
        </w:rPr>
        <w:t>4. Results</w:t>
      </w:r>
    </w:p>
    <w:p w14:paraId="611BC295" w14:textId="48B84D99" w:rsidR="004B43EE" w:rsidRDefault="004B43EE" w:rsidP="004B43EE">
      <w:pPr>
        <w:jc w:val="both"/>
      </w:pPr>
      <w:r w:rsidRPr="007F4B43">
        <w:t xml:space="preserve">Table 2 illustrates the effect of reaching the cut-off score on research and development activities </w:t>
      </w:r>
      <w:r>
        <w:t>and</w:t>
      </w:r>
      <w:r w:rsidRPr="007F4B43">
        <w:t xml:space="preserve"> innovation metrics. We investigate the short-, medium-, and long-term </w:t>
      </w:r>
      <w:r>
        <w:t>impact</w:t>
      </w:r>
      <w:r w:rsidRPr="007F4B43">
        <w:t xml:space="preserve"> by exploring the periods 2016–2019, 2020–2023, and 2024–2027. </w:t>
      </w:r>
      <w:r w:rsidR="006B3BD6">
        <w:t>Unlike</w:t>
      </w:r>
      <w:r w:rsidRPr="0095222A">
        <w:t xml:space="preserve"> enterprises below the cut-off, intangible fixed assets (IFA) rose by 230% in Column 1 over 2013-2015 during the first four treatment years. The effect is significant, with enterprises receiving treatment within the designated bandwidth experiencing an average increase of ₩1.2 billion. To be cost-effective, an investment of ₩1 required an average of ₩0.85 in subsidies</w:t>
      </w:r>
      <w:r w:rsidRPr="007F4B43">
        <w:t xml:space="preserve">. </w:t>
      </w:r>
    </w:p>
    <w:p w14:paraId="0104B2E9" w14:textId="77777777" w:rsidR="004B43EE" w:rsidRPr="007F4B43" w:rsidRDefault="004B43EE" w:rsidP="004B43EE">
      <w:pPr>
        <w:jc w:val="both"/>
        <w:rPr>
          <w:b/>
          <w:bCs/>
        </w:rPr>
      </w:pPr>
      <w:r w:rsidRPr="007F4B43">
        <w:rPr>
          <w:b/>
          <w:bCs/>
        </w:rPr>
        <w:t xml:space="preserve">Table 2: </w:t>
      </w:r>
      <w:r>
        <w:rPr>
          <w:b/>
          <w:bCs/>
        </w:rPr>
        <w:t>Results</w:t>
      </w:r>
      <w:r w:rsidRPr="007F4B43">
        <w:rPr>
          <w:b/>
          <w:bCs/>
        </w:rPr>
        <w:t xml:space="preserve"> of the </w:t>
      </w:r>
      <w:r>
        <w:rPr>
          <w:b/>
          <w:bCs/>
        </w:rPr>
        <w:t>R&amp;D Support</w:t>
      </w:r>
      <w:r w:rsidRPr="007F4B43">
        <w:rPr>
          <w:b/>
          <w:bCs/>
        </w:rPr>
        <w:t xml:space="preserve"> Effect on IFA and Innovation </w:t>
      </w:r>
    </w:p>
    <w:tbl>
      <w:tblPr>
        <w:tblW w:w="9730" w:type="dxa"/>
        <w:tblInd w:w="75" w:type="dxa"/>
        <w:tblBorders>
          <w:top w:val="single" w:sz="6" w:space="0" w:color="auto"/>
          <w:left w:val="single" w:sz="6" w:space="0" w:color="auto"/>
          <w:bottom w:val="single" w:sz="6" w:space="0" w:color="auto"/>
          <w:right w:val="single" w:sz="6" w:space="0" w:color="auto"/>
        </w:tblBorders>
        <w:shd w:val="clear" w:color="auto" w:fill="FAFAFA"/>
        <w:tblCellMar>
          <w:top w:w="15" w:type="dxa"/>
          <w:left w:w="15" w:type="dxa"/>
          <w:bottom w:w="15" w:type="dxa"/>
          <w:right w:w="15" w:type="dxa"/>
        </w:tblCellMar>
        <w:tblLook w:val="04A0" w:firstRow="1" w:lastRow="0" w:firstColumn="1" w:lastColumn="0" w:noHBand="0" w:noVBand="1"/>
      </w:tblPr>
      <w:tblGrid>
        <w:gridCol w:w="1696"/>
        <w:gridCol w:w="2214"/>
        <w:gridCol w:w="1347"/>
        <w:gridCol w:w="4473"/>
      </w:tblGrid>
      <w:tr w:rsidR="004B43EE" w:rsidRPr="008D210A" w14:paraId="46203C45" w14:textId="77777777" w:rsidTr="00351B28">
        <w:trPr>
          <w:trHeight w:val="406"/>
          <w:tblHeader/>
        </w:trPr>
        <w:tc>
          <w:tcPr>
            <w:tcW w:w="1697" w:type="dxa"/>
            <w:tcBorders>
              <w:top w:val="single" w:sz="6" w:space="0" w:color="auto"/>
              <w:left w:val="single" w:sz="6" w:space="0" w:color="auto"/>
              <w:bottom w:val="single" w:sz="6" w:space="0" w:color="auto"/>
              <w:right w:val="single" w:sz="6" w:space="0" w:color="auto"/>
            </w:tcBorders>
            <w:shd w:val="clear" w:color="auto" w:fill="FAFAFA"/>
            <w:tcMar>
              <w:top w:w="15" w:type="dxa"/>
              <w:left w:w="75" w:type="dxa"/>
              <w:bottom w:w="15" w:type="dxa"/>
              <w:right w:w="75" w:type="dxa"/>
            </w:tcMar>
            <w:vAlign w:val="center"/>
            <w:hideMark/>
          </w:tcPr>
          <w:p w14:paraId="2C5053E3" w14:textId="77777777" w:rsidR="004B43EE" w:rsidRPr="008D210A" w:rsidRDefault="004B43EE" w:rsidP="00351B28">
            <w:pPr>
              <w:jc w:val="both"/>
              <w:rPr>
                <w:b/>
                <w:bCs/>
                <w:sz w:val="20"/>
                <w:szCs w:val="20"/>
              </w:rPr>
            </w:pPr>
            <w:r w:rsidRPr="008D210A">
              <w:rPr>
                <w:b/>
                <w:bCs/>
                <w:sz w:val="20"/>
                <w:szCs w:val="20"/>
              </w:rPr>
              <w:t>Period</w:t>
            </w:r>
          </w:p>
        </w:tc>
        <w:tc>
          <w:tcPr>
            <w:tcW w:w="0" w:type="auto"/>
            <w:tcBorders>
              <w:top w:val="single" w:sz="6" w:space="0" w:color="auto"/>
              <w:left w:val="single" w:sz="6" w:space="0" w:color="auto"/>
              <w:bottom w:val="single" w:sz="6" w:space="0" w:color="auto"/>
              <w:right w:val="single" w:sz="6" w:space="0" w:color="auto"/>
            </w:tcBorders>
            <w:shd w:val="clear" w:color="auto" w:fill="FAFAFA"/>
            <w:tcMar>
              <w:top w:w="15" w:type="dxa"/>
              <w:left w:w="75" w:type="dxa"/>
              <w:bottom w:w="15" w:type="dxa"/>
              <w:right w:w="75" w:type="dxa"/>
            </w:tcMar>
            <w:vAlign w:val="center"/>
            <w:hideMark/>
          </w:tcPr>
          <w:p w14:paraId="20AEEAA2" w14:textId="77777777" w:rsidR="004B43EE" w:rsidRPr="008D210A" w:rsidRDefault="004B43EE" w:rsidP="00351B28">
            <w:pPr>
              <w:jc w:val="both"/>
              <w:rPr>
                <w:b/>
                <w:bCs/>
                <w:sz w:val="20"/>
                <w:szCs w:val="20"/>
              </w:rPr>
            </w:pPr>
            <w:r w:rsidRPr="008D210A">
              <w:rPr>
                <w:b/>
                <w:bCs/>
                <w:sz w:val="20"/>
                <w:szCs w:val="20"/>
              </w:rPr>
              <w:t>Avg. IFA Investments</w:t>
            </w:r>
          </w:p>
        </w:tc>
        <w:tc>
          <w:tcPr>
            <w:tcW w:w="0" w:type="auto"/>
            <w:tcBorders>
              <w:top w:val="single" w:sz="6" w:space="0" w:color="auto"/>
              <w:left w:val="single" w:sz="6" w:space="0" w:color="auto"/>
              <w:bottom w:val="single" w:sz="6" w:space="0" w:color="auto"/>
              <w:right w:val="single" w:sz="6" w:space="0" w:color="auto"/>
            </w:tcBorders>
            <w:shd w:val="clear" w:color="auto" w:fill="FAFAFA"/>
            <w:tcMar>
              <w:top w:w="15" w:type="dxa"/>
              <w:left w:w="75" w:type="dxa"/>
              <w:bottom w:w="15" w:type="dxa"/>
              <w:right w:w="75" w:type="dxa"/>
            </w:tcMar>
            <w:vAlign w:val="center"/>
            <w:hideMark/>
          </w:tcPr>
          <w:p w14:paraId="716C0C8C" w14:textId="77777777" w:rsidR="004B43EE" w:rsidRPr="008D210A" w:rsidRDefault="004B43EE" w:rsidP="00351B28">
            <w:pPr>
              <w:jc w:val="both"/>
              <w:rPr>
                <w:b/>
                <w:bCs/>
                <w:sz w:val="20"/>
                <w:szCs w:val="20"/>
              </w:rPr>
            </w:pPr>
            <w:r w:rsidRPr="008D210A">
              <w:rPr>
                <w:b/>
                <w:bCs/>
                <w:sz w:val="20"/>
                <w:szCs w:val="20"/>
              </w:rPr>
              <w:t>Any Patents</w:t>
            </w:r>
          </w:p>
        </w:tc>
        <w:tc>
          <w:tcPr>
            <w:tcW w:w="0" w:type="auto"/>
            <w:tcBorders>
              <w:top w:val="single" w:sz="6" w:space="0" w:color="auto"/>
              <w:left w:val="single" w:sz="6" w:space="0" w:color="auto"/>
              <w:bottom w:val="single" w:sz="6" w:space="0" w:color="auto"/>
              <w:right w:val="single" w:sz="6" w:space="0" w:color="auto"/>
            </w:tcBorders>
            <w:shd w:val="clear" w:color="auto" w:fill="FAFAFA"/>
            <w:tcMar>
              <w:top w:w="15" w:type="dxa"/>
              <w:left w:w="75" w:type="dxa"/>
              <w:bottom w:w="15" w:type="dxa"/>
              <w:right w:w="75" w:type="dxa"/>
            </w:tcMar>
            <w:vAlign w:val="center"/>
            <w:hideMark/>
          </w:tcPr>
          <w:p w14:paraId="592A4830" w14:textId="77777777" w:rsidR="004B43EE" w:rsidRPr="008D210A" w:rsidRDefault="004B43EE" w:rsidP="00351B28">
            <w:pPr>
              <w:jc w:val="both"/>
              <w:rPr>
                <w:b/>
                <w:bCs/>
                <w:sz w:val="20"/>
                <w:szCs w:val="20"/>
              </w:rPr>
            </w:pPr>
            <w:r w:rsidRPr="008D210A">
              <w:rPr>
                <w:b/>
                <w:bCs/>
                <w:sz w:val="20"/>
                <w:szCs w:val="20"/>
              </w:rPr>
              <w:t>Log(1+Citations) (% change 2013–2015 to X)</w:t>
            </w:r>
          </w:p>
        </w:tc>
      </w:tr>
      <w:tr w:rsidR="004B43EE" w:rsidRPr="008D210A" w14:paraId="4004FA02" w14:textId="77777777" w:rsidTr="00351B28">
        <w:trPr>
          <w:trHeight w:val="415"/>
        </w:trPr>
        <w:tc>
          <w:tcPr>
            <w:tcW w:w="1697" w:type="dxa"/>
            <w:tcBorders>
              <w:top w:val="single" w:sz="6" w:space="0" w:color="auto"/>
              <w:left w:val="single" w:sz="6" w:space="0" w:color="auto"/>
              <w:bottom w:val="single" w:sz="6" w:space="0" w:color="auto"/>
              <w:right w:val="single" w:sz="6" w:space="0" w:color="auto"/>
            </w:tcBorders>
            <w:shd w:val="clear" w:color="auto" w:fill="FAFAFA"/>
            <w:tcMar>
              <w:top w:w="15" w:type="dxa"/>
              <w:left w:w="75" w:type="dxa"/>
              <w:bottom w:w="15" w:type="dxa"/>
              <w:right w:w="75" w:type="dxa"/>
            </w:tcMar>
            <w:vAlign w:val="center"/>
            <w:hideMark/>
          </w:tcPr>
          <w:p w14:paraId="5DB4ECF2" w14:textId="77777777" w:rsidR="004B43EE" w:rsidRPr="008D210A" w:rsidRDefault="004B43EE" w:rsidP="00351B28">
            <w:pPr>
              <w:jc w:val="both"/>
              <w:rPr>
                <w:sz w:val="20"/>
                <w:szCs w:val="20"/>
              </w:rPr>
            </w:pPr>
            <w:r w:rsidRPr="008D210A">
              <w:rPr>
                <w:sz w:val="20"/>
                <w:szCs w:val="20"/>
              </w:rPr>
              <w:t>2016–2019</w:t>
            </w:r>
          </w:p>
        </w:tc>
        <w:tc>
          <w:tcPr>
            <w:tcW w:w="0" w:type="auto"/>
            <w:tcBorders>
              <w:top w:val="single" w:sz="6" w:space="0" w:color="auto"/>
              <w:left w:val="single" w:sz="6" w:space="0" w:color="auto"/>
              <w:bottom w:val="single" w:sz="6" w:space="0" w:color="auto"/>
              <w:right w:val="single" w:sz="6" w:space="0" w:color="auto"/>
            </w:tcBorders>
            <w:shd w:val="clear" w:color="auto" w:fill="FAFAFA"/>
            <w:tcMar>
              <w:top w:w="15" w:type="dxa"/>
              <w:left w:w="75" w:type="dxa"/>
              <w:bottom w:w="15" w:type="dxa"/>
              <w:right w:w="75" w:type="dxa"/>
            </w:tcMar>
            <w:vAlign w:val="center"/>
            <w:hideMark/>
          </w:tcPr>
          <w:p w14:paraId="00F2DD81" w14:textId="77777777" w:rsidR="004B43EE" w:rsidRPr="008D210A" w:rsidRDefault="004B43EE" w:rsidP="00351B28">
            <w:pPr>
              <w:jc w:val="both"/>
              <w:rPr>
                <w:sz w:val="20"/>
                <w:szCs w:val="20"/>
              </w:rPr>
            </w:pPr>
            <w:r w:rsidRPr="008D210A">
              <w:rPr>
                <w:sz w:val="20"/>
                <w:szCs w:val="20"/>
              </w:rPr>
              <w:t>2.394***</w:t>
            </w:r>
          </w:p>
        </w:tc>
        <w:tc>
          <w:tcPr>
            <w:tcW w:w="0" w:type="auto"/>
            <w:tcBorders>
              <w:top w:val="single" w:sz="6" w:space="0" w:color="auto"/>
              <w:left w:val="single" w:sz="6" w:space="0" w:color="auto"/>
              <w:bottom w:val="single" w:sz="6" w:space="0" w:color="auto"/>
              <w:right w:val="single" w:sz="6" w:space="0" w:color="auto"/>
            </w:tcBorders>
            <w:shd w:val="clear" w:color="auto" w:fill="FAFAFA"/>
            <w:tcMar>
              <w:top w:w="15" w:type="dxa"/>
              <w:left w:w="75" w:type="dxa"/>
              <w:bottom w:w="15" w:type="dxa"/>
              <w:right w:w="75" w:type="dxa"/>
            </w:tcMar>
            <w:vAlign w:val="center"/>
            <w:hideMark/>
          </w:tcPr>
          <w:p w14:paraId="00284C53" w14:textId="77777777" w:rsidR="004B43EE" w:rsidRPr="008D210A" w:rsidRDefault="004B43EE" w:rsidP="00351B28">
            <w:pPr>
              <w:jc w:val="both"/>
              <w:rPr>
                <w:sz w:val="20"/>
                <w:szCs w:val="20"/>
              </w:rPr>
            </w:pPr>
            <w:r w:rsidRPr="008D210A">
              <w:rPr>
                <w:sz w:val="20"/>
                <w:szCs w:val="20"/>
              </w:rPr>
              <w:t>0.014</w:t>
            </w:r>
          </w:p>
        </w:tc>
        <w:tc>
          <w:tcPr>
            <w:tcW w:w="0" w:type="auto"/>
            <w:tcBorders>
              <w:top w:val="single" w:sz="6" w:space="0" w:color="auto"/>
              <w:left w:val="single" w:sz="6" w:space="0" w:color="auto"/>
              <w:bottom w:val="single" w:sz="6" w:space="0" w:color="auto"/>
              <w:right w:val="single" w:sz="6" w:space="0" w:color="auto"/>
            </w:tcBorders>
            <w:shd w:val="clear" w:color="auto" w:fill="FAFAFA"/>
            <w:tcMar>
              <w:top w:w="15" w:type="dxa"/>
              <w:left w:w="75" w:type="dxa"/>
              <w:bottom w:w="15" w:type="dxa"/>
              <w:right w:w="75" w:type="dxa"/>
            </w:tcMar>
            <w:vAlign w:val="center"/>
            <w:hideMark/>
          </w:tcPr>
          <w:p w14:paraId="2504B0F2" w14:textId="77777777" w:rsidR="004B43EE" w:rsidRPr="008D210A" w:rsidRDefault="004B43EE" w:rsidP="00351B28">
            <w:pPr>
              <w:jc w:val="both"/>
              <w:rPr>
                <w:sz w:val="20"/>
                <w:szCs w:val="20"/>
              </w:rPr>
            </w:pPr>
            <w:r w:rsidRPr="008D210A">
              <w:rPr>
                <w:sz w:val="20"/>
                <w:szCs w:val="20"/>
              </w:rPr>
              <w:t>-0.109</w:t>
            </w:r>
          </w:p>
        </w:tc>
      </w:tr>
      <w:tr w:rsidR="004B43EE" w:rsidRPr="008D210A" w14:paraId="395DAC42" w14:textId="77777777" w:rsidTr="00351B28">
        <w:trPr>
          <w:trHeight w:val="406"/>
        </w:trPr>
        <w:tc>
          <w:tcPr>
            <w:tcW w:w="1697" w:type="dxa"/>
            <w:tcBorders>
              <w:top w:val="single" w:sz="6" w:space="0" w:color="auto"/>
              <w:left w:val="single" w:sz="6" w:space="0" w:color="auto"/>
              <w:bottom w:val="single" w:sz="6" w:space="0" w:color="auto"/>
              <w:right w:val="single" w:sz="6" w:space="0" w:color="auto"/>
            </w:tcBorders>
            <w:shd w:val="clear" w:color="auto" w:fill="FAFAFA"/>
            <w:tcMar>
              <w:top w:w="15" w:type="dxa"/>
              <w:left w:w="75" w:type="dxa"/>
              <w:bottom w:w="15" w:type="dxa"/>
              <w:right w:w="75" w:type="dxa"/>
            </w:tcMar>
            <w:vAlign w:val="center"/>
            <w:hideMark/>
          </w:tcPr>
          <w:p w14:paraId="19F7F4BF" w14:textId="77777777" w:rsidR="004B43EE" w:rsidRPr="008D210A" w:rsidRDefault="004B43EE" w:rsidP="00351B28">
            <w:pPr>
              <w:jc w:val="both"/>
              <w:rPr>
                <w:sz w:val="20"/>
                <w:szCs w:val="20"/>
              </w:rPr>
            </w:pPr>
            <w:r w:rsidRPr="008D210A">
              <w:rPr>
                <w:sz w:val="20"/>
                <w:szCs w:val="20"/>
              </w:rPr>
              <w:t>2020–2023</w:t>
            </w:r>
          </w:p>
        </w:tc>
        <w:tc>
          <w:tcPr>
            <w:tcW w:w="0" w:type="auto"/>
            <w:tcBorders>
              <w:top w:val="single" w:sz="6" w:space="0" w:color="auto"/>
              <w:left w:val="single" w:sz="6" w:space="0" w:color="auto"/>
              <w:bottom w:val="single" w:sz="6" w:space="0" w:color="auto"/>
              <w:right w:val="single" w:sz="6" w:space="0" w:color="auto"/>
            </w:tcBorders>
            <w:shd w:val="clear" w:color="auto" w:fill="FAFAFA"/>
            <w:tcMar>
              <w:top w:w="15" w:type="dxa"/>
              <w:left w:w="75" w:type="dxa"/>
              <w:bottom w:w="15" w:type="dxa"/>
              <w:right w:w="75" w:type="dxa"/>
            </w:tcMar>
            <w:vAlign w:val="center"/>
            <w:hideMark/>
          </w:tcPr>
          <w:p w14:paraId="58750AF1" w14:textId="77777777" w:rsidR="004B43EE" w:rsidRPr="008D210A" w:rsidRDefault="004B43EE" w:rsidP="00351B28">
            <w:pPr>
              <w:jc w:val="both"/>
              <w:rPr>
                <w:sz w:val="20"/>
                <w:szCs w:val="20"/>
              </w:rPr>
            </w:pPr>
            <w:r w:rsidRPr="008D210A">
              <w:rPr>
                <w:sz w:val="20"/>
                <w:szCs w:val="20"/>
              </w:rPr>
              <w:t>3.266***</w:t>
            </w:r>
          </w:p>
        </w:tc>
        <w:tc>
          <w:tcPr>
            <w:tcW w:w="0" w:type="auto"/>
            <w:tcBorders>
              <w:top w:val="single" w:sz="6" w:space="0" w:color="auto"/>
              <w:left w:val="single" w:sz="6" w:space="0" w:color="auto"/>
              <w:bottom w:val="single" w:sz="6" w:space="0" w:color="auto"/>
              <w:right w:val="single" w:sz="6" w:space="0" w:color="auto"/>
            </w:tcBorders>
            <w:shd w:val="clear" w:color="auto" w:fill="FAFAFA"/>
            <w:tcMar>
              <w:top w:w="15" w:type="dxa"/>
              <w:left w:w="75" w:type="dxa"/>
              <w:bottom w:w="15" w:type="dxa"/>
              <w:right w:w="75" w:type="dxa"/>
            </w:tcMar>
            <w:vAlign w:val="center"/>
            <w:hideMark/>
          </w:tcPr>
          <w:p w14:paraId="1D31AB4D" w14:textId="77777777" w:rsidR="004B43EE" w:rsidRPr="008D210A" w:rsidRDefault="004B43EE" w:rsidP="00351B28">
            <w:pPr>
              <w:jc w:val="both"/>
              <w:rPr>
                <w:sz w:val="20"/>
                <w:szCs w:val="20"/>
              </w:rPr>
            </w:pPr>
            <w:r w:rsidRPr="008D210A">
              <w:rPr>
                <w:sz w:val="20"/>
                <w:szCs w:val="20"/>
              </w:rPr>
              <w:t>0.026</w:t>
            </w:r>
          </w:p>
        </w:tc>
        <w:tc>
          <w:tcPr>
            <w:tcW w:w="0" w:type="auto"/>
            <w:tcBorders>
              <w:top w:val="single" w:sz="6" w:space="0" w:color="auto"/>
              <w:left w:val="single" w:sz="6" w:space="0" w:color="auto"/>
              <w:bottom w:val="single" w:sz="6" w:space="0" w:color="auto"/>
              <w:right w:val="single" w:sz="6" w:space="0" w:color="auto"/>
            </w:tcBorders>
            <w:shd w:val="clear" w:color="auto" w:fill="FAFAFA"/>
            <w:tcMar>
              <w:top w:w="15" w:type="dxa"/>
              <w:left w:w="75" w:type="dxa"/>
              <w:bottom w:w="15" w:type="dxa"/>
              <w:right w:w="75" w:type="dxa"/>
            </w:tcMar>
            <w:vAlign w:val="center"/>
            <w:hideMark/>
          </w:tcPr>
          <w:p w14:paraId="15856418" w14:textId="77777777" w:rsidR="004B43EE" w:rsidRPr="008D210A" w:rsidRDefault="004B43EE" w:rsidP="00351B28">
            <w:pPr>
              <w:jc w:val="both"/>
              <w:rPr>
                <w:sz w:val="20"/>
                <w:szCs w:val="20"/>
              </w:rPr>
            </w:pPr>
            <w:r w:rsidRPr="008D210A">
              <w:rPr>
                <w:sz w:val="20"/>
                <w:szCs w:val="20"/>
              </w:rPr>
              <w:t>0.728</w:t>
            </w:r>
          </w:p>
        </w:tc>
      </w:tr>
      <w:tr w:rsidR="004B43EE" w:rsidRPr="008D210A" w14:paraId="56FA0F3B" w14:textId="77777777" w:rsidTr="00351B28">
        <w:trPr>
          <w:trHeight w:val="415"/>
        </w:trPr>
        <w:tc>
          <w:tcPr>
            <w:tcW w:w="1697" w:type="dxa"/>
            <w:tcBorders>
              <w:top w:val="single" w:sz="6" w:space="0" w:color="auto"/>
              <w:left w:val="single" w:sz="6" w:space="0" w:color="auto"/>
              <w:bottom w:val="single" w:sz="6" w:space="0" w:color="auto"/>
              <w:right w:val="single" w:sz="6" w:space="0" w:color="auto"/>
            </w:tcBorders>
            <w:shd w:val="clear" w:color="auto" w:fill="FAFAFA"/>
            <w:tcMar>
              <w:top w:w="15" w:type="dxa"/>
              <w:left w:w="75" w:type="dxa"/>
              <w:bottom w:w="15" w:type="dxa"/>
              <w:right w:w="75" w:type="dxa"/>
            </w:tcMar>
            <w:vAlign w:val="center"/>
            <w:hideMark/>
          </w:tcPr>
          <w:p w14:paraId="59A63B03" w14:textId="77777777" w:rsidR="004B43EE" w:rsidRPr="008D210A" w:rsidRDefault="004B43EE" w:rsidP="00351B28">
            <w:pPr>
              <w:jc w:val="both"/>
              <w:rPr>
                <w:sz w:val="20"/>
                <w:szCs w:val="20"/>
              </w:rPr>
            </w:pPr>
            <w:r w:rsidRPr="008D210A">
              <w:rPr>
                <w:sz w:val="20"/>
                <w:szCs w:val="20"/>
              </w:rPr>
              <w:t>2024–2027</w:t>
            </w:r>
          </w:p>
        </w:tc>
        <w:tc>
          <w:tcPr>
            <w:tcW w:w="0" w:type="auto"/>
            <w:tcBorders>
              <w:top w:val="single" w:sz="6" w:space="0" w:color="auto"/>
              <w:left w:val="single" w:sz="6" w:space="0" w:color="auto"/>
              <w:bottom w:val="single" w:sz="6" w:space="0" w:color="auto"/>
              <w:right w:val="single" w:sz="6" w:space="0" w:color="auto"/>
            </w:tcBorders>
            <w:shd w:val="clear" w:color="auto" w:fill="FAFAFA"/>
            <w:tcMar>
              <w:top w:w="15" w:type="dxa"/>
              <w:left w:w="75" w:type="dxa"/>
              <w:bottom w:w="15" w:type="dxa"/>
              <w:right w:w="75" w:type="dxa"/>
            </w:tcMar>
            <w:vAlign w:val="center"/>
            <w:hideMark/>
          </w:tcPr>
          <w:p w14:paraId="5932D687" w14:textId="77777777" w:rsidR="004B43EE" w:rsidRPr="008D210A" w:rsidRDefault="004B43EE" w:rsidP="00351B28">
            <w:pPr>
              <w:jc w:val="both"/>
              <w:rPr>
                <w:sz w:val="20"/>
                <w:szCs w:val="20"/>
              </w:rPr>
            </w:pPr>
            <w:r w:rsidRPr="008D210A">
              <w:rPr>
                <w:sz w:val="20"/>
                <w:szCs w:val="20"/>
              </w:rPr>
              <w:t>4.233**</w:t>
            </w:r>
          </w:p>
        </w:tc>
        <w:tc>
          <w:tcPr>
            <w:tcW w:w="0" w:type="auto"/>
            <w:tcBorders>
              <w:top w:val="single" w:sz="6" w:space="0" w:color="auto"/>
              <w:left w:val="single" w:sz="6" w:space="0" w:color="auto"/>
              <w:bottom w:val="single" w:sz="6" w:space="0" w:color="auto"/>
              <w:right w:val="single" w:sz="6" w:space="0" w:color="auto"/>
            </w:tcBorders>
            <w:shd w:val="clear" w:color="auto" w:fill="FAFAFA"/>
            <w:tcMar>
              <w:top w:w="15" w:type="dxa"/>
              <w:left w:w="75" w:type="dxa"/>
              <w:bottom w:w="15" w:type="dxa"/>
              <w:right w:w="75" w:type="dxa"/>
            </w:tcMar>
            <w:vAlign w:val="center"/>
            <w:hideMark/>
          </w:tcPr>
          <w:p w14:paraId="0E5CDD3A" w14:textId="77777777" w:rsidR="004B43EE" w:rsidRPr="008D210A" w:rsidRDefault="004B43EE" w:rsidP="00351B28">
            <w:pPr>
              <w:jc w:val="both"/>
              <w:rPr>
                <w:sz w:val="20"/>
                <w:szCs w:val="20"/>
              </w:rPr>
            </w:pPr>
            <w:r w:rsidRPr="008D210A">
              <w:rPr>
                <w:sz w:val="20"/>
                <w:szCs w:val="20"/>
              </w:rPr>
              <w:t>0.077</w:t>
            </w:r>
          </w:p>
        </w:tc>
        <w:tc>
          <w:tcPr>
            <w:tcW w:w="0" w:type="auto"/>
            <w:tcBorders>
              <w:top w:val="single" w:sz="6" w:space="0" w:color="auto"/>
              <w:left w:val="single" w:sz="6" w:space="0" w:color="auto"/>
              <w:bottom w:val="single" w:sz="6" w:space="0" w:color="auto"/>
              <w:right w:val="single" w:sz="6" w:space="0" w:color="auto"/>
            </w:tcBorders>
            <w:shd w:val="clear" w:color="auto" w:fill="FAFAFA"/>
            <w:tcMar>
              <w:top w:w="15" w:type="dxa"/>
              <w:left w:w="75" w:type="dxa"/>
              <w:bottom w:w="15" w:type="dxa"/>
              <w:right w:w="75" w:type="dxa"/>
            </w:tcMar>
            <w:vAlign w:val="center"/>
            <w:hideMark/>
          </w:tcPr>
          <w:p w14:paraId="1B9FA7EE" w14:textId="77777777" w:rsidR="004B43EE" w:rsidRPr="008D210A" w:rsidRDefault="004B43EE" w:rsidP="00351B28">
            <w:pPr>
              <w:jc w:val="both"/>
              <w:rPr>
                <w:sz w:val="20"/>
                <w:szCs w:val="20"/>
              </w:rPr>
            </w:pPr>
            <w:r w:rsidRPr="008D210A">
              <w:rPr>
                <w:sz w:val="20"/>
                <w:szCs w:val="20"/>
              </w:rPr>
              <w:t>-0.047</w:t>
            </w:r>
          </w:p>
        </w:tc>
      </w:tr>
      <w:tr w:rsidR="004B43EE" w:rsidRPr="008D210A" w14:paraId="46146F55" w14:textId="77777777" w:rsidTr="00351B28">
        <w:trPr>
          <w:trHeight w:val="406"/>
        </w:trPr>
        <w:tc>
          <w:tcPr>
            <w:tcW w:w="1697" w:type="dxa"/>
            <w:tcBorders>
              <w:top w:val="single" w:sz="6" w:space="0" w:color="auto"/>
              <w:left w:val="single" w:sz="6" w:space="0" w:color="auto"/>
              <w:bottom w:val="single" w:sz="6" w:space="0" w:color="auto"/>
              <w:right w:val="single" w:sz="6" w:space="0" w:color="auto"/>
            </w:tcBorders>
            <w:shd w:val="clear" w:color="auto" w:fill="FAFAFA"/>
            <w:tcMar>
              <w:top w:w="15" w:type="dxa"/>
              <w:left w:w="75" w:type="dxa"/>
              <w:bottom w:w="15" w:type="dxa"/>
              <w:right w:w="75" w:type="dxa"/>
            </w:tcMar>
            <w:vAlign w:val="center"/>
            <w:hideMark/>
          </w:tcPr>
          <w:p w14:paraId="522725FF" w14:textId="77777777" w:rsidR="004B43EE" w:rsidRPr="008D210A" w:rsidRDefault="004B43EE" w:rsidP="00351B28">
            <w:pPr>
              <w:jc w:val="both"/>
              <w:rPr>
                <w:sz w:val="20"/>
                <w:szCs w:val="20"/>
              </w:rPr>
            </w:pPr>
            <w:r w:rsidRPr="008D210A">
              <w:rPr>
                <w:sz w:val="20"/>
                <w:szCs w:val="20"/>
              </w:rPr>
              <w:t>(Std. Err.)</w:t>
            </w:r>
          </w:p>
        </w:tc>
        <w:tc>
          <w:tcPr>
            <w:tcW w:w="0" w:type="auto"/>
            <w:tcBorders>
              <w:top w:val="single" w:sz="6" w:space="0" w:color="auto"/>
              <w:left w:val="single" w:sz="6" w:space="0" w:color="auto"/>
              <w:bottom w:val="single" w:sz="6" w:space="0" w:color="auto"/>
              <w:right w:val="single" w:sz="6" w:space="0" w:color="auto"/>
            </w:tcBorders>
            <w:shd w:val="clear" w:color="auto" w:fill="FAFAFA"/>
            <w:tcMar>
              <w:top w:w="15" w:type="dxa"/>
              <w:left w:w="75" w:type="dxa"/>
              <w:bottom w:w="15" w:type="dxa"/>
              <w:right w:w="75" w:type="dxa"/>
            </w:tcMar>
            <w:vAlign w:val="center"/>
            <w:hideMark/>
          </w:tcPr>
          <w:p w14:paraId="42E98021" w14:textId="77777777" w:rsidR="004B43EE" w:rsidRPr="008D210A" w:rsidRDefault="004B43EE" w:rsidP="00351B28">
            <w:pPr>
              <w:jc w:val="both"/>
              <w:rPr>
                <w:sz w:val="20"/>
                <w:szCs w:val="20"/>
              </w:rPr>
            </w:pPr>
            <w:r w:rsidRPr="008D210A">
              <w:rPr>
                <w:sz w:val="20"/>
                <w:szCs w:val="20"/>
              </w:rPr>
              <w:t>(0.889)</w:t>
            </w:r>
          </w:p>
        </w:tc>
        <w:tc>
          <w:tcPr>
            <w:tcW w:w="0" w:type="auto"/>
            <w:tcBorders>
              <w:top w:val="single" w:sz="6" w:space="0" w:color="auto"/>
              <w:left w:val="single" w:sz="6" w:space="0" w:color="auto"/>
              <w:bottom w:val="single" w:sz="6" w:space="0" w:color="auto"/>
              <w:right w:val="single" w:sz="6" w:space="0" w:color="auto"/>
            </w:tcBorders>
            <w:shd w:val="clear" w:color="auto" w:fill="FAFAFA"/>
            <w:tcMar>
              <w:top w:w="15" w:type="dxa"/>
              <w:left w:w="75" w:type="dxa"/>
              <w:bottom w:w="15" w:type="dxa"/>
              <w:right w:w="75" w:type="dxa"/>
            </w:tcMar>
            <w:vAlign w:val="center"/>
            <w:hideMark/>
          </w:tcPr>
          <w:p w14:paraId="12E53953" w14:textId="77777777" w:rsidR="004B43EE" w:rsidRPr="008D210A" w:rsidRDefault="004B43EE" w:rsidP="00351B28">
            <w:pPr>
              <w:jc w:val="both"/>
              <w:rPr>
                <w:sz w:val="20"/>
                <w:szCs w:val="20"/>
              </w:rPr>
            </w:pPr>
            <w:r w:rsidRPr="008D210A">
              <w:rPr>
                <w:sz w:val="20"/>
                <w:szCs w:val="20"/>
              </w:rPr>
              <w:t>(0.190)</w:t>
            </w:r>
          </w:p>
        </w:tc>
        <w:tc>
          <w:tcPr>
            <w:tcW w:w="0" w:type="auto"/>
            <w:tcBorders>
              <w:top w:val="single" w:sz="6" w:space="0" w:color="auto"/>
              <w:left w:val="single" w:sz="6" w:space="0" w:color="auto"/>
              <w:bottom w:val="single" w:sz="6" w:space="0" w:color="auto"/>
              <w:right w:val="single" w:sz="6" w:space="0" w:color="auto"/>
            </w:tcBorders>
            <w:shd w:val="clear" w:color="auto" w:fill="FAFAFA"/>
            <w:tcMar>
              <w:top w:w="15" w:type="dxa"/>
              <w:left w:w="75" w:type="dxa"/>
              <w:bottom w:w="15" w:type="dxa"/>
              <w:right w:w="75" w:type="dxa"/>
            </w:tcMar>
            <w:vAlign w:val="center"/>
            <w:hideMark/>
          </w:tcPr>
          <w:p w14:paraId="7ED4D5A1" w14:textId="77777777" w:rsidR="004B43EE" w:rsidRPr="008D210A" w:rsidRDefault="004B43EE" w:rsidP="00351B28">
            <w:pPr>
              <w:jc w:val="both"/>
              <w:rPr>
                <w:sz w:val="20"/>
                <w:szCs w:val="20"/>
              </w:rPr>
            </w:pPr>
            <w:r w:rsidRPr="008D210A">
              <w:rPr>
                <w:sz w:val="20"/>
                <w:szCs w:val="20"/>
              </w:rPr>
              <w:t>(0.278)</w:t>
            </w:r>
          </w:p>
        </w:tc>
      </w:tr>
      <w:tr w:rsidR="004B43EE" w:rsidRPr="008D210A" w14:paraId="2847A888" w14:textId="77777777" w:rsidTr="00351B28">
        <w:trPr>
          <w:trHeight w:val="406"/>
        </w:trPr>
        <w:tc>
          <w:tcPr>
            <w:tcW w:w="1697" w:type="dxa"/>
            <w:tcBorders>
              <w:top w:val="single" w:sz="6" w:space="0" w:color="auto"/>
              <w:left w:val="single" w:sz="6" w:space="0" w:color="auto"/>
              <w:bottom w:val="single" w:sz="6" w:space="0" w:color="auto"/>
              <w:right w:val="single" w:sz="6" w:space="0" w:color="auto"/>
            </w:tcBorders>
            <w:shd w:val="clear" w:color="auto" w:fill="FAFAFA"/>
            <w:tcMar>
              <w:top w:w="15" w:type="dxa"/>
              <w:left w:w="75" w:type="dxa"/>
              <w:bottom w:w="15" w:type="dxa"/>
              <w:right w:w="75" w:type="dxa"/>
            </w:tcMar>
            <w:vAlign w:val="center"/>
            <w:hideMark/>
          </w:tcPr>
          <w:p w14:paraId="18FFF4CF" w14:textId="77777777" w:rsidR="004B43EE" w:rsidRPr="008D210A" w:rsidRDefault="004B43EE" w:rsidP="00351B28">
            <w:pPr>
              <w:jc w:val="both"/>
              <w:rPr>
                <w:sz w:val="20"/>
                <w:szCs w:val="20"/>
              </w:rPr>
            </w:pPr>
            <w:r w:rsidRPr="008D210A">
              <w:rPr>
                <w:sz w:val="20"/>
                <w:szCs w:val="20"/>
              </w:rPr>
              <w:t>Observations</w:t>
            </w:r>
          </w:p>
        </w:tc>
        <w:tc>
          <w:tcPr>
            <w:tcW w:w="0" w:type="auto"/>
            <w:tcBorders>
              <w:top w:val="single" w:sz="6" w:space="0" w:color="auto"/>
              <w:left w:val="single" w:sz="6" w:space="0" w:color="auto"/>
              <w:bottom w:val="single" w:sz="6" w:space="0" w:color="auto"/>
              <w:right w:val="single" w:sz="6" w:space="0" w:color="auto"/>
            </w:tcBorders>
            <w:shd w:val="clear" w:color="auto" w:fill="FAFAFA"/>
            <w:tcMar>
              <w:top w:w="15" w:type="dxa"/>
              <w:left w:w="75" w:type="dxa"/>
              <w:bottom w:w="15" w:type="dxa"/>
              <w:right w:w="75" w:type="dxa"/>
            </w:tcMar>
            <w:vAlign w:val="center"/>
            <w:hideMark/>
          </w:tcPr>
          <w:p w14:paraId="2E5F7660" w14:textId="77777777" w:rsidR="004B43EE" w:rsidRPr="008D210A" w:rsidRDefault="004B43EE" w:rsidP="00351B28">
            <w:pPr>
              <w:jc w:val="both"/>
              <w:rPr>
                <w:sz w:val="20"/>
                <w:szCs w:val="20"/>
              </w:rPr>
            </w:pPr>
            <w:r w:rsidRPr="008D210A">
              <w:rPr>
                <w:sz w:val="20"/>
                <w:szCs w:val="20"/>
              </w:rPr>
              <w:t>125</w:t>
            </w:r>
          </w:p>
        </w:tc>
        <w:tc>
          <w:tcPr>
            <w:tcW w:w="0" w:type="auto"/>
            <w:tcBorders>
              <w:top w:val="single" w:sz="6" w:space="0" w:color="auto"/>
              <w:left w:val="single" w:sz="6" w:space="0" w:color="auto"/>
              <w:bottom w:val="single" w:sz="6" w:space="0" w:color="auto"/>
              <w:right w:val="single" w:sz="6" w:space="0" w:color="auto"/>
            </w:tcBorders>
            <w:shd w:val="clear" w:color="auto" w:fill="FAFAFA"/>
            <w:tcMar>
              <w:top w:w="15" w:type="dxa"/>
              <w:left w:w="75" w:type="dxa"/>
              <w:bottom w:w="15" w:type="dxa"/>
              <w:right w:w="75" w:type="dxa"/>
            </w:tcMar>
            <w:vAlign w:val="center"/>
            <w:hideMark/>
          </w:tcPr>
          <w:p w14:paraId="1F4D1E2A" w14:textId="77777777" w:rsidR="004B43EE" w:rsidRPr="008D210A" w:rsidRDefault="004B43EE" w:rsidP="00351B28">
            <w:pPr>
              <w:jc w:val="both"/>
              <w:rPr>
                <w:sz w:val="20"/>
                <w:szCs w:val="20"/>
              </w:rPr>
            </w:pPr>
            <w:r w:rsidRPr="008D210A">
              <w:rPr>
                <w:sz w:val="20"/>
                <w:szCs w:val="20"/>
              </w:rPr>
              <w:t>106</w:t>
            </w:r>
          </w:p>
        </w:tc>
        <w:tc>
          <w:tcPr>
            <w:tcW w:w="0" w:type="auto"/>
            <w:tcBorders>
              <w:top w:val="single" w:sz="6" w:space="0" w:color="auto"/>
              <w:left w:val="single" w:sz="6" w:space="0" w:color="auto"/>
              <w:bottom w:val="single" w:sz="6" w:space="0" w:color="auto"/>
              <w:right w:val="single" w:sz="6" w:space="0" w:color="auto"/>
            </w:tcBorders>
            <w:shd w:val="clear" w:color="auto" w:fill="FAFAFA"/>
            <w:tcMar>
              <w:top w:w="15" w:type="dxa"/>
              <w:left w:w="75" w:type="dxa"/>
              <w:bottom w:w="15" w:type="dxa"/>
              <w:right w:w="75" w:type="dxa"/>
            </w:tcMar>
            <w:vAlign w:val="center"/>
            <w:hideMark/>
          </w:tcPr>
          <w:p w14:paraId="6C8AEA33" w14:textId="77777777" w:rsidR="004B43EE" w:rsidRPr="008D210A" w:rsidRDefault="004B43EE" w:rsidP="00351B28">
            <w:pPr>
              <w:jc w:val="both"/>
              <w:rPr>
                <w:sz w:val="20"/>
                <w:szCs w:val="20"/>
              </w:rPr>
            </w:pPr>
            <w:r w:rsidRPr="008D210A">
              <w:rPr>
                <w:sz w:val="20"/>
                <w:szCs w:val="20"/>
              </w:rPr>
              <w:t>123</w:t>
            </w:r>
          </w:p>
        </w:tc>
      </w:tr>
      <w:tr w:rsidR="004B43EE" w:rsidRPr="008D210A" w14:paraId="6473C13F" w14:textId="77777777" w:rsidTr="00351B28">
        <w:trPr>
          <w:trHeight w:val="406"/>
        </w:trPr>
        <w:tc>
          <w:tcPr>
            <w:tcW w:w="1697" w:type="dxa"/>
            <w:tcBorders>
              <w:top w:val="single" w:sz="6" w:space="0" w:color="auto"/>
              <w:left w:val="single" w:sz="6" w:space="0" w:color="auto"/>
              <w:bottom w:val="single" w:sz="6" w:space="0" w:color="auto"/>
              <w:right w:val="single" w:sz="6" w:space="0" w:color="auto"/>
            </w:tcBorders>
            <w:shd w:val="clear" w:color="auto" w:fill="FAFAFA"/>
            <w:tcMar>
              <w:top w:w="15" w:type="dxa"/>
              <w:left w:w="75" w:type="dxa"/>
              <w:bottom w:w="15" w:type="dxa"/>
              <w:right w:w="75" w:type="dxa"/>
            </w:tcMar>
            <w:vAlign w:val="center"/>
            <w:hideMark/>
          </w:tcPr>
          <w:p w14:paraId="60192293" w14:textId="77777777" w:rsidR="004B43EE" w:rsidRPr="008D210A" w:rsidRDefault="004B43EE" w:rsidP="00351B28">
            <w:pPr>
              <w:jc w:val="both"/>
              <w:rPr>
                <w:sz w:val="20"/>
                <w:szCs w:val="20"/>
              </w:rPr>
            </w:pPr>
            <w:r w:rsidRPr="008D210A">
              <w:rPr>
                <w:sz w:val="20"/>
                <w:szCs w:val="20"/>
              </w:rPr>
              <w:t>Bandwidth</w:t>
            </w:r>
          </w:p>
        </w:tc>
        <w:tc>
          <w:tcPr>
            <w:tcW w:w="0" w:type="auto"/>
            <w:tcBorders>
              <w:top w:val="single" w:sz="6" w:space="0" w:color="auto"/>
              <w:left w:val="single" w:sz="6" w:space="0" w:color="auto"/>
              <w:bottom w:val="single" w:sz="6" w:space="0" w:color="auto"/>
              <w:right w:val="single" w:sz="6" w:space="0" w:color="auto"/>
            </w:tcBorders>
            <w:shd w:val="clear" w:color="auto" w:fill="FAFAFA"/>
            <w:tcMar>
              <w:top w:w="15" w:type="dxa"/>
              <w:left w:w="75" w:type="dxa"/>
              <w:bottom w:w="15" w:type="dxa"/>
              <w:right w:w="75" w:type="dxa"/>
            </w:tcMar>
            <w:vAlign w:val="center"/>
            <w:hideMark/>
          </w:tcPr>
          <w:p w14:paraId="3F5051F2" w14:textId="77777777" w:rsidR="004B43EE" w:rsidRPr="008D210A" w:rsidRDefault="004B43EE" w:rsidP="00351B28">
            <w:pPr>
              <w:jc w:val="both"/>
              <w:rPr>
                <w:sz w:val="20"/>
                <w:szCs w:val="20"/>
              </w:rPr>
            </w:pPr>
            <w:r w:rsidRPr="008D210A">
              <w:rPr>
                <w:sz w:val="20"/>
                <w:szCs w:val="20"/>
              </w:rPr>
              <w:t>2.416</w:t>
            </w:r>
          </w:p>
        </w:tc>
        <w:tc>
          <w:tcPr>
            <w:tcW w:w="0" w:type="auto"/>
            <w:tcBorders>
              <w:top w:val="single" w:sz="6" w:space="0" w:color="auto"/>
              <w:left w:val="single" w:sz="6" w:space="0" w:color="auto"/>
              <w:bottom w:val="single" w:sz="6" w:space="0" w:color="auto"/>
              <w:right w:val="single" w:sz="6" w:space="0" w:color="auto"/>
            </w:tcBorders>
            <w:shd w:val="clear" w:color="auto" w:fill="FAFAFA"/>
            <w:tcMar>
              <w:top w:w="15" w:type="dxa"/>
              <w:left w:w="75" w:type="dxa"/>
              <w:bottom w:w="15" w:type="dxa"/>
              <w:right w:w="75" w:type="dxa"/>
            </w:tcMar>
            <w:vAlign w:val="center"/>
            <w:hideMark/>
          </w:tcPr>
          <w:p w14:paraId="07648403" w14:textId="77777777" w:rsidR="004B43EE" w:rsidRPr="008D210A" w:rsidRDefault="004B43EE" w:rsidP="00351B28">
            <w:pPr>
              <w:jc w:val="both"/>
              <w:rPr>
                <w:sz w:val="20"/>
                <w:szCs w:val="20"/>
              </w:rPr>
            </w:pPr>
            <w:r w:rsidRPr="008D210A">
              <w:rPr>
                <w:sz w:val="20"/>
                <w:szCs w:val="20"/>
              </w:rPr>
              <w:t>2.007</w:t>
            </w:r>
          </w:p>
        </w:tc>
        <w:tc>
          <w:tcPr>
            <w:tcW w:w="0" w:type="auto"/>
            <w:tcBorders>
              <w:top w:val="single" w:sz="6" w:space="0" w:color="auto"/>
              <w:left w:val="single" w:sz="6" w:space="0" w:color="auto"/>
              <w:bottom w:val="single" w:sz="6" w:space="0" w:color="auto"/>
              <w:right w:val="single" w:sz="6" w:space="0" w:color="auto"/>
            </w:tcBorders>
            <w:shd w:val="clear" w:color="auto" w:fill="FAFAFA"/>
            <w:tcMar>
              <w:top w:w="15" w:type="dxa"/>
              <w:left w:w="75" w:type="dxa"/>
              <w:bottom w:w="15" w:type="dxa"/>
              <w:right w:w="75" w:type="dxa"/>
            </w:tcMar>
            <w:vAlign w:val="center"/>
            <w:hideMark/>
          </w:tcPr>
          <w:p w14:paraId="36292B6D" w14:textId="77777777" w:rsidR="004B43EE" w:rsidRPr="008D210A" w:rsidRDefault="004B43EE" w:rsidP="00351B28">
            <w:pPr>
              <w:jc w:val="both"/>
              <w:rPr>
                <w:sz w:val="20"/>
                <w:szCs w:val="20"/>
              </w:rPr>
            </w:pPr>
            <w:r w:rsidRPr="008D210A">
              <w:rPr>
                <w:sz w:val="20"/>
                <w:szCs w:val="20"/>
              </w:rPr>
              <w:t>2.340</w:t>
            </w:r>
          </w:p>
        </w:tc>
      </w:tr>
    </w:tbl>
    <w:p w14:paraId="47C9871F" w14:textId="77777777" w:rsidR="004B43EE" w:rsidRPr="0095222A" w:rsidRDefault="004B43EE" w:rsidP="004B43EE">
      <w:pPr>
        <w:jc w:val="both"/>
        <w:rPr>
          <w:i/>
          <w:iCs/>
          <w:sz w:val="20"/>
          <w:szCs w:val="20"/>
        </w:rPr>
      </w:pPr>
      <w:r w:rsidRPr="0095222A">
        <w:rPr>
          <w:i/>
          <w:iCs/>
          <w:sz w:val="20"/>
          <w:szCs w:val="20"/>
        </w:rPr>
        <w:t>Notes: See Table 1.</w:t>
      </w:r>
    </w:p>
    <w:p w14:paraId="1951860F" w14:textId="591DAFC4" w:rsidR="004B43EE" w:rsidRPr="00B67F15" w:rsidRDefault="004B43EE" w:rsidP="004B43EE">
      <w:pPr>
        <w:jc w:val="both"/>
      </w:pPr>
      <w:r w:rsidRPr="0095222A">
        <w:t xml:space="preserve">The </w:t>
      </w:r>
      <w:r>
        <w:t xml:space="preserve">medium- and long-term coefficients </w:t>
      </w:r>
      <w:r w:rsidRPr="0095222A">
        <w:t xml:space="preserve">indicate a slight increase, implying that the initial IFA </w:t>
      </w:r>
      <w:r>
        <w:t xml:space="preserve">growth </w:t>
      </w:r>
      <w:r w:rsidRPr="0095222A">
        <w:t xml:space="preserve">persisted at a somewhat reduced rate and extended for a minimum of </w:t>
      </w:r>
      <w:r>
        <w:t>ten</w:t>
      </w:r>
      <w:r w:rsidRPr="0095222A">
        <w:t xml:space="preserve"> years. Nonetheless, the </w:t>
      </w:r>
      <w:r>
        <w:t>support</w:t>
      </w:r>
      <w:r w:rsidRPr="0095222A">
        <w:t xml:space="preserve"> </w:t>
      </w:r>
      <w:r>
        <w:t>did not</w:t>
      </w:r>
      <w:r w:rsidRPr="0095222A">
        <w:t xml:space="preserve"> </w:t>
      </w:r>
      <w:r>
        <w:t>show</w:t>
      </w:r>
      <w:r w:rsidRPr="0095222A">
        <w:t xml:space="preserve"> a notable effect on </w:t>
      </w:r>
      <w:r>
        <w:t xml:space="preserve">technology-driven </w:t>
      </w:r>
      <w:r w:rsidRPr="0095222A">
        <w:t xml:space="preserve">innovation, as </w:t>
      </w:r>
      <w:r>
        <w:t>the study</w:t>
      </w:r>
      <w:r w:rsidRPr="0095222A">
        <w:t xml:space="preserve"> </w:t>
      </w:r>
      <w:r>
        <w:t>could not</w:t>
      </w:r>
      <w:r w:rsidRPr="0095222A">
        <w:t xml:space="preserve"> observe significa</w:t>
      </w:r>
      <w:r>
        <w:t>nce</w:t>
      </w:r>
      <w:r w:rsidRPr="0095222A">
        <w:t xml:space="preserve"> in </w:t>
      </w:r>
      <w:r>
        <w:t>diverse</w:t>
      </w:r>
      <w:r w:rsidRPr="0095222A">
        <w:t xml:space="preserve"> </w:t>
      </w:r>
      <w:r>
        <w:t>timeframes</w:t>
      </w:r>
      <w:r w:rsidRPr="0095222A">
        <w:t xml:space="preserve"> regarding citation-weighted patents</w:t>
      </w:r>
      <w:r>
        <w:t xml:space="preserve"> and </w:t>
      </w:r>
      <w:r w:rsidRPr="0095222A">
        <w:t xml:space="preserve">patenting. A possible description </w:t>
      </w:r>
      <w:r>
        <w:t>involves</w:t>
      </w:r>
      <w:r w:rsidRPr="0095222A">
        <w:t xml:space="preserve"> qualifying project</w:t>
      </w:r>
      <w:r>
        <w:t xml:space="preserve"> plans</w:t>
      </w:r>
      <w:r w:rsidRPr="0095222A">
        <w:t xml:space="preserve"> </w:t>
      </w:r>
      <w:r>
        <w:t>directly associated with process or product innovation, with a high probability of enhancing</w:t>
      </w:r>
      <w:r w:rsidRPr="0095222A">
        <w:t xml:space="preserve"> revenue</w:t>
      </w:r>
      <w:r>
        <w:t xml:space="preserve">s </w:t>
      </w:r>
      <w:r w:rsidRPr="0095222A">
        <w:t>and productivity</w:t>
      </w:r>
      <w:r w:rsidR="002C6B8B">
        <w:t xml:space="preserve"> (</w:t>
      </w:r>
      <w:r w:rsidR="002C6B8B" w:rsidRPr="00195EFE">
        <w:t>Li</w:t>
      </w:r>
      <w:r w:rsidR="002C6B8B">
        <w:t xml:space="preserve"> et al., </w:t>
      </w:r>
      <w:r w:rsidR="002C6B8B" w:rsidRPr="00195EFE">
        <w:t>2024</w:t>
      </w:r>
      <w:r w:rsidR="002C6B8B">
        <w:t>)</w:t>
      </w:r>
      <w:r w:rsidRPr="0095222A">
        <w:t>, yet m</w:t>
      </w:r>
      <w:r>
        <w:t>ight</w:t>
      </w:r>
      <w:r w:rsidRPr="0095222A">
        <w:t xml:space="preserve"> not necessarily lead to patents. Moreover, companies frequently make a </w:t>
      </w:r>
      <w:r w:rsidRPr="0095222A">
        <w:lastRenderedPageBreak/>
        <w:t xml:space="preserve">calculated decision to refrain from patenting </w:t>
      </w:r>
      <w:r w:rsidR="006B3BD6">
        <w:t>to</w:t>
      </w:r>
      <w:r w:rsidRPr="0095222A">
        <w:t xml:space="preserve"> keep valuable information confidential (Arora, </w:t>
      </w:r>
      <w:proofErr w:type="spellStart"/>
      <w:r w:rsidRPr="0095222A">
        <w:t>Belenzon</w:t>
      </w:r>
      <w:proofErr w:type="spellEnd"/>
      <w:r w:rsidRPr="0095222A">
        <w:t xml:space="preserve"> &amp; Suh, 2022)</w:t>
      </w:r>
      <w:r w:rsidRPr="00B67F15">
        <w:t>.</w:t>
      </w:r>
    </w:p>
    <w:p w14:paraId="6790A019" w14:textId="77777777" w:rsidR="004B43EE" w:rsidRPr="00B67F15" w:rsidRDefault="004B43EE" w:rsidP="004B43EE">
      <w:pPr>
        <w:jc w:val="both"/>
      </w:pPr>
      <w:r w:rsidRPr="00B67F15">
        <w:rPr>
          <w:b/>
          <w:bCs/>
        </w:rPr>
        <w:t xml:space="preserve">Table 3: The Subsidy's Impact on </w:t>
      </w:r>
      <w:r>
        <w:rPr>
          <w:b/>
          <w:bCs/>
        </w:rPr>
        <w:t>Enterprise</w:t>
      </w:r>
      <w:r w:rsidRPr="00B67F15">
        <w:rPr>
          <w:b/>
          <w:bCs/>
        </w:rPr>
        <w:t xml:space="preserve"> </w:t>
      </w:r>
      <w:r>
        <w:rPr>
          <w:b/>
          <w:bCs/>
        </w:rPr>
        <w:t>Success</w:t>
      </w:r>
    </w:p>
    <w:tbl>
      <w:tblPr>
        <w:tblW w:w="9372" w:type="dxa"/>
        <w:tblInd w:w="75" w:type="dxa"/>
        <w:tblBorders>
          <w:top w:val="single" w:sz="6" w:space="0" w:color="auto"/>
          <w:left w:val="single" w:sz="6" w:space="0" w:color="auto"/>
          <w:bottom w:val="single" w:sz="6" w:space="0" w:color="auto"/>
          <w:right w:val="single" w:sz="6" w:space="0" w:color="auto"/>
        </w:tblBorders>
        <w:shd w:val="clear" w:color="auto" w:fill="FAFAFA"/>
        <w:tblCellMar>
          <w:top w:w="15" w:type="dxa"/>
          <w:left w:w="15" w:type="dxa"/>
          <w:bottom w:w="15" w:type="dxa"/>
          <w:right w:w="15" w:type="dxa"/>
        </w:tblCellMar>
        <w:tblLook w:val="04A0" w:firstRow="1" w:lastRow="0" w:firstColumn="1" w:lastColumn="0" w:noHBand="0" w:noVBand="1"/>
      </w:tblPr>
      <w:tblGrid>
        <w:gridCol w:w="1399"/>
        <w:gridCol w:w="1338"/>
        <w:gridCol w:w="1639"/>
        <w:gridCol w:w="1398"/>
        <w:gridCol w:w="1246"/>
        <w:gridCol w:w="1315"/>
        <w:gridCol w:w="1037"/>
      </w:tblGrid>
      <w:tr w:rsidR="004B43EE" w:rsidRPr="0095222A" w14:paraId="312F11C6" w14:textId="77777777" w:rsidTr="00351B28">
        <w:trPr>
          <w:trHeight w:val="666"/>
          <w:tblHeader/>
        </w:trPr>
        <w:tc>
          <w:tcPr>
            <w:tcW w:w="1399" w:type="dxa"/>
            <w:tcBorders>
              <w:top w:val="single" w:sz="6" w:space="0" w:color="auto"/>
              <w:left w:val="single" w:sz="6" w:space="0" w:color="auto"/>
              <w:bottom w:val="single" w:sz="6" w:space="0" w:color="auto"/>
              <w:right w:val="single" w:sz="6" w:space="0" w:color="auto"/>
            </w:tcBorders>
            <w:shd w:val="clear" w:color="auto" w:fill="FAFAFA"/>
            <w:tcMar>
              <w:top w:w="15" w:type="dxa"/>
              <w:left w:w="75" w:type="dxa"/>
              <w:bottom w:w="15" w:type="dxa"/>
              <w:right w:w="75" w:type="dxa"/>
            </w:tcMar>
            <w:vAlign w:val="center"/>
            <w:hideMark/>
          </w:tcPr>
          <w:p w14:paraId="325AD731" w14:textId="77777777" w:rsidR="004B43EE" w:rsidRPr="0095222A" w:rsidRDefault="004B43EE" w:rsidP="00351B28">
            <w:pPr>
              <w:jc w:val="both"/>
              <w:rPr>
                <w:b/>
                <w:bCs/>
                <w:sz w:val="18"/>
                <w:szCs w:val="18"/>
              </w:rPr>
            </w:pPr>
            <w:r w:rsidRPr="0095222A">
              <w:rPr>
                <w:b/>
                <w:bCs/>
                <w:sz w:val="18"/>
                <w:szCs w:val="18"/>
              </w:rPr>
              <w:t>Period</w:t>
            </w:r>
          </w:p>
        </w:tc>
        <w:tc>
          <w:tcPr>
            <w:tcW w:w="1338" w:type="dxa"/>
            <w:tcBorders>
              <w:top w:val="single" w:sz="6" w:space="0" w:color="auto"/>
              <w:left w:val="single" w:sz="6" w:space="0" w:color="auto"/>
              <w:bottom w:val="single" w:sz="6" w:space="0" w:color="auto"/>
              <w:right w:val="single" w:sz="6" w:space="0" w:color="auto"/>
            </w:tcBorders>
            <w:shd w:val="clear" w:color="auto" w:fill="FAFAFA"/>
            <w:tcMar>
              <w:top w:w="15" w:type="dxa"/>
              <w:left w:w="75" w:type="dxa"/>
              <w:bottom w:w="15" w:type="dxa"/>
              <w:right w:w="75" w:type="dxa"/>
            </w:tcMar>
            <w:vAlign w:val="center"/>
            <w:hideMark/>
          </w:tcPr>
          <w:p w14:paraId="61FE5328" w14:textId="77777777" w:rsidR="004B43EE" w:rsidRPr="0095222A" w:rsidRDefault="004B43EE" w:rsidP="00351B28">
            <w:pPr>
              <w:jc w:val="both"/>
              <w:rPr>
                <w:b/>
                <w:bCs/>
                <w:sz w:val="18"/>
                <w:szCs w:val="18"/>
              </w:rPr>
            </w:pPr>
            <w:r w:rsidRPr="0095222A">
              <w:rPr>
                <w:b/>
                <w:bCs/>
                <w:sz w:val="18"/>
                <w:szCs w:val="18"/>
              </w:rPr>
              <w:t>Avg. Log (Sales)</w:t>
            </w:r>
          </w:p>
        </w:tc>
        <w:tc>
          <w:tcPr>
            <w:tcW w:w="1639" w:type="dxa"/>
            <w:tcBorders>
              <w:top w:val="single" w:sz="6" w:space="0" w:color="auto"/>
              <w:left w:val="single" w:sz="6" w:space="0" w:color="auto"/>
              <w:bottom w:val="single" w:sz="6" w:space="0" w:color="auto"/>
              <w:right w:val="single" w:sz="6" w:space="0" w:color="auto"/>
            </w:tcBorders>
            <w:shd w:val="clear" w:color="auto" w:fill="FAFAFA"/>
            <w:tcMar>
              <w:top w:w="15" w:type="dxa"/>
              <w:left w:w="75" w:type="dxa"/>
              <w:bottom w:w="15" w:type="dxa"/>
              <w:right w:w="75" w:type="dxa"/>
            </w:tcMar>
            <w:vAlign w:val="center"/>
            <w:hideMark/>
          </w:tcPr>
          <w:p w14:paraId="74C915FF" w14:textId="77777777" w:rsidR="004B43EE" w:rsidRPr="0095222A" w:rsidRDefault="004B43EE" w:rsidP="00351B28">
            <w:pPr>
              <w:jc w:val="both"/>
              <w:rPr>
                <w:b/>
                <w:bCs/>
                <w:sz w:val="18"/>
                <w:szCs w:val="18"/>
              </w:rPr>
            </w:pPr>
            <w:r w:rsidRPr="0095222A">
              <w:rPr>
                <w:b/>
                <w:bCs/>
                <w:sz w:val="18"/>
                <w:szCs w:val="18"/>
              </w:rPr>
              <w:t>Avg. Log (Sales/Employees)</w:t>
            </w:r>
          </w:p>
        </w:tc>
        <w:tc>
          <w:tcPr>
            <w:tcW w:w="1398" w:type="dxa"/>
            <w:tcBorders>
              <w:top w:val="single" w:sz="6" w:space="0" w:color="auto"/>
              <w:left w:val="single" w:sz="6" w:space="0" w:color="auto"/>
              <w:bottom w:val="single" w:sz="6" w:space="0" w:color="auto"/>
              <w:right w:val="single" w:sz="6" w:space="0" w:color="auto"/>
            </w:tcBorders>
            <w:shd w:val="clear" w:color="auto" w:fill="FAFAFA"/>
            <w:tcMar>
              <w:top w:w="15" w:type="dxa"/>
              <w:left w:w="75" w:type="dxa"/>
              <w:bottom w:w="15" w:type="dxa"/>
              <w:right w:w="75" w:type="dxa"/>
            </w:tcMar>
            <w:vAlign w:val="center"/>
            <w:hideMark/>
          </w:tcPr>
          <w:p w14:paraId="615DCA20" w14:textId="77777777" w:rsidR="004B43EE" w:rsidRPr="0095222A" w:rsidRDefault="004B43EE" w:rsidP="00351B28">
            <w:pPr>
              <w:jc w:val="both"/>
              <w:rPr>
                <w:b/>
                <w:bCs/>
                <w:sz w:val="18"/>
                <w:szCs w:val="18"/>
              </w:rPr>
            </w:pPr>
            <w:r w:rsidRPr="0095222A">
              <w:rPr>
                <w:b/>
                <w:bCs/>
                <w:sz w:val="18"/>
                <w:szCs w:val="18"/>
              </w:rPr>
              <w:t>Avg. Log (Employees)</w:t>
            </w:r>
          </w:p>
        </w:tc>
        <w:tc>
          <w:tcPr>
            <w:tcW w:w="1246" w:type="dxa"/>
            <w:tcBorders>
              <w:top w:val="single" w:sz="6" w:space="0" w:color="auto"/>
              <w:left w:val="single" w:sz="6" w:space="0" w:color="auto"/>
              <w:bottom w:val="single" w:sz="6" w:space="0" w:color="auto"/>
              <w:right w:val="single" w:sz="6" w:space="0" w:color="auto"/>
            </w:tcBorders>
            <w:shd w:val="clear" w:color="auto" w:fill="FAFAFA"/>
            <w:vAlign w:val="center"/>
          </w:tcPr>
          <w:p w14:paraId="66201C71" w14:textId="77777777" w:rsidR="004B43EE" w:rsidRPr="0095222A" w:rsidRDefault="004B43EE" w:rsidP="00351B28">
            <w:pPr>
              <w:jc w:val="both"/>
              <w:rPr>
                <w:b/>
                <w:bCs/>
                <w:sz w:val="18"/>
                <w:szCs w:val="18"/>
              </w:rPr>
            </w:pPr>
            <w:r w:rsidRPr="0095222A">
              <w:rPr>
                <w:b/>
                <w:bCs/>
                <w:sz w:val="18"/>
                <w:szCs w:val="18"/>
              </w:rPr>
              <w:t>Avg. Log (Wage)</w:t>
            </w:r>
          </w:p>
        </w:tc>
        <w:tc>
          <w:tcPr>
            <w:tcW w:w="1315" w:type="dxa"/>
            <w:tcBorders>
              <w:top w:val="single" w:sz="6" w:space="0" w:color="auto"/>
              <w:left w:val="single" w:sz="6" w:space="0" w:color="auto"/>
              <w:bottom w:val="single" w:sz="6" w:space="0" w:color="auto"/>
              <w:right w:val="single" w:sz="6" w:space="0" w:color="auto"/>
            </w:tcBorders>
            <w:shd w:val="clear" w:color="auto" w:fill="FAFAFA"/>
            <w:vAlign w:val="center"/>
          </w:tcPr>
          <w:p w14:paraId="78F00DB0" w14:textId="77777777" w:rsidR="004B43EE" w:rsidRPr="0095222A" w:rsidRDefault="004B43EE" w:rsidP="00351B28">
            <w:pPr>
              <w:jc w:val="both"/>
              <w:rPr>
                <w:b/>
                <w:bCs/>
                <w:sz w:val="18"/>
                <w:szCs w:val="18"/>
              </w:rPr>
            </w:pPr>
            <w:r w:rsidRPr="0095222A">
              <w:rPr>
                <w:b/>
                <w:bCs/>
                <w:sz w:val="18"/>
                <w:szCs w:val="18"/>
              </w:rPr>
              <w:t>Avg. Log (Total Debts)</w:t>
            </w:r>
          </w:p>
        </w:tc>
        <w:tc>
          <w:tcPr>
            <w:tcW w:w="1037" w:type="dxa"/>
            <w:tcBorders>
              <w:top w:val="single" w:sz="6" w:space="0" w:color="auto"/>
              <w:left w:val="single" w:sz="6" w:space="0" w:color="auto"/>
              <w:bottom w:val="single" w:sz="6" w:space="0" w:color="auto"/>
              <w:right w:val="single" w:sz="6" w:space="0" w:color="auto"/>
            </w:tcBorders>
            <w:shd w:val="clear" w:color="auto" w:fill="FAFAFA"/>
            <w:vAlign w:val="center"/>
          </w:tcPr>
          <w:p w14:paraId="2C4A15B2" w14:textId="77777777" w:rsidR="004B43EE" w:rsidRPr="0095222A" w:rsidRDefault="004B43EE" w:rsidP="00351B28">
            <w:pPr>
              <w:jc w:val="both"/>
              <w:rPr>
                <w:b/>
                <w:bCs/>
                <w:sz w:val="18"/>
                <w:szCs w:val="18"/>
              </w:rPr>
            </w:pPr>
            <w:r w:rsidRPr="0095222A">
              <w:rPr>
                <w:b/>
                <w:bCs/>
                <w:sz w:val="18"/>
                <w:szCs w:val="18"/>
              </w:rPr>
              <w:t>Years Active</w:t>
            </w:r>
          </w:p>
        </w:tc>
      </w:tr>
      <w:tr w:rsidR="004B43EE" w:rsidRPr="0095222A" w14:paraId="60B2954B" w14:textId="77777777" w:rsidTr="00351B28">
        <w:trPr>
          <w:trHeight w:val="419"/>
        </w:trPr>
        <w:tc>
          <w:tcPr>
            <w:tcW w:w="1399" w:type="dxa"/>
            <w:tcBorders>
              <w:top w:val="single" w:sz="6" w:space="0" w:color="auto"/>
              <w:left w:val="single" w:sz="6" w:space="0" w:color="auto"/>
              <w:bottom w:val="single" w:sz="6" w:space="0" w:color="auto"/>
              <w:right w:val="single" w:sz="6" w:space="0" w:color="auto"/>
            </w:tcBorders>
            <w:shd w:val="clear" w:color="auto" w:fill="FAFAFA"/>
            <w:tcMar>
              <w:top w:w="15" w:type="dxa"/>
              <w:left w:w="75" w:type="dxa"/>
              <w:bottom w:w="15" w:type="dxa"/>
              <w:right w:w="75" w:type="dxa"/>
            </w:tcMar>
            <w:vAlign w:val="center"/>
            <w:hideMark/>
          </w:tcPr>
          <w:p w14:paraId="75C9B709" w14:textId="77777777" w:rsidR="004B43EE" w:rsidRPr="0095222A" w:rsidRDefault="004B43EE" w:rsidP="00351B28">
            <w:pPr>
              <w:jc w:val="both"/>
              <w:rPr>
                <w:sz w:val="18"/>
                <w:szCs w:val="18"/>
              </w:rPr>
            </w:pPr>
            <w:r w:rsidRPr="0095222A">
              <w:rPr>
                <w:sz w:val="18"/>
                <w:szCs w:val="18"/>
              </w:rPr>
              <w:t>2016–2019</w:t>
            </w:r>
          </w:p>
        </w:tc>
        <w:tc>
          <w:tcPr>
            <w:tcW w:w="1338" w:type="dxa"/>
            <w:tcBorders>
              <w:top w:val="single" w:sz="6" w:space="0" w:color="auto"/>
              <w:left w:val="single" w:sz="6" w:space="0" w:color="auto"/>
              <w:bottom w:val="single" w:sz="6" w:space="0" w:color="auto"/>
              <w:right w:val="single" w:sz="6" w:space="0" w:color="auto"/>
            </w:tcBorders>
            <w:shd w:val="clear" w:color="auto" w:fill="FAFAFA"/>
            <w:tcMar>
              <w:top w:w="15" w:type="dxa"/>
              <w:left w:w="75" w:type="dxa"/>
              <w:bottom w:w="15" w:type="dxa"/>
              <w:right w:w="75" w:type="dxa"/>
            </w:tcMar>
            <w:vAlign w:val="center"/>
            <w:hideMark/>
          </w:tcPr>
          <w:p w14:paraId="567FD9DE" w14:textId="77777777" w:rsidR="004B43EE" w:rsidRPr="0095222A" w:rsidRDefault="004B43EE" w:rsidP="00351B28">
            <w:pPr>
              <w:jc w:val="both"/>
              <w:rPr>
                <w:sz w:val="18"/>
                <w:szCs w:val="18"/>
              </w:rPr>
            </w:pPr>
            <w:r w:rsidRPr="0095222A">
              <w:rPr>
                <w:sz w:val="18"/>
                <w:szCs w:val="18"/>
              </w:rPr>
              <w:t>0.895</w:t>
            </w:r>
          </w:p>
        </w:tc>
        <w:tc>
          <w:tcPr>
            <w:tcW w:w="1639" w:type="dxa"/>
            <w:tcBorders>
              <w:top w:val="single" w:sz="6" w:space="0" w:color="auto"/>
              <w:left w:val="single" w:sz="6" w:space="0" w:color="auto"/>
              <w:bottom w:val="single" w:sz="6" w:space="0" w:color="auto"/>
              <w:right w:val="single" w:sz="6" w:space="0" w:color="auto"/>
            </w:tcBorders>
            <w:shd w:val="clear" w:color="auto" w:fill="FAFAFA"/>
            <w:tcMar>
              <w:top w:w="15" w:type="dxa"/>
              <w:left w:w="75" w:type="dxa"/>
              <w:bottom w:w="15" w:type="dxa"/>
              <w:right w:w="75" w:type="dxa"/>
            </w:tcMar>
            <w:vAlign w:val="center"/>
            <w:hideMark/>
          </w:tcPr>
          <w:p w14:paraId="01D5EE65" w14:textId="77777777" w:rsidR="004B43EE" w:rsidRPr="0095222A" w:rsidRDefault="004B43EE" w:rsidP="00351B28">
            <w:pPr>
              <w:jc w:val="both"/>
              <w:rPr>
                <w:sz w:val="18"/>
                <w:szCs w:val="18"/>
              </w:rPr>
            </w:pPr>
            <w:r w:rsidRPr="0095222A">
              <w:rPr>
                <w:sz w:val="18"/>
                <w:szCs w:val="18"/>
              </w:rPr>
              <w:t>1.249</w:t>
            </w:r>
          </w:p>
        </w:tc>
        <w:tc>
          <w:tcPr>
            <w:tcW w:w="1398" w:type="dxa"/>
            <w:tcBorders>
              <w:top w:val="single" w:sz="6" w:space="0" w:color="auto"/>
              <w:left w:val="single" w:sz="6" w:space="0" w:color="auto"/>
              <w:bottom w:val="single" w:sz="6" w:space="0" w:color="auto"/>
              <w:right w:val="single" w:sz="6" w:space="0" w:color="auto"/>
            </w:tcBorders>
            <w:shd w:val="clear" w:color="auto" w:fill="FAFAFA"/>
            <w:tcMar>
              <w:top w:w="15" w:type="dxa"/>
              <w:left w:w="75" w:type="dxa"/>
              <w:bottom w:w="15" w:type="dxa"/>
              <w:right w:w="75" w:type="dxa"/>
            </w:tcMar>
            <w:vAlign w:val="center"/>
            <w:hideMark/>
          </w:tcPr>
          <w:p w14:paraId="07275CE1" w14:textId="77777777" w:rsidR="004B43EE" w:rsidRPr="0095222A" w:rsidRDefault="004B43EE" w:rsidP="00351B28">
            <w:pPr>
              <w:jc w:val="both"/>
              <w:rPr>
                <w:sz w:val="18"/>
                <w:szCs w:val="18"/>
              </w:rPr>
            </w:pPr>
            <w:r w:rsidRPr="0095222A">
              <w:rPr>
                <w:sz w:val="18"/>
                <w:szCs w:val="18"/>
              </w:rPr>
              <w:t>0.163</w:t>
            </w:r>
          </w:p>
        </w:tc>
        <w:tc>
          <w:tcPr>
            <w:tcW w:w="1246" w:type="dxa"/>
            <w:tcBorders>
              <w:top w:val="single" w:sz="6" w:space="0" w:color="auto"/>
              <w:left w:val="single" w:sz="6" w:space="0" w:color="auto"/>
              <w:bottom w:val="single" w:sz="6" w:space="0" w:color="auto"/>
              <w:right w:val="single" w:sz="6" w:space="0" w:color="auto"/>
            </w:tcBorders>
            <w:shd w:val="clear" w:color="auto" w:fill="FAFAFA"/>
            <w:vAlign w:val="center"/>
          </w:tcPr>
          <w:p w14:paraId="0C22E276" w14:textId="77777777" w:rsidR="004B43EE" w:rsidRPr="0095222A" w:rsidRDefault="004B43EE" w:rsidP="00351B28">
            <w:pPr>
              <w:jc w:val="both"/>
              <w:rPr>
                <w:sz w:val="18"/>
                <w:szCs w:val="18"/>
              </w:rPr>
            </w:pPr>
            <w:r w:rsidRPr="0095222A">
              <w:rPr>
                <w:sz w:val="18"/>
                <w:szCs w:val="18"/>
              </w:rPr>
              <w:t>-1.951*</w:t>
            </w:r>
          </w:p>
        </w:tc>
        <w:tc>
          <w:tcPr>
            <w:tcW w:w="1315" w:type="dxa"/>
            <w:tcBorders>
              <w:top w:val="single" w:sz="6" w:space="0" w:color="auto"/>
              <w:left w:val="single" w:sz="6" w:space="0" w:color="auto"/>
              <w:bottom w:val="single" w:sz="6" w:space="0" w:color="auto"/>
              <w:right w:val="single" w:sz="6" w:space="0" w:color="auto"/>
            </w:tcBorders>
            <w:shd w:val="clear" w:color="auto" w:fill="FAFAFA"/>
            <w:vAlign w:val="center"/>
          </w:tcPr>
          <w:p w14:paraId="31566E40" w14:textId="77777777" w:rsidR="004B43EE" w:rsidRPr="0095222A" w:rsidRDefault="004B43EE" w:rsidP="00351B28">
            <w:pPr>
              <w:jc w:val="both"/>
              <w:rPr>
                <w:sz w:val="18"/>
                <w:szCs w:val="18"/>
              </w:rPr>
            </w:pPr>
            <w:r w:rsidRPr="0095222A">
              <w:rPr>
                <w:sz w:val="18"/>
                <w:szCs w:val="18"/>
              </w:rPr>
              <w:t>0.498</w:t>
            </w:r>
          </w:p>
        </w:tc>
        <w:tc>
          <w:tcPr>
            <w:tcW w:w="1037" w:type="dxa"/>
            <w:tcBorders>
              <w:top w:val="single" w:sz="6" w:space="0" w:color="auto"/>
              <w:left w:val="single" w:sz="6" w:space="0" w:color="auto"/>
              <w:bottom w:val="single" w:sz="6" w:space="0" w:color="auto"/>
              <w:right w:val="single" w:sz="6" w:space="0" w:color="auto"/>
            </w:tcBorders>
            <w:shd w:val="clear" w:color="auto" w:fill="FAFAFA"/>
            <w:vAlign w:val="center"/>
          </w:tcPr>
          <w:p w14:paraId="5BD049F8" w14:textId="77777777" w:rsidR="004B43EE" w:rsidRPr="0095222A" w:rsidRDefault="004B43EE" w:rsidP="00351B28">
            <w:pPr>
              <w:jc w:val="both"/>
              <w:rPr>
                <w:sz w:val="18"/>
                <w:szCs w:val="18"/>
              </w:rPr>
            </w:pPr>
            <w:r w:rsidRPr="0095222A">
              <w:rPr>
                <w:sz w:val="18"/>
                <w:szCs w:val="18"/>
              </w:rPr>
              <w:t>-0.188</w:t>
            </w:r>
          </w:p>
        </w:tc>
      </w:tr>
      <w:tr w:rsidR="004B43EE" w:rsidRPr="0095222A" w14:paraId="28747EBF" w14:textId="77777777" w:rsidTr="00351B28">
        <w:trPr>
          <w:trHeight w:val="419"/>
        </w:trPr>
        <w:tc>
          <w:tcPr>
            <w:tcW w:w="1399" w:type="dxa"/>
            <w:tcBorders>
              <w:top w:val="single" w:sz="6" w:space="0" w:color="auto"/>
              <w:left w:val="single" w:sz="6" w:space="0" w:color="auto"/>
              <w:bottom w:val="single" w:sz="6" w:space="0" w:color="auto"/>
              <w:right w:val="single" w:sz="6" w:space="0" w:color="auto"/>
            </w:tcBorders>
            <w:shd w:val="clear" w:color="auto" w:fill="FAFAFA"/>
            <w:tcMar>
              <w:top w:w="15" w:type="dxa"/>
              <w:left w:w="75" w:type="dxa"/>
              <w:bottom w:w="15" w:type="dxa"/>
              <w:right w:w="75" w:type="dxa"/>
            </w:tcMar>
            <w:vAlign w:val="center"/>
            <w:hideMark/>
          </w:tcPr>
          <w:p w14:paraId="3E165528" w14:textId="77777777" w:rsidR="004B43EE" w:rsidRPr="0095222A" w:rsidRDefault="004B43EE" w:rsidP="00351B28">
            <w:pPr>
              <w:jc w:val="both"/>
              <w:rPr>
                <w:sz w:val="18"/>
                <w:szCs w:val="18"/>
              </w:rPr>
            </w:pPr>
            <w:r w:rsidRPr="0095222A">
              <w:rPr>
                <w:sz w:val="18"/>
                <w:szCs w:val="18"/>
              </w:rPr>
              <w:t>2020–2023</w:t>
            </w:r>
          </w:p>
        </w:tc>
        <w:tc>
          <w:tcPr>
            <w:tcW w:w="1338" w:type="dxa"/>
            <w:tcBorders>
              <w:top w:val="single" w:sz="6" w:space="0" w:color="auto"/>
              <w:left w:val="single" w:sz="6" w:space="0" w:color="auto"/>
              <w:bottom w:val="single" w:sz="6" w:space="0" w:color="auto"/>
              <w:right w:val="single" w:sz="6" w:space="0" w:color="auto"/>
            </w:tcBorders>
            <w:shd w:val="clear" w:color="auto" w:fill="FAFAFA"/>
            <w:tcMar>
              <w:top w:w="15" w:type="dxa"/>
              <w:left w:w="75" w:type="dxa"/>
              <w:bottom w:w="15" w:type="dxa"/>
              <w:right w:w="75" w:type="dxa"/>
            </w:tcMar>
            <w:vAlign w:val="center"/>
            <w:hideMark/>
          </w:tcPr>
          <w:p w14:paraId="79CDC37B" w14:textId="77777777" w:rsidR="004B43EE" w:rsidRPr="0095222A" w:rsidRDefault="004B43EE" w:rsidP="00351B28">
            <w:pPr>
              <w:jc w:val="both"/>
              <w:rPr>
                <w:sz w:val="18"/>
                <w:szCs w:val="18"/>
              </w:rPr>
            </w:pPr>
            <w:r w:rsidRPr="0095222A">
              <w:rPr>
                <w:sz w:val="18"/>
                <w:szCs w:val="18"/>
              </w:rPr>
              <w:t>2.947**</w:t>
            </w:r>
          </w:p>
        </w:tc>
        <w:tc>
          <w:tcPr>
            <w:tcW w:w="1639" w:type="dxa"/>
            <w:tcBorders>
              <w:top w:val="single" w:sz="6" w:space="0" w:color="auto"/>
              <w:left w:val="single" w:sz="6" w:space="0" w:color="auto"/>
              <w:bottom w:val="single" w:sz="6" w:space="0" w:color="auto"/>
              <w:right w:val="single" w:sz="6" w:space="0" w:color="auto"/>
            </w:tcBorders>
            <w:shd w:val="clear" w:color="auto" w:fill="FAFAFA"/>
            <w:tcMar>
              <w:top w:w="15" w:type="dxa"/>
              <w:left w:w="75" w:type="dxa"/>
              <w:bottom w:w="15" w:type="dxa"/>
              <w:right w:w="75" w:type="dxa"/>
            </w:tcMar>
            <w:vAlign w:val="center"/>
            <w:hideMark/>
          </w:tcPr>
          <w:p w14:paraId="65D151B9" w14:textId="77777777" w:rsidR="004B43EE" w:rsidRPr="0095222A" w:rsidRDefault="004B43EE" w:rsidP="00351B28">
            <w:pPr>
              <w:jc w:val="both"/>
              <w:rPr>
                <w:sz w:val="18"/>
                <w:szCs w:val="18"/>
              </w:rPr>
            </w:pPr>
            <w:r w:rsidRPr="0095222A">
              <w:rPr>
                <w:sz w:val="18"/>
                <w:szCs w:val="18"/>
              </w:rPr>
              <w:t>1.179**</w:t>
            </w:r>
          </w:p>
        </w:tc>
        <w:tc>
          <w:tcPr>
            <w:tcW w:w="1398" w:type="dxa"/>
            <w:tcBorders>
              <w:top w:val="single" w:sz="6" w:space="0" w:color="auto"/>
              <w:left w:val="single" w:sz="6" w:space="0" w:color="auto"/>
              <w:bottom w:val="single" w:sz="6" w:space="0" w:color="auto"/>
              <w:right w:val="single" w:sz="6" w:space="0" w:color="auto"/>
            </w:tcBorders>
            <w:shd w:val="clear" w:color="auto" w:fill="FAFAFA"/>
            <w:tcMar>
              <w:top w:w="15" w:type="dxa"/>
              <w:left w:w="75" w:type="dxa"/>
              <w:bottom w:w="15" w:type="dxa"/>
              <w:right w:w="75" w:type="dxa"/>
            </w:tcMar>
            <w:vAlign w:val="center"/>
            <w:hideMark/>
          </w:tcPr>
          <w:p w14:paraId="2A3912C8" w14:textId="77777777" w:rsidR="004B43EE" w:rsidRPr="0095222A" w:rsidRDefault="004B43EE" w:rsidP="00351B28">
            <w:pPr>
              <w:jc w:val="both"/>
              <w:rPr>
                <w:sz w:val="18"/>
                <w:szCs w:val="18"/>
              </w:rPr>
            </w:pPr>
            <w:r w:rsidRPr="0095222A">
              <w:rPr>
                <w:sz w:val="18"/>
                <w:szCs w:val="18"/>
              </w:rPr>
              <w:t>1.096*</w:t>
            </w:r>
          </w:p>
        </w:tc>
        <w:tc>
          <w:tcPr>
            <w:tcW w:w="1246" w:type="dxa"/>
            <w:tcBorders>
              <w:top w:val="single" w:sz="6" w:space="0" w:color="auto"/>
              <w:left w:val="single" w:sz="6" w:space="0" w:color="auto"/>
              <w:bottom w:val="single" w:sz="6" w:space="0" w:color="auto"/>
              <w:right w:val="single" w:sz="6" w:space="0" w:color="auto"/>
            </w:tcBorders>
            <w:shd w:val="clear" w:color="auto" w:fill="FAFAFA"/>
            <w:vAlign w:val="center"/>
          </w:tcPr>
          <w:p w14:paraId="6A923DB3" w14:textId="77777777" w:rsidR="004B43EE" w:rsidRPr="0095222A" w:rsidRDefault="004B43EE" w:rsidP="00351B28">
            <w:pPr>
              <w:jc w:val="both"/>
              <w:rPr>
                <w:sz w:val="18"/>
                <w:szCs w:val="18"/>
              </w:rPr>
            </w:pPr>
            <w:r w:rsidRPr="0095222A">
              <w:rPr>
                <w:sz w:val="18"/>
                <w:szCs w:val="18"/>
              </w:rPr>
              <w:t>-0.246</w:t>
            </w:r>
          </w:p>
        </w:tc>
        <w:tc>
          <w:tcPr>
            <w:tcW w:w="1315" w:type="dxa"/>
            <w:tcBorders>
              <w:top w:val="single" w:sz="6" w:space="0" w:color="auto"/>
              <w:left w:val="single" w:sz="6" w:space="0" w:color="auto"/>
              <w:bottom w:val="single" w:sz="6" w:space="0" w:color="auto"/>
              <w:right w:val="single" w:sz="6" w:space="0" w:color="auto"/>
            </w:tcBorders>
            <w:shd w:val="clear" w:color="auto" w:fill="FAFAFA"/>
            <w:vAlign w:val="center"/>
          </w:tcPr>
          <w:p w14:paraId="0755DAF7" w14:textId="77777777" w:rsidR="004B43EE" w:rsidRPr="0095222A" w:rsidRDefault="004B43EE" w:rsidP="00351B28">
            <w:pPr>
              <w:jc w:val="both"/>
              <w:rPr>
                <w:sz w:val="18"/>
                <w:szCs w:val="18"/>
              </w:rPr>
            </w:pPr>
            <w:r w:rsidRPr="0095222A">
              <w:rPr>
                <w:sz w:val="18"/>
                <w:szCs w:val="18"/>
              </w:rPr>
              <w:t>0.017</w:t>
            </w:r>
          </w:p>
        </w:tc>
        <w:tc>
          <w:tcPr>
            <w:tcW w:w="1037" w:type="dxa"/>
            <w:tcBorders>
              <w:top w:val="single" w:sz="6" w:space="0" w:color="auto"/>
              <w:left w:val="single" w:sz="6" w:space="0" w:color="auto"/>
              <w:bottom w:val="single" w:sz="6" w:space="0" w:color="auto"/>
              <w:right w:val="single" w:sz="6" w:space="0" w:color="auto"/>
            </w:tcBorders>
            <w:shd w:val="clear" w:color="auto" w:fill="FAFAFA"/>
            <w:vAlign w:val="center"/>
          </w:tcPr>
          <w:p w14:paraId="03BDEE88" w14:textId="77777777" w:rsidR="004B43EE" w:rsidRPr="0095222A" w:rsidRDefault="004B43EE" w:rsidP="00351B28">
            <w:pPr>
              <w:jc w:val="both"/>
              <w:rPr>
                <w:sz w:val="18"/>
                <w:szCs w:val="18"/>
              </w:rPr>
            </w:pPr>
            <w:r w:rsidRPr="0095222A">
              <w:rPr>
                <w:sz w:val="18"/>
                <w:szCs w:val="18"/>
              </w:rPr>
              <w:t>-0.354</w:t>
            </w:r>
          </w:p>
        </w:tc>
      </w:tr>
      <w:tr w:rsidR="004B43EE" w:rsidRPr="0095222A" w14:paraId="704D614E" w14:textId="77777777" w:rsidTr="00351B28">
        <w:trPr>
          <w:trHeight w:val="419"/>
        </w:trPr>
        <w:tc>
          <w:tcPr>
            <w:tcW w:w="1399" w:type="dxa"/>
            <w:tcBorders>
              <w:top w:val="single" w:sz="6" w:space="0" w:color="auto"/>
              <w:left w:val="single" w:sz="6" w:space="0" w:color="auto"/>
              <w:bottom w:val="single" w:sz="6" w:space="0" w:color="auto"/>
              <w:right w:val="single" w:sz="6" w:space="0" w:color="auto"/>
            </w:tcBorders>
            <w:shd w:val="clear" w:color="auto" w:fill="FAFAFA"/>
            <w:tcMar>
              <w:top w:w="15" w:type="dxa"/>
              <w:left w:w="75" w:type="dxa"/>
              <w:bottom w:w="15" w:type="dxa"/>
              <w:right w:w="75" w:type="dxa"/>
            </w:tcMar>
            <w:vAlign w:val="center"/>
            <w:hideMark/>
          </w:tcPr>
          <w:p w14:paraId="182F26BA" w14:textId="77777777" w:rsidR="004B43EE" w:rsidRPr="0095222A" w:rsidRDefault="004B43EE" w:rsidP="00351B28">
            <w:pPr>
              <w:jc w:val="both"/>
              <w:rPr>
                <w:sz w:val="18"/>
                <w:szCs w:val="18"/>
              </w:rPr>
            </w:pPr>
            <w:r w:rsidRPr="0095222A">
              <w:rPr>
                <w:sz w:val="18"/>
                <w:szCs w:val="18"/>
              </w:rPr>
              <w:t>2024–2027</w:t>
            </w:r>
          </w:p>
        </w:tc>
        <w:tc>
          <w:tcPr>
            <w:tcW w:w="1338" w:type="dxa"/>
            <w:tcBorders>
              <w:top w:val="single" w:sz="6" w:space="0" w:color="auto"/>
              <w:left w:val="single" w:sz="6" w:space="0" w:color="auto"/>
              <w:bottom w:val="single" w:sz="6" w:space="0" w:color="auto"/>
              <w:right w:val="single" w:sz="6" w:space="0" w:color="auto"/>
            </w:tcBorders>
            <w:shd w:val="clear" w:color="auto" w:fill="FAFAFA"/>
            <w:tcMar>
              <w:top w:w="15" w:type="dxa"/>
              <w:left w:w="75" w:type="dxa"/>
              <w:bottom w:w="15" w:type="dxa"/>
              <w:right w:w="75" w:type="dxa"/>
            </w:tcMar>
            <w:vAlign w:val="center"/>
            <w:hideMark/>
          </w:tcPr>
          <w:p w14:paraId="63ED7008" w14:textId="77777777" w:rsidR="004B43EE" w:rsidRPr="0095222A" w:rsidRDefault="004B43EE" w:rsidP="00351B28">
            <w:pPr>
              <w:jc w:val="both"/>
              <w:rPr>
                <w:sz w:val="18"/>
                <w:szCs w:val="18"/>
              </w:rPr>
            </w:pPr>
            <w:r w:rsidRPr="0095222A">
              <w:rPr>
                <w:sz w:val="18"/>
                <w:szCs w:val="18"/>
              </w:rPr>
              <w:t>3.596**</w:t>
            </w:r>
          </w:p>
        </w:tc>
        <w:tc>
          <w:tcPr>
            <w:tcW w:w="1639" w:type="dxa"/>
            <w:tcBorders>
              <w:top w:val="single" w:sz="6" w:space="0" w:color="auto"/>
              <w:left w:val="single" w:sz="6" w:space="0" w:color="auto"/>
              <w:bottom w:val="single" w:sz="6" w:space="0" w:color="auto"/>
              <w:right w:val="single" w:sz="6" w:space="0" w:color="auto"/>
            </w:tcBorders>
            <w:shd w:val="clear" w:color="auto" w:fill="FAFAFA"/>
            <w:tcMar>
              <w:top w:w="15" w:type="dxa"/>
              <w:left w:w="75" w:type="dxa"/>
              <w:bottom w:w="15" w:type="dxa"/>
              <w:right w:w="75" w:type="dxa"/>
            </w:tcMar>
            <w:vAlign w:val="center"/>
            <w:hideMark/>
          </w:tcPr>
          <w:p w14:paraId="26EFC12B" w14:textId="77777777" w:rsidR="004B43EE" w:rsidRPr="0095222A" w:rsidRDefault="004B43EE" w:rsidP="00351B28">
            <w:pPr>
              <w:jc w:val="both"/>
              <w:rPr>
                <w:sz w:val="18"/>
                <w:szCs w:val="18"/>
              </w:rPr>
            </w:pPr>
            <w:r w:rsidRPr="0095222A">
              <w:rPr>
                <w:sz w:val="18"/>
                <w:szCs w:val="18"/>
              </w:rPr>
              <w:t>1.404</w:t>
            </w:r>
          </w:p>
        </w:tc>
        <w:tc>
          <w:tcPr>
            <w:tcW w:w="1398" w:type="dxa"/>
            <w:tcBorders>
              <w:top w:val="single" w:sz="6" w:space="0" w:color="auto"/>
              <w:left w:val="single" w:sz="6" w:space="0" w:color="auto"/>
              <w:bottom w:val="single" w:sz="6" w:space="0" w:color="auto"/>
              <w:right w:val="single" w:sz="6" w:space="0" w:color="auto"/>
            </w:tcBorders>
            <w:shd w:val="clear" w:color="auto" w:fill="FAFAFA"/>
            <w:tcMar>
              <w:top w:w="15" w:type="dxa"/>
              <w:left w:w="75" w:type="dxa"/>
              <w:bottom w:w="15" w:type="dxa"/>
              <w:right w:w="75" w:type="dxa"/>
            </w:tcMar>
            <w:vAlign w:val="center"/>
            <w:hideMark/>
          </w:tcPr>
          <w:p w14:paraId="56D2556D" w14:textId="77777777" w:rsidR="004B43EE" w:rsidRPr="0095222A" w:rsidRDefault="004B43EE" w:rsidP="00351B28">
            <w:pPr>
              <w:jc w:val="both"/>
              <w:rPr>
                <w:sz w:val="18"/>
                <w:szCs w:val="18"/>
              </w:rPr>
            </w:pPr>
            <w:r w:rsidRPr="0095222A">
              <w:rPr>
                <w:sz w:val="18"/>
                <w:szCs w:val="18"/>
              </w:rPr>
              <w:t>2.221*</w:t>
            </w:r>
          </w:p>
        </w:tc>
        <w:tc>
          <w:tcPr>
            <w:tcW w:w="1246" w:type="dxa"/>
            <w:tcBorders>
              <w:top w:val="single" w:sz="6" w:space="0" w:color="auto"/>
              <w:left w:val="single" w:sz="6" w:space="0" w:color="auto"/>
              <w:bottom w:val="single" w:sz="6" w:space="0" w:color="auto"/>
              <w:right w:val="single" w:sz="6" w:space="0" w:color="auto"/>
            </w:tcBorders>
            <w:shd w:val="clear" w:color="auto" w:fill="FAFAFA"/>
            <w:vAlign w:val="center"/>
          </w:tcPr>
          <w:p w14:paraId="5E242963" w14:textId="77777777" w:rsidR="004B43EE" w:rsidRPr="0095222A" w:rsidRDefault="004B43EE" w:rsidP="00351B28">
            <w:pPr>
              <w:jc w:val="both"/>
              <w:rPr>
                <w:sz w:val="18"/>
                <w:szCs w:val="18"/>
              </w:rPr>
            </w:pPr>
            <w:r w:rsidRPr="0095222A">
              <w:rPr>
                <w:sz w:val="18"/>
                <w:szCs w:val="18"/>
              </w:rPr>
              <w:t>0.252</w:t>
            </w:r>
          </w:p>
        </w:tc>
        <w:tc>
          <w:tcPr>
            <w:tcW w:w="1315" w:type="dxa"/>
            <w:tcBorders>
              <w:top w:val="single" w:sz="6" w:space="0" w:color="auto"/>
              <w:left w:val="single" w:sz="6" w:space="0" w:color="auto"/>
              <w:bottom w:val="single" w:sz="6" w:space="0" w:color="auto"/>
              <w:right w:val="single" w:sz="6" w:space="0" w:color="auto"/>
            </w:tcBorders>
            <w:shd w:val="clear" w:color="auto" w:fill="FAFAFA"/>
            <w:vAlign w:val="center"/>
          </w:tcPr>
          <w:p w14:paraId="2C549F4C" w14:textId="77777777" w:rsidR="004B43EE" w:rsidRPr="0095222A" w:rsidRDefault="004B43EE" w:rsidP="00351B28">
            <w:pPr>
              <w:jc w:val="both"/>
              <w:rPr>
                <w:sz w:val="18"/>
                <w:szCs w:val="18"/>
              </w:rPr>
            </w:pPr>
            <w:r w:rsidRPr="0095222A">
              <w:rPr>
                <w:sz w:val="18"/>
                <w:szCs w:val="18"/>
              </w:rPr>
              <w:t>1.612</w:t>
            </w:r>
          </w:p>
        </w:tc>
        <w:tc>
          <w:tcPr>
            <w:tcW w:w="1037" w:type="dxa"/>
            <w:tcBorders>
              <w:top w:val="single" w:sz="6" w:space="0" w:color="auto"/>
              <w:left w:val="single" w:sz="6" w:space="0" w:color="auto"/>
              <w:bottom w:val="single" w:sz="6" w:space="0" w:color="auto"/>
              <w:right w:val="single" w:sz="6" w:space="0" w:color="auto"/>
            </w:tcBorders>
            <w:shd w:val="clear" w:color="auto" w:fill="FAFAFA"/>
            <w:vAlign w:val="center"/>
          </w:tcPr>
          <w:p w14:paraId="456FE267" w14:textId="77777777" w:rsidR="004B43EE" w:rsidRPr="0095222A" w:rsidRDefault="004B43EE" w:rsidP="00351B28">
            <w:pPr>
              <w:jc w:val="both"/>
              <w:rPr>
                <w:sz w:val="18"/>
                <w:szCs w:val="18"/>
              </w:rPr>
            </w:pPr>
            <w:r w:rsidRPr="0095222A">
              <w:rPr>
                <w:sz w:val="18"/>
                <w:szCs w:val="18"/>
              </w:rPr>
              <w:t>0.440</w:t>
            </w:r>
          </w:p>
        </w:tc>
      </w:tr>
      <w:tr w:rsidR="004B43EE" w:rsidRPr="0095222A" w14:paraId="60F88A30" w14:textId="77777777" w:rsidTr="00351B28">
        <w:trPr>
          <w:trHeight w:val="408"/>
        </w:trPr>
        <w:tc>
          <w:tcPr>
            <w:tcW w:w="1399" w:type="dxa"/>
            <w:tcBorders>
              <w:top w:val="single" w:sz="6" w:space="0" w:color="auto"/>
              <w:left w:val="single" w:sz="6" w:space="0" w:color="auto"/>
              <w:bottom w:val="single" w:sz="6" w:space="0" w:color="auto"/>
              <w:right w:val="single" w:sz="6" w:space="0" w:color="auto"/>
            </w:tcBorders>
            <w:shd w:val="clear" w:color="auto" w:fill="FAFAFA"/>
            <w:tcMar>
              <w:top w:w="15" w:type="dxa"/>
              <w:left w:w="75" w:type="dxa"/>
              <w:bottom w:w="15" w:type="dxa"/>
              <w:right w:w="75" w:type="dxa"/>
            </w:tcMar>
            <w:vAlign w:val="center"/>
            <w:hideMark/>
          </w:tcPr>
          <w:p w14:paraId="639AF002" w14:textId="77777777" w:rsidR="004B43EE" w:rsidRPr="0095222A" w:rsidRDefault="004B43EE" w:rsidP="00351B28">
            <w:pPr>
              <w:jc w:val="both"/>
              <w:rPr>
                <w:sz w:val="18"/>
                <w:szCs w:val="18"/>
              </w:rPr>
            </w:pPr>
            <w:r w:rsidRPr="0095222A">
              <w:rPr>
                <w:sz w:val="18"/>
                <w:szCs w:val="18"/>
              </w:rPr>
              <w:t>(Std. Err.)</w:t>
            </w:r>
          </w:p>
        </w:tc>
        <w:tc>
          <w:tcPr>
            <w:tcW w:w="1338" w:type="dxa"/>
            <w:tcBorders>
              <w:top w:val="single" w:sz="6" w:space="0" w:color="auto"/>
              <w:left w:val="single" w:sz="6" w:space="0" w:color="auto"/>
              <w:bottom w:val="single" w:sz="6" w:space="0" w:color="auto"/>
              <w:right w:val="single" w:sz="6" w:space="0" w:color="auto"/>
            </w:tcBorders>
            <w:shd w:val="clear" w:color="auto" w:fill="FAFAFA"/>
            <w:tcMar>
              <w:top w:w="15" w:type="dxa"/>
              <w:left w:w="75" w:type="dxa"/>
              <w:bottom w:w="15" w:type="dxa"/>
              <w:right w:w="75" w:type="dxa"/>
            </w:tcMar>
            <w:vAlign w:val="center"/>
            <w:hideMark/>
          </w:tcPr>
          <w:p w14:paraId="49F67489" w14:textId="77777777" w:rsidR="004B43EE" w:rsidRPr="0095222A" w:rsidRDefault="004B43EE" w:rsidP="00351B28">
            <w:pPr>
              <w:jc w:val="both"/>
              <w:rPr>
                <w:sz w:val="18"/>
                <w:szCs w:val="18"/>
              </w:rPr>
            </w:pPr>
            <w:r w:rsidRPr="0095222A">
              <w:rPr>
                <w:sz w:val="18"/>
                <w:szCs w:val="18"/>
              </w:rPr>
              <w:t>(0.687)</w:t>
            </w:r>
          </w:p>
        </w:tc>
        <w:tc>
          <w:tcPr>
            <w:tcW w:w="1639" w:type="dxa"/>
            <w:tcBorders>
              <w:top w:val="single" w:sz="6" w:space="0" w:color="auto"/>
              <w:left w:val="single" w:sz="6" w:space="0" w:color="auto"/>
              <w:bottom w:val="single" w:sz="6" w:space="0" w:color="auto"/>
              <w:right w:val="single" w:sz="6" w:space="0" w:color="auto"/>
            </w:tcBorders>
            <w:shd w:val="clear" w:color="auto" w:fill="FAFAFA"/>
            <w:tcMar>
              <w:top w:w="15" w:type="dxa"/>
              <w:left w:w="75" w:type="dxa"/>
              <w:bottom w:w="15" w:type="dxa"/>
              <w:right w:w="75" w:type="dxa"/>
            </w:tcMar>
            <w:vAlign w:val="center"/>
            <w:hideMark/>
          </w:tcPr>
          <w:p w14:paraId="0EE1969F" w14:textId="77777777" w:rsidR="004B43EE" w:rsidRPr="0095222A" w:rsidRDefault="004B43EE" w:rsidP="00351B28">
            <w:pPr>
              <w:jc w:val="both"/>
              <w:rPr>
                <w:sz w:val="18"/>
                <w:szCs w:val="18"/>
              </w:rPr>
            </w:pPr>
            <w:r w:rsidRPr="0095222A">
              <w:rPr>
                <w:sz w:val="18"/>
                <w:szCs w:val="18"/>
              </w:rPr>
              <w:t>(0.908)</w:t>
            </w:r>
          </w:p>
        </w:tc>
        <w:tc>
          <w:tcPr>
            <w:tcW w:w="1398" w:type="dxa"/>
            <w:tcBorders>
              <w:top w:val="single" w:sz="6" w:space="0" w:color="auto"/>
              <w:left w:val="single" w:sz="6" w:space="0" w:color="auto"/>
              <w:bottom w:val="single" w:sz="6" w:space="0" w:color="auto"/>
              <w:right w:val="single" w:sz="6" w:space="0" w:color="auto"/>
            </w:tcBorders>
            <w:shd w:val="clear" w:color="auto" w:fill="FAFAFA"/>
            <w:tcMar>
              <w:top w:w="15" w:type="dxa"/>
              <w:left w:w="75" w:type="dxa"/>
              <w:bottom w:w="15" w:type="dxa"/>
              <w:right w:w="75" w:type="dxa"/>
            </w:tcMar>
            <w:vAlign w:val="center"/>
            <w:hideMark/>
          </w:tcPr>
          <w:p w14:paraId="7F5C05FC" w14:textId="77777777" w:rsidR="004B43EE" w:rsidRPr="0095222A" w:rsidRDefault="004B43EE" w:rsidP="00351B28">
            <w:pPr>
              <w:jc w:val="both"/>
              <w:rPr>
                <w:sz w:val="18"/>
                <w:szCs w:val="18"/>
              </w:rPr>
            </w:pPr>
            <w:r w:rsidRPr="0095222A">
              <w:rPr>
                <w:sz w:val="18"/>
                <w:szCs w:val="18"/>
              </w:rPr>
              <w:t>(0.437)</w:t>
            </w:r>
          </w:p>
        </w:tc>
        <w:tc>
          <w:tcPr>
            <w:tcW w:w="1246" w:type="dxa"/>
            <w:tcBorders>
              <w:top w:val="single" w:sz="6" w:space="0" w:color="auto"/>
              <w:left w:val="single" w:sz="6" w:space="0" w:color="auto"/>
              <w:bottom w:val="single" w:sz="6" w:space="0" w:color="auto"/>
              <w:right w:val="single" w:sz="6" w:space="0" w:color="auto"/>
            </w:tcBorders>
            <w:shd w:val="clear" w:color="auto" w:fill="FAFAFA"/>
            <w:vAlign w:val="center"/>
          </w:tcPr>
          <w:p w14:paraId="085E858B" w14:textId="77777777" w:rsidR="004B43EE" w:rsidRPr="0095222A" w:rsidRDefault="004B43EE" w:rsidP="00351B28">
            <w:pPr>
              <w:jc w:val="both"/>
              <w:rPr>
                <w:sz w:val="18"/>
                <w:szCs w:val="18"/>
              </w:rPr>
            </w:pPr>
            <w:r w:rsidRPr="0095222A">
              <w:rPr>
                <w:sz w:val="18"/>
                <w:szCs w:val="18"/>
              </w:rPr>
              <w:t>(1.090)</w:t>
            </w:r>
          </w:p>
        </w:tc>
        <w:tc>
          <w:tcPr>
            <w:tcW w:w="1315" w:type="dxa"/>
            <w:tcBorders>
              <w:top w:val="single" w:sz="6" w:space="0" w:color="auto"/>
              <w:left w:val="single" w:sz="6" w:space="0" w:color="auto"/>
              <w:bottom w:val="single" w:sz="6" w:space="0" w:color="auto"/>
              <w:right w:val="single" w:sz="6" w:space="0" w:color="auto"/>
            </w:tcBorders>
            <w:shd w:val="clear" w:color="auto" w:fill="FAFAFA"/>
            <w:vAlign w:val="center"/>
          </w:tcPr>
          <w:p w14:paraId="2D35D5AD" w14:textId="77777777" w:rsidR="004B43EE" w:rsidRPr="0095222A" w:rsidRDefault="004B43EE" w:rsidP="00351B28">
            <w:pPr>
              <w:jc w:val="both"/>
              <w:rPr>
                <w:sz w:val="18"/>
                <w:szCs w:val="18"/>
              </w:rPr>
            </w:pPr>
            <w:r w:rsidRPr="0095222A">
              <w:rPr>
                <w:sz w:val="18"/>
                <w:szCs w:val="18"/>
              </w:rPr>
              <w:t>(0.696)</w:t>
            </w:r>
          </w:p>
        </w:tc>
        <w:tc>
          <w:tcPr>
            <w:tcW w:w="1037" w:type="dxa"/>
            <w:tcBorders>
              <w:top w:val="single" w:sz="6" w:space="0" w:color="auto"/>
              <w:left w:val="single" w:sz="6" w:space="0" w:color="auto"/>
              <w:bottom w:val="single" w:sz="6" w:space="0" w:color="auto"/>
              <w:right w:val="single" w:sz="6" w:space="0" w:color="auto"/>
            </w:tcBorders>
            <w:shd w:val="clear" w:color="auto" w:fill="FAFAFA"/>
            <w:vAlign w:val="center"/>
          </w:tcPr>
          <w:p w14:paraId="05531FD3" w14:textId="77777777" w:rsidR="004B43EE" w:rsidRPr="0095222A" w:rsidRDefault="004B43EE" w:rsidP="00351B28">
            <w:pPr>
              <w:jc w:val="both"/>
              <w:rPr>
                <w:sz w:val="18"/>
                <w:szCs w:val="18"/>
              </w:rPr>
            </w:pPr>
            <w:r w:rsidRPr="0095222A">
              <w:rPr>
                <w:sz w:val="18"/>
                <w:szCs w:val="18"/>
              </w:rPr>
              <w:t>(0.186)</w:t>
            </w:r>
          </w:p>
        </w:tc>
      </w:tr>
      <w:tr w:rsidR="004B43EE" w:rsidRPr="0095222A" w14:paraId="1AB257B3" w14:textId="77777777" w:rsidTr="00351B28">
        <w:trPr>
          <w:trHeight w:val="419"/>
        </w:trPr>
        <w:tc>
          <w:tcPr>
            <w:tcW w:w="1399" w:type="dxa"/>
            <w:tcBorders>
              <w:top w:val="single" w:sz="6" w:space="0" w:color="auto"/>
              <w:left w:val="single" w:sz="6" w:space="0" w:color="auto"/>
              <w:bottom w:val="single" w:sz="6" w:space="0" w:color="auto"/>
              <w:right w:val="single" w:sz="6" w:space="0" w:color="auto"/>
            </w:tcBorders>
            <w:shd w:val="clear" w:color="auto" w:fill="FAFAFA"/>
            <w:tcMar>
              <w:top w:w="15" w:type="dxa"/>
              <w:left w:w="75" w:type="dxa"/>
              <w:bottom w:w="15" w:type="dxa"/>
              <w:right w:w="75" w:type="dxa"/>
            </w:tcMar>
            <w:vAlign w:val="center"/>
            <w:hideMark/>
          </w:tcPr>
          <w:p w14:paraId="39DA378B" w14:textId="77777777" w:rsidR="004B43EE" w:rsidRPr="0095222A" w:rsidRDefault="004B43EE" w:rsidP="00351B28">
            <w:pPr>
              <w:jc w:val="both"/>
              <w:rPr>
                <w:sz w:val="18"/>
                <w:szCs w:val="18"/>
              </w:rPr>
            </w:pPr>
            <w:r w:rsidRPr="0095222A">
              <w:rPr>
                <w:sz w:val="18"/>
                <w:szCs w:val="18"/>
              </w:rPr>
              <w:t>Observations</w:t>
            </w:r>
          </w:p>
        </w:tc>
        <w:tc>
          <w:tcPr>
            <w:tcW w:w="1338" w:type="dxa"/>
            <w:tcBorders>
              <w:top w:val="single" w:sz="6" w:space="0" w:color="auto"/>
              <w:left w:val="single" w:sz="6" w:space="0" w:color="auto"/>
              <w:bottom w:val="single" w:sz="6" w:space="0" w:color="auto"/>
              <w:right w:val="single" w:sz="6" w:space="0" w:color="auto"/>
            </w:tcBorders>
            <w:shd w:val="clear" w:color="auto" w:fill="FAFAFA"/>
            <w:tcMar>
              <w:top w:w="15" w:type="dxa"/>
              <w:left w:w="75" w:type="dxa"/>
              <w:bottom w:w="15" w:type="dxa"/>
              <w:right w:w="75" w:type="dxa"/>
            </w:tcMar>
            <w:vAlign w:val="center"/>
            <w:hideMark/>
          </w:tcPr>
          <w:p w14:paraId="03919CC0" w14:textId="77777777" w:rsidR="004B43EE" w:rsidRPr="0095222A" w:rsidRDefault="004B43EE" w:rsidP="00351B28">
            <w:pPr>
              <w:jc w:val="both"/>
              <w:rPr>
                <w:sz w:val="18"/>
                <w:szCs w:val="18"/>
              </w:rPr>
            </w:pPr>
            <w:r w:rsidRPr="0095222A">
              <w:rPr>
                <w:sz w:val="18"/>
                <w:szCs w:val="18"/>
              </w:rPr>
              <w:t>122</w:t>
            </w:r>
          </w:p>
        </w:tc>
        <w:tc>
          <w:tcPr>
            <w:tcW w:w="1639" w:type="dxa"/>
            <w:tcBorders>
              <w:top w:val="single" w:sz="6" w:space="0" w:color="auto"/>
              <w:left w:val="single" w:sz="6" w:space="0" w:color="auto"/>
              <w:bottom w:val="single" w:sz="6" w:space="0" w:color="auto"/>
              <w:right w:val="single" w:sz="6" w:space="0" w:color="auto"/>
            </w:tcBorders>
            <w:shd w:val="clear" w:color="auto" w:fill="FAFAFA"/>
            <w:tcMar>
              <w:top w:w="15" w:type="dxa"/>
              <w:left w:w="75" w:type="dxa"/>
              <w:bottom w:w="15" w:type="dxa"/>
              <w:right w:w="75" w:type="dxa"/>
            </w:tcMar>
            <w:vAlign w:val="center"/>
            <w:hideMark/>
          </w:tcPr>
          <w:p w14:paraId="04372FA5" w14:textId="77777777" w:rsidR="004B43EE" w:rsidRPr="0095222A" w:rsidRDefault="004B43EE" w:rsidP="00351B28">
            <w:pPr>
              <w:jc w:val="both"/>
              <w:rPr>
                <w:sz w:val="18"/>
                <w:szCs w:val="18"/>
              </w:rPr>
            </w:pPr>
            <w:r w:rsidRPr="0095222A">
              <w:rPr>
                <w:sz w:val="18"/>
                <w:szCs w:val="18"/>
              </w:rPr>
              <w:t>50</w:t>
            </w:r>
          </w:p>
        </w:tc>
        <w:tc>
          <w:tcPr>
            <w:tcW w:w="1398" w:type="dxa"/>
            <w:tcBorders>
              <w:top w:val="single" w:sz="6" w:space="0" w:color="auto"/>
              <w:left w:val="single" w:sz="6" w:space="0" w:color="auto"/>
              <w:bottom w:val="single" w:sz="6" w:space="0" w:color="auto"/>
              <w:right w:val="single" w:sz="6" w:space="0" w:color="auto"/>
            </w:tcBorders>
            <w:shd w:val="clear" w:color="auto" w:fill="FAFAFA"/>
            <w:tcMar>
              <w:top w:w="15" w:type="dxa"/>
              <w:left w:w="75" w:type="dxa"/>
              <w:bottom w:w="15" w:type="dxa"/>
              <w:right w:w="75" w:type="dxa"/>
            </w:tcMar>
            <w:vAlign w:val="center"/>
            <w:hideMark/>
          </w:tcPr>
          <w:p w14:paraId="542B81C4" w14:textId="77777777" w:rsidR="004B43EE" w:rsidRPr="0095222A" w:rsidRDefault="004B43EE" w:rsidP="00351B28">
            <w:pPr>
              <w:jc w:val="both"/>
              <w:rPr>
                <w:sz w:val="18"/>
                <w:szCs w:val="18"/>
              </w:rPr>
            </w:pPr>
            <w:r w:rsidRPr="0095222A">
              <w:rPr>
                <w:sz w:val="18"/>
                <w:szCs w:val="18"/>
              </w:rPr>
              <w:t>103</w:t>
            </w:r>
          </w:p>
        </w:tc>
        <w:tc>
          <w:tcPr>
            <w:tcW w:w="1246" w:type="dxa"/>
            <w:tcBorders>
              <w:top w:val="single" w:sz="6" w:space="0" w:color="auto"/>
              <w:left w:val="single" w:sz="6" w:space="0" w:color="auto"/>
              <w:bottom w:val="single" w:sz="6" w:space="0" w:color="auto"/>
              <w:right w:val="single" w:sz="6" w:space="0" w:color="auto"/>
            </w:tcBorders>
            <w:shd w:val="clear" w:color="auto" w:fill="FAFAFA"/>
            <w:vAlign w:val="center"/>
          </w:tcPr>
          <w:p w14:paraId="241E1838" w14:textId="77777777" w:rsidR="004B43EE" w:rsidRPr="0095222A" w:rsidRDefault="004B43EE" w:rsidP="00351B28">
            <w:pPr>
              <w:jc w:val="both"/>
              <w:rPr>
                <w:sz w:val="18"/>
                <w:szCs w:val="18"/>
              </w:rPr>
            </w:pPr>
            <w:r w:rsidRPr="0095222A">
              <w:rPr>
                <w:sz w:val="18"/>
                <w:szCs w:val="18"/>
              </w:rPr>
              <w:t>42</w:t>
            </w:r>
          </w:p>
        </w:tc>
        <w:tc>
          <w:tcPr>
            <w:tcW w:w="1315" w:type="dxa"/>
            <w:tcBorders>
              <w:top w:val="single" w:sz="6" w:space="0" w:color="auto"/>
              <w:left w:val="single" w:sz="6" w:space="0" w:color="auto"/>
              <w:bottom w:val="single" w:sz="6" w:space="0" w:color="auto"/>
              <w:right w:val="single" w:sz="6" w:space="0" w:color="auto"/>
            </w:tcBorders>
            <w:shd w:val="clear" w:color="auto" w:fill="FAFAFA"/>
            <w:vAlign w:val="center"/>
          </w:tcPr>
          <w:p w14:paraId="3193D1EB" w14:textId="77777777" w:rsidR="004B43EE" w:rsidRPr="0095222A" w:rsidRDefault="004B43EE" w:rsidP="00351B28">
            <w:pPr>
              <w:jc w:val="both"/>
              <w:rPr>
                <w:sz w:val="18"/>
                <w:szCs w:val="18"/>
              </w:rPr>
            </w:pPr>
            <w:r w:rsidRPr="0095222A">
              <w:rPr>
                <w:sz w:val="18"/>
                <w:szCs w:val="18"/>
              </w:rPr>
              <w:t>99</w:t>
            </w:r>
          </w:p>
        </w:tc>
        <w:tc>
          <w:tcPr>
            <w:tcW w:w="1037" w:type="dxa"/>
            <w:tcBorders>
              <w:top w:val="single" w:sz="6" w:space="0" w:color="auto"/>
              <w:left w:val="single" w:sz="6" w:space="0" w:color="auto"/>
              <w:bottom w:val="single" w:sz="6" w:space="0" w:color="auto"/>
              <w:right w:val="single" w:sz="6" w:space="0" w:color="auto"/>
            </w:tcBorders>
            <w:shd w:val="clear" w:color="auto" w:fill="FAFAFA"/>
            <w:vAlign w:val="center"/>
          </w:tcPr>
          <w:p w14:paraId="0EE8F958" w14:textId="77777777" w:rsidR="004B43EE" w:rsidRPr="0095222A" w:rsidRDefault="004B43EE" w:rsidP="00351B28">
            <w:pPr>
              <w:jc w:val="both"/>
              <w:rPr>
                <w:sz w:val="18"/>
                <w:szCs w:val="18"/>
              </w:rPr>
            </w:pPr>
            <w:r w:rsidRPr="0095222A">
              <w:rPr>
                <w:sz w:val="18"/>
                <w:szCs w:val="18"/>
              </w:rPr>
              <w:t>91</w:t>
            </w:r>
          </w:p>
        </w:tc>
      </w:tr>
      <w:tr w:rsidR="004B43EE" w:rsidRPr="0095222A" w14:paraId="4CD59A24" w14:textId="77777777" w:rsidTr="00351B28">
        <w:trPr>
          <w:trHeight w:val="408"/>
        </w:trPr>
        <w:tc>
          <w:tcPr>
            <w:tcW w:w="1399" w:type="dxa"/>
            <w:tcBorders>
              <w:top w:val="single" w:sz="6" w:space="0" w:color="auto"/>
              <w:left w:val="single" w:sz="6" w:space="0" w:color="auto"/>
              <w:bottom w:val="single" w:sz="6" w:space="0" w:color="auto"/>
              <w:right w:val="single" w:sz="6" w:space="0" w:color="auto"/>
            </w:tcBorders>
            <w:shd w:val="clear" w:color="auto" w:fill="FAFAFA"/>
            <w:tcMar>
              <w:top w:w="15" w:type="dxa"/>
              <w:left w:w="75" w:type="dxa"/>
              <w:bottom w:w="15" w:type="dxa"/>
              <w:right w:w="75" w:type="dxa"/>
            </w:tcMar>
            <w:vAlign w:val="center"/>
            <w:hideMark/>
          </w:tcPr>
          <w:p w14:paraId="46DB2061" w14:textId="77777777" w:rsidR="004B43EE" w:rsidRPr="0095222A" w:rsidRDefault="004B43EE" w:rsidP="00351B28">
            <w:pPr>
              <w:jc w:val="both"/>
              <w:rPr>
                <w:sz w:val="18"/>
                <w:szCs w:val="18"/>
              </w:rPr>
            </w:pPr>
            <w:r w:rsidRPr="0095222A">
              <w:rPr>
                <w:sz w:val="18"/>
                <w:szCs w:val="18"/>
              </w:rPr>
              <w:t>Bandwidth</w:t>
            </w:r>
          </w:p>
        </w:tc>
        <w:tc>
          <w:tcPr>
            <w:tcW w:w="1338" w:type="dxa"/>
            <w:tcBorders>
              <w:top w:val="single" w:sz="6" w:space="0" w:color="auto"/>
              <w:left w:val="single" w:sz="6" w:space="0" w:color="auto"/>
              <w:bottom w:val="single" w:sz="6" w:space="0" w:color="auto"/>
              <w:right w:val="single" w:sz="6" w:space="0" w:color="auto"/>
            </w:tcBorders>
            <w:shd w:val="clear" w:color="auto" w:fill="FAFAFA"/>
            <w:tcMar>
              <w:top w:w="15" w:type="dxa"/>
              <w:left w:w="75" w:type="dxa"/>
              <w:bottom w:w="15" w:type="dxa"/>
              <w:right w:w="75" w:type="dxa"/>
            </w:tcMar>
            <w:vAlign w:val="center"/>
            <w:hideMark/>
          </w:tcPr>
          <w:p w14:paraId="5F760579" w14:textId="77777777" w:rsidR="004B43EE" w:rsidRPr="0095222A" w:rsidRDefault="004B43EE" w:rsidP="00351B28">
            <w:pPr>
              <w:jc w:val="both"/>
              <w:rPr>
                <w:sz w:val="18"/>
                <w:szCs w:val="18"/>
              </w:rPr>
            </w:pPr>
            <w:r w:rsidRPr="0095222A">
              <w:rPr>
                <w:sz w:val="18"/>
                <w:szCs w:val="18"/>
              </w:rPr>
              <w:t>2.431</w:t>
            </w:r>
          </w:p>
        </w:tc>
        <w:tc>
          <w:tcPr>
            <w:tcW w:w="1639" w:type="dxa"/>
            <w:tcBorders>
              <w:top w:val="single" w:sz="6" w:space="0" w:color="auto"/>
              <w:left w:val="single" w:sz="6" w:space="0" w:color="auto"/>
              <w:bottom w:val="single" w:sz="6" w:space="0" w:color="auto"/>
              <w:right w:val="single" w:sz="6" w:space="0" w:color="auto"/>
            </w:tcBorders>
            <w:shd w:val="clear" w:color="auto" w:fill="FAFAFA"/>
            <w:tcMar>
              <w:top w:w="15" w:type="dxa"/>
              <w:left w:w="75" w:type="dxa"/>
              <w:bottom w:w="15" w:type="dxa"/>
              <w:right w:w="75" w:type="dxa"/>
            </w:tcMar>
            <w:vAlign w:val="center"/>
            <w:hideMark/>
          </w:tcPr>
          <w:p w14:paraId="4DBCE3CC" w14:textId="77777777" w:rsidR="004B43EE" w:rsidRPr="0095222A" w:rsidRDefault="004B43EE" w:rsidP="00351B28">
            <w:pPr>
              <w:jc w:val="both"/>
              <w:rPr>
                <w:sz w:val="18"/>
                <w:szCs w:val="18"/>
              </w:rPr>
            </w:pPr>
            <w:r w:rsidRPr="0095222A">
              <w:rPr>
                <w:sz w:val="18"/>
                <w:szCs w:val="18"/>
              </w:rPr>
              <w:t>1.211</w:t>
            </w:r>
          </w:p>
        </w:tc>
        <w:tc>
          <w:tcPr>
            <w:tcW w:w="1398" w:type="dxa"/>
            <w:tcBorders>
              <w:top w:val="single" w:sz="6" w:space="0" w:color="auto"/>
              <w:left w:val="single" w:sz="6" w:space="0" w:color="auto"/>
              <w:bottom w:val="single" w:sz="6" w:space="0" w:color="auto"/>
              <w:right w:val="single" w:sz="6" w:space="0" w:color="auto"/>
            </w:tcBorders>
            <w:shd w:val="clear" w:color="auto" w:fill="FAFAFA"/>
            <w:tcMar>
              <w:top w:w="15" w:type="dxa"/>
              <w:left w:w="75" w:type="dxa"/>
              <w:bottom w:w="15" w:type="dxa"/>
              <w:right w:w="75" w:type="dxa"/>
            </w:tcMar>
            <w:vAlign w:val="center"/>
            <w:hideMark/>
          </w:tcPr>
          <w:p w14:paraId="627BF814" w14:textId="77777777" w:rsidR="004B43EE" w:rsidRPr="0095222A" w:rsidRDefault="004B43EE" w:rsidP="00351B28">
            <w:pPr>
              <w:jc w:val="both"/>
              <w:rPr>
                <w:sz w:val="18"/>
                <w:szCs w:val="18"/>
              </w:rPr>
            </w:pPr>
            <w:r w:rsidRPr="0095222A">
              <w:rPr>
                <w:sz w:val="18"/>
                <w:szCs w:val="18"/>
              </w:rPr>
              <w:t>2.547</w:t>
            </w:r>
          </w:p>
        </w:tc>
        <w:tc>
          <w:tcPr>
            <w:tcW w:w="1246" w:type="dxa"/>
            <w:tcBorders>
              <w:top w:val="single" w:sz="6" w:space="0" w:color="auto"/>
              <w:left w:val="single" w:sz="6" w:space="0" w:color="auto"/>
              <w:bottom w:val="single" w:sz="6" w:space="0" w:color="auto"/>
              <w:right w:val="single" w:sz="6" w:space="0" w:color="auto"/>
            </w:tcBorders>
            <w:shd w:val="clear" w:color="auto" w:fill="FAFAFA"/>
            <w:vAlign w:val="center"/>
          </w:tcPr>
          <w:p w14:paraId="48E8F17B" w14:textId="77777777" w:rsidR="004B43EE" w:rsidRPr="0095222A" w:rsidRDefault="004B43EE" w:rsidP="00351B28">
            <w:pPr>
              <w:jc w:val="both"/>
              <w:rPr>
                <w:sz w:val="18"/>
                <w:szCs w:val="18"/>
              </w:rPr>
            </w:pPr>
            <w:r w:rsidRPr="0095222A">
              <w:rPr>
                <w:sz w:val="18"/>
                <w:szCs w:val="18"/>
              </w:rPr>
              <w:t>1.197</w:t>
            </w:r>
          </w:p>
        </w:tc>
        <w:tc>
          <w:tcPr>
            <w:tcW w:w="1315" w:type="dxa"/>
            <w:tcBorders>
              <w:top w:val="single" w:sz="6" w:space="0" w:color="auto"/>
              <w:left w:val="single" w:sz="6" w:space="0" w:color="auto"/>
              <w:bottom w:val="single" w:sz="6" w:space="0" w:color="auto"/>
              <w:right w:val="single" w:sz="6" w:space="0" w:color="auto"/>
            </w:tcBorders>
            <w:shd w:val="clear" w:color="auto" w:fill="FAFAFA"/>
            <w:vAlign w:val="center"/>
          </w:tcPr>
          <w:p w14:paraId="2B84C9D6" w14:textId="77777777" w:rsidR="004B43EE" w:rsidRPr="0095222A" w:rsidRDefault="004B43EE" w:rsidP="00351B28">
            <w:pPr>
              <w:jc w:val="both"/>
              <w:rPr>
                <w:sz w:val="18"/>
                <w:szCs w:val="18"/>
              </w:rPr>
            </w:pPr>
            <w:r w:rsidRPr="0095222A">
              <w:rPr>
                <w:sz w:val="18"/>
                <w:szCs w:val="18"/>
              </w:rPr>
              <w:t>1.873</w:t>
            </w:r>
          </w:p>
        </w:tc>
        <w:tc>
          <w:tcPr>
            <w:tcW w:w="1037" w:type="dxa"/>
            <w:tcBorders>
              <w:top w:val="single" w:sz="6" w:space="0" w:color="auto"/>
              <w:left w:val="single" w:sz="6" w:space="0" w:color="auto"/>
              <w:bottom w:val="single" w:sz="6" w:space="0" w:color="auto"/>
              <w:right w:val="single" w:sz="6" w:space="0" w:color="auto"/>
            </w:tcBorders>
            <w:shd w:val="clear" w:color="auto" w:fill="FAFAFA"/>
            <w:vAlign w:val="center"/>
          </w:tcPr>
          <w:p w14:paraId="203FDB87" w14:textId="77777777" w:rsidR="004B43EE" w:rsidRPr="0095222A" w:rsidRDefault="004B43EE" w:rsidP="00351B28">
            <w:pPr>
              <w:jc w:val="both"/>
              <w:rPr>
                <w:sz w:val="18"/>
                <w:szCs w:val="18"/>
              </w:rPr>
            </w:pPr>
            <w:r w:rsidRPr="0095222A">
              <w:rPr>
                <w:sz w:val="18"/>
                <w:szCs w:val="18"/>
              </w:rPr>
              <w:t>1.763</w:t>
            </w:r>
          </w:p>
        </w:tc>
      </w:tr>
    </w:tbl>
    <w:p w14:paraId="75ADABEB" w14:textId="76D2F669" w:rsidR="00837CC1" w:rsidRPr="000B01F5" w:rsidRDefault="00837CC1" w:rsidP="004B43EE">
      <w:pPr>
        <w:jc w:val="both"/>
        <w:rPr>
          <w:i/>
          <w:iCs/>
          <w:vanish/>
          <w:sz w:val="20"/>
          <w:szCs w:val="20"/>
          <w:highlight w:val="yellow"/>
        </w:rPr>
      </w:pPr>
    </w:p>
    <w:p w14:paraId="136C4D89" w14:textId="419B5C2D" w:rsidR="004B43EE" w:rsidRPr="0095222A" w:rsidRDefault="00837CC1" w:rsidP="004B43EE">
      <w:pPr>
        <w:jc w:val="both"/>
        <w:rPr>
          <w:i/>
          <w:iCs/>
          <w:sz w:val="20"/>
          <w:szCs w:val="20"/>
        </w:rPr>
      </w:pPr>
      <w:r w:rsidRPr="000B01F5">
        <w:rPr>
          <w:i/>
          <w:iCs/>
          <w:sz w:val="20"/>
          <w:szCs w:val="20"/>
          <w:highlight w:val="yellow"/>
        </w:rPr>
        <w:t>Notes</w:t>
      </w:r>
      <w:r w:rsidR="004B43EE" w:rsidRPr="0095222A">
        <w:rPr>
          <w:i/>
          <w:iCs/>
          <w:sz w:val="20"/>
          <w:szCs w:val="20"/>
        </w:rPr>
        <w:t>: See Table 1.</w:t>
      </w:r>
    </w:p>
    <w:p w14:paraId="3CE744A8" w14:textId="1BC591B4" w:rsidR="004B43EE" w:rsidRDefault="004B43EE" w:rsidP="004B43EE">
      <w:pPr>
        <w:jc w:val="both"/>
      </w:pPr>
      <w:r w:rsidRPr="00CA4977">
        <w:t xml:space="preserve">Our analysis reveals a lack of positive responses across all dimensions in the </w:t>
      </w:r>
      <w:r w:rsidR="006B3BD6">
        <w:t>short term</w:t>
      </w:r>
      <w:r w:rsidRPr="00CA4977">
        <w:t xml:space="preserve">; however, companies that meet the cut-off demonstrate significantly better performance in the medium- and </w:t>
      </w:r>
      <w:r>
        <w:t>long term</w:t>
      </w:r>
      <w:r w:rsidRPr="00CA4977">
        <w:t xml:space="preserve">. The turnover in the medium term is approximately 18 times greater, indicating an average rise of ₩780 million, with each ₩1 requiring ₩1.20 in subsidies. The long-term effect is even more pronounced, suggesting a lasting enhancement in achievement. In the medium term, there is a notable increase in </w:t>
      </w:r>
      <w:proofErr w:type="spellStart"/>
      <w:r>
        <w:t>labour</w:t>
      </w:r>
      <w:proofErr w:type="spellEnd"/>
      <w:r w:rsidRPr="00CA4977">
        <w:t xml:space="preserve"> productivity, rising by 320%. The effect appears comparable but </w:t>
      </w:r>
      <w:r w:rsidR="006B3BD6">
        <w:t>insignificant</w:t>
      </w:r>
      <w:r w:rsidRPr="00CA4977">
        <w:t xml:space="preserve"> in the short and long term</w:t>
      </w:r>
      <w:r>
        <w:t>. It isn't easy</w:t>
      </w:r>
      <w:r w:rsidRPr="00CA4977">
        <w:t xml:space="preserve"> to ascertain with certainty if productivity reacted immediately and if that reaction was enduring. </w:t>
      </w:r>
      <w:r w:rsidRPr="00CA4977">
        <w:br/>
      </w:r>
      <w:r>
        <w:t>Regarding</w:t>
      </w:r>
      <w:r w:rsidRPr="00CA4977">
        <w:t xml:space="preserve"> employment, </w:t>
      </w:r>
      <w:r>
        <w:t xml:space="preserve">a consistent positive impact of 290% was </w:t>
      </w:r>
      <w:r w:rsidRPr="00CA4977">
        <w:t xml:space="preserve">observed in the medium term and an impressive 920% in the long term. For the firms that received treatment within the selected bandwidth, this indicates </w:t>
      </w:r>
      <w:r>
        <w:t xml:space="preserve">hiring </w:t>
      </w:r>
      <w:r w:rsidRPr="00CA4977">
        <w:t xml:space="preserve">5 and 10 employees per firm, with associated costs of ₩180 million and ₩80 million in subsidies, respectively. In terms of wages, our findings indicate a significant </w:t>
      </w:r>
      <w:r>
        <w:t>adverse</w:t>
      </w:r>
      <w:r w:rsidRPr="00CA4977">
        <w:t xml:space="preserve"> effect only in the short term, suggesting that this impact may be temporary. The long-term effects on credit access, as indicated by total debt, are evident; however, the estimates lack precision. </w:t>
      </w:r>
      <w:r w:rsidRPr="009A076F">
        <w:t xml:space="preserve">This interpretation is supported by </w:t>
      </w:r>
      <w:r>
        <w:t>several</w:t>
      </w:r>
      <w:r w:rsidRPr="009A076F">
        <w:t xml:space="preserve"> strong arguments, even though our data does not conclusively show a causal relationship between R&amp;D expenditures and gains in productivity and business success. First, research by Crass and Peters (2014) and Niebel et al. (2017) shows that R&amp;D activities </w:t>
      </w:r>
      <w:r>
        <w:t>significantly influence</w:t>
      </w:r>
      <w:r w:rsidRPr="009A076F">
        <w:t xml:space="preserve"> the positive relationship between IFA and production. Secondly, while the subsidy </w:t>
      </w:r>
      <w:r>
        <w:t>immediately impacts</w:t>
      </w:r>
      <w:r w:rsidRPr="009A076F">
        <w:t xml:space="preserve"> IFA growth, the improvements in firm success become </w:t>
      </w:r>
      <w:r w:rsidR="006B3BD6">
        <w:t>more precise</w:t>
      </w:r>
      <w:r w:rsidRPr="009A076F">
        <w:t xml:space="preserve"> and more accurately assessed only after several years.</w:t>
      </w:r>
    </w:p>
    <w:p w14:paraId="0F41AA3D" w14:textId="77777777" w:rsidR="004B43EE" w:rsidRPr="009A076F" w:rsidRDefault="004B43EE" w:rsidP="004B43EE">
      <w:pPr>
        <w:jc w:val="both"/>
      </w:pPr>
      <w:r w:rsidRPr="009A076F">
        <w:lastRenderedPageBreak/>
        <w:t xml:space="preserve">There may be apprehensions about the possible confounding of our findings stemming from differences in firm survival. In addressing this matter, columns 16–18 examine the operational duration of companies throughout the three post-periods. The results indicate a lack of systematic differences, which further supports the reliability of our findings. </w:t>
      </w:r>
    </w:p>
    <w:p w14:paraId="652CAB64" w14:textId="77777777" w:rsidR="004B43EE" w:rsidRPr="00CA4977" w:rsidRDefault="004B43EE" w:rsidP="004B43EE">
      <w:pPr>
        <w:jc w:val="both"/>
        <w:rPr>
          <w:b/>
          <w:bCs/>
        </w:rPr>
      </w:pPr>
      <w:r w:rsidRPr="00CA4977">
        <w:rPr>
          <w:b/>
          <w:bCs/>
        </w:rPr>
        <w:t>5. Discussion and Policy Implications</w:t>
      </w:r>
    </w:p>
    <w:p w14:paraId="7DB8153C" w14:textId="2CE047F1" w:rsidR="004B43EE" w:rsidRPr="00F672C7" w:rsidRDefault="004B43EE" w:rsidP="004B43EE">
      <w:pPr>
        <w:jc w:val="both"/>
      </w:pPr>
      <w:r w:rsidRPr="00F672C7">
        <w:t xml:space="preserve">Our findings demonstrate how crucial R&amp;D subsidies are for promoting business expansion and performance, especially in high-tech industries. Government support for research and development in innovation has </w:t>
      </w:r>
      <w:r>
        <w:t>significantly boosted</w:t>
      </w:r>
      <w:r w:rsidRPr="00F672C7">
        <w:t xml:space="preserve"> employment, total sales, and the proportion of innovative sales for seven years (Testa et al., 2019). Moreover, the influence of R&amp;D support may vary across various firms and industries. In essence, support for research and development enhances private research initiatives and overall business performance, whereas state-owned enterprises frequently receive </w:t>
      </w:r>
      <w:r>
        <w:t>more lavish</w:t>
      </w:r>
      <w:r w:rsidRPr="00F672C7">
        <w:t xml:space="preserve"> subsidies </w:t>
      </w:r>
      <w:r>
        <w:t>than</w:t>
      </w:r>
      <w:r w:rsidRPr="00F672C7">
        <w:t xml:space="preserve"> their privately-owned counterparts (Guo et al., 2014). Studies indicate that specific R&amp;D grants yield more significant advantages </w:t>
      </w:r>
      <w:r w:rsidR="006B3BD6">
        <w:t>than</w:t>
      </w:r>
      <w:r w:rsidRPr="00F672C7">
        <w:t xml:space="preserve"> general subsidies (Testa et al., 2019), particularly for high-growth companies that predominantly operate within the technology industry.</w:t>
      </w:r>
    </w:p>
    <w:p w14:paraId="1A138CF2" w14:textId="16441B66" w:rsidR="004B43EE" w:rsidRPr="00DA1AD2" w:rsidRDefault="004B43EE" w:rsidP="004B43EE">
      <w:pPr>
        <w:jc w:val="both"/>
      </w:pPr>
      <w:r w:rsidRPr="004973F0">
        <w:t>Additionally, factors like innovation incentives and signal finance have an impact on how R&amp;D assistance transforms corporate success (Wang et al., 2020).</w:t>
      </w:r>
      <w:r w:rsidRPr="005A4C8C">
        <w:t xml:space="preserve"> Such incentives </w:t>
      </w:r>
      <w:r>
        <w:t>are most</w:t>
      </w:r>
      <w:r w:rsidRPr="005A4C8C">
        <w:t xml:space="preserve"> effective for </w:t>
      </w:r>
      <w:r>
        <w:t>private</w:t>
      </w:r>
      <w:r w:rsidRPr="005A4C8C">
        <w:t xml:space="preserve"> enterprises that are both young and large, suggesting that targeted subsidy programs that consider firm-specific characteristics are needed (Wang et al., 2020). Other factors, such </w:t>
      </w:r>
      <w:r>
        <w:t>as policy</w:t>
      </w:r>
      <w:r w:rsidRPr="005A4C8C">
        <w:t xml:space="preserve"> formulation, enterprise innovation ability, and external environment, have affected the effectiveness of innovation policies (Ao, 2025). The long-term effects of R&amp;D subsidies can be increased by promoting better access to finance for young </w:t>
      </w:r>
      <w:r w:rsidR="00837CC1" w:rsidRPr="000B01F5">
        <w:rPr>
          <w:highlight w:val="yellow"/>
        </w:rPr>
        <w:t>innovative</w:t>
      </w:r>
      <w:r w:rsidR="00837CC1" w:rsidRPr="005A4C8C">
        <w:t xml:space="preserve"> </w:t>
      </w:r>
      <w:r w:rsidRPr="005A4C8C">
        <w:t>firms</w:t>
      </w:r>
      <w:r>
        <w:t xml:space="preserve"> and</w:t>
      </w:r>
      <w:r w:rsidRPr="005A4C8C">
        <w:t xml:space="preserve"> providing additional resources (such as networks </w:t>
      </w:r>
      <w:r>
        <w:t>and advice</w:t>
      </w:r>
      <w:r w:rsidRPr="005A4C8C">
        <w:t>) (Testa et al.</w:t>
      </w:r>
      <w:r>
        <w:t>,</w:t>
      </w:r>
      <w:r w:rsidRPr="005A4C8C">
        <w:t xml:space="preserve"> 2019).</w:t>
      </w:r>
    </w:p>
    <w:p w14:paraId="7B12D3FC" w14:textId="352BEAFE" w:rsidR="004B43EE" w:rsidRPr="00DA1AD2" w:rsidRDefault="006B3BD6" w:rsidP="004B43EE">
      <w:pPr>
        <w:jc w:val="both"/>
      </w:pPr>
      <w:r>
        <w:t>Concerning</w:t>
      </w:r>
      <w:r w:rsidR="004B43EE" w:rsidRPr="00DE2CF8">
        <w:t xml:space="preserve"> innovation outputs, </w:t>
      </w:r>
      <w:r w:rsidR="004B43EE" w:rsidRPr="005A456B">
        <w:t xml:space="preserve">although R&amp;D support has been found to raise R&amp;D spending, its impact on patenting is more ambiguous. While some literature has found that R&amp;D support </w:t>
      </w:r>
      <w:r>
        <w:t>increases</w:t>
      </w:r>
      <w:r w:rsidR="004B43EE" w:rsidRPr="005A456B">
        <w:t xml:space="preserve"> future patenting activity, the effect is heterogeneous</w:t>
      </w:r>
      <w:r w:rsidR="004B43EE" w:rsidRPr="00DE2CF8">
        <w:t xml:space="preserve"> across industries and firm types (Cherif et al., 2023). This highlights the </w:t>
      </w:r>
      <w:r w:rsidR="004B43EE" w:rsidRPr="005A456B">
        <w:t xml:space="preserve">need to assess R&amp;D program success using multiple measures, including </w:t>
      </w:r>
      <w:r w:rsidR="004B43EE" w:rsidRPr="00DE2CF8">
        <w:t>going beyond traditional metrics by examining intangible investments and aggregate firm performance (National Research Council, 2014).</w:t>
      </w:r>
    </w:p>
    <w:p w14:paraId="1C5B73F8" w14:textId="77777777" w:rsidR="004B43EE" w:rsidRPr="00DE2CF8" w:rsidRDefault="004B43EE" w:rsidP="004B43EE">
      <w:pPr>
        <w:jc w:val="both"/>
      </w:pPr>
      <w:r w:rsidRPr="00DE2CF8">
        <w:t xml:space="preserve">Policymakers </w:t>
      </w:r>
      <w:r>
        <w:t>should consider</w:t>
      </w:r>
      <w:r w:rsidRPr="00DE2CF8">
        <w:t xml:space="preserve"> broader economic and institutional environments when designing R&amp;D subsidy programs. The mechanism of subsidy policies </w:t>
      </w:r>
      <w:r>
        <w:t>can be</w:t>
      </w:r>
      <w:r w:rsidRPr="00DE2CF8">
        <w:t xml:space="preserve"> significantly shaped by market competition, institutional environment and industrial clusters (Ao, 2025). Combining R&amp;D subsidies with other types of support (e.g., tax relief) can provide a supportive </w:t>
      </w:r>
      <w:r>
        <w:t>innovation environment</w:t>
      </w:r>
      <w:r w:rsidRPr="00DE2CF8">
        <w:t xml:space="preserve"> (Testa et al., 2019).</w:t>
      </w:r>
    </w:p>
    <w:p w14:paraId="7B7CA9A9" w14:textId="3FC37AEB" w:rsidR="004B43EE" w:rsidRPr="00CA4977" w:rsidRDefault="004B43EE" w:rsidP="004B43EE">
      <w:pPr>
        <w:jc w:val="both"/>
      </w:pPr>
      <w:r w:rsidRPr="00DE2CF8">
        <w:lastRenderedPageBreak/>
        <w:t xml:space="preserve">Indeed, although R&amp;D subsidies are </w:t>
      </w:r>
      <w:r w:rsidR="006B3BD6">
        <w:t>essential</w:t>
      </w:r>
      <w:r w:rsidRPr="00DE2CF8">
        <w:t xml:space="preserve"> for promoting firm growth and innovation, they still need to </w:t>
      </w:r>
      <w:r w:rsidRPr="005A456B">
        <w:t xml:space="preserve">be designed and implemented in a way that properly </w:t>
      </w:r>
      <w:proofErr w:type="spellStart"/>
      <w:r>
        <w:t>incentivises</w:t>
      </w:r>
      <w:proofErr w:type="spellEnd"/>
      <w:r w:rsidRPr="005A456B">
        <w:t xml:space="preserve"> firms and encourages optimal levels of R&amp;D. Inclusion of a </w:t>
      </w:r>
      <w:r w:rsidR="006B3BD6">
        <w:t>broader</w:t>
      </w:r>
      <w:r w:rsidRPr="005A456B">
        <w:t xml:space="preserve"> range of innovation and varying firm requirements</w:t>
      </w:r>
      <w:r w:rsidRPr="00DE2CF8">
        <w:t xml:space="preserve"> would lead to better policies that would drive the economy toward being more dynamic and innovative.</w:t>
      </w:r>
    </w:p>
    <w:p w14:paraId="7885BDEA" w14:textId="77777777" w:rsidR="004B43EE" w:rsidRPr="00DA1162" w:rsidRDefault="004B43EE" w:rsidP="004B43EE">
      <w:pPr>
        <w:jc w:val="both"/>
        <w:rPr>
          <w:b/>
          <w:bCs/>
        </w:rPr>
      </w:pPr>
      <w:r>
        <w:rPr>
          <w:b/>
          <w:bCs/>
        </w:rPr>
        <w:t>6</w:t>
      </w:r>
      <w:r w:rsidRPr="00DA1162">
        <w:rPr>
          <w:b/>
          <w:bCs/>
        </w:rPr>
        <w:t>. Conclusion</w:t>
      </w:r>
    </w:p>
    <w:p w14:paraId="3DD3AE39" w14:textId="0E812FA8" w:rsidR="004B43EE" w:rsidRDefault="004B43EE" w:rsidP="004B43EE">
      <w:pPr>
        <w:jc w:val="both"/>
      </w:pPr>
      <w:r w:rsidRPr="001140D3">
        <w:t>This study evaluates the impact of a 2015 South Korean government R&amp;D subsidy program for high-tech firms initiated by the Ministry of Science and ICT (MSIT). Using a Regression Discontinuity Design (RDD) paradigm based on project scores, we demonstrate a significant increase in firms' investments in intangible fixed assets (IFA) and their success over 10 years. However, the subsidy had little impact on patenting.</w:t>
      </w:r>
    </w:p>
    <w:p w14:paraId="7CCF900D" w14:textId="4DDBD845" w:rsidR="004B43EE" w:rsidRDefault="004B43EE" w:rsidP="004B43EE">
      <w:pPr>
        <w:jc w:val="both"/>
      </w:pPr>
      <w:r w:rsidRPr="001140D3">
        <w:t xml:space="preserve">The study shows that public R&amp;D funding effectively boosts business performance and intangible investment, which drives long-term growth and innovation. We demonstrate that government R&amp;D subsidies boost high-tech startup performance but do not directly improve patenting activity. The subsidies may not have </w:t>
      </w:r>
      <w:r>
        <w:t>significantly impacted</w:t>
      </w:r>
      <w:r w:rsidRPr="001140D3">
        <w:t xml:space="preserve"> innovation, as patent evidence suggests that enterprises may not have pursued patentable outcomes. This may be due to corporations not publishing strategic information in patents or </w:t>
      </w:r>
      <w:r w:rsidR="00837CC1" w:rsidRPr="000B01F5">
        <w:rPr>
          <w:highlight w:val="yellow"/>
        </w:rPr>
        <w:t>financing</w:t>
      </w:r>
      <w:r w:rsidR="00837CC1" w:rsidRPr="001140D3">
        <w:t xml:space="preserve"> </w:t>
      </w:r>
      <w:r w:rsidRPr="001140D3">
        <w:t>initiatives focusing on product development and process innovation.</w:t>
      </w:r>
    </w:p>
    <w:p w14:paraId="141BD925" w14:textId="589FDD33" w:rsidR="004B43EE" w:rsidRDefault="004B43EE" w:rsidP="004B43EE">
      <w:pPr>
        <w:jc w:val="both"/>
      </w:pPr>
      <w:r w:rsidRPr="001140D3">
        <w:t xml:space="preserve">The study </w:t>
      </w:r>
      <w:proofErr w:type="spellStart"/>
      <w:r>
        <w:t>emphasises</w:t>
      </w:r>
      <w:proofErr w:type="spellEnd"/>
      <w:r w:rsidRPr="001140D3">
        <w:t xml:space="preserve"> the importance of intangible investments for long-term prosperity and </w:t>
      </w:r>
      <w:r w:rsidR="006B3BD6">
        <w:t>the need for governments</w:t>
      </w:r>
      <w:r w:rsidRPr="001140D3">
        <w:t xml:space="preserve"> to examine R&amp;D initiatives holistically. In conclusion, this study contributes to the rising research on government R&amp;D funding fostering innovation and economic growth, particularly for technology-based start-ups in South Korea. Future research might explore how R&amp;D subsidies impact innovation, company performance, and long-term sustainability.</w:t>
      </w:r>
      <w:r w:rsidR="00394CE4">
        <w:t xml:space="preserve"> We recommend that future researchers uncover the exact model under certain market conditions</w:t>
      </w:r>
      <w:r w:rsidR="00837CC1">
        <w:t>,</w:t>
      </w:r>
      <w:r w:rsidR="00394CE4">
        <w:t xml:space="preserve"> as suggested in previous studies (Shahid &amp; Sattar, 2017; Shahid et al., 2021; Li et al., 2024) </w:t>
      </w:r>
    </w:p>
    <w:p w14:paraId="66842B20" w14:textId="77777777" w:rsidR="009D26D4" w:rsidRPr="000A6323" w:rsidRDefault="009D26D4" w:rsidP="009D26D4">
      <w:pPr>
        <w:rPr>
          <w:highlight w:val="yellow"/>
        </w:rPr>
      </w:pPr>
      <w:bookmarkStart w:id="0" w:name="_Hlk190852809"/>
      <w:r w:rsidRPr="000A6323">
        <w:rPr>
          <w:highlight w:val="yellow"/>
        </w:rPr>
        <w:t>Disclaimer (Artificial intelligence)</w:t>
      </w:r>
    </w:p>
    <w:p w14:paraId="7777673A" w14:textId="77777777" w:rsidR="009D26D4" w:rsidRPr="000A6323" w:rsidRDefault="009D26D4" w:rsidP="009D26D4">
      <w:pPr>
        <w:rPr>
          <w:highlight w:val="yellow"/>
        </w:rPr>
      </w:pPr>
      <w:r w:rsidRPr="000A6323">
        <w:rPr>
          <w:highlight w:val="yellow"/>
        </w:rPr>
        <w:t xml:space="preserve">Option 1: </w:t>
      </w:r>
    </w:p>
    <w:p w14:paraId="3AC01EE5" w14:textId="77777777" w:rsidR="009D26D4" w:rsidRPr="000A6323" w:rsidRDefault="009D26D4" w:rsidP="009D26D4">
      <w:pPr>
        <w:rPr>
          <w:highlight w:val="yellow"/>
        </w:rPr>
      </w:pPr>
      <w:r w:rsidRPr="000A6323">
        <w:rPr>
          <w:highlight w:val="yellow"/>
        </w:rPr>
        <w:t xml:space="preserve">Author(s) hereby declare that NO generative AI technologies such as Large Language Models (ChatGPT, COPILOT, etc.) and text-to-image generators have been used during the writing or editing of this manuscript. </w:t>
      </w:r>
    </w:p>
    <w:p w14:paraId="776E16B9" w14:textId="77777777" w:rsidR="009D26D4" w:rsidRPr="000A6323" w:rsidRDefault="009D26D4" w:rsidP="009D26D4">
      <w:pPr>
        <w:rPr>
          <w:highlight w:val="yellow"/>
        </w:rPr>
      </w:pPr>
      <w:r w:rsidRPr="000A6323">
        <w:rPr>
          <w:highlight w:val="yellow"/>
        </w:rPr>
        <w:t xml:space="preserve">Option 2: </w:t>
      </w:r>
    </w:p>
    <w:p w14:paraId="556AA7C0" w14:textId="77777777" w:rsidR="009D26D4" w:rsidRPr="000A6323" w:rsidRDefault="009D26D4" w:rsidP="009D26D4">
      <w:pPr>
        <w:rPr>
          <w:highlight w:val="yellow"/>
        </w:rPr>
      </w:pPr>
      <w:r w:rsidRPr="000A6323">
        <w:rPr>
          <w:highlight w:val="yellow"/>
        </w:rPr>
        <w:t xml:space="preserve">Author(s) hereby declare that generative AI technologies such as Large Language Models, etc. have been used during the writing or editing of manuscripts. This explanation will include the </w:t>
      </w:r>
      <w:r w:rsidRPr="000A6323">
        <w:rPr>
          <w:highlight w:val="yellow"/>
        </w:rPr>
        <w:lastRenderedPageBreak/>
        <w:t>name, version, model, and source of the generative AI technology and as well as all input prompts provided to the generative AI technology</w:t>
      </w:r>
    </w:p>
    <w:p w14:paraId="77B243FE" w14:textId="77777777" w:rsidR="009D26D4" w:rsidRPr="000A6323" w:rsidRDefault="009D26D4" w:rsidP="009D26D4">
      <w:pPr>
        <w:rPr>
          <w:highlight w:val="yellow"/>
        </w:rPr>
      </w:pPr>
      <w:r w:rsidRPr="000A6323">
        <w:rPr>
          <w:highlight w:val="yellow"/>
        </w:rPr>
        <w:t>Details of the AI usage are given below:</w:t>
      </w:r>
    </w:p>
    <w:p w14:paraId="0CE75FE9" w14:textId="77777777" w:rsidR="009D26D4" w:rsidRPr="000A6323" w:rsidRDefault="009D26D4" w:rsidP="009D26D4">
      <w:pPr>
        <w:rPr>
          <w:highlight w:val="yellow"/>
        </w:rPr>
      </w:pPr>
      <w:r w:rsidRPr="000A6323">
        <w:rPr>
          <w:highlight w:val="yellow"/>
        </w:rPr>
        <w:t>1.</w:t>
      </w:r>
    </w:p>
    <w:p w14:paraId="23573235" w14:textId="77777777" w:rsidR="009D26D4" w:rsidRPr="000A6323" w:rsidRDefault="009D26D4" w:rsidP="009D26D4">
      <w:pPr>
        <w:rPr>
          <w:highlight w:val="yellow"/>
        </w:rPr>
      </w:pPr>
      <w:r w:rsidRPr="000A6323">
        <w:rPr>
          <w:highlight w:val="yellow"/>
        </w:rPr>
        <w:t>2.</w:t>
      </w:r>
    </w:p>
    <w:p w14:paraId="632DD672" w14:textId="77777777" w:rsidR="009D26D4" w:rsidRPr="00D047BB" w:rsidRDefault="009D26D4" w:rsidP="009D26D4">
      <w:r w:rsidRPr="000A6323">
        <w:rPr>
          <w:highlight w:val="yellow"/>
        </w:rPr>
        <w:t>3.</w:t>
      </w:r>
    </w:p>
    <w:bookmarkEnd w:id="0"/>
    <w:p w14:paraId="7088C048" w14:textId="77777777" w:rsidR="009D26D4" w:rsidRPr="00D047BB" w:rsidRDefault="009D26D4" w:rsidP="009D26D4"/>
    <w:p w14:paraId="55E05840" w14:textId="588226EB" w:rsidR="009D26D4" w:rsidRDefault="009D26D4" w:rsidP="004B43EE">
      <w:pPr>
        <w:jc w:val="both"/>
        <w:sectPr w:rsidR="009D26D4" w:rsidSect="004B43E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pPr>
    </w:p>
    <w:p w14:paraId="1AA683B1" w14:textId="77777777" w:rsidR="004B43EE" w:rsidRDefault="004B43EE" w:rsidP="004B43EE">
      <w:pPr>
        <w:jc w:val="both"/>
        <w:rPr>
          <w:b/>
          <w:bCs/>
        </w:rPr>
      </w:pPr>
      <w:r w:rsidRPr="00376F83">
        <w:rPr>
          <w:b/>
          <w:bCs/>
        </w:rPr>
        <w:lastRenderedPageBreak/>
        <w:t>References</w:t>
      </w:r>
    </w:p>
    <w:p w14:paraId="0116DB1F" w14:textId="77777777" w:rsidR="004B43EE" w:rsidRDefault="004B43EE" w:rsidP="004B43EE">
      <w:pPr>
        <w:jc w:val="both"/>
      </w:pPr>
      <w:r w:rsidRPr="00CF3427">
        <w:t xml:space="preserve">Arora, A., </w:t>
      </w:r>
      <w:proofErr w:type="spellStart"/>
      <w:r w:rsidRPr="00CF3427">
        <w:t>Belenzon</w:t>
      </w:r>
      <w:proofErr w:type="spellEnd"/>
      <w:r w:rsidRPr="00CF3427">
        <w:t xml:space="preserve">, S., &amp; Suh, J. (2022). Science and the </w:t>
      </w:r>
      <w:r>
        <w:t>technology market</w:t>
      </w:r>
      <w:r w:rsidRPr="00CF3427">
        <w:t>. </w:t>
      </w:r>
      <w:r w:rsidRPr="00CF3427">
        <w:rPr>
          <w:i/>
          <w:iCs/>
        </w:rPr>
        <w:t>Management Science</w:t>
      </w:r>
      <w:r w:rsidRPr="00CF3427">
        <w:t>, </w:t>
      </w:r>
      <w:r w:rsidRPr="00CF3427">
        <w:rPr>
          <w:i/>
          <w:iCs/>
        </w:rPr>
        <w:t>68</w:t>
      </w:r>
      <w:r w:rsidRPr="00CF3427">
        <w:t>(10), 7176-7201.</w:t>
      </w:r>
    </w:p>
    <w:p w14:paraId="1B234044" w14:textId="77777777" w:rsidR="009637DD" w:rsidRDefault="009637DD" w:rsidP="009637DD">
      <w:pPr>
        <w:jc w:val="both"/>
      </w:pPr>
      <w:r w:rsidRPr="00E16B7E">
        <w:t>Ao, X. (2025). The impact of public R&amp;D subsidy on small firm productivity: evidence from China. </w:t>
      </w:r>
      <w:r w:rsidRPr="00E16B7E">
        <w:rPr>
          <w:i/>
          <w:iCs/>
        </w:rPr>
        <w:t>Journal of Industry, Competition and Trade</w:t>
      </w:r>
      <w:r w:rsidRPr="00E16B7E">
        <w:t>.</w:t>
      </w:r>
    </w:p>
    <w:p w14:paraId="64E0E21E" w14:textId="77777777" w:rsidR="004B43EE" w:rsidRPr="00376F83" w:rsidRDefault="004B43EE" w:rsidP="004B43EE">
      <w:pPr>
        <w:jc w:val="both"/>
      </w:pPr>
      <w:r w:rsidRPr="00DA1C07">
        <w:t xml:space="preserve">Bank of Korea. (2024). Economic Statistics System. Available at: </w:t>
      </w:r>
      <w:hyperlink r:id="rId13" w:history="1">
        <w:r w:rsidRPr="00DA1C07">
          <w:rPr>
            <w:rStyle w:val="Hyperlink"/>
          </w:rPr>
          <w:t>https://dateno.io/registry/catalog/cdi00004413/</w:t>
        </w:r>
      </w:hyperlink>
      <w:r w:rsidRPr="00DA1C07">
        <w:t xml:space="preserve">  (Accessed: 11 February 2025).</w:t>
      </w:r>
    </w:p>
    <w:p w14:paraId="224F7909" w14:textId="77777777" w:rsidR="004B43EE" w:rsidRPr="00520B84" w:rsidRDefault="004B43EE" w:rsidP="004B43EE">
      <w:pPr>
        <w:jc w:val="both"/>
      </w:pPr>
      <w:r w:rsidRPr="00CF3427">
        <w:t xml:space="preserve">Bloch, C., Roth, F., van </w:t>
      </w:r>
      <w:proofErr w:type="spellStart"/>
      <w:r w:rsidRPr="00CF3427">
        <w:t>Criekingen</w:t>
      </w:r>
      <w:proofErr w:type="spellEnd"/>
      <w:r w:rsidRPr="00CF3427">
        <w:t xml:space="preserve">, K., &amp; </w:t>
      </w:r>
      <w:proofErr w:type="spellStart"/>
      <w:r w:rsidRPr="00CF3427">
        <w:t>Piekkola</w:t>
      </w:r>
      <w:proofErr w:type="spellEnd"/>
      <w:r w:rsidRPr="00CF3427">
        <w:t>, H. (2024). Intangibles and their contribution to productivity: An overview. </w:t>
      </w:r>
      <w:r w:rsidRPr="00CF3427">
        <w:rPr>
          <w:i/>
          <w:iCs/>
        </w:rPr>
        <w:t>Intangible Assets, Productivity and Economic Growth</w:t>
      </w:r>
      <w:r w:rsidRPr="00CF3427">
        <w:t>, 34-55</w:t>
      </w:r>
      <w:r w:rsidRPr="00520B84">
        <w:t>.</w:t>
      </w:r>
    </w:p>
    <w:p w14:paraId="5DE30EEE" w14:textId="77777777" w:rsidR="004B43EE" w:rsidRDefault="004B43EE" w:rsidP="004B43EE">
      <w:pPr>
        <w:jc w:val="both"/>
      </w:pPr>
      <w:proofErr w:type="spellStart"/>
      <w:r w:rsidRPr="009F7A08">
        <w:t>Calonico</w:t>
      </w:r>
      <w:proofErr w:type="spellEnd"/>
      <w:r w:rsidRPr="009F7A08">
        <w:t xml:space="preserve">, S., Cattaneo, M. D., &amp; </w:t>
      </w:r>
      <w:proofErr w:type="spellStart"/>
      <w:r w:rsidRPr="009F7A08">
        <w:t>Titiunik</w:t>
      </w:r>
      <w:proofErr w:type="spellEnd"/>
      <w:r w:rsidRPr="009F7A08">
        <w:t>, R. (2014). Robust nonparametric confidence intervals for regression‐discontinuity designs. </w:t>
      </w:r>
      <w:proofErr w:type="spellStart"/>
      <w:r w:rsidRPr="009F7A08">
        <w:rPr>
          <w:i/>
          <w:iCs/>
        </w:rPr>
        <w:t>Econometrica</w:t>
      </w:r>
      <w:proofErr w:type="spellEnd"/>
      <w:r w:rsidRPr="009F7A08">
        <w:t>, </w:t>
      </w:r>
      <w:r w:rsidRPr="009F7A08">
        <w:rPr>
          <w:i/>
          <w:iCs/>
        </w:rPr>
        <w:t>82</w:t>
      </w:r>
      <w:r w:rsidRPr="009F7A08">
        <w:t>(6), 2295-2326.</w:t>
      </w:r>
    </w:p>
    <w:p w14:paraId="48EFE1E9" w14:textId="77777777" w:rsidR="00CA6DE6" w:rsidRDefault="00CA6DE6" w:rsidP="00CA6DE6">
      <w:pPr>
        <w:jc w:val="both"/>
      </w:pPr>
      <w:proofErr w:type="spellStart"/>
      <w:r w:rsidRPr="004A7DF8">
        <w:t>Calonico</w:t>
      </w:r>
      <w:proofErr w:type="spellEnd"/>
      <w:r w:rsidRPr="004A7DF8">
        <w:t xml:space="preserve">, S., Cattaneo, M. D., Farrell, M. H., &amp; </w:t>
      </w:r>
      <w:proofErr w:type="spellStart"/>
      <w:r w:rsidRPr="004A7DF8">
        <w:t>Titiunik</w:t>
      </w:r>
      <w:proofErr w:type="spellEnd"/>
      <w:r w:rsidRPr="004A7DF8">
        <w:t xml:space="preserve">, R. (2018). </w:t>
      </w:r>
      <w:r>
        <w:t>Robust</w:t>
      </w:r>
      <w:r w:rsidRPr="004A7DF8">
        <w:t>: Software for regression-discontinuity designs. </w:t>
      </w:r>
      <w:r w:rsidRPr="004A7DF8">
        <w:rPr>
          <w:i/>
          <w:iCs/>
        </w:rPr>
        <w:t>The Stata Journal</w:t>
      </w:r>
      <w:r w:rsidRPr="004A7DF8">
        <w:t>, 19(4), 805-835.</w:t>
      </w:r>
    </w:p>
    <w:p w14:paraId="6A71C0CE" w14:textId="77777777" w:rsidR="00CA6DE6" w:rsidRDefault="00CA6DE6" w:rsidP="00CA6DE6">
      <w:pPr>
        <w:jc w:val="both"/>
      </w:pPr>
      <w:proofErr w:type="spellStart"/>
      <w:r w:rsidRPr="004A7DF8">
        <w:t>Calonico</w:t>
      </w:r>
      <w:proofErr w:type="spellEnd"/>
      <w:r w:rsidRPr="004A7DF8">
        <w:t>, S., Cattaneo, M. D., &amp; Farrell, M. H. (2020). Optimal bandwidth choice for robust bias-corrected inference in regression discontinuity designs. </w:t>
      </w:r>
      <w:r w:rsidRPr="004A7DF8">
        <w:rPr>
          <w:i/>
          <w:iCs/>
        </w:rPr>
        <w:t>The Econometrics Journal</w:t>
      </w:r>
      <w:r w:rsidRPr="004A7DF8">
        <w:t>, 23(2), 192-210.</w:t>
      </w:r>
    </w:p>
    <w:p w14:paraId="38E50C5A" w14:textId="77777777" w:rsidR="00CA6DE6" w:rsidRDefault="00CA6DE6" w:rsidP="00CA6DE6">
      <w:pPr>
        <w:jc w:val="both"/>
      </w:pPr>
      <w:r w:rsidRPr="004A7DF8">
        <w:t>Card, D., Lee, D. S., Pei, Z., &amp; Weber, A. (2014). Local polynomial order in regression discontinuity designs. </w:t>
      </w:r>
      <w:r w:rsidRPr="004A7DF8">
        <w:rPr>
          <w:i/>
          <w:iCs/>
        </w:rPr>
        <w:t>Journal of Business &amp; Economic Statistics</w:t>
      </w:r>
      <w:r w:rsidRPr="004A7DF8">
        <w:t xml:space="preserve">, 37(3), 447-456. </w:t>
      </w:r>
    </w:p>
    <w:p w14:paraId="6AC0B74B" w14:textId="77777777" w:rsidR="004B43EE" w:rsidRDefault="004B43EE" w:rsidP="004B43EE">
      <w:pPr>
        <w:jc w:val="both"/>
      </w:pPr>
      <w:r w:rsidRPr="00546E76">
        <w:t xml:space="preserve">Cattaneo, M. D., Keele, L., &amp; </w:t>
      </w:r>
      <w:proofErr w:type="spellStart"/>
      <w:r w:rsidRPr="00546E76">
        <w:t>Titiunik</w:t>
      </w:r>
      <w:proofErr w:type="spellEnd"/>
      <w:r w:rsidRPr="00546E76">
        <w:t xml:space="preserve">, R. (2023). </w:t>
      </w:r>
      <w:r w:rsidRPr="009F7A08">
        <w:t>Covariate adjustment in regression discontinuity designs. </w:t>
      </w:r>
      <w:r w:rsidRPr="009F7A08">
        <w:rPr>
          <w:i/>
          <w:iCs/>
        </w:rPr>
        <w:t>Handbook of Matching and Weighting Adjustments for Causal Inference</w:t>
      </w:r>
      <w:r w:rsidRPr="009F7A08">
        <w:t>, 153-168.</w:t>
      </w:r>
    </w:p>
    <w:p w14:paraId="0EB555F3" w14:textId="77777777" w:rsidR="00CA6DE6" w:rsidRPr="00E16B7E" w:rsidRDefault="00CA6DE6" w:rsidP="00CA6DE6">
      <w:pPr>
        <w:jc w:val="both"/>
      </w:pPr>
      <w:r w:rsidRPr="00E16B7E">
        <w:t xml:space="preserve">Cherif, R., </w:t>
      </w:r>
      <w:proofErr w:type="spellStart"/>
      <w:r w:rsidRPr="00E16B7E">
        <w:t>Grimpe</w:t>
      </w:r>
      <w:proofErr w:type="spellEnd"/>
      <w:r w:rsidRPr="00E16B7E">
        <w:t>, C., Hasanov, F., &amp; Sofka, W. (2023). Promoting Innovation: The Differential Impact of R&amp;D Subsidies. </w:t>
      </w:r>
      <w:r w:rsidRPr="00E16B7E">
        <w:rPr>
          <w:i/>
          <w:iCs/>
        </w:rPr>
        <w:t>Journal of Industry, Competition and Trade</w:t>
      </w:r>
      <w:r w:rsidRPr="00E16B7E">
        <w:t>, 23, 187-241.</w:t>
      </w:r>
    </w:p>
    <w:p w14:paraId="7E44BB98" w14:textId="77777777" w:rsidR="004B43EE" w:rsidRDefault="004B43EE" w:rsidP="004B43EE">
      <w:pPr>
        <w:jc w:val="both"/>
      </w:pPr>
      <w:r w:rsidRPr="00546E76">
        <w:t xml:space="preserve">Choi, S. K., Han, S., &amp; Kwak, K. T. (2021). </w:t>
      </w:r>
      <w:r w:rsidRPr="00937B6D">
        <w:t xml:space="preserve">Innovation capabilities and the </w:t>
      </w:r>
      <w:r>
        <w:t>success</w:t>
      </w:r>
      <w:r w:rsidRPr="00937B6D">
        <w:t xml:space="preserve"> of start-ups in </w:t>
      </w:r>
      <w:r>
        <w:t>Korea</w:t>
      </w:r>
      <w:r w:rsidRPr="00937B6D">
        <w:t>: the role of government support policies</w:t>
      </w:r>
      <w:r>
        <w:t>: Sustainability</w:t>
      </w:r>
      <w:r w:rsidRPr="00937B6D">
        <w:t>, </w:t>
      </w:r>
      <w:r w:rsidRPr="00937B6D">
        <w:rPr>
          <w:i/>
          <w:iCs/>
        </w:rPr>
        <w:t>13</w:t>
      </w:r>
      <w:r w:rsidRPr="00937B6D">
        <w:t>(11), 6009.</w:t>
      </w:r>
    </w:p>
    <w:p w14:paraId="2DDDA005" w14:textId="1ECEB402" w:rsidR="004B43EE" w:rsidRDefault="004B43EE" w:rsidP="004B43EE">
      <w:pPr>
        <w:jc w:val="both"/>
      </w:pPr>
      <w:r w:rsidRPr="00DA1C07">
        <w:t>C</w:t>
      </w:r>
      <w:r w:rsidR="00CA6DE6" w:rsidRPr="00DA1C07">
        <w:t>hosunbiz</w:t>
      </w:r>
      <w:r w:rsidRPr="00DA1C07">
        <w:t xml:space="preserve"> (2025). Korea recruits 50 startups for public-private partnership innovation project. Retrieved from: </w:t>
      </w:r>
      <w:hyperlink r:id="rId14" w:history="1">
        <w:r w:rsidRPr="00DA1C07">
          <w:rPr>
            <w:rStyle w:val="Hyperlink"/>
          </w:rPr>
          <w:t>https://biz.chosun.com/en/en-industry/2025/02/11/6M6ACHSCUJEKBOOTZADTKY6PXI/</w:t>
        </w:r>
      </w:hyperlink>
      <w:r w:rsidRPr="00DA1C07">
        <w:t xml:space="preserve"> (Accessed: 11 February 2025).</w:t>
      </w:r>
    </w:p>
    <w:p w14:paraId="2A50A594" w14:textId="77777777" w:rsidR="004B43EE" w:rsidRDefault="004B43EE" w:rsidP="004B43EE">
      <w:pPr>
        <w:jc w:val="both"/>
      </w:pPr>
      <w:r w:rsidRPr="00E25DED">
        <w:t xml:space="preserve">Gelman, A., &amp; </w:t>
      </w:r>
      <w:proofErr w:type="spellStart"/>
      <w:r w:rsidRPr="00E25DED">
        <w:t>Imbens</w:t>
      </w:r>
      <w:proofErr w:type="spellEnd"/>
      <w:r w:rsidRPr="00E25DED">
        <w:t>, G. (2019). Why high-order polynomials should not be used in regression discontinuity designs. </w:t>
      </w:r>
      <w:r w:rsidRPr="00E25DED">
        <w:rPr>
          <w:i/>
          <w:iCs/>
        </w:rPr>
        <w:t>Journal of Business &amp; Economic Statistics</w:t>
      </w:r>
      <w:r w:rsidRPr="00E25DED">
        <w:t>, </w:t>
      </w:r>
      <w:r w:rsidRPr="00E25DED">
        <w:rPr>
          <w:i/>
          <w:iCs/>
        </w:rPr>
        <w:t>37</w:t>
      </w:r>
      <w:r w:rsidRPr="00E25DED">
        <w:t>(3), 447-456.</w:t>
      </w:r>
    </w:p>
    <w:p w14:paraId="2B9EFFAA" w14:textId="77777777" w:rsidR="00CA6DE6" w:rsidRPr="00E16B7E" w:rsidRDefault="00CA6DE6" w:rsidP="00CA6DE6">
      <w:pPr>
        <w:jc w:val="both"/>
      </w:pPr>
      <w:r w:rsidRPr="001C0810">
        <w:t xml:space="preserve">Guo, D., Guo, Y., &amp; Jiang, K. (2014). </w:t>
      </w:r>
      <w:r w:rsidRPr="00E16B7E">
        <w:t xml:space="preserve">Government Subsidized R&amp;D and Innovation Outputs: An Empirical Analysis on China’s </w:t>
      </w:r>
      <w:proofErr w:type="spellStart"/>
      <w:r w:rsidRPr="00E16B7E">
        <w:t>Innofund</w:t>
      </w:r>
      <w:proofErr w:type="spellEnd"/>
      <w:r w:rsidRPr="00E16B7E">
        <w:t xml:space="preserve"> Program. </w:t>
      </w:r>
      <w:r w:rsidRPr="00E16B7E">
        <w:rPr>
          <w:i/>
          <w:iCs/>
        </w:rPr>
        <w:t>Stanford University Working Paper</w:t>
      </w:r>
      <w:r w:rsidRPr="00E16B7E">
        <w:t>.</w:t>
      </w:r>
    </w:p>
    <w:p w14:paraId="72ECD65C" w14:textId="77777777" w:rsidR="004B43EE" w:rsidRDefault="004B43EE" w:rsidP="004B43EE">
      <w:pPr>
        <w:jc w:val="both"/>
      </w:pPr>
      <w:r w:rsidRPr="00D124ED">
        <w:lastRenderedPageBreak/>
        <w:t>Howell, S. T. (2017). Financing innovation: Evidence from R&amp;D grants. </w:t>
      </w:r>
      <w:r w:rsidRPr="00D124ED">
        <w:rPr>
          <w:i/>
          <w:iCs/>
        </w:rPr>
        <w:t>American economic review</w:t>
      </w:r>
      <w:r w:rsidRPr="00D124ED">
        <w:t>, </w:t>
      </w:r>
      <w:r w:rsidRPr="00D124ED">
        <w:rPr>
          <w:i/>
          <w:iCs/>
        </w:rPr>
        <w:t>107</w:t>
      </w:r>
      <w:r w:rsidRPr="00D124ED">
        <w:t>(4), 1136</w:t>
      </w:r>
      <w:r>
        <w:t>–</w:t>
      </w:r>
      <w:r w:rsidRPr="00D124ED">
        <w:t>1164.</w:t>
      </w:r>
    </w:p>
    <w:p w14:paraId="02E87F16" w14:textId="77777777" w:rsidR="004B43EE" w:rsidRDefault="004B43EE" w:rsidP="004B43EE">
      <w:pPr>
        <w:jc w:val="both"/>
      </w:pPr>
      <w:r w:rsidRPr="00B570F0">
        <w:t>Ishihara, T., &amp; Sawada, M. (2020). Manipulation-robust regression discontinuity designs. </w:t>
      </w:r>
      <w:proofErr w:type="spellStart"/>
      <w:r w:rsidRPr="00B570F0">
        <w:rPr>
          <w:i/>
          <w:iCs/>
        </w:rPr>
        <w:t>arXiv</w:t>
      </w:r>
      <w:proofErr w:type="spellEnd"/>
      <w:r w:rsidRPr="00B570F0">
        <w:rPr>
          <w:i/>
          <w:iCs/>
        </w:rPr>
        <w:t xml:space="preserve"> preprint arXiv:2009.07551</w:t>
      </w:r>
      <w:r w:rsidRPr="00B570F0">
        <w:t>.</w:t>
      </w:r>
    </w:p>
    <w:p w14:paraId="2C60259E" w14:textId="77777777" w:rsidR="004B43EE" w:rsidRPr="007C3455" w:rsidRDefault="004B43EE" w:rsidP="004B43EE">
      <w:pPr>
        <w:jc w:val="both"/>
      </w:pPr>
      <w:r w:rsidRPr="00376A43">
        <w:t>Kim, K. (2021). Output additionality of R&amp;D subsidy on manufacturing venture firms in Korea: The moderating role of subcontracting regime. </w:t>
      </w:r>
      <w:r w:rsidRPr="00376A43">
        <w:rPr>
          <w:i/>
          <w:iCs/>
        </w:rPr>
        <w:t>European Journal of Innovation Management</w:t>
      </w:r>
      <w:r w:rsidRPr="00376A43">
        <w:t>, </w:t>
      </w:r>
      <w:r w:rsidRPr="00376A43">
        <w:rPr>
          <w:i/>
          <w:iCs/>
        </w:rPr>
        <w:t>24</w:t>
      </w:r>
      <w:r w:rsidRPr="00376A43">
        <w:t>(2), 290-314.</w:t>
      </w:r>
    </w:p>
    <w:p w14:paraId="7F8FE1D5" w14:textId="77777777" w:rsidR="004B43EE" w:rsidRPr="007C3455" w:rsidRDefault="004B43EE" w:rsidP="004B43EE">
      <w:pPr>
        <w:jc w:val="both"/>
      </w:pPr>
      <w:r w:rsidRPr="00546E76">
        <w:t xml:space="preserve">Ko, S., Kim, W., &amp; Lee, K. (2021). </w:t>
      </w:r>
      <w:r w:rsidRPr="00D124ED">
        <w:t>Exploring the factors affecting technology transfer in government-funded research institutes: The Korean case. </w:t>
      </w:r>
      <w:r w:rsidRPr="00D124ED">
        <w:rPr>
          <w:i/>
          <w:iCs/>
        </w:rPr>
        <w:t>Journal of Open Innovation: Technology, Market, and Complexity</w:t>
      </w:r>
      <w:r w:rsidRPr="00D124ED">
        <w:t>, </w:t>
      </w:r>
      <w:r w:rsidRPr="00D124ED">
        <w:rPr>
          <w:i/>
          <w:iCs/>
        </w:rPr>
        <w:t>7</w:t>
      </w:r>
      <w:r w:rsidRPr="00D124ED">
        <w:t>(4), 228.</w:t>
      </w:r>
    </w:p>
    <w:p w14:paraId="4DD7AB81" w14:textId="77777777" w:rsidR="004B43EE" w:rsidRDefault="004B43EE" w:rsidP="004B43EE">
      <w:pPr>
        <w:jc w:val="both"/>
      </w:pPr>
      <w:r w:rsidRPr="005B37EF">
        <w:t>Lee, J., Shin, K., Kim, H., &amp; Hwang, J. (2024). Efficiency of Innovation Policy with Different Types of R&amp;D Planning: Evidence from South Korea’s Information and Communication Technology Sector. </w:t>
      </w:r>
      <w:r w:rsidRPr="005B37EF">
        <w:rPr>
          <w:i/>
          <w:iCs/>
        </w:rPr>
        <w:t>Journal of the Knowledge Economy</w:t>
      </w:r>
      <w:r w:rsidRPr="005B37EF">
        <w:t>, 1-33.</w:t>
      </w:r>
    </w:p>
    <w:p w14:paraId="331F77CD" w14:textId="77777777" w:rsidR="00BB3B84" w:rsidRDefault="00BB3B84" w:rsidP="00BB3B84">
      <w:pPr>
        <w:jc w:val="both"/>
      </w:pPr>
      <w:r w:rsidRPr="00195EFE">
        <w:t>Li, Y., Shahid, M. N., Islam, M. U., &amp; Deme, F. (2024). The Role of Green Technological Innovation, Fintech, and Financial Development in Environmental Sustainability: A Study on Selected Asian Countries. </w:t>
      </w:r>
      <w:r w:rsidRPr="00195EFE">
        <w:rPr>
          <w:i/>
          <w:iCs/>
        </w:rPr>
        <w:t>Journal of Economics, Finance and Accounting Studies</w:t>
      </w:r>
      <w:r w:rsidRPr="00195EFE">
        <w:t>, </w:t>
      </w:r>
      <w:r w:rsidRPr="00195EFE">
        <w:rPr>
          <w:i/>
          <w:iCs/>
        </w:rPr>
        <w:t>6</w:t>
      </w:r>
      <w:r w:rsidRPr="00195EFE">
        <w:t>(3), 32-39.</w:t>
      </w:r>
    </w:p>
    <w:p w14:paraId="5943C093" w14:textId="77777777" w:rsidR="00BB3B84" w:rsidRDefault="00BB3B84" w:rsidP="00BB3B84">
      <w:pPr>
        <w:jc w:val="both"/>
      </w:pPr>
      <w:r w:rsidRPr="00801CE3">
        <w:t xml:space="preserve">Li, Y., Shahid, M. N., Islam, M. U., &amp; Deme, F. (2024). Fintech, Financial Development, And Digitalization Derive </w:t>
      </w:r>
      <w:proofErr w:type="gramStart"/>
      <w:r w:rsidRPr="00801CE3">
        <w:t>The</w:t>
      </w:r>
      <w:proofErr w:type="gramEnd"/>
      <w:r w:rsidRPr="00801CE3">
        <w:t xml:space="preserve"> Sustainable Economic Recovery: COVID 19 Pandemic </w:t>
      </w:r>
      <w:proofErr w:type="gramStart"/>
      <w:r w:rsidRPr="00801CE3">
        <w:t>And</w:t>
      </w:r>
      <w:proofErr w:type="gramEnd"/>
      <w:r w:rsidRPr="00801CE3">
        <w:t xml:space="preserve"> Post Pandemic Perspectives. </w:t>
      </w:r>
      <w:r w:rsidRPr="00801CE3">
        <w:rPr>
          <w:i/>
          <w:iCs/>
        </w:rPr>
        <w:t xml:space="preserve">Asian Journal </w:t>
      </w:r>
      <w:proofErr w:type="gramStart"/>
      <w:r w:rsidRPr="00801CE3">
        <w:rPr>
          <w:i/>
          <w:iCs/>
        </w:rPr>
        <w:t>Of</w:t>
      </w:r>
      <w:proofErr w:type="gramEnd"/>
      <w:r w:rsidRPr="00801CE3">
        <w:rPr>
          <w:i/>
          <w:iCs/>
        </w:rPr>
        <w:t xml:space="preserve"> Economics, Business </w:t>
      </w:r>
      <w:proofErr w:type="gramStart"/>
      <w:r w:rsidRPr="00801CE3">
        <w:rPr>
          <w:i/>
          <w:iCs/>
        </w:rPr>
        <w:t>And</w:t>
      </w:r>
      <w:proofErr w:type="gramEnd"/>
      <w:r w:rsidRPr="00801CE3">
        <w:rPr>
          <w:i/>
          <w:iCs/>
        </w:rPr>
        <w:t xml:space="preserve"> Accounting</w:t>
      </w:r>
      <w:r w:rsidRPr="00801CE3">
        <w:t>, </w:t>
      </w:r>
      <w:r w:rsidRPr="00801CE3">
        <w:rPr>
          <w:i/>
          <w:iCs/>
        </w:rPr>
        <w:t>24</w:t>
      </w:r>
      <w:r w:rsidRPr="00801CE3">
        <w:t>(6), 317-327.</w:t>
      </w:r>
    </w:p>
    <w:p w14:paraId="6703230A" w14:textId="77777777" w:rsidR="00CA6DE6" w:rsidRPr="00E16B7E" w:rsidRDefault="00CA6DE6" w:rsidP="00CA6DE6">
      <w:pPr>
        <w:jc w:val="both"/>
      </w:pPr>
      <w:r w:rsidRPr="004A7DF8">
        <w:t>McCrary, J. (2008). Manipulation of the running variable in the regression discontinuity design: A density test. </w:t>
      </w:r>
      <w:r w:rsidRPr="004A7DF8">
        <w:rPr>
          <w:i/>
          <w:iCs/>
        </w:rPr>
        <w:t>Journal of Econometrics</w:t>
      </w:r>
      <w:r w:rsidRPr="004A7DF8">
        <w:t>, 142(2), 698</w:t>
      </w:r>
      <w:r>
        <w:t>–</w:t>
      </w:r>
      <w:r w:rsidRPr="004A7DF8">
        <w:t>714.</w:t>
      </w:r>
    </w:p>
    <w:p w14:paraId="5EBBE621" w14:textId="77777777" w:rsidR="00CA6DE6" w:rsidRPr="00E16B7E" w:rsidRDefault="00CA6DE6" w:rsidP="00CA6DE6">
      <w:pPr>
        <w:jc w:val="both"/>
      </w:pPr>
      <w:r w:rsidRPr="00E16B7E">
        <w:t>National Research Council. (2014). Capturing Change in Science, Technology, and Innovation: Improving Indicators to Inform Policy. </w:t>
      </w:r>
      <w:r w:rsidRPr="00E16B7E">
        <w:rPr>
          <w:i/>
          <w:iCs/>
        </w:rPr>
        <w:t>The National Academies Press</w:t>
      </w:r>
      <w:r w:rsidRPr="00E16B7E">
        <w:t>.</w:t>
      </w:r>
    </w:p>
    <w:p w14:paraId="65DB48E8" w14:textId="77777777" w:rsidR="004B43EE" w:rsidRDefault="004B43EE" w:rsidP="004B43EE">
      <w:pPr>
        <w:jc w:val="both"/>
      </w:pPr>
      <w:r w:rsidRPr="00B570F0">
        <w:t>Niebel, T., O'Mahony, M., &amp; Saam, M. (2017). The contribution of intangible assets to sectoral productivity growth in the EU. </w:t>
      </w:r>
      <w:r w:rsidRPr="00B570F0">
        <w:rPr>
          <w:i/>
          <w:iCs/>
        </w:rPr>
        <w:t>Review of Income and Wealth</w:t>
      </w:r>
      <w:r w:rsidRPr="00B570F0">
        <w:t>, </w:t>
      </w:r>
      <w:r w:rsidRPr="00B570F0">
        <w:rPr>
          <w:i/>
          <w:iCs/>
        </w:rPr>
        <w:t>63</w:t>
      </w:r>
      <w:r w:rsidRPr="00B570F0">
        <w:t>, S49-S67.</w:t>
      </w:r>
    </w:p>
    <w:p w14:paraId="2888CC57" w14:textId="77777777" w:rsidR="004B43EE" w:rsidRPr="007C3455" w:rsidRDefault="004B43EE" w:rsidP="004B43EE">
      <w:pPr>
        <w:jc w:val="both"/>
      </w:pPr>
      <w:r w:rsidRPr="007C3455">
        <w:t>OECD (2023). Main Science and Technology Indicators.</w:t>
      </w:r>
      <w:r>
        <w:t xml:space="preserve"> Retrieved From: </w:t>
      </w:r>
      <w:hyperlink r:id="rId15" w:history="1">
        <w:r w:rsidRPr="00CD740E">
          <w:rPr>
            <w:rStyle w:val="Hyperlink"/>
          </w:rPr>
          <w:t>https://www.oecd.org/en/data/datasets/main-science-and-technology-indicators.html</w:t>
        </w:r>
      </w:hyperlink>
      <w:r>
        <w:t xml:space="preserve"> </w:t>
      </w:r>
      <w:r w:rsidRPr="00B570F0">
        <w:t>(Accessed: 11 February 2025).</w:t>
      </w:r>
    </w:p>
    <w:p w14:paraId="2313FA34" w14:textId="77777777" w:rsidR="004B43EE" w:rsidRPr="00376F83" w:rsidRDefault="004B43EE" w:rsidP="004B43EE">
      <w:pPr>
        <w:jc w:val="both"/>
      </w:pPr>
      <w:r w:rsidRPr="00376F83">
        <w:t>OECD. (2023). </w:t>
      </w:r>
      <w:r w:rsidRPr="00376F83">
        <w:rPr>
          <w:i/>
          <w:iCs/>
        </w:rPr>
        <w:t>OECD Reviews of Innovation Policy: Korea 2023</w:t>
      </w:r>
      <w:r w:rsidRPr="00376F83">
        <w:t xml:space="preserve">. </w:t>
      </w:r>
      <w:r w:rsidRPr="00940F55">
        <w:t>Retrie</w:t>
      </w:r>
      <w:r>
        <w:t>ved from</w:t>
      </w:r>
      <w:r w:rsidRPr="00940F55">
        <w:t xml:space="preserve">: </w:t>
      </w:r>
      <w:hyperlink r:id="rId16" w:history="1">
        <w:r w:rsidRPr="00CD740E">
          <w:rPr>
            <w:rStyle w:val="Hyperlink"/>
          </w:rPr>
          <w:t>https://www.oecd.org/en/publications/oecd-reviews-of-innovation-policy-korea-2023_bdcf9685-en.html</w:t>
        </w:r>
      </w:hyperlink>
      <w:r>
        <w:t xml:space="preserve"> (Accessed: 11 February 2025).</w:t>
      </w:r>
    </w:p>
    <w:p w14:paraId="50725323" w14:textId="77777777" w:rsidR="004B43EE" w:rsidRPr="00376F83" w:rsidRDefault="004B43EE" w:rsidP="004B43EE">
      <w:pPr>
        <w:jc w:val="both"/>
      </w:pPr>
      <w:r w:rsidRPr="00937B6D">
        <w:lastRenderedPageBreak/>
        <w:t>Park, C., &amp; McQuaid, R. (2025). Enterprise policies and R&amp;D support for high-tech SMEs: a multi-perspective approach. </w:t>
      </w:r>
      <w:r w:rsidRPr="00937B6D">
        <w:rPr>
          <w:i/>
          <w:iCs/>
        </w:rPr>
        <w:t>Policy Studies</w:t>
      </w:r>
      <w:r w:rsidRPr="00937B6D">
        <w:t>, </w:t>
      </w:r>
      <w:r w:rsidRPr="00937B6D">
        <w:rPr>
          <w:i/>
          <w:iCs/>
        </w:rPr>
        <w:t>46</w:t>
      </w:r>
      <w:r w:rsidRPr="00937B6D">
        <w:t>(1), 102-123.</w:t>
      </w:r>
    </w:p>
    <w:p w14:paraId="4CEC5309" w14:textId="77777777" w:rsidR="004B43EE" w:rsidRPr="007C3455" w:rsidRDefault="004B43EE" w:rsidP="004B43EE">
      <w:pPr>
        <w:jc w:val="both"/>
      </w:pPr>
      <w:r w:rsidRPr="00546E76">
        <w:t xml:space="preserve">Park, J. K., &amp; Meng, X. (2024). </w:t>
      </w:r>
      <w:r w:rsidRPr="00D124ED">
        <w:t>Crowding out or crowding in? Reevaluating the effect of government spending on private economic activities. </w:t>
      </w:r>
      <w:r w:rsidRPr="00D124ED">
        <w:rPr>
          <w:i/>
          <w:iCs/>
        </w:rPr>
        <w:t>International Review of Economics &amp; Finance</w:t>
      </w:r>
      <w:r w:rsidRPr="00D124ED">
        <w:t>, </w:t>
      </w:r>
      <w:r w:rsidRPr="00D124ED">
        <w:rPr>
          <w:i/>
          <w:iCs/>
        </w:rPr>
        <w:t>89</w:t>
      </w:r>
      <w:r w:rsidRPr="00D124ED">
        <w:t>, 102-117.</w:t>
      </w:r>
    </w:p>
    <w:p w14:paraId="7536AFDD" w14:textId="77777777" w:rsidR="00BB3B84" w:rsidRDefault="00BB3B84" w:rsidP="00BB3B84">
      <w:pPr>
        <w:jc w:val="both"/>
      </w:pPr>
      <w:r w:rsidRPr="00801CE3">
        <w:t>Shahid, M. N., &amp; Sattar, A. (2017). Behavior of Calendar Anomalies, Market Conditions and Adaptive Market Hypothesis: Evidence from Pakistan Stock Exchange. </w:t>
      </w:r>
      <w:r w:rsidRPr="00801CE3">
        <w:rPr>
          <w:i/>
          <w:iCs/>
        </w:rPr>
        <w:t>Pakistan Journal of Commerce &amp; Social Sciences</w:t>
      </w:r>
      <w:r w:rsidRPr="00801CE3">
        <w:t>, </w:t>
      </w:r>
      <w:r w:rsidRPr="00801CE3">
        <w:rPr>
          <w:i/>
          <w:iCs/>
        </w:rPr>
        <w:t>11</w:t>
      </w:r>
      <w:r w:rsidRPr="00801CE3">
        <w:t>(2).</w:t>
      </w:r>
    </w:p>
    <w:p w14:paraId="47242C06" w14:textId="77777777" w:rsidR="00BB3B84" w:rsidRPr="00801CE3" w:rsidRDefault="00BB3B84" w:rsidP="00BB3B84">
      <w:pPr>
        <w:jc w:val="both"/>
      </w:pPr>
      <w:r w:rsidRPr="00801CE3">
        <w:t>Shahid, M. N., Ateeq, A. Y. E. S. H. A., Sattar, A. B. D. U. L., Lodhi, R. N., &amp; Islam, M. U. (2021). Monday anomaly manifests adaptive behavior. A firm level evidence from emerging market. </w:t>
      </w:r>
      <w:r w:rsidRPr="00801CE3">
        <w:rPr>
          <w:i/>
          <w:iCs/>
        </w:rPr>
        <w:t xml:space="preserve">J </w:t>
      </w:r>
      <w:proofErr w:type="spellStart"/>
      <w:r w:rsidRPr="00801CE3">
        <w:rPr>
          <w:i/>
          <w:iCs/>
        </w:rPr>
        <w:t>Contemp</w:t>
      </w:r>
      <w:proofErr w:type="spellEnd"/>
      <w:r w:rsidRPr="00801CE3">
        <w:rPr>
          <w:i/>
          <w:iCs/>
        </w:rPr>
        <w:t xml:space="preserve"> Issues Business Govern</w:t>
      </w:r>
      <w:r w:rsidRPr="00801CE3">
        <w:t>, </w:t>
      </w:r>
      <w:r w:rsidRPr="00801CE3">
        <w:rPr>
          <w:i/>
          <w:iCs/>
        </w:rPr>
        <w:t>27</w:t>
      </w:r>
      <w:r w:rsidRPr="00801CE3">
        <w:t>, 2422.</w:t>
      </w:r>
    </w:p>
    <w:p w14:paraId="213A5AA3" w14:textId="77777777" w:rsidR="004B43EE" w:rsidRDefault="004B43EE" w:rsidP="004B43EE">
      <w:pPr>
        <w:jc w:val="both"/>
      </w:pPr>
      <w:r w:rsidRPr="00937B6D">
        <w:t>Son, S. C. (2025). A Study of Innovation Strategies for SMEs in the Government R&amp;D Subsidy System: The Case of IT Firms in Korea’s Innovation Cluster. </w:t>
      </w:r>
      <w:r w:rsidRPr="00937B6D">
        <w:rPr>
          <w:i/>
          <w:iCs/>
        </w:rPr>
        <w:t>East Asian Science, Technology and Society: An International Journal</w:t>
      </w:r>
      <w:r w:rsidRPr="00937B6D">
        <w:t>, 1-31.</w:t>
      </w:r>
    </w:p>
    <w:p w14:paraId="51D9D60F" w14:textId="77777777" w:rsidR="004B43EE" w:rsidRPr="00E16B7E" w:rsidRDefault="004B43EE" w:rsidP="004B43EE">
      <w:pPr>
        <w:jc w:val="both"/>
      </w:pPr>
      <w:r w:rsidRPr="001C0810">
        <w:t xml:space="preserve">Testa, G., </w:t>
      </w:r>
      <w:proofErr w:type="spellStart"/>
      <w:r w:rsidRPr="001C0810">
        <w:t>Szkuta</w:t>
      </w:r>
      <w:proofErr w:type="spellEnd"/>
      <w:r w:rsidRPr="001C0810">
        <w:t xml:space="preserve">, K., &amp; Cunningham, P. N. (2019). </w:t>
      </w:r>
      <w:r w:rsidRPr="00E16B7E">
        <w:t>Improving access to finance for young innovative enterprises with growth potential: Evidence of impact of R&amp;D grant schemes on firms' outputs. </w:t>
      </w:r>
      <w:r w:rsidRPr="00E16B7E">
        <w:rPr>
          <w:i/>
          <w:iCs/>
        </w:rPr>
        <w:t>Research Evaluation</w:t>
      </w:r>
      <w:r w:rsidRPr="00E16B7E">
        <w:t>, 28(4), 355-369.</w:t>
      </w:r>
    </w:p>
    <w:p w14:paraId="2CF5F02A" w14:textId="77777777" w:rsidR="004B43EE" w:rsidRDefault="004B43EE" w:rsidP="004B43EE">
      <w:pPr>
        <w:jc w:val="both"/>
      </w:pPr>
      <w:r w:rsidRPr="00E16B7E">
        <w:t>Wang, F., Li, Y., &amp; Sun, J. (2020). The transformation effect of R&amp;D subsidies on firm performance: An empirical study based on signal financing and innovation incentives. </w:t>
      </w:r>
      <w:r w:rsidRPr="00E16B7E">
        <w:rPr>
          <w:i/>
          <w:iCs/>
        </w:rPr>
        <w:t>Chinese Management Studies</w:t>
      </w:r>
      <w:r w:rsidRPr="00E16B7E">
        <w:t>, 14(2), 373-390.</w:t>
      </w:r>
    </w:p>
    <w:p w14:paraId="72C914BE" w14:textId="77777777" w:rsidR="00F004E5" w:rsidRDefault="00F004E5" w:rsidP="00F004E5">
      <w:pPr>
        <w:jc w:val="both"/>
      </w:pPr>
      <w:r w:rsidRPr="00520B84">
        <w:t>World Bank (2024). The Effects of Matching Grants on Technology Startups: Evidence from South Korea</w:t>
      </w:r>
      <w:r>
        <w:t xml:space="preserve">. Available at: </w:t>
      </w:r>
      <w:hyperlink r:id="rId17" w:history="1">
        <w:r w:rsidRPr="00CD740E">
          <w:rPr>
            <w:rStyle w:val="Hyperlink"/>
          </w:rPr>
          <w:t>https://documents1.worldbank.org/curated/en/099032124063521915/pdf/P1770151d592f40c619767192a5a35ba5a6.pdf</w:t>
        </w:r>
      </w:hyperlink>
      <w:r>
        <w:t xml:space="preserve"> </w:t>
      </w:r>
      <w:r w:rsidRPr="00B570F0">
        <w:t>(Accessed: 11 February 2025).</w:t>
      </w:r>
    </w:p>
    <w:p w14:paraId="281BB01D" w14:textId="77777777" w:rsidR="00F004E5" w:rsidRDefault="00F004E5" w:rsidP="00F004E5">
      <w:pPr>
        <w:jc w:val="both"/>
      </w:pPr>
      <w:r w:rsidRPr="009E1500">
        <w:t xml:space="preserve">Zhao, B., &amp; </w:t>
      </w:r>
      <w:proofErr w:type="spellStart"/>
      <w:r w:rsidRPr="009E1500">
        <w:t>Ziedonis</w:t>
      </w:r>
      <w:proofErr w:type="spellEnd"/>
      <w:r w:rsidRPr="009E1500">
        <w:t>, R. (2020). State governments as financiers of technology startups: Evidence from Michigan's R&amp;D loan program. </w:t>
      </w:r>
      <w:r w:rsidRPr="009E1500">
        <w:rPr>
          <w:i/>
          <w:iCs/>
        </w:rPr>
        <w:t>Research Policy</w:t>
      </w:r>
      <w:r w:rsidRPr="009E1500">
        <w:t>, </w:t>
      </w:r>
      <w:r w:rsidRPr="009E1500">
        <w:rPr>
          <w:i/>
          <w:iCs/>
        </w:rPr>
        <w:t>49</w:t>
      </w:r>
      <w:r w:rsidRPr="009E1500">
        <w:t>(4), 103926.</w:t>
      </w:r>
    </w:p>
    <w:p w14:paraId="232BBD20" w14:textId="77777777" w:rsidR="00B2281C" w:rsidRDefault="00B2281C" w:rsidP="00F004E5">
      <w:pPr>
        <w:jc w:val="both"/>
      </w:pPr>
    </w:p>
    <w:p w14:paraId="44338015" w14:textId="06049C19" w:rsidR="00B2281C" w:rsidRDefault="00B2281C" w:rsidP="00F004E5">
      <w:pPr>
        <w:jc w:val="both"/>
      </w:pPr>
      <w:proofErr w:type="spellStart"/>
      <w:r w:rsidRPr="000B01F5">
        <w:rPr>
          <w:highlight w:val="yellow"/>
        </w:rPr>
        <w:t>Benlaria</w:t>
      </w:r>
      <w:proofErr w:type="spellEnd"/>
      <w:r w:rsidRPr="000B01F5">
        <w:rPr>
          <w:highlight w:val="yellow"/>
        </w:rPr>
        <w:t xml:space="preserve">, H., </w:t>
      </w:r>
      <w:proofErr w:type="spellStart"/>
      <w:r w:rsidRPr="000B01F5">
        <w:rPr>
          <w:highlight w:val="yellow"/>
        </w:rPr>
        <w:t>Almawishir</w:t>
      </w:r>
      <w:proofErr w:type="spellEnd"/>
      <w:r w:rsidRPr="000B01F5">
        <w:rPr>
          <w:highlight w:val="yellow"/>
        </w:rPr>
        <w:t xml:space="preserve">, N. F. S., Saadaoui, S., Mohammed, S. M. M., Mohamed Ahmed Abdulrahman, B., &amp; Ahmed </w:t>
      </w:r>
      <w:proofErr w:type="spellStart"/>
      <w:r w:rsidRPr="000B01F5">
        <w:rPr>
          <w:highlight w:val="yellow"/>
        </w:rPr>
        <w:t>ELamin</w:t>
      </w:r>
      <w:proofErr w:type="spellEnd"/>
      <w:r w:rsidRPr="000B01F5">
        <w:rPr>
          <w:highlight w:val="yellow"/>
        </w:rPr>
        <w:t xml:space="preserve"> Eltahir, I. (2023). The moderating role of research and development (R&amp;D) support in the relationship between entrepreneurship and per capita output—A study on the GCC countries. Economies, 11(6), 162.</w:t>
      </w:r>
      <w:r>
        <w:t xml:space="preserve">  </w:t>
      </w:r>
    </w:p>
    <w:p w14:paraId="3656221D" w14:textId="02749172" w:rsidR="00B2281C" w:rsidRDefault="00B2281C" w:rsidP="00F004E5">
      <w:pPr>
        <w:jc w:val="both"/>
      </w:pPr>
      <w:r w:rsidRPr="000B01F5">
        <w:rPr>
          <w:highlight w:val="yellow"/>
        </w:rPr>
        <w:lastRenderedPageBreak/>
        <w:t>Boeing, P., Eberle, J., &amp; Howell, A. (2022). The impact of China's R&amp;D subsidies on R&amp;D investment, technological upgrading and economic growth. Technological Forecasting and Social Change, 174, 121212</w:t>
      </w:r>
      <w:r w:rsidRPr="00B2281C">
        <w:t>.</w:t>
      </w:r>
      <w:r>
        <w:t xml:space="preserve">   </w:t>
      </w:r>
    </w:p>
    <w:p w14:paraId="17B9E61F" w14:textId="77777777" w:rsidR="00FD59AF" w:rsidRDefault="00FD59AF" w:rsidP="00F004E5">
      <w:pPr>
        <w:jc w:val="both"/>
      </w:pPr>
    </w:p>
    <w:p w14:paraId="041C5F0F" w14:textId="602CC13B" w:rsidR="00FD59AF" w:rsidRDefault="00FD59AF" w:rsidP="00F004E5">
      <w:pPr>
        <w:jc w:val="both"/>
      </w:pPr>
      <w:r w:rsidRPr="000B01F5">
        <w:rPr>
          <w:highlight w:val="yellow"/>
        </w:rPr>
        <w:t xml:space="preserve">Khuan, H., Andriani, E., &amp; </w:t>
      </w:r>
      <w:proofErr w:type="spellStart"/>
      <w:r w:rsidRPr="000B01F5">
        <w:rPr>
          <w:highlight w:val="yellow"/>
        </w:rPr>
        <w:t>Rukmana</w:t>
      </w:r>
      <w:proofErr w:type="spellEnd"/>
      <w:r w:rsidRPr="000B01F5">
        <w:rPr>
          <w:highlight w:val="yellow"/>
        </w:rPr>
        <w:t>, A. Y. (2023). The role of technology in fostering innovation and growth in start-up businesses. West Science Journal Economic and Entrepreneurship, 1(08), 348-357.</w:t>
      </w:r>
      <w:r>
        <w:t xml:space="preserve">  </w:t>
      </w:r>
    </w:p>
    <w:p w14:paraId="2DD610F7" w14:textId="77777777" w:rsidR="00801CE3" w:rsidRDefault="00801CE3" w:rsidP="00F004E5">
      <w:pPr>
        <w:jc w:val="both"/>
      </w:pPr>
    </w:p>
    <w:p w14:paraId="4268B1F4" w14:textId="77777777" w:rsidR="004B43EE" w:rsidRPr="00520B84" w:rsidRDefault="004B43EE" w:rsidP="004B43EE">
      <w:pPr>
        <w:jc w:val="both"/>
      </w:pPr>
    </w:p>
    <w:p w14:paraId="457FC677" w14:textId="77777777" w:rsidR="004B43EE" w:rsidRPr="00376F83" w:rsidRDefault="004B43EE" w:rsidP="004B43EE">
      <w:pPr>
        <w:jc w:val="both"/>
        <w:rPr>
          <w:b/>
          <w:bCs/>
        </w:rPr>
      </w:pPr>
    </w:p>
    <w:p w14:paraId="4538BD25" w14:textId="77777777" w:rsidR="0098696E" w:rsidRDefault="0098696E"/>
    <w:sectPr w:rsidR="0098696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5E1394" w14:textId="77777777" w:rsidR="00C7477B" w:rsidRDefault="00C7477B" w:rsidP="00E94B58">
      <w:pPr>
        <w:spacing w:after="0" w:line="240" w:lineRule="auto"/>
      </w:pPr>
      <w:r>
        <w:separator/>
      </w:r>
    </w:p>
  </w:endnote>
  <w:endnote w:type="continuationSeparator" w:id="0">
    <w:p w14:paraId="68F0E04C" w14:textId="77777777" w:rsidR="00C7477B" w:rsidRDefault="00C7477B" w:rsidP="00E94B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95BAD" w14:textId="77777777" w:rsidR="00E94B58" w:rsidRDefault="00E94B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A49F5" w14:textId="77777777" w:rsidR="00E94B58" w:rsidRDefault="00E94B5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3A256" w14:textId="77777777" w:rsidR="00E94B58" w:rsidRDefault="00E94B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430795" w14:textId="77777777" w:rsidR="00C7477B" w:rsidRDefault="00C7477B" w:rsidP="00E94B58">
      <w:pPr>
        <w:spacing w:after="0" w:line="240" w:lineRule="auto"/>
      </w:pPr>
      <w:r>
        <w:separator/>
      </w:r>
    </w:p>
  </w:footnote>
  <w:footnote w:type="continuationSeparator" w:id="0">
    <w:p w14:paraId="6FA17FBC" w14:textId="77777777" w:rsidR="00C7477B" w:rsidRDefault="00C7477B" w:rsidP="00E94B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8BF64" w14:textId="7F97F925" w:rsidR="00E94B58" w:rsidRDefault="00000000">
    <w:pPr>
      <w:pStyle w:val="Header"/>
    </w:pPr>
    <w:r>
      <w:rPr>
        <w:noProof/>
      </w:rPr>
      <w:pict w14:anchorId="25C7DD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863219"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B7079" w14:textId="00A3D954" w:rsidR="00E94B58" w:rsidRDefault="00000000">
    <w:pPr>
      <w:pStyle w:val="Header"/>
    </w:pPr>
    <w:r>
      <w:rPr>
        <w:noProof/>
      </w:rPr>
      <w:pict w14:anchorId="5DA0E5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863220"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2D154" w14:textId="3FEF5E87" w:rsidR="00E94B58" w:rsidRDefault="00000000">
    <w:pPr>
      <w:pStyle w:val="Header"/>
    </w:pPr>
    <w:r>
      <w:rPr>
        <w:noProof/>
      </w:rPr>
      <w:pict w14:anchorId="525272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863218"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K2sLQwNTQyNrIwMLBQ0lEKTi0uzszPAykwrAUAiNK/PywAAAA="/>
  </w:docVars>
  <w:rsids>
    <w:rsidRoot w:val="00BC6A49"/>
    <w:rsid w:val="000B01F5"/>
    <w:rsid w:val="00195EFE"/>
    <w:rsid w:val="00244FA7"/>
    <w:rsid w:val="002C6B8B"/>
    <w:rsid w:val="00394CE4"/>
    <w:rsid w:val="004378BC"/>
    <w:rsid w:val="004B43EE"/>
    <w:rsid w:val="004B64B4"/>
    <w:rsid w:val="004E04C8"/>
    <w:rsid w:val="004F41E4"/>
    <w:rsid w:val="005C5793"/>
    <w:rsid w:val="00675D0C"/>
    <w:rsid w:val="006B1C26"/>
    <w:rsid w:val="006B3BD6"/>
    <w:rsid w:val="007835BB"/>
    <w:rsid w:val="00801CE3"/>
    <w:rsid w:val="0082793D"/>
    <w:rsid w:val="00837CC1"/>
    <w:rsid w:val="009637DD"/>
    <w:rsid w:val="0098696E"/>
    <w:rsid w:val="009D26D4"/>
    <w:rsid w:val="00B2281C"/>
    <w:rsid w:val="00BB3B84"/>
    <w:rsid w:val="00BC6A49"/>
    <w:rsid w:val="00C17EF3"/>
    <w:rsid w:val="00C3246F"/>
    <w:rsid w:val="00C4234F"/>
    <w:rsid w:val="00C47939"/>
    <w:rsid w:val="00C7477B"/>
    <w:rsid w:val="00CA6DE6"/>
    <w:rsid w:val="00D42535"/>
    <w:rsid w:val="00DB4F9F"/>
    <w:rsid w:val="00E94B58"/>
    <w:rsid w:val="00EA7BD4"/>
    <w:rsid w:val="00F004E5"/>
    <w:rsid w:val="00F95921"/>
    <w:rsid w:val="00FD59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FA713F"/>
  <w15:chartTrackingRefBased/>
  <w15:docId w15:val="{7141804A-8D13-4D09-823D-2E8423B80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43EE"/>
    <w:pPr>
      <w:spacing w:line="278" w:lineRule="auto"/>
    </w:pPr>
    <w:rPr>
      <w:sz w:val="24"/>
      <w:szCs w:val="24"/>
    </w:rPr>
  </w:style>
  <w:style w:type="paragraph" w:styleId="Heading1">
    <w:name w:val="heading 1"/>
    <w:basedOn w:val="Normal"/>
    <w:next w:val="Normal"/>
    <w:link w:val="Heading1Char"/>
    <w:uiPriority w:val="9"/>
    <w:qFormat/>
    <w:rsid w:val="00BC6A49"/>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C6A49"/>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C6A49"/>
    <w:pPr>
      <w:keepNext/>
      <w:keepLines/>
      <w:spacing w:before="160" w:after="80" w:line="259" w:lineRule="auto"/>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C6A49"/>
    <w:pPr>
      <w:keepNext/>
      <w:keepLines/>
      <w:spacing w:before="80" w:after="40" w:line="259" w:lineRule="auto"/>
      <w:outlineLvl w:val="3"/>
    </w:pPr>
    <w:rPr>
      <w:rFonts w:eastAsiaTheme="majorEastAsia" w:cstheme="majorBidi"/>
      <w:i/>
      <w:iCs/>
      <w:color w:val="2F5496" w:themeColor="accent1" w:themeShade="BF"/>
      <w:sz w:val="22"/>
      <w:szCs w:val="22"/>
    </w:rPr>
  </w:style>
  <w:style w:type="paragraph" w:styleId="Heading5">
    <w:name w:val="heading 5"/>
    <w:basedOn w:val="Normal"/>
    <w:next w:val="Normal"/>
    <w:link w:val="Heading5Char"/>
    <w:uiPriority w:val="9"/>
    <w:semiHidden/>
    <w:unhideWhenUsed/>
    <w:qFormat/>
    <w:rsid w:val="00BC6A49"/>
    <w:pPr>
      <w:keepNext/>
      <w:keepLines/>
      <w:spacing w:before="80" w:after="40" w:line="259" w:lineRule="auto"/>
      <w:outlineLvl w:val="4"/>
    </w:pPr>
    <w:rPr>
      <w:rFonts w:eastAsiaTheme="majorEastAsia" w:cstheme="majorBidi"/>
      <w:color w:val="2F5496" w:themeColor="accent1" w:themeShade="BF"/>
      <w:sz w:val="22"/>
      <w:szCs w:val="22"/>
    </w:rPr>
  </w:style>
  <w:style w:type="paragraph" w:styleId="Heading6">
    <w:name w:val="heading 6"/>
    <w:basedOn w:val="Normal"/>
    <w:next w:val="Normal"/>
    <w:link w:val="Heading6Char"/>
    <w:uiPriority w:val="9"/>
    <w:semiHidden/>
    <w:unhideWhenUsed/>
    <w:qFormat/>
    <w:rsid w:val="00BC6A49"/>
    <w:pPr>
      <w:keepNext/>
      <w:keepLines/>
      <w:spacing w:before="40" w:after="0" w:line="259" w:lineRule="auto"/>
      <w:outlineLvl w:val="5"/>
    </w:pPr>
    <w:rPr>
      <w:rFonts w:eastAsiaTheme="majorEastAsia" w:cstheme="majorBidi"/>
      <w:i/>
      <w:iCs/>
      <w:color w:val="595959" w:themeColor="text1" w:themeTint="A6"/>
      <w:sz w:val="22"/>
      <w:szCs w:val="22"/>
    </w:rPr>
  </w:style>
  <w:style w:type="paragraph" w:styleId="Heading7">
    <w:name w:val="heading 7"/>
    <w:basedOn w:val="Normal"/>
    <w:next w:val="Normal"/>
    <w:link w:val="Heading7Char"/>
    <w:uiPriority w:val="9"/>
    <w:semiHidden/>
    <w:unhideWhenUsed/>
    <w:qFormat/>
    <w:rsid w:val="00BC6A49"/>
    <w:pPr>
      <w:keepNext/>
      <w:keepLines/>
      <w:spacing w:before="40" w:after="0" w:line="259" w:lineRule="auto"/>
      <w:outlineLvl w:val="6"/>
    </w:pPr>
    <w:rPr>
      <w:rFonts w:eastAsiaTheme="majorEastAsia" w:cstheme="majorBidi"/>
      <w:color w:val="595959" w:themeColor="text1" w:themeTint="A6"/>
      <w:sz w:val="22"/>
      <w:szCs w:val="22"/>
    </w:rPr>
  </w:style>
  <w:style w:type="paragraph" w:styleId="Heading8">
    <w:name w:val="heading 8"/>
    <w:basedOn w:val="Normal"/>
    <w:next w:val="Normal"/>
    <w:link w:val="Heading8Char"/>
    <w:uiPriority w:val="9"/>
    <w:semiHidden/>
    <w:unhideWhenUsed/>
    <w:qFormat/>
    <w:rsid w:val="00BC6A49"/>
    <w:pPr>
      <w:keepNext/>
      <w:keepLines/>
      <w:spacing w:after="0" w:line="259" w:lineRule="auto"/>
      <w:outlineLvl w:val="7"/>
    </w:pPr>
    <w:rPr>
      <w:rFonts w:eastAsiaTheme="majorEastAsia" w:cstheme="majorBidi"/>
      <w:i/>
      <w:iCs/>
      <w:color w:val="272727" w:themeColor="text1" w:themeTint="D8"/>
      <w:sz w:val="22"/>
      <w:szCs w:val="22"/>
    </w:rPr>
  </w:style>
  <w:style w:type="paragraph" w:styleId="Heading9">
    <w:name w:val="heading 9"/>
    <w:basedOn w:val="Normal"/>
    <w:next w:val="Normal"/>
    <w:link w:val="Heading9Char"/>
    <w:uiPriority w:val="9"/>
    <w:semiHidden/>
    <w:unhideWhenUsed/>
    <w:qFormat/>
    <w:rsid w:val="00BC6A49"/>
    <w:pPr>
      <w:keepNext/>
      <w:keepLines/>
      <w:spacing w:after="0" w:line="259" w:lineRule="auto"/>
      <w:outlineLvl w:val="8"/>
    </w:pPr>
    <w:rPr>
      <w:rFonts w:eastAsiaTheme="majorEastAsia" w:cstheme="majorBidi"/>
      <w:color w:val="272727" w:themeColor="text1" w:themeTint="D8"/>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6A4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C6A4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C6A4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C6A4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C6A4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C6A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6A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6A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6A49"/>
    <w:rPr>
      <w:rFonts w:eastAsiaTheme="majorEastAsia" w:cstheme="majorBidi"/>
      <w:color w:val="272727" w:themeColor="text1" w:themeTint="D8"/>
    </w:rPr>
  </w:style>
  <w:style w:type="paragraph" w:styleId="Title">
    <w:name w:val="Title"/>
    <w:basedOn w:val="Normal"/>
    <w:next w:val="Normal"/>
    <w:link w:val="TitleChar"/>
    <w:uiPriority w:val="10"/>
    <w:qFormat/>
    <w:rsid w:val="00BC6A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6A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6A49"/>
    <w:pPr>
      <w:numPr>
        <w:ilvl w:val="1"/>
      </w:numPr>
      <w:spacing w:line="259"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6A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6A49"/>
    <w:pPr>
      <w:spacing w:before="160" w:line="259" w:lineRule="auto"/>
      <w:jc w:val="center"/>
    </w:pPr>
    <w:rPr>
      <w:i/>
      <w:iCs/>
      <w:color w:val="404040" w:themeColor="text1" w:themeTint="BF"/>
      <w:sz w:val="22"/>
      <w:szCs w:val="22"/>
    </w:rPr>
  </w:style>
  <w:style w:type="character" w:customStyle="1" w:styleId="QuoteChar">
    <w:name w:val="Quote Char"/>
    <w:basedOn w:val="DefaultParagraphFont"/>
    <w:link w:val="Quote"/>
    <w:uiPriority w:val="29"/>
    <w:rsid w:val="00BC6A49"/>
    <w:rPr>
      <w:i/>
      <w:iCs/>
      <w:color w:val="404040" w:themeColor="text1" w:themeTint="BF"/>
    </w:rPr>
  </w:style>
  <w:style w:type="paragraph" w:styleId="ListParagraph">
    <w:name w:val="List Paragraph"/>
    <w:basedOn w:val="Normal"/>
    <w:uiPriority w:val="34"/>
    <w:qFormat/>
    <w:rsid w:val="00BC6A49"/>
    <w:pPr>
      <w:spacing w:line="259" w:lineRule="auto"/>
      <w:ind w:left="720"/>
      <w:contextualSpacing/>
    </w:pPr>
    <w:rPr>
      <w:sz w:val="22"/>
      <w:szCs w:val="22"/>
    </w:rPr>
  </w:style>
  <w:style w:type="character" w:styleId="IntenseEmphasis">
    <w:name w:val="Intense Emphasis"/>
    <w:basedOn w:val="DefaultParagraphFont"/>
    <w:uiPriority w:val="21"/>
    <w:qFormat/>
    <w:rsid w:val="00BC6A49"/>
    <w:rPr>
      <w:i/>
      <w:iCs/>
      <w:color w:val="2F5496" w:themeColor="accent1" w:themeShade="BF"/>
    </w:rPr>
  </w:style>
  <w:style w:type="paragraph" w:styleId="IntenseQuote">
    <w:name w:val="Intense Quote"/>
    <w:basedOn w:val="Normal"/>
    <w:next w:val="Normal"/>
    <w:link w:val="IntenseQuoteChar"/>
    <w:uiPriority w:val="30"/>
    <w:qFormat/>
    <w:rsid w:val="00BC6A49"/>
    <w:pPr>
      <w:pBdr>
        <w:top w:val="single" w:sz="4" w:space="10" w:color="2F5496" w:themeColor="accent1" w:themeShade="BF"/>
        <w:bottom w:val="single" w:sz="4" w:space="10" w:color="2F5496" w:themeColor="accent1" w:themeShade="BF"/>
      </w:pBdr>
      <w:spacing w:before="360" w:after="360" w:line="259" w:lineRule="auto"/>
      <w:ind w:left="864" w:right="864"/>
      <w:jc w:val="center"/>
    </w:pPr>
    <w:rPr>
      <w:i/>
      <w:iCs/>
      <w:color w:val="2F5496" w:themeColor="accent1" w:themeShade="BF"/>
      <w:sz w:val="22"/>
      <w:szCs w:val="22"/>
    </w:rPr>
  </w:style>
  <w:style w:type="character" w:customStyle="1" w:styleId="IntenseQuoteChar">
    <w:name w:val="Intense Quote Char"/>
    <w:basedOn w:val="DefaultParagraphFont"/>
    <w:link w:val="IntenseQuote"/>
    <w:uiPriority w:val="30"/>
    <w:rsid w:val="00BC6A49"/>
    <w:rPr>
      <w:i/>
      <w:iCs/>
      <w:color w:val="2F5496" w:themeColor="accent1" w:themeShade="BF"/>
    </w:rPr>
  </w:style>
  <w:style w:type="character" w:styleId="IntenseReference">
    <w:name w:val="Intense Reference"/>
    <w:basedOn w:val="DefaultParagraphFont"/>
    <w:uiPriority w:val="32"/>
    <w:qFormat/>
    <w:rsid w:val="00BC6A49"/>
    <w:rPr>
      <w:b/>
      <w:bCs/>
      <w:smallCaps/>
      <w:color w:val="2F5496" w:themeColor="accent1" w:themeShade="BF"/>
      <w:spacing w:val="5"/>
    </w:rPr>
  </w:style>
  <w:style w:type="character" w:styleId="Hyperlink">
    <w:name w:val="Hyperlink"/>
    <w:basedOn w:val="DefaultParagraphFont"/>
    <w:uiPriority w:val="99"/>
    <w:unhideWhenUsed/>
    <w:rsid w:val="004B43EE"/>
    <w:rPr>
      <w:color w:val="0563C1" w:themeColor="hyperlink"/>
      <w:u w:val="single"/>
    </w:rPr>
  </w:style>
  <w:style w:type="character" w:styleId="UnresolvedMention">
    <w:name w:val="Unresolved Mention"/>
    <w:basedOn w:val="DefaultParagraphFont"/>
    <w:uiPriority w:val="99"/>
    <w:semiHidden/>
    <w:unhideWhenUsed/>
    <w:rsid w:val="0082793D"/>
    <w:rPr>
      <w:color w:val="605E5C"/>
      <w:shd w:val="clear" w:color="auto" w:fill="E1DFDD"/>
    </w:rPr>
  </w:style>
  <w:style w:type="paragraph" w:styleId="Header">
    <w:name w:val="header"/>
    <w:basedOn w:val="Normal"/>
    <w:link w:val="HeaderChar"/>
    <w:uiPriority w:val="99"/>
    <w:unhideWhenUsed/>
    <w:rsid w:val="00E94B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4B58"/>
    <w:rPr>
      <w:sz w:val="24"/>
      <w:szCs w:val="24"/>
    </w:rPr>
  </w:style>
  <w:style w:type="paragraph" w:styleId="Footer">
    <w:name w:val="footer"/>
    <w:basedOn w:val="Normal"/>
    <w:link w:val="FooterChar"/>
    <w:uiPriority w:val="99"/>
    <w:unhideWhenUsed/>
    <w:rsid w:val="00E94B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4B58"/>
    <w:rPr>
      <w:sz w:val="24"/>
      <w:szCs w:val="24"/>
    </w:rPr>
  </w:style>
  <w:style w:type="paragraph" w:styleId="Revision">
    <w:name w:val="Revision"/>
    <w:hidden/>
    <w:uiPriority w:val="99"/>
    <w:semiHidden/>
    <w:rsid w:val="00C17EF3"/>
    <w:pPr>
      <w:spacing w:after="0" w:line="24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dateno.io/registry/catalog/cdi00004413/"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s://documents1.worldbank.org/curated/en/099032124063521915/pdf/P1770151d592f40c619767192a5a35ba5a6.pdf" TargetMode="External"/><Relationship Id="rId2" Type="http://schemas.openxmlformats.org/officeDocument/2006/relationships/settings" Target="settings.xml"/><Relationship Id="rId16" Type="http://schemas.openxmlformats.org/officeDocument/2006/relationships/hyperlink" Target="https://www.oecd.org/en/publications/oecd-reviews-of-innovation-policy-korea-2023_bdcf9685-en.html" TargetMode="Externa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hyperlink" Target="https://www.oecd.org/en/data/datasets/main-science-and-technology-indicators.html" TargetMode="Externa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hyperlink" Target="https://biz.chosun.com/en/en-industry/2025/02/11/6M6ACHSCUJEKBOOTZADTKY6PX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14</Pages>
  <Words>4483</Words>
  <Characters>26857</Characters>
  <Application>Microsoft Office Word</Application>
  <DocSecurity>0</DocSecurity>
  <Lines>537</Lines>
  <Paragraphs>270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Editor Acc 101</cp:lastModifiedBy>
  <cp:revision>25</cp:revision>
  <dcterms:created xsi:type="dcterms:W3CDTF">2025-03-02T06:18:00Z</dcterms:created>
  <dcterms:modified xsi:type="dcterms:W3CDTF">2025-09-15T06:49:00Z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745ac9ba2816ba7e82b1a6e02bec16d965c1720231906aa00ac90112fdb40365</vt:lpwstr>
  </property>
</Properties>
</file>