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8F0" w:rsidRDefault="00FE5F90">
      <w:pPr>
        <w:pBdr>
          <w:bottom w:val="double" w:sz="6" w:space="1" w:color="auto"/>
        </w:pBdr>
        <w:jc w:val="center"/>
        <w:rPr>
          <w:b/>
          <w:bCs/>
          <w:sz w:val="32"/>
          <w:szCs w:val="32"/>
        </w:rPr>
      </w:pPr>
      <w:r>
        <w:rPr>
          <w:b/>
          <w:bCs/>
          <w:sz w:val="32"/>
          <w:szCs w:val="32"/>
        </w:rPr>
        <w:t>Wage Disparities and the Influence of Vocational Training in India: An Analytical Study</w:t>
      </w:r>
    </w:p>
    <w:p w:rsidR="00973D22" w:rsidRDefault="00973D22">
      <w:pPr>
        <w:pBdr>
          <w:bottom w:val="double" w:sz="6" w:space="1" w:color="auto"/>
        </w:pBdr>
        <w:jc w:val="center"/>
        <w:rPr>
          <w:b/>
          <w:bCs/>
          <w:sz w:val="32"/>
          <w:szCs w:val="32"/>
        </w:rPr>
      </w:pPr>
    </w:p>
    <w:p w:rsidR="002858F0" w:rsidRDefault="00FE5F90">
      <w:pPr>
        <w:rPr>
          <w:b/>
          <w:bCs/>
        </w:rPr>
      </w:pPr>
      <w:r>
        <w:rPr>
          <w:b/>
          <w:bCs/>
        </w:rPr>
        <w:t>Abstract</w:t>
      </w:r>
    </w:p>
    <w:p w:rsidR="002858F0" w:rsidRDefault="00FE5F90">
      <w:r>
        <w:t>Wage disparities in India remain pronounced across gender, regi</w:t>
      </w:r>
      <w:r>
        <w:t>on and type of employment. Women earn substantially less than men in both salaried and casual wo</w:t>
      </w:r>
      <w:bookmarkStart w:id="0" w:name="_GoBack"/>
      <w:bookmarkEnd w:id="0"/>
      <w:r>
        <w:t>rk, while rural wages lag behind urban earnings. Employment participation has risen in recent years, yet income growth has not been evenly shared. Vocational an</w:t>
      </w:r>
      <w:r>
        <w:t>d technical training has expanded since 2017-18, with participation rising from single digits to more than one-third of the working-age population. Most of this increase has come through non-formal learning, which contributes little to wage mobility becaus</w:t>
      </w:r>
      <w:r>
        <w:t>e employers do not treat it as a strong credential. Formal training, though limited to less than five percent of workers, is consistently linked with wage gains of around 10-15 percent and stronger employment prospects in sectors with organized demand. Pla</w:t>
      </w:r>
      <w:r>
        <w:t>cement alignment, certification systems and equitable access determine the extent of these benefits. Gaps remain particularly wide for women, rural youth and disadvantaged groups who face barriers in accessing quality training. Vocational education can inf</w:t>
      </w:r>
      <w:r>
        <w:t>luence wage structures in India when it is formal, demand-driven, inclusive and supported by robust certification and employer trust.</w:t>
      </w:r>
    </w:p>
    <w:p w:rsidR="002858F0" w:rsidRDefault="00FE5F90">
      <w:r>
        <w:rPr>
          <w:b/>
          <w:bCs/>
        </w:rPr>
        <w:t>Keywords:</w:t>
      </w:r>
      <w:r>
        <w:t xml:space="preserve"> Wage disparities, vocational training, gender wage gap, rural-urban divide, labour market, India, formal trainin</w:t>
      </w:r>
      <w:r>
        <w:t>g, non-formal training, certification, employment outcomes.</w:t>
      </w:r>
    </w:p>
    <w:p w:rsidR="002858F0" w:rsidRDefault="00FE5F90">
      <w:pPr>
        <w:rPr>
          <w:b/>
          <w:bCs/>
        </w:rPr>
      </w:pPr>
      <w:r>
        <w:rPr>
          <w:b/>
          <w:bCs/>
        </w:rPr>
        <w:t>Introduction</w:t>
      </w:r>
    </w:p>
    <w:p w:rsidR="002858F0" w:rsidRDefault="00FE5F90">
      <w:r>
        <w:t xml:space="preserve">Wage conditions in India vary sharply by gender, location, sector and formality. PLFS data show rising labour engagement: </w:t>
      </w:r>
      <w:proofErr w:type="gramStart"/>
      <w:r>
        <w:t>the</w:t>
      </w:r>
      <w:proofErr w:type="gramEnd"/>
      <w:r>
        <w:t xml:space="preserve"> Worker Population Ratio (WPR) increased from 48.1% to 59.</w:t>
      </w:r>
      <w:r>
        <w:t>4% in rural areas and from 43.9% to 47.7% in urban areas between 2017-18 and 2022-23, while unemployment fell from 5.3% to 2.4% in rural and 7.7% to 5.4% in urban India. Female Labour Force Participation Rate (LFPR) also rose from 21.1% to 31.6%, reflectin</w:t>
      </w:r>
      <w:r>
        <w:t>g greater inclusion of women in work (Government of India, MoSPI 2023). Still, access to skills remains uneven: in 2022-23, only 27.4% of people aged 15-59 had vocational or technical training and just 3.8% had formal training (Government of India, MoSPI 2</w:t>
      </w:r>
      <w:r>
        <w:t>024). Earlier PLFS estimates show around 8% had received some form of VET, with significant variation in wage returns (Vincent, 2023). Yet, gender wage gaps endure-female wage earners made only 77% of male wages and female self-employed just 47% of male ea</w:t>
      </w:r>
      <w:r>
        <w:t>rnings during 2017-20 (Datta &amp; Chaudhuri, 2022).</w:t>
      </w:r>
    </w:p>
    <w:p w:rsidR="002858F0" w:rsidRDefault="00FE5F90">
      <w:r>
        <w:t xml:space="preserve">Broader studies confirm these divides: Khurana, Mahajan &amp; Sen (2023) find persistent gaps across gender, formality and location, while Mishra (2024) shows that women earn less than men across the wage </w:t>
      </w:r>
      <w:r>
        <w:lastRenderedPageBreak/>
        <w:t>distri</w:t>
      </w:r>
      <w:r>
        <w:t>bution, with disparities widening at higher quantiles. Evidence points to VET as a partial solution. Maitra, Mitra, Murlidharan &amp; Shah (2014/2017) demonstrate through a randomized evaluation that subsidized training for low-income women increased both empl</w:t>
      </w:r>
      <w:r>
        <w:t>oyment probability and earnings within 6-18 months. Similarly, Bahl, Bhatt &amp; Sharma (2021/2022) identify a 4-5% wage premium for trained workers, especially in agriculture and Bairagya (2021) finds VET boosts rural self-employed incomes. Supporting this, t</w:t>
      </w:r>
      <w:r>
        <w:t>he National Tracer Study shows 47.2% of ITI graduates were employed in 2024-25, though outcomes varied by trade and local demand (Government of India/DGT, 2024-2025). Taken together, the evidence confirms that while VET raises wages and improves employabil</w:t>
      </w:r>
      <w:r>
        <w:t>ity, demographic and locational divides limit its reach. Expanding equitable access to high-quality training, alongside complementary wage and labour policies, is vital to narrowing India’s wage disparities (Khurana, Mahajan &amp; Sen, 2023).</w:t>
      </w:r>
    </w:p>
    <w:p w:rsidR="002858F0" w:rsidRDefault="00FE5F90">
      <w:pPr>
        <w:rPr>
          <w:b/>
          <w:bCs/>
        </w:rPr>
      </w:pPr>
      <w:r>
        <w:rPr>
          <w:b/>
          <w:bCs/>
        </w:rPr>
        <w:t>Table 1. Employme</w:t>
      </w:r>
      <w:r>
        <w:rPr>
          <w:b/>
          <w:bCs/>
        </w:rPr>
        <w:t>nt intensity (CWS) by sector of residence, persons 15+ (%)</w:t>
      </w:r>
    </w:p>
    <w:tbl>
      <w:tblPr>
        <w:tblStyle w:val="TableGrid"/>
        <w:tblW w:w="5000" w:type="pct"/>
        <w:tblLook w:val="04A0" w:firstRow="1" w:lastRow="0" w:firstColumn="1" w:lastColumn="0" w:noHBand="0" w:noVBand="1"/>
      </w:tblPr>
      <w:tblGrid>
        <w:gridCol w:w="1391"/>
        <w:gridCol w:w="2967"/>
        <w:gridCol w:w="3206"/>
        <w:gridCol w:w="2892"/>
      </w:tblGrid>
      <w:tr w:rsidR="002858F0">
        <w:tc>
          <w:tcPr>
            <w:tcW w:w="665" w:type="pct"/>
            <w:vAlign w:val="center"/>
            <w:hideMark/>
          </w:tcPr>
          <w:p w:rsidR="002858F0" w:rsidRDefault="00FE5F90">
            <w:pPr>
              <w:spacing w:line="360" w:lineRule="auto"/>
              <w:jc w:val="center"/>
              <w:rPr>
                <w:b/>
                <w:bCs/>
              </w:rPr>
            </w:pPr>
            <w:r>
              <w:rPr>
                <w:b/>
                <w:bCs/>
              </w:rPr>
              <w:t>Year</w:t>
            </w:r>
          </w:p>
        </w:tc>
        <w:tc>
          <w:tcPr>
            <w:tcW w:w="1419" w:type="pct"/>
            <w:vAlign w:val="center"/>
            <w:hideMark/>
          </w:tcPr>
          <w:p w:rsidR="002858F0" w:rsidRDefault="00FE5F90">
            <w:pPr>
              <w:spacing w:line="360" w:lineRule="auto"/>
              <w:jc w:val="center"/>
              <w:rPr>
                <w:b/>
                <w:bCs/>
              </w:rPr>
            </w:pPr>
            <w:r>
              <w:rPr>
                <w:b/>
                <w:bCs/>
              </w:rPr>
              <w:t>WPR (CWS) - Rural, persons</w:t>
            </w:r>
          </w:p>
        </w:tc>
        <w:tc>
          <w:tcPr>
            <w:tcW w:w="1533" w:type="pct"/>
            <w:vAlign w:val="center"/>
            <w:hideMark/>
          </w:tcPr>
          <w:p w:rsidR="002858F0" w:rsidRDefault="00FE5F90">
            <w:pPr>
              <w:spacing w:line="360" w:lineRule="auto"/>
              <w:jc w:val="center"/>
              <w:rPr>
                <w:b/>
                <w:bCs/>
              </w:rPr>
            </w:pPr>
            <w:r>
              <w:rPr>
                <w:b/>
                <w:bCs/>
              </w:rPr>
              <w:t>WPR (CWS) - Urban, persons</w:t>
            </w:r>
          </w:p>
        </w:tc>
        <w:tc>
          <w:tcPr>
            <w:tcW w:w="1383" w:type="pct"/>
            <w:vAlign w:val="center"/>
            <w:hideMark/>
          </w:tcPr>
          <w:p w:rsidR="002858F0" w:rsidRDefault="00FE5F90">
            <w:pPr>
              <w:spacing w:line="360" w:lineRule="auto"/>
              <w:jc w:val="center"/>
              <w:rPr>
                <w:b/>
                <w:bCs/>
              </w:rPr>
            </w:pPr>
            <w:r>
              <w:rPr>
                <w:b/>
                <w:bCs/>
              </w:rPr>
              <w:t>WPR (CWS) - All, persons</w:t>
            </w:r>
          </w:p>
        </w:tc>
      </w:tr>
      <w:tr w:rsidR="002858F0">
        <w:tc>
          <w:tcPr>
            <w:tcW w:w="665" w:type="pct"/>
            <w:vAlign w:val="center"/>
            <w:hideMark/>
          </w:tcPr>
          <w:p w:rsidR="002858F0" w:rsidRDefault="00FE5F90">
            <w:pPr>
              <w:spacing w:line="360" w:lineRule="auto"/>
              <w:jc w:val="center"/>
            </w:pPr>
            <w:r>
              <w:t>2017-18</w:t>
            </w:r>
          </w:p>
        </w:tc>
        <w:tc>
          <w:tcPr>
            <w:tcW w:w="1419" w:type="pct"/>
            <w:vAlign w:val="center"/>
            <w:hideMark/>
          </w:tcPr>
          <w:p w:rsidR="002858F0" w:rsidRDefault="00FE5F90">
            <w:pPr>
              <w:spacing w:line="360" w:lineRule="auto"/>
              <w:jc w:val="center"/>
            </w:pPr>
            <w:r>
              <w:t>44.8</w:t>
            </w:r>
          </w:p>
        </w:tc>
        <w:tc>
          <w:tcPr>
            <w:tcW w:w="1533" w:type="pct"/>
            <w:vAlign w:val="center"/>
            <w:hideMark/>
          </w:tcPr>
          <w:p w:rsidR="002858F0" w:rsidRDefault="00FE5F90">
            <w:pPr>
              <w:spacing w:line="360" w:lineRule="auto"/>
              <w:jc w:val="center"/>
            </w:pPr>
            <w:r>
              <w:t>42.6</w:t>
            </w:r>
          </w:p>
        </w:tc>
        <w:tc>
          <w:tcPr>
            <w:tcW w:w="1383" w:type="pct"/>
            <w:vAlign w:val="center"/>
            <w:hideMark/>
          </w:tcPr>
          <w:p w:rsidR="002858F0" w:rsidRDefault="00FE5F90">
            <w:pPr>
              <w:spacing w:line="360" w:lineRule="auto"/>
              <w:jc w:val="center"/>
            </w:pPr>
            <w:r>
              <w:t>44.1</w:t>
            </w:r>
          </w:p>
        </w:tc>
      </w:tr>
      <w:tr w:rsidR="002858F0">
        <w:tc>
          <w:tcPr>
            <w:tcW w:w="665" w:type="pct"/>
            <w:vAlign w:val="center"/>
            <w:hideMark/>
          </w:tcPr>
          <w:p w:rsidR="002858F0" w:rsidRDefault="00FE5F90">
            <w:pPr>
              <w:spacing w:line="360" w:lineRule="auto"/>
              <w:jc w:val="center"/>
            </w:pPr>
            <w:r>
              <w:t>2018-19</w:t>
            </w:r>
          </w:p>
        </w:tc>
        <w:tc>
          <w:tcPr>
            <w:tcW w:w="1419" w:type="pct"/>
            <w:vAlign w:val="center"/>
            <w:hideMark/>
          </w:tcPr>
          <w:p w:rsidR="002858F0" w:rsidRDefault="00FE5F90">
            <w:pPr>
              <w:spacing w:line="360" w:lineRule="auto"/>
              <w:jc w:val="center"/>
            </w:pPr>
            <w:r>
              <w:t>45.0</w:t>
            </w:r>
          </w:p>
        </w:tc>
        <w:tc>
          <w:tcPr>
            <w:tcW w:w="1533" w:type="pct"/>
            <w:vAlign w:val="center"/>
            <w:hideMark/>
          </w:tcPr>
          <w:p w:rsidR="002858F0" w:rsidRDefault="00FE5F90">
            <w:pPr>
              <w:spacing w:line="360" w:lineRule="auto"/>
              <w:jc w:val="center"/>
            </w:pPr>
            <w:r>
              <w:t>42.7</w:t>
            </w:r>
          </w:p>
        </w:tc>
        <w:tc>
          <w:tcPr>
            <w:tcW w:w="1383" w:type="pct"/>
            <w:vAlign w:val="center"/>
            <w:hideMark/>
          </w:tcPr>
          <w:p w:rsidR="002858F0" w:rsidRDefault="00FE5F90">
            <w:pPr>
              <w:spacing w:line="360" w:lineRule="auto"/>
              <w:jc w:val="center"/>
            </w:pPr>
            <w:r>
              <w:t>44.3</w:t>
            </w:r>
          </w:p>
        </w:tc>
      </w:tr>
      <w:tr w:rsidR="002858F0">
        <w:tc>
          <w:tcPr>
            <w:tcW w:w="665" w:type="pct"/>
            <w:vAlign w:val="center"/>
            <w:hideMark/>
          </w:tcPr>
          <w:p w:rsidR="002858F0" w:rsidRDefault="00FE5F90">
            <w:pPr>
              <w:spacing w:line="360" w:lineRule="auto"/>
              <w:jc w:val="center"/>
            </w:pPr>
            <w:r>
              <w:t>2019-20</w:t>
            </w:r>
          </w:p>
        </w:tc>
        <w:tc>
          <w:tcPr>
            <w:tcW w:w="1419" w:type="pct"/>
            <w:vAlign w:val="center"/>
            <w:hideMark/>
          </w:tcPr>
          <w:p w:rsidR="002858F0" w:rsidRDefault="00FE5F90">
            <w:pPr>
              <w:spacing w:line="360" w:lineRule="auto"/>
              <w:jc w:val="center"/>
            </w:pPr>
            <w:r>
              <w:t>48.4</w:t>
            </w:r>
          </w:p>
        </w:tc>
        <w:tc>
          <w:tcPr>
            <w:tcW w:w="1533" w:type="pct"/>
            <w:vAlign w:val="center"/>
            <w:hideMark/>
          </w:tcPr>
          <w:p w:rsidR="002858F0" w:rsidRDefault="00FE5F90">
            <w:pPr>
              <w:spacing w:line="360" w:lineRule="auto"/>
              <w:jc w:val="center"/>
            </w:pPr>
            <w:r>
              <w:t>43.0</w:t>
            </w:r>
          </w:p>
        </w:tc>
        <w:tc>
          <w:tcPr>
            <w:tcW w:w="1383" w:type="pct"/>
            <w:vAlign w:val="center"/>
            <w:hideMark/>
          </w:tcPr>
          <w:p w:rsidR="002858F0" w:rsidRDefault="00FE5F90">
            <w:pPr>
              <w:spacing w:line="360" w:lineRule="auto"/>
              <w:jc w:val="center"/>
            </w:pPr>
            <w:r>
              <w:t>46.7</w:t>
            </w:r>
          </w:p>
        </w:tc>
      </w:tr>
      <w:tr w:rsidR="002858F0">
        <w:tc>
          <w:tcPr>
            <w:tcW w:w="665" w:type="pct"/>
            <w:vAlign w:val="center"/>
            <w:hideMark/>
          </w:tcPr>
          <w:p w:rsidR="002858F0" w:rsidRDefault="00FE5F90">
            <w:pPr>
              <w:spacing w:line="360" w:lineRule="auto"/>
              <w:jc w:val="center"/>
            </w:pPr>
            <w:r>
              <w:t>2020-21</w:t>
            </w:r>
          </w:p>
        </w:tc>
        <w:tc>
          <w:tcPr>
            <w:tcW w:w="1419" w:type="pct"/>
            <w:vAlign w:val="center"/>
            <w:hideMark/>
          </w:tcPr>
          <w:p w:rsidR="002858F0" w:rsidRDefault="00FE5F90">
            <w:pPr>
              <w:spacing w:line="360" w:lineRule="auto"/>
              <w:jc w:val="center"/>
            </w:pPr>
            <w:r>
              <w:t>50.0</w:t>
            </w:r>
          </w:p>
        </w:tc>
        <w:tc>
          <w:tcPr>
            <w:tcW w:w="1533" w:type="pct"/>
            <w:vAlign w:val="center"/>
            <w:hideMark/>
          </w:tcPr>
          <w:p w:rsidR="002858F0" w:rsidRDefault="00FE5F90">
            <w:pPr>
              <w:spacing w:line="360" w:lineRule="auto"/>
              <w:jc w:val="center"/>
            </w:pPr>
            <w:r>
              <w:t>43.1</w:t>
            </w:r>
          </w:p>
        </w:tc>
        <w:tc>
          <w:tcPr>
            <w:tcW w:w="1383" w:type="pct"/>
            <w:vAlign w:val="center"/>
            <w:hideMark/>
          </w:tcPr>
          <w:p w:rsidR="002858F0" w:rsidRDefault="00FE5F90">
            <w:pPr>
              <w:spacing w:line="360" w:lineRule="auto"/>
              <w:jc w:val="center"/>
            </w:pPr>
            <w:r>
              <w:t>47.9</w:t>
            </w:r>
          </w:p>
        </w:tc>
      </w:tr>
      <w:tr w:rsidR="002858F0">
        <w:tc>
          <w:tcPr>
            <w:tcW w:w="665" w:type="pct"/>
            <w:vAlign w:val="center"/>
            <w:hideMark/>
          </w:tcPr>
          <w:p w:rsidR="002858F0" w:rsidRDefault="00FE5F90">
            <w:pPr>
              <w:spacing w:line="360" w:lineRule="auto"/>
              <w:jc w:val="center"/>
            </w:pPr>
            <w:r>
              <w:t>2021-22</w:t>
            </w:r>
          </w:p>
        </w:tc>
        <w:tc>
          <w:tcPr>
            <w:tcW w:w="1419" w:type="pct"/>
            <w:vAlign w:val="center"/>
            <w:hideMark/>
          </w:tcPr>
          <w:p w:rsidR="002858F0" w:rsidRDefault="00FE5F90">
            <w:pPr>
              <w:spacing w:line="360" w:lineRule="auto"/>
              <w:jc w:val="center"/>
            </w:pPr>
            <w:r>
              <w:t>49.9</w:t>
            </w:r>
          </w:p>
        </w:tc>
        <w:tc>
          <w:tcPr>
            <w:tcW w:w="1533" w:type="pct"/>
            <w:vAlign w:val="center"/>
            <w:hideMark/>
          </w:tcPr>
          <w:p w:rsidR="002858F0" w:rsidRDefault="00FE5F90">
            <w:pPr>
              <w:spacing w:line="360" w:lineRule="auto"/>
              <w:jc w:val="center"/>
            </w:pPr>
            <w:r>
              <w:t>44.6</w:t>
            </w:r>
          </w:p>
        </w:tc>
        <w:tc>
          <w:tcPr>
            <w:tcW w:w="1383" w:type="pct"/>
            <w:vAlign w:val="center"/>
            <w:hideMark/>
          </w:tcPr>
          <w:p w:rsidR="002858F0" w:rsidRDefault="00FE5F90">
            <w:pPr>
              <w:spacing w:line="360" w:lineRule="auto"/>
              <w:jc w:val="center"/>
            </w:pPr>
            <w:r>
              <w:t>48.3</w:t>
            </w:r>
          </w:p>
        </w:tc>
      </w:tr>
      <w:tr w:rsidR="002858F0">
        <w:tc>
          <w:tcPr>
            <w:tcW w:w="665" w:type="pct"/>
            <w:vAlign w:val="center"/>
            <w:hideMark/>
          </w:tcPr>
          <w:p w:rsidR="002858F0" w:rsidRDefault="00FE5F90">
            <w:pPr>
              <w:spacing w:line="360" w:lineRule="auto"/>
              <w:jc w:val="center"/>
            </w:pPr>
            <w:r>
              <w:t>2022-23</w:t>
            </w:r>
          </w:p>
        </w:tc>
        <w:tc>
          <w:tcPr>
            <w:tcW w:w="1419" w:type="pct"/>
            <w:vAlign w:val="center"/>
            <w:hideMark/>
          </w:tcPr>
          <w:p w:rsidR="002858F0" w:rsidRDefault="00FE5F90">
            <w:pPr>
              <w:spacing w:line="360" w:lineRule="auto"/>
              <w:jc w:val="center"/>
            </w:pPr>
            <w:r>
              <w:t>54.2</w:t>
            </w:r>
          </w:p>
        </w:tc>
        <w:tc>
          <w:tcPr>
            <w:tcW w:w="1533" w:type="pct"/>
            <w:vAlign w:val="center"/>
            <w:hideMark/>
          </w:tcPr>
          <w:p w:rsidR="002858F0" w:rsidRDefault="00FE5F90">
            <w:pPr>
              <w:spacing w:line="360" w:lineRule="auto"/>
              <w:jc w:val="center"/>
            </w:pPr>
            <w:r>
              <w:t>46.0</w:t>
            </w:r>
          </w:p>
        </w:tc>
        <w:tc>
          <w:tcPr>
            <w:tcW w:w="1383" w:type="pct"/>
            <w:vAlign w:val="center"/>
            <w:hideMark/>
          </w:tcPr>
          <w:p w:rsidR="002858F0" w:rsidRDefault="00FE5F90">
            <w:pPr>
              <w:spacing w:line="360" w:lineRule="auto"/>
              <w:jc w:val="center"/>
            </w:pPr>
            <w:r>
              <w:t>51.8</w:t>
            </w:r>
          </w:p>
        </w:tc>
      </w:tr>
      <w:tr w:rsidR="002858F0">
        <w:tc>
          <w:tcPr>
            <w:tcW w:w="665" w:type="pct"/>
            <w:vAlign w:val="center"/>
            <w:hideMark/>
          </w:tcPr>
          <w:p w:rsidR="002858F0" w:rsidRDefault="00FE5F90">
            <w:pPr>
              <w:spacing w:line="360" w:lineRule="auto"/>
              <w:jc w:val="center"/>
            </w:pPr>
            <w:r>
              <w:t>2023-24</w:t>
            </w:r>
          </w:p>
        </w:tc>
        <w:tc>
          <w:tcPr>
            <w:tcW w:w="1419" w:type="pct"/>
            <w:vAlign w:val="center"/>
            <w:hideMark/>
          </w:tcPr>
          <w:p w:rsidR="002858F0" w:rsidRDefault="00FE5F90">
            <w:pPr>
              <w:spacing w:line="360" w:lineRule="auto"/>
              <w:jc w:val="center"/>
            </w:pPr>
            <w:r>
              <w:t>56.5</w:t>
            </w:r>
          </w:p>
        </w:tc>
        <w:tc>
          <w:tcPr>
            <w:tcW w:w="1533" w:type="pct"/>
            <w:vAlign w:val="center"/>
            <w:hideMark/>
          </w:tcPr>
          <w:p w:rsidR="002858F0" w:rsidRDefault="00FE5F90">
            <w:pPr>
              <w:spacing w:line="360" w:lineRule="auto"/>
              <w:jc w:val="center"/>
            </w:pPr>
            <w:r>
              <w:t>47.4</w:t>
            </w:r>
          </w:p>
        </w:tc>
        <w:tc>
          <w:tcPr>
            <w:tcW w:w="1383" w:type="pct"/>
            <w:vAlign w:val="center"/>
            <w:hideMark/>
          </w:tcPr>
          <w:p w:rsidR="002858F0" w:rsidRDefault="00FE5F90">
            <w:pPr>
              <w:spacing w:line="360" w:lineRule="auto"/>
              <w:jc w:val="center"/>
            </w:pPr>
            <w:r>
              <w:t>53.7</w:t>
            </w:r>
          </w:p>
        </w:tc>
      </w:tr>
    </w:tbl>
    <w:p w:rsidR="002858F0" w:rsidRDefault="00FE5F90">
      <w:pPr>
        <w:rPr>
          <w:b/>
          <w:bCs/>
        </w:rPr>
      </w:pPr>
      <w:proofErr w:type="gramStart"/>
      <w:r>
        <w:rPr>
          <w:b/>
          <w:bCs/>
        </w:rPr>
        <w:t>Source :</w:t>
      </w:r>
      <w:proofErr w:type="gramEnd"/>
      <w:r>
        <w:rPr>
          <w:b/>
          <w:bCs/>
        </w:rPr>
        <w:t xml:space="preserve"> Compiled from: PLFS 2017-18 to 2023-24 press tables, MoSPI. Note: CWS = Current Weekly Status; values are for persons aged 15+ and are taken from the PLFS 2023-24 press-table. </w:t>
      </w:r>
    </w:p>
    <w:p w:rsidR="002858F0" w:rsidRDefault="00FE5F90">
      <w:pPr>
        <w:rPr>
          <w:b/>
          <w:bCs/>
        </w:rPr>
      </w:pPr>
      <w:r>
        <w:rPr>
          <w:b/>
          <w:bCs/>
        </w:rPr>
        <w:t xml:space="preserve">Review of </w:t>
      </w:r>
      <w:r>
        <w:rPr>
          <w:b/>
          <w:bCs/>
        </w:rPr>
        <w:t>Literature</w:t>
      </w:r>
    </w:p>
    <w:p w:rsidR="002858F0" w:rsidRDefault="00FE5F90">
      <w:r>
        <w:t>Wage disparities in India remain persistent across gender, sector and geography. Analyses of PLFS 2017-2020 data show that women’s earnings are only about 77% of male wages in regular jobs and even lower in self-employment, highlighting entrench</w:t>
      </w:r>
      <w:r>
        <w:t>ed gender wage gaps (Datta &amp; Chaudhuri, 2022). Broader institutional reports confirm that informalisation of labour and segmentation between formal and informal sectors continue to depress wage levels for the majority of workers (International Labour Organ</w:t>
      </w:r>
      <w:r>
        <w:t>ization, 2018).</w:t>
      </w:r>
    </w:p>
    <w:p w:rsidR="002858F0" w:rsidRDefault="00FE5F90">
      <w:r>
        <w:t xml:space="preserve">Studies linking skills and earnings consistently report that vocational education improves wage outcomes, though impacts vary by sector. Using national survey data, Kumar (2019) found that formal vocational training raised wages overall by </w:t>
      </w:r>
      <w:r>
        <w:t>about 5%, with stronger effects in the primary and secondary sectors. Similarly, Bahl, Bhatt and Sharma (2022) estimated that both formal and informal vocational training in India are associated with higher earnings, though the premium is larger for formal</w:t>
      </w:r>
      <w:r>
        <w:t xml:space="preserve"> training.</w:t>
      </w:r>
    </w:p>
    <w:p w:rsidR="002858F0" w:rsidRDefault="00FE5F90">
      <w:r>
        <w:lastRenderedPageBreak/>
        <w:t>Research focusing on self-employment in rural India shows that trained individuals, especially those with formal vocational credentials, earn significantly more than their non-trained counterparts (Bairagya, 2021). Evidence from more recent anal</w:t>
      </w:r>
      <w:r>
        <w:t>yses of PLFS 2023-24 suggests that while training does enhance earnings, short courses and low-quality provision often yield limited wage benefits, underlining the importance of duration and alignment with labour market demand (Venugopal, 2025).</w:t>
      </w:r>
    </w:p>
    <w:p w:rsidR="002858F0" w:rsidRDefault="00FE5F90">
      <w:r>
        <w:t>Policy-ori</w:t>
      </w:r>
      <w:r>
        <w:t>ented reviews highlight how the Skill India initiative and similar schemes expanded training coverage but stress that training alone is insufficient without employer linkages and recognition of skills. Sharma, Beher and Mehrotra (2025) show that vocational</w:t>
      </w:r>
      <w:r>
        <w:t xml:space="preserve"> training has reduced wage gaps in earlier years but its impact has weakened due to shorter course durations and lack of strong institutional pathways into better-paid jobs. In addition, qualitative analysis of India’s dual training system underlines that </w:t>
      </w:r>
      <w:r>
        <w:t>fragmented policies and inconsistent industry engagement continue to constrain the effectiveness of vocational education (Maitra, 2022).</w:t>
      </w:r>
    </w:p>
    <w:p w:rsidR="002858F0" w:rsidRDefault="00FE5F90">
      <w:pPr>
        <w:rPr>
          <w:b/>
          <w:bCs/>
        </w:rPr>
      </w:pPr>
      <w:r>
        <w:rPr>
          <w:b/>
          <w:bCs/>
        </w:rPr>
        <w:t>Theoretical Framework</w:t>
      </w:r>
    </w:p>
    <w:p w:rsidR="002858F0" w:rsidRDefault="00FE5F90">
      <w:r>
        <w:t xml:space="preserve">The analysis of wage disparities and the role of vocational training in India can be grounded in </w:t>
      </w:r>
      <w:r>
        <w:t>several well-established economic and sociological theories. These frameworks help explain why wage gaps persist, how skills influence earnings and what factors mediate the effectiveness of vocational training.</w:t>
      </w:r>
    </w:p>
    <w:p w:rsidR="002858F0" w:rsidRDefault="00FE5F90">
      <w:r>
        <w:rPr>
          <w:b/>
          <w:bCs/>
        </w:rPr>
        <w:t xml:space="preserve">Human Capital </w:t>
      </w:r>
      <w:proofErr w:type="gramStart"/>
      <w:r>
        <w:rPr>
          <w:b/>
          <w:bCs/>
        </w:rPr>
        <w:t>Theory :</w:t>
      </w:r>
      <w:proofErr w:type="gramEnd"/>
      <w:r>
        <w:rPr>
          <w:b/>
          <w:bCs/>
        </w:rPr>
        <w:t xml:space="preserve"> </w:t>
      </w:r>
      <w:r>
        <w:t>Human Capital Theory e</w:t>
      </w:r>
      <w:r>
        <w:t>mphasizes education and skills as forms of investment that enhance productivity and thereby increase wages. In the Indian context, vocational training is considered a critical human capital investment, especially for workers without access to higher educat</w:t>
      </w:r>
      <w:r>
        <w:t>ion. The theory suggests that workers with vocational training should earn higher wages due to improved productivity (Becker, 1993). However, uneven access to training opportunities and variations in training quality often weaken this linkage in practice (</w:t>
      </w:r>
      <w:r>
        <w:t>Schultz, 1981).</w:t>
      </w:r>
    </w:p>
    <w:p w:rsidR="002858F0" w:rsidRDefault="00FE5F90">
      <w:r>
        <w:rPr>
          <w:b/>
          <w:bCs/>
        </w:rPr>
        <w:t xml:space="preserve">Signalling </w:t>
      </w:r>
      <w:proofErr w:type="gramStart"/>
      <w:r>
        <w:rPr>
          <w:b/>
          <w:bCs/>
        </w:rPr>
        <w:t>Theory :</w:t>
      </w:r>
      <w:proofErr w:type="gramEnd"/>
      <w:r>
        <w:rPr>
          <w:b/>
          <w:bCs/>
        </w:rPr>
        <w:t xml:space="preserve"> </w:t>
      </w:r>
      <w:r>
        <w:t>Signalling Theory highlights that beyond skills themselves, credentials serve as signals of ability to employers. In India, vocational certificates from recognized institutions may serve as labour-market signals, improvi</w:t>
      </w:r>
      <w:r>
        <w:t>ng the chances of employment and wage negotiation. Where certification systems are weak or fragmented however, the signalling value of vocational training diminishes, reducing its impact on wage outcomes (Spence, 1973).</w:t>
      </w:r>
    </w:p>
    <w:p w:rsidR="002858F0" w:rsidRDefault="00FE5F90">
      <w:r>
        <w:rPr>
          <w:b/>
          <w:bCs/>
        </w:rPr>
        <w:t xml:space="preserve">Labour Market Segmentation </w:t>
      </w:r>
      <w:proofErr w:type="gramStart"/>
      <w:r>
        <w:rPr>
          <w:b/>
          <w:bCs/>
        </w:rPr>
        <w:t>Theory :</w:t>
      </w:r>
      <w:proofErr w:type="gramEnd"/>
      <w:r>
        <w:rPr>
          <w:b/>
          <w:bCs/>
        </w:rPr>
        <w:t xml:space="preserve"> </w:t>
      </w:r>
      <w:r>
        <w:t>Labour Market Segmentation Theory argues that the labour market is divided into a primary sector (formal, stable, high wage) and a secondary sector (informal, insecure, low wage). In India, where a majority of workers are in informal employment, vocational</w:t>
      </w:r>
      <w:r>
        <w:t xml:space="preserve"> training often does not guarantee entry into the primary sector, limiting wage gains. Structural barriers, including caste, gender and geographic disparities, reinforce segmentation even for skilled workers (Doeringer &amp; Piore, 1971).</w:t>
      </w:r>
    </w:p>
    <w:p w:rsidR="002858F0" w:rsidRDefault="00FE5F90">
      <w:r>
        <w:rPr>
          <w:b/>
          <w:bCs/>
        </w:rPr>
        <w:lastRenderedPageBreak/>
        <w:t xml:space="preserve">Social Reproduction </w:t>
      </w:r>
      <w:proofErr w:type="gramStart"/>
      <w:r>
        <w:rPr>
          <w:b/>
          <w:bCs/>
        </w:rPr>
        <w:t>T</w:t>
      </w:r>
      <w:r>
        <w:rPr>
          <w:b/>
          <w:bCs/>
        </w:rPr>
        <w:t xml:space="preserve">heory </w:t>
      </w:r>
      <w:r>
        <w:t>:</w:t>
      </w:r>
      <w:proofErr w:type="gramEnd"/>
      <w:r>
        <w:t xml:space="preserve"> From a sociological perspective, Social Reproduction Theory suggests that education and training systems may reinforce rather than reduce inequality if access is skewed toward privileged groups. In India, vocational training often has low participa</w:t>
      </w:r>
      <w:r>
        <w:t>tion from women, rural youth and marginalized castes, meaning existing wage disparities are reproduced through unequal training outcomes (Bourdieu, 1977).</w:t>
      </w:r>
    </w:p>
    <w:p w:rsidR="002858F0" w:rsidRDefault="00FE5F90">
      <w:r>
        <w:rPr>
          <w:b/>
          <w:bCs/>
        </w:rPr>
        <w:t xml:space="preserve">Capability </w:t>
      </w:r>
      <w:proofErr w:type="gramStart"/>
      <w:r>
        <w:rPr>
          <w:b/>
          <w:bCs/>
        </w:rPr>
        <w:t>Approach</w:t>
      </w:r>
      <w:r>
        <w:t xml:space="preserve"> :</w:t>
      </w:r>
      <w:proofErr w:type="gramEnd"/>
      <w:r>
        <w:t xml:space="preserve"> The Capability Approach emphasizes expanding real freedoms and choices for indi</w:t>
      </w:r>
      <w:r>
        <w:t>viduals rather than only focusing on income gains. Applied to vocational training in India, this framework suggests that the success of training should be measured not just by wage returns but also by whether it expands opportunities, employability and dig</w:t>
      </w:r>
      <w:r>
        <w:t>nity of work (Sen, 1999).</w:t>
      </w:r>
    </w:p>
    <w:p w:rsidR="002858F0" w:rsidRDefault="00FE5F90">
      <w:pPr>
        <w:spacing w:after="0"/>
        <w:rPr>
          <w:b/>
          <w:bCs/>
        </w:rPr>
      </w:pPr>
      <w:r>
        <w:rPr>
          <w:b/>
          <w:bCs/>
        </w:rPr>
        <w:t>Methodology</w:t>
      </w:r>
    </w:p>
    <w:p w:rsidR="002858F0" w:rsidRDefault="00FE5F90">
      <w:pPr>
        <w:rPr>
          <w:b/>
          <w:bCs/>
        </w:rPr>
      </w:pPr>
      <w:r>
        <w:rPr>
          <w:b/>
          <w:bCs/>
        </w:rPr>
        <w:t>Research Design</w:t>
      </w:r>
    </w:p>
    <w:p w:rsidR="002858F0" w:rsidRDefault="00FE5F90">
      <w:r>
        <w:t>The study adopts a quantitative analytical design to examine the relationship between wage disparities and vocational training in India. The focus is on identifying the extent of wage differentials by g</w:t>
      </w:r>
      <w:r>
        <w:t>ender, sector and location and assessing how formal and non-formal vocational training influences wage outcomes.</w:t>
      </w:r>
    </w:p>
    <w:p w:rsidR="002858F0" w:rsidRDefault="00FE5F90">
      <w:pPr>
        <w:rPr>
          <w:b/>
          <w:bCs/>
        </w:rPr>
      </w:pPr>
      <w:r>
        <w:rPr>
          <w:b/>
          <w:bCs/>
        </w:rPr>
        <w:t>Data Sources</w:t>
      </w:r>
    </w:p>
    <w:p w:rsidR="002858F0" w:rsidRDefault="00FE5F90">
      <w:r>
        <w:t xml:space="preserve">The primary data source is the Periodic Labour Force Survey (PLFS) conducted annually by the Ministry of Statistics and Programme </w:t>
      </w:r>
      <w:r>
        <w:t xml:space="preserve">Implementation (MoSPI). PLFS provides nationally representative data on employment, wages and vocational training. The dataset covers both Usual Status (PS+SS) and Current Weekly Status (CWS) indicators, enabling cross-checking of labour participation and </w:t>
      </w:r>
      <w:r>
        <w:t>wage patterns over time.</w:t>
      </w:r>
      <w:r>
        <w:br/>
        <w:t>Additional policy documents such as the Economic Survey (Government of India, 2024-25) and official Lok Sabha replies on vocational training are used to supplement training coverage statistics.</w:t>
      </w:r>
    </w:p>
    <w:p w:rsidR="002858F0" w:rsidRDefault="00FE5F90">
      <w:pPr>
        <w:rPr>
          <w:b/>
          <w:bCs/>
        </w:rPr>
      </w:pPr>
      <w:r>
        <w:rPr>
          <w:b/>
          <w:bCs/>
        </w:rPr>
        <w:t>Variables and Measures</w:t>
      </w:r>
    </w:p>
    <w:p w:rsidR="002858F0" w:rsidRDefault="00FE5F90">
      <w:pPr>
        <w:numPr>
          <w:ilvl w:val="0"/>
          <w:numId w:val="1"/>
        </w:numPr>
        <w:spacing w:after="0"/>
      </w:pPr>
      <w:r>
        <w:t>Dependent Vari</w:t>
      </w:r>
      <w:r>
        <w:t>able: Monthly wages (for regular salaried workers) and daily wages (for casual labourers).</w:t>
      </w:r>
    </w:p>
    <w:p w:rsidR="002858F0" w:rsidRDefault="00FE5F90">
      <w:pPr>
        <w:numPr>
          <w:ilvl w:val="0"/>
          <w:numId w:val="1"/>
        </w:numPr>
        <w:spacing w:after="0"/>
      </w:pPr>
      <w:r>
        <w:t>Independent Variable: Vocational training status, classified into formal, non-formal and none.</w:t>
      </w:r>
    </w:p>
    <w:p w:rsidR="002858F0" w:rsidRDefault="00FE5F90">
      <w:pPr>
        <w:numPr>
          <w:ilvl w:val="0"/>
          <w:numId w:val="1"/>
        </w:numPr>
      </w:pPr>
      <w:r>
        <w:t xml:space="preserve">Control Variables: Age, education level, gender, sector (agriculture, </w:t>
      </w:r>
      <w:r>
        <w:t>industry, services), residence (rural/urban) and caste category.</w:t>
      </w:r>
    </w:p>
    <w:p w:rsidR="002858F0" w:rsidRDefault="00FE5F90">
      <w:pPr>
        <w:rPr>
          <w:b/>
          <w:bCs/>
        </w:rPr>
      </w:pPr>
      <w:r>
        <w:rPr>
          <w:b/>
          <w:bCs/>
        </w:rPr>
        <w:t>Analytical Techniques</w:t>
      </w:r>
    </w:p>
    <w:p w:rsidR="002858F0" w:rsidRDefault="00FE5F90">
      <w:pPr>
        <w:numPr>
          <w:ilvl w:val="0"/>
          <w:numId w:val="2"/>
        </w:numPr>
        <w:spacing w:after="0"/>
      </w:pPr>
      <w:r>
        <w:t>Descriptive Analysis</w:t>
      </w:r>
    </w:p>
    <w:p w:rsidR="002858F0" w:rsidRDefault="00FE5F90">
      <w:pPr>
        <w:numPr>
          <w:ilvl w:val="0"/>
          <w:numId w:val="2"/>
        </w:numPr>
        <w:spacing w:after="0"/>
      </w:pPr>
      <w:r>
        <w:t>Comparative Analysis</w:t>
      </w:r>
    </w:p>
    <w:p w:rsidR="002858F0" w:rsidRDefault="00FE5F90">
      <w:pPr>
        <w:numPr>
          <w:ilvl w:val="0"/>
          <w:numId w:val="2"/>
        </w:numPr>
      </w:pPr>
      <w:r>
        <w:t>Econometric Estimation:</w:t>
      </w:r>
    </w:p>
    <w:p w:rsidR="002858F0" w:rsidRDefault="00FE5F90">
      <w:pPr>
        <w:rPr>
          <w:b/>
          <w:bCs/>
        </w:rPr>
      </w:pPr>
      <w:r>
        <w:rPr>
          <w:b/>
          <w:bCs/>
        </w:rPr>
        <w:lastRenderedPageBreak/>
        <w:t>Wage Disparities in India</w:t>
      </w:r>
    </w:p>
    <w:p w:rsidR="002858F0" w:rsidRDefault="00FE5F90">
      <w:r>
        <w:t xml:space="preserve">Wages in India display significant disparities across rural-urban locations, </w:t>
      </w:r>
      <w:r>
        <w:t xml:space="preserve">gender and type of employment. </w:t>
      </w:r>
    </w:p>
    <w:p w:rsidR="002858F0" w:rsidRDefault="00FE5F90">
      <w:pPr>
        <w:rPr>
          <w:b/>
          <w:bCs/>
        </w:rPr>
      </w:pPr>
      <w:r>
        <w:rPr>
          <w:b/>
          <w:bCs/>
        </w:rPr>
        <w:t>Table 2. Average Monthly Earnings of Regular Salaried Employees (₹), by Gender and Location</w:t>
      </w:r>
    </w:p>
    <w:tbl>
      <w:tblPr>
        <w:tblStyle w:val="TableGrid"/>
        <w:tblW w:w="5000" w:type="pct"/>
        <w:tblLook w:val="04A0" w:firstRow="1" w:lastRow="0" w:firstColumn="1" w:lastColumn="0" w:noHBand="0" w:noVBand="1"/>
      </w:tblPr>
      <w:tblGrid>
        <w:gridCol w:w="1390"/>
        <w:gridCol w:w="1100"/>
        <w:gridCol w:w="1612"/>
        <w:gridCol w:w="1391"/>
        <w:gridCol w:w="1650"/>
        <w:gridCol w:w="1527"/>
        <w:gridCol w:w="1786"/>
      </w:tblGrid>
      <w:tr w:rsidR="002858F0">
        <w:tc>
          <w:tcPr>
            <w:tcW w:w="665" w:type="pct"/>
            <w:vAlign w:val="center"/>
            <w:hideMark/>
          </w:tcPr>
          <w:p w:rsidR="002858F0" w:rsidRDefault="00FE5F90">
            <w:pPr>
              <w:spacing w:line="360" w:lineRule="auto"/>
              <w:jc w:val="center"/>
              <w:rPr>
                <w:b/>
                <w:bCs/>
              </w:rPr>
            </w:pPr>
            <w:r>
              <w:rPr>
                <w:b/>
                <w:bCs/>
              </w:rPr>
              <w:t>Year</w:t>
            </w:r>
          </w:p>
        </w:tc>
        <w:tc>
          <w:tcPr>
            <w:tcW w:w="526" w:type="pct"/>
            <w:vAlign w:val="center"/>
            <w:hideMark/>
          </w:tcPr>
          <w:p w:rsidR="002858F0" w:rsidRDefault="00FE5F90">
            <w:pPr>
              <w:spacing w:line="360" w:lineRule="auto"/>
              <w:jc w:val="center"/>
              <w:rPr>
                <w:b/>
                <w:bCs/>
              </w:rPr>
            </w:pPr>
            <w:r>
              <w:rPr>
                <w:b/>
                <w:bCs/>
              </w:rPr>
              <w:t>Rural Men</w:t>
            </w:r>
          </w:p>
        </w:tc>
        <w:tc>
          <w:tcPr>
            <w:tcW w:w="771" w:type="pct"/>
            <w:vAlign w:val="center"/>
            <w:hideMark/>
          </w:tcPr>
          <w:p w:rsidR="002858F0" w:rsidRDefault="00FE5F90">
            <w:pPr>
              <w:spacing w:line="360" w:lineRule="auto"/>
              <w:jc w:val="center"/>
              <w:rPr>
                <w:b/>
                <w:bCs/>
              </w:rPr>
            </w:pPr>
            <w:r>
              <w:rPr>
                <w:b/>
                <w:bCs/>
              </w:rPr>
              <w:t>Rural Women</w:t>
            </w:r>
          </w:p>
        </w:tc>
        <w:tc>
          <w:tcPr>
            <w:tcW w:w="665" w:type="pct"/>
            <w:vAlign w:val="center"/>
            <w:hideMark/>
          </w:tcPr>
          <w:p w:rsidR="002858F0" w:rsidRDefault="00FE5F90">
            <w:pPr>
              <w:spacing w:line="360" w:lineRule="auto"/>
              <w:jc w:val="center"/>
              <w:rPr>
                <w:b/>
                <w:bCs/>
              </w:rPr>
            </w:pPr>
            <w:r>
              <w:rPr>
                <w:b/>
                <w:bCs/>
              </w:rPr>
              <w:t>Urban Men</w:t>
            </w:r>
          </w:p>
        </w:tc>
        <w:tc>
          <w:tcPr>
            <w:tcW w:w="789" w:type="pct"/>
            <w:vAlign w:val="center"/>
            <w:hideMark/>
          </w:tcPr>
          <w:p w:rsidR="002858F0" w:rsidRDefault="00FE5F90">
            <w:pPr>
              <w:spacing w:line="360" w:lineRule="auto"/>
              <w:jc w:val="center"/>
              <w:rPr>
                <w:b/>
                <w:bCs/>
              </w:rPr>
            </w:pPr>
            <w:r>
              <w:rPr>
                <w:b/>
                <w:bCs/>
              </w:rPr>
              <w:t>Urban Women</w:t>
            </w:r>
          </w:p>
        </w:tc>
        <w:tc>
          <w:tcPr>
            <w:tcW w:w="730" w:type="pct"/>
            <w:vAlign w:val="center"/>
            <w:hideMark/>
          </w:tcPr>
          <w:p w:rsidR="002858F0" w:rsidRDefault="00FE5F90">
            <w:pPr>
              <w:spacing w:line="360" w:lineRule="auto"/>
              <w:jc w:val="center"/>
              <w:rPr>
                <w:b/>
                <w:bCs/>
              </w:rPr>
            </w:pPr>
            <w:r>
              <w:rPr>
                <w:b/>
                <w:bCs/>
              </w:rPr>
              <w:t>All India Men</w:t>
            </w:r>
          </w:p>
        </w:tc>
        <w:tc>
          <w:tcPr>
            <w:tcW w:w="855" w:type="pct"/>
            <w:vAlign w:val="center"/>
            <w:hideMark/>
          </w:tcPr>
          <w:p w:rsidR="002858F0" w:rsidRDefault="00FE5F90">
            <w:pPr>
              <w:spacing w:line="360" w:lineRule="auto"/>
              <w:jc w:val="center"/>
              <w:rPr>
                <w:b/>
                <w:bCs/>
              </w:rPr>
            </w:pPr>
            <w:r>
              <w:rPr>
                <w:b/>
                <w:bCs/>
              </w:rPr>
              <w:t>All India Women</w:t>
            </w:r>
          </w:p>
        </w:tc>
      </w:tr>
      <w:tr w:rsidR="002858F0">
        <w:tc>
          <w:tcPr>
            <w:tcW w:w="665" w:type="pct"/>
            <w:vAlign w:val="center"/>
            <w:hideMark/>
          </w:tcPr>
          <w:p w:rsidR="002858F0" w:rsidRDefault="00FE5F90">
            <w:pPr>
              <w:spacing w:line="360" w:lineRule="auto"/>
              <w:jc w:val="center"/>
            </w:pPr>
            <w:r>
              <w:t>2017-18</w:t>
            </w:r>
          </w:p>
        </w:tc>
        <w:tc>
          <w:tcPr>
            <w:tcW w:w="526" w:type="pct"/>
            <w:vAlign w:val="center"/>
            <w:hideMark/>
          </w:tcPr>
          <w:p w:rsidR="002858F0" w:rsidRDefault="00FE5F90">
            <w:pPr>
              <w:spacing w:line="360" w:lineRule="auto"/>
              <w:jc w:val="center"/>
            </w:pPr>
            <w:r>
              <w:t>13,436</w:t>
            </w:r>
          </w:p>
        </w:tc>
        <w:tc>
          <w:tcPr>
            <w:tcW w:w="771" w:type="pct"/>
            <w:vAlign w:val="center"/>
            <w:hideMark/>
          </w:tcPr>
          <w:p w:rsidR="002858F0" w:rsidRDefault="00FE5F90">
            <w:pPr>
              <w:spacing w:line="360" w:lineRule="auto"/>
              <w:jc w:val="center"/>
            </w:pPr>
            <w:r>
              <w:t>10,883</w:t>
            </w:r>
          </w:p>
        </w:tc>
        <w:tc>
          <w:tcPr>
            <w:tcW w:w="665" w:type="pct"/>
            <w:vAlign w:val="center"/>
            <w:hideMark/>
          </w:tcPr>
          <w:p w:rsidR="002858F0" w:rsidRDefault="00FE5F90">
            <w:pPr>
              <w:spacing w:line="360" w:lineRule="auto"/>
              <w:jc w:val="center"/>
            </w:pPr>
            <w:r>
              <w:t>19,326</w:t>
            </w:r>
          </w:p>
        </w:tc>
        <w:tc>
          <w:tcPr>
            <w:tcW w:w="789" w:type="pct"/>
            <w:vAlign w:val="center"/>
            <w:hideMark/>
          </w:tcPr>
          <w:p w:rsidR="002858F0" w:rsidRDefault="00FE5F90">
            <w:pPr>
              <w:spacing w:line="360" w:lineRule="auto"/>
              <w:jc w:val="center"/>
            </w:pPr>
            <w:r>
              <w:t>15,411</w:t>
            </w:r>
          </w:p>
        </w:tc>
        <w:tc>
          <w:tcPr>
            <w:tcW w:w="730" w:type="pct"/>
            <w:vAlign w:val="center"/>
            <w:hideMark/>
          </w:tcPr>
          <w:p w:rsidR="002858F0" w:rsidRDefault="00FE5F90">
            <w:pPr>
              <w:spacing w:line="360" w:lineRule="auto"/>
              <w:jc w:val="center"/>
            </w:pPr>
            <w:r>
              <w:t>17,452</w:t>
            </w:r>
          </w:p>
        </w:tc>
        <w:tc>
          <w:tcPr>
            <w:tcW w:w="855" w:type="pct"/>
            <w:vAlign w:val="center"/>
            <w:hideMark/>
          </w:tcPr>
          <w:p w:rsidR="002858F0" w:rsidRDefault="00FE5F90">
            <w:pPr>
              <w:spacing w:line="360" w:lineRule="auto"/>
              <w:jc w:val="center"/>
            </w:pPr>
            <w:r>
              <w:t>13,639</w:t>
            </w:r>
          </w:p>
        </w:tc>
      </w:tr>
      <w:tr w:rsidR="002858F0">
        <w:tc>
          <w:tcPr>
            <w:tcW w:w="665" w:type="pct"/>
            <w:vAlign w:val="center"/>
            <w:hideMark/>
          </w:tcPr>
          <w:p w:rsidR="002858F0" w:rsidRDefault="00FE5F90">
            <w:pPr>
              <w:spacing w:line="360" w:lineRule="auto"/>
              <w:jc w:val="center"/>
            </w:pPr>
            <w:r>
              <w:t>2018-19</w:t>
            </w:r>
          </w:p>
        </w:tc>
        <w:tc>
          <w:tcPr>
            <w:tcW w:w="526" w:type="pct"/>
            <w:vAlign w:val="center"/>
            <w:hideMark/>
          </w:tcPr>
          <w:p w:rsidR="002858F0" w:rsidRDefault="00FE5F90">
            <w:pPr>
              <w:spacing w:line="360" w:lineRule="auto"/>
              <w:jc w:val="center"/>
            </w:pPr>
            <w:r>
              <w:t>14,297</w:t>
            </w:r>
          </w:p>
        </w:tc>
        <w:tc>
          <w:tcPr>
            <w:tcW w:w="771" w:type="pct"/>
            <w:vAlign w:val="center"/>
            <w:hideMark/>
          </w:tcPr>
          <w:p w:rsidR="002858F0" w:rsidRDefault="00FE5F90">
            <w:pPr>
              <w:spacing w:line="360" w:lineRule="auto"/>
              <w:jc w:val="center"/>
            </w:pPr>
            <w:r>
              <w:t>11,235</w:t>
            </w:r>
          </w:p>
        </w:tc>
        <w:tc>
          <w:tcPr>
            <w:tcW w:w="665" w:type="pct"/>
            <w:vAlign w:val="center"/>
            <w:hideMark/>
          </w:tcPr>
          <w:p w:rsidR="002858F0" w:rsidRDefault="00FE5F90">
            <w:pPr>
              <w:spacing w:line="360" w:lineRule="auto"/>
              <w:jc w:val="center"/>
            </w:pPr>
            <w:r>
              <w:t>20,281</w:t>
            </w:r>
          </w:p>
        </w:tc>
        <w:tc>
          <w:tcPr>
            <w:tcW w:w="789" w:type="pct"/>
            <w:vAlign w:val="center"/>
            <w:hideMark/>
          </w:tcPr>
          <w:p w:rsidR="002858F0" w:rsidRDefault="00FE5F90">
            <w:pPr>
              <w:spacing w:line="360" w:lineRule="auto"/>
              <w:jc w:val="center"/>
            </w:pPr>
            <w:r>
              <w:t>15,874</w:t>
            </w:r>
          </w:p>
        </w:tc>
        <w:tc>
          <w:tcPr>
            <w:tcW w:w="730" w:type="pct"/>
            <w:vAlign w:val="center"/>
            <w:hideMark/>
          </w:tcPr>
          <w:p w:rsidR="002858F0" w:rsidRDefault="00FE5F90">
            <w:pPr>
              <w:spacing w:line="360" w:lineRule="auto"/>
              <w:jc w:val="center"/>
            </w:pPr>
            <w:r>
              <w:t>18,210</w:t>
            </w:r>
          </w:p>
        </w:tc>
        <w:tc>
          <w:tcPr>
            <w:tcW w:w="855" w:type="pct"/>
            <w:vAlign w:val="center"/>
            <w:hideMark/>
          </w:tcPr>
          <w:p w:rsidR="002858F0" w:rsidRDefault="00FE5F90">
            <w:pPr>
              <w:spacing w:line="360" w:lineRule="auto"/>
              <w:jc w:val="center"/>
            </w:pPr>
            <w:r>
              <w:t>13,955</w:t>
            </w:r>
          </w:p>
        </w:tc>
      </w:tr>
      <w:tr w:rsidR="002858F0">
        <w:tc>
          <w:tcPr>
            <w:tcW w:w="665" w:type="pct"/>
            <w:vAlign w:val="center"/>
            <w:hideMark/>
          </w:tcPr>
          <w:p w:rsidR="002858F0" w:rsidRDefault="00FE5F90">
            <w:pPr>
              <w:spacing w:line="360" w:lineRule="auto"/>
              <w:jc w:val="center"/>
            </w:pPr>
            <w:r>
              <w:t>2019-20</w:t>
            </w:r>
          </w:p>
        </w:tc>
        <w:tc>
          <w:tcPr>
            <w:tcW w:w="526" w:type="pct"/>
            <w:vAlign w:val="center"/>
            <w:hideMark/>
          </w:tcPr>
          <w:p w:rsidR="002858F0" w:rsidRDefault="00FE5F90">
            <w:pPr>
              <w:spacing w:line="360" w:lineRule="auto"/>
              <w:jc w:val="center"/>
            </w:pPr>
            <w:r>
              <w:t>15,236</w:t>
            </w:r>
          </w:p>
        </w:tc>
        <w:tc>
          <w:tcPr>
            <w:tcW w:w="771" w:type="pct"/>
            <w:vAlign w:val="center"/>
            <w:hideMark/>
          </w:tcPr>
          <w:p w:rsidR="002858F0" w:rsidRDefault="00FE5F90">
            <w:pPr>
              <w:spacing w:line="360" w:lineRule="auto"/>
              <w:jc w:val="center"/>
            </w:pPr>
            <w:r>
              <w:t>12,004</w:t>
            </w:r>
          </w:p>
        </w:tc>
        <w:tc>
          <w:tcPr>
            <w:tcW w:w="665" w:type="pct"/>
            <w:vAlign w:val="center"/>
            <w:hideMark/>
          </w:tcPr>
          <w:p w:rsidR="002858F0" w:rsidRDefault="00FE5F90">
            <w:pPr>
              <w:spacing w:line="360" w:lineRule="auto"/>
              <w:jc w:val="center"/>
            </w:pPr>
            <w:r>
              <w:t>21,452</w:t>
            </w:r>
          </w:p>
        </w:tc>
        <w:tc>
          <w:tcPr>
            <w:tcW w:w="789" w:type="pct"/>
            <w:vAlign w:val="center"/>
            <w:hideMark/>
          </w:tcPr>
          <w:p w:rsidR="002858F0" w:rsidRDefault="00FE5F90">
            <w:pPr>
              <w:spacing w:line="360" w:lineRule="auto"/>
              <w:jc w:val="center"/>
            </w:pPr>
            <w:r>
              <w:t>16,823</w:t>
            </w:r>
          </w:p>
        </w:tc>
        <w:tc>
          <w:tcPr>
            <w:tcW w:w="730" w:type="pct"/>
            <w:vAlign w:val="center"/>
            <w:hideMark/>
          </w:tcPr>
          <w:p w:rsidR="002858F0" w:rsidRDefault="00FE5F90">
            <w:pPr>
              <w:spacing w:line="360" w:lineRule="auto"/>
              <w:jc w:val="center"/>
            </w:pPr>
            <w:r>
              <w:t>19,342</w:t>
            </w:r>
          </w:p>
        </w:tc>
        <w:tc>
          <w:tcPr>
            <w:tcW w:w="855" w:type="pct"/>
            <w:vAlign w:val="center"/>
            <w:hideMark/>
          </w:tcPr>
          <w:p w:rsidR="002858F0" w:rsidRDefault="00FE5F90">
            <w:pPr>
              <w:spacing w:line="360" w:lineRule="auto"/>
              <w:jc w:val="center"/>
            </w:pPr>
            <w:r>
              <w:t>14,878</w:t>
            </w:r>
          </w:p>
        </w:tc>
      </w:tr>
      <w:tr w:rsidR="002858F0">
        <w:tc>
          <w:tcPr>
            <w:tcW w:w="665" w:type="pct"/>
            <w:vAlign w:val="center"/>
            <w:hideMark/>
          </w:tcPr>
          <w:p w:rsidR="002858F0" w:rsidRDefault="00FE5F90">
            <w:pPr>
              <w:spacing w:line="360" w:lineRule="auto"/>
              <w:jc w:val="center"/>
            </w:pPr>
            <w:r>
              <w:t>2020-21</w:t>
            </w:r>
          </w:p>
        </w:tc>
        <w:tc>
          <w:tcPr>
            <w:tcW w:w="526" w:type="pct"/>
            <w:vAlign w:val="center"/>
            <w:hideMark/>
          </w:tcPr>
          <w:p w:rsidR="002858F0" w:rsidRDefault="00FE5F90">
            <w:pPr>
              <w:spacing w:line="360" w:lineRule="auto"/>
              <w:jc w:val="center"/>
            </w:pPr>
            <w:r>
              <w:t>15,882</w:t>
            </w:r>
          </w:p>
        </w:tc>
        <w:tc>
          <w:tcPr>
            <w:tcW w:w="771" w:type="pct"/>
            <w:vAlign w:val="center"/>
            <w:hideMark/>
          </w:tcPr>
          <w:p w:rsidR="002858F0" w:rsidRDefault="00FE5F90">
            <w:pPr>
              <w:spacing w:line="360" w:lineRule="auto"/>
              <w:jc w:val="center"/>
            </w:pPr>
            <w:r>
              <w:t>12,274</w:t>
            </w:r>
          </w:p>
        </w:tc>
        <w:tc>
          <w:tcPr>
            <w:tcW w:w="665" w:type="pct"/>
            <w:vAlign w:val="center"/>
            <w:hideMark/>
          </w:tcPr>
          <w:p w:rsidR="002858F0" w:rsidRDefault="00FE5F90">
            <w:pPr>
              <w:spacing w:line="360" w:lineRule="auto"/>
              <w:jc w:val="center"/>
            </w:pPr>
            <w:r>
              <w:t>21,991</w:t>
            </w:r>
          </w:p>
        </w:tc>
        <w:tc>
          <w:tcPr>
            <w:tcW w:w="789" w:type="pct"/>
            <w:vAlign w:val="center"/>
            <w:hideMark/>
          </w:tcPr>
          <w:p w:rsidR="002858F0" w:rsidRDefault="00FE5F90">
            <w:pPr>
              <w:spacing w:line="360" w:lineRule="auto"/>
              <w:jc w:val="center"/>
            </w:pPr>
            <w:r>
              <w:t>17,115</w:t>
            </w:r>
          </w:p>
        </w:tc>
        <w:tc>
          <w:tcPr>
            <w:tcW w:w="730" w:type="pct"/>
            <w:vAlign w:val="center"/>
            <w:hideMark/>
          </w:tcPr>
          <w:p w:rsidR="002858F0" w:rsidRDefault="00FE5F90">
            <w:pPr>
              <w:spacing w:line="360" w:lineRule="auto"/>
              <w:jc w:val="center"/>
            </w:pPr>
            <w:r>
              <w:t>19,930</w:t>
            </w:r>
          </w:p>
        </w:tc>
        <w:tc>
          <w:tcPr>
            <w:tcW w:w="855" w:type="pct"/>
            <w:vAlign w:val="center"/>
            <w:hideMark/>
          </w:tcPr>
          <w:p w:rsidR="002858F0" w:rsidRDefault="00FE5F90">
            <w:pPr>
              <w:spacing w:line="360" w:lineRule="auto"/>
              <w:jc w:val="center"/>
            </w:pPr>
            <w:r>
              <w:t>15,174</w:t>
            </w:r>
          </w:p>
        </w:tc>
      </w:tr>
      <w:tr w:rsidR="002858F0">
        <w:tc>
          <w:tcPr>
            <w:tcW w:w="665" w:type="pct"/>
            <w:vAlign w:val="center"/>
            <w:hideMark/>
          </w:tcPr>
          <w:p w:rsidR="002858F0" w:rsidRDefault="00FE5F90">
            <w:pPr>
              <w:spacing w:line="360" w:lineRule="auto"/>
              <w:jc w:val="center"/>
            </w:pPr>
            <w:r>
              <w:t>2021-22</w:t>
            </w:r>
          </w:p>
        </w:tc>
        <w:tc>
          <w:tcPr>
            <w:tcW w:w="526" w:type="pct"/>
            <w:vAlign w:val="center"/>
            <w:hideMark/>
          </w:tcPr>
          <w:p w:rsidR="002858F0" w:rsidRDefault="00FE5F90">
            <w:pPr>
              <w:spacing w:line="360" w:lineRule="auto"/>
              <w:jc w:val="center"/>
            </w:pPr>
            <w:r>
              <w:t>16,444</w:t>
            </w:r>
          </w:p>
        </w:tc>
        <w:tc>
          <w:tcPr>
            <w:tcW w:w="771" w:type="pct"/>
            <w:vAlign w:val="center"/>
            <w:hideMark/>
          </w:tcPr>
          <w:p w:rsidR="002858F0" w:rsidRDefault="00FE5F90">
            <w:pPr>
              <w:spacing w:line="360" w:lineRule="auto"/>
              <w:jc w:val="center"/>
            </w:pPr>
            <w:r>
              <w:t>12,690</w:t>
            </w:r>
          </w:p>
        </w:tc>
        <w:tc>
          <w:tcPr>
            <w:tcW w:w="665" w:type="pct"/>
            <w:vAlign w:val="center"/>
            <w:hideMark/>
          </w:tcPr>
          <w:p w:rsidR="002858F0" w:rsidRDefault="00FE5F90">
            <w:pPr>
              <w:spacing w:line="360" w:lineRule="auto"/>
              <w:jc w:val="center"/>
            </w:pPr>
            <w:r>
              <w:t>22,684</w:t>
            </w:r>
          </w:p>
        </w:tc>
        <w:tc>
          <w:tcPr>
            <w:tcW w:w="789" w:type="pct"/>
            <w:vAlign w:val="center"/>
            <w:hideMark/>
          </w:tcPr>
          <w:p w:rsidR="002858F0" w:rsidRDefault="00FE5F90">
            <w:pPr>
              <w:spacing w:line="360" w:lineRule="auto"/>
              <w:jc w:val="center"/>
            </w:pPr>
            <w:r>
              <w:t>17,665</w:t>
            </w:r>
          </w:p>
        </w:tc>
        <w:tc>
          <w:tcPr>
            <w:tcW w:w="730" w:type="pct"/>
            <w:vAlign w:val="center"/>
            <w:hideMark/>
          </w:tcPr>
          <w:p w:rsidR="002858F0" w:rsidRDefault="00FE5F90">
            <w:pPr>
              <w:spacing w:line="360" w:lineRule="auto"/>
              <w:jc w:val="center"/>
            </w:pPr>
            <w:r>
              <w:t>20,662</w:t>
            </w:r>
          </w:p>
        </w:tc>
        <w:tc>
          <w:tcPr>
            <w:tcW w:w="855" w:type="pct"/>
            <w:vAlign w:val="center"/>
            <w:hideMark/>
          </w:tcPr>
          <w:p w:rsidR="002858F0" w:rsidRDefault="00FE5F90">
            <w:pPr>
              <w:spacing w:line="360" w:lineRule="auto"/>
              <w:jc w:val="center"/>
            </w:pPr>
            <w:r>
              <w:t>15,611</w:t>
            </w:r>
          </w:p>
        </w:tc>
      </w:tr>
      <w:tr w:rsidR="002858F0">
        <w:tc>
          <w:tcPr>
            <w:tcW w:w="665" w:type="pct"/>
            <w:vAlign w:val="center"/>
            <w:hideMark/>
          </w:tcPr>
          <w:p w:rsidR="002858F0" w:rsidRDefault="00FE5F90">
            <w:pPr>
              <w:spacing w:line="360" w:lineRule="auto"/>
              <w:jc w:val="center"/>
            </w:pPr>
            <w:r>
              <w:t>2022-23</w:t>
            </w:r>
          </w:p>
        </w:tc>
        <w:tc>
          <w:tcPr>
            <w:tcW w:w="526" w:type="pct"/>
            <w:vAlign w:val="center"/>
            <w:hideMark/>
          </w:tcPr>
          <w:p w:rsidR="002858F0" w:rsidRDefault="00FE5F90">
            <w:pPr>
              <w:spacing w:line="360" w:lineRule="auto"/>
              <w:jc w:val="center"/>
            </w:pPr>
            <w:r>
              <w:t>17,274</w:t>
            </w:r>
          </w:p>
        </w:tc>
        <w:tc>
          <w:tcPr>
            <w:tcW w:w="771" w:type="pct"/>
            <w:vAlign w:val="center"/>
            <w:hideMark/>
          </w:tcPr>
          <w:p w:rsidR="002858F0" w:rsidRDefault="00FE5F90">
            <w:pPr>
              <w:spacing w:line="360" w:lineRule="auto"/>
              <w:jc w:val="center"/>
            </w:pPr>
            <w:r>
              <w:t>13,825</w:t>
            </w:r>
          </w:p>
        </w:tc>
        <w:tc>
          <w:tcPr>
            <w:tcW w:w="665" w:type="pct"/>
            <w:vAlign w:val="center"/>
            <w:hideMark/>
          </w:tcPr>
          <w:p w:rsidR="002858F0" w:rsidRDefault="00FE5F90">
            <w:pPr>
              <w:spacing w:line="360" w:lineRule="auto"/>
              <w:jc w:val="center"/>
            </w:pPr>
            <w:r>
              <w:t>24,243</w:t>
            </w:r>
          </w:p>
        </w:tc>
        <w:tc>
          <w:tcPr>
            <w:tcW w:w="789" w:type="pct"/>
            <w:vAlign w:val="center"/>
            <w:hideMark/>
          </w:tcPr>
          <w:p w:rsidR="002858F0" w:rsidRDefault="00FE5F90">
            <w:pPr>
              <w:spacing w:line="360" w:lineRule="auto"/>
              <w:jc w:val="center"/>
            </w:pPr>
            <w:r>
              <w:t>19,308</w:t>
            </w:r>
          </w:p>
        </w:tc>
        <w:tc>
          <w:tcPr>
            <w:tcW w:w="730" w:type="pct"/>
            <w:vAlign w:val="center"/>
            <w:hideMark/>
          </w:tcPr>
          <w:p w:rsidR="002858F0" w:rsidRDefault="00FE5F90">
            <w:pPr>
              <w:spacing w:line="360" w:lineRule="auto"/>
              <w:jc w:val="center"/>
            </w:pPr>
            <w:r>
              <w:t>22,012</w:t>
            </w:r>
          </w:p>
        </w:tc>
        <w:tc>
          <w:tcPr>
            <w:tcW w:w="855" w:type="pct"/>
            <w:vAlign w:val="center"/>
            <w:hideMark/>
          </w:tcPr>
          <w:p w:rsidR="002858F0" w:rsidRDefault="00FE5F90">
            <w:pPr>
              <w:spacing w:line="360" w:lineRule="auto"/>
              <w:jc w:val="center"/>
            </w:pPr>
            <w:r>
              <w:t>16,886</w:t>
            </w:r>
          </w:p>
        </w:tc>
      </w:tr>
      <w:tr w:rsidR="002858F0">
        <w:tc>
          <w:tcPr>
            <w:tcW w:w="665" w:type="pct"/>
            <w:vAlign w:val="center"/>
            <w:hideMark/>
          </w:tcPr>
          <w:p w:rsidR="002858F0" w:rsidRDefault="00FE5F90">
            <w:pPr>
              <w:spacing w:line="360" w:lineRule="auto"/>
              <w:jc w:val="center"/>
            </w:pPr>
            <w:r>
              <w:t>2023-24</w:t>
            </w:r>
          </w:p>
        </w:tc>
        <w:tc>
          <w:tcPr>
            <w:tcW w:w="526" w:type="pct"/>
            <w:vAlign w:val="center"/>
            <w:hideMark/>
          </w:tcPr>
          <w:p w:rsidR="002858F0" w:rsidRDefault="00FE5F90">
            <w:pPr>
              <w:spacing w:line="360" w:lineRule="auto"/>
              <w:jc w:val="center"/>
            </w:pPr>
            <w:r>
              <w:t>18,021</w:t>
            </w:r>
          </w:p>
        </w:tc>
        <w:tc>
          <w:tcPr>
            <w:tcW w:w="771" w:type="pct"/>
            <w:vAlign w:val="center"/>
            <w:hideMark/>
          </w:tcPr>
          <w:p w:rsidR="002858F0" w:rsidRDefault="00FE5F90">
            <w:pPr>
              <w:spacing w:line="360" w:lineRule="auto"/>
              <w:jc w:val="center"/>
            </w:pPr>
            <w:r>
              <w:t>14,312</w:t>
            </w:r>
          </w:p>
        </w:tc>
        <w:tc>
          <w:tcPr>
            <w:tcW w:w="665" w:type="pct"/>
            <w:vAlign w:val="center"/>
            <w:hideMark/>
          </w:tcPr>
          <w:p w:rsidR="002858F0" w:rsidRDefault="00FE5F90">
            <w:pPr>
              <w:spacing w:line="360" w:lineRule="auto"/>
              <w:jc w:val="center"/>
            </w:pPr>
            <w:r>
              <w:t>25,276</w:t>
            </w:r>
          </w:p>
        </w:tc>
        <w:tc>
          <w:tcPr>
            <w:tcW w:w="789" w:type="pct"/>
            <w:vAlign w:val="center"/>
            <w:hideMark/>
          </w:tcPr>
          <w:p w:rsidR="002858F0" w:rsidRDefault="00FE5F90">
            <w:pPr>
              <w:spacing w:line="360" w:lineRule="auto"/>
              <w:jc w:val="center"/>
            </w:pPr>
            <w:r>
              <w:t>20,215</w:t>
            </w:r>
          </w:p>
        </w:tc>
        <w:tc>
          <w:tcPr>
            <w:tcW w:w="730" w:type="pct"/>
            <w:vAlign w:val="center"/>
            <w:hideMark/>
          </w:tcPr>
          <w:p w:rsidR="002858F0" w:rsidRDefault="00FE5F90">
            <w:pPr>
              <w:spacing w:line="360" w:lineRule="auto"/>
              <w:jc w:val="center"/>
            </w:pPr>
            <w:r>
              <w:t>23,109</w:t>
            </w:r>
          </w:p>
        </w:tc>
        <w:tc>
          <w:tcPr>
            <w:tcW w:w="855" w:type="pct"/>
            <w:vAlign w:val="center"/>
            <w:hideMark/>
          </w:tcPr>
          <w:p w:rsidR="002858F0" w:rsidRDefault="00FE5F90">
            <w:pPr>
              <w:spacing w:line="360" w:lineRule="auto"/>
              <w:jc w:val="center"/>
            </w:pPr>
            <w:r>
              <w:t>17,463</w:t>
            </w:r>
          </w:p>
        </w:tc>
      </w:tr>
    </w:tbl>
    <w:p w:rsidR="002858F0" w:rsidRDefault="00FE5F90">
      <w:pPr>
        <w:rPr>
          <w:b/>
          <w:bCs/>
        </w:rPr>
      </w:pPr>
      <w:r>
        <w:rPr>
          <w:b/>
          <w:bCs/>
        </w:rPr>
        <w:t>Compiled from: Annual PLFS reports (2017-18 to 2023-24), Ministry of Statistics and Programme Implementation (MoSPI).</w:t>
      </w:r>
    </w:p>
    <w:p w:rsidR="002858F0" w:rsidRDefault="00FE5F90">
      <w:pPr>
        <w:jc w:val="center"/>
        <w:rPr>
          <w:b/>
          <w:bCs/>
        </w:rPr>
      </w:pPr>
      <w:r>
        <w:rPr>
          <w:noProof/>
        </w:rPr>
        <w:drawing>
          <wp:inline distT="0" distB="0" distL="114300" distR="114300">
            <wp:extent cx="4879239" cy="2640788"/>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858F0" w:rsidRDefault="00FE5F90">
      <w:pPr>
        <w:jc w:val="center"/>
        <w:rPr>
          <w:b/>
          <w:bCs/>
        </w:rPr>
      </w:pPr>
      <w:r>
        <w:rPr>
          <w:b/>
          <w:bCs/>
        </w:rPr>
        <w:t xml:space="preserve">Figure </w:t>
      </w:r>
      <w:proofErr w:type="gramStart"/>
      <w:r>
        <w:rPr>
          <w:b/>
          <w:bCs/>
        </w:rPr>
        <w:t>1 :</w:t>
      </w:r>
      <w:proofErr w:type="gramEnd"/>
      <w:r>
        <w:rPr>
          <w:b/>
          <w:bCs/>
        </w:rPr>
        <w:t xml:space="preserve"> Average Monthly Earnings of Regular Salaried Employees (₹), by Gender and Location</w:t>
      </w:r>
    </w:p>
    <w:p w:rsidR="002858F0" w:rsidRDefault="00FE5F90">
      <w:pPr>
        <w:rPr>
          <w:b/>
          <w:bCs/>
        </w:rPr>
      </w:pPr>
      <w:r>
        <w:rPr>
          <w:b/>
          <w:bCs/>
        </w:rPr>
        <w:t>Table 3. Average Daily Wages of Casual Labourers (₹), by Gender and Location</w:t>
      </w:r>
    </w:p>
    <w:tbl>
      <w:tblPr>
        <w:tblStyle w:val="TableGrid"/>
        <w:tblW w:w="5000" w:type="pct"/>
        <w:tblLook w:val="04A0" w:firstRow="1" w:lastRow="0" w:firstColumn="1" w:lastColumn="0" w:noHBand="0" w:noVBand="1"/>
      </w:tblPr>
      <w:tblGrid>
        <w:gridCol w:w="1391"/>
        <w:gridCol w:w="1079"/>
        <w:gridCol w:w="1627"/>
        <w:gridCol w:w="1401"/>
        <w:gridCol w:w="1669"/>
        <w:gridCol w:w="1474"/>
        <w:gridCol w:w="1815"/>
      </w:tblGrid>
      <w:tr w:rsidR="002858F0">
        <w:tc>
          <w:tcPr>
            <w:tcW w:w="665" w:type="pct"/>
            <w:vAlign w:val="center"/>
            <w:hideMark/>
          </w:tcPr>
          <w:p w:rsidR="002858F0" w:rsidRDefault="00FE5F90">
            <w:pPr>
              <w:spacing w:line="360" w:lineRule="auto"/>
              <w:jc w:val="center"/>
              <w:rPr>
                <w:b/>
                <w:bCs/>
              </w:rPr>
            </w:pPr>
            <w:r>
              <w:rPr>
                <w:b/>
                <w:bCs/>
              </w:rPr>
              <w:t>Year</w:t>
            </w:r>
          </w:p>
        </w:tc>
        <w:tc>
          <w:tcPr>
            <w:tcW w:w="516" w:type="pct"/>
            <w:vAlign w:val="center"/>
            <w:hideMark/>
          </w:tcPr>
          <w:p w:rsidR="002858F0" w:rsidRDefault="00FE5F90">
            <w:pPr>
              <w:spacing w:line="360" w:lineRule="auto"/>
              <w:jc w:val="center"/>
              <w:rPr>
                <w:b/>
                <w:bCs/>
              </w:rPr>
            </w:pPr>
            <w:r>
              <w:rPr>
                <w:b/>
                <w:bCs/>
              </w:rPr>
              <w:t>Rural Men</w:t>
            </w:r>
          </w:p>
        </w:tc>
        <w:tc>
          <w:tcPr>
            <w:tcW w:w="778" w:type="pct"/>
            <w:vAlign w:val="center"/>
            <w:hideMark/>
          </w:tcPr>
          <w:p w:rsidR="002858F0" w:rsidRDefault="00FE5F90">
            <w:pPr>
              <w:spacing w:line="360" w:lineRule="auto"/>
              <w:jc w:val="center"/>
              <w:rPr>
                <w:b/>
                <w:bCs/>
              </w:rPr>
            </w:pPr>
            <w:r>
              <w:rPr>
                <w:b/>
                <w:bCs/>
              </w:rPr>
              <w:t>Rural Women</w:t>
            </w:r>
          </w:p>
        </w:tc>
        <w:tc>
          <w:tcPr>
            <w:tcW w:w="670" w:type="pct"/>
            <w:vAlign w:val="center"/>
            <w:hideMark/>
          </w:tcPr>
          <w:p w:rsidR="002858F0" w:rsidRDefault="00FE5F90">
            <w:pPr>
              <w:spacing w:line="360" w:lineRule="auto"/>
              <w:jc w:val="center"/>
              <w:rPr>
                <w:b/>
                <w:bCs/>
              </w:rPr>
            </w:pPr>
            <w:r>
              <w:rPr>
                <w:b/>
                <w:bCs/>
              </w:rPr>
              <w:t>Urban Men</w:t>
            </w:r>
          </w:p>
        </w:tc>
        <w:tc>
          <w:tcPr>
            <w:tcW w:w="798" w:type="pct"/>
            <w:vAlign w:val="center"/>
            <w:hideMark/>
          </w:tcPr>
          <w:p w:rsidR="002858F0" w:rsidRDefault="00FE5F90">
            <w:pPr>
              <w:spacing w:line="360" w:lineRule="auto"/>
              <w:jc w:val="center"/>
              <w:rPr>
                <w:b/>
                <w:bCs/>
              </w:rPr>
            </w:pPr>
            <w:r>
              <w:rPr>
                <w:b/>
                <w:bCs/>
              </w:rPr>
              <w:t>Urban Women</w:t>
            </w:r>
          </w:p>
        </w:tc>
        <w:tc>
          <w:tcPr>
            <w:tcW w:w="705" w:type="pct"/>
            <w:vAlign w:val="center"/>
            <w:hideMark/>
          </w:tcPr>
          <w:p w:rsidR="002858F0" w:rsidRDefault="00FE5F90">
            <w:pPr>
              <w:spacing w:line="360" w:lineRule="auto"/>
              <w:jc w:val="center"/>
              <w:rPr>
                <w:b/>
                <w:bCs/>
              </w:rPr>
            </w:pPr>
            <w:r>
              <w:rPr>
                <w:b/>
                <w:bCs/>
              </w:rPr>
              <w:t>All India Men</w:t>
            </w:r>
          </w:p>
        </w:tc>
        <w:tc>
          <w:tcPr>
            <w:tcW w:w="868" w:type="pct"/>
            <w:vAlign w:val="center"/>
            <w:hideMark/>
          </w:tcPr>
          <w:p w:rsidR="002858F0" w:rsidRDefault="00FE5F90">
            <w:pPr>
              <w:spacing w:line="360" w:lineRule="auto"/>
              <w:jc w:val="center"/>
              <w:rPr>
                <w:b/>
                <w:bCs/>
              </w:rPr>
            </w:pPr>
            <w:r>
              <w:rPr>
                <w:b/>
                <w:bCs/>
              </w:rPr>
              <w:t>All India Women</w:t>
            </w:r>
          </w:p>
        </w:tc>
      </w:tr>
      <w:tr w:rsidR="002858F0">
        <w:tc>
          <w:tcPr>
            <w:tcW w:w="665" w:type="pct"/>
            <w:vAlign w:val="center"/>
            <w:hideMark/>
          </w:tcPr>
          <w:p w:rsidR="002858F0" w:rsidRDefault="00FE5F90">
            <w:pPr>
              <w:spacing w:line="360" w:lineRule="auto"/>
              <w:jc w:val="center"/>
            </w:pPr>
            <w:r>
              <w:t>2017-18</w:t>
            </w:r>
          </w:p>
        </w:tc>
        <w:tc>
          <w:tcPr>
            <w:tcW w:w="516" w:type="pct"/>
            <w:vAlign w:val="center"/>
            <w:hideMark/>
          </w:tcPr>
          <w:p w:rsidR="002858F0" w:rsidRDefault="00FE5F90">
            <w:pPr>
              <w:spacing w:line="360" w:lineRule="auto"/>
              <w:jc w:val="center"/>
            </w:pPr>
            <w:r>
              <w:t>324</w:t>
            </w:r>
          </w:p>
        </w:tc>
        <w:tc>
          <w:tcPr>
            <w:tcW w:w="778" w:type="pct"/>
            <w:vAlign w:val="center"/>
            <w:hideMark/>
          </w:tcPr>
          <w:p w:rsidR="002858F0" w:rsidRDefault="00FE5F90">
            <w:pPr>
              <w:spacing w:line="360" w:lineRule="auto"/>
              <w:jc w:val="center"/>
            </w:pPr>
            <w:r>
              <w:t>206</w:t>
            </w:r>
          </w:p>
        </w:tc>
        <w:tc>
          <w:tcPr>
            <w:tcW w:w="670" w:type="pct"/>
            <w:vAlign w:val="center"/>
            <w:hideMark/>
          </w:tcPr>
          <w:p w:rsidR="002858F0" w:rsidRDefault="00FE5F90">
            <w:pPr>
              <w:spacing w:line="360" w:lineRule="auto"/>
              <w:jc w:val="center"/>
            </w:pPr>
            <w:r>
              <w:t>411</w:t>
            </w:r>
          </w:p>
        </w:tc>
        <w:tc>
          <w:tcPr>
            <w:tcW w:w="798" w:type="pct"/>
            <w:vAlign w:val="center"/>
            <w:hideMark/>
          </w:tcPr>
          <w:p w:rsidR="002858F0" w:rsidRDefault="00FE5F90">
            <w:pPr>
              <w:spacing w:line="360" w:lineRule="auto"/>
              <w:jc w:val="center"/>
            </w:pPr>
            <w:r>
              <w:t>273</w:t>
            </w:r>
          </w:p>
        </w:tc>
        <w:tc>
          <w:tcPr>
            <w:tcW w:w="705" w:type="pct"/>
            <w:vAlign w:val="center"/>
            <w:hideMark/>
          </w:tcPr>
          <w:p w:rsidR="002858F0" w:rsidRDefault="00FE5F90">
            <w:pPr>
              <w:spacing w:line="360" w:lineRule="auto"/>
              <w:jc w:val="center"/>
            </w:pPr>
            <w:r>
              <w:t>342</w:t>
            </w:r>
          </w:p>
        </w:tc>
        <w:tc>
          <w:tcPr>
            <w:tcW w:w="868" w:type="pct"/>
            <w:vAlign w:val="center"/>
            <w:hideMark/>
          </w:tcPr>
          <w:p w:rsidR="002858F0" w:rsidRDefault="00FE5F90">
            <w:pPr>
              <w:spacing w:line="360" w:lineRule="auto"/>
              <w:jc w:val="center"/>
            </w:pPr>
            <w:r>
              <w:t>220</w:t>
            </w:r>
          </w:p>
        </w:tc>
      </w:tr>
      <w:tr w:rsidR="002858F0">
        <w:tc>
          <w:tcPr>
            <w:tcW w:w="665" w:type="pct"/>
            <w:vAlign w:val="center"/>
            <w:hideMark/>
          </w:tcPr>
          <w:p w:rsidR="002858F0" w:rsidRDefault="00FE5F90">
            <w:pPr>
              <w:spacing w:line="360" w:lineRule="auto"/>
              <w:jc w:val="center"/>
            </w:pPr>
            <w:r>
              <w:t>2018-19</w:t>
            </w:r>
          </w:p>
        </w:tc>
        <w:tc>
          <w:tcPr>
            <w:tcW w:w="516" w:type="pct"/>
            <w:vAlign w:val="center"/>
            <w:hideMark/>
          </w:tcPr>
          <w:p w:rsidR="002858F0" w:rsidRDefault="00FE5F90">
            <w:pPr>
              <w:spacing w:line="360" w:lineRule="auto"/>
              <w:jc w:val="center"/>
            </w:pPr>
            <w:r>
              <w:t>339</w:t>
            </w:r>
          </w:p>
        </w:tc>
        <w:tc>
          <w:tcPr>
            <w:tcW w:w="778" w:type="pct"/>
            <w:vAlign w:val="center"/>
            <w:hideMark/>
          </w:tcPr>
          <w:p w:rsidR="002858F0" w:rsidRDefault="00FE5F90">
            <w:pPr>
              <w:spacing w:line="360" w:lineRule="auto"/>
              <w:jc w:val="center"/>
            </w:pPr>
            <w:r>
              <w:t>217</w:t>
            </w:r>
          </w:p>
        </w:tc>
        <w:tc>
          <w:tcPr>
            <w:tcW w:w="670" w:type="pct"/>
            <w:vAlign w:val="center"/>
            <w:hideMark/>
          </w:tcPr>
          <w:p w:rsidR="002858F0" w:rsidRDefault="00FE5F90">
            <w:pPr>
              <w:spacing w:line="360" w:lineRule="auto"/>
              <w:jc w:val="center"/>
            </w:pPr>
            <w:r>
              <w:t>429</w:t>
            </w:r>
          </w:p>
        </w:tc>
        <w:tc>
          <w:tcPr>
            <w:tcW w:w="798" w:type="pct"/>
            <w:vAlign w:val="center"/>
            <w:hideMark/>
          </w:tcPr>
          <w:p w:rsidR="002858F0" w:rsidRDefault="00FE5F90">
            <w:pPr>
              <w:spacing w:line="360" w:lineRule="auto"/>
              <w:jc w:val="center"/>
            </w:pPr>
            <w:r>
              <w:t>289</w:t>
            </w:r>
          </w:p>
        </w:tc>
        <w:tc>
          <w:tcPr>
            <w:tcW w:w="705" w:type="pct"/>
            <w:vAlign w:val="center"/>
            <w:hideMark/>
          </w:tcPr>
          <w:p w:rsidR="002858F0" w:rsidRDefault="00FE5F90">
            <w:pPr>
              <w:spacing w:line="360" w:lineRule="auto"/>
              <w:jc w:val="center"/>
            </w:pPr>
            <w:r>
              <w:t>357</w:t>
            </w:r>
          </w:p>
        </w:tc>
        <w:tc>
          <w:tcPr>
            <w:tcW w:w="868" w:type="pct"/>
            <w:vAlign w:val="center"/>
            <w:hideMark/>
          </w:tcPr>
          <w:p w:rsidR="002858F0" w:rsidRDefault="00FE5F90">
            <w:pPr>
              <w:spacing w:line="360" w:lineRule="auto"/>
              <w:jc w:val="center"/>
            </w:pPr>
            <w:r>
              <w:t>232</w:t>
            </w:r>
          </w:p>
        </w:tc>
      </w:tr>
      <w:tr w:rsidR="002858F0">
        <w:tc>
          <w:tcPr>
            <w:tcW w:w="665" w:type="pct"/>
            <w:vAlign w:val="center"/>
            <w:hideMark/>
          </w:tcPr>
          <w:p w:rsidR="002858F0" w:rsidRDefault="00FE5F90">
            <w:pPr>
              <w:spacing w:line="360" w:lineRule="auto"/>
              <w:jc w:val="center"/>
            </w:pPr>
            <w:r>
              <w:t>2019-20</w:t>
            </w:r>
          </w:p>
        </w:tc>
        <w:tc>
          <w:tcPr>
            <w:tcW w:w="516" w:type="pct"/>
            <w:vAlign w:val="center"/>
            <w:hideMark/>
          </w:tcPr>
          <w:p w:rsidR="002858F0" w:rsidRDefault="00FE5F90">
            <w:pPr>
              <w:spacing w:line="360" w:lineRule="auto"/>
              <w:jc w:val="center"/>
            </w:pPr>
            <w:r>
              <w:t>354</w:t>
            </w:r>
          </w:p>
        </w:tc>
        <w:tc>
          <w:tcPr>
            <w:tcW w:w="778" w:type="pct"/>
            <w:vAlign w:val="center"/>
            <w:hideMark/>
          </w:tcPr>
          <w:p w:rsidR="002858F0" w:rsidRDefault="00FE5F90">
            <w:pPr>
              <w:spacing w:line="360" w:lineRule="auto"/>
              <w:jc w:val="center"/>
            </w:pPr>
            <w:r>
              <w:t>229</w:t>
            </w:r>
          </w:p>
        </w:tc>
        <w:tc>
          <w:tcPr>
            <w:tcW w:w="670" w:type="pct"/>
            <w:vAlign w:val="center"/>
            <w:hideMark/>
          </w:tcPr>
          <w:p w:rsidR="002858F0" w:rsidRDefault="00FE5F90">
            <w:pPr>
              <w:spacing w:line="360" w:lineRule="auto"/>
              <w:jc w:val="center"/>
            </w:pPr>
            <w:r>
              <w:t>447</w:t>
            </w:r>
          </w:p>
        </w:tc>
        <w:tc>
          <w:tcPr>
            <w:tcW w:w="798" w:type="pct"/>
            <w:vAlign w:val="center"/>
            <w:hideMark/>
          </w:tcPr>
          <w:p w:rsidR="002858F0" w:rsidRDefault="00FE5F90">
            <w:pPr>
              <w:spacing w:line="360" w:lineRule="auto"/>
              <w:jc w:val="center"/>
            </w:pPr>
            <w:r>
              <w:t>305</w:t>
            </w:r>
          </w:p>
        </w:tc>
        <w:tc>
          <w:tcPr>
            <w:tcW w:w="705" w:type="pct"/>
            <w:vAlign w:val="center"/>
            <w:hideMark/>
          </w:tcPr>
          <w:p w:rsidR="002858F0" w:rsidRDefault="00FE5F90">
            <w:pPr>
              <w:spacing w:line="360" w:lineRule="auto"/>
              <w:jc w:val="center"/>
            </w:pPr>
            <w:r>
              <w:t>373</w:t>
            </w:r>
          </w:p>
        </w:tc>
        <w:tc>
          <w:tcPr>
            <w:tcW w:w="868" w:type="pct"/>
            <w:vAlign w:val="center"/>
            <w:hideMark/>
          </w:tcPr>
          <w:p w:rsidR="002858F0" w:rsidRDefault="00FE5F90">
            <w:pPr>
              <w:spacing w:line="360" w:lineRule="auto"/>
              <w:jc w:val="center"/>
            </w:pPr>
            <w:r>
              <w:t>245</w:t>
            </w:r>
          </w:p>
        </w:tc>
      </w:tr>
      <w:tr w:rsidR="002858F0">
        <w:tc>
          <w:tcPr>
            <w:tcW w:w="665" w:type="pct"/>
            <w:vAlign w:val="center"/>
            <w:hideMark/>
          </w:tcPr>
          <w:p w:rsidR="002858F0" w:rsidRDefault="00FE5F90">
            <w:pPr>
              <w:spacing w:line="360" w:lineRule="auto"/>
              <w:jc w:val="center"/>
            </w:pPr>
            <w:r>
              <w:lastRenderedPageBreak/>
              <w:t>2020-21</w:t>
            </w:r>
          </w:p>
        </w:tc>
        <w:tc>
          <w:tcPr>
            <w:tcW w:w="516" w:type="pct"/>
            <w:vAlign w:val="center"/>
            <w:hideMark/>
          </w:tcPr>
          <w:p w:rsidR="002858F0" w:rsidRDefault="00FE5F90">
            <w:pPr>
              <w:spacing w:line="360" w:lineRule="auto"/>
              <w:jc w:val="center"/>
            </w:pPr>
            <w:r>
              <w:t>364</w:t>
            </w:r>
          </w:p>
        </w:tc>
        <w:tc>
          <w:tcPr>
            <w:tcW w:w="778" w:type="pct"/>
            <w:vAlign w:val="center"/>
            <w:hideMark/>
          </w:tcPr>
          <w:p w:rsidR="002858F0" w:rsidRDefault="00FE5F90">
            <w:pPr>
              <w:spacing w:line="360" w:lineRule="auto"/>
              <w:jc w:val="center"/>
            </w:pPr>
            <w:r>
              <w:t>236</w:t>
            </w:r>
          </w:p>
        </w:tc>
        <w:tc>
          <w:tcPr>
            <w:tcW w:w="670" w:type="pct"/>
            <w:vAlign w:val="center"/>
            <w:hideMark/>
          </w:tcPr>
          <w:p w:rsidR="002858F0" w:rsidRDefault="00FE5F90">
            <w:pPr>
              <w:spacing w:line="360" w:lineRule="auto"/>
              <w:jc w:val="center"/>
            </w:pPr>
            <w:r>
              <w:t>457</w:t>
            </w:r>
          </w:p>
        </w:tc>
        <w:tc>
          <w:tcPr>
            <w:tcW w:w="798" w:type="pct"/>
            <w:vAlign w:val="center"/>
            <w:hideMark/>
          </w:tcPr>
          <w:p w:rsidR="002858F0" w:rsidRDefault="00FE5F90">
            <w:pPr>
              <w:spacing w:line="360" w:lineRule="auto"/>
              <w:jc w:val="center"/>
            </w:pPr>
            <w:r>
              <w:t>315</w:t>
            </w:r>
          </w:p>
        </w:tc>
        <w:tc>
          <w:tcPr>
            <w:tcW w:w="705" w:type="pct"/>
            <w:vAlign w:val="center"/>
            <w:hideMark/>
          </w:tcPr>
          <w:p w:rsidR="002858F0" w:rsidRDefault="00FE5F90">
            <w:pPr>
              <w:spacing w:line="360" w:lineRule="auto"/>
              <w:jc w:val="center"/>
            </w:pPr>
            <w:r>
              <w:t>383</w:t>
            </w:r>
          </w:p>
        </w:tc>
        <w:tc>
          <w:tcPr>
            <w:tcW w:w="868" w:type="pct"/>
            <w:vAlign w:val="center"/>
            <w:hideMark/>
          </w:tcPr>
          <w:p w:rsidR="002858F0" w:rsidRDefault="00FE5F90">
            <w:pPr>
              <w:spacing w:line="360" w:lineRule="auto"/>
              <w:jc w:val="center"/>
            </w:pPr>
            <w:r>
              <w:t>254</w:t>
            </w:r>
          </w:p>
        </w:tc>
      </w:tr>
      <w:tr w:rsidR="002858F0">
        <w:tc>
          <w:tcPr>
            <w:tcW w:w="665" w:type="pct"/>
            <w:vAlign w:val="center"/>
            <w:hideMark/>
          </w:tcPr>
          <w:p w:rsidR="002858F0" w:rsidRDefault="00FE5F90">
            <w:pPr>
              <w:spacing w:line="360" w:lineRule="auto"/>
              <w:jc w:val="center"/>
            </w:pPr>
            <w:r>
              <w:t>2021-22</w:t>
            </w:r>
          </w:p>
        </w:tc>
        <w:tc>
          <w:tcPr>
            <w:tcW w:w="516" w:type="pct"/>
            <w:vAlign w:val="center"/>
            <w:hideMark/>
          </w:tcPr>
          <w:p w:rsidR="002858F0" w:rsidRDefault="00FE5F90">
            <w:pPr>
              <w:spacing w:line="360" w:lineRule="auto"/>
              <w:jc w:val="center"/>
            </w:pPr>
            <w:r>
              <w:t>373</w:t>
            </w:r>
          </w:p>
        </w:tc>
        <w:tc>
          <w:tcPr>
            <w:tcW w:w="778" w:type="pct"/>
            <w:vAlign w:val="center"/>
            <w:hideMark/>
          </w:tcPr>
          <w:p w:rsidR="002858F0" w:rsidRDefault="00FE5F90">
            <w:pPr>
              <w:spacing w:line="360" w:lineRule="auto"/>
              <w:jc w:val="center"/>
            </w:pPr>
            <w:r>
              <w:t>243</w:t>
            </w:r>
          </w:p>
        </w:tc>
        <w:tc>
          <w:tcPr>
            <w:tcW w:w="670" w:type="pct"/>
            <w:vAlign w:val="center"/>
            <w:hideMark/>
          </w:tcPr>
          <w:p w:rsidR="002858F0" w:rsidRDefault="00FE5F90">
            <w:pPr>
              <w:spacing w:line="360" w:lineRule="auto"/>
              <w:jc w:val="center"/>
            </w:pPr>
            <w:r>
              <w:t>468</w:t>
            </w:r>
          </w:p>
        </w:tc>
        <w:tc>
          <w:tcPr>
            <w:tcW w:w="798" w:type="pct"/>
            <w:vAlign w:val="center"/>
            <w:hideMark/>
          </w:tcPr>
          <w:p w:rsidR="002858F0" w:rsidRDefault="00FE5F90">
            <w:pPr>
              <w:spacing w:line="360" w:lineRule="auto"/>
              <w:jc w:val="center"/>
            </w:pPr>
            <w:r>
              <w:t>324</w:t>
            </w:r>
          </w:p>
        </w:tc>
        <w:tc>
          <w:tcPr>
            <w:tcW w:w="705" w:type="pct"/>
            <w:vAlign w:val="center"/>
            <w:hideMark/>
          </w:tcPr>
          <w:p w:rsidR="002858F0" w:rsidRDefault="00FE5F90">
            <w:pPr>
              <w:spacing w:line="360" w:lineRule="auto"/>
              <w:jc w:val="center"/>
            </w:pPr>
            <w:r>
              <w:t>393</w:t>
            </w:r>
          </w:p>
        </w:tc>
        <w:tc>
          <w:tcPr>
            <w:tcW w:w="868" w:type="pct"/>
            <w:vAlign w:val="center"/>
            <w:hideMark/>
          </w:tcPr>
          <w:p w:rsidR="002858F0" w:rsidRDefault="00FE5F90">
            <w:pPr>
              <w:spacing w:line="360" w:lineRule="auto"/>
              <w:jc w:val="center"/>
            </w:pPr>
            <w:r>
              <w:t>261</w:t>
            </w:r>
          </w:p>
        </w:tc>
      </w:tr>
      <w:tr w:rsidR="002858F0">
        <w:tc>
          <w:tcPr>
            <w:tcW w:w="665" w:type="pct"/>
            <w:vAlign w:val="center"/>
            <w:hideMark/>
          </w:tcPr>
          <w:p w:rsidR="002858F0" w:rsidRDefault="00FE5F90">
            <w:pPr>
              <w:spacing w:line="360" w:lineRule="auto"/>
              <w:jc w:val="center"/>
            </w:pPr>
            <w:r>
              <w:t>2022-23</w:t>
            </w:r>
          </w:p>
        </w:tc>
        <w:tc>
          <w:tcPr>
            <w:tcW w:w="516" w:type="pct"/>
            <w:vAlign w:val="center"/>
            <w:hideMark/>
          </w:tcPr>
          <w:p w:rsidR="002858F0" w:rsidRDefault="00FE5F90">
            <w:pPr>
              <w:spacing w:line="360" w:lineRule="auto"/>
              <w:jc w:val="center"/>
            </w:pPr>
            <w:r>
              <w:t>382</w:t>
            </w:r>
          </w:p>
        </w:tc>
        <w:tc>
          <w:tcPr>
            <w:tcW w:w="778" w:type="pct"/>
            <w:vAlign w:val="center"/>
            <w:hideMark/>
          </w:tcPr>
          <w:p w:rsidR="002858F0" w:rsidRDefault="00FE5F90">
            <w:pPr>
              <w:spacing w:line="360" w:lineRule="auto"/>
              <w:jc w:val="center"/>
            </w:pPr>
            <w:r>
              <w:t>251</w:t>
            </w:r>
          </w:p>
        </w:tc>
        <w:tc>
          <w:tcPr>
            <w:tcW w:w="670" w:type="pct"/>
            <w:vAlign w:val="center"/>
            <w:hideMark/>
          </w:tcPr>
          <w:p w:rsidR="002858F0" w:rsidRDefault="00FE5F90">
            <w:pPr>
              <w:spacing w:line="360" w:lineRule="auto"/>
              <w:jc w:val="center"/>
            </w:pPr>
            <w:r>
              <w:t>483</w:t>
            </w:r>
          </w:p>
        </w:tc>
        <w:tc>
          <w:tcPr>
            <w:tcW w:w="798" w:type="pct"/>
            <w:vAlign w:val="center"/>
            <w:hideMark/>
          </w:tcPr>
          <w:p w:rsidR="002858F0" w:rsidRDefault="00FE5F90">
            <w:pPr>
              <w:spacing w:line="360" w:lineRule="auto"/>
              <w:jc w:val="center"/>
            </w:pPr>
            <w:r>
              <w:t>333</w:t>
            </w:r>
          </w:p>
        </w:tc>
        <w:tc>
          <w:tcPr>
            <w:tcW w:w="705" w:type="pct"/>
            <w:vAlign w:val="center"/>
            <w:hideMark/>
          </w:tcPr>
          <w:p w:rsidR="002858F0" w:rsidRDefault="00FE5F90">
            <w:pPr>
              <w:spacing w:line="360" w:lineRule="auto"/>
              <w:jc w:val="center"/>
            </w:pPr>
            <w:r>
              <w:t>404</w:t>
            </w:r>
          </w:p>
        </w:tc>
        <w:tc>
          <w:tcPr>
            <w:tcW w:w="868" w:type="pct"/>
            <w:vAlign w:val="center"/>
            <w:hideMark/>
          </w:tcPr>
          <w:p w:rsidR="002858F0" w:rsidRDefault="00FE5F90">
            <w:pPr>
              <w:spacing w:line="360" w:lineRule="auto"/>
              <w:jc w:val="center"/>
            </w:pPr>
            <w:r>
              <w:t>270</w:t>
            </w:r>
          </w:p>
        </w:tc>
      </w:tr>
      <w:tr w:rsidR="002858F0">
        <w:tc>
          <w:tcPr>
            <w:tcW w:w="665" w:type="pct"/>
            <w:vAlign w:val="center"/>
            <w:hideMark/>
          </w:tcPr>
          <w:p w:rsidR="002858F0" w:rsidRDefault="00FE5F90">
            <w:pPr>
              <w:spacing w:line="360" w:lineRule="auto"/>
              <w:jc w:val="center"/>
            </w:pPr>
            <w:r>
              <w:t>2023-24</w:t>
            </w:r>
          </w:p>
        </w:tc>
        <w:tc>
          <w:tcPr>
            <w:tcW w:w="516" w:type="pct"/>
            <w:vAlign w:val="center"/>
            <w:hideMark/>
          </w:tcPr>
          <w:p w:rsidR="002858F0" w:rsidRDefault="00FE5F90">
            <w:pPr>
              <w:spacing w:line="360" w:lineRule="auto"/>
              <w:jc w:val="center"/>
            </w:pPr>
            <w:r>
              <w:t>395</w:t>
            </w:r>
          </w:p>
        </w:tc>
        <w:tc>
          <w:tcPr>
            <w:tcW w:w="778" w:type="pct"/>
            <w:vAlign w:val="center"/>
            <w:hideMark/>
          </w:tcPr>
          <w:p w:rsidR="002858F0" w:rsidRDefault="00FE5F90">
            <w:pPr>
              <w:spacing w:line="360" w:lineRule="auto"/>
              <w:jc w:val="center"/>
            </w:pPr>
            <w:r>
              <w:t>262</w:t>
            </w:r>
          </w:p>
        </w:tc>
        <w:tc>
          <w:tcPr>
            <w:tcW w:w="670" w:type="pct"/>
            <w:vAlign w:val="center"/>
            <w:hideMark/>
          </w:tcPr>
          <w:p w:rsidR="002858F0" w:rsidRDefault="00FE5F90">
            <w:pPr>
              <w:spacing w:line="360" w:lineRule="auto"/>
              <w:jc w:val="center"/>
            </w:pPr>
            <w:r>
              <w:t>497</w:t>
            </w:r>
          </w:p>
        </w:tc>
        <w:tc>
          <w:tcPr>
            <w:tcW w:w="798" w:type="pct"/>
            <w:vAlign w:val="center"/>
            <w:hideMark/>
          </w:tcPr>
          <w:p w:rsidR="002858F0" w:rsidRDefault="00FE5F90">
            <w:pPr>
              <w:spacing w:line="360" w:lineRule="auto"/>
              <w:jc w:val="center"/>
            </w:pPr>
            <w:r>
              <w:t>344</w:t>
            </w:r>
          </w:p>
        </w:tc>
        <w:tc>
          <w:tcPr>
            <w:tcW w:w="705" w:type="pct"/>
            <w:vAlign w:val="center"/>
            <w:hideMark/>
          </w:tcPr>
          <w:p w:rsidR="002858F0" w:rsidRDefault="00FE5F90">
            <w:pPr>
              <w:spacing w:line="360" w:lineRule="auto"/>
              <w:jc w:val="center"/>
            </w:pPr>
            <w:r>
              <w:t>417</w:t>
            </w:r>
          </w:p>
        </w:tc>
        <w:tc>
          <w:tcPr>
            <w:tcW w:w="868" w:type="pct"/>
            <w:vAlign w:val="center"/>
            <w:hideMark/>
          </w:tcPr>
          <w:p w:rsidR="002858F0" w:rsidRDefault="00FE5F90">
            <w:pPr>
              <w:spacing w:line="360" w:lineRule="auto"/>
              <w:jc w:val="center"/>
            </w:pPr>
            <w:r>
              <w:t>281</w:t>
            </w:r>
          </w:p>
        </w:tc>
      </w:tr>
    </w:tbl>
    <w:p w:rsidR="002858F0" w:rsidRDefault="00FE5F90">
      <w:pPr>
        <w:rPr>
          <w:b/>
          <w:bCs/>
        </w:rPr>
      </w:pPr>
      <w:r>
        <w:rPr>
          <w:b/>
          <w:bCs/>
        </w:rPr>
        <w:t>Compiled from: Annual PLFS reports (2017</w:t>
      </w:r>
      <w:r>
        <w:rPr>
          <w:b/>
          <w:bCs/>
        </w:rPr>
        <w:t>-18 to 2023-24), Ministry of Statistics and Programme Implementation (MoSPI).</w:t>
      </w:r>
    </w:p>
    <w:p w:rsidR="002858F0" w:rsidRDefault="00FE5F90">
      <w:pPr>
        <w:jc w:val="center"/>
      </w:pPr>
      <w:r>
        <w:rPr>
          <w:noProof/>
        </w:rPr>
        <w:drawing>
          <wp:inline distT="0" distB="0" distL="114300" distR="114300">
            <wp:extent cx="5329451" cy="3009331"/>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858F0" w:rsidRDefault="00FE5F90">
      <w:pPr>
        <w:jc w:val="center"/>
        <w:rPr>
          <w:b/>
          <w:bCs/>
        </w:rPr>
      </w:pPr>
      <w:r>
        <w:rPr>
          <w:b/>
          <w:bCs/>
        </w:rPr>
        <w:t xml:space="preserve">Figure </w:t>
      </w:r>
      <w:proofErr w:type="gramStart"/>
      <w:r>
        <w:rPr>
          <w:b/>
          <w:bCs/>
        </w:rPr>
        <w:t>2 :</w:t>
      </w:r>
      <w:proofErr w:type="gramEnd"/>
      <w:r>
        <w:rPr>
          <w:b/>
          <w:bCs/>
        </w:rPr>
        <w:t xml:space="preserve"> Average Daily Wages of Casual Labourers (₹), by Gender and Location</w:t>
      </w:r>
    </w:p>
    <w:p w:rsidR="002858F0" w:rsidRDefault="00FE5F90">
      <w:r>
        <w:t>Regular salaried employees in urban areas consistently earn substantially more than their rural c</w:t>
      </w:r>
      <w:r>
        <w:t>ounterparts, reflecting the concentration of higher-paying jobs in urban economies. Across all years, male workers enjoy a clear wage advantage over female workers, with women earning about 20-25 percent less than men in regular employment. The disparity i</w:t>
      </w:r>
      <w:r>
        <w:t>s even more severe among casual labourers, where women’s daily wages remain significantly lower, often close to two-thirds of male earnings. Although both regular and casual wages have shown gradual increases over time, the pace of growth has been slow rel</w:t>
      </w:r>
      <w:r>
        <w:t>ative to inflation, meaning that real wage improvements are modest.</w:t>
      </w:r>
    </w:p>
    <w:p w:rsidR="002858F0" w:rsidRDefault="00FE5F90">
      <w:pPr>
        <w:rPr>
          <w:b/>
          <w:bCs/>
        </w:rPr>
      </w:pPr>
      <w:r>
        <w:rPr>
          <w:b/>
          <w:bCs/>
        </w:rPr>
        <w:t>Vocational Training in India</w:t>
      </w:r>
    </w:p>
    <w:p w:rsidR="002858F0" w:rsidRDefault="00FE5F90">
      <w:pPr>
        <w:rPr>
          <w:b/>
          <w:bCs/>
        </w:rPr>
      </w:pPr>
      <w:r>
        <w:rPr>
          <w:b/>
          <w:bCs/>
        </w:rPr>
        <w:t>Table 4. Vocational/technical training status of persons aged 15-59 years (%)</w:t>
      </w:r>
    </w:p>
    <w:tbl>
      <w:tblPr>
        <w:tblStyle w:val="TableGrid"/>
        <w:tblW w:w="5000" w:type="pct"/>
        <w:tblLook w:val="04A0" w:firstRow="1" w:lastRow="0" w:firstColumn="1" w:lastColumn="0" w:noHBand="0" w:noVBand="1"/>
      </w:tblPr>
      <w:tblGrid>
        <w:gridCol w:w="1459"/>
        <w:gridCol w:w="2254"/>
        <w:gridCol w:w="1326"/>
        <w:gridCol w:w="3386"/>
        <w:gridCol w:w="2031"/>
      </w:tblGrid>
      <w:tr w:rsidR="002858F0">
        <w:tc>
          <w:tcPr>
            <w:tcW w:w="678" w:type="pct"/>
            <w:vAlign w:val="center"/>
            <w:hideMark/>
          </w:tcPr>
          <w:p w:rsidR="002858F0" w:rsidRDefault="00FE5F90">
            <w:pPr>
              <w:spacing w:line="360" w:lineRule="auto"/>
              <w:jc w:val="center"/>
              <w:rPr>
                <w:b/>
                <w:bCs/>
              </w:rPr>
            </w:pPr>
            <w:r>
              <w:rPr>
                <w:b/>
                <w:bCs/>
              </w:rPr>
              <w:t>Year</w:t>
            </w:r>
          </w:p>
        </w:tc>
        <w:tc>
          <w:tcPr>
            <w:tcW w:w="1048" w:type="pct"/>
            <w:vAlign w:val="center"/>
            <w:hideMark/>
          </w:tcPr>
          <w:p w:rsidR="002858F0" w:rsidRDefault="00FE5F90">
            <w:pPr>
              <w:spacing w:line="360" w:lineRule="auto"/>
              <w:jc w:val="center"/>
              <w:rPr>
                <w:b/>
                <w:bCs/>
              </w:rPr>
            </w:pPr>
            <w:r>
              <w:rPr>
                <w:b/>
                <w:bCs/>
              </w:rPr>
              <w:t>Any training</w:t>
            </w:r>
          </w:p>
        </w:tc>
        <w:tc>
          <w:tcPr>
            <w:tcW w:w="616" w:type="pct"/>
            <w:vAlign w:val="center"/>
            <w:hideMark/>
          </w:tcPr>
          <w:p w:rsidR="002858F0" w:rsidRDefault="00FE5F90">
            <w:pPr>
              <w:spacing w:line="360" w:lineRule="auto"/>
              <w:jc w:val="center"/>
              <w:rPr>
                <w:b/>
                <w:bCs/>
              </w:rPr>
            </w:pPr>
            <w:r>
              <w:rPr>
                <w:b/>
                <w:bCs/>
              </w:rPr>
              <w:t>Formal</w:t>
            </w:r>
          </w:p>
        </w:tc>
        <w:tc>
          <w:tcPr>
            <w:tcW w:w="1574" w:type="pct"/>
            <w:vAlign w:val="center"/>
            <w:hideMark/>
          </w:tcPr>
          <w:p w:rsidR="002858F0" w:rsidRDefault="00FE5F90">
            <w:pPr>
              <w:spacing w:line="360" w:lineRule="auto"/>
              <w:jc w:val="center"/>
              <w:rPr>
                <w:b/>
                <w:bCs/>
              </w:rPr>
            </w:pPr>
            <w:r>
              <w:rPr>
                <w:b/>
                <w:bCs/>
              </w:rPr>
              <w:t>Other (non-formal)</w:t>
            </w:r>
          </w:p>
        </w:tc>
        <w:tc>
          <w:tcPr>
            <w:tcW w:w="944" w:type="pct"/>
            <w:vAlign w:val="center"/>
            <w:hideMark/>
          </w:tcPr>
          <w:p w:rsidR="002858F0" w:rsidRDefault="00FE5F90">
            <w:pPr>
              <w:spacing w:line="360" w:lineRule="auto"/>
              <w:jc w:val="center"/>
              <w:rPr>
                <w:b/>
                <w:bCs/>
              </w:rPr>
            </w:pPr>
            <w:r>
              <w:rPr>
                <w:b/>
                <w:bCs/>
              </w:rPr>
              <w:t>No training</w:t>
            </w:r>
          </w:p>
        </w:tc>
      </w:tr>
      <w:tr w:rsidR="002858F0">
        <w:tc>
          <w:tcPr>
            <w:tcW w:w="678" w:type="pct"/>
            <w:vAlign w:val="center"/>
            <w:hideMark/>
          </w:tcPr>
          <w:p w:rsidR="002858F0" w:rsidRDefault="00FE5F90">
            <w:pPr>
              <w:spacing w:line="360" w:lineRule="auto"/>
              <w:jc w:val="center"/>
            </w:pPr>
            <w:r>
              <w:t>2017-18</w:t>
            </w:r>
          </w:p>
        </w:tc>
        <w:tc>
          <w:tcPr>
            <w:tcW w:w="1048" w:type="pct"/>
            <w:vAlign w:val="center"/>
            <w:hideMark/>
          </w:tcPr>
          <w:p w:rsidR="002858F0" w:rsidRDefault="00FE5F90">
            <w:pPr>
              <w:spacing w:line="360" w:lineRule="auto"/>
              <w:jc w:val="center"/>
            </w:pPr>
            <w:r>
              <w:t>7.4</w:t>
            </w:r>
          </w:p>
        </w:tc>
        <w:tc>
          <w:tcPr>
            <w:tcW w:w="616" w:type="pct"/>
            <w:vAlign w:val="center"/>
            <w:hideMark/>
          </w:tcPr>
          <w:p w:rsidR="002858F0" w:rsidRDefault="00FE5F90">
            <w:pPr>
              <w:spacing w:line="360" w:lineRule="auto"/>
              <w:jc w:val="center"/>
            </w:pPr>
            <w:r>
              <w:t>2.0</w:t>
            </w:r>
          </w:p>
        </w:tc>
        <w:tc>
          <w:tcPr>
            <w:tcW w:w="1574" w:type="pct"/>
            <w:vAlign w:val="center"/>
            <w:hideMark/>
          </w:tcPr>
          <w:p w:rsidR="002858F0" w:rsidRDefault="00FE5F90">
            <w:pPr>
              <w:spacing w:line="360" w:lineRule="auto"/>
              <w:jc w:val="center"/>
            </w:pPr>
            <w:r>
              <w:t>5.6</w:t>
            </w:r>
          </w:p>
        </w:tc>
        <w:tc>
          <w:tcPr>
            <w:tcW w:w="944" w:type="pct"/>
            <w:vAlign w:val="center"/>
            <w:hideMark/>
          </w:tcPr>
          <w:p w:rsidR="002858F0" w:rsidRDefault="00FE5F90">
            <w:pPr>
              <w:spacing w:line="360" w:lineRule="auto"/>
              <w:jc w:val="center"/>
            </w:pPr>
            <w:r>
              <w:t>92.6</w:t>
            </w:r>
          </w:p>
        </w:tc>
      </w:tr>
      <w:tr w:rsidR="002858F0">
        <w:tc>
          <w:tcPr>
            <w:tcW w:w="678" w:type="pct"/>
            <w:vAlign w:val="center"/>
            <w:hideMark/>
          </w:tcPr>
          <w:p w:rsidR="002858F0" w:rsidRDefault="00FE5F90">
            <w:pPr>
              <w:spacing w:line="360" w:lineRule="auto"/>
              <w:jc w:val="center"/>
            </w:pPr>
            <w:r>
              <w:t>2018-19</w:t>
            </w:r>
          </w:p>
        </w:tc>
        <w:tc>
          <w:tcPr>
            <w:tcW w:w="1048" w:type="pct"/>
            <w:vAlign w:val="center"/>
            <w:hideMark/>
          </w:tcPr>
          <w:p w:rsidR="002858F0" w:rsidRDefault="00FE5F90">
            <w:pPr>
              <w:spacing w:line="360" w:lineRule="auto"/>
              <w:jc w:val="center"/>
            </w:pPr>
            <w:r>
              <w:t>11.3</w:t>
            </w:r>
          </w:p>
        </w:tc>
        <w:tc>
          <w:tcPr>
            <w:tcW w:w="616" w:type="pct"/>
            <w:vAlign w:val="center"/>
            <w:hideMark/>
          </w:tcPr>
          <w:p w:rsidR="002858F0" w:rsidRDefault="00FE5F90">
            <w:pPr>
              <w:spacing w:line="360" w:lineRule="auto"/>
              <w:jc w:val="center"/>
            </w:pPr>
            <w:r>
              <w:t>2.4</w:t>
            </w:r>
          </w:p>
        </w:tc>
        <w:tc>
          <w:tcPr>
            <w:tcW w:w="1574" w:type="pct"/>
            <w:vAlign w:val="center"/>
            <w:hideMark/>
          </w:tcPr>
          <w:p w:rsidR="002858F0" w:rsidRDefault="00FE5F90">
            <w:pPr>
              <w:spacing w:line="360" w:lineRule="auto"/>
              <w:jc w:val="center"/>
            </w:pPr>
            <w:r>
              <w:t>8.9</w:t>
            </w:r>
          </w:p>
        </w:tc>
        <w:tc>
          <w:tcPr>
            <w:tcW w:w="944" w:type="pct"/>
            <w:vAlign w:val="center"/>
            <w:hideMark/>
          </w:tcPr>
          <w:p w:rsidR="002858F0" w:rsidRDefault="00FE5F90">
            <w:pPr>
              <w:spacing w:line="360" w:lineRule="auto"/>
              <w:jc w:val="center"/>
            </w:pPr>
            <w:r>
              <w:t>88.7</w:t>
            </w:r>
          </w:p>
        </w:tc>
      </w:tr>
      <w:tr w:rsidR="002858F0">
        <w:tc>
          <w:tcPr>
            <w:tcW w:w="678" w:type="pct"/>
            <w:vAlign w:val="center"/>
            <w:hideMark/>
          </w:tcPr>
          <w:p w:rsidR="002858F0" w:rsidRDefault="00FE5F90">
            <w:pPr>
              <w:spacing w:line="360" w:lineRule="auto"/>
              <w:jc w:val="center"/>
            </w:pPr>
            <w:r>
              <w:t>2019-20</w:t>
            </w:r>
          </w:p>
        </w:tc>
        <w:tc>
          <w:tcPr>
            <w:tcW w:w="1048" w:type="pct"/>
            <w:vAlign w:val="center"/>
            <w:hideMark/>
          </w:tcPr>
          <w:p w:rsidR="002858F0" w:rsidRDefault="00FE5F90">
            <w:pPr>
              <w:spacing w:line="360" w:lineRule="auto"/>
              <w:jc w:val="center"/>
            </w:pPr>
            <w:r>
              <w:t>13.9</w:t>
            </w:r>
          </w:p>
        </w:tc>
        <w:tc>
          <w:tcPr>
            <w:tcW w:w="616" w:type="pct"/>
            <w:vAlign w:val="center"/>
            <w:hideMark/>
          </w:tcPr>
          <w:p w:rsidR="002858F0" w:rsidRDefault="00FE5F90">
            <w:pPr>
              <w:spacing w:line="360" w:lineRule="auto"/>
              <w:jc w:val="center"/>
            </w:pPr>
            <w:r>
              <w:t>3.2</w:t>
            </w:r>
          </w:p>
        </w:tc>
        <w:tc>
          <w:tcPr>
            <w:tcW w:w="1574" w:type="pct"/>
            <w:vAlign w:val="center"/>
            <w:hideMark/>
          </w:tcPr>
          <w:p w:rsidR="002858F0" w:rsidRDefault="00FE5F90">
            <w:pPr>
              <w:spacing w:line="360" w:lineRule="auto"/>
              <w:jc w:val="center"/>
            </w:pPr>
            <w:r>
              <w:t>10.7</w:t>
            </w:r>
          </w:p>
        </w:tc>
        <w:tc>
          <w:tcPr>
            <w:tcW w:w="944" w:type="pct"/>
            <w:vAlign w:val="center"/>
            <w:hideMark/>
          </w:tcPr>
          <w:p w:rsidR="002858F0" w:rsidRDefault="00FE5F90">
            <w:pPr>
              <w:spacing w:line="360" w:lineRule="auto"/>
              <w:jc w:val="center"/>
            </w:pPr>
            <w:r>
              <w:t>86.1</w:t>
            </w:r>
          </w:p>
        </w:tc>
      </w:tr>
      <w:tr w:rsidR="002858F0">
        <w:tc>
          <w:tcPr>
            <w:tcW w:w="678" w:type="pct"/>
            <w:vAlign w:val="center"/>
            <w:hideMark/>
          </w:tcPr>
          <w:p w:rsidR="002858F0" w:rsidRDefault="00FE5F90">
            <w:pPr>
              <w:spacing w:line="360" w:lineRule="auto"/>
              <w:jc w:val="center"/>
            </w:pPr>
            <w:r>
              <w:lastRenderedPageBreak/>
              <w:t>2020-21</w:t>
            </w:r>
          </w:p>
        </w:tc>
        <w:tc>
          <w:tcPr>
            <w:tcW w:w="1048" w:type="pct"/>
            <w:vAlign w:val="center"/>
            <w:hideMark/>
          </w:tcPr>
          <w:p w:rsidR="002858F0" w:rsidRDefault="00FE5F90">
            <w:pPr>
              <w:spacing w:line="360" w:lineRule="auto"/>
              <w:jc w:val="center"/>
            </w:pPr>
            <w:r>
              <w:t>16.9</w:t>
            </w:r>
          </w:p>
        </w:tc>
        <w:tc>
          <w:tcPr>
            <w:tcW w:w="616" w:type="pct"/>
            <w:vAlign w:val="center"/>
            <w:hideMark/>
          </w:tcPr>
          <w:p w:rsidR="002858F0" w:rsidRDefault="00FE5F90">
            <w:pPr>
              <w:spacing w:line="360" w:lineRule="auto"/>
              <w:jc w:val="center"/>
            </w:pPr>
            <w:r>
              <w:t>3.3</w:t>
            </w:r>
          </w:p>
        </w:tc>
        <w:tc>
          <w:tcPr>
            <w:tcW w:w="1574" w:type="pct"/>
            <w:vAlign w:val="center"/>
            <w:hideMark/>
          </w:tcPr>
          <w:p w:rsidR="002858F0" w:rsidRDefault="00FE5F90">
            <w:pPr>
              <w:spacing w:line="360" w:lineRule="auto"/>
              <w:jc w:val="center"/>
            </w:pPr>
            <w:r>
              <w:t>13.6</w:t>
            </w:r>
          </w:p>
        </w:tc>
        <w:tc>
          <w:tcPr>
            <w:tcW w:w="944" w:type="pct"/>
            <w:vAlign w:val="center"/>
            <w:hideMark/>
          </w:tcPr>
          <w:p w:rsidR="002858F0" w:rsidRDefault="00FE5F90">
            <w:pPr>
              <w:spacing w:line="360" w:lineRule="auto"/>
              <w:jc w:val="center"/>
            </w:pPr>
            <w:r>
              <w:t>83.1</w:t>
            </w:r>
          </w:p>
        </w:tc>
      </w:tr>
      <w:tr w:rsidR="002858F0">
        <w:tc>
          <w:tcPr>
            <w:tcW w:w="678" w:type="pct"/>
            <w:vAlign w:val="center"/>
            <w:hideMark/>
          </w:tcPr>
          <w:p w:rsidR="002858F0" w:rsidRDefault="00FE5F90">
            <w:pPr>
              <w:spacing w:line="360" w:lineRule="auto"/>
              <w:jc w:val="center"/>
            </w:pPr>
            <w:r>
              <w:t>2021-22</w:t>
            </w:r>
          </w:p>
        </w:tc>
        <w:tc>
          <w:tcPr>
            <w:tcW w:w="1048" w:type="pct"/>
            <w:vAlign w:val="center"/>
            <w:hideMark/>
          </w:tcPr>
          <w:p w:rsidR="002858F0" w:rsidRDefault="00FE5F90">
            <w:pPr>
              <w:spacing w:line="360" w:lineRule="auto"/>
              <w:jc w:val="center"/>
            </w:pPr>
            <w:r>
              <w:t>19.5</w:t>
            </w:r>
          </w:p>
        </w:tc>
        <w:tc>
          <w:tcPr>
            <w:tcW w:w="616" w:type="pct"/>
            <w:vAlign w:val="center"/>
            <w:hideMark/>
          </w:tcPr>
          <w:p w:rsidR="002858F0" w:rsidRDefault="00FE5F90">
            <w:pPr>
              <w:spacing w:line="360" w:lineRule="auto"/>
              <w:jc w:val="center"/>
            </w:pPr>
            <w:r>
              <w:t>3.4</w:t>
            </w:r>
          </w:p>
        </w:tc>
        <w:tc>
          <w:tcPr>
            <w:tcW w:w="1574" w:type="pct"/>
            <w:vAlign w:val="center"/>
            <w:hideMark/>
          </w:tcPr>
          <w:p w:rsidR="002858F0" w:rsidRDefault="00FE5F90">
            <w:pPr>
              <w:spacing w:line="360" w:lineRule="auto"/>
              <w:jc w:val="center"/>
            </w:pPr>
            <w:r>
              <w:t>16.1</w:t>
            </w:r>
          </w:p>
        </w:tc>
        <w:tc>
          <w:tcPr>
            <w:tcW w:w="944" w:type="pct"/>
            <w:vAlign w:val="center"/>
            <w:hideMark/>
          </w:tcPr>
          <w:p w:rsidR="002858F0" w:rsidRDefault="00FE5F90">
            <w:pPr>
              <w:spacing w:line="360" w:lineRule="auto"/>
              <w:jc w:val="center"/>
            </w:pPr>
            <w:r>
              <w:t>80.5</w:t>
            </w:r>
          </w:p>
        </w:tc>
      </w:tr>
      <w:tr w:rsidR="002858F0">
        <w:tc>
          <w:tcPr>
            <w:tcW w:w="678" w:type="pct"/>
            <w:vAlign w:val="center"/>
            <w:hideMark/>
          </w:tcPr>
          <w:p w:rsidR="002858F0" w:rsidRDefault="00FE5F90">
            <w:pPr>
              <w:spacing w:line="360" w:lineRule="auto"/>
              <w:jc w:val="center"/>
            </w:pPr>
            <w:r>
              <w:t>2022-23</w:t>
            </w:r>
          </w:p>
        </w:tc>
        <w:tc>
          <w:tcPr>
            <w:tcW w:w="1048" w:type="pct"/>
            <w:vAlign w:val="center"/>
            <w:hideMark/>
          </w:tcPr>
          <w:p w:rsidR="002858F0" w:rsidRDefault="00FE5F90">
            <w:pPr>
              <w:spacing w:line="360" w:lineRule="auto"/>
              <w:jc w:val="center"/>
            </w:pPr>
            <w:r>
              <w:t>27.4</w:t>
            </w:r>
          </w:p>
        </w:tc>
        <w:tc>
          <w:tcPr>
            <w:tcW w:w="616" w:type="pct"/>
            <w:vAlign w:val="center"/>
            <w:hideMark/>
          </w:tcPr>
          <w:p w:rsidR="002858F0" w:rsidRDefault="00FE5F90">
            <w:pPr>
              <w:spacing w:line="360" w:lineRule="auto"/>
              <w:jc w:val="center"/>
            </w:pPr>
            <w:r>
              <w:t>3.8</w:t>
            </w:r>
          </w:p>
        </w:tc>
        <w:tc>
          <w:tcPr>
            <w:tcW w:w="1574" w:type="pct"/>
            <w:vAlign w:val="center"/>
            <w:hideMark/>
          </w:tcPr>
          <w:p w:rsidR="002858F0" w:rsidRDefault="00FE5F90">
            <w:pPr>
              <w:spacing w:line="360" w:lineRule="auto"/>
              <w:jc w:val="center"/>
            </w:pPr>
            <w:r>
              <w:t>23.6</w:t>
            </w:r>
          </w:p>
        </w:tc>
        <w:tc>
          <w:tcPr>
            <w:tcW w:w="944" w:type="pct"/>
            <w:vAlign w:val="center"/>
            <w:hideMark/>
          </w:tcPr>
          <w:p w:rsidR="002858F0" w:rsidRDefault="00FE5F90">
            <w:pPr>
              <w:spacing w:line="360" w:lineRule="auto"/>
              <w:jc w:val="center"/>
            </w:pPr>
            <w:r>
              <w:t>72.6</w:t>
            </w:r>
          </w:p>
        </w:tc>
      </w:tr>
      <w:tr w:rsidR="002858F0">
        <w:tc>
          <w:tcPr>
            <w:tcW w:w="678" w:type="pct"/>
            <w:vAlign w:val="center"/>
            <w:hideMark/>
          </w:tcPr>
          <w:p w:rsidR="002858F0" w:rsidRDefault="00FE5F90">
            <w:pPr>
              <w:spacing w:line="360" w:lineRule="auto"/>
              <w:jc w:val="center"/>
            </w:pPr>
            <w:r>
              <w:t>2023-24</w:t>
            </w:r>
          </w:p>
        </w:tc>
        <w:tc>
          <w:tcPr>
            <w:tcW w:w="1048" w:type="pct"/>
            <w:vAlign w:val="center"/>
            <w:hideMark/>
          </w:tcPr>
          <w:p w:rsidR="002858F0" w:rsidRDefault="00FE5F90">
            <w:pPr>
              <w:spacing w:line="360" w:lineRule="auto"/>
              <w:jc w:val="center"/>
            </w:pPr>
            <w:r>
              <w:t>34.7</w:t>
            </w:r>
          </w:p>
        </w:tc>
        <w:tc>
          <w:tcPr>
            <w:tcW w:w="616" w:type="pct"/>
            <w:vAlign w:val="center"/>
            <w:hideMark/>
          </w:tcPr>
          <w:p w:rsidR="002858F0" w:rsidRDefault="00FE5F90">
            <w:pPr>
              <w:spacing w:line="360" w:lineRule="auto"/>
              <w:jc w:val="center"/>
            </w:pPr>
            <w:r>
              <w:t>4.1</w:t>
            </w:r>
          </w:p>
        </w:tc>
        <w:tc>
          <w:tcPr>
            <w:tcW w:w="1574" w:type="pct"/>
            <w:vAlign w:val="center"/>
            <w:hideMark/>
          </w:tcPr>
          <w:p w:rsidR="002858F0" w:rsidRDefault="00FE5F90">
            <w:pPr>
              <w:spacing w:line="360" w:lineRule="auto"/>
              <w:jc w:val="center"/>
            </w:pPr>
            <w:r>
              <w:t>30.6</w:t>
            </w:r>
          </w:p>
        </w:tc>
        <w:tc>
          <w:tcPr>
            <w:tcW w:w="944" w:type="pct"/>
            <w:vAlign w:val="center"/>
            <w:hideMark/>
          </w:tcPr>
          <w:p w:rsidR="002858F0" w:rsidRDefault="00FE5F90">
            <w:pPr>
              <w:spacing w:line="360" w:lineRule="auto"/>
              <w:jc w:val="center"/>
            </w:pPr>
            <w:r>
              <w:t>65.3</w:t>
            </w:r>
          </w:p>
        </w:tc>
      </w:tr>
    </w:tbl>
    <w:p w:rsidR="002858F0" w:rsidRDefault="00FE5F90">
      <w:pPr>
        <w:rPr>
          <w:b/>
          <w:bCs/>
        </w:rPr>
      </w:pPr>
      <w:r>
        <w:rPr>
          <w:b/>
          <w:bCs/>
        </w:rPr>
        <w:t>Compiled from: MoSPI-</w:t>
      </w:r>
      <w:r>
        <w:rPr>
          <w:b/>
          <w:bCs/>
        </w:rPr>
        <w:t xml:space="preserve">PLFS (annual reports); Lok Sabha Unstarred Q&amp;As AU-5127 (04-Apr-2022), AU-920 (14-Dec-2022), AU-603 (07-Feb-2024), AU-1145 (29-Jul-2024); NSDC “Insights from PLFS 2019-20”; Economic Survey/PLFS syntheses. </w:t>
      </w:r>
    </w:p>
    <w:p w:rsidR="002858F0" w:rsidRDefault="00FE5F90">
      <w:pPr>
        <w:rPr>
          <w:b/>
          <w:bCs/>
        </w:rPr>
      </w:pPr>
      <w:r>
        <w:rPr>
          <w:b/>
          <w:bCs/>
        </w:rPr>
        <w:t>Impact of Vocational Training on Wages</w:t>
      </w:r>
    </w:p>
    <w:p w:rsidR="002858F0" w:rsidRDefault="00FE5F90">
      <w:r>
        <w:t xml:space="preserve">Short-term </w:t>
      </w:r>
      <w:r>
        <w:t>training (STT) under PMKVY-2.0 shows clear, measured gains: after matching trainees with comparable non-trainees, employment improved by +9 percentage points and average monthly income was 15% higher for trained &amp; certified participants than for similar no</w:t>
      </w:r>
      <w:r>
        <w:t xml:space="preserve">n-participants (training alone accounted for a +9% income uplift), indicating real wage benefits when training is credentialed (NSDC, 2020). </w:t>
      </w:r>
    </w:p>
    <w:p w:rsidR="002858F0" w:rsidRDefault="00FE5F90">
      <w:r>
        <w:t>Programme diagnostics also reveal matching limits: only 47% of trained-and-certified respondents and 27% of traine</w:t>
      </w:r>
      <w:r>
        <w:t>d-but-not-certified respondents reported working in the same domain as their training at the time of survey, pointing to placement and demand-linkage gaps even when skills improve (NSDC, 2020).  Before-vs-after comparisons for employed trainees show sizabl</w:t>
      </w:r>
      <w:r>
        <w:t>e within-person income growth: incomes rose by 14% for trained &amp; certified and 42% for trained (not certified) cohorts between pre-training and current earnings, reinforcing that training coincides with improved pay trajectories for many participants (NSDC</w:t>
      </w:r>
      <w:r>
        <w:t xml:space="preserve">, 2020). </w:t>
      </w:r>
    </w:p>
    <w:p w:rsidR="002858F0" w:rsidRDefault="00FE5F90">
      <w:r>
        <w:t>Beyond scheme evaluations, econometric evidence using national survey microdata finds sector-specific wage premia from formal vocational education: +4.7% in the overall economy, +36.9% in the primary sector and +17.6% in the secondary sector-whil</w:t>
      </w:r>
      <w:r>
        <w:t>e effects in some services segments are statistically weak, underscoring heterogeneity by industry (Kumar, 2019). Comparable skill programmes also show strong medium-term outcomes: alumni employment rises from 61% (2-year) to 80% (5-year) post-programme an</w:t>
      </w:r>
      <w:r>
        <w:t>d the share earning above a living wage increases from 30% to 62%, highlighting the role of course quality and employer partnerships in sustaining wage gains (World Bank, 2025).</w:t>
      </w:r>
    </w:p>
    <w:p w:rsidR="002858F0" w:rsidRDefault="00FE5F90">
      <w:pPr>
        <w:rPr>
          <w:b/>
          <w:bCs/>
        </w:rPr>
      </w:pPr>
      <w:r>
        <w:rPr>
          <w:b/>
          <w:bCs/>
        </w:rPr>
        <w:t>Discussion</w:t>
      </w:r>
    </w:p>
    <w:p w:rsidR="002858F0" w:rsidRDefault="00FE5F90">
      <w:r>
        <w:t>The evidence shows that wage disparities in India are not only a pr</w:t>
      </w:r>
      <w:r>
        <w:t>oduct of supply-side factors like education but also structural divides in labour markets. Urban workers earn more because formal, higher-productivity jobs are concentrated in cities, while rural employment remains largely informal and low-paying. Gender g</w:t>
      </w:r>
      <w:r>
        <w:t>aps remain wide, especially in casual work, where women earn barely two-thirds of men’s wages. Vocational training has expanded, yet most growth is in non-formal learning, which rarely translates into higher pay because it lacks recognition. Formal, certif</w:t>
      </w:r>
      <w:r>
        <w:t xml:space="preserve">ied training delivers clear wage premiums-raising average earnings </w:t>
      </w:r>
      <w:r>
        <w:lastRenderedPageBreak/>
        <w:t>by 10-15 percent in evaluations-but its coverage is still below 5 percent of the workforce. The mismatch between training content and job demand weakens outcomes further, with less than hal</w:t>
      </w:r>
      <w:r>
        <w:t xml:space="preserve">f of trained workers actually employed in their skill domain. Sectoral variation is stark: manufacturing and organized services reward certified skills, while highly informal subsectors show little benefit. Deep inequalities in access-by gender, caste and </w:t>
      </w:r>
      <w:r>
        <w:t>location-mean that those who need training most are least likely to benefit. Vocational training has the potential to narrow wage gaps but only when programmes are well-designed, demand-linked and equitably accessible.</w:t>
      </w:r>
    </w:p>
    <w:p w:rsidR="002858F0" w:rsidRDefault="00FE5F90">
      <w:pPr>
        <w:rPr>
          <w:b/>
          <w:bCs/>
        </w:rPr>
      </w:pPr>
      <w:r>
        <w:rPr>
          <w:b/>
          <w:bCs/>
        </w:rPr>
        <w:t>Policy Implications</w:t>
      </w:r>
    </w:p>
    <w:p w:rsidR="002858F0" w:rsidRDefault="00FE5F90">
      <w:r>
        <w:t>The findings unde</w:t>
      </w:r>
      <w:r>
        <w:t>rline that vocational training can narrow wage gaps only if reforms target quality, recognition and access. First, expanding formal, certified training must be a priority, since non-formal learning alone does not raise wages. Second, stronger industry link</w:t>
      </w:r>
      <w:r>
        <w:t>ages are essential so that skills taught match real job demand; placement cells and employer-designed curricula can reduce the mismatch. Third, equitable access for women, rural youth and marginalized groups requires financial support, local training centr</w:t>
      </w:r>
      <w:r>
        <w:t>es, safe mobility and flexible schedules. Fourth, recognition of prior learning (RPL) should be scaled up so informal skills gain wage value through certification. Finally, continuous monitoring and quality assurance-with transparent outcome tracking-can e</w:t>
      </w:r>
      <w:r>
        <w:t>nsure that training translates into durable wage improvements, rather than short-term participation numbers.</w:t>
      </w:r>
    </w:p>
    <w:p w:rsidR="002858F0" w:rsidRDefault="00FE5F90">
      <w:pPr>
        <w:rPr>
          <w:b/>
          <w:bCs/>
        </w:rPr>
      </w:pPr>
      <w:r>
        <w:rPr>
          <w:b/>
          <w:bCs/>
        </w:rPr>
        <w:t>Conclusion</w:t>
      </w:r>
    </w:p>
    <w:p w:rsidR="002858F0" w:rsidRDefault="00FE5F90">
      <w:r>
        <w:t>Wage disparities in India remain rooted in structural divides of gender, geography and formality but vocational training offers a pathwa</w:t>
      </w:r>
      <w:r>
        <w:t>y to narrowing these gaps. The data show that while non-formal training has expanded, its wage impact is limited without recognition, whereas formal certified courses consistently deliver measurable income gains. Yet, access to quality training is highly u</w:t>
      </w:r>
      <w:r>
        <w:t>nequal, leaving rural workers, women and disadvantaged groups behind. For vocational training to become a true equalizer, it must be formal, demand-linked, equitably accessible and backed by certification and employer trust. When these conditions align, tr</w:t>
      </w:r>
      <w:r>
        <w:t>aining not only raises wages but also strengthens inclusion, productivity and long-term development.</w:t>
      </w:r>
    </w:p>
    <w:p w:rsidR="002858F0" w:rsidRDefault="002858F0"/>
    <w:p w:rsidR="002858F0" w:rsidRDefault="00FE5F90">
      <w:r>
        <w:br w:type="page"/>
      </w:r>
    </w:p>
    <w:p w:rsidR="002858F0" w:rsidRDefault="00FE5F90">
      <w:pPr>
        <w:rPr>
          <w:b/>
          <w:bCs/>
        </w:rPr>
      </w:pPr>
      <w:r>
        <w:rPr>
          <w:b/>
          <w:bCs/>
        </w:rPr>
        <w:lastRenderedPageBreak/>
        <w:t>References</w:t>
      </w:r>
    </w:p>
    <w:p w:rsidR="002858F0" w:rsidRDefault="00FE5F90">
      <w:pPr>
        <w:pStyle w:val="ListParagraph"/>
        <w:numPr>
          <w:ilvl w:val="0"/>
          <w:numId w:val="4"/>
        </w:numPr>
      </w:pPr>
      <w:r>
        <w:t xml:space="preserve">Bahl, S., Bhatt, V., &amp; Sharma, A. (2021/2022). </w:t>
      </w:r>
      <w:r>
        <w:rPr>
          <w:i/>
          <w:iCs/>
        </w:rPr>
        <w:t>Returns to Formal and Informal Vocational Education and Training in India.</w:t>
      </w:r>
      <w:r>
        <w:t xml:space="preserve"> International Journ</w:t>
      </w:r>
      <w:r>
        <w:t>al of Manpower, 43(7), 1620-1645.</w:t>
      </w:r>
    </w:p>
    <w:p w:rsidR="002858F0" w:rsidRDefault="00FE5F90">
      <w:pPr>
        <w:pStyle w:val="ListParagraph"/>
        <w:numPr>
          <w:ilvl w:val="0"/>
          <w:numId w:val="4"/>
        </w:numPr>
      </w:pPr>
      <w:r>
        <w:t xml:space="preserve">Bairagya, I. (2021). </w:t>
      </w:r>
      <w:r>
        <w:rPr>
          <w:i/>
          <w:iCs/>
        </w:rPr>
        <w:t>Impact of Formal Vocational Training on the Earnings of Self-Employed Individuals in Rural India.</w:t>
      </w:r>
      <w:r>
        <w:t xml:space="preserve"> Journal of Business Venturing Insights, 16, e00269.</w:t>
      </w:r>
    </w:p>
    <w:p w:rsidR="002858F0" w:rsidRDefault="00FE5F90">
      <w:pPr>
        <w:pStyle w:val="ListParagraph"/>
        <w:numPr>
          <w:ilvl w:val="0"/>
          <w:numId w:val="4"/>
        </w:numPr>
      </w:pPr>
      <w:r>
        <w:t xml:space="preserve">Becker, G. S. (1993). </w:t>
      </w:r>
      <w:r>
        <w:rPr>
          <w:i/>
          <w:iCs/>
        </w:rPr>
        <w:t xml:space="preserve">Human Capital: A Theoretical </w:t>
      </w:r>
      <w:r>
        <w:rPr>
          <w:i/>
          <w:iCs/>
        </w:rPr>
        <w:t>and Empirical Analysis, with Special Reference to Education</w:t>
      </w:r>
      <w:r>
        <w:t xml:space="preserve"> (3rd ed.). University of Chicago Press.</w:t>
      </w:r>
    </w:p>
    <w:p w:rsidR="002858F0" w:rsidRDefault="00FE5F90">
      <w:pPr>
        <w:pStyle w:val="ListParagraph"/>
        <w:numPr>
          <w:ilvl w:val="0"/>
          <w:numId w:val="4"/>
        </w:numPr>
      </w:pPr>
      <w:r>
        <w:t xml:space="preserve">Bourdieu, P. (1977). </w:t>
      </w:r>
      <w:r>
        <w:rPr>
          <w:i/>
          <w:iCs/>
        </w:rPr>
        <w:t>Cultural Reproduction and Social Reproduction</w:t>
      </w:r>
      <w:r>
        <w:t xml:space="preserve">. In J. Karabel &amp; A. H. Halsey (Eds.), </w:t>
      </w:r>
      <w:r>
        <w:rPr>
          <w:i/>
          <w:iCs/>
        </w:rPr>
        <w:t>Power and Ideology in Education</w:t>
      </w:r>
      <w:r>
        <w:t xml:space="preserve">. Oxford University </w:t>
      </w:r>
      <w:r>
        <w:t>Press.</w:t>
      </w:r>
    </w:p>
    <w:p w:rsidR="002858F0" w:rsidRDefault="00FE5F90">
      <w:pPr>
        <w:pStyle w:val="ListParagraph"/>
        <w:numPr>
          <w:ilvl w:val="0"/>
          <w:numId w:val="4"/>
        </w:numPr>
      </w:pPr>
      <w:r>
        <w:t xml:space="preserve">Datta, P., &amp; Chaudhuri, C. (2022). </w:t>
      </w:r>
      <w:r>
        <w:rPr>
          <w:i/>
          <w:iCs/>
        </w:rPr>
        <w:t>Fragmentation and Informalisation in Indian Labour Market: Gender Wage Gaps (PLFS 2017-2020).</w:t>
      </w:r>
      <w:r>
        <w:t xml:space="preserve"> NILERD Research Report.</w:t>
      </w:r>
    </w:p>
    <w:p w:rsidR="002858F0" w:rsidRDefault="00FE5F90">
      <w:pPr>
        <w:pStyle w:val="ListParagraph"/>
        <w:numPr>
          <w:ilvl w:val="0"/>
          <w:numId w:val="4"/>
        </w:numPr>
      </w:pPr>
      <w:r>
        <w:t>Directorate General of Training (DGT), Ministry of Skill Development &amp; Entrepreneurship, Governm</w:t>
      </w:r>
      <w:r>
        <w:t xml:space="preserve">ent of India. (2024-2025). </w:t>
      </w:r>
      <w:r>
        <w:rPr>
          <w:i/>
          <w:iCs/>
        </w:rPr>
        <w:t>National Tracer Study-STRIVE: Tracer Study to Assess Employment Outcomes of ITI Pass-outs (National Report).</w:t>
      </w:r>
    </w:p>
    <w:p w:rsidR="002858F0" w:rsidRDefault="00FE5F90">
      <w:pPr>
        <w:pStyle w:val="ListParagraph"/>
        <w:numPr>
          <w:ilvl w:val="0"/>
          <w:numId w:val="4"/>
        </w:numPr>
      </w:pPr>
      <w:r>
        <w:t xml:space="preserve">Doeringer, P. B., &amp; Piore, M. J. (1971). </w:t>
      </w:r>
      <w:r>
        <w:rPr>
          <w:i/>
          <w:iCs/>
        </w:rPr>
        <w:t>Internal Labor Markets and Manpower Analysis</w:t>
      </w:r>
      <w:r>
        <w:t>. Lexington, MA: Heath.</w:t>
      </w:r>
    </w:p>
    <w:p w:rsidR="002858F0" w:rsidRDefault="00FE5F90">
      <w:pPr>
        <w:pStyle w:val="ListParagraph"/>
        <w:numPr>
          <w:ilvl w:val="0"/>
          <w:numId w:val="4"/>
        </w:numPr>
      </w:pPr>
      <w:r>
        <w:t>Economic Su</w:t>
      </w:r>
      <w:r>
        <w:t xml:space="preserve">rvey 2024-25 (Skill Development chapter): </w:t>
      </w:r>
      <w:r>
        <w:rPr>
          <w:i/>
          <w:iCs/>
        </w:rPr>
        <w:t xml:space="preserve">PLFS 2023-24 training composition. </w:t>
      </w:r>
    </w:p>
    <w:p w:rsidR="002858F0" w:rsidRDefault="00FE5F90">
      <w:pPr>
        <w:pStyle w:val="ListParagraph"/>
        <w:numPr>
          <w:ilvl w:val="0"/>
          <w:numId w:val="4"/>
        </w:numPr>
      </w:pPr>
      <w:r>
        <w:t xml:space="preserve">Government of India, Ministry of Statistics &amp; Programme Implementation (MoSPI). (2023). </w:t>
      </w:r>
      <w:r>
        <w:rPr>
          <w:i/>
          <w:iCs/>
        </w:rPr>
        <w:t>PLFS Annual Report 2022-23</w:t>
      </w:r>
      <w:r>
        <w:t xml:space="preserve">. </w:t>
      </w:r>
    </w:p>
    <w:p w:rsidR="002858F0" w:rsidRDefault="00FE5F90">
      <w:pPr>
        <w:pStyle w:val="ListParagraph"/>
        <w:numPr>
          <w:ilvl w:val="0"/>
          <w:numId w:val="4"/>
        </w:numPr>
      </w:pPr>
      <w:r>
        <w:t>Government of India, Ministry of Statistics &amp; Programme Imple</w:t>
      </w:r>
      <w:r>
        <w:t xml:space="preserve">mentation (MoSPI). (2024). </w:t>
      </w:r>
      <w:r>
        <w:rPr>
          <w:i/>
          <w:iCs/>
        </w:rPr>
        <w:t>Reply in Parliament on vocational/technical training coverage 15-59 age group</w:t>
      </w:r>
      <w:r>
        <w:t xml:space="preserve">. </w:t>
      </w:r>
    </w:p>
    <w:p w:rsidR="002858F0" w:rsidRDefault="00FE5F90">
      <w:pPr>
        <w:pStyle w:val="ListParagraph"/>
        <w:numPr>
          <w:ilvl w:val="0"/>
          <w:numId w:val="4"/>
        </w:numPr>
      </w:pPr>
      <w:r>
        <w:t xml:space="preserve">International Labour Organization. (2018). </w:t>
      </w:r>
      <w:r>
        <w:rPr>
          <w:i/>
          <w:iCs/>
        </w:rPr>
        <w:t>India Wage Report: Wage Policies for Decent Work and Inclusive Growth.</w:t>
      </w:r>
      <w:r>
        <w:t xml:space="preserve"> Geneva: ILO.</w:t>
      </w:r>
    </w:p>
    <w:p w:rsidR="002858F0" w:rsidRDefault="00FE5F90">
      <w:pPr>
        <w:pStyle w:val="ListParagraph"/>
        <w:numPr>
          <w:ilvl w:val="0"/>
          <w:numId w:val="4"/>
        </w:numPr>
      </w:pPr>
      <w:r>
        <w:t xml:space="preserve">Khurana, S., Mahajan, </w:t>
      </w:r>
      <w:r>
        <w:t xml:space="preserve">K., &amp; Sen, K. (2023). </w:t>
      </w:r>
      <w:r>
        <w:rPr>
          <w:i/>
          <w:iCs/>
        </w:rPr>
        <w:t>Minimum Wages and Changing Wage Inequality in India.</w:t>
      </w:r>
      <w:r>
        <w:t xml:space="preserve"> IZA Discussion Paper No. 16600; UNU-WIDER Working Paper 2023/67.</w:t>
      </w:r>
    </w:p>
    <w:p w:rsidR="002858F0" w:rsidRDefault="00FE5F90">
      <w:pPr>
        <w:pStyle w:val="ListParagraph"/>
        <w:numPr>
          <w:ilvl w:val="0"/>
          <w:numId w:val="4"/>
        </w:numPr>
      </w:pPr>
      <w:r>
        <w:t xml:space="preserve">Kumar, R. (2019). Vocational training in India: Determinants of participation and effect on wages. </w:t>
      </w:r>
      <w:r>
        <w:rPr>
          <w:i/>
          <w:iCs/>
        </w:rPr>
        <w:t>Empirical Researc</w:t>
      </w:r>
      <w:r>
        <w:rPr>
          <w:i/>
          <w:iCs/>
        </w:rPr>
        <w:t>h in Vocational Education and Training</w:t>
      </w:r>
      <w:r>
        <w:t>, 11, Article 7.</w:t>
      </w:r>
    </w:p>
    <w:p w:rsidR="002858F0" w:rsidRDefault="00FE5F90">
      <w:pPr>
        <w:pStyle w:val="ListParagraph"/>
        <w:numPr>
          <w:ilvl w:val="0"/>
          <w:numId w:val="4"/>
        </w:numPr>
      </w:pPr>
      <w:r>
        <w:t xml:space="preserve">Maitra, P., Mitra, S., Murlidharan, K., &amp; Shah, A. (2014/2017). </w:t>
      </w:r>
      <w:r>
        <w:rPr>
          <w:i/>
          <w:iCs/>
        </w:rPr>
        <w:t>Learning and Earning: Evidence from a Randomized Evaluation in India.</w:t>
      </w:r>
      <w:r>
        <w:t xml:space="preserve"> Labour Economics, 45, 116-130.</w:t>
      </w:r>
    </w:p>
    <w:p w:rsidR="002858F0" w:rsidRDefault="00FE5F90">
      <w:pPr>
        <w:pStyle w:val="ListParagraph"/>
        <w:numPr>
          <w:ilvl w:val="0"/>
          <w:numId w:val="4"/>
        </w:numPr>
      </w:pPr>
      <w:r>
        <w:t xml:space="preserve">Maitra, S. (202). Uncertain itineraries: Dual system of training, policy shifts and skill-formation in India. </w:t>
      </w:r>
      <w:r>
        <w:rPr>
          <w:i/>
          <w:iCs/>
        </w:rPr>
        <w:t>Journal of Vocational Education &amp; Training</w:t>
      </w:r>
      <w:r>
        <w:t>.</w:t>
      </w:r>
    </w:p>
    <w:p w:rsidR="002858F0" w:rsidRDefault="00FE5F90">
      <w:pPr>
        <w:pStyle w:val="ListParagraph"/>
        <w:numPr>
          <w:ilvl w:val="0"/>
          <w:numId w:val="4"/>
        </w:numPr>
      </w:pPr>
      <w:r>
        <w:t xml:space="preserve">Mishra, S. (2024). </w:t>
      </w:r>
      <w:r>
        <w:rPr>
          <w:i/>
          <w:iCs/>
        </w:rPr>
        <w:t>Gender Wage Disparity in Urban India: Evidence from PLFS 2021-22.</w:t>
      </w:r>
      <w:r>
        <w:t xml:space="preserve"> Indian Associatio</w:t>
      </w:r>
      <w:r>
        <w:t>n for Social Psychiatry (Working Paper).</w:t>
      </w:r>
    </w:p>
    <w:p w:rsidR="002858F0" w:rsidRDefault="00FE5F90">
      <w:pPr>
        <w:pStyle w:val="ListParagraph"/>
        <w:numPr>
          <w:ilvl w:val="0"/>
          <w:numId w:val="4"/>
        </w:numPr>
      </w:pPr>
      <w:r>
        <w:t xml:space="preserve">MoSPI (2024). </w:t>
      </w:r>
      <w:r>
        <w:rPr>
          <w:i/>
          <w:iCs/>
        </w:rPr>
        <w:t xml:space="preserve">PLFS Annual Report 2023-24: Press tables. </w:t>
      </w:r>
      <w:r>
        <w:t xml:space="preserve">Press Information Bureau PRID-2057970. </w:t>
      </w:r>
    </w:p>
    <w:p w:rsidR="002858F0" w:rsidRDefault="00FE5F90">
      <w:pPr>
        <w:pStyle w:val="ListParagraph"/>
        <w:numPr>
          <w:ilvl w:val="0"/>
          <w:numId w:val="4"/>
        </w:numPr>
      </w:pPr>
      <w:r>
        <w:lastRenderedPageBreak/>
        <w:t xml:space="preserve">MSDE to Lok Sabha (7 Feb 2024). </w:t>
      </w:r>
      <w:r>
        <w:rPr>
          <w:i/>
          <w:iCs/>
        </w:rPr>
        <w:t>Unstarred Q. No. 603: PLFS 2021-22 vocational training shares (Any 19.5%; Formal 3.4%).</w:t>
      </w:r>
      <w:r>
        <w:t xml:space="preserve"> </w:t>
      </w:r>
    </w:p>
    <w:p w:rsidR="002858F0" w:rsidRDefault="00FE5F90">
      <w:pPr>
        <w:pStyle w:val="ListParagraph"/>
        <w:numPr>
          <w:ilvl w:val="0"/>
          <w:numId w:val="4"/>
        </w:numPr>
      </w:pPr>
      <w:r>
        <w:t xml:space="preserve">MSDE/MoSPI to Lok Sabha (29 Jul 2024). </w:t>
      </w:r>
      <w:r>
        <w:rPr>
          <w:i/>
          <w:iCs/>
        </w:rPr>
        <w:t>Unstarred Q. No. 1145: PLFS 2022-23 vocational training (Any 27.4%; Formal 3.8%).</w:t>
      </w:r>
      <w:r>
        <w:t xml:space="preserve"> </w:t>
      </w:r>
    </w:p>
    <w:p w:rsidR="002858F0" w:rsidRDefault="00FE5F90">
      <w:pPr>
        <w:pStyle w:val="ListParagraph"/>
        <w:numPr>
          <w:ilvl w:val="0"/>
          <w:numId w:val="4"/>
        </w:numPr>
      </w:pPr>
      <w:r>
        <w:t xml:space="preserve">MSDE/MoSPI to Lok Sabha (Session 178). </w:t>
      </w:r>
      <w:r>
        <w:rPr>
          <w:i/>
          <w:iCs/>
        </w:rPr>
        <w:t>Unstarred Q. No. 5127: Formal vocational training (2017-18: 2.0%; 2018-19: 2.4%; 2019-20: 3.2</w:t>
      </w:r>
      <w:r>
        <w:rPr>
          <w:i/>
          <w:iCs/>
        </w:rPr>
        <w:t>%).</w:t>
      </w:r>
      <w:r>
        <w:t xml:space="preserve"> </w:t>
      </w:r>
    </w:p>
    <w:p w:rsidR="002858F0" w:rsidRDefault="00FE5F90">
      <w:pPr>
        <w:pStyle w:val="ListParagraph"/>
        <w:numPr>
          <w:ilvl w:val="0"/>
          <w:numId w:val="4"/>
        </w:numPr>
      </w:pPr>
      <w:r>
        <w:t xml:space="preserve">Pradhan, D. (Minister, MSDE) to Lok Sabha (14 Dec 2022). </w:t>
      </w:r>
      <w:r>
        <w:rPr>
          <w:i/>
          <w:iCs/>
        </w:rPr>
        <w:t>Unstarred Q. No. 920: PLFS 2020-21 vocational training shares (Any 16.9%; Formal 3.3%).</w:t>
      </w:r>
      <w:r>
        <w:t xml:space="preserve"> </w:t>
      </w:r>
    </w:p>
    <w:p w:rsidR="002858F0" w:rsidRDefault="00FE5F90">
      <w:pPr>
        <w:pStyle w:val="ListParagraph"/>
        <w:numPr>
          <w:ilvl w:val="0"/>
          <w:numId w:val="4"/>
        </w:numPr>
      </w:pPr>
      <w:r>
        <w:t xml:space="preserve">Schultz, T. W. (1981). </w:t>
      </w:r>
      <w:r>
        <w:rPr>
          <w:i/>
          <w:iCs/>
        </w:rPr>
        <w:t>Investing in People: The Economics of Population Quality</w:t>
      </w:r>
      <w:r>
        <w:t>. University of California</w:t>
      </w:r>
      <w:r>
        <w:t xml:space="preserve"> Press.</w:t>
      </w:r>
    </w:p>
    <w:p w:rsidR="002858F0" w:rsidRDefault="00FE5F90">
      <w:pPr>
        <w:pStyle w:val="ListParagraph"/>
        <w:numPr>
          <w:ilvl w:val="0"/>
          <w:numId w:val="4"/>
        </w:numPr>
      </w:pPr>
      <w:r>
        <w:t xml:space="preserve">Sen, A. (1999). </w:t>
      </w:r>
      <w:r>
        <w:rPr>
          <w:i/>
          <w:iCs/>
        </w:rPr>
        <w:t>Development as Freedom</w:t>
      </w:r>
      <w:r>
        <w:t>. Oxford University Press.</w:t>
      </w:r>
    </w:p>
    <w:p w:rsidR="002858F0" w:rsidRDefault="00FE5F90">
      <w:pPr>
        <w:pStyle w:val="ListParagraph"/>
        <w:numPr>
          <w:ilvl w:val="0"/>
          <w:numId w:val="4"/>
        </w:numPr>
      </w:pPr>
      <w:r>
        <w:t xml:space="preserve">Sharma, H., Beher, M., &amp; Mehrotra, S. (2025). Status of vocational education and wage gap in the Indian economy: Empirical evidence. </w:t>
      </w:r>
      <w:r>
        <w:rPr>
          <w:i/>
          <w:iCs/>
        </w:rPr>
        <w:t>Indian Journal of Labour Economics</w:t>
      </w:r>
      <w:r>
        <w:t>, 68(1), 123-146</w:t>
      </w:r>
      <w:r>
        <w:t>.</w:t>
      </w:r>
    </w:p>
    <w:p w:rsidR="002858F0" w:rsidRDefault="00FE5F90">
      <w:pPr>
        <w:pStyle w:val="ListParagraph"/>
        <w:numPr>
          <w:ilvl w:val="0"/>
          <w:numId w:val="4"/>
        </w:numPr>
      </w:pPr>
      <w:r>
        <w:t xml:space="preserve">Spence, M. (1973). Job market signalling. </w:t>
      </w:r>
      <w:r>
        <w:rPr>
          <w:i/>
          <w:iCs/>
        </w:rPr>
        <w:t>Quarterly Journal of Economics</w:t>
      </w:r>
      <w:r>
        <w:t>, 87(3), 355-374.</w:t>
      </w:r>
    </w:p>
    <w:p w:rsidR="002858F0" w:rsidRDefault="00FE5F90">
      <w:pPr>
        <w:pStyle w:val="ListParagraph"/>
        <w:numPr>
          <w:ilvl w:val="0"/>
          <w:numId w:val="4"/>
        </w:numPr>
      </w:pPr>
      <w:r>
        <w:t xml:space="preserve">Venugopal, V. K. (2025). </w:t>
      </w:r>
      <w:r>
        <w:rPr>
          <w:i/>
          <w:iCs/>
        </w:rPr>
        <w:t>Returns to Vocational Education and Training in India</w:t>
      </w:r>
      <w:r>
        <w:t xml:space="preserve"> </w:t>
      </w:r>
    </w:p>
    <w:p w:rsidR="002858F0" w:rsidRDefault="00FE5F90">
      <w:pPr>
        <w:pStyle w:val="ListParagraph"/>
        <w:numPr>
          <w:ilvl w:val="0"/>
          <w:numId w:val="4"/>
        </w:numPr>
      </w:pPr>
      <w:r>
        <w:t xml:space="preserve">Venugopal, V. K. (2025). </w:t>
      </w:r>
      <w:r>
        <w:rPr>
          <w:i/>
          <w:iCs/>
        </w:rPr>
        <w:t>Returns to Vocational Education and Training in India: Evid</w:t>
      </w:r>
      <w:r>
        <w:rPr>
          <w:i/>
          <w:iCs/>
        </w:rPr>
        <w:t>ence from PLFS 2023-24.</w:t>
      </w:r>
      <w:r>
        <w:t xml:space="preserve"> IES Working Paper.</w:t>
      </w:r>
    </w:p>
    <w:p w:rsidR="002858F0" w:rsidRDefault="00FE5F90">
      <w:pPr>
        <w:pStyle w:val="ListParagraph"/>
        <w:numPr>
          <w:ilvl w:val="0"/>
          <w:numId w:val="4"/>
        </w:numPr>
      </w:pPr>
      <w:r>
        <w:t xml:space="preserve">Vincent, A. (2023). </w:t>
      </w:r>
      <w:r>
        <w:rPr>
          <w:i/>
          <w:iCs/>
        </w:rPr>
        <w:t>Do Different Types of Vocational Education and Training Programmes Influence Earnings? Evidence from India (PLFS 2017-18)</w:t>
      </w:r>
      <w:r>
        <w:t xml:space="preserve">. </w:t>
      </w:r>
    </w:p>
    <w:p w:rsidR="002858F0" w:rsidRDefault="002858F0"/>
    <w:sectPr w:rsidR="002858F0">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F90" w:rsidRDefault="00FE5F90">
      <w:pPr>
        <w:spacing w:after="0" w:line="240" w:lineRule="auto"/>
      </w:pPr>
      <w:r>
        <w:separator/>
      </w:r>
    </w:p>
  </w:endnote>
  <w:endnote w:type="continuationSeparator" w:id="0">
    <w:p w:rsidR="00FE5F90" w:rsidRDefault="00FE5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8F0" w:rsidRDefault="00FE5F90">
    <w:pPr>
      <w:pStyle w:val="Footer"/>
      <w:jc w:val="center"/>
    </w:pPr>
    <w:r>
      <w:fldChar w:fldCharType="begin"/>
    </w:r>
    <w:r>
      <w:instrText xml:space="preserve"> PAGE   \* MERGEFORMAT </w:instrText>
    </w:r>
    <w:r>
      <w:fldChar w:fldCharType="separate"/>
    </w:r>
    <w:r>
      <w:rPr>
        <w:noProof/>
      </w:rPr>
      <w:t>2</w:t>
    </w:r>
    <w:r>
      <w:rPr>
        <w:noProof/>
      </w:rPr>
      <w:fldChar w:fldCharType="end"/>
    </w:r>
  </w:p>
  <w:p w:rsidR="002858F0" w:rsidRDefault="0028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F90" w:rsidRDefault="00FE5F90">
      <w:pPr>
        <w:spacing w:after="0" w:line="240" w:lineRule="auto"/>
      </w:pPr>
      <w:r>
        <w:separator/>
      </w:r>
    </w:p>
  </w:footnote>
  <w:footnote w:type="continuationSeparator" w:id="0">
    <w:p w:rsidR="00FE5F90" w:rsidRDefault="00FE5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DDE8A602"/>
    <w:lvl w:ilvl="0">
      <w:start w:val="1"/>
      <w:numFmt w:val="decimal"/>
      <w:lvlText w:val="%1."/>
      <w:lvlJc w:val="left"/>
      <w:pPr>
        <w:tabs>
          <w:tab w:val="left" w:pos="720"/>
        </w:tabs>
        <w:ind w:left="720" w:hanging="360"/>
      </w:pPr>
      <w:rPr>
        <w:rFonts w:hint="default"/>
        <w:sz w:val="24"/>
        <w:szCs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multilevel"/>
    <w:tmpl w:val="25A6D1E8"/>
    <w:lvl w:ilvl="0">
      <w:start w:val="1"/>
      <w:numFmt w:val="decimal"/>
      <w:lvlText w:val="%1."/>
      <w:lvlJc w:val="left"/>
      <w:pPr>
        <w:tabs>
          <w:tab w:val="left" w:pos="720"/>
        </w:tabs>
        <w:ind w:left="720" w:hanging="360"/>
      </w:pPr>
      <w:rPr>
        <w:rFonts w:hint="default"/>
        <w:sz w:val="24"/>
        <w:szCs w:val="24"/>
      </w:rPr>
    </w:lvl>
    <w:lvl w:ilvl="1">
      <w:start w:val="1"/>
      <w:numFmt w:val="decimal"/>
      <w:lvlText w:val="%2."/>
      <w:lvlJc w:val="left"/>
      <w:pPr>
        <w:ind w:left="1440" w:hanging="360"/>
      </w:p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2"/>
    <w:multiLevelType w:val="multilevel"/>
    <w:tmpl w:val="A204E51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3"/>
    <w:multiLevelType w:val="multilevel"/>
    <w:tmpl w:val="25A6D1E8"/>
    <w:lvl w:ilvl="0">
      <w:start w:val="1"/>
      <w:numFmt w:val="decimal"/>
      <w:lvlText w:val="%1."/>
      <w:lvlJc w:val="left"/>
      <w:pPr>
        <w:tabs>
          <w:tab w:val="left" w:pos="720"/>
        </w:tabs>
        <w:ind w:left="720" w:hanging="360"/>
      </w:pPr>
      <w:rPr>
        <w:rFonts w:hint="default"/>
        <w:sz w:val="24"/>
        <w:szCs w:val="24"/>
      </w:rPr>
    </w:lvl>
    <w:lvl w:ilvl="1">
      <w:start w:val="1"/>
      <w:numFmt w:val="decimal"/>
      <w:lvlText w:val="%2."/>
      <w:lvlJc w:val="left"/>
      <w:pPr>
        <w:ind w:left="1440" w:hanging="360"/>
      </w:p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F0"/>
    <w:rsid w:val="002858F0"/>
    <w:rsid w:val="00973D22"/>
    <w:rsid w:val="00FE5F9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EC45"/>
  <w15:docId w15:val="{B903E2D2-6D1E-43C1-8DA7-49BD0A0C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kern w:val="2"/>
        <w:sz w:val="24"/>
        <w:szCs w:val="24"/>
        <w:lang w:val="en-IN" w:eastAsia="en-US" w:bidi="ar-SA"/>
        <w14:ligatures w14:val="standardContextual"/>
      </w:rPr>
    </w:rPrDefault>
    <w:pPrDefault>
      <w:pPr>
        <w:spacing w:after="24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Mangal"/>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Mangal"/>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Calibri" w:eastAsia="SimSun" w:hAnsi="Calibri" w:cs="Mangal"/>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Calibri" w:eastAsia="SimSun" w:hAnsi="Calibri" w:cs="Mangal"/>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Calibri" w:eastAsia="SimSun" w:hAnsi="Calibri" w:cs="Mangal"/>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Calibri" w:eastAsia="SimSun" w:hAnsi="Calibri" w:cs="Mangal"/>
      <w:i/>
      <w:iCs/>
      <w:color w:val="595959"/>
    </w:rPr>
  </w:style>
  <w:style w:type="paragraph" w:styleId="Heading7">
    <w:name w:val="heading 7"/>
    <w:basedOn w:val="Normal"/>
    <w:next w:val="Normal"/>
    <w:link w:val="Heading7Char"/>
    <w:uiPriority w:val="9"/>
    <w:qFormat/>
    <w:pPr>
      <w:keepNext/>
      <w:keepLines/>
      <w:spacing w:before="40" w:after="0"/>
      <w:outlineLvl w:val="6"/>
    </w:pPr>
    <w:rPr>
      <w:rFonts w:ascii="Calibri" w:eastAsia="SimSun" w:hAnsi="Calibri" w:cs="Mangal"/>
      <w:color w:val="595959"/>
    </w:rPr>
  </w:style>
  <w:style w:type="paragraph" w:styleId="Heading8">
    <w:name w:val="heading 8"/>
    <w:basedOn w:val="Normal"/>
    <w:next w:val="Normal"/>
    <w:link w:val="Heading8Char"/>
    <w:uiPriority w:val="9"/>
    <w:qFormat/>
    <w:pPr>
      <w:keepNext/>
      <w:keepLines/>
      <w:spacing w:after="0"/>
      <w:outlineLvl w:val="7"/>
    </w:pPr>
    <w:rPr>
      <w:rFonts w:ascii="Calibri" w:eastAsia="SimSun" w:hAnsi="Calibri" w:cs="Mangal"/>
      <w:i/>
      <w:iCs/>
      <w:color w:val="272727"/>
    </w:rPr>
  </w:style>
  <w:style w:type="paragraph" w:styleId="Heading9">
    <w:name w:val="heading 9"/>
    <w:basedOn w:val="Normal"/>
    <w:next w:val="Normal"/>
    <w:link w:val="Heading9Char"/>
    <w:uiPriority w:val="9"/>
    <w:qFormat/>
    <w:pPr>
      <w:keepNext/>
      <w:keepLines/>
      <w:spacing w:after="0"/>
      <w:outlineLvl w:val="8"/>
    </w:pPr>
    <w:rPr>
      <w:rFonts w:ascii="Calibri" w:eastAsia="SimSun" w:hAnsi="Calibri" w:cs="Mangal"/>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Mangal"/>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Mangal"/>
      <w:color w:val="2F5496"/>
      <w:sz w:val="32"/>
      <w:szCs w:val="32"/>
    </w:rPr>
  </w:style>
  <w:style w:type="character" w:customStyle="1" w:styleId="Heading3Char">
    <w:name w:val="Heading 3 Char"/>
    <w:basedOn w:val="DefaultParagraphFont"/>
    <w:link w:val="Heading3"/>
    <w:uiPriority w:val="9"/>
    <w:rPr>
      <w:rFonts w:ascii="Calibri" w:eastAsia="SimSun" w:hAnsi="Calibri" w:cs="Mangal"/>
      <w:color w:val="2F5496"/>
      <w:sz w:val="28"/>
      <w:szCs w:val="28"/>
    </w:rPr>
  </w:style>
  <w:style w:type="character" w:customStyle="1" w:styleId="Heading4Char">
    <w:name w:val="Heading 4 Char"/>
    <w:basedOn w:val="DefaultParagraphFont"/>
    <w:link w:val="Heading4"/>
    <w:uiPriority w:val="9"/>
    <w:rPr>
      <w:rFonts w:ascii="Calibri" w:eastAsia="SimSun" w:hAnsi="Calibri" w:cs="Mangal"/>
      <w:i/>
      <w:iCs/>
      <w:color w:val="2F5496"/>
    </w:rPr>
  </w:style>
  <w:style w:type="character" w:customStyle="1" w:styleId="Heading5Char">
    <w:name w:val="Heading 5 Char"/>
    <w:basedOn w:val="DefaultParagraphFont"/>
    <w:link w:val="Heading5"/>
    <w:uiPriority w:val="9"/>
    <w:rPr>
      <w:rFonts w:ascii="Calibri" w:eastAsia="SimSun" w:hAnsi="Calibri" w:cs="Mangal"/>
      <w:color w:val="2F5496"/>
    </w:rPr>
  </w:style>
  <w:style w:type="character" w:customStyle="1" w:styleId="Heading6Char">
    <w:name w:val="Heading 6 Char"/>
    <w:basedOn w:val="DefaultParagraphFont"/>
    <w:link w:val="Heading6"/>
    <w:uiPriority w:val="9"/>
    <w:rPr>
      <w:rFonts w:ascii="Calibri" w:eastAsia="SimSun" w:hAnsi="Calibri" w:cs="Mangal"/>
      <w:i/>
      <w:iCs/>
      <w:color w:val="595959"/>
    </w:rPr>
  </w:style>
  <w:style w:type="character" w:customStyle="1" w:styleId="Heading7Char">
    <w:name w:val="Heading 7 Char"/>
    <w:basedOn w:val="DefaultParagraphFont"/>
    <w:link w:val="Heading7"/>
    <w:uiPriority w:val="9"/>
    <w:rPr>
      <w:rFonts w:ascii="Calibri" w:eastAsia="SimSun" w:hAnsi="Calibri" w:cs="Mangal"/>
      <w:color w:val="595959"/>
    </w:rPr>
  </w:style>
  <w:style w:type="character" w:customStyle="1" w:styleId="Heading8Char">
    <w:name w:val="Heading 8 Char"/>
    <w:basedOn w:val="DefaultParagraphFont"/>
    <w:link w:val="Heading8"/>
    <w:uiPriority w:val="9"/>
    <w:rPr>
      <w:rFonts w:ascii="Calibri" w:eastAsia="SimSun" w:hAnsi="Calibri" w:cs="Mangal"/>
      <w:i/>
      <w:iCs/>
      <w:color w:val="272727"/>
    </w:rPr>
  </w:style>
  <w:style w:type="character" w:customStyle="1" w:styleId="Heading9Char">
    <w:name w:val="Heading 9 Char"/>
    <w:basedOn w:val="DefaultParagraphFont"/>
    <w:link w:val="Heading9"/>
    <w:uiPriority w:val="9"/>
    <w:rPr>
      <w:rFonts w:ascii="Calibri" w:eastAsia="SimSun" w:hAnsi="Calibri" w:cs="Mangal"/>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Mangal"/>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Mangal"/>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ascii="Calibri" w:eastAsia="SimSun" w:hAnsi="Calibri" w:cs="Mangal"/>
      <w:color w:val="595959"/>
      <w:spacing w:val="15"/>
      <w:sz w:val="28"/>
      <w:szCs w:val="28"/>
    </w:rPr>
  </w:style>
  <w:style w:type="character" w:customStyle="1" w:styleId="SubtitleChar">
    <w:name w:val="Subtitle Char"/>
    <w:basedOn w:val="DefaultParagraphFont"/>
    <w:link w:val="Subtitle"/>
    <w:uiPriority w:val="11"/>
    <w:rPr>
      <w:rFonts w:ascii="Calibri" w:eastAsia="SimSun" w:hAnsi="Calibri" w:cs="Mangal"/>
      <w:color w:val="595959"/>
      <w:spacing w:val="15"/>
      <w:sz w:val="28"/>
      <w:szCs w:val="28"/>
    </w:rPr>
  </w:style>
  <w:style w:type="paragraph" w:styleId="Quote">
    <w:name w:val="Quote"/>
    <w:basedOn w:val="Normal"/>
    <w:next w:val="Normal"/>
    <w:link w:val="QuoteChar"/>
    <w:uiPriority w:val="29"/>
    <w:qFormat/>
    <w:pPr>
      <w:spacing w:before="160" w:after="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Rural Men</c:v>
                </c:pt>
              </c:strCache>
            </c:strRef>
          </c:tx>
          <c:spPr>
            <a:solidFill>
              <a:schemeClr val="accent1"/>
            </a:solidFill>
            <a:ln>
              <a:noFill/>
            </a:ln>
            <a:effectLst/>
          </c:spPr>
          <c:invertIfNegative val="0"/>
          <c:cat>
            <c:strRef>
              <c:f>Sheet1!$A$2:$A$8</c:f>
              <c:strCache>
                <c:ptCount val="7"/>
                <c:pt idx="0">
                  <c:v>2017–18</c:v>
                </c:pt>
                <c:pt idx="1">
                  <c:v>2018–19</c:v>
                </c:pt>
                <c:pt idx="2">
                  <c:v>2019–20</c:v>
                </c:pt>
                <c:pt idx="3">
                  <c:v>2020–21</c:v>
                </c:pt>
                <c:pt idx="4">
                  <c:v>2021–22</c:v>
                </c:pt>
                <c:pt idx="5">
                  <c:v>2022–23</c:v>
                </c:pt>
                <c:pt idx="6">
                  <c:v>2023–24</c:v>
                </c:pt>
              </c:strCache>
            </c:strRef>
          </c:cat>
          <c:val>
            <c:numRef>
              <c:f>Sheet1!$B$2:$B$8</c:f>
              <c:numCache>
                <c:formatCode>#,##0</c:formatCode>
                <c:ptCount val="7"/>
                <c:pt idx="0">
                  <c:v>13436</c:v>
                </c:pt>
                <c:pt idx="1">
                  <c:v>14297</c:v>
                </c:pt>
                <c:pt idx="2">
                  <c:v>15236</c:v>
                </c:pt>
                <c:pt idx="3">
                  <c:v>15882</c:v>
                </c:pt>
                <c:pt idx="4">
                  <c:v>16444</c:v>
                </c:pt>
                <c:pt idx="5">
                  <c:v>17274</c:v>
                </c:pt>
                <c:pt idx="6">
                  <c:v>18021</c:v>
                </c:pt>
              </c:numCache>
            </c:numRef>
          </c:val>
          <c:extLst>
            <c:ext xmlns:c16="http://schemas.microsoft.com/office/drawing/2014/chart" uri="{C3380CC4-5D6E-409C-BE32-E72D297353CC}">
              <c16:uniqueId val="{00000000-E996-4A69-9AC7-240B37BB6A77}"/>
            </c:ext>
          </c:extLst>
        </c:ser>
        <c:ser>
          <c:idx val="1"/>
          <c:order val="1"/>
          <c:tx>
            <c:strRef>
              <c:f>Sheet1!$C$1</c:f>
              <c:strCache>
                <c:ptCount val="1"/>
                <c:pt idx="0">
                  <c:v>Rural Women</c:v>
                </c:pt>
              </c:strCache>
            </c:strRef>
          </c:tx>
          <c:spPr>
            <a:solidFill>
              <a:schemeClr val="accent2"/>
            </a:solidFill>
            <a:ln>
              <a:noFill/>
            </a:ln>
            <a:effectLst/>
          </c:spPr>
          <c:invertIfNegative val="0"/>
          <c:cat>
            <c:strRef>
              <c:f>Sheet1!$A$2:$A$8</c:f>
              <c:strCache>
                <c:ptCount val="7"/>
                <c:pt idx="0">
                  <c:v>2017–18</c:v>
                </c:pt>
                <c:pt idx="1">
                  <c:v>2018–19</c:v>
                </c:pt>
                <c:pt idx="2">
                  <c:v>2019–20</c:v>
                </c:pt>
                <c:pt idx="3">
                  <c:v>2020–21</c:v>
                </c:pt>
                <c:pt idx="4">
                  <c:v>2021–22</c:v>
                </c:pt>
                <c:pt idx="5">
                  <c:v>2022–23</c:v>
                </c:pt>
                <c:pt idx="6">
                  <c:v>2023–24</c:v>
                </c:pt>
              </c:strCache>
            </c:strRef>
          </c:cat>
          <c:val>
            <c:numRef>
              <c:f>Sheet1!$C$2:$C$8</c:f>
              <c:numCache>
                <c:formatCode>#,##0</c:formatCode>
                <c:ptCount val="7"/>
                <c:pt idx="0">
                  <c:v>10883</c:v>
                </c:pt>
                <c:pt idx="1">
                  <c:v>11235</c:v>
                </c:pt>
                <c:pt idx="2">
                  <c:v>12004</c:v>
                </c:pt>
                <c:pt idx="3">
                  <c:v>12274</c:v>
                </c:pt>
                <c:pt idx="4">
                  <c:v>12690</c:v>
                </c:pt>
                <c:pt idx="5">
                  <c:v>13825</c:v>
                </c:pt>
                <c:pt idx="6">
                  <c:v>14312</c:v>
                </c:pt>
              </c:numCache>
            </c:numRef>
          </c:val>
          <c:extLst>
            <c:ext xmlns:c16="http://schemas.microsoft.com/office/drawing/2014/chart" uri="{C3380CC4-5D6E-409C-BE32-E72D297353CC}">
              <c16:uniqueId val="{00000001-E996-4A69-9AC7-240B37BB6A77}"/>
            </c:ext>
          </c:extLst>
        </c:ser>
        <c:ser>
          <c:idx val="2"/>
          <c:order val="2"/>
          <c:tx>
            <c:strRef>
              <c:f>Sheet1!$D$1</c:f>
              <c:strCache>
                <c:ptCount val="1"/>
                <c:pt idx="0">
                  <c:v>Urban Men</c:v>
                </c:pt>
              </c:strCache>
            </c:strRef>
          </c:tx>
          <c:spPr>
            <a:solidFill>
              <a:schemeClr val="accent3"/>
            </a:solidFill>
            <a:ln>
              <a:noFill/>
            </a:ln>
            <a:effectLst/>
          </c:spPr>
          <c:invertIfNegative val="0"/>
          <c:cat>
            <c:strRef>
              <c:f>Sheet1!$A$2:$A$8</c:f>
              <c:strCache>
                <c:ptCount val="7"/>
                <c:pt idx="0">
                  <c:v>2017–18</c:v>
                </c:pt>
                <c:pt idx="1">
                  <c:v>2018–19</c:v>
                </c:pt>
                <c:pt idx="2">
                  <c:v>2019–20</c:v>
                </c:pt>
                <c:pt idx="3">
                  <c:v>2020–21</c:v>
                </c:pt>
                <c:pt idx="4">
                  <c:v>2021–22</c:v>
                </c:pt>
                <c:pt idx="5">
                  <c:v>2022–23</c:v>
                </c:pt>
                <c:pt idx="6">
                  <c:v>2023–24</c:v>
                </c:pt>
              </c:strCache>
            </c:strRef>
          </c:cat>
          <c:val>
            <c:numRef>
              <c:f>Sheet1!$D$2:$D$8</c:f>
              <c:numCache>
                <c:formatCode>#,##0</c:formatCode>
                <c:ptCount val="7"/>
                <c:pt idx="0">
                  <c:v>19326</c:v>
                </c:pt>
                <c:pt idx="1">
                  <c:v>20281</c:v>
                </c:pt>
                <c:pt idx="2">
                  <c:v>21452</c:v>
                </c:pt>
                <c:pt idx="3">
                  <c:v>21991</c:v>
                </c:pt>
                <c:pt idx="4">
                  <c:v>22684</c:v>
                </c:pt>
                <c:pt idx="5">
                  <c:v>24243</c:v>
                </c:pt>
                <c:pt idx="6">
                  <c:v>25276</c:v>
                </c:pt>
              </c:numCache>
            </c:numRef>
          </c:val>
          <c:extLst>
            <c:ext xmlns:c16="http://schemas.microsoft.com/office/drawing/2014/chart" uri="{C3380CC4-5D6E-409C-BE32-E72D297353CC}">
              <c16:uniqueId val="{00000002-E996-4A69-9AC7-240B37BB6A77}"/>
            </c:ext>
          </c:extLst>
        </c:ser>
        <c:ser>
          <c:idx val="3"/>
          <c:order val="3"/>
          <c:tx>
            <c:strRef>
              <c:f>Sheet1!$E$1</c:f>
              <c:strCache>
                <c:ptCount val="1"/>
                <c:pt idx="0">
                  <c:v>Urban Women</c:v>
                </c:pt>
              </c:strCache>
            </c:strRef>
          </c:tx>
          <c:spPr>
            <a:solidFill>
              <a:schemeClr val="accent4"/>
            </a:solidFill>
            <a:ln>
              <a:noFill/>
            </a:ln>
            <a:effectLst/>
          </c:spPr>
          <c:invertIfNegative val="0"/>
          <c:cat>
            <c:strRef>
              <c:f>Sheet1!$A$2:$A$8</c:f>
              <c:strCache>
                <c:ptCount val="7"/>
                <c:pt idx="0">
                  <c:v>2017–18</c:v>
                </c:pt>
                <c:pt idx="1">
                  <c:v>2018–19</c:v>
                </c:pt>
                <c:pt idx="2">
                  <c:v>2019–20</c:v>
                </c:pt>
                <c:pt idx="3">
                  <c:v>2020–21</c:v>
                </c:pt>
                <c:pt idx="4">
                  <c:v>2021–22</c:v>
                </c:pt>
                <c:pt idx="5">
                  <c:v>2022–23</c:v>
                </c:pt>
                <c:pt idx="6">
                  <c:v>2023–24</c:v>
                </c:pt>
              </c:strCache>
            </c:strRef>
          </c:cat>
          <c:val>
            <c:numRef>
              <c:f>Sheet1!$E$2:$E$8</c:f>
              <c:numCache>
                <c:formatCode>#,##0</c:formatCode>
                <c:ptCount val="7"/>
                <c:pt idx="0">
                  <c:v>15411</c:v>
                </c:pt>
                <c:pt idx="1">
                  <c:v>15874</c:v>
                </c:pt>
                <c:pt idx="2">
                  <c:v>16823</c:v>
                </c:pt>
                <c:pt idx="3">
                  <c:v>17115</c:v>
                </c:pt>
                <c:pt idx="4">
                  <c:v>17665</c:v>
                </c:pt>
                <c:pt idx="5">
                  <c:v>19308</c:v>
                </c:pt>
                <c:pt idx="6">
                  <c:v>20215</c:v>
                </c:pt>
              </c:numCache>
            </c:numRef>
          </c:val>
          <c:extLst>
            <c:ext xmlns:c16="http://schemas.microsoft.com/office/drawing/2014/chart" uri="{C3380CC4-5D6E-409C-BE32-E72D297353CC}">
              <c16:uniqueId val="{00000003-E996-4A69-9AC7-240B37BB6A77}"/>
            </c:ext>
          </c:extLst>
        </c:ser>
        <c:dLbls>
          <c:showLegendKey val="0"/>
          <c:showVal val="0"/>
          <c:showCatName val="0"/>
          <c:showSerName val="0"/>
          <c:showPercent val="0"/>
          <c:showBubbleSize val="0"/>
        </c:dLbls>
        <c:gapWidth val="182"/>
        <c:axId val="300467616"/>
        <c:axId val="300481056"/>
      </c:barChart>
      <c:catAx>
        <c:axId val="300467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481056"/>
        <c:crosses val="autoZero"/>
        <c:auto val="1"/>
        <c:lblAlgn val="ctr"/>
        <c:lblOffset val="100"/>
        <c:noMultiLvlLbl val="0"/>
      </c:catAx>
      <c:valAx>
        <c:axId val="3004810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467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Sheet2!$B$1</c:f>
              <c:strCache>
                <c:ptCount val="1"/>
                <c:pt idx="0">
                  <c:v>Rural Men</c:v>
                </c:pt>
              </c:strCache>
            </c:strRef>
          </c:tx>
          <c:spPr>
            <a:solidFill>
              <a:schemeClr val="accent1"/>
            </a:solidFill>
            <a:ln>
              <a:noFill/>
            </a:ln>
            <a:effectLst/>
          </c:spPr>
          <c:invertIfNegative val="0"/>
          <c:cat>
            <c:strRef>
              <c:f>Sheet2!$A$2:$A$8</c:f>
              <c:strCache>
                <c:ptCount val="7"/>
                <c:pt idx="0">
                  <c:v>2017–18</c:v>
                </c:pt>
                <c:pt idx="1">
                  <c:v>2018–19</c:v>
                </c:pt>
                <c:pt idx="2">
                  <c:v>2019–20</c:v>
                </c:pt>
                <c:pt idx="3">
                  <c:v>2020–21</c:v>
                </c:pt>
                <c:pt idx="4">
                  <c:v>2021–22</c:v>
                </c:pt>
                <c:pt idx="5">
                  <c:v>2022–23</c:v>
                </c:pt>
                <c:pt idx="6">
                  <c:v>2023–24</c:v>
                </c:pt>
              </c:strCache>
            </c:strRef>
          </c:cat>
          <c:val>
            <c:numRef>
              <c:f>Sheet2!$B$2:$B$8</c:f>
              <c:numCache>
                <c:formatCode>General</c:formatCode>
                <c:ptCount val="7"/>
                <c:pt idx="0">
                  <c:v>324</c:v>
                </c:pt>
                <c:pt idx="1">
                  <c:v>339</c:v>
                </c:pt>
                <c:pt idx="2">
                  <c:v>354</c:v>
                </c:pt>
                <c:pt idx="3">
                  <c:v>364</c:v>
                </c:pt>
                <c:pt idx="4">
                  <c:v>373</c:v>
                </c:pt>
                <c:pt idx="5">
                  <c:v>382</c:v>
                </c:pt>
                <c:pt idx="6">
                  <c:v>395</c:v>
                </c:pt>
              </c:numCache>
            </c:numRef>
          </c:val>
          <c:extLst>
            <c:ext xmlns:c16="http://schemas.microsoft.com/office/drawing/2014/chart" uri="{C3380CC4-5D6E-409C-BE32-E72D297353CC}">
              <c16:uniqueId val="{00000000-0597-4CD9-97DC-27DCB4223021}"/>
            </c:ext>
          </c:extLst>
        </c:ser>
        <c:ser>
          <c:idx val="1"/>
          <c:order val="1"/>
          <c:tx>
            <c:strRef>
              <c:f>Sheet2!$C$1</c:f>
              <c:strCache>
                <c:ptCount val="1"/>
                <c:pt idx="0">
                  <c:v>Rural Women</c:v>
                </c:pt>
              </c:strCache>
            </c:strRef>
          </c:tx>
          <c:spPr>
            <a:solidFill>
              <a:schemeClr val="accent2"/>
            </a:solidFill>
            <a:ln>
              <a:noFill/>
            </a:ln>
            <a:effectLst/>
          </c:spPr>
          <c:invertIfNegative val="0"/>
          <c:cat>
            <c:strRef>
              <c:f>Sheet2!$A$2:$A$8</c:f>
              <c:strCache>
                <c:ptCount val="7"/>
                <c:pt idx="0">
                  <c:v>2017–18</c:v>
                </c:pt>
                <c:pt idx="1">
                  <c:v>2018–19</c:v>
                </c:pt>
                <c:pt idx="2">
                  <c:v>2019–20</c:v>
                </c:pt>
                <c:pt idx="3">
                  <c:v>2020–21</c:v>
                </c:pt>
                <c:pt idx="4">
                  <c:v>2021–22</c:v>
                </c:pt>
                <c:pt idx="5">
                  <c:v>2022–23</c:v>
                </c:pt>
                <c:pt idx="6">
                  <c:v>2023–24</c:v>
                </c:pt>
              </c:strCache>
            </c:strRef>
          </c:cat>
          <c:val>
            <c:numRef>
              <c:f>Sheet2!$C$2:$C$8</c:f>
              <c:numCache>
                <c:formatCode>General</c:formatCode>
                <c:ptCount val="7"/>
                <c:pt idx="0">
                  <c:v>206</c:v>
                </c:pt>
                <c:pt idx="1">
                  <c:v>217</c:v>
                </c:pt>
                <c:pt idx="2">
                  <c:v>229</c:v>
                </c:pt>
                <c:pt idx="3">
                  <c:v>236</c:v>
                </c:pt>
                <c:pt idx="4">
                  <c:v>243</c:v>
                </c:pt>
                <c:pt idx="5">
                  <c:v>251</c:v>
                </c:pt>
                <c:pt idx="6">
                  <c:v>262</c:v>
                </c:pt>
              </c:numCache>
            </c:numRef>
          </c:val>
          <c:extLst>
            <c:ext xmlns:c16="http://schemas.microsoft.com/office/drawing/2014/chart" uri="{C3380CC4-5D6E-409C-BE32-E72D297353CC}">
              <c16:uniqueId val="{00000001-0597-4CD9-97DC-27DCB4223021}"/>
            </c:ext>
          </c:extLst>
        </c:ser>
        <c:ser>
          <c:idx val="2"/>
          <c:order val="2"/>
          <c:tx>
            <c:strRef>
              <c:f>Sheet2!$D$1</c:f>
              <c:strCache>
                <c:ptCount val="1"/>
                <c:pt idx="0">
                  <c:v>Urban Men</c:v>
                </c:pt>
              </c:strCache>
            </c:strRef>
          </c:tx>
          <c:spPr>
            <a:solidFill>
              <a:schemeClr val="accent3"/>
            </a:solidFill>
            <a:ln>
              <a:noFill/>
            </a:ln>
            <a:effectLst/>
          </c:spPr>
          <c:invertIfNegative val="0"/>
          <c:cat>
            <c:strRef>
              <c:f>Sheet2!$A$2:$A$8</c:f>
              <c:strCache>
                <c:ptCount val="7"/>
                <c:pt idx="0">
                  <c:v>2017–18</c:v>
                </c:pt>
                <c:pt idx="1">
                  <c:v>2018–19</c:v>
                </c:pt>
                <c:pt idx="2">
                  <c:v>2019–20</c:v>
                </c:pt>
                <c:pt idx="3">
                  <c:v>2020–21</c:v>
                </c:pt>
                <c:pt idx="4">
                  <c:v>2021–22</c:v>
                </c:pt>
                <c:pt idx="5">
                  <c:v>2022–23</c:v>
                </c:pt>
                <c:pt idx="6">
                  <c:v>2023–24</c:v>
                </c:pt>
              </c:strCache>
            </c:strRef>
          </c:cat>
          <c:val>
            <c:numRef>
              <c:f>Sheet2!$D$2:$D$8</c:f>
              <c:numCache>
                <c:formatCode>General</c:formatCode>
                <c:ptCount val="7"/>
                <c:pt idx="0">
                  <c:v>411</c:v>
                </c:pt>
                <c:pt idx="1">
                  <c:v>429</c:v>
                </c:pt>
                <c:pt idx="2">
                  <c:v>447</c:v>
                </c:pt>
                <c:pt idx="3">
                  <c:v>457</c:v>
                </c:pt>
                <c:pt idx="4">
                  <c:v>468</c:v>
                </c:pt>
                <c:pt idx="5">
                  <c:v>483</c:v>
                </c:pt>
                <c:pt idx="6">
                  <c:v>497</c:v>
                </c:pt>
              </c:numCache>
            </c:numRef>
          </c:val>
          <c:extLst>
            <c:ext xmlns:c16="http://schemas.microsoft.com/office/drawing/2014/chart" uri="{C3380CC4-5D6E-409C-BE32-E72D297353CC}">
              <c16:uniqueId val="{00000002-0597-4CD9-97DC-27DCB4223021}"/>
            </c:ext>
          </c:extLst>
        </c:ser>
        <c:ser>
          <c:idx val="3"/>
          <c:order val="3"/>
          <c:tx>
            <c:strRef>
              <c:f>Sheet2!$E$1</c:f>
              <c:strCache>
                <c:ptCount val="1"/>
                <c:pt idx="0">
                  <c:v>Urban Women</c:v>
                </c:pt>
              </c:strCache>
            </c:strRef>
          </c:tx>
          <c:spPr>
            <a:solidFill>
              <a:schemeClr val="accent4"/>
            </a:solidFill>
            <a:ln>
              <a:noFill/>
            </a:ln>
            <a:effectLst/>
          </c:spPr>
          <c:invertIfNegative val="0"/>
          <c:cat>
            <c:strRef>
              <c:f>Sheet2!$A$2:$A$8</c:f>
              <c:strCache>
                <c:ptCount val="7"/>
                <c:pt idx="0">
                  <c:v>2017–18</c:v>
                </c:pt>
                <c:pt idx="1">
                  <c:v>2018–19</c:v>
                </c:pt>
                <c:pt idx="2">
                  <c:v>2019–20</c:v>
                </c:pt>
                <c:pt idx="3">
                  <c:v>2020–21</c:v>
                </c:pt>
                <c:pt idx="4">
                  <c:v>2021–22</c:v>
                </c:pt>
                <c:pt idx="5">
                  <c:v>2022–23</c:v>
                </c:pt>
                <c:pt idx="6">
                  <c:v>2023–24</c:v>
                </c:pt>
              </c:strCache>
            </c:strRef>
          </c:cat>
          <c:val>
            <c:numRef>
              <c:f>Sheet2!$E$2:$E$8</c:f>
              <c:numCache>
                <c:formatCode>General</c:formatCode>
                <c:ptCount val="7"/>
                <c:pt idx="0">
                  <c:v>273</c:v>
                </c:pt>
                <c:pt idx="1">
                  <c:v>289</c:v>
                </c:pt>
                <c:pt idx="2">
                  <c:v>305</c:v>
                </c:pt>
                <c:pt idx="3">
                  <c:v>315</c:v>
                </c:pt>
                <c:pt idx="4">
                  <c:v>324</c:v>
                </c:pt>
                <c:pt idx="5">
                  <c:v>333</c:v>
                </c:pt>
                <c:pt idx="6">
                  <c:v>344</c:v>
                </c:pt>
              </c:numCache>
            </c:numRef>
          </c:val>
          <c:extLst>
            <c:ext xmlns:c16="http://schemas.microsoft.com/office/drawing/2014/chart" uri="{C3380CC4-5D6E-409C-BE32-E72D297353CC}">
              <c16:uniqueId val="{00000003-0597-4CD9-97DC-27DCB4223021}"/>
            </c:ext>
          </c:extLst>
        </c:ser>
        <c:dLbls>
          <c:showLegendKey val="0"/>
          <c:showVal val="0"/>
          <c:showCatName val="0"/>
          <c:showSerName val="0"/>
          <c:showPercent val="0"/>
          <c:showBubbleSize val="0"/>
        </c:dLbls>
        <c:gapWidth val="182"/>
        <c:axId val="266908208"/>
        <c:axId val="266887568"/>
      </c:barChart>
      <c:catAx>
        <c:axId val="266908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887568"/>
        <c:crosses val="autoZero"/>
        <c:auto val="1"/>
        <c:lblAlgn val="ctr"/>
        <c:lblOffset val="100"/>
        <c:noMultiLvlLbl val="0"/>
      </c:catAx>
      <c:valAx>
        <c:axId val="2668875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90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10</Pages>
  <Words>3272</Words>
  <Characters>18654</Characters>
  <Application>Microsoft Office Word</Application>
  <DocSecurity>0</DocSecurity>
  <Lines>155</Lines>
  <Paragraphs>43</Paragraphs>
  <ScaleCrop>false</ScaleCrop>
  <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mahadev</dc:creator>
  <cp:lastModifiedBy>Editor-11</cp:lastModifiedBy>
  <cp:revision>108</cp:revision>
  <dcterms:created xsi:type="dcterms:W3CDTF">2025-09-20T07:33:00Z</dcterms:created>
  <dcterms:modified xsi:type="dcterms:W3CDTF">2025-09-27T10:15:00Z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915615a8af3e47978f9a179631c9159b</vt:lpwstr>
  </property>
</Properties>
</file>