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5F107" w14:textId="59A640EB" w:rsidR="00D734D4" w:rsidRDefault="00D734D4" w:rsidP="00733709">
      <w:pPr>
        <w:jc w:val="center"/>
        <w:rPr>
          <w:rFonts w:ascii="Times New Roman" w:hAnsi="Times New Roman" w:cs="Times New Roman"/>
          <w:b/>
          <w:bCs/>
        </w:rPr>
      </w:pPr>
      <w:r w:rsidRPr="00D734D4">
        <w:rPr>
          <w:rFonts w:ascii="Times New Roman" w:hAnsi="Times New Roman" w:cs="Times New Roman"/>
          <w:b/>
          <w:bCs/>
          <w:sz w:val="32"/>
          <w:szCs w:val="32"/>
          <w:lang w:val="en-GB"/>
        </w:rPr>
        <w:t xml:space="preserve">Next-Generation Probiotics, Postbiotics, and </w:t>
      </w:r>
      <w:proofErr w:type="spellStart"/>
      <w:r w:rsidRPr="00D734D4">
        <w:rPr>
          <w:rFonts w:ascii="Times New Roman" w:hAnsi="Times New Roman" w:cs="Times New Roman"/>
          <w:b/>
          <w:bCs/>
          <w:sz w:val="32"/>
          <w:szCs w:val="32"/>
          <w:lang w:val="en-GB"/>
        </w:rPr>
        <w:t>Paraprobiotics</w:t>
      </w:r>
      <w:proofErr w:type="spellEnd"/>
      <w:r w:rsidRPr="00D734D4">
        <w:rPr>
          <w:rFonts w:ascii="Times New Roman" w:hAnsi="Times New Roman" w:cs="Times New Roman"/>
          <w:b/>
          <w:bCs/>
          <w:sz w:val="32"/>
          <w:szCs w:val="32"/>
          <w:lang w:val="en-GB"/>
        </w:rPr>
        <w:t>: Emerging Tools for Food Safety and Human Health</w:t>
      </w:r>
      <w:r>
        <w:rPr>
          <w:rFonts w:ascii="Times New Roman" w:hAnsi="Times New Roman" w:cs="Times New Roman"/>
          <w:b/>
          <w:bCs/>
        </w:rPr>
        <w:t xml:space="preserve"> </w:t>
      </w:r>
    </w:p>
    <w:p w14:paraId="5A1555DB" w14:textId="77777777" w:rsidR="00D61AA9" w:rsidRDefault="00D61AA9" w:rsidP="00733709">
      <w:pPr>
        <w:jc w:val="center"/>
        <w:rPr>
          <w:rFonts w:ascii="Times New Roman" w:hAnsi="Times New Roman" w:cs="Times New Roman"/>
          <w:b/>
          <w:bCs/>
        </w:rPr>
      </w:pPr>
    </w:p>
    <w:p w14:paraId="7163F428"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Abstract</w:t>
      </w:r>
    </w:p>
    <w:p w14:paraId="654108A9" w14:textId="77777777" w:rsidR="00D734D4" w:rsidRPr="00D734D4" w:rsidRDefault="00D734D4" w:rsidP="00D734D4">
      <w:pPr>
        <w:jc w:val="both"/>
        <w:rPr>
          <w:rFonts w:ascii="Times New Roman" w:hAnsi="Times New Roman" w:cs="Times New Roman"/>
          <w:sz w:val="28"/>
          <w:szCs w:val="28"/>
        </w:rPr>
      </w:pPr>
      <w:r w:rsidRPr="00D734D4">
        <w:rPr>
          <w:rFonts w:ascii="Times New Roman" w:hAnsi="Times New Roman" w:cs="Times New Roman"/>
          <w:sz w:val="28"/>
          <w:szCs w:val="28"/>
        </w:rPr>
        <w:t xml:space="preserve">Scientists have developed new types of beneficial bacteria and their products to fight harmful germs in food and improve human health. This review examines three main types: advanced probiotics (living beneficial bacteria), postbiotics (useful substances made by bacteria), and </w:t>
      </w:r>
      <w:proofErr w:type="spellStart"/>
      <w:r w:rsidRPr="00D734D4">
        <w:rPr>
          <w:rFonts w:ascii="Times New Roman" w:hAnsi="Times New Roman" w:cs="Times New Roman"/>
          <w:sz w:val="28"/>
          <w:szCs w:val="28"/>
        </w:rPr>
        <w:t>paraprobiotics</w:t>
      </w:r>
      <w:proofErr w:type="spellEnd"/>
      <w:r w:rsidRPr="00D734D4">
        <w:rPr>
          <w:rFonts w:ascii="Times New Roman" w:hAnsi="Times New Roman" w:cs="Times New Roman"/>
          <w:sz w:val="28"/>
          <w:szCs w:val="28"/>
        </w:rPr>
        <w:t xml:space="preserve"> (killed beneficial bacteria that still work).</w:t>
      </w:r>
    </w:p>
    <w:p w14:paraId="0AF61F5A" w14:textId="77777777" w:rsidR="00D734D4" w:rsidRPr="00D734D4" w:rsidRDefault="00D734D4" w:rsidP="00D734D4">
      <w:pPr>
        <w:jc w:val="both"/>
        <w:rPr>
          <w:rFonts w:ascii="Times New Roman" w:hAnsi="Times New Roman" w:cs="Times New Roman"/>
          <w:sz w:val="28"/>
          <w:szCs w:val="28"/>
        </w:rPr>
      </w:pPr>
      <w:r w:rsidRPr="00D734D4">
        <w:rPr>
          <w:rFonts w:ascii="Times New Roman" w:hAnsi="Times New Roman" w:cs="Times New Roman"/>
          <w:sz w:val="28"/>
          <w:szCs w:val="28"/>
        </w:rPr>
        <w:t xml:space="preserve">Advanced probiotics include engineered bacteria and new species that work better than traditional ones against dangerous germs like </w:t>
      </w:r>
      <w:r w:rsidRPr="00D734D4">
        <w:rPr>
          <w:rFonts w:ascii="Times New Roman" w:hAnsi="Times New Roman" w:cs="Times New Roman"/>
          <w:i/>
          <w:iCs/>
          <w:sz w:val="28"/>
          <w:szCs w:val="28"/>
        </w:rPr>
        <w:t>Salmonella</w:t>
      </w:r>
      <w:r w:rsidRPr="00D734D4">
        <w:rPr>
          <w:rFonts w:ascii="Times New Roman" w:hAnsi="Times New Roman" w:cs="Times New Roman"/>
          <w:sz w:val="28"/>
          <w:szCs w:val="28"/>
        </w:rPr>
        <w:t xml:space="preserve">, </w:t>
      </w:r>
      <w:r w:rsidRPr="00D734D4">
        <w:rPr>
          <w:rFonts w:ascii="Times New Roman" w:hAnsi="Times New Roman" w:cs="Times New Roman"/>
          <w:i/>
          <w:iCs/>
          <w:sz w:val="28"/>
          <w:szCs w:val="28"/>
        </w:rPr>
        <w:t>E. coli</w:t>
      </w:r>
      <w:r w:rsidRPr="00D734D4">
        <w:rPr>
          <w:rFonts w:ascii="Times New Roman" w:hAnsi="Times New Roman" w:cs="Times New Roman"/>
          <w:sz w:val="28"/>
          <w:szCs w:val="28"/>
        </w:rPr>
        <w:t xml:space="preserve">, and </w:t>
      </w:r>
      <w:r w:rsidRPr="00D734D4">
        <w:rPr>
          <w:rFonts w:ascii="Times New Roman" w:hAnsi="Times New Roman" w:cs="Times New Roman"/>
          <w:i/>
          <w:iCs/>
          <w:sz w:val="28"/>
          <w:szCs w:val="28"/>
        </w:rPr>
        <w:t>Listeria</w:t>
      </w:r>
      <w:r w:rsidRPr="00D734D4">
        <w:rPr>
          <w:rFonts w:ascii="Times New Roman" w:hAnsi="Times New Roman" w:cs="Times New Roman"/>
          <w:sz w:val="28"/>
          <w:szCs w:val="28"/>
        </w:rPr>
        <w:t xml:space="preserve">. Postbiotics are stable bacterial products that can reduce harmful bacteria by 100-10,000 times in dairy, meat, and fresh foods. </w:t>
      </w:r>
      <w:proofErr w:type="spellStart"/>
      <w:r w:rsidRPr="00D734D4">
        <w:rPr>
          <w:rFonts w:ascii="Times New Roman" w:hAnsi="Times New Roman" w:cs="Times New Roman"/>
          <w:sz w:val="28"/>
          <w:szCs w:val="28"/>
        </w:rPr>
        <w:t>Paraprobiotics</w:t>
      </w:r>
      <w:proofErr w:type="spellEnd"/>
      <w:r w:rsidRPr="00D734D4">
        <w:rPr>
          <w:rFonts w:ascii="Times New Roman" w:hAnsi="Times New Roman" w:cs="Times New Roman"/>
          <w:sz w:val="28"/>
          <w:szCs w:val="28"/>
        </w:rPr>
        <w:t xml:space="preserve"> offer health benefits without safety risks, making them safe for sick people and processed foods.</w:t>
      </w:r>
    </w:p>
    <w:p w14:paraId="1F1D7F03" w14:textId="77777777" w:rsidR="00D734D4" w:rsidRPr="00D734D4" w:rsidRDefault="00D734D4" w:rsidP="00D734D4">
      <w:pPr>
        <w:jc w:val="both"/>
        <w:rPr>
          <w:rFonts w:ascii="Times New Roman" w:hAnsi="Times New Roman" w:cs="Times New Roman"/>
          <w:sz w:val="28"/>
          <w:szCs w:val="28"/>
        </w:rPr>
      </w:pPr>
      <w:r w:rsidRPr="00D734D4">
        <w:rPr>
          <w:rFonts w:ascii="Times New Roman" w:hAnsi="Times New Roman" w:cs="Times New Roman"/>
          <w:sz w:val="28"/>
          <w:szCs w:val="28"/>
        </w:rPr>
        <w:t>These products help preserve food naturally, extending freshness by 30-50%, and create health-promoting foods for specific conditions. They work by competing with bad bacteria, producing natural antibiotics, boosting immune systems, and strengthening gut barriers. Main challenges include getting government approval for engineered bacteria, creating consistent production methods, and scaling up from lab to factory production.</w:t>
      </w:r>
    </w:p>
    <w:p w14:paraId="499E5C39" w14:textId="77777777" w:rsidR="00D734D4" w:rsidRPr="00D734D4" w:rsidRDefault="00D734D4" w:rsidP="00D734D4">
      <w:pPr>
        <w:jc w:val="both"/>
        <w:rPr>
          <w:rFonts w:ascii="Times New Roman" w:hAnsi="Times New Roman" w:cs="Times New Roman"/>
          <w:sz w:val="28"/>
          <w:szCs w:val="28"/>
        </w:rPr>
      </w:pPr>
      <w:r w:rsidRPr="00D734D4">
        <w:rPr>
          <w:rFonts w:ascii="Times New Roman" w:hAnsi="Times New Roman" w:cs="Times New Roman"/>
          <w:sz w:val="28"/>
          <w:szCs w:val="28"/>
        </w:rPr>
        <w:t>Future developments focus on using artificial intelligence to choose the right probiotics for each person, nanotechnology for better delivery, and eco-friendly production using food waste. This review summarizes current progress, highlights key research needs, and guides the development of these tools for safer food and personalized health care.</w:t>
      </w:r>
    </w:p>
    <w:p w14:paraId="5B44D125" w14:textId="77777777" w:rsidR="00D734D4" w:rsidRPr="00D734D4" w:rsidRDefault="00D734D4" w:rsidP="00D734D4">
      <w:pPr>
        <w:jc w:val="both"/>
        <w:rPr>
          <w:rFonts w:ascii="Times New Roman" w:hAnsi="Times New Roman" w:cs="Times New Roman"/>
          <w:sz w:val="28"/>
          <w:szCs w:val="28"/>
        </w:rPr>
      </w:pPr>
      <w:r w:rsidRPr="00D734D4">
        <w:rPr>
          <w:rFonts w:ascii="Times New Roman" w:hAnsi="Times New Roman" w:cs="Times New Roman"/>
          <w:b/>
          <w:bCs/>
          <w:sz w:val="28"/>
          <w:szCs w:val="28"/>
        </w:rPr>
        <w:t>Keywords:</w:t>
      </w:r>
      <w:r w:rsidRPr="00D734D4">
        <w:rPr>
          <w:rFonts w:ascii="Times New Roman" w:hAnsi="Times New Roman" w:cs="Times New Roman"/>
          <w:sz w:val="28"/>
          <w:szCs w:val="28"/>
        </w:rPr>
        <w:t xml:space="preserve"> beneficial bacteria, food preservation, pathogen control, personalized nutrition, food safety</w:t>
      </w:r>
    </w:p>
    <w:p w14:paraId="637480B8"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1. Introduction</w:t>
      </w:r>
    </w:p>
    <w:p w14:paraId="077B111A"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The global food industry faces increasing challenges in ensuring food safety while meeting consumer demands for natural, minimally processed products that promote health and wellness. Traditional food preservation methods, while effective, often compromise nutritional quality and sensory attributes, leading to </w:t>
      </w:r>
      <w:r w:rsidRPr="00733709">
        <w:rPr>
          <w:rFonts w:ascii="Times New Roman" w:hAnsi="Times New Roman" w:cs="Times New Roman"/>
          <w:sz w:val="28"/>
          <w:szCs w:val="28"/>
        </w:rPr>
        <w:lastRenderedPageBreak/>
        <w:t>growing interest in biological preservation strategies. The emergence of probiotics as "live microorganisms that confer health benefits to the host when administered in adequate amounts" has revolutionized approaches to food safety and human health promotion (Hill et al., 2014).</w:t>
      </w:r>
    </w:p>
    <w:p w14:paraId="174BC866"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The probiotic landscape has evolved significantly beyond conventional Lactobacillus and Bifidobacterium strains, giving rise to next-generation probiotics that offer enhanced functionality and targeted therapeutic applications. Simultaneously, the development of postbiotics and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has expanded the toolkit available to food technologists and health professionals, providing alternatives that address limitations associated with live probiotic cultures, including stability, safety concerns, and regulatory challenges (Salminen et al., 2021).</w:t>
      </w:r>
    </w:p>
    <w:p w14:paraId="51539C23"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Next-generation probiotics encompass genetically engineered strains, novel bacterial species, and innovative delivery systems designed to optimize therapeutic outcomes and industrial applications. These advanced formulations demonstrate superior resilience to environmental stresses, enhanced colonization capabilities, and targeted bioactive compound production (O'Toole et al., 2017). Postbiotics, defined as "a preparation of inanimate microorganisms and/or their components that confers a health benefit on the host," offer stability advantages and eliminate concerns related to bacterial translocation and infection risk (Salminen et al., 2021).</w:t>
      </w:r>
    </w:p>
    <w:p w14:paraId="0F99D591" w14:textId="77777777" w:rsidR="00733709" w:rsidRPr="00733709" w:rsidRDefault="00733709" w:rsidP="00733709">
      <w:pPr>
        <w:jc w:val="both"/>
        <w:rPr>
          <w:rFonts w:ascii="Times New Roman" w:hAnsi="Times New Roman" w:cs="Times New Roman"/>
          <w:sz w:val="28"/>
          <w:szCs w:val="28"/>
        </w:rPr>
      </w:pP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also known as ghost probiotics or inactivated probiotics, represent non-viable microbial cells that retain immunomodulatory and health-promoting properties while addressing safety concerns associated with live cultures in immunocompromised populations (</w:t>
      </w:r>
      <w:proofErr w:type="spellStart"/>
      <w:r w:rsidRPr="00733709">
        <w:rPr>
          <w:rFonts w:ascii="Times New Roman" w:hAnsi="Times New Roman" w:cs="Times New Roman"/>
          <w:sz w:val="28"/>
          <w:szCs w:val="28"/>
        </w:rPr>
        <w:t>Taverniti</w:t>
      </w:r>
      <w:proofErr w:type="spellEnd"/>
      <w:r w:rsidRPr="00733709">
        <w:rPr>
          <w:rFonts w:ascii="Times New Roman" w:hAnsi="Times New Roman" w:cs="Times New Roman"/>
          <w:sz w:val="28"/>
          <w:szCs w:val="28"/>
        </w:rPr>
        <w:t xml:space="preserve"> &amp; Guglielmetti, 2011). These innovative approaches provide food manufacturers with versatile tools for developing functional foods that combine safety, efficacy, and consumer appeal.</w:t>
      </w:r>
    </w:p>
    <w:p w14:paraId="1BA2CFE7"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The food technology applications of these bioactive compounds extend beyond traditional fermented products to include fresh produce preservation, meat and dairy product enhancement, and novel functional food formulations. Their mechanisms of action involve complex interactions with foodborne pathogens, food matrices, and host physiological systems, creating multi-layered benefits that address both food safety and human health objectives (Piqué et al., 2019).</w:t>
      </w:r>
    </w:p>
    <w:p w14:paraId="500E9B8C"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This comprehensive review examines the current state of next-generation probiotics, postbiotics, and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focusing on their applications in food </w:t>
      </w:r>
      <w:r w:rsidRPr="00733709">
        <w:rPr>
          <w:rFonts w:ascii="Times New Roman" w:hAnsi="Times New Roman" w:cs="Times New Roman"/>
          <w:sz w:val="28"/>
          <w:szCs w:val="28"/>
        </w:rPr>
        <w:lastRenderedPageBreak/>
        <w:t xml:space="preserve">technology for foodborne pathogen control and human health promotion. We </w:t>
      </w:r>
      <w:proofErr w:type="spellStart"/>
      <w:r w:rsidRPr="00733709">
        <w:rPr>
          <w:rFonts w:ascii="Times New Roman" w:hAnsi="Times New Roman" w:cs="Times New Roman"/>
          <w:sz w:val="28"/>
          <w:szCs w:val="28"/>
        </w:rPr>
        <w:t>analyze</w:t>
      </w:r>
      <w:proofErr w:type="spellEnd"/>
      <w:r w:rsidRPr="00733709">
        <w:rPr>
          <w:rFonts w:ascii="Times New Roman" w:hAnsi="Times New Roman" w:cs="Times New Roman"/>
          <w:sz w:val="28"/>
          <w:szCs w:val="28"/>
        </w:rPr>
        <w:t xml:space="preserve"> recent advances in understanding their mechanisms of action, evaluate current industrial applications, and identify future research directions that will shape the development of these promising biotechnological tools.</w:t>
      </w:r>
    </w:p>
    <w:p w14:paraId="5B722066"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2. Next-Generation Probiotics: Beyond Traditional Strains</w:t>
      </w:r>
    </w:p>
    <w:p w14:paraId="4451E164"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2.1 Definition and Characteristics</w:t>
      </w:r>
    </w:p>
    <w:p w14:paraId="1440883B"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Next-generation probiotics represent an evolution from traditional probiotic strains, incorporating advanced biotechnological approaches to enhance functionality, stability, and therapeutic potential. These innovative formulations include genetically modified organisms (GMOs), novel bacterial species, engineered delivery systems, and multi-strain consortia designed for specific applications (Kristensen et al., 2016). Unlike conventional probiotics that rely primarily on Lactobacillus and Bifidobacterium species, next-generation probiotics explore diverse microbial communities and employ cutting-edge technologies to optimize performance.</w:t>
      </w:r>
    </w:p>
    <w:p w14:paraId="0AB6FD2E"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The development of next-generation probiotics addresses limitations of traditional strains, including poor survival under harsh conditions, limited colonization capabilities, variable therapeutic outcomes, and narrow spectrum of bioactive compound production. Advanced engineering approaches enable the creation of strains with enhanced acid and bile tolerance, improved adherence properties, targeted metabolite production, and specialized functionality for specific health conditions (Sanders et al., 2018).</w:t>
      </w:r>
    </w:p>
    <w:p w14:paraId="291B749A" w14:textId="4A68EE92" w:rsidR="00733709" w:rsidRDefault="0066166C" w:rsidP="00733709">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6952C4F" wp14:editId="052D7991">
                <wp:simplePos x="0" y="0"/>
                <wp:positionH relativeFrom="column">
                  <wp:posOffset>1200150</wp:posOffset>
                </wp:positionH>
                <wp:positionV relativeFrom="paragraph">
                  <wp:posOffset>1746885</wp:posOffset>
                </wp:positionV>
                <wp:extent cx="2962275" cy="1943100"/>
                <wp:effectExtent l="0" t="0" r="28575" b="19050"/>
                <wp:wrapNone/>
                <wp:docPr id="1768015323" name="Text Box 1"/>
                <wp:cNvGraphicFramePr/>
                <a:graphic xmlns:a="http://schemas.openxmlformats.org/drawingml/2006/main">
                  <a:graphicData uri="http://schemas.microsoft.com/office/word/2010/wordprocessingShape">
                    <wps:wsp>
                      <wps:cNvSpPr txBox="1"/>
                      <wps:spPr>
                        <a:xfrm>
                          <a:off x="0" y="0"/>
                          <a:ext cx="2962275" cy="1943100"/>
                        </a:xfrm>
                        <a:prstGeom prst="rect">
                          <a:avLst/>
                        </a:prstGeom>
                        <a:solidFill>
                          <a:schemeClr val="lt1"/>
                        </a:solidFill>
                        <a:ln w="6350">
                          <a:solidFill>
                            <a:schemeClr val="bg1"/>
                          </a:solidFill>
                        </a:ln>
                      </wps:spPr>
                      <wps:txbx>
                        <w:txbxContent>
                          <w:p w14:paraId="47186BF5" w14:textId="19116544" w:rsidR="0066166C" w:rsidRDefault="0066166C">
                            <w:r>
                              <w:rPr>
                                <w:noProof/>
                              </w:rPr>
                              <w:drawing>
                                <wp:inline distT="0" distB="0" distL="0" distR="0" wp14:anchorId="44F3D81C" wp14:editId="59BBFE56">
                                  <wp:extent cx="2809875" cy="1819275"/>
                                  <wp:effectExtent l="0" t="0" r="9525" b="9525"/>
                                  <wp:docPr id="1626907681" name="Picture 2" descr="Probiotics and Paraprobiotics—New Proposal for Functional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iotics and Paraprobiotics—New Proposal for Functional Foo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9875" cy="1819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52C4F" id="_x0000_t202" coordsize="21600,21600" o:spt="202" path="m,l,21600r21600,l21600,xe">
                <v:stroke joinstyle="miter"/>
                <v:path gradientshapeok="t" o:connecttype="rect"/>
              </v:shapetype>
              <v:shape id="Text Box 1" o:spid="_x0000_s1026" type="#_x0000_t202" style="position:absolute;left:0;text-align:left;margin-left:94.5pt;margin-top:137.55pt;width:233.25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" fillcolor="white [3201]" strokecolor="white [3212]" strokeweight=".5pt">
                <v:textbox>
                  <w:txbxContent>
                    <w:p w14:paraId="47186BF5" w14:textId="19116544" w:rsidR="0066166C" w:rsidRDefault="0066166C">
                      <w:r>
                        <w:rPr>
                          <w:noProof/>
                        </w:rPr>
                        <w:drawing>
                          <wp:inline distT="0" distB="0" distL="0" distR="0" wp14:anchorId="44F3D81C" wp14:editId="59BBFE56">
                            <wp:extent cx="2809875" cy="1819275"/>
                            <wp:effectExtent l="0" t="0" r="9525" b="9525"/>
                            <wp:docPr id="1626907681" name="Picture 2" descr="Probiotics and Paraprobiotics—New Proposal for Functional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iotics and Paraprobiotics—New Proposal for Functional Foo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9875" cy="1819275"/>
                                    </a:xfrm>
                                    <a:prstGeom prst="rect">
                                      <a:avLst/>
                                    </a:prstGeom>
                                    <a:noFill/>
                                    <a:ln>
                                      <a:noFill/>
                                    </a:ln>
                                  </pic:spPr>
                                </pic:pic>
                              </a:graphicData>
                            </a:graphic>
                          </wp:inline>
                        </w:drawing>
                      </w:r>
                    </w:p>
                  </w:txbxContent>
                </v:textbox>
              </v:shape>
            </w:pict>
          </mc:Fallback>
        </mc:AlternateContent>
      </w:r>
      <w:r w:rsidR="00733709" w:rsidRPr="00733709">
        <w:rPr>
          <w:rFonts w:ascii="Times New Roman" w:hAnsi="Times New Roman" w:cs="Times New Roman"/>
          <w:sz w:val="28"/>
          <w:szCs w:val="28"/>
        </w:rPr>
        <w:t>Genetic modification techniques allow for the incorporation of specific traits that enhance probiotic efficacy, such as increased production of antimicrobial compounds, improved stress resistance, enhanced immune system interaction, and targeted delivery of therapeutic molecules. These modifications can include the introduction of genes encoding antimicrobial peptides, immune-modulating proteins, or enzymes that degrade harmful compounds in the gastrointestinal tract (Araya-Cloutier et al., 2018).</w:t>
      </w:r>
    </w:p>
    <w:p w14:paraId="5875AF60" w14:textId="77777777" w:rsidR="00733709" w:rsidRPr="00733709" w:rsidRDefault="00733709" w:rsidP="00733709">
      <w:pPr>
        <w:jc w:val="both"/>
        <w:rPr>
          <w:rFonts w:ascii="Times New Roman" w:hAnsi="Times New Roman" w:cs="Times New Roman"/>
          <w:sz w:val="28"/>
          <w:szCs w:val="28"/>
        </w:rPr>
      </w:pPr>
    </w:p>
    <w:p w14:paraId="7C557249" w14:textId="77777777" w:rsidR="0066166C" w:rsidRDefault="0066166C" w:rsidP="00733709">
      <w:pPr>
        <w:jc w:val="both"/>
        <w:rPr>
          <w:rFonts w:ascii="Times New Roman" w:hAnsi="Times New Roman" w:cs="Times New Roman"/>
          <w:b/>
          <w:bCs/>
          <w:sz w:val="28"/>
          <w:szCs w:val="28"/>
        </w:rPr>
      </w:pPr>
    </w:p>
    <w:p w14:paraId="43A14989" w14:textId="77777777" w:rsidR="0066166C" w:rsidRDefault="0066166C" w:rsidP="00733709">
      <w:pPr>
        <w:jc w:val="both"/>
        <w:rPr>
          <w:rFonts w:ascii="Times New Roman" w:hAnsi="Times New Roman" w:cs="Times New Roman"/>
          <w:b/>
          <w:bCs/>
          <w:sz w:val="28"/>
          <w:szCs w:val="28"/>
        </w:rPr>
      </w:pPr>
    </w:p>
    <w:p w14:paraId="0F1D75BE" w14:textId="77777777" w:rsidR="0066166C" w:rsidRDefault="0066166C" w:rsidP="00733709">
      <w:pPr>
        <w:jc w:val="both"/>
        <w:rPr>
          <w:rFonts w:ascii="Times New Roman" w:hAnsi="Times New Roman" w:cs="Times New Roman"/>
          <w:b/>
          <w:bCs/>
          <w:sz w:val="28"/>
          <w:szCs w:val="28"/>
        </w:rPr>
      </w:pPr>
    </w:p>
    <w:p w14:paraId="423510B8" w14:textId="6C525BD5" w:rsidR="0066166C" w:rsidRDefault="0066166C" w:rsidP="00733709">
      <w:pPr>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660288" behindDoc="0" locked="0" layoutInCell="1" allowOverlap="1" wp14:anchorId="2E99E168" wp14:editId="712265E1">
                <wp:simplePos x="0" y="0"/>
                <wp:positionH relativeFrom="column">
                  <wp:posOffset>1562099</wp:posOffset>
                </wp:positionH>
                <wp:positionV relativeFrom="paragraph">
                  <wp:posOffset>500380</wp:posOffset>
                </wp:positionV>
                <wp:extent cx="2657475" cy="314325"/>
                <wp:effectExtent l="0" t="0" r="28575" b="28575"/>
                <wp:wrapNone/>
                <wp:docPr id="605193007" name="Text Box 3"/>
                <wp:cNvGraphicFramePr/>
                <a:graphic xmlns:a="http://schemas.openxmlformats.org/drawingml/2006/main">
                  <a:graphicData uri="http://schemas.microsoft.com/office/word/2010/wordprocessingShape">
                    <wps:wsp>
                      <wps:cNvSpPr txBox="1"/>
                      <wps:spPr>
                        <a:xfrm>
                          <a:off x="0" y="0"/>
                          <a:ext cx="2657475" cy="314325"/>
                        </a:xfrm>
                        <a:prstGeom prst="rect">
                          <a:avLst/>
                        </a:prstGeom>
                        <a:solidFill>
                          <a:schemeClr val="lt1"/>
                        </a:solidFill>
                        <a:ln w="6350">
                          <a:solidFill>
                            <a:schemeClr val="bg1"/>
                          </a:solidFill>
                        </a:ln>
                      </wps:spPr>
                      <wps:txbx>
                        <w:txbxContent>
                          <w:p w14:paraId="2CC72AE5" w14:textId="77777777" w:rsidR="0066166C" w:rsidRPr="0066166C" w:rsidRDefault="0066166C" w:rsidP="0066166C">
                            <w:pPr>
                              <w:rPr>
                                <w:rFonts w:ascii="Times New Roman" w:hAnsi="Times New Roman" w:cs="Times New Roman"/>
                                <w:sz w:val="20"/>
                                <w:szCs w:val="20"/>
                              </w:rPr>
                            </w:pPr>
                            <w:r w:rsidRPr="0066166C">
                              <w:rPr>
                                <w:rFonts w:ascii="Times New Roman" w:hAnsi="Times New Roman" w:cs="Times New Roman"/>
                                <w:sz w:val="20"/>
                                <w:szCs w:val="20"/>
                              </w:rPr>
                              <w:t>Fig – 1 : Probiotics and Paraprobiotics</w:t>
                            </w:r>
                          </w:p>
                          <w:p w14:paraId="29DFAE46" w14:textId="6FC5561A" w:rsidR="0066166C" w:rsidRDefault="00661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E168" id="Text Box 3" o:spid="_x0000_s1027" type="#_x0000_t202" style="position:absolute;left:0;text-align:left;margin-left:123pt;margin-top:39.4pt;width:209.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" fillcolor="white [3201]" strokecolor="white [3212]" strokeweight=".5pt">
                <v:textbox>
                  <w:txbxContent>
                    <w:p w14:paraId="2CC72AE5" w14:textId="77777777" w:rsidR="0066166C" w:rsidRPr="0066166C" w:rsidRDefault="0066166C" w:rsidP="0066166C">
                      <w:pPr>
                        <w:rPr>
                          <w:rFonts w:ascii="Times New Roman" w:hAnsi="Times New Roman" w:cs="Times New Roman"/>
                          <w:sz w:val="20"/>
                          <w:szCs w:val="20"/>
                        </w:rPr>
                      </w:pPr>
                      <w:r w:rsidRPr="0066166C">
                        <w:rPr>
                          <w:rFonts w:ascii="Times New Roman" w:hAnsi="Times New Roman" w:cs="Times New Roman"/>
                          <w:sz w:val="20"/>
                          <w:szCs w:val="20"/>
                        </w:rPr>
                        <w:t>Fig – 1 : Probiotics and Paraprobiotics</w:t>
                      </w:r>
                    </w:p>
                    <w:p w14:paraId="29DFAE46" w14:textId="6FC5561A" w:rsidR="0066166C" w:rsidRDefault="0066166C"/>
                  </w:txbxContent>
                </v:textbox>
              </v:shape>
            </w:pict>
          </mc:Fallback>
        </mc:AlternateContent>
      </w:r>
    </w:p>
    <w:p w14:paraId="19549C54" w14:textId="77777777" w:rsidR="00E3756D" w:rsidRDefault="00E3756D" w:rsidP="00733709">
      <w:pPr>
        <w:jc w:val="both"/>
        <w:rPr>
          <w:rFonts w:ascii="Times New Roman" w:hAnsi="Times New Roman" w:cs="Times New Roman"/>
          <w:b/>
          <w:bCs/>
          <w:sz w:val="28"/>
          <w:szCs w:val="28"/>
        </w:rPr>
      </w:pPr>
    </w:p>
    <w:p w14:paraId="76C6B56B" w14:textId="77777777" w:rsidR="00E3756D" w:rsidRDefault="00E3756D" w:rsidP="00733709">
      <w:pPr>
        <w:jc w:val="both"/>
        <w:rPr>
          <w:rFonts w:ascii="Times New Roman" w:hAnsi="Times New Roman" w:cs="Times New Roman"/>
          <w:b/>
          <w:bCs/>
          <w:sz w:val="28"/>
          <w:szCs w:val="28"/>
        </w:rPr>
      </w:pPr>
    </w:p>
    <w:p w14:paraId="4599C103" w14:textId="77777777" w:rsidR="00E3756D" w:rsidRDefault="00E3756D" w:rsidP="00733709">
      <w:pPr>
        <w:jc w:val="both"/>
        <w:rPr>
          <w:rFonts w:ascii="Times New Roman" w:hAnsi="Times New Roman" w:cs="Times New Roman"/>
          <w:b/>
          <w:bCs/>
          <w:sz w:val="28"/>
          <w:szCs w:val="28"/>
        </w:rPr>
      </w:pPr>
    </w:p>
    <w:p w14:paraId="1D54F5D7" w14:textId="402AD0D1"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2.2 Novel Bacterial Species and Strains</w:t>
      </w:r>
    </w:p>
    <w:p w14:paraId="5F67EDEE"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Recent microbiome research has identified numerous bacterial species with probiotic potential beyond traditional genera. </w:t>
      </w:r>
      <w:proofErr w:type="spellStart"/>
      <w:r w:rsidRPr="00733709">
        <w:rPr>
          <w:rFonts w:ascii="Times New Roman" w:hAnsi="Times New Roman" w:cs="Times New Roman"/>
          <w:sz w:val="28"/>
          <w:szCs w:val="28"/>
        </w:rPr>
        <w:t>Akkermansia</w:t>
      </w:r>
      <w:proofErr w:type="spellEnd"/>
      <w:r w:rsidRPr="00733709">
        <w:rPr>
          <w:rFonts w:ascii="Times New Roman" w:hAnsi="Times New Roman" w:cs="Times New Roman"/>
          <w:sz w:val="28"/>
          <w:szCs w:val="28"/>
        </w:rPr>
        <w:t xml:space="preserve"> </w:t>
      </w:r>
      <w:proofErr w:type="spellStart"/>
      <w:r w:rsidRPr="00733709">
        <w:rPr>
          <w:rFonts w:ascii="Times New Roman" w:hAnsi="Times New Roman" w:cs="Times New Roman"/>
          <w:sz w:val="28"/>
          <w:szCs w:val="28"/>
        </w:rPr>
        <w:t>muciniphila</w:t>
      </w:r>
      <w:proofErr w:type="spellEnd"/>
      <w:r w:rsidRPr="00733709">
        <w:rPr>
          <w:rFonts w:ascii="Times New Roman" w:hAnsi="Times New Roman" w:cs="Times New Roman"/>
          <w:sz w:val="28"/>
          <w:szCs w:val="28"/>
        </w:rPr>
        <w:t xml:space="preserve"> has emerged as a promising next-generation probiotic due to its association with metabolic health and its ability to strengthen the intestinal barrier (Everard et al., 2013). This mucin-degrading bacterium demonstrates unique properties in maintaining gut homeostasis and has shown therapeutic potential in metabolic disorders and inflammatory conditions.</w:t>
      </w:r>
    </w:p>
    <w:p w14:paraId="311F9F79" w14:textId="77777777" w:rsidR="00733709" w:rsidRPr="00733709" w:rsidRDefault="00733709" w:rsidP="00733709">
      <w:pPr>
        <w:jc w:val="both"/>
        <w:rPr>
          <w:rFonts w:ascii="Times New Roman" w:hAnsi="Times New Roman" w:cs="Times New Roman"/>
          <w:sz w:val="28"/>
          <w:szCs w:val="28"/>
        </w:rPr>
      </w:pPr>
      <w:proofErr w:type="spellStart"/>
      <w:r w:rsidRPr="00733709">
        <w:rPr>
          <w:rFonts w:ascii="Times New Roman" w:hAnsi="Times New Roman" w:cs="Times New Roman"/>
          <w:sz w:val="28"/>
          <w:szCs w:val="28"/>
        </w:rPr>
        <w:t>Faecalibacterium</w:t>
      </w:r>
      <w:proofErr w:type="spellEnd"/>
      <w:r w:rsidRPr="00733709">
        <w:rPr>
          <w:rFonts w:ascii="Times New Roman" w:hAnsi="Times New Roman" w:cs="Times New Roman"/>
          <w:sz w:val="28"/>
          <w:szCs w:val="28"/>
        </w:rPr>
        <w:t xml:space="preserve"> </w:t>
      </w:r>
      <w:proofErr w:type="spellStart"/>
      <w:r w:rsidRPr="00733709">
        <w:rPr>
          <w:rFonts w:ascii="Times New Roman" w:hAnsi="Times New Roman" w:cs="Times New Roman"/>
          <w:sz w:val="28"/>
          <w:szCs w:val="28"/>
        </w:rPr>
        <w:t>prausnitzii</w:t>
      </w:r>
      <w:proofErr w:type="spellEnd"/>
      <w:r w:rsidRPr="00733709">
        <w:rPr>
          <w:rFonts w:ascii="Times New Roman" w:hAnsi="Times New Roman" w:cs="Times New Roman"/>
          <w:sz w:val="28"/>
          <w:szCs w:val="28"/>
        </w:rPr>
        <w:t>, a major butyrate producer in the human gut, represents another promising candidate for next-generation probiotic development. This strict anaerobe plays crucial roles in maintaining gut barrier function and immune homeostasis, though its cultivation and formulation present technical challenges that require innovative solutions (Martín et al., 2023). Advanced encapsulation and delivery systems are being developed to maintain viability and functionality of oxygen-sensitive strains.</w:t>
      </w:r>
    </w:p>
    <w:p w14:paraId="2535C0E5"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Bacteroides species, traditionally considered commensals, are being investigated for their potential as next-generation probiotics due to their ability to modulate immune responses and compete with pathogenic bacteria. Engineered Bacteroides strains have been developed to deliver therapeutic compounds directly to the gut, taking advantage of their natural colonization capabilities and established presence in the human microbiome (Isabella et al., 2018).</w:t>
      </w:r>
    </w:p>
    <w:p w14:paraId="1A35E62A"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Bacillus species, particularly spore-forming strains, offer advantages in stability and survival that make them attractive candidates for next-generation probiotic applications. Bacillus </w:t>
      </w:r>
      <w:proofErr w:type="spellStart"/>
      <w:r w:rsidRPr="00733709">
        <w:rPr>
          <w:rFonts w:ascii="Times New Roman" w:hAnsi="Times New Roman" w:cs="Times New Roman"/>
          <w:sz w:val="28"/>
          <w:szCs w:val="28"/>
        </w:rPr>
        <w:t>coagulans</w:t>
      </w:r>
      <w:proofErr w:type="spellEnd"/>
      <w:r w:rsidRPr="00733709">
        <w:rPr>
          <w:rFonts w:ascii="Times New Roman" w:hAnsi="Times New Roman" w:cs="Times New Roman"/>
          <w:sz w:val="28"/>
          <w:szCs w:val="28"/>
        </w:rPr>
        <w:t xml:space="preserve">, Bacillus subtilis, and Bacillus </w:t>
      </w:r>
      <w:proofErr w:type="spellStart"/>
      <w:r w:rsidRPr="00733709">
        <w:rPr>
          <w:rFonts w:ascii="Times New Roman" w:hAnsi="Times New Roman" w:cs="Times New Roman"/>
          <w:sz w:val="28"/>
          <w:szCs w:val="28"/>
        </w:rPr>
        <w:t>clausii</w:t>
      </w:r>
      <w:proofErr w:type="spellEnd"/>
      <w:r w:rsidRPr="00733709">
        <w:rPr>
          <w:rFonts w:ascii="Times New Roman" w:hAnsi="Times New Roman" w:cs="Times New Roman"/>
          <w:sz w:val="28"/>
          <w:szCs w:val="28"/>
        </w:rPr>
        <w:t xml:space="preserve"> demonstrate resistance to heat, acid, and antibiotics while maintaining beneficial properties including antimicrobial activity and immune modulation (</w:t>
      </w:r>
      <w:proofErr w:type="spellStart"/>
      <w:r w:rsidRPr="00733709">
        <w:rPr>
          <w:rFonts w:ascii="Times New Roman" w:hAnsi="Times New Roman" w:cs="Times New Roman"/>
          <w:sz w:val="28"/>
          <w:szCs w:val="28"/>
        </w:rPr>
        <w:t>Elshaghabee</w:t>
      </w:r>
      <w:proofErr w:type="spellEnd"/>
      <w:r w:rsidRPr="00733709">
        <w:rPr>
          <w:rFonts w:ascii="Times New Roman" w:hAnsi="Times New Roman" w:cs="Times New Roman"/>
          <w:sz w:val="28"/>
          <w:szCs w:val="28"/>
        </w:rPr>
        <w:t xml:space="preserve"> et al., 2017).</w:t>
      </w:r>
    </w:p>
    <w:p w14:paraId="20CB8BFD"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2.3 Genetic Engineering and Bioengineering Approaches</w:t>
      </w:r>
    </w:p>
    <w:p w14:paraId="3BC61B43"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lastRenderedPageBreak/>
        <w:t>Genetic engineering techniques enable the development of probiotic strains with enhanced or novel functionalities tailored for specific applications. CRISPR-Cas systems have revolutionized the ability to precisely modify probiotic bacteria, allowing for the introduction of beneficial traits while maintaining strain identity and safety profiles (Torres-Barceló, 2018). These modifications can include enhanced production of bioactive compounds, improved stress tolerance, and targeted delivery capabilities.</w:t>
      </w:r>
    </w:p>
    <w:p w14:paraId="3A10B594"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Synthetic biology approaches allow for the design of entirely new biological systems within probiotic bacteria, creating "designer probiotics" that can perform specific functions such as sensing and responding to disease biomarkers, producing therapeutic compounds on demand, or delivering vaccines and other biologics (Torres et al., 2016). These engineered systems can be designed with built-in safety mechanisms to prevent uncontrolled growth or gene transfer.</w:t>
      </w:r>
    </w:p>
    <w:p w14:paraId="2E12B93F"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Metabolic engineering techniques enable the optimization of probiotic metabolism to enhance the production of beneficial compounds such as short-chain fatty acids, vitamins, antimicrobial peptides, and other bioactive molecules. These modifications can improve the therapeutic potential of probiotic strains while maintaining their safety and stability profiles (Rodríguez-Nogales et al., 2018).</w:t>
      </w:r>
    </w:p>
    <w:p w14:paraId="1F596E7F"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2.4 Advanced Delivery Systems and Formulations</w:t>
      </w:r>
    </w:p>
    <w:p w14:paraId="44F0B1FD"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Next-generation probiotics incorporate advanced delivery systems designed to protect bacterial viability, enhance colonization, and target specific sites of action within the host. Microencapsulation technologies using various materials such as alginate, chitosan, and resistant starches provide protection against environmental stresses while enabling controlled release in the gastrointestinal tract (Cook et al., 2012).</w:t>
      </w:r>
    </w:p>
    <w:p w14:paraId="60E9050F"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Nanoencapsulation systems offer enhanced protection and targeted delivery capabilities, utilizing materials such as liposomes, solid lipid nanoparticles, and polymeric nanoparticles to encapsulate probiotic cells or their bioactive compounds. These systems can be designed to respond to specific environmental conditions, such as pH or enzymatic activity, enabling site-specific release and action (Yao et al., 2020).</w:t>
      </w:r>
    </w:p>
    <w:p w14:paraId="6673FB98"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Freeze-drying and spray-drying technologies have been optimized to maintain probiotic viability during processing and storage while enabling easy </w:t>
      </w:r>
      <w:r w:rsidRPr="00733709">
        <w:rPr>
          <w:rFonts w:ascii="Times New Roman" w:hAnsi="Times New Roman" w:cs="Times New Roman"/>
          <w:sz w:val="28"/>
          <w:szCs w:val="28"/>
        </w:rPr>
        <w:lastRenderedPageBreak/>
        <w:t>incorporation into various food matrices. Advanced formulation approaches include the use of protective agents, controlled atmosphere processing, and optimized rehydration protocols to maximize bacterial survival and functionality (</w:t>
      </w:r>
      <w:proofErr w:type="spellStart"/>
      <w:r w:rsidRPr="00733709">
        <w:rPr>
          <w:rFonts w:ascii="Times New Roman" w:hAnsi="Times New Roman" w:cs="Times New Roman"/>
          <w:sz w:val="28"/>
          <w:szCs w:val="28"/>
        </w:rPr>
        <w:t>Broeckx</w:t>
      </w:r>
      <w:proofErr w:type="spellEnd"/>
      <w:r w:rsidRPr="00733709">
        <w:rPr>
          <w:rFonts w:ascii="Times New Roman" w:hAnsi="Times New Roman" w:cs="Times New Roman"/>
          <w:sz w:val="28"/>
          <w:szCs w:val="28"/>
        </w:rPr>
        <w:t xml:space="preserve"> et al., 2016).</w:t>
      </w:r>
    </w:p>
    <w:p w14:paraId="0A87ECAF"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3. Postbiotics: Metabolites and Bioactive Compounds</w:t>
      </w:r>
    </w:p>
    <w:p w14:paraId="1B8FAFB9"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3.1 Definition and Classification</w:t>
      </w:r>
    </w:p>
    <w:p w14:paraId="7254FDE2"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Postbiotics represent a paradigm shift in probiotic science, focusing on the bioactive compounds produced by beneficial bacteria rather than the living organisms themselves. The International Scientific Association for Probiotics and Prebiotics (ISAPP) defines postbiotics as "a preparation of inanimate microorganisms and/or their components that confers a health benefit on the host" (Salminen et al., 2021). This definition encompasses a broad range of compounds including metabolites, cell wall components, proteins, peptides, and other bioactive molecules derived from probiotic fermentation.</w:t>
      </w:r>
    </w:p>
    <w:p w14:paraId="419CB15A"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Postbiotics can be classified into several categories based on their origin and composition. Primary metabolites include organic acids such as lactic acid, acetic acid, and propionic acid, which contribute to pathogen inhibition and pH modulation. Secondary metabolites encompass a diverse array of compounds including bacteriocins, antimicrobial peptides, exopolysaccharides, and bioactive proteins that provide specific biological functions (Aguilar-</w:t>
      </w:r>
      <w:proofErr w:type="spellStart"/>
      <w:r w:rsidRPr="00733709">
        <w:rPr>
          <w:rFonts w:ascii="Times New Roman" w:hAnsi="Times New Roman" w:cs="Times New Roman"/>
          <w:sz w:val="28"/>
          <w:szCs w:val="28"/>
        </w:rPr>
        <w:t>Toalá</w:t>
      </w:r>
      <w:proofErr w:type="spellEnd"/>
      <w:r w:rsidRPr="00733709">
        <w:rPr>
          <w:rFonts w:ascii="Times New Roman" w:hAnsi="Times New Roman" w:cs="Times New Roman"/>
          <w:sz w:val="28"/>
          <w:szCs w:val="28"/>
        </w:rPr>
        <w:t xml:space="preserve"> et al., 2018).</w:t>
      </w:r>
    </w:p>
    <w:p w14:paraId="334C930D"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Cell envelope components, including peptidoglycans, lipoteichoic acids, and surface proteins, retain immunomodulatory properties even after bacterial inactivation. These components can interact with host immune receptors and provide beneficial effects without requiring viable bacteria. Extracellular vesicles produced by probiotic bacteria contain complex mixtures of proteins, lipids, and nucleic acids that mediate intercellular communication and biological effects (Molina-Tijeras et al., 2019).</w:t>
      </w:r>
    </w:p>
    <w:p w14:paraId="1BB22CE5"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3.2 Production and Isolation Methods</w:t>
      </w:r>
    </w:p>
    <w:p w14:paraId="1D71187F"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The production of postbiotics involves controlled fermentation of probiotic bacteria under optimized conditions to maximize the production of desired bioactive compounds. Fermentation parameters such as temperature, pH, oxygen availability, and nutrient composition significantly influence the profile and concentration of postbiotic compounds produced (</w:t>
      </w:r>
      <w:proofErr w:type="spellStart"/>
      <w:r w:rsidRPr="00733709">
        <w:rPr>
          <w:rFonts w:ascii="Times New Roman" w:hAnsi="Times New Roman" w:cs="Times New Roman"/>
          <w:sz w:val="28"/>
          <w:szCs w:val="28"/>
        </w:rPr>
        <w:t>Zółkiewicz</w:t>
      </w:r>
      <w:proofErr w:type="spellEnd"/>
      <w:r w:rsidRPr="00733709">
        <w:rPr>
          <w:rFonts w:ascii="Times New Roman" w:hAnsi="Times New Roman" w:cs="Times New Roman"/>
          <w:sz w:val="28"/>
          <w:szCs w:val="28"/>
        </w:rPr>
        <w:t xml:space="preserve"> et al., 2020). Advanced fermentation technologies, including fed-batch and continuous culture </w:t>
      </w:r>
      <w:r w:rsidRPr="00733709">
        <w:rPr>
          <w:rFonts w:ascii="Times New Roman" w:hAnsi="Times New Roman" w:cs="Times New Roman"/>
          <w:sz w:val="28"/>
          <w:szCs w:val="28"/>
        </w:rPr>
        <w:lastRenderedPageBreak/>
        <w:t>systems, enable precise control over production conditions and consistent product quality.</w:t>
      </w:r>
    </w:p>
    <w:p w14:paraId="16C588AC"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Isolation and purification of postbiotic compounds require sophisticated separation techniques tailored to the specific characteristics of target molecules. Membrane filtration, chromatographic separation, and precipitation methods are commonly employed to isolate and concentrate bioactive compounds while removing unwanted materials (Rad et al., 2020). High-performance liquid chromatography (HPLC), mass spectrometry, and other analytical techniques are essential for characterizing and quantifying postbiotic components.</w:t>
      </w:r>
    </w:p>
    <w:p w14:paraId="3318DB5E"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Standardization of postbiotic production presents challenges due to the complex and variable nature of fermentation-derived compounds. Quality control measures must address batch-to-batch variation, stability during storage, and maintenance of biological activity. Advanced analytical methods and standardized protocols are being developed to ensure consistent quality and potency of postbiotic preparations (</w:t>
      </w:r>
      <w:proofErr w:type="spellStart"/>
      <w:r w:rsidRPr="00733709">
        <w:rPr>
          <w:rFonts w:ascii="Times New Roman" w:hAnsi="Times New Roman" w:cs="Times New Roman"/>
          <w:sz w:val="28"/>
          <w:szCs w:val="28"/>
        </w:rPr>
        <w:t>Żółkiewicz</w:t>
      </w:r>
      <w:proofErr w:type="spellEnd"/>
      <w:r w:rsidRPr="00733709">
        <w:rPr>
          <w:rFonts w:ascii="Times New Roman" w:hAnsi="Times New Roman" w:cs="Times New Roman"/>
          <w:sz w:val="28"/>
          <w:szCs w:val="28"/>
        </w:rPr>
        <w:t xml:space="preserve"> et al., 2020).</w:t>
      </w:r>
    </w:p>
    <w:p w14:paraId="5BA4776B"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3.3 Bioactive Properties and Mechanisms of Action</w:t>
      </w:r>
    </w:p>
    <w:p w14:paraId="4F862EA5"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Postbiotic compounds exhibit diverse bioactive properties that contribute to their potential applications in food technology and human health. Antimicrobial activity is one of the most studied properties, with organic acids, bacteriocins, and other metabolites demonstrating broad-spectrum activity against foodborne pathogens including Salmonella, Escherichia coli, Listeria monocytogenes, and Staphylococcus aureus (</w:t>
      </w:r>
      <w:proofErr w:type="spellStart"/>
      <w:r w:rsidRPr="00733709">
        <w:rPr>
          <w:rFonts w:ascii="Times New Roman" w:hAnsi="Times New Roman" w:cs="Times New Roman"/>
          <w:sz w:val="28"/>
          <w:szCs w:val="28"/>
        </w:rPr>
        <w:t>Żółkiewicz</w:t>
      </w:r>
      <w:proofErr w:type="spellEnd"/>
      <w:r w:rsidRPr="00733709">
        <w:rPr>
          <w:rFonts w:ascii="Times New Roman" w:hAnsi="Times New Roman" w:cs="Times New Roman"/>
          <w:sz w:val="28"/>
          <w:szCs w:val="28"/>
        </w:rPr>
        <w:t xml:space="preserve"> et al., 2020).</w:t>
      </w:r>
    </w:p>
    <w:p w14:paraId="69B8438F"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The antimicrobial mechanisms of postbiotic compounds include cell membrane disruption, interference with cellular metabolism, inhibition of biofilm formation, and disruption of quorum sensing systems. These multiple mechanisms of action reduce the likelihood of pathogen resistance development compared to single-target antimicrobial agents (Aguilar-</w:t>
      </w:r>
      <w:proofErr w:type="spellStart"/>
      <w:r w:rsidRPr="00733709">
        <w:rPr>
          <w:rFonts w:ascii="Times New Roman" w:hAnsi="Times New Roman" w:cs="Times New Roman"/>
          <w:sz w:val="28"/>
          <w:szCs w:val="28"/>
        </w:rPr>
        <w:t>Toalá</w:t>
      </w:r>
      <w:proofErr w:type="spellEnd"/>
      <w:r w:rsidRPr="00733709">
        <w:rPr>
          <w:rFonts w:ascii="Times New Roman" w:hAnsi="Times New Roman" w:cs="Times New Roman"/>
          <w:sz w:val="28"/>
          <w:szCs w:val="28"/>
        </w:rPr>
        <w:t xml:space="preserve"> et al., 2018).</w:t>
      </w:r>
    </w:p>
    <w:p w14:paraId="5D04BA10"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Immunomodulatory properties of postbiotics involve interactions with host immune cells and </w:t>
      </w:r>
      <w:proofErr w:type="spellStart"/>
      <w:r w:rsidRPr="00733709">
        <w:rPr>
          <w:rFonts w:ascii="Times New Roman" w:hAnsi="Times New Roman" w:cs="Times New Roman"/>
          <w:sz w:val="28"/>
          <w:szCs w:val="28"/>
        </w:rPr>
        <w:t>signaling</w:t>
      </w:r>
      <w:proofErr w:type="spellEnd"/>
      <w:r w:rsidRPr="00733709">
        <w:rPr>
          <w:rFonts w:ascii="Times New Roman" w:hAnsi="Times New Roman" w:cs="Times New Roman"/>
          <w:sz w:val="28"/>
          <w:szCs w:val="28"/>
        </w:rPr>
        <w:t xml:space="preserve"> pathways. Cell wall components such as peptidoglycans and lipoteichoic acids can stimulate beneficial immune responses while promoting immune tolerance and reducing inflammatory reactions. These effects contribute to enhanced resistance to infections and improved overall immune function (</w:t>
      </w:r>
      <w:proofErr w:type="spellStart"/>
      <w:r w:rsidRPr="00733709">
        <w:rPr>
          <w:rFonts w:ascii="Times New Roman" w:hAnsi="Times New Roman" w:cs="Times New Roman"/>
          <w:sz w:val="28"/>
          <w:szCs w:val="28"/>
        </w:rPr>
        <w:t>Teame</w:t>
      </w:r>
      <w:proofErr w:type="spellEnd"/>
      <w:r w:rsidRPr="00733709">
        <w:rPr>
          <w:rFonts w:ascii="Times New Roman" w:hAnsi="Times New Roman" w:cs="Times New Roman"/>
          <w:sz w:val="28"/>
          <w:szCs w:val="28"/>
        </w:rPr>
        <w:t xml:space="preserve"> et al., 2020).</w:t>
      </w:r>
    </w:p>
    <w:p w14:paraId="1962CDFC"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lastRenderedPageBreak/>
        <w:t xml:space="preserve">Antioxidant activity is another important property of many postbiotic compounds, contributing to cellular protection against oxidative stress and age-related damage. Peptides, proteins, and other bioactive molecules can scavenge free radicals and support cellular antioxidant </w:t>
      </w:r>
      <w:proofErr w:type="spellStart"/>
      <w:r w:rsidRPr="00733709">
        <w:rPr>
          <w:rFonts w:ascii="Times New Roman" w:hAnsi="Times New Roman" w:cs="Times New Roman"/>
          <w:sz w:val="28"/>
          <w:szCs w:val="28"/>
        </w:rPr>
        <w:t>defense</w:t>
      </w:r>
      <w:proofErr w:type="spellEnd"/>
      <w:r w:rsidRPr="00733709">
        <w:rPr>
          <w:rFonts w:ascii="Times New Roman" w:hAnsi="Times New Roman" w:cs="Times New Roman"/>
          <w:sz w:val="28"/>
          <w:szCs w:val="28"/>
        </w:rPr>
        <w:t xml:space="preserve"> systems (Aguilar-</w:t>
      </w:r>
      <w:proofErr w:type="spellStart"/>
      <w:r w:rsidRPr="00733709">
        <w:rPr>
          <w:rFonts w:ascii="Times New Roman" w:hAnsi="Times New Roman" w:cs="Times New Roman"/>
          <w:sz w:val="28"/>
          <w:szCs w:val="28"/>
        </w:rPr>
        <w:t>Toalá</w:t>
      </w:r>
      <w:proofErr w:type="spellEnd"/>
      <w:r w:rsidRPr="00733709">
        <w:rPr>
          <w:rFonts w:ascii="Times New Roman" w:hAnsi="Times New Roman" w:cs="Times New Roman"/>
          <w:sz w:val="28"/>
          <w:szCs w:val="28"/>
        </w:rPr>
        <w:t xml:space="preserve"> et al., 2018).</w:t>
      </w:r>
    </w:p>
    <w:p w14:paraId="7E84EBAC"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3.4 Stability and Storage Considerations</w:t>
      </w:r>
    </w:p>
    <w:p w14:paraId="4C522F5A"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One of the primary advantages of postbiotics over live probiotics is their enhanced stability during processing and storage. The absence of viable cells eliminates concerns related to bacterial viability, growth, and potential contamination during storage. However, the bioactive compounds in postbiotic preparations may still be subject to degradation under certain conditions (</w:t>
      </w:r>
      <w:proofErr w:type="spellStart"/>
      <w:r w:rsidRPr="00733709">
        <w:rPr>
          <w:rFonts w:ascii="Times New Roman" w:hAnsi="Times New Roman" w:cs="Times New Roman"/>
          <w:sz w:val="28"/>
          <w:szCs w:val="28"/>
        </w:rPr>
        <w:t>Zółkiewicz</w:t>
      </w:r>
      <w:proofErr w:type="spellEnd"/>
      <w:r w:rsidRPr="00733709">
        <w:rPr>
          <w:rFonts w:ascii="Times New Roman" w:hAnsi="Times New Roman" w:cs="Times New Roman"/>
          <w:sz w:val="28"/>
          <w:szCs w:val="28"/>
        </w:rPr>
        <w:t xml:space="preserve"> et al., 2020).</w:t>
      </w:r>
    </w:p>
    <w:p w14:paraId="07EF71EE"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Temperature stability varies among different postbiotic compounds, with some metabolites and proteins being sensitive to heat treatment while others remain stable under pasteurization conditions. This variability allows for the development of postbiotic preparations suitable for different food processing applications, from fresh products to heat-treated formulations (Rad et al., 2020).</w:t>
      </w:r>
    </w:p>
    <w:p w14:paraId="07F26FF6"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pH stability is generally better for postbiotics compared to live probiotics, as many bioactive compounds remain functional across a broader pH range. This property enables their incorporation into acidic food products and environments where live probiotics might not survive or function optimally (Molina-Tijeras et al., 2019).</w:t>
      </w:r>
    </w:p>
    <w:p w14:paraId="7ABDE231"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Storage conditions, including temperature, humidity, and packaging atmosphere, significantly influence the long-term stability of postbiotic preparations. Optimization of storage conditions and packaging technologies is essential for maintaining bioactivity and extending shelf life. Freeze-drying, spray-drying, and other stabilization techniques can be employed to enhance storage stability (</w:t>
      </w:r>
      <w:proofErr w:type="spellStart"/>
      <w:r w:rsidRPr="00733709">
        <w:rPr>
          <w:rFonts w:ascii="Times New Roman" w:hAnsi="Times New Roman" w:cs="Times New Roman"/>
          <w:sz w:val="28"/>
          <w:szCs w:val="28"/>
        </w:rPr>
        <w:t>Zółkiewicz</w:t>
      </w:r>
      <w:proofErr w:type="spellEnd"/>
      <w:r w:rsidRPr="00733709">
        <w:rPr>
          <w:rFonts w:ascii="Times New Roman" w:hAnsi="Times New Roman" w:cs="Times New Roman"/>
          <w:sz w:val="28"/>
          <w:szCs w:val="28"/>
        </w:rPr>
        <w:t xml:space="preserve"> et al., 2020).</w:t>
      </w:r>
    </w:p>
    <w:p w14:paraId="619B69FC"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 xml:space="preserve">4. </w:t>
      </w:r>
      <w:proofErr w:type="spellStart"/>
      <w:r w:rsidRPr="00733709">
        <w:rPr>
          <w:rFonts w:ascii="Times New Roman" w:hAnsi="Times New Roman" w:cs="Times New Roman"/>
          <w:b/>
          <w:bCs/>
          <w:sz w:val="28"/>
          <w:szCs w:val="28"/>
        </w:rPr>
        <w:t>Paraprobiotics</w:t>
      </w:r>
      <w:proofErr w:type="spellEnd"/>
      <w:r w:rsidRPr="00733709">
        <w:rPr>
          <w:rFonts w:ascii="Times New Roman" w:hAnsi="Times New Roman" w:cs="Times New Roman"/>
          <w:b/>
          <w:bCs/>
          <w:sz w:val="28"/>
          <w:szCs w:val="28"/>
        </w:rPr>
        <w:t>: Inactivated Beneficial Microorganisms</w:t>
      </w:r>
    </w:p>
    <w:p w14:paraId="223DCFE0"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4.1 Concept and Development</w:t>
      </w:r>
    </w:p>
    <w:p w14:paraId="385C8A5C" w14:textId="77777777" w:rsidR="00733709" w:rsidRPr="00733709" w:rsidRDefault="00733709" w:rsidP="00733709">
      <w:pPr>
        <w:jc w:val="both"/>
        <w:rPr>
          <w:rFonts w:ascii="Times New Roman" w:hAnsi="Times New Roman" w:cs="Times New Roman"/>
          <w:sz w:val="28"/>
          <w:szCs w:val="28"/>
        </w:rPr>
      </w:pP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also referred to as ghost probiotics, heat-killed probiotics, or inactivated probiotics, represent non-viable microbial cells that retain beneficial properties associated with their living counterparts. The concept emerged from observations that certain health benefits attributed to probiotics could be </w:t>
      </w:r>
      <w:r w:rsidRPr="00733709">
        <w:rPr>
          <w:rFonts w:ascii="Times New Roman" w:hAnsi="Times New Roman" w:cs="Times New Roman"/>
          <w:sz w:val="28"/>
          <w:szCs w:val="28"/>
        </w:rPr>
        <w:lastRenderedPageBreak/>
        <w:t>maintained even after bacterial inactivation, suggesting that viability is not always essential for therapeutic effects (</w:t>
      </w:r>
      <w:proofErr w:type="spellStart"/>
      <w:r w:rsidRPr="00733709">
        <w:rPr>
          <w:rFonts w:ascii="Times New Roman" w:hAnsi="Times New Roman" w:cs="Times New Roman"/>
          <w:sz w:val="28"/>
          <w:szCs w:val="28"/>
        </w:rPr>
        <w:t>Taverniti</w:t>
      </w:r>
      <w:proofErr w:type="spellEnd"/>
      <w:r w:rsidRPr="00733709">
        <w:rPr>
          <w:rFonts w:ascii="Times New Roman" w:hAnsi="Times New Roman" w:cs="Times New Roman"/>
          <w:sz w:val="28"/>
          <w:szCs w:val="28"/>
        </w:rPr>
        <w:t xml:space="preserve"> &amp; Guglielmetti, 2011).</w:t>
      </w:r>
    </w:p>
    <w:p w14:paraId="5134B7EC"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The development of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addresses several limitations associated with live probiotic cultures, including safety concerns in immunocompromised individuals, regulatory challenges in certain applications, stability issues during processing and storage, and the need for cold chain maintenance. By eliminating bacterial viability while preserving beneficial cellular components and structures,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offer a safer alternative that maintains therapeutic potential (Patel &amp; Prajapati, 2013).</w:t>
      </w:r>
    </w:p>
    <w:p w14:paraId="6E80C407"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Inactivation methods used to produce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must be carefully selected to preserve the structural integrity of cellular components responsible for beneficial effects while ensuring complete loss of viability. Heat treatment, UV irradiation, sonication, and chemical inactivation are among the methods employed, each with specific advantages and limitations depending on the intended application and target bacterial strain (Adams, 2010).</w:t>
      </w:r>
    </w:p>
    <w:p w14:paraId="5CED44F1"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4.2 Inactivation Methods and Quality Control</w:t>
      </w:r>
    </w:p>
    <w:p w14:paraId="157AA9E5"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Heat inactivation is the most commonly employed method for </w:t>
      </w:r>
      <w:proofErr w:type="spellStart"/>
      <w:r w:rsidRPr="00733709">
        <w:rPr>
          <w:rFonts w:ascii="Times New Roman" w:hAnsi="Times New Roman" w:cs="Times New Roman"/>
          <w:sz w:val="28"/>
          <w:szCs w:val="28"/>
        </w:rPr>
        <w:t>paraprobiotic</w:t>
      </w:r>
      <w:proofErr w:type="spellEnd"/>
      <w:r w:rsidRPr="00733709">
        <w:rPr>
          <w:rFonts w:ascii="Times New Roman" w:hAnsi="Times New Roman" w:cs="Times New Roman"/>
          <w:sz w:val="28"/>
          <w:szCs w:val="28"/>
        </w:rPr>
        <w:t xml:space="preserve"> production due to its effectiveness, simplicity, and regulatory acceptance. Controlled heating at specific temperatures and durations can achieve complete bacterial inactivation while preserving important cellular structures such as cell walls, surface proteins, and immunologically active components. Optimization of heating parameters is crucial to balance complete inactivation with preservation of beneficial properties (De Almada et al., 2016).</w:t>
      </w:r>
    </w:p>
    <w:p w14:paraId="1DD46F97"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UV irradiation offers an alternative inactivation method that can preserve heat-sensitive components while achieving bacterial death through DNA damage. This method is particularly useful for producing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from strains that contain heat-labile bioactive compounds or when heat treatment might compromise product quality (Piqué et al., 2019).</w:t>
      </w:r>
    </w:p>
    <w:p w14:paraId="79C9AC93"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Sonication and high-pressure processing represent physical inactivation methods that can disrupt bacterial cells while potentially releasing intracellular bioactive compounds. These methods may be combined with other inactivation approaches to achieve complete bacterial death while optimizing the bioactive profile of the resulting </w:t>
      </w:r>
      <w:proofErr w:type="spellStart"/>
      <w:r w:rsidRPr="00733709">
        <w:rPr>
          <w:rFonts w:ascii="Times New Roman" w:hAnsi="Times New Roman" w:cs="Times New Roman"/>
          <w:sz w:val="28"/>
          <w:szCs w:val="28"/>
        </w:rPr>
        <w:t>paraprobiotic</w:t>
      </w:r>
      <w:proofErr w:type="spellEnd"/>
      <w:r w:rsidRPr="00733709">
        <w:rPr>
          <w:rFonts w:ascii="Times New Roman" w:hAnsi="Times New Roman" w:cs="Times New Roman"/>
          <w:sz w:val="28"/>
          <w:szCs w:val="28"/>
        </w:rPr>
        <w:t xml:space="preserve"> preparation (</w:t>
      </w:r>
      <w:proofErr w:type="spellStart"/>
      <w:r w:rsidRPr="00733709">
        <w:rPr>
          <w:rFonts w:ascii="Times New Roman" w:hAnsi="Times New Roman" w:cs="Times New Roman"/>
          <w:sz w:val="28"/>
          <w:szCs w:val="28"/>
        </w:rPr>
        <w:t>Taverniti</w:t>
      </w:r>
      <w:proofErr w:type="spellEnd"/>
      <w:r w:rsidRPr="00733709">
        <w:rPr>
          <w:rFonts w:ascii="Times New Roman" w:hAnsi="Times New Roman" w:cs="Times New Roman"/>
          <w:sz w:val="28"/>
          <w:szCs w:val="28"/>
        </w:rPr>
        <w:t xml:space="preserve"> &amp; Guglielmetti, 2011).</w:t>
      </w:r>
    </w:p>
    <w:p w14:paraId="48EE707F"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lastRenderedPageBreak/>
        <w:t xml:space="preserve">Quality control for </w:t>
      </w:r>
      <w:proofErr w:type="spellStart"/>
      <w:r w:rsidRPr="00733709">
        <w:rPr>
          <w:rFonts w:ascii="Times New Roman" w:hAnsi="Times New Roman" w:cs="Times New Roman"/>
          <w:sz w:val="28"/>
          <w:szCs w:val="28"/>
        </w:rPr>
        <w:t>paraprobiotic</w:t>
      </w:r>
      <w:proofErr w:type="spellEnd"/>
      <w:r w:rsidRPr="00733709">
        <w:rPr>
          <w:rFonts w:ascii="Times New Roman" w:hAnsi="Times New Roman" w:cs="Times New Roman"/>
          <w:sz w:val="28"/>
          <w:szCs w:val="28"/>
        </w:rPr>
        <w:t xml:space="preserve"> production requires verification of complete bacterial inactivation through appropriate viability testing methods. Culture-based methods, viable staining techniques, and molecular approaches such as propidium </w:t>
      </w:r>
      <w:proofErr w:type="spellStart"/>
      <w:r w:rsidRPr="00733709">
        <w:rPr>
          <w:rFonts w:ascii="Times New Roman" w:hAnsi="Times New Roman" w:cs="Times New Roman"/>
          <w:sz w:val="28"/>
          <w:szCs w:val="28"/>
        </w:rPr>
        <w:t>monoazide</w:t>
      </w:r>
      <w:proofErr w:type="spellEnd"/>
      <w:r w:rsidRPr="00733709">
        <w:rPr>
          <w:rFonts w:ascii="Times New Roman" w:hAnsi="Times New Roman" w:cs="Times New Roman"/>
          <w:sz w:val="28"/>
          <w:szCs w:val="28"/>
        </w:rPr>
        <w:t>-PCR can be employed to confirm the absence of viable bacteria while maintaining analytical capability to detect and quantify the inactivated bacterial cells (Patel &amp; Prajapati, 2013).</w:t>
      </w:r>
    </w:p>
    <w:p w14:paraId="7E5EA3F4"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4.3 Retained Bioactive Properties</w:t>
      </w:r>
    </w:p>
    <w:p w14:paraId="0FC4D675"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Despite inactivation,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retain many of the beneficial properties associated with live probiotic bacteria. Immunomodulatory effects are among the most well-documented benefits, with inactivated bacterial cells maintaining their ability to interact with host immune receptors and stimulate beneficial immune responses. Cell wall components such as peptidoglycans, lipoteichoic acids, and surface proteins continue to function as pathogen-associated molecular patterns (PAMPs) that can modulate immune function (Piqué et al., 2019).</w:t>
      </w:r>
    </w:p>
    <w:p w14:paraId="0D640213"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Adhesion properties may be partially retained in </w:t>
      </w:r>
      <w:proofErr w:type="spellStart"/>
      <w:r w:rsidRPr="00733709">
        <w:rPr>
          <w:rFonts w:ascii="Times New Roman" w:hAnsi="Times New Roman" w:cs="Times New Roman"/>
          <w:sz w:val="28"/>
          <w:szCs w:val="28"/>
        </w:rPr>
        <w:t>paraprobiotic</w:t>
      </w:r>
      <w:proofErr w:type="spellEnd"/>
      <w:r w:rsidRPr="00733709">
        <w:rPr>
          <w:rFonts w:ascii="Times New Roman" w:hAnsi="Times New Roman" w:cs="Times New Roman"/>
          <w:sz w:val="28"/>
          <w:szCs w:val="28"/>
        </w:rPr>
        <w:t xml:space="preserve"> preparations, allowing for interaction with intestinal epithelial cells and competition with pathogenic bacteria for binding sites. While the absence of growth and metabolic activity limits the duration and extent of colonization, temporary adhesion can still provide beneficial effects including pathogen exclusion and immune system stimulation (</w:t>
      </w:r>
      <w:proofErr w:type="spellStart"/>
      <w:r w:rsidRPr="00733709">
        <w:rPr>
          <w:rFonts w:ascii="Times New Roman" w:hAnsi="Times New Roman" w:cs="Times New Roman"/>
          <w:sz w:val="28"/>
          <w:szCs w:val="28"/>
        </w:rPr>
        <w:t>Taverniti</w:t>
      </w:r>
      <w:proofErr w:type="spellEnd"/>
      <w:r w:rsidRPr="00733709">
        <w:rPr>
          <w:rFonts w:ascii="Times New Roman" w:hAnsi="Times New Roman" w:cs="Times New Roman"/>
          <w:sz w:val="28"/>
          <w:szCs w:val="28"/>
        </w:rPr>
        <w:t xml:space="preserve"> &amp; Guglielmetti, 2011).</w:t>
      </w:r>
    </w:p>
    <w:p w14:paraId="50B055E3"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Antioxidant activity in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may originate from cellular components such as proteins, peptides, and other bioactive molecules that remain functional after inactivation. These antioxidant properties can contribute to cellular protection and may provide health benefits related to oxidative stress reduction (De Almada et al., 2016).</w:t>
      </w:r>
    </w:p>
    <w:p w14:paraId="17DBCE24"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Anti-inflammatory effects of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have been demonstrated in various experimental models, suggesting that bacterial inactivation does not eliminate the ability to modulate inflammatory responses. These effects may involve interactions with immune cells, cytokine production modulation, and other mechanisms that do not require bacterial viability (Piqué et al., 2019).</w:t>
      </w:r>
    </w:p>
    <w:p w14:paraId="66800B66"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4.4 Applications and Advantages</w:t>
      </w:r>
    </w:p>
    <w:p w14:paraId="59423D77" w14:textId="77777777" w:rsidR="00733709" w:rsidRPr="00733709" w:rsidRDefault="00733709" w:rsidP="00733709">
      <w:pPr>
        <w:jc w:val="both"/>
        <w:rPr>
          <w:rFonts w:ascii="Times New Roman" w:hAnsi="Times New Roman" w:cs="Times New Roman"/>
          <w:sz w:val="28"/>
          <w:szCs w:val="28"/>
        </w:rPr>
      </w:pP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offer several advantages over live probiotics in specific applications, particularly in terms of safety, stability, and regulatory compliance. The elimination of bacterial viability addresses safety concerns related to </w:t>
      </w:r>
      <w:r w:rsidRPr="00733709">
        <w:rPr>
          <w:rFonts w:ascii="Times New Roman" w:hAnsi="Times New Roman" w:cs="Times New Roman"/>
          <w:sz w:val="28"/>
          <w:szCs w:val="28"/>
        </w:rPr>
        <w:lastRenderedPageBreak/>
        <w:t>bacterial translocation, overgrowth, and infection risk in vulnerable populations, including immunocompromised individuals, critically ill patients, and infants (Adams, 2010).</w:t>
      </w:r>
    </w:p>
    <w:p w14:paraId="5D3CF045"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Stability advantages of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include resistance to environmental stresses such as heat, acid, and oxygen exposure that typically compromise live probiotic viability. This enhanced stability enables incorporation into a broader range of food products and processing conditions, including heat-treated products, acidic formulations, and ambient storage applications (Patel &amp; Prajapati, 2013).</w:t>
      </w:r>
    </w:p>
    <w:p w14:paraId="05DA7271"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Regulatory advantages may exist for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in certain jurisdictions where live bacterial cultures face restrictions or additional safety requirements. The inactivated nature of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may simplify regulatory approval processes and enable applications in contexts where live probiotics are not permitted (</w:t>
      </w:r>
      <w:proofErr w:type="spellStart"/>
      <w:r w:rsidRPr="00733709">
        <w:rPr>
          <w:rFonts w:ascii="Times New Roman" w:hAnsi="Times New Roman" w:cs="Times New Roman"/>
          <w:sz w:val="28"/>
          <w:szCs w:val="28"/>
        </w:rPr>
        <w:t>Taverniti</w:t>
      </w:r>
      <w:proofErr w:type="spellEnd"/>
      <w:r w:rsidRPr="00733709">
        <w:rPr>
          <w:rFonts w:ascii="Times New Roman" w:hAnsi="Times New Roman" w:cs="Times New Roman"/>
          <w:sz w:val="28"/>
          <w:szCs w:val="28"/>
        </w:rPr>
        <w:t xml:space="preserve"> &amp; Guglielmetti, 2011).</w:t>
      </w:r>
    </w:p>
    <w:p w14:paraId="286517B1"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Manufacturing advantages include simplified production, quality control, and storage requirements compared to live probiotics. The absence of viable bacteria eliminates concerns related to bacterial growth, contamination, and maintaining cold chain integrity throughout distribution and storage (De Almada et al., 2016).</w:t>
      </w:r>
    </w:p>
    <w:p w14:paraId="494AB572"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5. Food Technology Applications</w:t>
      </w:r>
    </w:p>
    <w:p w14:paraId="521FAF94"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 xml:space="preserve">5.1 </w:t>
      </w:r>
      <w:proofErr w:type="spellStart"/>
      <w:r w:rsidRPr="00733709">
        <w:rPr>
          <w:rFonts w:ascii="Times New Roman" w:hAnsi="Times New Roman" w:cs="Times New Roman"/>
          <w:b/>
          <w:bCs/>
          <w:sz w:val="28"/>
          <w:szCs w:val="28"/>
        </w:rPr>
        <w:t>Biopreservation</w:t>
      </w:r>
      <w:proofErr w:type="spellEnd"/>
      <w:r w:rsidRPr="00733709">
        <w:rPr>
          <w:rFonts w:ascii="Times New Roman" w:hAnsi="Times New Roman" w:cs="Times New Roman"/>
          <w:b/>
          <w:bCs/>
          <w:sz w:val="28"/>
          <w:szCs w:val="28"/>
        </w:rPr>
        <w:t xml:space="preserve"> and Food Safety</w:t>
      </w:r>
    </w:p>
    <w:p w14:paraId="249FA073"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The application of next-generation probiotics, postbiotics, and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in </w:t>
      </w:r>
      <w:proofErr w:type="spellStart"/>
      <w:r w:rsidRPr="00733709">
        <w:rPr>
          <w:rFonts w:ascii="Times New Roman" w:hAnsi="Times New Roman" w:cs="Times New Roman"/>
          <w:sz w:val="28"/>
          <w:szCs w:val="28"/>
        </w:rPr>
        <w:t>biopreservation</w:t>
      </w:r>
      <w:proofErr w:type="spellEnd"/>
      <w:r w:rsidRPr="00733709">
        <w:rPr>
          <w:rFonts w:ascii="Times New Roman" w:hAnsi="Times New Roman" w:cs="Times New Roman"/>
          <w:sz w:val="28"/>
          <w:szCs w:val="28"/>
        </w:rPr>
        <w:t xml:space="preserve"> represents a significant advancement in natural food preservation strategies. These biological agents offer environmentally friendly alternatives to chemical preservatives while providing additional health benefits to consumers (Settanni &amp; Corsetti, 2008). </w:t>
      </w:r>
      <w:proofErr w:type="spellStart"/>
      <w:r w:rsidRPr="00733709">
        <w:rPr>
          <w:rFonts w:ascii="Times New Roman" w:hAnsi="Times New Roman" w:cs="Times New Roman"/>
          <w:sz w:val="28"/>
          <w:szCs w:val="28"/>
        </w:rPr>
        <w:t>Biopreservation</w:t>
      </w:r>
      <w:proofErr w:type="spellEnd"/>
      <w:r w:rsidRPr="00733709">
        <w:rPr>
          <w:rFonts w:ascii="Times New Roman" w:hAnsi="Times New Roman" w:cs="Times New Roman"/>
          <w:sz w:val="28"/>
          <w:szCs w:val="28"/>
        </w:rPr>
        <w:t xml:space="preserve"> systems utilizing these agents can extend shelf life, maintain food quality, and reduce the risk of foodborne illness through multiple mechanisms of action.</w:t>
      </w:r>
    </w:p>
    <w:p w14:paraId="1ADB33E5"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Competitive exclusion is a primary mechanism by which these biological agents prevent pathogen growth in food systems. Next-generation probiotics can be engineered to produce enhanced levels of organic acids, bacteriocins, and other antimicrobial compounds that create hostile environments for pathogenic bacteria. The rapid colonization of food surfaces by beneficial bacteria prevents pathogen attachment and establishment, effectively reducing contamination risk (Rodríguez-Nogales et al., 2018).</w:t>
      </w:r>
    </w:p>
    <w:p w14:paraId="6662A30B"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lastRenderedPageBreak/>
        <w:t>Postbiotic preparations containing concentrated antimicrobial metabolites provide direct pathogen inhibition without requiring bacterial growth or metabolism in the food matrix. These preparations can be standardized for consistent antimicrobial activity and incorporated into various food formulations without concerns related to bacterial viability or potential spoilage. The broad-spectrum activity of many postbiotic compounds makes them effective against multiple pathogen types commonly associated with foodborne illness (</w:t>
      </w:r>
      <w:proofErr w:type="spellStart"/>
      <w:r w:rsidRPr="00733709">
        <w:rPr>
          <w:rFonts w:ascii="Times New Roman" w:hAnsi="Times New Roman" w:cs="Times New Roman"/>
          <w:sz w:val="28"/>
          <w:szCs w:val="28"/>
        </w:rPr>
        <w:t>Zółkiewicz</w:t>
      </w:r>
      <w:proofErr w:type="spellEnd"/>
      <w:r w:rsidRPr="00733709">
        <w:rPr>
          <w:rFonts w:ascii="Times New Roman" w:hAnsi="Times New Roman" w:cs="Times New Roman"/>
          <w:sz w:val="28"/>
          <w:szCs w:val="28"/>
        </w:rPr>
        <w:t xml:space="preserve"> et al., 2020).</w:t>
      </w:r>
    </w:p>
    <w:p w14:paraId="7115C871" w14:textId="77777777" w:rsidR="00733709" w:rsidRPr="00733709" w:rsidRDefault="00733709" w:rsidP="00733709">
      <w:pPr>
        <w:jc w:val="both"/>
        <w:rPr>
          <w:rFonts w:ascii="Times New Roman" w:hAnsi="Times New Roman" w:cs="Times New Roman"/>
          <w:sz w:val="28"/>
          <w:szCs w:val="28"/>
        </w:rPr>
      </w:pP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offer unique advantages in </w:t>
      </w:r>
      <w:proofErr w:type="spellStart"/>
      <w:r w:rsidRPr="00733709">
        <w:rPr>
          <w:rFonts w:ascii="Times New Roman" w:hAnsi="Times New Roman" w:cs="Times New Roman"/>
          <w:sz w:val="28"/>
          <w:szCs w:val="28"/>
        </w:rPr>
        <w:t>biopreservation</w:t>
      </w:r>
      <w:proofErr w:type="spellEnd"/>
      <w:r w:rsidRPr="00733709">
        <w:rPr>
          <w:rFonts w:ascii="Times New Roman" w:hAnsi="Times New Roman" w:cs="Times New Roman"/>
          <w:sz w:val="28"/>
          <w:szCs w:val="28"/>
        </w:rPr>
        <w:t xml:space="preserve"> applications where live bacterial cultures may interfere with food quality or sensory properties. Inactivated bacterial cells can provide pathogen inhibition through competitive binding and immune system stimulation in consumers while avoiding potential issues related to bacterial growth, gas production, or </w:t>
      </w:r>
      <w:proofErr w:type="spellStart"/>
      <w:r w:rsidRPr="00733709">
        <w:rPr>
          <w:rFonts w:ascii="Times New Roman" w:hAnsi="Times New Roman" w:cs="Times New Roman"/>
          <w:sz w:val="28"/>
          <w:szCs w:val="28"/>
        </w:rPr>
        <w:t>flavor</w:t>
      </w:r>
      <w:proofErr w:type="spellEnd"/>
      <w:r w:rsidRPr="00733709">
        <w:rPr>
          <w:rFonts w:ascii="Times New Roman" w:hAnsi="Times New Roman" w:cs="Times New Roman"/>
          <w:sz w:val="28"/>
          <w:szCs w:val="28"/>
        </w:rPr>
        <w:t xml:space="preserve"> development in the food product (</w:t>
      </w:r>
      <w:proofErr w:type="spellStart"/>
      <w:r w:rsidRPr="00733709">
        <w:rPr>
          <w:rFonts w:ascii="Times New Roman" w:hAnsi="Times New Roman" w:cs="Times New Roman"/>
          <w:sz w:val="28"/>
          <w:szCs w:val="28"/>
        </w:rPr>
        <w:t>Taverniti</w:t>
      </w:r>
      <w:proofErr w:type="spellEnd"/>
      <w:r w:rsidRPr="00733709">
        <w:rPr>
          <w:rFonts w:ascii="Times New Roman" w:hAnsi="Times New Roman" w:cs="Times New Roman"/>
          <w:sz w:val="28"/>
          <w:szCs w:val="28"/>
        </w:rPr>
        <w:t xml:space="preserve"> &amp; Guglielmetti, 2011).</w:t>
      </w:r>
    </w:p>
    <w:p w14:paraId="6BB78305"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5.2 Functional Food Development</w:t>
      </w:r>
    </w:p>
    <w:p w14:paraId="7A2A4D46"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The development of functional foods incorporating next-generation probiotics, postbiotics, and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represents a rapidly growing segment of the food industry. These bioactive agents can be formulated into diverse food products to provide specific health benefits beyond basic nutrition, meeting consumer demands for foods that promote wellness and disease prevention (Granato et al., 2010).</w:t>
      </w:r>
    </w:p>
    <w:p w14:paraId="43E37D60"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Dairy products remain the primary vehicle for probiotic delivery, but next-generation approaches are expanding application possibilities. Advanced encapsulation technologies enable the incorporation of sensitive strains and bioactive compounds into cheese, yogurt, and other fermented dairy products while maintaining viability and functionality. Novel dairy formulations can be designed to deliver targeted therapeutic benefits such as cholesterol reduction, immune system enhancement, or digestive health support (Cook et al., 2012).</w:t>
      </w:r>
    </w:p>
    <w:p w14:paraId="094DAAF6"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Non-dairy applications are increasingly important as consumer preferences diversify and plant-based alternatives gain popularity. Next-generation probiotics can be formulated into plant-based beverages, cereals, snack foods, and other products using advanced delivery systems that protect bacterial viability and bioactive compound stability. These applications require careful consideration of food matrix interactions, processing conditions, and storage requirements (Ranadheera et al., 2010).</w:t>
      </w:r>
    </w:p>
    <w:p w14:paraId="03A4661A"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lastRenderedPageBreak/>
        <w:t>Personalized nutrition approaches utilizing next-generation probiotics offer the potential for customized functional foods tailored to individual microbiome profiles, genetic factors, and health status. Advanced diagnostic tools and predictive models can guide the selection of specific probiotic strains or bioactive compounds most likely to benefit individual consumers (Kristensen et al., 2016).</w:t>
      </w:r>
    </w:p>
    <w:p w14:paraId="54EDB8E7"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5.3 Fresh Produce and Minimally Processed Foods</w:t>
      </w:r>
    </w:p>
    <w:p w14:paraId="3EDB5E5E"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The application of biological preservation agents to fresh produce and minimally processed foods presents unique challenges and opportunities. These food categories are particularly susceptible to pathogen contamination and spoilage due to minimal processing and the absence of traditional preservation methods. Next-generation probiotics and their derivatives can provide natural preservation solutions while maintaining the fresh, minimally processed character that consumers desire (Alegre et al., 2011).</w:t>
      </w:r>
    </w:p>
    <w:p w14:paraId="00C01DEF"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Wash solutions containing probiotic bacteria or postbiotic compounds can reduce pathogen loads on fresh produce surfaces during processing. These biological treatments can be more effective than traditional sanitizers against biofilm-forming pathogens while leaving beneficial residues that continue to provide protection during storage and distribution. The safety profile of probiotic-based wash systems makes them attractive alternatives to chemical sanitizers (Zhao et al., 2017).</w:t>
      </w:r>
    </w:p>
    <w:p w14:paraId="65490EDF"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Edible coatings and films incorporating bioactive agents represent innovative approaches to fresh produce preservation. These biodegradable coatings can deliver probiotic bacteria, postbiotic compounds, or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directly to product surfaces while providing barrier properties that extend shelf life and maintain quality. Advanced formulation techniques enable controlled release of bioactive agents throughout the storage period (Campos et al., 2011).</w:t>
      </w:r>
    </w:p>
    <w:p w14:paraId="3ECC71EE"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Ready-to-eat and minimally processed foods can benefit from the incorporation of stable postbiotic or </w:t>
      </w:r>
      <w:proofErr w:type="spellStart"/>
      <w:r w:rsidRPr="00733709">
        <w:rPr>
          <w:rFonts w:ascii="Times New Roman" w:hAnsi="Times New Roman" w:cs="Times New Roman"/>
          <w:sz w:val="28"/>
          <w:szCs w:val="28"/>
        </w:rPr>
        <w:t>paraprobiotic</w:t>
      </w:r>
      <w:proofErr w:type="spellEnd"/>
      <w:r w:rsidRPr="00733709">
        <w:rPr>
          <w:rFonts w:ascii="Times New Roman" w:hAnsi="Times New Roman" w:cs="Times New Roman"/>
          <w:sz w:val="28"/>
          <w:szCs w:val="28"/>
        </w:rPr>
        <w:t xml:space="preserve"> preparations that provide pathogen protection without compromising food safety through the introduction of live bacterial cultures. These applications are particularly important for products consumed by vulnerable populations where additional safety measures are essential (Piqué et al., 2019).</w:t>
      </w:r>
    </w:p>
    <w:p w14:paraId="443B9280"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5.4 Meat and Poultry Products</w:t>
      </w:r>
    </w:p>
    <w:p w14:paraId="3C700693"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lastRenderedPageBreak/>
        <w:t>The meat and poultry industry faces significant challenges related to pathogen control, particularly with respect to Salmonella, Escherichia coli, Campylobacter, and Listeria monocytogenes. Next-generation probiotics and their derivatives offer innovative solutions for pathogen reduction while potentially providing additional benefits such as improved product quality and extended shelf life (Hugas et al., 2003).</w:t>
      </w:r>
    </w:p>
    <w:p w14:paraId="30B91995"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In-plant applications during processing can reduce pathogen loads and prevent cross-contamination. Probiotic treatments applied during carcass washing, evisceration, or chilling can establish beneficial bacterial populations that compete with pathogens for nutrients and attachment sites. These treatments must be carefully designed to ensure food safety while providing effective pathogen control (Zhao et al., 2017).</w:t>
      </w:r>
    </w:p>
    <w:p w14:paraId="48173D59"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Product formulation applications include the incorporation of probiotic bacteria or bioactive compounds directly into ground meat products, sausages, and other processed meats. These applications can improve food safety while potentially providing health benefits to consumers. Advanced encapsulation technologies protect probiotic viability during processing and storage while ensuring controlled release during consumption (</w:t>
      </w:r>
      <w:proofErr w:type="spellStart"/>
      <w:r w:rsidRPr="00733709">
        <w:rPr>
          <w:rFonts w:ascii="Times New Roman" w:hAnsi="Times New Roman" w:cs="Times New Roman"/>
          <w:sz w:val="28"/>
          <w:szCs w:val="28"/>
        </w:rPr>
        <w:t>Klaenhammer</w:t>
      </w:r>
      <w:proofErr w:type="spellEnd"/>
      <w:r w:rsidRPr="00733709">
        <w:rPr>
          <w:rFonts w:ascii="Times New Roman" w:hAnsi="Times New Roman" w:cs="Times New Roman"/>
          <w:sz w:val="28"/>
          <w:szCs w:val="28"/>
        </w:rPr>
        <w:t xml:space="preserve"> et al., 2012).</w:t>
      </w:r>
    </w:p>
    <w:p w14:paraId="3E995F77"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Packaging applications utilizing active packaging systems can deliver probiotic compounds or antimicrobial metabolites to meat surfaces during storage. These systems can provide continuous pathogen protection while maintaining product quality and extending shelf life. Controlled release mechanisms ensure optimal delivery of bioactive compounds throughout the storage period (Yao et al., 2020).</w:t>
      </w:r>
    </w:p>
    <w:p w14:paraId="1CF033CC"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6. Mechanisms of Action Against Foodborne Pathogens</w:t>
      </w:r>
    </w:p>
    <w:p w14:paraId="45FFCB3D"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6.1 Competitive Exclusion and Colonization Resistance</w:t>
      </w:r>
    </w:p>
    <w:p w14:paraId="0124AA7F"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Competitive exclusion represents a fundamental mechanism by which beneficial bacteria prevent pathogen establishment and growth in food systems and the human gastrointestinal tract. This mechanism involves competition for nutrients, attachment sites, and ecological niches that are essential for pathogen survival and proliferation (Bron et al., 2017). Next-generation probiotics can be engineered to enhance competitive exclusion capabilities through improved adhesion properties, enhanced nutrient utilization efficiency, and optimized growth characteristics.</w:t>
      </w:r>
    </w:p>
    <w:p w14:paraId="76AD7A9D"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lastRenderedPageBreak/>
        <w:t>Nutrient competition occurs when beneficial bacteria consume essential nutrients required by pathogenic organisms, creating nutrient-limiting conditions that prevent pathogen growth. This competition is particularly effective when beneficial bacteria have metabolic advantages or can utilize nutrients more efficiently than pathogens. Advanced metabolic engineering approaches can enhance the competitive capabilities of probiotic strains by optimizing metabolic pathways and substrate utilization (Sanders et al., 2018).</w:t>
      </w:r>
    </w:p>
    <w:p w14:paraId="7845C6E1"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Attachment site competition involves the occupation of binding sites on food surfaces or intestinal epithelium by beneficial bacteria, preventing pathogen adhesion and colonization. Surface proteins, adhesins, and other cellular components mediate this competitive </w:t>
      </w:r>
      <w:proofErr w:type="spellStart"/>
      <w:r w:rsidRPr="00733709">
        <w:rPr>
          <w:rFonts w:ascii="Times New Roman" w:hAnsi="Times New Roman" w:cs="Times New Roman"/>
          <w:sz w:val="28"/>
          <w:szCs w:val="28"/>
        </w:rPr>
        <w:t>binding</w:t>
      </w:r>
      <w:proofErr w:type="spellEnd"/>
      <w:r w:rsidRPr="00733709">
        <w:rPr>
          <w:rFonts w:ascii="Times New Roman" w:hAnsi="Times New Roman" w:cs="Times New Roman"/>
          <w:sz w:val="28"/>
          <w:szCs w:val="28"/>
        </w:rPr>
        <w:t xml:space="preserve"> process. Genetic engineering approaches can enhance adhesion properties of probiotic strains by modifying surface protein expression or introducing novel adhesion factors (O'Toole et al., 2017).</w:t>
      </w:r>
    </w:p>
    <w:p w14:paraId="27EB960F"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Colonization resistance mechanisms extend beyond simple competition to include active inhibition of pathogen growth through the production of inhibitory compounds and the modification of environmental conditions. These mechanisms create hostile environments for pathogens while supporting the growth of beneficial bacteria, establishing stable microbial communities that resist pathogen invasion (Bron et al., 2017).</w:t>
      </w:r>
    </w:p>
    <w:p w14:paraId="13E87BB8"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6.2 Antimicrobial Compound Production</w:t>
      </w:r>
    </w:p>
    <w:p w14:paraId="58DEF325"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The production of antimicrobial compounds by beneficial bacteria represents a direct mechanism for pathogen control that can be enhanced through biotechnological approaches. These compounds include organic acids, bacteriocins, hydrogen peroxide, antimicrobial peptides, and other bioactive molecules that demonstrate broad-spectrum activity against foodborne pathogens (Cotter et al., 2013).</w:t>
      </w:r>
    </w:p>
    <w:p w14:paraId="7C22C035"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Organic acid production, particularly lactic acid and acetic acid, creates acidic conditions that inhibit the growth of acid-sensitive pathogens while </w:t>
      </w:r>
      <w:proofErr w:type="spellStart"/>
      <w:r w:rsidRPr="00733709">
        <w:rPr>
          <w:rFonts w:ascii="Times New Roman" w:hAnsi="Times New Roman" w:cs="Times New Roman"/>
          <w:sz w:val="28"/>
          <w:szCs w:val="28"/>
        </w:rPr>
        <w:t>favoring</w:t>
      </w:r>
      <w:proofErr w:type="spellEnd"/>
      <w:r w:rsidRPr="00733709">
        <w:rPr>
          <w:rFonts w:ascii="Times New Roman" w:hAnsi="Times New Roman" w:cs="Times New Roman"/>
          <w:sz w:val="28"/>
          <w:szCs w:val="28"/>
        </w:rPr>
        <w:t xml:space="preserve"> the growth of acid-tolerant beneficial bacteria. The effectiveness of organic acid inhibition depends on factors such as pH, buffering capacity, and the specific sensitivity of target pathogens. Advanced fermentation control and genetic engineering approaches can optimize organic acid production for enhanced antimicrobial activity (Rodríguez-Nogales et al., 2018).</w:t>
      </w:r>
    </w:p>
    <w:p w14:paraId="5C34B56D"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lastRenderedPageBreak/>
        <w:t>Bacteriocin production represents a highly specific antimicrobial mechanism that can be targeted against particular pathogen groups. These proteinaceous antimicrobial compounds demonstrate potent activity against closely related bacterial species and can be engineered for enhanced activity, stability, and spectrum of action. Advanced biotechnology approaches enable the production of novel bacteriocins with improved properties for food preservation applications (Cotter et al., 2013).</w:t>
      </w:r>
    </w:p>
    <w:p w14:paraId="6D210052"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Hydrogen peroxide and other reactive oxygen species produced by certain beneficial bacteria can provide broad-spectrum antimicrobial activity through oxidative damage to pathogen cells. This mechanism is particularly effective in aerobic environments and can be enhanced through metabolic engineering approaches that optimize the production of antimicrobial oxidizing agents (Torres-Barceló, 2018).</w:t>
      </w:r>
    </w:p>
    <w:p w14:paraId="26162EF2"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6.3 Biofilm Disruption and Prevention</w:t>
      </w:r>
    </w:p>
    <w:p w14:paraId="3C13B5C8"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Biofilm formation by foodborne pathogens represents a significant challenge for food safety, as biofilms provide protection against sanitizers, antimicrobial treatments, and environmental stresses. Next-generation probiotics and their derivatives can interfere with biofilm formation and disrupt established biofilms through multiple mechanisms, providing enhanced pathogen control in food processing environments (Rodríguez-Nogales et al., 2018).</w:t>
      </w:r>
    </w:p>
    <w:p w14:paraId="5B319884"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Quorum sensing interference involves the disruption of bacterial communication systems that regulate biofilm formation and maturation. Beneficial bacteria can produce compounds that interfere with quorum sensing signals or compete for receptor binding, preventing the coordinated </w:t>
      </w:r>
      <w:proofErr w:type="spellStart"/>
      <w:r w:rsidRPr="00733709">
        <w:rPr>
          <w:rFonts w:ascii="Times New Roman" w:hAnsi="Times New Roman" w:cs="Times New Roman"/>
          <w:sz w:val="28"/>
          <w:szCs w:val="28"/>
        </w:rPr>
        <w:t>behavior</w:t>
      </w:r>
      <w:proofErr w:type="spellEnd"/>
      <w:r w:rsidRPr="00733709">
        <w:rPr>
          <w:rFonts w:ascii="Times New Roman" w:hAnsi="Times New Roman" w:cs="Times New Roman"/>
          <w:sz w:val="28"/>
          <w:szCs w:val="28"/>
        </w:rPr>
        <w:t xml:space="preserve"> necessary for biofilm development. Advanced genetic engineering approaches can enhance quorum sensing interference capabilities in probiotic strains (Torres et al., 2016).</w:t>
      </w:r>
    </w:p>
    <w:p w14:paraId="18B4D825"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Physical displacement mechanisms involve the competition for surface binding sites and the physical disruption of developing biofilms by beneficial bacteria. Rapidly growing probiotic strains can outcompete pathogens for surface colonization and mechanically disrupt biofilm structures through their growth and movement. Enhanced adhesion properties and optimized growth characteristics can improve the effectiveness of physical displacement mechanisms (O'Toole et al., 2017).</w:t>
      </w:r>
    </w:p>
    <w:p w14:paraId="6CD4D543"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lastRenderedPageBreak/>
        <w:t>Enzymatic biofilm disruption involves the production of enzymes that degrade biofilm matrix components such as extracellular polysaccharides, proteins, and DNA. These enzymes can weaken biofilm structures and make pathogen cells more susceptible to other antimicrobial treatments. Genetic engineering approaches can introduce or enhance the production of biofilm-degrading enzymes in probiotic strains (Araya-Cloutier et al., 2018).</w:t>
      </w:r>
    </w:p>
    <w:p w14:paraId="3C0652AB"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6.4 Immune System Modulation</w:t>
      </w:r>
    </w:p>
    <w:p w14:paraId="599E302E"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The modulation of host immune responses represents an indirect but important mechanism by which beneficial bacteria contribute to pathogen resistance and overall health promotion. This mechanism involves complex interactions with immune cells, </w:t>
      </w:r>
      <w:proofErr w:type="spellStart"/>
      <w:r w:rsidRPr="00733709">
        <w:rPr>
          <w:rFonts w:ascii="Times New Roman" w:hAnsi="Times New Roman" w:cs="Times New Roman"/>
          <w:sz w:val="28"/>
          <w:szCs w:val="28"/>
        </w:rPr>
        <w:t>signaling</w:t>
      </w:r>
      <w:proofErr w:type="spellEnd"/>
      <w:r w:rsidRPr="00733709">
        <w:rPr>
          <w:rFonts w:ascii="Times New Roman" w:hAnsi="Times New Roman" w:cs="Times New Roman"/>
          <w:sz w:val="28"/>
          <w:szCs w:val="28"/>
        </w:rPr>
        <w:t xml:space="preserve"> pathways, and inflammatory responses that can be optimized through advanced biotechnological approaches (</w:t>
      </w:r>
      <w:proofErr w:type="spellStart"/>
      <w:r w:rsidRPr="00733709">
        <w:rPr>
          <w:rFonts w:ascii="Times New Roman" w:hAnsi="Times New Roman" w:cs="Times New Roman"/>
          <w:sz w:val="28"/>
          <w:szCs w:val="28"/>
        </w:rPr>
        <w:t>Teame</w:t>
      </w:r>
      <w:proofErr w:type="spellEnd"/>
      <w:r w:rsidRPr="00733709">
        <w:rPr>
          <w:rFonts w:ascii="Times New Roman" w:hAnsi="Times New Roman" w:cs="Times New Roman"/>
          <w:sz w:val="28"/>
          <w:szCs w:val="28"/>
        </w:rPr>
        <w:t xml:space="preserve"> et al., 2020).</w:t>
      </w:r>
    </w:p>
    <w:p w14:paraId="24AB282F"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Pathogen-associated molecular pattern (PAMP) recognition involves the interaction of beneficial bacterial components with host pattern recognition receptors, stimulating innate immune responses that enhance pathogen resistance. Cell wall components, surface proteins, and metabolic products can serve as PAMPs that activate beneficial immune responses while avoiding excessive inflammatory reactions (Molina-Tijeras et al., 2019).</w:t>
      </w:r>
    </w:p>
    <w:p w14:paraId="553153E3"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Cytokine modulation by beneficial bacteria involves the regulation of inflammatory and anti-inflammatory </w:t>
      </w:r>
      <w:proofErr w:type="spellStart"/>
      <w:r w:rsidRPr="00733709">
        <w:rPr>
          <w:rFonts w:ascii="Times New Roman" w:hAnsi="Times New Roman" w:cs="Times New Roman"/>
          <w:sz w:val="28"/>
          <w:szCs w:val="28"/>
        </w:rPr>
        <w:t>signaling</w:t>
      </w:r>
      <w:proofErr w:type="spellEnd"/>
      <w:r w:rsidRPr="00733709">
        <w:rPr>
          <w:rFonts w:ascii="Times New Roman" w:hAnsi="Times New Roman" w:cs="Times New Roman"/>
          <w:sz w:val="28"/>
          <w:szCs w:val="28"/>
        </w:rPr>
        <w:t xml:space="preserve"> molecules that control immune responses. Probiotic strains can promote the production of beneficial cytokines while suppressing harmful inflammatory responses, creating immune environments that </w:t>
      </w:r>
      <w:proofErr w:type="spellStart"/>
      <w:r w:rsidRPr="00733709">
        <w:rPr>
          <w:rFonts w:ascii="Times New Roman" w:hAnsi="Times New Roman" w:cs="Times New Roman"/>
          <w:sz w:val="28"/>
          <w:szCs w:val="28"/>
        </w:rPr>
        <w:t>favor</w:t>
      </w:r>
      <w:proofErr w:type="spellEnd"/>
      <w:r w:rsidRPr="00733709">
        <w:rPr>
          <w:rFonts w:ascii="Times New Roman" w:hAnsi="Times New Roman" w:cs="Times New Roman"/>
          <w:sz w:val="28"/>
          <w:szCs w:val="28"/>
        </w:rPr>
        <w:t xml:space="preserve"> pathogen clearance and tissue health. Advanced engineering approaches can enhance cytokine modulation capabilities through the targeted delivery of immunomodulatory compounds (Piqué et al., 2019).</w:t>
      </w:r>
    </w:p>
    <w:p w14:paraId="606C09DF"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Gut barrier enhancement involves the strengthening of intestinal epithelial barriers that prevent pathogen translocation and systemic infection. Beneficial bacteria can promote tight junction integrity, mucus production, and epithelial cell renewal, creating physical barriers that enhance resistance to pathogen invasion. These effects can be enhanced through the targeted production of barrier-supporting compounds such as short-chain fatty acids and growth factors (</w:t>
      </w:r>
      <w:proofErr w:type="spellStart"/>
      <w:r w:rsidRPr="00733709">
        <w:rPr>
          <w:rFonts w:ascii="Times New Roman" w:hAnsi="Times New Roman" w:cs="Times New Roman"/>
          <w:sz w:val="28"/>
          <w:szCs w:val="28"/>
        </w:rPr>
        <w:t>Teame</w:t>
      </w:r>
      <w:proofErr w:type="spellEnd"/>
      <w:r w:rsidRPr="00733709">
        <w:rPr>
          <w:rFonts w:ascii="Times New Roman" w:hAnsi="Times New Roman" w:cs="Times New Roman"/>
          <w:sz w:val="28"/>
          <w:szCs w:val="28"/>
        </w:rPr>
        <w:t xml:space="preserve"> et al., 2020).</w:t>
      </w:r>
    </w:p>
    <w:p w14:paraId="2BC3AB1F"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7. Current Challenges and Limitations</w:t>
      </w:r>
    </w:p>
    <w:p w14:paraId="0C888873"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7.1 Regulatory and Safety Considerations</w:t>
      </w:r>
    </w:p>
    <w:p w14:paraId="6CE7627D"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lastRenderedPageBreak/>
        <w:t xml:space="preserve">The regulatory landscape for next-generation probiotics, postbiotics, and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presents complex challenges that vary significantly across jurisdictions and application areas. Traditional regulatory frameworks designed for conventional probiotics may not adequately address the unique characteristics and potential risks associated with genetically modified organisms, novel bacterial species, and innovative delivery systems (Kristensen et al., 2016).</w:t>
      </w:r>
    </w:p>
    <w:p w14:paraId="03BA56E4"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Safety assessment requirements for genetically engineered probiotics involve comprehensive evaluation of potential risks including gene transfer, unintended effects, allergenicity, and environmental impact. Regulatory agencies require extensive documentation of genetic modifications, safety testing data, and risk assessment analyses before approving genetically modified probiotic products for commercial use. These requirements can significantly extend development timelines and increase costs for innovative products (Sanders et al., 2018).</w:t>
      </w:r>
    </w:p>
    <w:p w14:paraId="1EA41783"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Novel bacterial species used in next-generation probiotics may lack the extensive safety history associated with traditional probiotic strains, requiring additional safety studies and risk assessments. The qualified presumption of safety (QPS) status established for traditional probiotic genera may not apply to novel species, necessitating comprehensive safety evaluations including toxicological studies, antimicrobial resistance assessment, and clinical safety trials (O'Toole et al., 2017).</w:t>
      </w:r>
    </w:p>
    <w:p w14:paraId="1826B64A"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Postbiotic and </w:t>
      </w:r>
      <w:proofErr w:type="spellStart"/>
      <w:r w:rsidRPr="00733709">
        <w:rPr>
          <w:rFonts w:ascii="Times New Roman" w:hAnsi="Times New Roman" w:cs="Times New Roman"/>
          <w:sz w:val="28"/>
          <w:szCs w:val="28"/>
        </w:rPr>
        <w:t>paraprobiotic</w:t>
      </w:r>
      <w:proofErr w:type="spellEnd"/>
      <w:r w:rsidRPr="00733709">
        <w:rPr>
          <w:rFonts w:ascii="Times New Roman" w:hAnsi="Times New Roman" w:cs="Times New Roman"/>
          <w:sz w:val="28"/>
          <w:szCs w:val="28"/>
        </w:rPr>
        <w:t xml:space="preserve"> regulations present unique challenges as these products fall into </w:t>
      </w:r>
      <w:proofErr w:type="spellStart"/>
      <w:r w:rsidRPr="00733709">
        <w:rPr>
          <w:rFonts w:ascii="Times New Roman" w:hAnsi="Times New Roman" w:cs="Times New Roman"/>
          <w:sz w:val="28"/>
          <w:szCs w:val="28"/>
        </w:rPr>
        <w:t>gray</w:t>
      </w:r>
      <w:proofErr w:type="spellEnd"/>
      <w:r w:rsidRPr="00733709">
        <w:rPr>
          <w:rFonts w:ascii="Times New Roman" w:hAnsi="Times New Roman" w:cs="Times New Roman"/>
          <w:sz w:val="28"/>
          <w:szCs w:val="28"/>
        </w:rPr>
        <w:t xml:space="preserve"> areas between traditional probiotics, food additives, and functional ingredients. The absence of viable bacteria complicates classification and may require novel regulatory approaches that address the specific characteristics and safety profiles of these products. Standardization of production methods, quality control procedures, and potency assessment remains a significant challenge for regulatory approval (Salminen et al., 2021).</w:t>
      </w:r>
    </w:p>
    <w:p w14:paraId="202BE31E"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International harmonization of regulations represents a significant challenge for companies seeking to commercialize innovative probiotic products across multiple markets. Differences in regulatory requirements, safety standards, and approval processes can create barriers to global product development and commercialization. Efforts to harmonize international standards and create mutual recognition agreements are ongoing but progress remains limited (</w:t>
      </w:r>
      <w:proofErr w:type="spellStart"/>
      <w:r w:rsidRPr="00733709">
        <w:rPr>
          <w:rFonts w:ascii="Times New Roman" w:hAnsi="Times New Roman" w:cs="Times New Roman"/>
          <w:sz w:val="28"/>
          <w:szCs w:val="28"/>
        </w:rPr>
        <w:t>Zółkiewicz</w:t>
      </w:r>
      <w:proofErr w:type="spellEnd"/>
      <w:r w:rsidRPr="00733709">
        <w:rPr>
          <w:rFonts w:ascii="Times New Roman" w:hAnsi="Times New Roman" w:cs="Times New Roman"/>
          <w:sz w:val="28"/>
          <w:szCs w:val="28"/>
        </w:rPr>
        <w:t xml:space="preserve"> et al., 2020).</w:t>
      </w:r>
    </w:p>
    <w:p w14:paraId="4EB4AC25"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7.2 Standardization and Quality Control</w:t>
      </w:r>
    </w:p>
    <w:p w14:paraId="043CF4C4"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lastRenderedPageBreak/>
        <w:t xml:space="preserve">Standardization challenges for next-generation probiotics, postbiotics, and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stem from their complex and variable nature compared to traditional probiotic products. The diversity of bacterial species, genetic modifications, production methods, and bioactive compounds creates difficulties in establishing uniform standards for identity, potency, purity, and stability (Rad et al., 2020).</w:t>
      </w:r>
    </w:p>
    <w:p w14:paraId="3186B734"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Analytical method development requires sophisticated techniques capable of characterizing complex mixtures of bioactive compounds, assessing genetic modifications, and quantifying biological activity. Traditional culture-based methods may be inadequate for novel bacterial species or genetically modified strains, necessitating the development of molecular and biochemical assays that can accurately assess product characteristics (</w:t>
      </w:r>
      <w:proofErr w:type="spellStart"/>
      <w:r w:rsidRPr="00733709">
        <w:rPr>
          <w:rFonts w:ascii="Times New Roman" w:hAnsi="Times New Roman" w:cs="Times New Roman"/>
          <w:sz w:val="28"/>
          <w:szCs w:val="28"/>
        </w:rPr>
        <w:t>Żółkiewicz</w:t>
      </w:r>
      <w:proofErr w:type="spellEnd"/>
      <w:r w:rsidRPr="00733709">
        <w:rPr>
          <w:rFonts w:ascii="Times New Roman" w:hAnsi="Times New Roman" w:cs="Times New Roman"/>
          <w:sz w:val="28"/>
          <w:szCs w:val="28"/>
        </w:rPr>
        <w:t xml:space="preserve"> et al., 2020).</w:t>
      </w:r>
    </w:p>
    <w:p w14:paraId="182F21FB"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Batch-to-batch variation represents a significant challenge in the production of postbiotics and complex probiotic formulations. Fermentation-derived products are inherently variable due to the influence of multiple factors on microbial metabolism and compound production. Advanced process control, standardized production protocols, and comprehensive quality testing are essential for maintaining consistent product quality (</w:t>
      </w:r>
      <w:proofErr w:type="spellStart"/>
      <w:r w:rsidRPr="00733709">
        <w:rPr>
          <w:rFonts w:ascii="Times New Roman" w:hAnsi="Times New Roman" w:cs="Times New Roman"/>
          <w:sz w:val="28"/>
          <w:szCs w:val="28"/>
        </w:rPr>
        <w:t>Zółkiewicz</w:t>
      </w:r>
      <w:proofErr w:type="spellEnd"/>
      <w:r w:rsidRPr="00733709">
        <w:rPr>
          <w:rFonts w:ascii="Times New Roman" w:hAnsi="Times New Roman" w:cs="Times New Roman"/>
          <w:sz w:val="28"/>
          <w:szCs w:val="28"/>
        </w:rPr>
        <w:t xml:space="preserve"> et al., 2020).</w:t>
      </w:r>
    </w:p>
    <w:p w14:paraId="633756B9"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Stability testing requirements for innovative probiotic products must address the unique characteristics of each product type. Next-generation probiotics may have different stability profiles than traditional strains, while postbiotics and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may require novel approaches to assess bioactivity retention during storage. Long-term stability studies and accelerated testing protocols must be developed and validated for each product category (Molina-Tijeras et al., 2019).</w:t>
      </w:r>
    </w:p>
    <w:p w14:paraId="5D06EE6B"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7.3 Scalability and Manufacturing</w:t>
      </w:r>
    </w:p>
    <w:p w14:paraId="6DF55855"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Manufacturing scalability represents a critical challenge for translating laboratory-scale innovations into commercial products. Many advanced biotechnological approaches used in next-generation probiotic development may not be easily scalable using existing industrial fermentation and processing equipment. Specialized production facilities and equipment may be required for certain products, increasing capital investment requirements and production costs (</w:t>
      </w:r>
      <w:proofErr w:type="spellStart"/>
      <w:r w:rsidRPr="00733709">
        <w:rPr>
          <w:rFonts w:ascii="Times New Roman" w:hAnsi="Times New Roman" w:cs="Times New Roman"/>
          <w:sz w:val="28"/>
          <w:szCs w:val="28"/>
        </w:rPr>
        <w:t>Broeckx</w:t>
      </w:r>
      <w:proofErr w:type="spellEnd"/>
      <w:r w:rsidRPr="00733709">
        <w:rPr>
          <w:rFonts w:ascii="Times New Roman" w:hAnsi="Times New Roman" w:cs="Times New Roman"/>
          <w:sz w:val="28"/>
          <w:szCs w:val="28"/>
        </w:rPr>
        <w:t xml:space="preserve"> et al., 2016).</w:t>
      </w:r>
    </w:p>
    <w:p w14:paraId="784AB06F"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lastRenderedPageBreak/>
        <w:t>Fermentation optimization for novel bacterial species and genetically modified strains requires extensive process development and validation. Traditional fermentation protocols developed for conventional probiotic strains may not be suitable for next-generation probiotics, necessitating the development of specialized media formulations, environmental controls, and harvesting procedures. These requirements can significantly complicate manufacturing operations and increase production costs (Cook et al., 2012).</w:t>
      </w:r>
    </w:p>
    <w:p w14:paraId="645F8064"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Cost-effectiveness considerations become particularly important as production complexity increases. Advanced biotechnological approaches, specialized equipment, and extensive quality control requirements can significantly increase manufacturing costs compared to traditional probiotic products. Market acceptance and pricing strategies must balance innovation benefits with economic viability to ensure commercial success (Kristensen et al., 2016).</w:t>
      </w:r>
    </w:p>
    <w:p w14:paraId="3ECD7616"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Supply chain complexity increases with the introduction of specialized raw materials, advanced processing equipment, and stringent storage requirements. Cold chain maintenance, specialized packaging, and controlled distribution may be required for certain products, adding complexity and cost to supply chain operations. Integration with existing distribution networks may require significant modifications and investments (Yao et al., 2020).</w:t>
      </w:r>
    </w:p>
    <w:p w14:paraId="6B380A33"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7.4 Consumer Acceptance and Market Adoption</w:t>
      </w:r>
    </w:p>
    <w:p w14:paraId="5FEC290E"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Consumer acceptance of genetically modified probiotics presents a significant challenge in markets where GMO products face public resistance. Despite potential benefits, consumer concerns about genetic modification may limit market acceptance and require extensive education and communication efforts to build consumer confidence. Transparent </w:t>
      </w:r>
      <w:proofErr w:type="spellStart"/>
      <w:r w:rsidRPr="00733709">
        <w:rPr>
          <w:rFonts w:ascii="Times New Roman" w:hAnsi="Times New Roman" w:cs="Times New Roman"/>
          <w:sz w:val="28"/>
          <w:szCs w:val="28"/>
        </w:rPr>
        <w:t>labeling</w:t>
      </w:r>
      <w:proofErr w:type="spellEnd"/>
      <w:r w:rsidRPr="00733709">
        <w:rPr>
          <w:rFonts w:ascii="Times New Roman" w:hAnsi="Times New Roman" w:cs="Times New Roman"/>
          <w:sz w:val="28"/>
          <w:szCs w:val="28"/>
        </w:rPr>
        <w:t xml:space="preserve"> and clear communication about safety and benefits are essential for market success (Sanders et al., 2018).</w:t>
      </w:r>
    </w:p>
    <w:p w14:paraId="01EFF8E6"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Scientific evidence requirements for health claims related to next-generation probiotics, postbiotics, and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may be more stringent than those for traditional probiotics. Regulatory agencies and consumers increasingly demand robust clinical evidence supporting health benefit claims, requiring significant investment in clinical research and development. The complexity of these products may necessitate more extensive and sophisticated clinical studies (Salminen et al., 2021).</w:t>
      </w:r>
    </w:p>
    <w:p w14:paraId="6E2C37DD"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lastRenderedPageBreak/>
        <w:t>Healthcare professional acceptance and recommendation represent important factors in market adoption, particularly for products targeting therapeutic applications. Healthcare providers require comprehensive education about the science, safety, and appropriate use of innovative probiotic products. Professional organizations and medical societies may need to develop guidelines and recommendations for the use of next-generation probiotic products (</w:t>
      </w:r>
      <w:proofErr w:type="spellStart"/>
      <w:r w:rsidRPr="00733709">
        <w:rPr>
          <w:rFonts w:ascii="Times New Roman" w:hAnsi="Times New Roman" w:cs="Times New Roman"/>
          <w:sz w:val="28"/>
          <w:szCs w:val="28"/>
        </w:rPr>
        <w:t>Teame</w:t>
      </w:r>
      <w:proofErr w:type="spellEnd"/>
      <w:r w:rsidRPr="00733709">
        <w:rPr>
          <w:rFonts w:ascii="Times New Roman" w:hAnsi="Times New Roman" w:cs="Times New Roman"/>
          <w:sz w:val="28"/>
          <w:szCs w:val="28"/>
        </w:rPr>
        <w:t xml:space="preserve"> et al., 2020).</w:t>
      </w:r>
    </w:p>
    <w:p w14:paraId="31680EDA"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Market differentiation challenges arise as the probiotic market becomes increasingly crowded with innovative products making similar claims. Companies must clearly communicate the unique benefits and advantages of their products while providing compelling evidence of superiority over existing alternatives. Brand building and marketing strategies must effectively convey complex scientific concepts to target audiences (Granato et al., 2010).</w:t>
      </w:r>
    </w:p>
    <w:p w14:paraId="000E8B74"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8. Future Directions and Research Opportunities</w:t>
      </w:r>
    </w:p>
    <w:p w14:paraId="490894D7"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8.1 Personalized Probiotic Therapy</w:t>
      </w:r>
    </w:p>
    <w:p w14:paraId="6942E2AE"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The future of probiotic science is increasingly moving toward personalized approaches that tailor probiotic interventions to individual microbiome profiles, genetic factors, and health status. Advances in microbiome analysis, artificial intelligence, and predictive </w:t>
      </w:r>
      <w:proofErr w:type="spellStart"/>
      <w:r w:rsidRPr="00733709">
        <w:rPr>
          <w:rFonts w:ascii="Times New Roman" w:hAnsi="Times New Roman" w:cs="Times New Roman"/>
          <w:sz w:val="28"/>
          <w:szCs w:val="28"/>
        </w:rPr>
        <w:t>modeling</w:t>
      </w:r>
      <w:proofErr w:type="spellEnd"/>
      <w:r w:rsidRPr="00733709">
        <w:rPr>
          <w:rFonts w:ascii="Times New Roman" w:hAnsi="Times New Roman" w:cs="Times New Roman"/>
          <w:sz w:val="28"/>
          <w:szCs w:val="28"/>
        </w:rPr>
        <w:t xml:space="preserve"> are enabling the development of precision probiotic therapies that optimize therapeutic outcomes for individual patients (</w:t>
      </w:r>
      <w:proofErr w:type="spellStart"/>
      <w:r w:rsidRPr="00733709">
        <w:rPr>
          <w:rFonts w:ascii="Times New Roman" w:hAnsi="Times New Roman" w:cs="Times New Roman"/>
          <w:sz w:val="28"/>
          <w:szCs w:val="28"/>
        </w:rPr>
        <w:t>Zmora</w:t>
      </w:r>
      <w:proofErr w:type="spellEnd"/>
      <w:r w:rsidRPr="00733709">
        <w:rPr>
          <w:rFonts w:ascii="Times New Roman" w:hAnsi="Times New Roman" w:cs="Times New Roman"/>
          <w:sz w:val="28"/>
          <w:szCs w:val="28"/>
        </w:rPr>
        <w:t xml:space="preserve"> et al., 2018).</w:t>
      </w:r>
    </w:p>
    <w:p w14:paraId="45FF2E3D"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Microbiome profiling technologies, including next-generation sequencing and metabolomic analysis, provide detailed insights into individual microbiome composition and functional capacity. These technologies enable the identification of specific microbial imbalances, metabolic deficiencies, and therapeutic targets that can guide the selection of appropriate probiotic interventions. Advanced bioinformatics tools and machine learning algorithms can </w:t>
      </w:r>
      <w:proofErr w:type="spellStart"/>
      <w:r w:rsidRPr="00733709">
        <w:rPr>
          <w:rFonts w:ascii="Times New Roman" w:hAnsi="Times New Roman" w:cs="Times New Roman"/>
          <w:sz w:val="28"/>
          <w:szCs w:val="28"/>
        </w:rPr>
        <w:t>analyze</w:t>
      </w:r>
      <w:proofErr w:type="spellEnd"/>
      <w:r w:rsidRPr="00733709">
        <w:rPr>
          <w:rFonts w:ascii="Times New Roman" w:hAnsi="Times New Roman" w:cs="Times New Roman"/>
          <w:sz w:val="28"/>
          <w:szCs w:val="28"/>
        </w:rPr>
        <w:t xml:space="preserve"> complex microbiome data to predict responses to specific probiotic treatments (Valdes et al., 2018).</w:t>
      </w:r>
    </w:p>
    <w:p w14:paraId="699DABC1"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Genetic factors influencing probiotic efficacy, including host immune response genes, metabolic enzyme polymorphisms, and microbiome-related genetic variants, can be incorporated into personalized treatment algorithms. Pharmacogenomic approaches adapted for probiotics can identify individuals </w:t>
      </w:r>
      <w:r w:rsidRPr="00733709">
        <w:rPr>
          <w:rFonts w:ascii="Times New Roman" w:hAnsi="Times New Roman" w:cs="Times New Roman"/>
          <w:sz w:val="28"/>
          <w:szCs w:val="28"/>
        </w:rPr>
        <w:lastRenderedPageBreak/>
        <w:t>most likely to benefit from specific treatments while avoiding potential adverse effects (Kristensen et al., 2016).</w:t>
      </w:r>
    </w:p>
    <w:p w14:paraId="60D303E5"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Biomarker development for monitoring probiotic treatment responses enables real-time assessment of therapeutic efficacy and optimization of treatment protocols. Metabolic biomarkers, immune response indicators, and microbiome composition changes can provide objective measures of treatment success and guide adjustments to probiotic therapy regimens (</w:t>
      </w:r>
      <w:proofErr w:type="spellStart"/>
      <w:r w:rsidRPr="00733709">
        <w:rPr>
          <w:rFonts w:ascii="Times New Roman" w:hAnsi="Times New Roman" w:cs="Times New Roman"/>
          <w:sz w:val="28"/>
          <w:szCs w:val="28"/>
        </w:rPr>
        <w:t>Zmora</w:t>
      </w:r>
      <w:proofErr w:type="spellEnd"/>
      <w:r w:rsidRPr="00733709">
        <w:rPr>
          <w:rFonts w:ascii="Times New Roman" w:hAnsi="Times New Roman" w:cs="Times New Roman"/>
          <w:sz w:val="28"/>
          <w:szCs w:val="28"/>
        </w:rPr>
        <w:t xml:space="preserve"> et al., 2018).</w:t>
      </w:r>
    </w:p>
    <w:p w14:paraId="1A4960E7"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8.2 Advanced Biotechnology Applications</w:t>
      </w:r>
    </w:p>
    <w:p w14:paraId="0C17494D"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Synthetic biology approaches are revolutionizing probiotic development by enabling the design and construction of entirely novel biological systems within bacterial cells. These approaches allow for the creation of programmable probiotics that can sense environmental conditions, produce therapeutic compounds on demand, and respond to specific disease states with targeted interventions (Torres et al., 2016).</w:t>
      </w:r>
    </w:p>
    <w:p w14:paraId="7463B81B"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Biosensor integration into probiotic bacteria enables real-time monitoring of host health status and environmental conditions. These living sensors can detect disease biomarkers, inflammatory signals, or pathogenic bacteria and respond with appropriate therapeutic interventions. Advanced genetic circuits can be designed to provide precise control over sensor sensitivity and response characteristics (Isabella et al., 2018).</w:t>
      </w:r>
    </w:p>
    <w:p w14:paraId="309AD94C"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Controlled drug delivery systems utilizing engineered probiotics offer targeted therapeutic approaches that bypass traditional pharmaceutical limitations. These living drug delivery vehicles can produce and release therapeutic compounds directly at disease sites while avoiding systemic side effects. Advanced control mechanisms can regulate drug production and release timing to optimize therapeutic outcomes (Torres-Barceló, 2018).</w:t>
      </w:r>
    </w:p>
    <w:p w14:paraId="3F8F0B41"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Metabolic engineering approaches enable the optimization of probiotic metabolism to enhance the production of beneficial compounds while minimizing the production of unwanted metabolites. These modifications can improve therapeutic efficacy, reduce side effects, and enable the production of novel bioactive compounds not found in natural bacterial strains (Rodríguez-Nogales et al., 2018).</w:t>
      </w:r>
    </w:p>
    <w:p w14:paraId="6DAFA3DD"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8.3 Novel Delivery Systems and Formulations</w:t>
      </w:r>
    </w:p>
    <w:p w14:paraId="062E3AAB"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lastRenderedPageBreak/>
        <w:t>Nanotechnology applications in probiotic delivery are advancing rapidly, offering enhanced protection, targeted delivery, and controlled release capabilities. Nanoencapsulation systems can protect probiotic bacteria and bioactive compounds from environmental stresses while enabling site-specific delivery and sustained release over extended periods (Yao et al., 2020).</w:t>
      </w:r>
    </w:p>
    <w:p w14:paraId="368D5C75"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Smart delivery systems that respond to specific environmental triggers such as pH, temperature, or enzymatic activity enable precise control over probiotic release and activation. These systems can be designed to deliver probiotics to specific sites within the gastrointestinal tract or to release therapeutic compounds in response to disease-related biomarkers (Cook et al., 2012).</w:t>
      </w:r>
    </w:p>
    <w:p w14:paraId="6820C008"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Biomaterial innovations are creating new possibilities for probiotic encapsulation and delivery. Advanced biomaterials such as biodegradable polymers, hydrogels, and composite materials can be tailored to provide optimal protection and release characteristics for specific applications. These materials can be designed to degrade at controlled rates, releasing probiotics and bioactive compounds according to predetermined schedules (</w:t>
      </w:r>
      <w:proofErr w:type="spellStart"/>
      <w:r w:rsidRPr="00733709">
        <w:rPr>
          <w:rFonts w:ascii="Times New Roman" w:hAnsi="Times New Roman" w:cs="Times New Roman"/>
          <w:sz w:val="28"/>
          <w:szCs w:val="28"/>
        </w:rPr>
        <w:t>Broeckx</w:t>
      </w:r>
      <w:proofErr w:type="spellEnd"/>
      <w:r w:rsidRPr="00733709">
        <w:rPr>
          <w:rFonts w:ascii="Times New Roman" w:hAnsi="Times New Roman" w:cs="Times New Roman"/>
          <w:sz w:val="28"/>
          <w:szCs w:val="28"/>
        </w:rPr>
        <w:t xml:space="preserve"> et al., 2016).</w:t>
      </w:r>
    </w:p>
    <w:p w14:paraId="4B73D057"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Multi-functional delivery systems that combine probiotics with other therapeutic agents such as prebiotics, pharmaceuticals, or vaccines are being developed to provide synergistic therapeutic effects. These combination systems can address multiple aspects of disease simultaneously while potentially reducing treatment complexity and improving patient compliance (Ranadheera et al., 2010).</w:t>
      </w:r>
    </w:p>
    <w:p w14:paraId="350C86DA"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8.4 Emerging Applications in Food Technology</w:t>
      </w:r>
    </w:p>
    <w:p w14:paraId="3C9E2C97"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Plant-based probiotic applications are expanding rapidly as consumer demand for plant-based foods continues to grow. Advanced fermentation technologies and novel bacterial strains are being developed specifically for plant-based substrates, enabling the creation of functional plant-based foods with probiotic benefits comparable to traditional dairy products (Granato et al., 2010).</w:t>
      </w:r>
    </w:p>
    <w:p w14:paraId="1B217D11"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Sustainable production methods utilizing waste biomass and agricultural byproducts are being developed to reduce the environmental impact of probiotic production while creating value-added products from waste materials. These approaches can reduce production costs while supporting circular economy principles and environmental sustainability goals (Settanni &amp; Corsetti, 2008).</w:t>
      </w:r>
    </w:p>
    <w:p w14:paraId="6EC7B157"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Food packaging innovations incorporating probiotic bacteria or bioactive compounds are creating new opportunities for delivering health benefits through </w:t>
      </w:r>
      <w:r w:rsidRPr="00733709">
        <w:rPr>
          <w:rFonts w:ascii="Times New Roman" w:hAnsi="Times New Roman" w:cs="Times New Roman"/>
          <w:sz w:val="28"/>
          <w:szCs w:val="28"/>
        </w:rPr>
        <w:lastRenderedPageBreak/>
        <w:t>food packaging materials. Active packaging systems can release probiotic compounds onto food surfaces or into the headspace, providing continuous health benefits throughout the storage period while maintaining food quality and safety (Campos et al., 2011).</w:t>
      </w:r>
    </w:p>
    <w:p w14:paraId="7DEB5156"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Precision fermentation technologies are enabling the production of specific bioactive compounds and probiotic bacteria with enhanced control over product characteristics and quality. These advanced fermentation systems can optimize production conditions in real-time, ensuring consistent product quality while maximizing yield and minimizing production costs (</w:t>
      </w:r>
      <w:proofErr w:type="spellStart"/>
      <w:r w:rsidRPr="00733709">
        <w:rPr>
          <w:rFonts w:ascii="Times New Roman" w:hAnsi="Times New Roman" w:cs="Times New Roman"/>
          <w:sz w:val="28"/>
          <w:szCs w:val="28"/>
        </w:rPr>
        <w:t>Zółkiewicz</w:t>
      </w:r>
      <w:proofErr w:type="spellEnd"/>
      <w:r w:rsidRPr="00733709">
        <w:rPr>
          <w:rFonts w:ascii="Times New Roman" w:hAnsi="Times New Roman" w:cs="Times New Roman"/>
          <w:sz w:val="28"/>
          <w:szCs w:val="28"/>
        </w:rPr>
        <w:t xml:space="preserve"> et al., 2020).</w:t>
      </w:r>
    </w:p>
    <w:p w14:paraId="479C3E76" w14:textId="77777777" w:rsidR="00733709" w:rsidRPr="00733709" w:rsidRDefault="00733709" w:rsidP="00733709">
      <w:pPr>
        <w:jc w:val="both"/>
        <w:rPr>
          <w:rFonts w:ascii="Times New Roman" w:hAnsi="Times New Roman" w:cs="Times New Roman"/>
          <w:b/>
          <w:bCs/>
          <w:sz w:val="28"/>
          <w:szCs w:val="28"/>
        </w:rPr>
      </w:pPr>
      <w:r w:rsidRPr="00733709">
        <w:rPr>
          <w:rFonts w:ascii="Times New Roman" w:hAnsi="Times New Roman" w:cs="Times New Roman"/>
          <w:b/>
          <w:bCs/>
          <w:sz w:val="28"/>
          <w:szCs w:val="28"/>
        </w:rPr>
        <w:t>9. Conclusion</w:t>
      </w:r>
    </w:p>
    <w:p w14:paraId="50151633"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The emergence of next-generation probiotics, postbiotics, and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represents a significant evolution in the application of beneficial microorganisms for food technology and human health promotion. These innovative approaches address many limitations of traditional probiotic applications while opening new possibilities for targeted therapeutic interventions and enhanced food safety measures.</w:t>
      </w:r>
    </w:p>
    <w:p w14:paraId="54017A7E"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Next-generation probiotics, incorporating genetic engineering, novel bacterial species, and advanced delivery systems, demonstrate enhanced functionality and therapeutic potential compared to conventional strains. The ability to engineer specific characteristics such as improved stability, targeted bioactive compound production, and enhanced colonization capabilities provides unprecedented opportunities for developing tailored solutions to specific health challenges and food safety concerns.</w:t>
      </w:r>
    </w:p>
    <w:p w14:paraId="57C5170D"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Postbiotics offer stable, safe alternatives to live probiotic cultures while maintaining many beneficial properties associated with probiotic bacteria. The elimination of viability concerns enables broader applications in food technology, including heat-treated products and applications where live bacterial cultures may be inappropriate or unwanted. The standardization and quality control advantages of postbiotic preparations facilitate industrial-scale production and consistent product quality.</w:t>
      </w:r>
    </w:p>
    <w:p w14:paraId="3F12416A" w14:textId="77777777" w:rsidR="00733709" w:rsidRPr="00733709" w:rsidRDefault="00733709" w:rsidP="00733709">
      <w:pPr>
        <w:jc w:val="both"/>
        <w:rPr>
          <w:rFonts w:ascii="Times New Roman" w:hAnsi="Times New Roman" w:cs="Times New Roman"/>
          <w:sz w:val="28"/>
          <w:szCs w:val="28"/>
        </w:rPr>
      </w:pP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provide unique solutions for applications where bacterial viability presents safety concerns or regulatory challenges. The retention of beneficial cellular components and immunomodulatory properties while eliminating </w:t>
      </w:r>
      <w:r w:rsidRPr="00733709">
        <w:rPr>
          <w:rFonts w:ascii="Times New Roman" w:hAnsi="Times New Roman" w:cs="Times New Roman"/>
          <w:sz w:val="28"/>
          <w:szCs w:val="28"/>
        </w:rPr>
        <w:lastRenderedPageBreak/>
        <w:t xml:space="preserve">infection risk makes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attractive options for vulnerable populations and specialized applications.</w:t>
      </w:r>
    </w:p>
    <w:p w14:paraId="3A64445E"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Food technology applications of these bioactive agents continue to expand, encompassing </w:t>
      </w:r>
      <w:proofErr w:type="spellStart"/>
      <w:r w:rsidRPr="00733709">
        <w:rPr>
          <w:rFonts w:ascii="Times New Roman" w:hAnsi="Times New Roman" w:cs="Times New Roman"/>
          <w:sz w:val="28"/>
          <w:szCs w:val="28"/>
        </w:rPr>
        <w:t>biopreservation</w:t>
      </w:r>
      <w:proofErr w:type="spellEnd"/>
      <w:r w:rsidRPr="00733709">
        <w:rPr>
          <w:rFonts w:ascii="Times New Roman" w:hAnsi="Times New Roman" w:cs="Times New Roman"/>
          <w:sz w:val="28"/>
          <w:szCs w:val="28"/>
        </w:rPr>
        <w:t>, functional food development, and novel preservation systems for diverse food categories. The mechanisms of action against foodborne pathogens involve complex interactions that provide multi-layered protection while potentially offering additional health benefits to consumers.</w:t>
      </w:r>
    </w:p>
    <w:p w14:paraId="339FA137"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Current challenges related to regulatory approval, standardization, manufacturing scalability, and consumer acceptance require continued research and development efforts. Collaborative approaches involving researchers, industry, and regulatory agencies are essential for addressing these challenges and facilitating the translation of innovative research into commercially viable products.</w:t>
      </w:r>
    </w:p>
    <w:p w14:paraId="0DF8975F"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Future directions emphasize personalized approaches, advanced biotechnology applications, novel delivery systems, and emerging food technology applications. The integration of artificial intelligence, synthetic biology, and precision medicine approaches promises to revolutionize probiotic applications and create new paradigms for health promotion and disease prevention.</w:t>
      </w:r>
    </w:p>
    <w:p w14:paraId="14D3C991" w14:textId="77777777" w:rsidR="00733709" w:rsidRP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 xml:space="preserve">The continued development of next-generation probiotics, postbiotics, and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requires sustained investment in research and development, collaborative partnerships between academia and industry, and supportive regulatory frameworks that balance innovation with safety. Success in this field will depend on the ability to translate scientific advances into practical applications that provide tangible benefits to consumers and society.</w:t>
      </w:r>
    </w:p>
    <w:p w14:paraId="1BE8800B" w14:textId="77777777" w:rsidR="00733709" w:rsidRDefault="00733709" w:rsidP="00733709">
      <w:pPr>
        <w:jc w:val="both"/>
        <w:rPr>
          <w:rFonts w:ascii="Times New Roman" w:hAnsi="Times New Roman" w:cs="Times New Roman"/>
          <w:sz w:val="28"/>
          <w:szCs w:val="28"/>
        </w:rPr>
      </w:pPr>
      <w:r w:rsidRPr="00733709">
        <w:rPr>
          <w:rFonts w:ascii="Times New Roman" w:hAnsi="Times New Roman" w:cs="Times New Roman"/>
          <w:sz w:val="28"/>
          <w:szCs w:val="28"/>
        </w:rPr>
        <w:t>As the field continues to evolve, the potential for these innovative biotechnological tools to address global challenges related to food security, antibiotic resistance, and chronic disease prevention becomes increasingly apparent. The integration of advanced technologies with traditional knowledge of beneficial microorganisms creates opportunities for developing sustainable, effective solutions that improve human health and well-being while supporting environmental sustainability goals.</w:t>
      </w:r>
    </w:p>
    <w:p w14:paraId="543392A1" w14:textId="77777777" w:rsidR="00E3756D" w:rsidRPr="00E3756D" w:rsidRDefault="00E3756D" w:rsidP="00E3756D">
      <w:pPr>
        <w:jc w:val="both"/>
        <w:rPr>
          <w:rFonts w:ascii="Times New Roman" w:hAnsi="Times New Roman" w:cs="Times New Roman"/>
          <w:sz w:val="28"/>
          <w:szCs w:val="28"/>
        </w:rPr>
      </w:pPr>
      <w:r w:rsidRPr="00E3756D">
        <w:rPr>
          <w:rFonts w:ascii="Times New Roman" w:hAnsi="Times New Roman" w:cs="Times New Roman"/>
          <w:sz w:val="28"/>
          <w:szCs w:val="28"/>
        </w:rPr>
        <w:t>Disclaimer (Artificial intelligence)</w:t>
      </w:r>
    </w:p>
    <w:p w14:paraId="598D0D78" w14:textId="77777777" w:rsidR="00E3756D" w:rsidRPr="00E3756D" w:rsidRDefault="00E3756D" w:rsidP="00E3756D">
      <w:pPr>
        <w:jc w:val="both"/>
        <w:rPr>
          <w:rFonts w:ascii="Times New Roman" w:hAnsi="Times New Roman" w:cs="Times New Roman"/>
          <w:sz w:val="28"/>
          <w:szCs w:val="28"/>
        </w:rPr>
      </w:pPr>
      <w:r w:rsidRPr="00E3756D">
        <w:rPr>
          <w:rFonts w:ascii="Times New Roman" w:hAnsi="Times New Roman" w:cs="Times New Roman"/>
          <w:sz w:val="28"/>
          <w:szCs w:val="28"/>
        </w:rPr>
        <w:t xml:space="preserve">Option 1: </w:t>
      </w:r>
    </w:p>
    <w:p w14:paraId="134A8C6A" w14:textId="77777777" w:rsidR="00E3756D" w:rsidRPr="00E3756D" w:rsidRDefault="00E3756D" w:rsidP="00E3756D">
      <w:pPr>
        <w:jc w:val="both"/>
        <w:rPr>
          <w:rFonts w:ascii="Times New Roman" w:hAnsi="Times New Roman" w:cs="Times New Roman"/>
          <w:sz w:val="28"/>
          <w:szCs w:val="28"/>
        </w:rPr>
      </w:pPr>
      <w:r w:rsidRPr="00E3756D">
        <w:rPr>
          <w:rFonts w:ascii="Times New Roman" w:hAnsi="Times New Roman" w:cs="Times New Roman"/>
          <w:sz w:val="28"/>
          <w:szCs w:val="28"/>
        </w:rPr>
        <w:lastRenderedPageBreak/>
        <w:t xml:space="preserve">Author(s) hereby </w:t>
      </w:r>
      <w:proofErr w:type="gramStart"/>
      <w:r w:rsidRPr="00E3756D">
        <w:rPr>
          <w:rFonts w:ascii="Times New Roman" w:hAnsi="Times New Roman" w:cs="Times New Roman"/>
          <w:sz w:val="28"/>
          <w:szCs w:val="28"/>
        </w:rPr>
        <w:t>declare</w:t>
      </w:r>
      <w:proofErr w:type="gramEnd"/>
      <w:r w:rsidRPr="00E3756D">
        <w:rPr>
          <w:rFonts w:ascii="Times New Roman" w:hAnsi="Times New Roman" w:cs="Times New Roman"/>
          <w:sz w:val="28"/>
          <w:szCs w:val="28"/>
        </w:rPr>
        <w:t xml:space="preserve"> that NO generative AI technologies such as Large Language Models (ChatGPT, COPILOT, etc.) and text-to-image generators have been used during the writing or editing of this manuscript. </w:t>
      </w:r>
    </w:p>
    <w:p w14:paraId="2DF96D7D" w14:textId="77777777" w:rsidR="00E3756D" w:rsidRPr="00E3756D" w:rsidRDefault="00E3756D" w:rsidP="00E3756D">
      <w:pPr>
        <w:jc w:val="both"/>
        <w:rPr>
          <w:rFonts w:ascii="Times New Roman" w:hAnsi="Times New Roman" w:cs="Times New Roman"/>
          <w:sz w:val="28"/>
          <w:szCs w:val="28"/>
        </w:rPr>
      </w:pPr>
      <w:r w:rsidRPr="00E3756D">
        <w:rPr>
          <w:rFonts w:ascii="Times New Roman" w:hAnsi="Times New Roman" w:cs="Times New Roman"/>
          <w:sz w:val="28"/>
          <w:szCs w:val="28"/>
        </w:rPr>
        <w:t xml:space="preserve">Option 2: </w:t>
      </w:r>
    </w:p>
    <w:p w14:paraId="54EA29FA" w14:textId="77777777" w:rsidR="00E3756D" w:rsidRPr="00E3756D" w:rsidRDefault="00E3756D" w:rsidP="00E3756D">
      <w:pPr>
        <w:jc w:val="both"/>
        <w:rPr>
          <w:rFonts w:ascii="Times New Roman" w:hAnsi="Times New Roman" w:cs="Times New Roman"/>
          <w:sz w:val="28"/>
          <w:szCs w:val="28"/>
        </w:rPr>
      </w:pPr>
      <w:r w:rsidRPr="00E3756D">
        <w:rPr>
          <w:rFonts w:ascii="Times New Roman" w:hAnsi="Times New Roman" w:cs="Times New Roman"/>
          <w:sz w:val="28"/>
          <w:szCs w:val="28"/>
        </w:rPr>
        <w:t xml:space="preserve">Author(s) hereby </w:t>
      </w:r>
      <w:proofErr w:type="gramStart"/>
      <w:r w:rsidRPr="00E3756D">
        <w:rPr>
          <w:rFonts w:ascii="Times New Roman" w:hAnsi="Times New Roman" w:cs="Times New Roman"/>
          <w:sz w:val="28"/>
          <w:szCs w:val="28"/>
        </w:rPr>
        <w:t>declare</w:t>
      </w:r>
      <w:proofErr w:type="gramEnd"/>
      <w:r w:rsidRPr="00E3756D">
        <w:rPr>
          <w:rFonts w:ascii="Times New Roman" w:hAnsi="Times New Roman" w:cs="Times New Roman"/>
          <w:sz w:val="28"/>
          <w:szCs w:val="28"/>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659464B" w14:textId="77777777" w:rsidR="00E3756D" w:rsidRPr="00E3756D" w:rsidRDefault="00E3756D" w:rsidP="00E3756D">
      <w:pPr>
        <w:jc w:val="both"/>
        <w:rPr>
          <w:rFonts w:ascii="Times New Roman" w:hAnsi="Times New Roman" w:cs="Times New Roman"/>
          <w:sz w:val="28"/>
          <w:szCs w:val="28"/>
        </w:rPr>
      </w:pPr>
      <w:r w:rsidRPr="00E3756D">
        <w:rPr>
          <w:rFonts w:ascii="Times New Roman" w:hAnsi="Times New Roman" w:cs="Times New Roman"/>
          <w:sz w:val="28"/>
          <w:szCs w:val="28"/>
        </w:rPr>
        <w:t>Details of the AI usage are given below:</w:t>
      </w:r>
    </w:p>
    <w:p w14:paraId="19EA895C" w14:textId="77777777" w:rsidR="00E3756D" w:rsidRPr="00E3756D" w:rsidRDefault="00E3756D" w:rsidP="00E3756D">
      <w:pPr>
        <w:jc w:val="both"/>
        <w:rPr>
          <w:rFonts w:ascii="Times New Roman" w:hAnsi="Times New Roman" w:cs="Times New Roman"/>
          <w:sz w:val="28"/>
          <w:szCs w:val="28"/>
        </w:rPr>
      </w:pPr>
      <w:r w:rsidRPr="00E3756D">
        <w:rPr>
          <w:rFonts w:ascii="Times New Roman" w:hAnsi="Times New Roman" w:cs="Times New Roman"/>
          <w:sz w:val="28"/>
          <w:szCs w:val="28"/>
        </w:rPr>
        <w:t>1.</w:t>
      </w:r>
    </w:p>
    <w:p w14:paraId="55A4474B" w14:textId="77777777" w:rsidR="00E3756D" w:rsidRPr="00E3756D" w:rsidRDefault="00E3756D" w:rsidP="00E3756D">
      <w:pPr>
        <w:jc w:val="both"/>
        <w:rPr>
          <w:rFonts w:ascii="Times New Roman" w:hAnsi="Times New Roman" w:cs="Times New Roman"/>
          <w:sz w:val="28"/>
          <w:szCs w:val="28"/>
        </w:rPr>
      </w:pPr>
      <w:r w:rsidRPr="00E3756D">
        <w:rPr>
          <w:rFonts w:ascii="Times New Roman" w:hAnsi="Times New Roman" w:cs="Times New Roman"/>
          <w:sz w:val="28"/>
          <w:szCs w:val="28"/>
        </w:rPr>
        <w:t>2.</w:t>
      </w:r>
    </w:p>
    <w:p w14:paraId="08481CB0" w14:textId="1A4FDCEB" w:rsidR="00E3756D" w:rsidRDefault="00E3756D" w:rsidP="00E3756D">
      <w:pPr>
        <w:jc w:val="both"/>
        <w:rPr>
          <w:rFonts w:ascii="Times New Roman" w:hAnsi="Times New Roman" w:cs="Times New Roman"/>
          <w:sz w:val="28"/>
          <w:szCs w:val="28"/>
        </w:rPr>
      </w:pPr>
      <w:r w:rsidRPr="00E3756D">
        <w:rPr>
          <w:rFonts w:ascii="Times New Roman" w:hAnsi="Times New Roman" w:cs="Times New Roman"/>
          <w:sz w:val="28"/>
          <w:szCs w:val="28"/>
        </w:rPr>
        <w:t>3.</w:t>
      </w:r>
    </w:p>
    <w:p w14:paraId="3DBE90E0" w14:textId="77777777" w:rsidR="00614F26" w:rsidRPr="00733709" w:rsidRDefault="00614F26" w:rsidP="00614F26">
      <w:pPr>
        <w:jc w:val="both"/>
        <w:rPr>
          <w:rFonts w:ascii="Times New Roman" w:hAnsi="Times New Roman" w:cs="Times New Roman"/>
          <w:b/>
          <w:bCs/>
          <w:sz w:val="28"/>
          <w:szCs w:val="28"/>
        </w:rPr>
      </w:pPr>
      <w:r w:rsidRPr="00733709">
        <w:rPr>
          <w:rFonts w:ascii="Times New Roman" w:hAnsi="Times New Roman" w:cs="Times New Roman"/>
          <w:b/>
          <w:bCs/>
          <w:sz w:val="28"/>
          <w:szCs w:val="28"/>
        </w:rPr>
        <w:t>References</w:t>
      </w:r>
    </w:p>
    <w:p w14:paraId="52C8B7B1"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Adams, C. A. (2010). The probiotic paradox: Live and dead cells are biological response modifiers. </w:t>
      </w:r>
      <w:r w:rsidRPr="00733709">
        <w:rPr>
          <w:rFonts w:ascii="Times New Roman" w:hAnsi="Times New Roman" w:cs="Times New Roman"/>
          <w:i/>
          <w:iCs/>
          <w:sz w:val="28"/>
          <w:szCs w:val="28"/>
        </w:rPr>
        <w:t>Nutrition Research Reviews</w:t>
      </w:r>
      <w:r w:rsidRPr="00733709">
        <w:rPr>
          <w:rFonts w:ascii="Times New Roman" w:hAnsi="Times New Roman" w:cs="Times New Roman"/>
          <w:sz w:val="28"/>
          <w:szCs w:val="28"/>
        </w:rPr>
        <w:t xml:space="preserve">, 23(1), 37-46. </w:t>
      </w:r>
      <w:hyperlink r:id="rId7" w:history="1">
        <w:r w:rsidRPr="00733709">
          <w:rPr>
            <w:rStyle w:val="Hyperlink"/>
            <w:rFonts w:ascii="Times New Roman" w:hAnsi="Times New Roman" w:cs="Times New Roman"/>
            <w:sz w:val="28"/>
            <w:szCs w:val="28"/>
          </w:rPr>
          <w:t>https://doi.org/10.1017/S0954422410000090</w:t>
        </w:r>
      </w:hyperlink>
    </w:p>
    <w:p w14:paraId="793BE4BA"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lang w:val="it-IT"/>
        </w:rPr>
        <w:t xml:space="preserve">Aguilar-Toalá, J. E., Garcia-Varela, R., Garcia, H. S., Mata-Haro, V., González-Córdova, A. F., Vallejo-Cordoba, B., &amp; Hernández-Mendoza, A. (2018). </w:t>
      </w:r>
      <w:r w:rsidRPr="00733709">
        <w:rPr>
          <w:rFonts w:ascii="Times New Roman" w:hAnsi="Times New Roman" w:cs="Times New Roman"/>
          <w:sz w:val="28"/>
          <w:szCs w:val="28"/>
        </w:rPr>
        <w:t xml:space="preserve">Postbiotics: An evolving term within the functional foods field. </w:t>
      </w:r>
      <w:r w:rsidRPr="00733709">
        <w:rPr>
          <w:rFonts w:ascii="Times New Roman" w:hAnsi="Times New Roman" w:cs="Times New Roman"/>
          <w:i/>
          <w:iCs/>
          <w:sz w:val="28"/>
          <w:szCs w:val="28"/>
        </w:rPr>
        <w:t>Trends in Food Science &amp; Technology</w:t>
      </w:r>
      <w:r w:rsidRPr="00733709">
        <w:rPr>
          <w:rFonts w:ascii="Times New Roman" w:hAnsi="Times New Roman" w:cs="Times New Roman"/>
          <w:sz w:val="28"/>
          <w:szCs w:val="28"/>
        </w:rPr>
        <w:t xml:space="preserve">, 75, 105-114. </w:t>
      </w:r>
      <w:hyperlink r:id="rId8" w:history="1">
        <w:r w:rsidRPr="00733709">
          <w:rPr>
            <w:rStyle w:val="Hyperlink"/>
            <w:rFonts w:ascii="Times New Roman" w:hAnsi="Times New Roman" w:cs="Times New Roman"/>
            <w:sz w:val="28"/>
            <w:szCs w:val="28"/>
          </w:rPr>
          <w:t>https://doi.org/10.1016/j.tifs.2018.03.009</w:t>
        </w:r>
      </w:hyperlink>
    </w:p>
    <w:p w14:paraId="09C2B533"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DD3F9E">
        <w:rPr>
          <w:rFonts w:ascii="Times New Roman" w:hAnsi="Times New Roman" w:cs="Times New Roman"/>
          <w:sz w:val="28"/>
          <w:szCs w:val="28"/>
          <w:lang w:val="it-IT"/>
        </w:rPr>
        <w:t xml:space="preserve">Alegre, I., Viñas, I., Usall, J., Anguera, M., &amp; Abadias, M. (2011). </w:t>
      </w:r>
      <w:r w:rsidRPr="00733709">
        <w:rPr>
          <w:rFonts w:ascii="Times New Roman" w:hAnsi="Times New Roman" w:cs="Times New Roman"/>
          <w:sz w:val="28"/>
          <w:szCs w:val="28"/>
        </w:rPr>
        <w:t xml:space="preserve">Microbiological and physicochemical quality of fresh-cut apple enriched with the probiotic strain Lactobacillus </w:t>
      </w:r>
      <w:proofErr w:type="spellStart"/>
      <w:r w:rsidRPr="00733709">
        <w:rPr>
          <w:rFonts w:ascii="Times New Roman" w:hAnsi="Times New Roman" w:cs="Times New Roman"/>
          <w:sz w:val="28"/>
          <w:szCs w:val="28"/>
        </w:rPr>
        <w:t>rhamnosus</w:t>
      </w:r>
      <w:proofErr w:type="spellEnd"/>
      <w:r w:rsidRPr="00733709">
        <w:rPr>
          <w:rFonts w:ascii="Times New Roman" w:hAnsi="Times New Roman" w:cs="Times New Roman"/>
          <w:sz w:val="28"/>
          <w:szCs w:val="28"/>
        </w:rPr>
        <w:t xml:space="preserve"> GG. </w:t>
      </w:r>
      <w:r w:rsidRPr="00733709">
        <w:rPr>
          <w:rFonts w:ascii="Times New Roman" w:hAnsi="Times New Roman" w:cs="Times New Roman"/>
          <w:i/>
          <w:iCs/>
          <w:sz w:val="28"/>
          <w:szCs w:val="28"/>
        </w:rPr>
        <w:t>Food Microbiology</w:t>
      </w:r>
      <w:r w:rsidRPr="00733709">
        <w:rPr>
          <w:rFonts w:ascii="Times New Roman" w:hAnsi="Times New Roman" w:cs="Times New Roman"/>
          <w:sz w:val="28"/>
          <w:szCs w:val="28"/>
        </w:rPr>
        <w:t xml:space="preserve">, 28(1), 59-66. </w:t>
      </w:r>
      <w:hyperlink r:id="rId9" w:history="1">
        <w:r w:rsidRPr="00733709">
          <w:rPr>
            <w:rStyle w:val="Hyperlink"/>
            <w:rFonts w:ascii="Times New Roman" w:hAnsi="Times New Roman" w:cs="Times New Roman"/>
            <w:sz w:val="28"/>
            <w:szCs w:val="28"/>
          </w:rPr>
          <w:t>https://doi.org/10.1016/j.fm.2010.08.006</w:t>
        </w:r>
      </w:hyperlink>
    </w:p>
    <w:p w14:paraId="0DAE224C"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Araya-Cloutier, C., </w:t>
      </w:r>
      <w:proofErr w:type="spellStart"/>
      <w:r w:rsidRPr="00733709">
        <w:rPr>
          <w:rFonts w:ascii="Times New Roman" w:hAnsi="Times New Roman" w:cs="Times New Roman"/>
          <w:sz w:val="28"/>
          <w:szCs w:val="28"/>
        </w:rPr>
        <w:t>Vincken</w:t>
      </w:r>
      <w:proofErr w:type="spellEnd"/>
      <w:r w:rsidRPr="00733709">
        <w:rPr>
          <w:rFonts w:ascii="Times New Roman" w:hAnsi="Times New Roman" w:cs="Times New Roman"/>
          <w:sz w:val="28"/>
          <w:szCs w:val="28"/>
        </w:rPr>
        <w:t xml:space="preserve">, J. P., van </w:t>
      </w:r>
      <w:proofErr w:type="spellStart"/>
      <w:r w:rsidRPr="00733709">
        <w:rPr>
          <w:rFonts w:ascii="Times New Roman" w:hAnsi="Times New Roman" w:cs="Times New Roman"/>
          <w:sz w:val="28"/>
          <w:szCs w:val="28"/>
        </w:rPr>
        <w:t>Ederen</w:t>
      </w:r>
      <w:proofErr w:type="spellEnd"/>
      <w:r w:rsidRPr="00733709">
        <w:rPr>
          <w:rFonts w:ascii="Times New Roman" w:hAnsi="Times New Roman" w:cs="Times New Roman"/>
          <w:sz w:val="28"/>
          <w:szCs w:val="28"/>
        </w:rPr>
        <w:t xml:space="preserve">, R., den </w:t>
      </w:r>
      <w:proofErr w:type="spellStart"/>
      <w:r w:rsidRPr="00733709">
        <w:rPr>
          <w:rFonts w:ascii="Times New Roman" w:hAnsi="Times New Roman" w:cs="Times New Roman"/>
          <w:sz w:val="28"/>
          <w:szCs w:val="28"/>
        </w:rPr>
        <w:t>Besten</w:t>
      </w:r>
      <w:proofErr w:type="spellEnd"/>
      <w:r w:rsidRPr="00733709">
        <w:rPr>
          <w:rFonts w:ascii="Times New Roman" w:hAnsi="Times New Roman" w:cs="Times New Roman"/>
          <w:sz w:val="28"/>
          <w:szCs w:val="28"/>
        </w:rPr>
        <w:t xml:space="preserve">, H. M., &amp; Gruppen, H. (2018). Rapid membrane permeabilization of Listeria monocytogenes and Escherichia coli induced by antibacterial prenylated phenolic compounds from legumes. </w:t>
      </w:r>
      <w:r w:rsidRPr="00733709">
        <w:rPr>
          <w:rFonts w:ascii="Times New Roman" w:hAnsi="Times New Roman" w:cs="Times New Roman"/>
          <w:i/>
          <w:iCs/>
          <w:sz w:val="28"/>
          <w:szCs w:val="28"/>
        </w:rPr>
        <w:t>Food Chemistry</w:t>
      </w:r>
      <w:r w:rsidRPr="00733709">
        <w:rPr>
          <w:rFonts w:ascii="Times New Roman" w:hAnsi="Times New Roman" w:cs="Times New Roman"/>
          <w:sz w:val="28"/>
          <w:szCs w:val="28"/>
        </w:rPr>
        <w:t xml:space="preserve">, 240, 345-353. </w:t>
      </w:r>
      <w:hyperlink r:id="rId10" w:history="1">
        <w:r w:rsidRPr="00733709">
          <w:rPr>
            <w:rStyle w:val="Hyperlink"/>
            <w:rFonts w:ascii="Times New Roman" w:hAnsi="Times New Roman" w:cs="Times New Roman"/>
            <w:sz w:val="28"/>
            <w:szCs w:val="28"/>
          </w:rPr>
          <w:t>https://doi.org/10.1016/j.foodchem.2017.07.074</w:t>
        </w:r>
      </w:hyperlink>
    </w:p>
    <w:p w14:paraId="6C667CFF"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Broeckx, G., </w:t>
      </w:r>
      <w:proofErr w:type="spellStart"/>
      <w:r w:rsidRPr="00733709">
        <w:rPr>
          <w:rFonts w:ascii="Times New Roman" w:hAnsi="Times New Roman" w:cs="Times New Roman"/>
          <w:sz w:val="28"/>
          <w:szCs w:val="28"/>
        </w:rPr>
        <w:t>Vandenheuvel</w:t>
      </w:r>
      <w:proofErr w:type="spellEnd"/>
      <w:r w:rsidRPr="00733709">
        <w:rPr>
          <w:rFonts w:ascii="Times New Roman" w:hAnsi="Times New Roman" w:cs="Times New Roman"/>
          <w:sz w:val="28"/>
          <w:szCs w:val="28"/>
        </w:rPr>
        <w:t xml:space="preserve">, D., Claes, I. J., </w:t>
      </w:r>
      <w:proofErr w:type="spellStart"/>
      <w:r w:rsidRPr="00733709">
        <w:rPr>
          <w:rFonts w:ascii="Times New Roman" w:hAnsi="Times New Roman" w:cs="Times New Roman"/>
          <w:sz w:val="28"/>
          <w:szCs w:val="28"/>
        </w:rPr>
        <w:t>Lebeer</w:t>
      </w:r>
      <w:proofErr w:type="spellEnd"/>
      <w:r w:rsidRPr="00733709">
        <w:rPr>
          <w:rFonts w:ascii="Times New Roman" w:hAnsi="Times New Roman" w:cs="Times New Roman"/>
          <w:sz w:val="28"/>
          <w:szCs w:val="28"/>
        </w:rPr>
        <w:t xml:space="preserve">, S., &amp; </w:t>
      </w:r>
      <w:proofErr w:type="spellStart"/>
      <w:r w:rsidRPr="00733709">
        <w:rPr>
          <w:rFonts w:ascii="Times New Roman" w:hAnsi="Times New Roman" w:cs="Times New Roman"/>
          <w:sz w:val="28"/>
          <w:szCs w:val="28"/>
        </w:rPr>
        <w:t>Kiekens</w:t>
      </w:r>
      <w:proofErr w:type="spellEnd"/>
      <w:r w:rsidRPr="00733709">
        <w:rPr>
          <w:rFonts w:ascii="Times New Roman" w:hAnsi="Times New Roman" w:cs="Times New Roman"/>
          <w:sz w:val="28"/>
          <w:szCs w:val="28"/>
        </w:rPr>
        <w:t xml:space="preserve">, F. (2016). Drying techniques for probiotic bacteria as an important step towards the development of novel pharmabiotics. </w:t>
      </w:r>
      <w:r w:rsidRPr="00733709">
        <w:rPr>
          <w:rFonts w:ascii="Times New Roman" w:hAnsi="Times New Roman" w:cs="Times New Roman"/>
          <w:i/>
          <w:iCs/>
          <w:sz w:val="28"/>
          <w:szCs w:val="28"/>
        </w:rPr>
        <w:t xml:space="preserve">International Journal of </w:t>
      </w:r>
      <w:r w:rsidRPr="00733709">
        <w:rPr>
          <w:rFonts w:ascii="Times New Roman" w:hAnsi="Times New Roman" w:cs="Times New Roman"/>
          <w:i/>
          <w:iCs/>
          <w:sz w:val="28"/>
          <w:szCs w:val="28"/>
        </w:rPr>
        <w:lastRenderedPageBreak/>
        <w:t>Pharmaceutics</w:t>
      </w:r>
      <w:r w:rsidRPr="00733709">
        <w:rPr>
          <w:rFonts w:ascii="Times New Roman" w:hAnsi="Times New Roman" w:cs="Times New Roman"/>
          <w:sz w:val="28"/>
          <w:szCs w:val="28"/>
        </w:rPr>
        <w:t xml:space="preserve">, 505(1-2), 303-318. </w:t>
      </w:r>
      <w:hyperlink r:id="rId11" w:history="1">
        <w:r w:rsidRPr="00733709">
          <w:rPr>
            <w:rStyle w:val="Hyperlink"/>
            <w:rFonts w:ascii="Times New Roman" w:hAnsi="Times New Roman" w:cs="Times New Roman"/>
            <w:sz w:val="28"/>
            <w:szCs w:val="28"/>
          </w:rPr>
          <w:t>https://doi.org/10.1016/j.ijpharm.2016.04.002</w:t>
        </w:r>
      </w:hyperlink>
    </w:p>
    <w:p w14:paraId="32D6361A"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Bron, P. A., </w:t>
      </w:r>
      <w:proofErr w:type="spellStart"/>
      <w:r w:rsidRPr="00733709">
        <w:rPr>
          <w:rFonts w:ascii="Times New Roman" w:hAnsi="Times New Roman" w:cs="Times New Roman"/>
          <w:sz w:val="28"/>
          <w:szCs w:val="28"/>
        </w:rPr>
        <w:t>Kleerebezem</w:t>
      </w:r>
      <w:proofErr w:type="spellEnd"/>
      <w:r w:rsidRPr="00733709">
        <w:rPr>
          <w:rFonts w:ascii="Times New Roman" w:hAnsi="Times New Roman" w:cs="Times New Roman"/>
          <w:sz w:val="28"/>
          <w:szCs w:val="28"/>
        </w:rPr>
        <w:t xml:space="preserve">, M., Brummer, R. J., Cani, P. D., </w:t>
      </w:r>
      <w:proofErr w:type="spellStart"/>
      <w:r w:rsidRPr="00733709">
        <w:rPr>
          <w:rFonts w:ascii="Times New Roman" w:hAnsi="Times New Roman" w:cs="Times New Roman"/>
          <w:sz w:val="28"/>
          <w:szCs w:val="28"/>
        </w:rPr>
        <w:t>Mercenier</w:t>
      </w:r>
      <w:proofErr w:type="spellEnd"/>
      <w:r w:rsidRPr="00733709">
        <w:rPr>
          <w:rFonts w:ascii="Times New Roman" w:hAnsi="Times New Roman" w:cs="Times New Roman"/>
          <w:sz w:val="28"/>
          <w:szCs w:val="28"/>
        </w:rPr>
        <w:t xml:space="preserve">, A., MacDonald, T. T., Garcia-Ródenas, C. L., &amp; Wells, J. M. (2017). Can probiotics modulate human disease by impacting intestinal barrier function? </w:t>
      </w:r>
      <w:r w:rsidRPr="00733709">
        <w:rPr>
          <w:rFonts w:ascii="Times New Roman" w:hAnsi="Times New Roman" w:cs="Times New Roman"/>
          <w:i/>
          <w:iCs/>
          <w:sz w:val="28"/>
          <w:szCs w:val="28"/>
        </w:rPr>
        <w:t>British Journal of Pharmacology</w:t>
      </w:r>
      <w:r w:rsidRPr="00733709">
        <w:rPr>
          <w:rFonts w:ascii="Times New Roman" w:hAnsi="Times New Roman" w:cs="Times New Roman"/>
          <w:sz w:val="28"/>
          <w:szCs w:val="28"/>
        </w:rPr>
        <w:t xml:space="preserve">, 174(11), 1339-1351. </w:t>
      </w:r>
      <w:hyperlink r:id="rId12" w:history="1">
        <w:r w:rsidRPr="00733709">
          <w:rPr>
            <w:rStyle w:val="Hyperlink"/>
            <w:rFonts w:ascii="Times New Roman" w:hAnsi="Times New Roman" w:cs="Times New Roman"/>
            <w:sz w:val="28"/>
            <w:szCs w:val="28"/>
          </w:rPr>
          <w:t>https://doi.org/10.1111/bph.13729</w:t>
        </w:r>
      </w:hyperlink>
    </w:p>
    <w:p w14:paraId="5EE659D6"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Campos, C. A., </w:t>
      </w:r>
      <w:proofErr w:type="spellStart"/>
      <w:r w:rsidRPr="00733709">
        <w:rPr>
          <w:rFonts w:ascii="Times New Roman" w:hAnsi="Times New Roman" w:cs="Times New Roman"/>
          <w:sz w:val="28"/>
          <w:szCs w:val="28"/>
        </w:rPr>
        <w:t>Gerschenson</w:t>
      </w:r>
      <w:proofErr w:type="spellEnd"/>
      <w:r w:rsidRPr="00733709">
        <w:rPr>
          <w:rFonts w:ascii="Times New Roman" w:hAnsi="Times New Roman" w:cs="Times New Roman"/>
          <w:sz w:val="28"/>
          <w:szCs w:val="28"/>
        </w:rPr>
        <w:t xml:space="preserve">, L. N., &amp; Flores, S. K. (2011). Development of edible films and coatings with antimicrobial activity. </w:t>
      </w:r>
      <w:r w:rsidRPr="00733709">
        <w:rPr>
          <w:rFonts w:ascii="Times New Roman" w:hAnsi="Times New Roman" w:cs="Times New Roman"/>
          <w:i/>
          <w:iCs/>
          <w:sz w:val="28"/>
          <w:szCs w:val="28"/>
        </w:rPr>
        <w:t>Food and Bioprocess Technology</w:t>
      </w:r>
      <w:r w:rsidRPr="00733709">
        <w:rPr>
          <w:rFonts w:ascii="Times New Roman" w:hAnsi="Times New Roman" w:cs="Times New Roman"/>
          <w:sz w:val="28"/>
          <w:szCs w:val="28"/>
        </w:rPr>
        <w:t xml:space="preserve">, 4(6), 849-875. </w:t>
      </w:r>
      <w:hyperlink r:id="rId13" w:history="1">
        <w:r w:rsidRPr="00733709">
          <w:rPr>
            <w:rStyle w:val="Hyperlink"/>
            <w:rFonts w:ascii="Times New Roman" w:hAnsi="Times New Roman" w:cs="Times New Roman"/>
            <w:sz w:val="28"/>
            <w:szCs w:val="28"/>
          </w:rPr>
          <w:t>https://doi.org/10.1007/s11947-010-0434-1</w:t>
        </w:r>
      </w:hyperlink>
    </w:p>
    <w:p w14:paraId="46115124"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Cook, M. T., Tzortzis, G., Charalampopoulos, D., &amp; </w:t>
      </w:r>
      <w:proofErr w:type="spellStart"/>
      <w:r w:rsidRPr="00733709">
        <w:rPr>
          <w:rFonts w:ascii="Times New Roman" w:hAnsi="Times New Roman" w:cs="Times New Roman"/>
          <w:sz w:val="28"/>
          <w:szCs w:val="28"/>
        </w:rPr>
        <w:t>Khutoryanskiy</w:t>
      </w:r>
      <w:proofErr w:type="spellEnd"/>
      <w:r w:rsidRPr="00733709">
        <w:rPr>
          <w:rFonts w:ascii="Times New Roman" w:hAnsi="Times New Roman" w:cs="Times New Roman"/>
          <w:sz w:val="28"/>
          <w:szCs w:val="28"/>
        </w:rPr>
        <w:t xml:space="preserve">, V. V. (2012). Microencapsulation of probiotics for gastrointestinal delivery. </w:t>
      </w:r>
      <w:r w:rsidRPr="00733709">
        <w:rPr>
          <w:rFonts w:ascii="Times New Roman" w:hAnsi="Times New Roman" w:cs="Times New Roman"/>
          <w:i/>
          <w:iCs/>
          <w:sz w:val="28"/>
          <w:szCs w:val="28"/>
        </w:rPr>
        <w:t>Journal of Controlled Release</w:t>
      </w:r>
      <w:r w:rsidRPr="00733709">
        <w:rPr>
          <w:rFonts w:ascii="Times New Roman" w:hAnsi="Times New Roman" w:cs="Times New Roman"/>
          <w:sz w:val="28"/>
          <w:szCs w:val="28"/>
        </w:rPr>
        <w:t xml:space="preserve">, 162(1), 56-67. </w:t>
      </w:r>
      <w:hyperlink r:id="rId14" w:history="1">
        <w:r w:rsidRPr="00733709">
          <w:rPr>
            <w:rStyle w:val="Hyperlink"/>
            <w:rFonts w:ascii="Times New Roman" w:hAnsi="Times New Roman" w:cs="Times New Roman"/>
            <w:sz w:val="28"/>
            <w:szCs w:val="28"/>
          </w:rPr>
          <w:t>https://doi.org/10.1016/j.jconrel.2012.06.003</w:t>
        </w:r>
      </w:hyperlink>
    </w:p>
    <w:p w14:paraId="2162A939"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Cotter, P. D., Ross, R. P., &amp; Hill, C. (2013). Bacteriocins - a viable alternative to antibiotics? </w:t>
      </w:r>
      <w:r w:rsidRPr="00733709">
        <w:rPr>
          <w:rFonts w:ascii="Times New Roman" w:hAnsi="Times New Roman" w:cs="Times New Roman"/>
          <w:i/>
          <w:iCs/>
          <w:sz w:val="28"/>
          <w:szCs w:val="28"/>
        </w:rPr>
        <w:t>Nature Reviews Microbiology</w:t>
      </w:r>
      <w:r w:rsidRPr="00733709">
        <w:rPr>
          <w:rFonts w:ascii="Times New Roman" w:hAnsi="Times New Roman" w:cs="Times New Roman"/>
          <w:sz w:val="28"/>
          <w:szCs w:val="28"/>
        </w:rPr>
        <w:t xml:space="preserve">, 11(2), 95-105. </w:t>
      </w:r>
      <w:hyperlink r:id="rId15" w:history="1">
        <w:r w:rsidRPr="00733709">
          <w:rPr>
            <w:rStyle w:val="Hyperlink"/>
            <w:rFonts w:ascii="Times New Roman" w:hAnsi="Times New Roman" w:cs="Times New Roman"/>
            <w:sz w:val="28"/>
            <w:szCs w:val="28"/>
          </w:rPr>
          <w:t>https://doi.org/10.1038/nrmicro2937</w:t>
        </w:r>
      </w:hyperlink>
    </w:p>
    <w:p w14:paraId="6102ACB2"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lang w:val="it-IT"/>
        </w:rPr>
        <w:t xml:space="preserve">De Almada, C. N., Almada, C. N., Martinez, R. C., &amp; Sant'Ana, A. S. (2016).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Evidences on their ability to modify biological responses, inactivation methods and perspectives on their application in foods. </w:t>
      </w:r>
      <w:r w:rsidRPr="00733709">
        <w:rPr>
          <w:rFonts w:ascii="Times New Roman" w:hAnsi="Times New Roman" w:cs="Times New Roman"/>
          <w:i/>
          <w:iCs/>
          <w:sz w:val="28"/>
          <w:szCs w:val="28"/>
        </w:rPr>
        <w:t>Trends in Food Science &amp; Technology</w:t>
      </w:r>
      <w:r w:rsidRPr="00733709">
        <w:rPr>
          <w:rFonts w:ascii="Times New Roman" w:hAnsi="Times New Roman" w:cs="Times New Roman"/>
          <w:sz w:val="28"/>
          <w:szCs w:val="28"/>
        </w:rPr>
        <w:t xml:space="preserve">, 58, 96-114. </w:t>
      </w:r>
      <w:hyperlink r:id="rId16" w:history="1">
        <w:r w:rsidRPr="00733709">
          <w:rPr>
            <w:rStyle w:val="Hyperlink"/>
            <w:rFonts w:ascii="Times New Roman" w:hAnsi="Times New Roman" w:cs="Times New Roman"/>
            <w:sz w:val="28"/>
            <w:szCs w:val="28"/>
          </w:rPr>
          <w:t>https://doi.org/10.1016/j.tifs.2016.09.011</w:t>
        </w:r>
      </w:hyperlink>
    </w:p>
    <w:p w14:paraId="3EA82352"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proofErr w:type="spellStart"/>
      <w:r w:rsidRPr="00733709">
        <w:rPr>
          <w:rFonts w:ascii="Times New Roman" w:hAnsi="Times New Roman" w:cs="Times New Roman"/>
          <w:sz w:val="28"/>
          <w:szCs w:val="28"/>
        </w:rPr>
        <w:t>Elshaghabee</w:t>
      </w:r>
      <w:proofErr w:type="spellEnd"/>
      <w:r w:rsidRPr="00733709">
        <w:rPr>
          <w:rFonts w:ascii="Times New Roman" w:hAnsi="Times New Roman" w:cs="Times New Roman"/>
          <w:sz w:val="28"/>
          <w:szCs w:val="28"/>
        </w:rPr>
        <w:t xml:space="preserve">, F. M., Rokana, N., </w:t>
      </w:r>
      <w:proofErr w:type="spellStart"/>
      <w:r w:rsidRPr="00733709">
        <w:rPr>
          <w:rFonts w:ascii="Times New Roman" w:hAnsi="Times New Roman" w:cs="Times New Roman"/>
          <w:sz w:val="28"/>
          <w:szCs w:val="28"/>
        </w:rPr>
        <w:t>Gulhane</w:t>
      </w:r>
      <w:proofErr w:type="spellEnd"/>
      <w:r w:rsidRPr="00733709">
        <w:rPr>
          <w:rFonts w:ascii="Times New Roman" w:hAnsi="Times New Roman" w:cs="Times New Roman"/>
          <w:sz w:val="28"/>
          <w:szCs w:val="28"/>
        </w:rPr>
        <w:t xml:space="preserve">, R. D., Sharma, C., &amp; Panwar, H. (2017). Bacillus as potential probiotics: Status, concerns, and future perspectives. </w:t>
      </w:r>
      <w:r w:rsidRPr="00733709">
        <w:rPr>
          <w:rFonts w:ascii="Times New Roman" w:hAnsi="Times New Roman" w:cs="Times New Roman"/>
          <w:i/>
          <w:iCs/>
          <w:sz w:val="28"/>
          <w:szCs w:val="28"/>
        </w:rPr>
        <w:t>Frontiers in Microbiology</w:t>
      </w:r>
      <w:r w:rsidRPr="00733709">
        <w:rPr>
          <w:rFonts w:ascii="Times New Roman" w:hAnsi="Times New Roman" w:cs="Times New Roman"/>
          <w:sz w:val="28"/>
          <w:szCs w:val="28"/>
        </w:rPr>
        <w:t xml:space="preserve">, 8, 1490. </w:t>
      </w:r>
      <w:hyperlink r:id="rId17" w:history="1">
        <w:r w:rsidRPr="00733709">
          <w:rPr>
            <w:rStyle w:val="Hyperlink"/>
            <w:rFonts w:ascii="Times New Roman" w:hAnsi="Times New Roman" w:cs="Times New Roman"/>
            <w:sz w:val="28"/>
            <w:szCs w:val="28"/>
          </w:rPr>
          <w:t>https://doi.org/10.3389/fmicb.2017.01490</w:t>
        </w:r>
      </w:hyperlink>
    </w:p>
    <w:p w14:paraId="535FE7E4"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Everard, A., Belzer, C., Geurts, L., Ouwerkerk, J. P., </w:t>
      </w:r>
      <w:proofErr w:type="spellStart"/>
      <w:r w:rsidRPr="00733709">
        <w:rPr>
          <w:rFonts w:ascii="Times New Roman" w:hAnsi="Times New Roman" w:cs="Times New Roman"/>
          <w:sz w:val="28"/>
          <w:szCs w:val="28"/>
        </w:rPr>
        <w:t>Druart</w:t>
      </w:r>
      <w:proofErr w:type="spellEnd"/>
      <w:r w:rsidRPr="00733709">
        <w:rPr>
          <w:rFonts w:ascii="Times New Roman" w:hAnsi="Times New Roman" w:cs="Times New Roman"/>
          <w:sz w:val="28"/>
          <w:szCs w:val="28"/>
        </w:rPr>
        <w:t xml:space="preserve">, C., </w:t>
      </w:r>
      <w:proofErr w:type="spellStart"/>
      <w:r w:rsidRPr="00733709">
        <w:rPr>
          <w:rFonts w:ascii="Times New Roman" w:hAnsi="Times New Roman" w:cs="Times New Roman"/>
          <w:sz w:val="28"/>
          <w:szCs w:val="28"/>
        </w:rPr>
        <w:t>Bindels</w:t>
      </w:r>
      <w:proofErr w:type="spellEnd"/>
      <w:r w:rsidRPr="00733709">
        <w:rPr>
          <w:rFonts w:ascii="Times New Roman" w:hAnsi="Times New Roman" w:cs="Times New Roman"/>
          <w:sz w:val="28"/>
          <w:szCs w:val="28"/>
        </w:rPr>
        <w:t xml:space="preserve">, L. B., Guiot, Y., Derrien, M., Muccioli, G. G., </w:t>
      </w:r>
      <w:proofErr w:type="spellStart"/>
      <w:r w:rsidRPr="00733709">
        <w:rPr>
          <w:rFonts w:ascii="Times New Roman" w:hAnsi="Times New Roman" w:cs="Times New Roman"/>
          <w:sz w:val="28"/>
          <w:szCs w:val="28"/>
        </w:rPr>
        <w:t>Delzenne</w:t>
      </w:r>
      <w:proofErr w:type="spellEnd"/>
      <w:r w:rsidRPr="00733709">
        <w:rPr>
          <w:rFonts w:ascii="Times New Roman" w:hAnsi="Times New Roman" w:cs="Times New Roman"/>
          <w:sz w:val="28"/>
          <w:szCs w:val="28"/>
        </w:rPr>
        <w:t xml:space="preserve">, N. M., de Vos, W. M., &amp; Cani, P. D. (2013). Cross-talk between </w:t>
      </w:r>
      <w:proofErr w:type="spellStart"/>
      <w:r w:rsidRPr="00733709">
        <w:rPr>
          <w:rFonts w:ascii="Times New Roman" w:hAnsi="Times New Roman" w:cs="Times New Roman"/>
          <w:sz w:val="28"/>
          <w:szCs w:val="28"/>
        </w:rPr>
        <w:t>Akkermansia</w:t>
      </w:r>
      <w:proofErr w:type="spellEnd"/>
      <w:r w:rsidRPr="00733709">
        <w:rPr>
          <w:rFonts w:ascii="Times New Roman" w:hAnsi="Times New Roman" w:cs="Times New Roman"/>
          <w:sz w:val="28"/>
          <w:szCs w:val="28"/>
        </w:rPr>
        <w:t xml:space="preserve"> </w:t>
      </w:r>
      <w:proofErr w:type="spellStart"/>
      <w:r w:rsidRPr="00733709">
        <w:rPr>
          <w:rFonts w:ascii="Times New Roman" w:hAnsi="Times New Roman" w:cs="Times New Roman"/>
          <w:sz w:val="28"/>
          <w:szCs w:val="28"/>
        </w:rPr>
        <w:t>muciniphila</w:t>
      </w:r>
      <w:proofErr w:type="spellEnd"/>
      <w:r w:rsidRPr="00733709">
        <w:rPr>
          <w:rFonts w:ascii="Times New Roman" w:hAnsi="Times New Roman" w:cs="Times New Roman"/>
          <w:sz w:val="28"/>
          <w:szCs w:val="28"/>
        </w:rPr>
        <w:t xml:space="preserve"> and intestinal epithelium controls diet-induced obesity. </w:t>
      </w:r>
      <w:r w:rsidRPr="00733709">
        <w:rPr>
          <w:rFonts w:ascii="Times New Roman" w:hAnsi="Times New Roman" w:cs="Times New Roman"/>
          <w:i/>
          <w:iCs/>
          <w:sz w:val="28"/>
          <w:szCs w:val="28"/>
        </w:rPr>
        <w:t>Proceedings of the National Academy of Sciences</w:t>
      </w:r>
      <w:r w:rsidRPr="00733709">
        <w:rPr>
          <w:rFonts w:ascii="Times New Roman" w:hAnsi="Times New Roman" w:cs="Times New Roman"/>
          <w:sz w:val="28"/>
          <w:szCs w:val="28"/>
        </w:rPr>
        <w:t xml:space="preserve">, 110(22), 9066-9071. </w:t>
      </w:r>
      <w:hyperlink r:id="rId18" w:history="1">
        <w:r w:rsidRPr="00733709">
          <w:rPr>
            <w:rStyle w:val="Hyperlink"/>
            <w:rFonts w:ascii="Times New Roman" w:hAnsi="Times New Roman" w:cs="Times New Roman"/>
            <w:sz w:val="28"/>
            <w:szCs w:val="28"/>
          </w:rPr>
          <w:t>https://doi.org/10.1073/pnas.1219451110</w:t>
        </w:r>
      </w:hyperlink>
    </w:p>
    <w:p w14:paraId="214FED46"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lang w:val="it-IT"/>
        </w:rPr>
        <w:t xml:space="preserve">Granato, D., Branco, G. F., Nazzaro, F., Cruz, A. G., &amp; Faria, J. A. (2010). </w:t>
      </w:r>
      <w:r w:rsidRPr="00733709">
        <w:rPr>
          <w:rFonts w:ascii="Times New Roman" w:hAnsi="Times New Roman" w:cs="Times New Roman"/>
          <w:sz w:val="28"/>
          <w:szCs w:val="28"/>
        </w:rPr>
        <w:t xml:space="preserve">Functional foods and </w:t>
      </w:r>
      <w:proofErr w:type="spellStart"/>
      <w:r w:rsidRPr="00733709">
        <w:rPr>
          <w:rFonts w:ascii="Times New Roman" w:hAnsi="Times New Roman" w:cs="Times New Roman"/>
          <w:sz w:val="28"/>
          <w:szCs w:val="28"/>
        </w:rPr>
        <w:t>nondairy</w:t>
      </w:r>
      <w:proofErr w:type="spellEnd"/>
      <w:r w:rsidRPr="00733709">
        <w:rPr>
          <w:rFonts w:ascii="Times New Roman" w:hAnsi="Times New Roman" w:cs="Times New Roman"/>
          <w:sz w:val="28"/>
          <w:szCs w:val="28"/>
        </w:rPr>
        <w:t xml:space="preserve"> probiotic food development: Trends, concepts, and products. </w:t>
      </w:r>
      <w:r w:rsidRPr="00733709">
        <w:rPr>
          <w:rFonts w:ascii="Times New Roman" w:hAnsi="Times New Roman" w:cs="Times New Roman"/>
          <w:i/>
          <w:iCs/>
          <w:sz w:val="28"/>
          <w:szCs w:val="28"/>
        </w:rPr>
        <w:t>Comprehensive Reviews in Food Science and Food Safety</w:t>
      </w:r>
      <w:r w:rsidRPr="00733709">
        <w:rPr>
          <w:rFonts w:ascii="Times New Roman" w:hAnsi="Times New Roman" w:cs="Times New Roman"/>
          <w:sz w:val="28"/>
          <w:szCs w:val="28"/>
        </w:rPr>
        <w:t xml:space="preserve">, 9(3), 292-302. </w:t>
      </w:r>
      <w:hyperlink r:id="rId19" w:history="1">
        <w:r w:rsidRPr="00733709">
          <w:rPr>
            <w:rStyle w:val="Hyperlink"/>
            <w:rFonts w:ascii="Times New Roman" w:hAnsi="Times New Roman" w:cs="Times New Roman"/>
            <w:sz w:val="28"/>
            <w:szCs w:val="28"/>
          </w:rPr>
          <w:t>https://doi.org/10.1111/j.1541-4337.2010.00110.x</w:t>
        </w:r>
      </w:hyperlink>
    </w:p>
    <w:p w14:paraId="124E48EF"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lastRenderedPageBreak/>
        <w:t xml:space="preserve">Hill, C., </w:t>
      </w:r>
      <w:proofErr w:type="spellStart"/>
      <w:r w:rsidRPr="00733709">
        <w:rPr>
          <w:rFonts w:ascii="Times New Roman" w:hAnsi="Times New Roman" w:cs="Times New Roman"/>
          <w:sz w:val="28"/>
          <w:szCs w:val="28"/>
        </w:rPr>
        <w:t>Guarner</w:t>
      </w:r>
      <w:proofErr w:type="spellEnd"/>
      <w:r w:rsidRPr="00733709">
        <w:rPr>
          <w:rFonts w:ascii="Times New Roman" w:hAnsi="Times New Roman" w:cs="Times New Roman"/>
          <w:sz w:val="28"/>
          <w:szCs w:val="28"/>
        </w:rPr>
        <w:t xml:space="preserve">, F., Reid, G., Gibson, G. R., Merenstein, D. J., Pot, B., Morelli, L., </w:t>
      </w:r>
      <w:proofErr w:type="spellStart"/>
      <w:r w:rsidRPr="00733709">
        <w:rPr>
          <w:rFonts w:ascii="Times New Roman" w:hAnsi="Times New Roman" w:cs="Times New Roman"/>
          <w:sz w:val="28"/>
          <w:szCs w:val="28"/>
        </w:rPr>
        <w:t>Canani</w:t>
      </w:r>
      <w:proofErr w:type="spellEnd"/>
      <w:r w:rsidRPr="00733709">
        <w:rPr>
          <w:rFonts w:ascii="Times New Roman" w:hAnsi="Times New Roman" w:cs="Times New Roman"/>
          <w:sz w:val="28"/>
          <w:szCs w:val="28"/>
        </w:rPr>
        <w:t xml:space="preserve">, R. B., Flint, H. J., Salminen, S., Calder, P. C., &amp; Sanders, M. E. (2014). Expert consensus document: The International Scientific Association for Probiotics and Prebiotics consensus statement on the scope and appropriate use of the term probiotic. </w:t>
      </w:r>
      <w:r w:rsidRPr="00733709">
        <w:rPr>
          <w:rFonts w:ascii="Times New Roman" w:hAnsi="Times New Roman" w:cs="Times New Roman"/>
          <w:i/>
          <w:iCs/>
          <w:sz w:val="28"/>
          <w:szCs w:val="28"/>
        </w:rPr>
        <w:t>Nature Reviews Gastroenterology &amp; Hepatology</w:t>
      </w:r>
      <w:r w:rsidRPr="00733709">
        <w:rPr>
          <w:rFonts w:ascii="Times New Roman" w:hAnsi="Times New Roman" w:cs="Times New Roman"/>
          <w:sz w:val="28"/>
          <w:szCs w:val="28"/>
        </w:rPr>
        <w:t xml:space="preserve">, 11(8), 506-514. </w:t>
      </w:r>
      <w:hyperlink r:id="rId20" w:history="1">
        <w:r w:rsidRPr="00733709">
          <w:rPr>
            <w:rStyle w:val="Hyperlink"/>
            <w:rFonts w:ascii="Times New Roman" w:hAnsi="Times New Roman" w:cs="Times New Roman"/>
            <w:sz w:val="28"/>
            <w:szCs w:val="28"/>
          </w:rPr>
          <w:t>https://doi.org/10.1038/nrgastro.2014.66</w:t>
        </w:r>
      </w:hyperlink>
    </w:p>
    <w:p w14:paraId="6050BCA2"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Hugas, M., Garriga, M., &amp; Aymerich, T. (2003). Functionality of enterococci in meat products. </w:t>
      </w:r>
      <w:r w:rsidRPr="00733709">
        <w:rPr>
          <w:rFonts w:ascii="Times New Roman" w:hAnsi="Times New Roman" w:cs="Times New Roman"/>
          <w:i/>
          <w:iCs/>
          <w:sz w:val="28"/>
          <w:szCs w:val="28"/>
        </w:rPr>
        <w:t>International Journal of Food Microbiology</w:t>
      </w:r>
      <w:r w:rsidRPr="00733709">
        <w:rPr>
          <w:rFonts w:ascii="Times New Roman" w:hAnsi="Times New Roman" w:cs="Times New Roman"/>
          <w:sz w:val="28"/>
          <w:szCs w:val="28"/>
        </w:rPr>
        <w:t xml:space="preserve">, 88(2-3), 223-233. </w:t>
      </w:r>
      <w:hyperlink r:id="rId21" w:history="1">
        <w:r w:rsidRPr="00733709">
          <w:rPr>
            <w:rStyle w:val="Hyperlink"/>
            <w:rFonts w:ascii="Times New Roman" w:hAnsi="Times New Roman" w:cs="Times New Roman"/>
            <w:sz w:val="28"/>
            <w:szCs w:val="28"/>
          </w:rPr>
          <w:t>https://doi.org/10.1016/S0168-1605(03)00184-1</w:t>
        </w:r>
      </w:hyperlink>
    </w:p>
    <w:p w14:paraId="14617B74"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Isabella, V. M., Ha, B. N., Castillo, M. J., </w:t>
      </w:r>
      <w:proofErr w:type="spellStart"/>
      <w:r w:rsidRPr="00733709">
        <w:rPr>
          <w:rFonts w:ascii="Times New Roman" w:hAnsi="Times New Roman" w:cs="Times New Roman"/>
          <w:sz w:val="28"/>
          <w:szCs w:val="28"/>
        </w:rPr>
        <w:t>Lubkowicz</w:t>
      </w:r>
      <w:proofErr w:type="spellEnd"/>
      <w:r w:rsidRPr="00733709">
        <w:rPr>
          <w:rFonts w:ascii="Times New Roman" w:hAnsi="Times New Roman" w:cs="Times New Roman"/>
          <w:sz w:val="28"/>
          <w:szCs w:val="28"/>
        </w:rPr>
        <w:t xml:space="preserve">, D. J., Rowe, S. E., Millet, Y. A., Anderson, C. L., Li, N., Fisher, A. B., West, K. A., Reeder, P. J., Momin, M. M., Bergeron, C. G., Guilmain, S. E., Miller, P. F., Kurtz, C. B., &amp; Falb, D. (2018). Development of a synthetic live bacterial therapeutic for the human metabolic disease phenylketonuria. </w:t>
      </w:r>
      <w:r w:rsidRPr="00733709">
        <w:rPr>
          <w:rFonts w:ascii="Times New Roman" w:hAnsi="Times New Roman" w:cs="Times New Roman"/>
          <w:i/>
          <w:iCs/>
          <w:sz w:val="28"/>
          <w:szCs w:val="28"/>
        </w:rPr>
        <w:t>Nature Biotechnology</w:t>
      </w:r>
      <w:r w:rsidRPr="00733709">
        <w:rPr>
          <w:rFonts w:ascii="Times New Roman" w:hAnsi="Times New Roman" w:cs="Times New Roman"/>
          <w:sz w:val="28"/>
          <w:szCs w:val="28"/>
        </w:rPr>
        <w:t xml:space="preserve">, 36(9), 857-864. </w:t>
      </w:r>
      <w:hyperlink r:id="rId22" w:history="1">
        <w:r w:rsidRPr="00733709">
          <w:rPr>
            <w:rStyle w:val="Hyperlink"/>
            <w:rFonts w:ascii="Times New Roman" w:hAnsi="Times New Roman" w:cs="Times New Roman"/>
            <w:sz w:val="28"/>
            <w:szCs w:val="28"/>
          </w:rPr>
          <w:t>https://doi.org/10.1038/nbt.4222</w:t>
        </w:r>
      </w:hyperlink>
    </w:p>
    <w:p w14:paraId="7AC9DA7E"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proofErr w:type="spellStart"/>
      <w:r w:rsidRPr="00733709">
        <w:rPr>
          <w:rFonts w:ascii="Times New Roman" w:hAnsi="Times New Roman" w:cs="Times New Roman"/>
          <w:sz w:val="28"/>
          <w:szCs w:val="28"/>
        </w:rPr>
        <w:t>Klaenhammer</w:t>
      </w:r>
      <w:proofErr w:type="spellEnd"/>
      <w:r w:rsidRPr="00733709">
        <w:rPr>
          <w:rFonts w:ascii="Times New Roman" w:hAnsi="Times New Roman" w:cs="Times New Roman"/>
          <w:sz w:val="28"/>
          <w:szCs w:val="28"/>
        </w:rPr>
        <w:t xml:space="preserve">, T. R., </w:t>
      </w:r>
      <w:proofErr w:type="spellStart"/>
      <w:r w:rsidRPr="00733709">
        <w:rPr>
          <w:rFonts w:ascii="Times New Roman" w:hAnsi="Times New Roman" w:cs="Times New Roman"/>
          <w:sz w:val="28"/>
          <w:szCs w:val="28"/>
        </w:rPr>
        <w:t>Kleerebezem</w:t>
      </w:r>
      <w:proofErr w:type="spellEnd"/>
      <w:r w:rsidRPr="00733709">
        <w:rPr>
          <w:rFonts w:ascii="Times New Roman" w:hAnsi="Times New Roman" w:cs="Times New Roman"/>
          <w:sz w:val="28"/>
          <w:szCs w:val="28"/>
        </w:rPr>
        <w:t xml:space="preserve">, M., Kopp, M. V., &amp; Rescigno, M. (2012). The impact of probiotics and prebiotics on the immune system. </w:t>
      </w:r>
      <w:r w:rsidRPr="00733709">
        <w:rPr>
          <w:rFonts w:ascii="Times New Roman" w:hAnsi="Times New Roman" w:cs="Times New Roman"/>
          <w:i/>
          <w:iCs/>
          <w:sz w:val="28"/>
          <w:szCs w:val="28"/>
        </w:rPr>
        <w:t>Nature Reviews Immunology</w:t>
      </w:r>
      <w:r w:rsidRPr="00733709">
        <w:rPr>
          <w:rFonts w:ascii="Times New Roman" w:hAnsi="Times New Roman" w:cs="Times New Roman"/>
          <w:sz w:val="28"/>
          <w:szCs w:val="28"/>
        </w:rPr>
        <w:t xml:space="preserve">, 12(10), 728-734. </w:t>
      </w:r>
      <w:hyperlink r:id="rId23" w:history="1">
        <w:r w:rsidRPr="00733709">
          <w:rPr>
            <w:rStyle w:val="Hyperlink"/>
            <w:rFonts w:ascii="Times New Roman" w:hAnsi="Times New Roman" w:cs="Times New Roman"/>
            <w:sz w:val="28"/>
            <w:szCs w:val="28"/>
          </w:rPr>
          <w:t>https://doi.org/10.1038/nri3312</w:t>
        </w:r>
      </w:hyperlink>
    </w:p>
    <w:p w14:paraId="2CD00D4F"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Kristensen, N. B., Bryrup, T., Allin, K. H., Nielsen, T., Hansen, T. H., &amp; Pedersen, O. (2016). Alterations in </w:t>
      </w:r>
      <w:proofErr w:type="spellStart"/>
      <w:r w:rsidRPr="00733709">
        <w:rPr>
          <w:rFonts w:ascii="Times New Roman" w:hAnsi="Times New Roman" w:cs="Times New Roman"/>
          <w:sz w:val="28"/>
          <w:szCs w:val="28"/>
        </w:rPr>
        <w:t>fecal</w:t>
      </w:r>
      <w:proofErr w:type="spellEnd"/>
      <w:r w:rsidRPr="00733709">
        <w:rPr>
          <w:rFonts w:ascii="Times New Roman" w:hAnsi="Times New Roman" w:cs="Times New Roman"/>
          <w:sz w:val="28"/>
          <w:szCs w:val="28"/>
        </w:rPr>
        <w:t xml:space="preserve"> microbiota composition by probiotic supplementation in healthy adults: A systematic review of randomized controlled trials. </w:t>
      </w:r>
      <w:r w:rsidRPr="00733709">
        <w:rPr>
          <w:rFonts w:ascii="Times New Roman" w:hAnsi="Times New Roman" w:cs="Times New Roman"/>
          <w:i/>
          <w:iCs/>
          <w:sz w:val="28"/>
          <w:szCs w:val="28"/>
        </w:rPr>
        <w:t>Genome Medicine</w:t>
      </w:r>
      <w:r w:rsidRPr="00733709">
        <w:rPr>
          <w:rFonts w:ascii="Times New Roman" w:hAnsi="Times New Roman" w:cs="Times New Roman"/>
          <w:sz w:val="28"/>
          <w:szCs w:val="28"/>
        </w:rPr>
        <w:t xml:space="preserve">, 8(1), 52. </w:t>
      </w:r>
      <w:hyperlink r:id="rId24" w:history="1">
        <w:r w:rsidRPr="00733709">
          <w:rPr>
            <w:rStyle w:val="Hyperlink"/>
            <w:rFonts w:ascii="Times New Roman" w:hAnsi="Times New Roman" w:cs="Times New Roman"/>
            <w:sz w:val="28"/>
            <w:szCs w:val="28"/>
          </w:rPr>
          <w:t>https://doi.org/10.1186/s13073-016-0300-5</w:t>
        </w:r>
      </w:hyperlink>
    </w:p>
    <w:p w14:paraId="449B5B27"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Martín, R., Miquel, S., Benevides, L., </w:t>
      </w:r>
      <w:proofErr w:type="spellStart"/>
      <w:r w:rsidRPr="00733709">
        <w:rPr>
          <w:rFonts w:ascii="Times New Roman" w:hAnsi="Times New Roman" w:cs="Times New Roman"/>
          <w:sz w:val="28"/>
          <w:szCs w:val="28"/>
        </w:rPr>
        <w:t>Bridonneau</w:t>
      </w:r>
      <w:proofErr w:type="spellEnd"/>
      <w:r w:rsidRPr="00733709">
        <w:rPr>
          <w:rFonts w:ascii="Times New Roman" w:hAnsi="Times New Roman" w:cs="Times New Roman"/>
          <w:sz w:val="28"/>
          <w:szCs w:val="28"/>
        </w:rPr>
        <w:t>, C., Robert, V., Hudault, S., Chain, F., Berteau, O., Azevedo, V., Chatel, J. M., Sokol, H., Bermúdez-</w:t>
      </w:r>
      <w:proofErr w:type="spellStart"/>
      <w:r w:rsidRPr="00733709">
        <w:rPr>
          <w:rFonts w:ascii="Times New Roman" w:hAnsi="Times New Roman" w:cs="Times New Roman"/>
          <w:sz w:val="28"/>
          <w:szCs w:val="28"/>
        </w:rPr>
        <w:t>Humarán</w:t>
      </w:r>
      <w:proofErr w:type="spellEnd"/>
      <w:r w:rsidRPr="00733709">
        <w:rPr>
          <w:rFonts w:ascii="Times New Roman" w:hAnsi="Times New Roman" w:cs="Times New Roman"/>
          <w:sz w:val="28"/>
          <w:szCs w:val="28"/>
        </w:rPr>
        <w:t xml:space="preserve">, L. G., Thomas, M., &amp; Langella, P. (2023). Functional characterization of novel </w:t>
      </w:r>
      <w:proofErr w:type="spellStart"/>
      <w:r w:rsidRPr="00733709">
        <w:rPr>
          <w:rFonts w:ascii="Times New Roman" w:hAnsi="Times New Roman" w:cs="Times New Roman"/>
          <w:sz w:val="28"/>
          <w:szCs w:val="28"/>
        </w:rPr>
        <w:t>Faecalibacterium</w:t>
      </w:r>
      <w:proofErr w:type="spellEnd"/>
      <w:r w:rsidRPr="00733709">
        <w:rPr>
          <w:rFonts w:ascii="Times New Roman" w:hAnsi="Times New Roman" w:cs="Times New Roman"/>
          <w:sz w:val="28"/>
          <w:szCs w:val="28"/>
        </w:rPr>
        <w:t xml:space="preserve"> </w:t>
      </w:r>
      <w:proofErr w:type="spellStart"/>
      <w:r w:rsidRPr="00733709">
        <w:rPr>
          <w:rFonts w:ascii="Times New Roman" w:hAnsi="Times New Roman" w:cs="Times New Roman"/>
          <w:sz w:val="28"/>
          <w:szCs w:val="28"/>
        </w:rPr>
        <w:t>prausnitzii</w:t>
      </w:r>
      <w:proofErr w:type="spellEnd"/>
      <w:r w:rsidRPr="00733709">
        <w:rPr>
          <w:rFonts w:ascii="Times New Roman" w:hAnsi="Times New Roman" w:cs="Times New Roman"/>
          <w:sz w:val="28"/>
          <w:szCs w:val="28"/>
        </w:rPr>
        <w:t xml:space="preserve"> strains isolated from healthy volunteers: A step forward in the use of F. </w:t>
      </w:r>
      <w:proofErr w:type="spellStart"/>
      <w:r w:rsidRPr="00733709">
        <w:rPr>
          <w:rFonts w:ascii="Times New Roman" w:hAnsi="Times New Roman" w:cs="Times New Roman"/>
          <w:sz w:val="28"/>
          <w:szCs w:val="28"/>
        </w:rPr>
        <w:t>prausnitzii</w:t>
      </w:r>
      <w:proofErr w:type="spellEnd"/>
      <w:r w:rsidRPr="00733709">
        <w:rPr>
          <w:rFonts w:ascii="Times New Roman" w:hAnsi="Times New Roman" w:cs="Times New Roman"/>
          <w:sz w:val="28"/>
          <w:szCs w:val="28"/>
        </w:rPr>
        <w:t xml:space="preserve"> as a next-generation probiotic. </w:t>
      </w:r>
      <w:r w:rsidRPr="00733709">
        <w:rPr>
          <w:rFonts w:ascii="Times New Roman" w:hAnsi="Times New Roman" w:cs="Times New Roman"/>
          <w:i/>
          <w:iCs/>
          <w:sz w:val="28"/>
          <w:szCs w:val="28"/>
        </w:rPr>
        <w:t>Frontiers in Microbiology</w:t>
      </w:r>
      <w:r w:rsidRPr="00733709">
        <w:rPr>
          <w:rFonts w:ascii="Times New Roman" w:hAnsi="Times New Roman" w:cs="Times New Roman"/>
          <w:sz w:val="28"/>
          <w:szCs w:val="28"/>
        </w:rPr>
        <w:t xml:space="preserve">, 8, 1226. </w:t>
      </w:r>
      <w:hyperlink r:id="rId25" w:history="1">
        <w:r w:rsidRPr="00733709">
          <w:rPr>
            <w:rStyle w:val="Hyperlink"/>
            <w:rFonts w:ascii="Times New Roman" w:hAnsi="Times New Roman" w:cs="Times New Roman"/>
            <w:sz w:val="28"/>
            <w:szCs w:val="28"/>
          </w:rPr>
          <w:t>https://doi.org/10.3389/fmicb.2017.01226</w:t>
        </w:r>
      </w:hyperlink>
    </w:p>
    <w:p w14:paraId="1704BDA3"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Molina-Tijeras, J. A., Gálvez, J., &amp; Rodríguez-Cabezas, M. E. (2019). The immunomodulatory properties of extracellular vesicles derived from probiotics: A novel approach for inflammatory bowel disease therapy. </w:t>
      </w:r>
      <w:r w:rsidRPr="00733709">
        <w:rPr>
          <w:rFonts w:ascii="Times New Roman" w:hAnsi="Times New Roman" w:cs="Times New Roman"/>
          <w:i/>
          <w:iCs/>
          <w:sz w:val="28"/>
          <w:szCs w:val="28"/>
        </w:rPr>
        <w:t>Nutrients</w:t>
      </w:r>
      <w:r w:rsidRPr="00733709">
        <w:rPr>
          <w:rFonts w:ascii="Times New Roman" w:hAnsi="Times New Roman" w:cs="Times New Roman"/>
          <w:sz w:val="28"/>
          <w:szCs w:val="28"/>
        </w:rPr>
        <w:t xml:space="preserve">, 11(5), 1038. </w:t>
      </w:r>
      <w:hyperlink r:id="rId26" w:history="1">
        <w:r w:rsidRPr="00733709">
          <w:rPr>
            <w:rStyle w:val="Hyperlink"/>
            <w:rFonts w:ascii="Times New Roman" w:hAnsi="Times New Roman" w:cs="Times New Roman"/>
            <w:sz w:val="28"/>
            <w:szCs w:val="28"/>
          </w:rPr>
          <w:t>https://doi.org/10.3390/nu11051038</w:t>
        </w:r>
      </w:hyperlink>
    </w:p>
    <w:p w14:paraId="2BEBE138"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lastRenderedPageBreak/>
        <w:t xml:space="preserve">O'Toole, P. W., Marchesi, J. R., &amp; Hill, C. (2017). Next-generation probiotics: The spectrum from probiotics to live biotherapeutics. </w:t>
      </w:r>
      <w:r w:rsidRPr="00733709">
        <w:rPr>
          <w:rFonts w:ascii="Times New Roman" w:hAnsi="Times New Roman" w:cs="Times New Roman"/>
          <w:i/>
          <w:iCs/>
          <w:sz w:val="28"/>
          <w:szCs w:val="28"/>
        </w:rPr>
        <w:t>Nature Microbiology</w:t>
      </w:r>
      <w:r w:rsidRPr="00733709">
        <w:rPr>
          <w:rFonts w:ascii="Times New Roman" w:hAnsi="Times New Roman" w:cs="Times New Roman"/>
          <w:sz w:val="28"/>
          <w:szCs w:val="28"/>
        </w:rPr>
        <w:t xml:space="preserve">, 2(5), 17057. </w:t>
      </w:r>
      <w:hyperlink r:id="rId27" w:history="1">
        <w:r w:rsidRPr="00733709">
          <w:rPr>
            <w:rStyle w:val="Hyperlink"/>
            <w:rFonts w:ascii="Times New Roman" w:hAnsi="Times New Roman" w:cs="Times New Roman"/>
            <w:sz w:val="28"/>
            <w:szCs w:val="28"/>
          </w:rPr>
          <w:t>https://doi.org/10.1038/nmicrobiol.2017.57</w:t>
        </w:r>
      </w:hyperlink>
    </w:p>
    <w:p w14:paraId="132BF45E"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40173">
        <w:rPr>
          <w:rFonts w:ascii="Times New Roman" w:hAnsi="Times New Roman" w:cs="Times New Roman"/>
          <w:sz w:val="28"/>
          <w:szCs w:val="28"/>
          <w:lang w:val="it-IT"/>
        </w:rPr>
        <w:t xml:space="preserve">Patel, R. M., &amp; Prajapati, J. B. (2013). </w:t>
      </w:r>
      <w:r w:rsidRPr="00733709">
        <w:rPr>
          <w:rFonts w:ascii="Times New Roman" w:hAnsi="Times New Roman" w:cs="Times New Roman"/>
          <w:sz w:val="28"/>
          <w:szCs w:val="28"/>
        </w:rPr>
        <w:t xml:space="preserve">Food and health applications of exopolysaccharides produced by lactic acid bacteria. </w:t>
      </w:r>
      <w:r w:rsidRPr="00733709">
        <w:rPr>
          <w:rFonts w:ascii="Times New Roman" w:hAnsi="Times New Roman" w:cs="Times New Roman"/>
          <w:i/>
          <w:iCs/>
          <w:sz w:val="28"/>
          <w:szCs w:val="28"/>
        </w:rPr>
        <w:t>Advances in Dairy Research</w:t>
      </w:r>
      <w:r w:rsidRPr="00733709">
        <w:rPr>
          <w:rFonts w:ascii="Times New Roman" w:hAnsi="Times New Roman" w:cs="Times New Roman"/>
          <w:sz w:val="28"/>
          <w:szCs w:val="28"/>
        </w:rPr>
        <w:t xml:space="preserve">, 1, 107. </w:t>
      </w:r>
      <w:hyperlink r:id="rId28" w:history="1">
        <w:r w:rsidRPr="00733709">
          <w:rPr>
            <w:rStyle w:val="Hyperlink"/>
            <w:rFonts w:ascii="Times New Roman" w:hAnsi="Times New Roman" w:cs="Times New Roman"/>
            <w:sz w:val="28"/>
            <w:szCs w:val="28"/>
          </w:rPr>
          <w:t>https://doi.org/10.4172/2329-888X.1000107</w:t>
        </w:r>
      </w:hyperlink>
    </w:p>
    <w:p w14:paraId="184A7784"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40173">
        <w:rPr>
          <w:rFonts w:ascii="Times New Roman" w:hAnsi="Times New Roman" w:cs="Times New Roman"/>
          <w:sz w:val="28"/>
          <w:szCs w:val="28"/>
          <w:lang w:val="it-IT"/>
        </w:rPr>
        <w:t xml:space="preserve">Piqué, N., Berlanga, M., &amp; Miñana-Galbis, D. (2019). </w:t>
      </w:r>
      <w:r w:rsidRPr="00733709">
        <w:rPr>
          <w:rFonts w:ascii="Times New Roman" w:hAnsi="Times New Roman" w:cs="Times New Roman"/>
          <w:sz w:val="28"/>
          <w:szCs w:val="28"/>
        </w:rPr>
        <w:t>Health benefits of heat-killed (</w:t>
      </w:r>
      <w:proofErr w:type="spellStart"/>
      <w:r w:rsidRPr="00733709">
        <w:rPr>
          <w:rFonts w:ascii="Times New Roman" w:hAnsi="Times New Roman" w:cs="Times New Roman"/>
          <w:sz w:val="28"/>
          <w:szCs w:val="28"/>
        </w:rPr>
        <w:t>Tyndallized</w:t>
      </w:r>
      <w:proofErr w:type="spellEnd"/>
      <w:r w:rsidRPr="00733709">
        <w:rPr>
          <w:rFonts w:ascii="Times New Roman" w:hAnsi="Times New Roman" w:cs="Times New Roman"/>
          <w:sz w:val="28"/>
          <w:szCs w:val="28"/>
        </w:rPr>
        <w:t xml:space="preserve">) probiotics: An overview. </w:t>
      </w:r>
      <w:r w:rsidRPr="00733709">
        <w:rPr>
          <w:rFonts w:ascii="Times New Roman" w:hAnsi="Times New Roman" w:cs="Times New Roman"/>
          <w:i/>
          <w:iCs/>
          <w:sz w:val="28"/>
          <w:szCs w:val="28"/>
        </w:rPr>
        <w:t>International Journal of Molecular Sciences</w:t>
      </w:r>
      <w:r w:rsidRPr="00733709">
        <w:rPr>
          <w:rFonts w:ascii="Times New Roman" w:hAnsi="Times New Roman" w:cs="Times New Roman"/>
          <w:sz w:val="28"/>
          <w:szCs w:val="28"/>
        </w:rPr>
        <w:t xml:space="preserve">, 20(10), 2534. </w:t>
      </w:r>
      <w:hyperlink r:id="rId29" w:history="1">
        <w:r w:rsidRPr="00733709">
          <w:rPr>
            <w:rStyle w:val="Hyperlink"/>
            <w:rFonts w:ascii="Times New Roman" w:hAnsi="Times New Roman" w:cs="Times New Roman"/>
            <w:sz w:val="28"/>
            <w:szCs w:val="28"/>
          </w:rPr>
          <w:t>https://doi.org/10.3390/ijms20102534</w:t>
        </w:r>
      </w:hyperlink>
    </w:p>
    <w:p w14:paraId="7BD7D3B9"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Rad, A. H., </w:t>
      </w:r>
      <w:proofErr w:type="spellStart"/>
      <w:r w:rsidRPr="00733709">
        <w:rPr>
          <w:rFonts w:ascii="Times New Roman" w:hAnsi="Times New Roman" w:cs="Times New Roman"/>
          <w:sz w:val="28"/>
          <w:szCs w:val="28"/>
        </w:rPr>
        <w:t>Pirouzian</w:t>
      </w:r>
      <w:proofErr w:type="spellEnd"/>
      <w:r w:rsidRPr="00733709">
        <w:rPr>
          <w:rFonts w:ascii="Times New Roman" w:hAnsi="Times New Roman" w:cs="Times New Roman"/>
          <w:sz w:val="28"/>
          <w:szCs w:val="28"/>
        </w:rPr>
        <w:t xml:space="preserve">, H. R., </w:t>
      </w:r>
      <w:proofErr w:type="spellStart"/>
      <w:r w:rsidRPr="00733709">
        <w:rPr>
          <w:rFonts w:ascii="Times New Roman" w:hAnsi="Times New Roman" w:cs="Times New Roman"/>
          <w:sz w:val="28"/>
          <w:szCs w:val="28"/>
        </w:rPr>
        <w:t>Torab</w:t>
      </w:r>
      <w:proofErr w:type="spellEnd"/>
      <w:r w:rsidRPr="00733709">
        <w:rPr>
          <w:rFonts w:ascii="Times New Roman" w:hAnsi="Times New Roman" w:cs="Times New Roman"/>
          <w:sz w:val="28"/>
          <w:szCs w:val="28"/>
        </w:rPr>
        <w:t xml:space="preserve">, R., Ginsburg, I., Kochan, J., Kohen, R., &amp; Pollak, Y. (2020). Probiotic fermentation of polyphenol-rich Jerusalem artichoke and chicory extracts by Lactobacillus fermentum, L. </w:t>
      </w:r>
      <w:proofErr w:type="spellStart"/>
      <w:r w:rsidRPr="00733709">
        <w:rPr>
          <w:rFonts w:ascii="Times New Roman" w:hAnsi="Times New Roman" w:cs="Times New Roman"/>
          <w:sz w:val="28"/>
          <w:szCs w:val="28"/>
        </w:rPr>
        <w:t>paracasei</w:t>
      </w:r>
      <w:proofErr w:type="spellEnd"/>
      <w:r w:rsidRPr="00733709">
        <w:rPr>
          <w:rFonts w:ascii="Times New Roman" w:hAnsi="Times New Roman" w:cs="Times New Roman"/>
          <w:sz w:val="28"/>
          <w:szCs w:val="28"/>
        </w:rPr>
        <w:t xml:space="preserve"> and Bifidobacterium </w:t>
      </w:r>
      <w:proofErr w:type="spellStart"/>
      <w:r w:rsidRPr="00733709">
        <w:rPr>
          <w:rFonts w:ascii="Times New Roman" w:hAnsi="Times New Roman" w:cs="Times New Roman"/>
          <w:sz w:val="28"/>
          <w:szCs w:val="28"/>
        </w:rPr>
        <w:t>animalis</w:t>
      </w:r>
      <w:proofErr w:type="spellEnd"/>
      <w:r w:rsidRPr="00733709">
        <w:rPr>
          <w:rFonts w:ascii="Times New Roman" w:hAnsi="Times New Roman" w:cs="Times New Roman"/>
          <w:sz w:val="28"/>
          <w:szCs w:val="28"/>
        </w:rPr>
        <w:t xml:space="preserve">. </w:t>
      </w:r>
      <w:r w:rsidRPr="00733709">
        <w:rPr>
          <w:rFonts w:ascii="Times New Roman" w:hAnsi="Times New Roman" w:cs="Times New Roman"/>
          <w:i/>
          <w:iCs/>
          <w:sz w:val="28"/>
          <w:szCs w:val="28"/>
        </w:rPr>
        <w:t>Food Chemistry</w:t>
      </w:r>
      <w:r w:rsidRPr="00733709">
        <w:rPr>
          <w:rFonts w:ascii="Times New Roman" w:hAnsi="Times New Roman" w:cs="Times New Roman"/>
          <w:sz w:val="28"/>
          <w:szCs w:val="28"/>
        </w:rPr>
        <w:t xml:space="preserve">, 302, 125364. </w:t>
      </w:r>
      <w:hyperlink r:id="rId30" w:history="1">
        <w:r w:rsidRPr="00733709">
          <w:rPr>
            <w:rStyle w:val="Hyperlink"/>
            <w:rFonts w:ascii="Times New Roman" w:hAnsi="Times New Roman" w:cs="Times New Roman"/>
            <w:sz w:val="28"/>
            <w:szCs w:val="28"/>
          </w:rPr>
          <w:t>https://doi.org/10.1016/j.foodchem.2019.125364</w:t>
        </w:r>
      </w:hyperlink>
    </w:p>
    <w:p w14:paraId="21E25912"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Ranadheera, R. D. C. S., Baines, S. K., &amp; Adams, M. C. (2010). Importance of food in probiotic efficacy. </w:t>
      </w:r>
      <w:r w:rsidRPr="00733709">
        <w:rPr>
          <w:rFonts w:ascii="Times New Roman" w:hAnsi="Times New Roman" w:cs="Times New Roman"/>
          <w:i/>
          <w:iCs/>
          <w:sz w:val="28"/>
          <w:szCs w:val="28"/>
        </w:rPr>
        <w:t>Food Research International</w:t>
      </w:r>
      <w:r w:rsidRPr="00733709">
        <w:rPr>
          <w:rFonts w:ascii="Times New Roman" w:hAnsi="Times New Roman" w:cs="Times New Roman"/>
          <w:sz w:val="28"/>
          <w:szCs w:val="28"/>
        </w:rPr>
        <w:t xml:space="preserve">, 43(1), 1-7. </w:t>
      </w:r>
      <w:hyperlink r:id="rId31" w:history="1">
        <w:r w:rsidRPr="00733709">
          <w:rPr>
            <w:rStyle w:val="Hyperlink"/>
            <w:rFonts w:ascii="Times New Roman" w:hAnsi="Times New Roman" w:cs="Times New Roman"/>
            <w:sz w:val="28"/>
            <w:szCs w:val="28"/>
          </w:rPr>
          <w:t>https://doi.org/10.1016/j.foodres.2009.09.009</w:t>
        </w:r>
      </w:hyperlink>
    </w:p>
    <w:p w14:paraId="037FBA92"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Rodríguez-Nogales, A., Algieri, F., Garrido-Mesa, J., Vezza, T., Utrilla, M. P., </w:t>
      </w:r>
      <w:proofErr w:type="spellStart"/>
      <w:r w:rsidRPr="00733709">
        <w:rPr>
          <w:rFonts w:ascii="Times New Roman" w:hAnsi="Times New Roman" w:cs="Times New Roman"/>
          <w:sz w:val="28"/>
          <w:szCs w:val="28"/>
        </w:rPr>
        <w:t>Chueca</w:t>
      </w:r>
      <w:proofErr w:type="spellEnd"/>
      <w:r w:rsidRPr="00733709">
        <w:rPr>
          <w:rFonts w:ascii="Times New Roman" w:hAnsi="Times New Roman" w:cs="Times New Roman"/>
          <w:sz w:val="28"/>
          <w:szCs w:val="28"/>
        </w:rPr>
        <w:t xml:space="preserve">, N., García, F., Olivares, M., Rodríguez-Cabezas, M. E., &amp; Gálvez, J. (2018). The administration of miR-146a-5p nanocomplexes restores the diabetic immune microenvironment and delays the progression of autoimmune diabetes through the modulation of gut microbiota. </w:t>
      </w:r>
      <w:r w:rsidRPr="00733709">
        <w:rPr>
          <w:rFonts w:ascii="Times New Roman" w:hAnsi="Times New Roman" w:cs="Times New Roman"/>
          <w:i/>
          <w:iCs/>
          <w:sz w:val="28"/>
          <w:szCs w:val="28"/>
        </w:rPr>
        <w:t>Biomaterials</w:t>
      </w:r>
      <w:r w:rsidRPr="00733709">
        <w:rPr>
          <w:rFonts w:ascii="Times New Roman" w:hAnsi="Times New Roman" w:cs="Times New Roman"/>
          <w:sz w:val="28"/>
          <w:szCs w:val="28"/>
        </w:rPr>
        <w:t xml:space="preserve">, 186, 93-102. </w:t>
      </w:r>
      <w:hyperlink r:id="rId32" w:history="1">
        <w:r w:rsidRPr="00733709">
          <w:rPr>
            <w:rStyle w:val="Hyperlink"/>
            <w:rFonts w:ascii="Times New Roman" w:hAnsi="Times New Roman" w:cs="Times New Roman"/>
            <w:sz w:val="28"/>
            <w:szCs w:val="28"/>
          </w:rPr>
          <w:t>https://doi.org/10.1016/j.biomaterials.2018.09.024</w:t>
        </w:r>
      </w:hyperlink>
    </w:p>
    <w:p w14:paraId="56251AE6"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Salminen, S., Collado, M. C., Endo, A., Hill, C., </w:t>
      </w:r>
      <w:proofErr w:type="spellStart"/>
      <w:r w:rsidRPr="00733709">
        <w:rPr>
          <w:rFonts w:ascii="Times New Roman" w:hAnsi="Times New Roman" w:cs="Times New Roman"/>
          <w:sz w:val="28"/>
          <w:szCs w:val="28"/>
        </w:rPr>
        <w:t>Lebeer</w:t>
      </w:r>
      <w:proofErr w:type="spellEnd"/>
      <w:r w:rsidRPr="00733709">
        <w:rPr>
          <w:rFonts w:ascii="Times New Roman" w:hAnsi="Times New Roman" w:cs="Times New Roman"/>
          <w:sz w:val="28"/>
          <w:szCs w:val="28"/>
        </w:rPr>
        <w:t xml:space="preserve">, S., Quigley, E. M., Sanders, M. E., Shamir, R., Swann, J. R., </w:t>
      </w:r>
      <w:proofErr w:type="spellStart"/>
      <w:r w:rsidRPr="00733709">
        <w:rPr>
          <w:rFonts w:ascii="Times New Roman" w:hAnsi="Times New Roman" w:cs="Times New Roman"/>
          <w:sz w:val="28"/>
          <w:szCs w:val="28"/>
        </w:rPr>
        <w:t>Szajewska</w:t>
      </w:r>
      <w:proofErr w:type="spellEnd"/>
      <w:r w:rsidRPr="00733709">
        <w:rPr>
          <w:rFonts w:ascii="Times New Roman" w:hAnsi="Times New Roman" w:cs="Times New Roman"/>
          <w:sz w:val="28"/>
          <w:szCs w:val="28"/>
        </w:rPr>
        <w:t xml:space="preserve">, H., &amp; </w:t>
      </w:r>
      <w:proofErr w:type="spellStart"/>
      <w:r w:rsidRPr="00733709">
        <w:rPr>
          <w:rFonts w:ascii="Times New Roman" w:hAnsi="Times New Roman" w:cs="Times New Roman"/>
          <w:sz w:val="28"/>
          <w:szCs w:val="28"/>
        </w:rPr>
        <w:t>Vinderola</w:t>
      </w:r>
      <w:proofErr w:type="spellEnd"/>
      <w:r w:rsidRPr="00733709">
        <w:rPr>
          <w:rFonts w:ascii="Times New Roman" w:hAnsi="Times New Roman" w:cs="Times New Roman"/>
          <w:sz w:val="28"/>
          <w:szCs w:val="28"/>
        </w:rPr>
        <w:t xml:space="preserve">, G. (2021). The International Scientific Association of Probiotics and Prebiotics (ISAPP) consensus statement on the definition and scope of postbiotics. </w:t>
      </w:r>
      <w:r w:rsidRPr="00733709">
        <w:rPr>
          <w:rFonts w:ascii="Times New Roman" w:hAnsi="Times New Roman" w:cs="Times New Roman"/>
          <w:i/>
          <w:iCs/>
          <w:sz w:val="28"/>
          <w:szCs w:val="28"/>
        </w:rPr>
        <w:t>Nature Reviews Gastroenterology &amp; Hepatology</w:t>
      </w:r>
      <w:r w:rsidRPr="00733709">
        <w:rPr>
          <w:rFonts w:ascii="Times New Roman" w:hAnsi="Times New Roman" w:cs="Times New Roman"/>
          <w:sz w:val="28"/>
          <w:szCs w:val="28"/>
        </w:rPr>
        <w:t xml:space="preserve">, 18(9), 649-667. </w:t>
      </w:r>
      <w:hyperlink r:id="rId33" w:history="1">
        <w:r w:rsidRPr="00733709">
          <w:rPr>
            <w:rStyle w:val="Hyperlink"/>
            <w:rFonts w:ascii="Times New Roman" w:hAnsi="Times New Roman" w:cs="Times New Roman"/>
            <w:sz w:val="28"/>
            <w:szCs w:val="28"/>
          </w:rPr>
          <w:t>https://doi.org/10.1038/s41575-021-00440-6</w:t>
        </w:r>
      </w:hyperlink>
    </w:p>
    <w:p w14:paraId="6885DBAB"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Sanders, M. E., Merenstein, D. J., Reid, G., Gibson, G. R., &amp; Rastall, R. A. (2019). Probiotics and prebiotics in intestinal health and disease: From biology to the clinic. </w:t>
      </w:r>
      <w:r w:rsidRPr="00733709">
        <w:rPr>
          <w:rFonts w:ascii="Times New Roman" w:hAnsi="Times New Roman" w:cs="Times New Roman"/>
          <w:i/>
          <w:iCs/>
          <w:sz w:val="28"/>
          <w:szCs w:val="28"/>
        </w:rPr>
        <w:t>Nature Reviews Gastroenterology &amp; Hepatology</w:t>
      </w:r>
      <w:r w:rsidRPr="00733709">
        <w:rPr>
          <w:rFonts w:ascii="Times New Roman" w:hAnsi="Times New Roman" w:cs="Times New Roman"/>
          <w:sz w:val="28"/>
          <w:szCs w:val="28"/>
        </w:rPr>
        <w:t xml:space="preserve">, 16(10), 605-616. </w:t>
      </w:r>
      <w:hyperlink r:id="rId34" w:history="1">
        <w:r w:rsidRPr="00733709">
          <w:rPr>
            <w:rStyle w:val="Hyperlink"/>
            <w:rFonts w:ascii="Times New Roman" w:hAnsi="Times New Roman" w:cs="Times New Roman"/>
            <w:sz w:val="28"/>
            <w:szCs w:val="28"/>
          </w:rPr>
          <w:t>https://doi.org/10.1038/s41575-019-0173-3</w:t>
        </w:r>
      </w:hyperlink>
    </w:p>
    <w:p w14:paraId="72492175"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Sanders, M. E., Akkermans, L. M., Haller, D., Hammerman, C., Heimbach, J., </w:t>
      </w:r>
      <w:proofErr w:type="spellStart"/>
      <w:r w:rsidRPr="00733709">
        <w:rPr>
          <w:rFonts w:ascii="Times New Roman" w:hAnsi="Times New Roman" w:cs="Times New Roman"/>
          <w:sz w:val="28"/>
          <w:szCs w:val="28"/>
        </w:rPr>
        <w:t>Hörmannsperger</w:t>
      </w:r>
      <w:proofErr w:type="spellEnd"/>
      <w:r w:rsidRPr="00733709">
        <w:rPr>
          <w:rFonts w:ascii="Times New Roman" w:hAnsi="Times New Roman" w:cs="Times New Roman"/>
          <w:sz w:val="28"/>
          <w:szCs w:val="28"/>
        </w:rPr>
        <w:t xml:space="preserve">, G., &amp; Huys, G. (2010). Safety assessment of </w:t>
      </w:r>
      <w:r w:rsidRPr="00733709">
        <w:rPr>
          <w:rFonts w:ascii="Times New Roman" w:hAnsi="Times New Roman" w:cs="Times New Roman"/>
          <w:sz w:val="28"/>
          <w:szCs w:val="28"/>
        </w:rPr>
        <w:lastRenderedPageBreak/>
        <w:t xml:space="preserve">probiotics for human use. </w:t>
      </w:r>
      <w:r w:rsidRPr="00733709">
        <w:rPr>
          <w:rFonts w:ascii="Times New Roman" w:hAnsi="Times New Roman" w:cs="Times New Roman"/>
          <w:i/>
          <w:iCs/>
          <w:sz w:val="28"/>
          <w:szCs w:val="28"/>
        </w:rPr>
        <w:t>Gut Microbes</w:t>
      </w:r>
      <w:r w:rsidRPr="00733709">
        <w:rPr>
          <w:rFonts w:ascii="Times New Roman" w:hAnsi="Times New Roman" w:cs="Times New Roman"/>
          <w:sz w:val="28"/>
          <w:szCs w:val="28"/>
        </w:rPr>
        <w:t xml:space="preserve">, 1(3), 164-185. </w:t>
      </w:r>
      <w:hyperlink r:id="rId35" w:history="1">
        <w:r w:rsidRPr="00733709">
          <w:rPr>
            <w:rStyle w:val="Hyperlink"/>
            <w:rFonts w:ascii="Times New Roman" w:hAnsi="Times New Roman" w:cs="Times New Roman"/>
            <w:sz w:val="28"/>
            <w:szCs w:val="28"/>
          </w:rPr>
          <w:t>https://doi.org/10.4161/gmic.1.3.12127</w:t>
        </w:r>
      </w:hyperlink>
    </w:p>
    <w:p w14:paraId="7A958CBF"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Settanni, L., &amp; Corsetti, A. (2008). Application of bacteriocins in vegetable food </w:t>
      </w:r>
      <w:proofErr w:type="spellStart"/>
      <w:r w:rsidRPr="00733709">
        <w:rPr>
          <w:rFonts w:ascii="Times New Roman" w:hAnsi="Times New Roman" w:cs="Times New Roman"/>
          <w:sz w:val="28"/>
          <w:szCs w:val="28"/>
        </w:rPr>
        <w:t>biopreservation</w:t>
      </w:r>
      <w:proofErr w:type="spellEnd"/>
      <w:r w:rsidRPr="00733709">
        <w:rPr>
          <w:rFonts w:ascii="Times New Roman" w:hAnsi="Times New Roman" w:cs="Times New Roman"/>
          <w:sz w:val="28"/>
          <w:szCs w:val="28"/>
        </w:rPr>
        <w:t xml:space="preserve">. </w:t>
      </w:r>
      <w:r w:rsidRPr="00733709">
        <w:rPr>
          <w:rFonts w:ascii="Times New Roman" w:hAnsi="Times New Roman" w:cs="Times New Roman"/>
          <w:i/>
          <w:iCs/>
          <w:sz w:val="28"/>
          <w:szCs w:val="28"/>
        </w:rPr>
        <w:t>International Journal of Food Microbiology</w:t>
      </w:r>
      <w:r w:rsidRPr="00733709">
        <w:rPr>
          <w:rFonts w:ascii="Times New Roman" w:hAnsi="Times New Roman" w:cs="Times New Roman"/>
          <w:sz w:val="28"/>
          <w:szCs w:val="28"/>
        </w:rPr>
        <w:t xml:space="preserve">, 121(2), 123-138. </w:t>
      </w:r>
      <w:hyperlink r:id="rId36" w:history="1">
        <w:r w:rsidRPr="00733709">
          <w:rPr>
            <w:rStyle w:val="Hyperlink"/>
            <w:rFonts w:ascii="Times New Roman" w:hAnsi="Times New Roman" w:cs="Times New Roman"/>
            <w:sz w:val="28"/>
            <w:szCs w:val="28"/>
          </w:rPr>
          <w:t>https://doi.org/10.1016/j.ijfoodmicro.2007.09.001</w:t>
        </w:r>
      </w:hyperlink>
    </w:p>
    <w:p w14:paraId="56457658"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proofErr w:type="spellStart"/>
      <w:r w:rsidRPr="00733709">
        <w:rPr>
          <w:rFonts w:ascii="Times New Roman" w:hAnsi="Times New Roman" w:cs="Times New Roman"/>
          <w:sz w:val="28"/>
          <w:szCs w:val="28"/>
        </w:rPr>
        <w:t>Taverniti</w:t>
      </w:r>
      <w:proofErr w:type="spellEnd"/>
      <w:r w:rsidRPr="00733709">
        <w:rPr>
          <w:rFonts w:ascii="Times New Roman" w:hAnsi="Times New Roman" w:cs="Times New Roman"/>
          <w:sz w:val="28"/>
          <w:szCs w:val="28"/>
        </w:rPr>
        <w:t xml:space="preserve">, V., &amp; Guglielmetti, S. (2011). The immunomodulatory properties of probiotic microorganisms beyond their viability (ghost probiotics: Proposal of </w:t>
      </w:r>
      <w:proofErr w:type="spellStart"/>
      <w:r w:rsidRPr="00733709">
        <w:rPr>
          <w:rFonts w:ascii="Times New Roman" w:hAnsi="Times New Roman" w:cs="Times New Roman"/>
          <w:sz w:val="28"/>
          <w:szCs w:val="28"/>
        </w:rPr>
        <w:t>paraprobiotic</w:t>
      </w:r>
      <w:proofErr w:type="spellEnd"/>
      <w:r w:rsidRPr="00733709">
        <w:rPr>
          <w:rFonts w:ascii="Times New Roman" w:hAnsi="Times New Roman" w:cs="Times New Roman"/>
          <w:sz w:val="28"/>
          <w:szCs w:val="28"/>
        </w:rPr>
        <w:t xml:space="preserve"> concept). </w:t>
      </w:r>
      <w:r w:rsidRPr="00733709">
        <w:rPr>
          <w:rFonts w:ascii="Times New Roman" w:hAnsi="Times New Roman" w:cs="Times New Roman"/>
          <w:i/>
          <w:iCs/>
          <w:sz w:val="28"/>
          <w:szCs w:val="28"/>
        </w:rPr>
        <w:t>Genes &amp; Nutrition</w:t>
      </w:r>
      <w:r w:rsidRPr="00733709">
        <w:rPr>
          <w:rFonts w:ascii="Times New Roman" w:hAnsi="Times New Roman" w:cs="Times New Roman"/>
          <w:sz w:val="28"/>
          <w:szCs w:val="28"/>
        </w:rPr>
        <w:t xml:space="preserve">, 6(3), 261-274. </w:t>
      </w:r>
      <w:hyperlink r:id="rId37" w:history="1">
        <w:r w:rsidRPr="00733709">
          <w:rPr>
            <w:rStyle w:val="Hyperlink"/>
            <w:rFonts w:ascii="Times New Roman" w:hAnsi="Times New Roman" w:cs="Times New Roman"/>
            <w:sz w:val="28"/>
            <w:szCs w:val="28"/>
          </w:rPr>
          <w:t>https://doi.org/10.1007/s12263-011-0218-x</w:t>
        </w:r>
      </w:hyperlink>
    </w:p>
    <w:p w14:paraId="41D9EAA8"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proofErr w:type="spellStart"/>
      <w:r w:rsidRPr="00733709">
        <w:rPr>
          <w:rFonts w:ascii="Times New Roman" w:hAnsi="Times New Roman" w:cs="Times New Roman"/>
          <w:sz w:val="28"/>
          <w:szCs w:val="28"/>
        </w:rPr>
        <w:t>Teame</w:t>
      </w:r>
      <w:proofErr w:type="spellEnd"/>
      <w:r w:rsidRPr="00733709">
        <w:rPr>
          <w:rFonts w:ascii="Times New Roman" w:hAnsi="Times New Roman" w:cs="Times New Roman"/>
          <w:sz w:val="28"/>
          <w:szCs w:val="28"/>
        </w:rPr>
        <w:t xml:space="preserve">, T., Wang, A., Xie, M., Zhang, Z., Yang, Y., Ding, Q., Gao, C., Olsen, R. E., Ran, C., &amp; Zhou, Z. (2020). </w:t>
      </w:r>
      <w:proofErr w:type="spellStart"/>
      <w:r w:rsidRPr="00733709">
        <w:rPr>
          <w:rFonts w:ascii="Times New Roman" w:hAnsi="Times New Roman" w:cs="Times New Roman"/>
          <w:sz w:val="28"/>
          <w:szCs w:val="28"/>
        </w:rPr>
        <w:t>Paraprobiotics</w:t>
      </w:r>
      <w:proofErr w:type="spellEnd"/>
      <w:r w:rsidRPr="00733709">
        <w:rPr>
          <w:rFonts w:ascii="Times New Roman" w:hAnsi="Times New Roman" w:cs="Times New Roman"/>
          <w:sz w:val="28"/>
          <w:szCs w:val="28"/>
        </w:rPr>
        <w:t xml:space="preserve"> and postbiotics of probiotics: Physical functional and biological properties, applications and practical aspects. </w:t>
      </w:r>
      <w:r w:rsidRPr="00733709">
        <w:rPr>
          <w:rFonts w:ascii="Times New Roman" w:hAnsi="Times New Roman" w:cs="Times New Roman"/>
          <w:i/>
          <w:iCs/>
          <w:sz w:val="28"/>
          <w:szCs w:val="28"/>
        </w:rPr>
        <w:t>Trends in Food Science &amp; Technology</w:t>
      </w:r>
      <w:r w:rsidRPr="00733709">
        <w:rPr>
          <w:rFonts w:ascii="Times New Roman" w:hAnsi="Times New Roman" w:cs="Times New Roman"/>
          <w:sz w:val="28"/>
          <w:szCs w:val="28"/>
        </w:rPr>
        <w:t xml:space="preserve">, 96, 85-93. </w:t>
      </w:r>
      <w:hyperlink r:id="rId38" w:history="1">
        <w:r w:rsidRPr="00733709">
          <w:rPr>
            <w:rStyle w:val="Hyperlink"/>
            <w:rFonts w:ascii="Times New Roman" w:hAnsi="Times New Roman" w:cs="Times New Roman"/>
            <w:sz w:val="28"/>
            <w:szCs w:val="28"/>
          </w:rPr>
          <w:t>https://doi.org/10.1016/j.tifs.2019.12.005</w:t>
        </w:r>
      </w:hyperlink>
    </w:p>
    <w:p w14:paraId="600BFCF4"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lang w:val="it-IT"/>
        </w:rPr>
        <w:t xml:space="preserve">Torres, L., Krüger, A., Csibra, E., Gianni, E., &amp; Pinheiro, V. B. (2016). </w:t>
      </w:r>
      <w:r w:rsidRPr="00733709">
        <w:rPr>
          <w:rFonts w:ascii="Times New Roman" w:hAnsi="Times New Roman" w:cs="Times New Roman"/>
          <w:sz w:val="28"/>
          <w:szCs w:val="28"/>
        </w:rPr>
        <w:t xml:space="preserve">Synthetic biology approaches to biological containment: Pre-emptively tackling potential risks. </w:t>
      </w:r>
      <w:r w:rsidRPr="00733709">
        <w:rPr>
          <w:rFonts w:ascii="Times New Roman" w:hAnsi="Times New Roman" w:cs="Times New Roman"/>
          <w:i/>
          <w:iCs/>
          <w:sz w:val="28"/>
          <w:szCs w:val="28"/>
        </w:rPr>
        <w:t>Essays in Biochemistry</w:t>
      </w:r>
      <w:r w:rsidRPr="00733709">
        <w:rPr>
          <w:rFonts w:ascii="Times New Roman" w:hAnsi="Times New Roman" w:cs="Times New Roman"/>
          <w:sz w:val="28"/>
          <w:szCs w:val="28"/>
        </w:rPr>
        <w:t xml:space="preserve">, 60(4), 393-410. </w:t>
      </w:r>
      <w:hyperlink r:id="rId39" w:history="1">
        <w:r w:rsidRPr="00733709">
          <w:rPr>
            <w:rStyle w:val="Hyperlink"/>
            <w:rFonts w:ascii="Times New Roman" w:hAnsi="Times New Roman" w:cs="Times New Roman"/>
            <w:sz w:val="28"/>
            <w:szCs w:val="28"/>
          </w:rPr>
          <w:t>https://doi.org/10.1042/EBC20160013</w:t>
        </w:r>
      </w:hyperlink>
    </w:p>
    <w:p w14:paraId="46F4193F"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Torres-Barceló, C. (2018). The disparate effects of bacteriophages on antibiotic-resistant bacteria. </w:t>
      </w:r>
      <w:r w:rsidRPr="00733709">
        <w:rPr>
          <w:rFonts w:ascii="Times New Roman" w:hAnsi="Times New Roman" w:cs="Times New Roman"/>
          <w:i/>
          <w:iCs/>
          <w:sz w:val="28"/>
          <w:szCs w:val="28"/>
        </w:rPr>
        <w:t>Emerging Microbes &amp; Infections</w:t>
      </w:r>
      <w:r w:rsidRPr="00733709">
        <w:rPr>
          <w:rFonts w:ascii="Times New Roman" w:hAnsi="Times New Roman" w:cs="Times New Roman"/>
          <w:sz w:val="28"/>
          <w:szCs w:val="28"/>
        </w:rPr>
        <w:t xml:space="preserve">, 7(1), 168. </w:t>
      </w:r>
      <w:hyperlink r:id="rId40" w:history="1">
        <w:r w:rsidRPr="00733709">
          <w:rPr>
            <w:rStyle w:val="Hyperlink"/>
            <w:rFonts w:ascii="Times New Roman" w:hAnsi="Times New Roman" w:cs="Times New Roman"/>
            <w:sz w:val="28"/>
            <w:szCs w:val="28"/>
          </w:rPr>
          <w:t>https://doi.org/10.1038/s41426-018-0169-z</w:t>
        </w:r>
      </w:hyperlink>
    </w:p>
    <w:p w14:paraId="1D79625A"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Valdes, A. M., Walter, J., Segal, E., &amp; Spector, T. D. (2018). Role of the gut microbiota in nutrition and health. </w:t>
      </w:r>
      <w:r w:rsidRPr="00733709">
        <w:rPr>
          <w:rFonts w:ascii="Times New Roman" w:hAnsi="Times New Roman" w:cs="Times New Roman"/>
          <w:i/>
          <w:iCs/>
          <w:sz w:val="28"/>
          <w:szCs w:val="28"/>
        </w:rPr>
        <w:t>BMJ</w:t>
      </w:r>
      <w:r w:rsidRPr="00733709">
        <w:rPr>
          <w:rFonts w:ascii="Times New Roman" w:hAnsi="Times New Roman" w:cs="Times New Roman"/>
          <w:sz w:val="28"/>
          <w:szCs w:val="28"/>
        </w:rPr>
        <w:t xml:space="preserve">, 361, k2179. </w:t>
      </w:r>
      <w:hyperlink r:id="rId41" w:history="1">
        <w:r w:rsidRPr="00733709">
          <w:rPr>
            <w:rStyle w:val="Hyperlink"/>
            <w:rFonts w:ascii="Times New Roman" w:hAnsi="Times New Roman" w:cs="Times New Roman"/>
            <w:sz w:val="28"/>
            <w:szCs w:val="28"/>
          </w:rPr>
          <w:t>https://doi.org/10.1136/bmj.k2179</w:t>
        </w:r>
      </w:hyperlink>
    </w:p>
    <w:p w14:paraId="54BECFB7"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Yao, M., Xie, J., Du, H., McClements, D. J., Xiao, H., &amp; Li, L. (2020). Progress in microencapsulation of probiotics: A review. </w:t>
      </w:r>
      <w:r w:rsidRPr="00733709">
        <w:rPr>
          <w:rFonts w:ascii="Times New Roman" w:hAnsi="Times New Roman" w:cs="Times New Roman"/>
          <w:i/>
          <w:iCs/>
          <w:sz w:val="28"/>
          <w:szCs w:val="28"/>
        </w:rPr>
        <w:t>Comprehensive Reviews in Food Science and Food Safety</w:t>
      </w:r>
      <w:r w:rsidRPr="00733709">
        <w:rPr>
          <w:rFonts w:ascii="Times New Roman" w:hAnsi="Times New Roman" w:cs="Times New Roman"/>
          <w:sz w:val="28"/>
          <w:szCs w:val="28"/>
        </w:rPr>
        <w:t xml:space="preserve">, 19(2), 857-874. </w:t>
      </w:r>
      <w:hyperlink r:id="rId42" w:history="1">
        <w:r w:rsidRPr="00733709">
          <w:rPr>
            <w:rStyle w:val="Hyperlink"/>
            <w:rFonts w:ascii="Times New Roman" w:hAnsi="Times New Roman" w:cs="Times New Roman"/>
            <w:sz w:val="28"/>
            <w:szCs w:val="28"/>
          </w:rPr>
          <w:t>https://doi.org/10.1111/1541-4337.12532</w:t>
        </w:r>
      </w:hyperlink>
    </w:p>
    <w:p w14:paraId="37338216"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Zhao, Y., Wang, C., Li, X., Liu, L., Han, J., Wang, Y., Zhong, Q., &amp; Zhang, L. (2017). A novel strategy to combat bacterial biofilm formation using surface-immobilized antimicrobial peptides. </w:t>
      </w:r>
      <w:r w:rsidRPr="00733709">
        <w:rPr>
          <w:rFonts w:ascii="Times New Roman" w:hAnsi="Times New Roman" w:cs="Times New Roman"/>
          <w:i/>
          <w:iCs/>
          <w:sz w:val="28"/>
          <w:szCs w:val="28"/>
        </w:rPr>
        <w:t>Applied Surface Science</w:t>
      </w:r>
      <w:r w:rsidRPr="00733709">
        <w:rPr>
          <w:rFonts w:ascii="Times New Roman" w:hAnsi="Times New Roman" w:cs="Times New Roman"/>
          <w:sz w:val="28"/>
          <w:szCs w:val="28"/>
        </w:rPr>
        <w:t xml:space="preserve">, 417, 294-301. </w:t>
      </w:r>
      <w:hyperlink r:id="rId43" w:history="1">
        <w:r w:rsidRPr="00733709">
          <w:rPr>
            <w:rStyle w:val="Hyperlink"/>
            <w:rFonts w:ascii="Times New Roman" w:hAnsi="Times New Roman" w:cs="Times New Roman"/>
            <w:sz w:val="28"/>
            <w:szCs w:val="28"/>
          </w:rPr>
          <w:t>https://doi.org/10.1016/j.apsusc.2017.01.220</w:t>
        </w:r>
      </w:hyperlink>
    </w:p>
    <w:p w14:paraId="4E126154"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proofErr w:type="spellStart"/>
      <w:r w:rsidRPr="00733709">
        <w:rPr>
          <w:rFonts w:ascii="Times New Roman" w:hAnsi="Times New Roman" w:cs="Times New Roman"/>
          <w:sz w:val="28"/>
          <w:szCs w:val="28"/>
        </w:rPr>
        <w:t>Zmora</w:t>
      </w:r>
      <w:proofErr w:type="spellEnd"/>
      <w:r w:rsidRPr="00733709">
        <w:rPr>
          <w:rFonts w:ascii="Times New Roman" w:hAnsi="Times New Roman" w:cs="Times New Roman"/>
          <w:sz w:val="28"/>
          <w:szCs w:val="28"/>
        </w:rPr>
        <w:t>, N., Zilberman-Schapira, G., Suez, J., Mor, U., Dori-</w:t>
      </w:r>
      <w:proofErr w:type="spellStart"/>
      <w:r w:rsidRPr="00733709">
        <w:rPr>
          <w:rFonts w:ascii="Times New Roman" w:hAnsi="Times New Roman" w:cs="Times New Roman"/>
          <w:sz w:val="28"/>
          <w:szCs w:val="28"/>
        </w:rPr>
        <w:t>Bachash</w:t>
      </w:r>
      <w:proofErr w:type="spellEnd"/>
      <w:r w:rsidRPr="00733709">
        <w:rPr>
          <w:rFonts w:ascii="Times New Roman" w:hAnsi="Times New Roman" w:cs="Times New Roman"/>
          <w:sz w:val="28"/>
          <w:szCs w:val="28"/>
        </w:rPr>
        <w:t xml:space="preserve">, M., </w:t>
      </w:r>
      <w:proofErr w:type="spellStart"/>
      <w:r w:rsidRPr="00733709">
        <w:rPr>
          <w:rFonts w:ascii="Times New Roman" w:hAnsi="Times New Roman" w:cs="Times New Roman"/>
          <w:sz w:val="28"/>
          <w:szCs w:val="28"/>
        </w:rPr>
        <w:t>Bashiardes</w:t>
      </w:r>
      <w:proofErr w:type="spellEnd"/>
      <w:r w:rsidRPr="00733709">
        <w:rPr>
          <w:rFonts w:ascii="Times New Roman" w:hAnsi="Times New Roman" w:cs="Times New Roman"/>
          <w:sz w:val="28"/>
          <w:szCs w:val="28"/>
        </w:rPr>
        <w:t xml:space="preserve">, S., Kotler, E., Zur, M., Regev-Lehavi, D., Brik, R. B., Federici, S., Horn, M., Cohen, Y., Moor, A. E., Zeevi, D., </w:t>
      </w:r>
      <w:proofErr w:type="spellStart"/>
      <w:r w:rsidRPr="00733709">
        <w:rPr>
          <w:rFonts w:ascii="Times New Roman" w:hAnsi="Times New Roman" w:cs="Times New Roman"/>
          <w:sz w:val="28"/>
          <w:szCs w:val="28"/>
        </w:rPr>
        <w:t>Korem</w:t>
      </w:r>
      <w:proofErr w:type="spellEnd"/>
      <w:r w:rsidRPr="00733709">
        <w:rPr>
          <w:rFonts w:ascii="Times New Roman" w:hAnsi="Times New Roman" w:cs="Times New Roman"/>
          <w:sz w:val="28"/>
          <w:szCs w:val="28"/>
        </w:rPr>
        <w:t xml:space="preserve">, T., Kotler, E., Harmelin, A., Itzkovitz, S., </w:t>
      </w:r>
      <w:proofErr w:type="spellStart"/>
      <w:r w:rsidRPr="00733709">
        <w:rPr>
          <w:rFonts w:ascii="Times New Roman" w:hAnsi="Times New Roman" w:cs="Times New Roman"/>
          <w:sz w:val="28"/>
          <w:szCs w:val="28"/>
        </w:rPr>
        <w:t>Maharshak</w:t>
      </w:r>
      <w:proofErr w:type="spellEnd"/>
      <w:r w:rsidRPr="00733709">
        <w:rPr>
          <w:rFonts w:ascii="Times New Roman" w:hAnsi="Times New Roman" w:cs="Times New Roman"/>
          <w:sz w:val="28"/>
          <w:szCs w:val="28"/>
        </w:rPr>
        <w:t xml:space="preserve">, N., </w:t>
      </w:r>
      <w:proofErr w:type="spellStart"/>
      <w:r w:rsidRPr="00733709">
        <w:rPr>
          <w:rFonts w:ascii="Times New Roman" w:hAnsi="Times New Roman" w:cs="Times New Roman"/>
          <w:sz w:val="28"/>
          <w:szCs w:val="28"/>
        </w:rPr>
        <w:t>Shibolet</w:t>
      </w:r>
      <w:proofErr w:type="spellEnd"/>
      <w:r w:rsidRPr="00733709">
        <w:rPr>
          <w:rFonts w:ascii="Times New Roman" w:hAnsi="Times New Roman" w:cs="Times New Roman"/>
          <w:sz w:val="28"/>
          <w:szCs w:val="28"/>
        </w:rPr>
        <w:t xml:space="preserve">, O., Pevsner-Fischer, M., Shapiro, H., Sharon, I., Halpern, Z., Segal, E., &amp; </w:t>
      </w:r>
      <w:proofErr w:type="spellStart"/>
      <w:r w:rsidRPr="00733709">
        <w:rPr>
          <w:rFonts w:ascii="Times New Roman" w:hAnsi="Times New Roman" w:cs="Times New Roman"/>
          <w:sz w:val="28"/>
          <w:szCs w:val="28"/>
        </w:rPr>
        <w:t>Elinav</w:t>
      </w:r>
      <w:proofErr w:type="spellEnd"/>
      <w:r w:rsidRPr="00733709">
        <w:rPr>
          <w:rFonts w:ascii="Times New Roman" w:hAnsi="Times New Roman" w:cs="Times New Roman"/>
          <w:sz w:val="28"/>
          <w:szCs w:val="28"/>
        </w:rPr>
        <w:t xml:space="preserve">, E. (2018). </w:t>
      </w:r>
      <w:r w:rsidRPr="00733709">
        <w:rPr>
          <w:rFonts w:ascii="Times New Roman" w:hAnsi="Times New Roman" w:cs="Times New Roman"/>
          <w:sz w:val="28"/>
          <w:szCs w:val="28"/>
        </w:rPr>
        <w:lastRenderedPageBreak/>
        <w:t xml:space="preserve">Personalized gut mucosal colonization resistance to empiric probiotics is associated with unique host and microbiome features. </w:t>
      </w:r>
      <w:r w:rsidRPr="00733709">
        <w:rPr>
          <w:rFonts w:ascii="Times New Roman" w:hAnsi="Times New Roman" w:cs="Times New Roman"/>
          <w:i/>
          <w:iCs/>
          <w:sz w:val="28"/>
          <w:szCs w:val="28"/>
        </w:rPr>
        <w:t>Cell</w:t>
      </w:r>
      <w:r w:rsidRPr="00733709">
        <w:rPr>
          <w:rFonts w:ascii="Times New Roman" w:hAnsi="Times New Roman" w:cs="Times New Roman"/>
          <w:sz w:val="28"/>
          <w:szCs w:val="28"/>
        </w:rPr>
        <w:t xml:space="preserve">, 174(6), 1388-1405. </w:t>
      </w:r>
      <w:hyperlink r:id="rId44" w:history="1">
        <w:r w:rsidRPr="00733709">
          <w:rPr>
            <w:rStyle w:val="Hyperlink"/>
            <w:rFonts w:ascii="Times New Roman" w:hAnsi="Times New Roman" w:cs="Times New Roman"/>
            <w:sz w:val="28"/>
            <w:szCs w:val="28"/>
          </w:rPr>
          <w:t>https://doi.org/10.1016/j.cell.2018.08.041</w:t>
        </w:r>
      </w:hyperlink>
    </w:p>
    <w:p w14:paraId="322CBD77"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Zółkiewicz, J., Marzec, A., </w:t>
      </w:r>
      <w:proofErr w:type="spellStart"/>
      <w:r w:rsidRPr="00733709">
        <w:rPr>
          <w:rFonts w:ascii="Times New Roman" w:hAnsi="Times New Roman" w:cs="Times New Roman"/>
          <w:sz w:val="28"/>
          <w:szCs w:val="28"/>
        </w:rPr>
        <w:t>Ruszczyński</w:t>
      </w:r>
      <w:proofErr w:type="spellEnd"/>
      <w:r w:rsidRPr="00733709">
        <w:rPr>
          <w:rFonts w:ascii="Times New Roman" w:hAnsi="Times New Roman" w:cs="Times New Roman"/>
          <w:sz w:val="28"/>
          <w:szCs w:val="28"/>
        </w:rPr>
        <w:t xml:space="preserve">, M., &amp; Feleszko, W. (2020). Postbiotics—A step beyond pre-and probiotics. </w:t>
      </w:r>
      <w:r w:rsidRPr="00733709">
        <w:rPr>
          <w:rFonts w:ascii="Times New Roman" w:hAnsi="Times New Roman" w:cs="Times New Roman"/>
          <w:i/>
          <w:iCs/>
          <w:sz w:val="28"/>
          <w:szCs w:val="28"/>
        </w:rPr>
        <w:t>Nutrients</w:t>
      </w:r>
      <w:r w:rsidRPr="00733709">
        <w:rPr>
          <w:rFonts w:ascii="Times New Roman" w:hAnsi="Times New Roman" w:cs="Times New Roman"/>
          <w:sz w:val="28"/>
          <w:szCs w:val="28"/>
        </w:rPr>
        <w:t xml:space="preserve">, 12(8), 2189. </w:t>
      </w:r>
      <w:hyperlink r:id="rId45" w:history="1">
        <w:r w:rsidRPr="00733709">
          <w:rPr>
            <w:rStyle w:val="Hyperlink"/>
            <w:rFonts w:ascii="Times New Roman" w:hAnsi="Times New Roman" w:cs="Times New Roman"/>
            <w:sz w:val="28"/>
            <w:szCs w:val="28"/>
          </w:rPr>
          <w:t>https://doi.org/10.3390/nu12082189</w:t>
        </w:r>
      </w:hyperlink>
    </w:p>
    <w:p w14:paraId="796D51EC" w14:textId="77777777" w:rsidR="00614F26" w:rsidRPr="00733709" w:rsidRDefault="00614F26" w:rsidP="00614F26">
      <w:pPr>
        <w:pStyle w:val="ListParagraph"/>
        <w:numPr>
          <w:ilvl w:val="0"/>
          <w:numId w:val="1"/>
        </w:numPr>
        <w:jc w:val="both"/>
        <w:rPr>
          <w:rFonts w:ascii="Times New Roman" w:hAnsi="Times New Roman" w:cs="Times New Roman"/>
          <w:sz w:val="28"/>
          <w:szCs w:val="28"/>
        </w:rPr>
      </w:pPr>
      <w:r w:rsidRPr="00733709">
        <w:rPr>
          <w:rFonts w:ascii="Times New Roman" w:hAnsi="Times New Roman" w:cs="Times New Roman"/>
          <w:sz w:val="28"/>
          <w:szCs w:val="28"/>
        </w:rPr>
        <w:t xml:space="preserve">Żółkiewicz, J., Marzec, A., </w:t>
      </w:r>
      <w:proofErr w:type="spellStart"/>
      <w:r w:rsidRPr="00733709">
        <w:rPr>
          <w:rFonts w:ascii="Times New Roman" w:hAnsi="Times New Roman" w:cs="Times New Roman"/>
          <w:sz w:val="28"/>
          <w:szCs w:val="28"/>
        </w:rPr>
        <w:t>Ruszczyński</w:t>
      </w:r>
      <w:proofErr w:type="spellEnd"/>
      <w:r w:rsidRPr="00733709">
        <w:rPr>
          <w:rFonts w:ascii="Times New Roman" w:hAnsi="Times New Roman" w:cs="Times New Roman"/>
          <w:sz w:val="28"/>
          <w:szCs w:val="28"/>
        </w:rPr>
        <w:t xml:space="preserve">, M., &amp; Feleszko, W. (2020). Postbiotics—A step beyond pre-and probiotics. </w:t>
      </w:r>
      <w:r w:rsidRPr="00733709">
        <w:rPr>
          <w:rFonts w:ascii="Times New Roman" w:hAnsi="Times New Roman" w:cs="Times New Roman"/>
          <w:i/>
          <w:iCs/>
          <w:sz w:val="28"/>
          <w:szCs w:val="28"/>
        </w:rPr>
        <w:t>Nutrients</w:t>
      </w:r>
      <w:r w:rsidRPr="00733709">
        <w:rPr>
          <w:rFonts w:ascii="Times New Roman" w:hAnsi="Times New Roman" w:cs="Times New Roman"/>
          <w:sz w:val="28"/>
          <w:szCs w:val="28"/>
        </w:rPr>
        <w:t xml:space="preserve">, 12(8), 2189. </w:t>
      </w:r>
      <w:hyperlink r:id="rId46" w:history="1">
        <w:r w:rsidRPr="00733709">
          <w:rPr>
            <w:rStyle w:val="Hyperlink"/>
            <w:rFonts w:ascii="Times New Roman" w:hAnsi="Times New Roman" w:cs="Times New Roman"/>
            <w:sz w:val="28"/>
            <w:szCs w:val="28"/>
          </w:rPr>
          <w:t>https://doi.org/10.3390/nu12082189</w:t>
        </w:r>
      </w:hyperlink>
    </w:p>
    <w:p w14:paraId="71ECC6D0" w14:textId="77777777" w:rsidR="00614F26" w:rsidRPr="00733709" w:rsidRDefault="00614F26" w:rsidP="00614F26">
      <w:pPr>
        <w:jc w:val="both"/>
        <w:rPr>
          <w:rFonts w:ascii="Times New Roman" w:hAnsi="Times New Roman" w:cs="Times New Roman"/>
          <w:sz w:val="28"/>
          <w:szCs w:val="28"/>
        </w:rPr>
      </w:pPr>
    </w:p>
    <w:p w14:paraId="239411F9" w14:textId="77777777" w:rsidR="00614F26" w:rsidRPr="00AE58EF" w:rsidRDefault="00614F26" w:rsidP="00614F26">
      <w:pPr>
        <w:pStyle w:val="ListParagraph"/>
        <w:spacing w:line="360" w:lineRule="auto"/>
        <w:ind w:left="502"/>
        <w:rPr>
          <w:rFonts w:ascii="Times New Roman" w:hAnsi="Times New Roman" w:cs="Times New Roman"/>
        </w:rPr>
      </w:pPr>
    </w:p>
    <w:p w14:paraId="5B935206" w14:textId="77777777" w:rsidR="00614F26" w:rsidRPr="00733709" w:rsidRDefault="00614F26" w:rsidP="00733709">
      <w:pPr>
        <w:jc w:val="both"/>
        <w:rPr>
          <w:rFonts w:ascii="Times New Roman" w:hAnsi="Times New Roman" w:cs="Times New Roman"/>
          <w:sz w:val="28"/>
          <w:szCs w:val="28"/>
        </w:rPr>
      </w:pPr>
    </w:p>
    <w:p w14:paraId="1DAEE6EA" w14:textId="77777777" w:rsidR="00733709" w:rsidRPr="00733709" w:rsidRDefault="00733709" w:rsidP="00733709">
      <w:pPr>
        <w:jc w:val="both"/>
        <w:rPr>
          <w:rFonts w:ascii="Times New Roman" w:hAnsi="Times New Roman" w:cs="Times New Roman"/>
          <w:sz w:val="28"/>
          <w:szCs w:val="28"/>
        </w:rPr>
      </w:pPr>
    </w:p>
    <w:sectPr w:rsidR="00733709" w:rsidRPr="007337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6C2493"/>
    <w:multiLevelType w:val="hybridMultilevel"/>
    <w:tmpl w:val="B7C236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85829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709"/>
    <w:rsid w:val="00015AF8"/>
    <w:rsid w:val="000F3F53"/>
    <w:rsid w:val="00240EF8"/>
    <w:rsid w:val="004C3DBC"/>
    <w:rsid w:val="00614F26"/>
    <w:rsid w:val="0066166C"/>
    <w:rsid w:val="00733709"/>
    <w:rsid w:val="00A07DC7"/>
    <w:rsid w:val="00A65EBD"/>
    <w:rsid w:val="00A86A08"/>
    <w:rsid w:val="00B96E7D"/>
    <w:rsid w:val="00CB116E"/>
    <w:rsid w:val="00D61AA9"/>
    <w:rsid w:val="00D734D4"/>
    <w:rsid w:val="00D93713"/>
    <w:rsid w:val="00E3756D"/>
    <w:rsid w:val="00ED52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ABC2C"/>
  <w15:chartTrackingRefBased/>
  <w15:docId w15:val="{47FFBC49-4B57-45A0-BD7D-0C61BE3A3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70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3370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3370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3370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3370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337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7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7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7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70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3370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3370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3370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3370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337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7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7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709"/>
    <w:rPr>
      <w:rFonts w:eastAsiaTheme="majorEastAsia" w:cstheme="majorBidi"/>
      <w:color w:val="272727" w:themeColor="text1" w:themeTint="D8"/>
    </w:rPr>
  </w:style>
  <w:style w:type="paragraph" w:styleId="Title">
    <w:name w:val="Title"/>
    <w:basedOn w:val="Normal"/>
    <w:next w:val="Normal"/>
    <w:link w:val="TitleChar"/>
    <w:uiPriority w:val="10"/>
    <w:qFormat/>
    <w:rsid w:val="007337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7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7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7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709"/>
    <w:pPr>
      <w:spacing w:before="160"/>
      <w:jc w:val="center"/>
    </w:pPr>
    <w:rPr>
      <w:i/>
      <w:iCs/>
      <w:color w:val="404040" w:themeColor="text1" w:themeTint="BF"/>
    </w:rPr>
  </w:style>
  <w:style w:type="character" w:customStyle="1" w:styleId="QuoteChar">
    <w:name w:val="Quote Char"/>
    <w:basedOn w:val="DefaultParagraphFont"/>
    <w:link w:val="Quote"/>
    <w:uiPriority w:val="29"/>
    <w:rsid w:val="00733709"/>
    <w:rPr>
      <w:i/>
      <w:iCs/>
      <w:color w:val="404040" w:themeColor="text1" w:themeTint="BF"/>
    </w:rPr>
  </w:style>
  <w:style w:type="paragraph" w:styleId="ListParagraph">
    <w:name w:val="List Paragraph"/>
    <w:basedOn w:val="Normal"/>
    <w:uiPriority w:val="34"/>
    <w:qFormat/>
    <w:rsid w:val="00733709"/>
    <w:pPr>
      <w:ind w:left="720"/>
      <w:contextualSpacing/>
    </w:pPr>
  </w:style>
  <w:style w:type="character" w:styleId="IntenseEmphasis">
    <w:name w:val="Intense Emphasis"/>
    <w:basedOn w:val="DefaultParagraphFont"/>
    <w:uiPriority w:val="21"/>
    <w:qFormat/>
    <w:rsid w:val="00733709"/>
    <w:rPr>
      <w:i/>
      <w:iCs/>
      <w:color w:val="2F5496" w:themeColor="accent1" w:themeShade="BF"/>
    </w:rPr>
  </w:style>
  <w:style w:type="paragraph" w:styleId="IntenseQuote">
    <w:name w:val="Intense Quote"/>
    <w:basedOn w:val="Normal"/>
    <w:next w:val="Normal"/>
    <w:link w:val="IntenseQuoteChar"/>
    <w:uiPriority w:val="30"/>
    <w:qFormat/>
    <w:rsid w:val="0073370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33709"/>
    <w:rPr>
      <w:i/>
      <w:iCs/>
      <w:color w:val="2F5496" w:themeColor="accent1" w:themeShade="BF"/>
    </w:rPr>
  </w:style>
  <w:style w:type="character" w:styleId="IntenseReference">
    <w:name w:val="Intense Reference"/>
    <w:basedOn w:val="DefaultParagraphFont"/>
    <w:uiPriority w:val="32"/>
    <w:qFormat/>
    <w:rsid w:val="00733709"/>
    <w:rPr>
      <w:b/>
      <w:bCs/>
      <w:smallCaps/>
      <w:color w:val="2F5496" w:themeColor="accent1" w:themeShade="BF"/>
      <w:spacing w:val="5"/>
    </w:rPr>
  </w:style>
  <w:style w:type="character" w:styleId="Hyperlink">
    <w:name w:val="Hyperlink"/>
    <w:basedOn w:val="DefaultParagraphFont"/>
    <w:uiPriority w:val="99"/>
    <w:unhideWhenUsed/>
    <w:rsid w:val="00733709"/>
    <w:rPr>
      <w:color w:val="0563C1" w:themeColor="hyperlink"/>
      <w:u w:val="single"/>
    </w:rPr>
  </w:style>
  <w:style w:type="character" w:styleId="UnresolvedMention">
    <w:name w:val="Unresolved Mention"/>
    <w:basedOn w:val="DefaultParagraphFont"/>
    <w:uiPriority w:val="99"/>
    <w:semiHidden/>
    <w:unhideWhenUsed/>
    <w:rsid w:val="007337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tifs.2018.03.009" TargetMode="External"/><Relationship Id="rId13" Type="http://schemas.openxmlformats.org/officeDocument/2006/relationships/hyperlink" Target="https://doi.org/10.1007/s11947-010-0434-1" TargetMode="External"/><Relationship Id="rId18" Type="http://schemas.openxmlformats.org/officeDocument/2006/relationships/hyperlink" Target="https://doi.org/10.1073/pnas.1219451110" TargetMode="External"/><Relationship Id="rId26" Type="http://schemas.openxmlformats.org/officeDocument/2006/relationships/hyperlink" Target="https://doi.org/10.3390/nu11051038" TargetMode="External"/><Relationship Id="rId39" Type="http://schemas.openxmlformats.org/officeDocument/2006/relationships/hyperlink" Target="https://doi.org/10.1042/EBC20160013" TargetMode="External"/><Relationship Id="rId3" Type="http://schemas.openxmlformats.org/officeDocument/2006/relationships/settings" Target="settings.xml"/><Relationship Id="rId21" Type="http://schemas.openxmlformats.org/officeDocument/2006/relationships/hyperlink" Target="https://doi.org/10.1016/S0168-1605(03)00184-1" TargetMode="External"/><Relationship Id="rId34" Type="http://schemas.openxmlformats.org/officeDocument/2006/relationships/hyperlink" Target="https://doi.org/10.1038/s41575-019-0173-3" TargetMode="External"/><Relationship Id="rId42" Type="http://schemas.openxmlformats.org/officeDocument/2006/relationships/hyperlink" Target="https://doi.org/10.1111/1541-4337.12532" TargetMode="External"/><Relationship Id="rId47" Type="http://schemas.openxmlformats.org/officeDocument/2006/relationships/fontTable" Target="fontTable.xml"/><Relationship Id="rId7" Type="http://schemas.openxmlformats.org/officeDocument/2006/relationships/hyperlink" Target="https://doi.org/10.1017/S0954422410000090" TargetMode="External"/><Relationship Id="rId12" Type="http://schemas.openxmlformats.org/officeDocument/2006/relationships/hyperlink" Target="https://doi.org/10.1111/bph.13729" TargetMode="External"/><Relationship Id="rId17" Type="http://schemas.openxmlformats.org/officeDocument/2006/relationships/hyperlink" Target="https://doi.org/10.3389/fmicb.2017.01490" TargetMode="External"/><Relationship Id="rId25" Type="http://schemas.openxmlformats.org/officeDocument/2006/relationships/hyperlink" Target="https://doi.org/10.3389/fmicb.2017.01226" TargetMode="External"/><Relationship Id="rId33" Type="http://schemas.openxmlformats.org/officeDocument/2006/relationships/hyperlink" Target="https://doi.org/10.1038/s41575-021-00440-6" TargetMode="External"/><Relationship Id="rId38" Type="http://schemas.openxmlformats.org/officeDocument/2006/relationships/hyperlink" Target="https://doi.org/10.1016/j.tifs.2019.12.005" TargetMode="External"/><Relationship Id="rId46" Type="http://schemas.openxmlformats.org/officeDocument/2006/relationships/hyperlink" Target="https://doi.org/10.3390/nu12082189" TargetMode="External"/><Relationship Id="rId2" Type="http://schemas.openxmlformats.org/officeDocument/2006/relationships/styles" Target="styles.xml"/><Relationship Id="rId16" Type="http://schemas.openxmlformats.org/officeDocument/2006/relationships/hyperlink" Target="https://doi.org/10.1016/j.tifs.2016.09.011" TargetMode="External"/><Relationship Id="rId20" Type="http://schemas.openxmlformats.org/officeDocument/2006/relationships/hyperlink" Target="https://doi.org/10.1038/nrgastro.2014.66" TargetMode="External"/><Relationship Id="rId29" Type="http://schemas.openxmlformats.org/officeDocument/2006/relationships/hyperlink" Target="https://doi.org/10.3390/ijms20102534" TargetMode="External"/><Relationship Id="rId41" Type="http://schemas.openxmlformats.org/officeDocument/2006/relationships/hyperlink" Target="https://doi.org/10.1136/bmj.k2179" TargetMode="Externa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doi.org/10.1016/j.ijpharm.2016.04.002" TargetMode="External"/><Relationship Id="rId24" Type="http://schemas.openxmlformats.org/officeDocument/2006/relationships/hyperlink" Target="https://doi.org/10.1186/s13073-016-0300-5" TargetMode="External"/><Relationship Id="rId32" Type="http://schemas.openxmlformats.org/officeDocument/2006/relationships/hyperlink" Target="https://doi.org/10.1016/j.biomaterials.2018.09.024" TargetMode="External"/><Relationship Id="rId37" Type="http://schemas.openxmlformats.org/officeDocument/2006/relationships/hyperlink" Target="https://doi.org/10.1007/s12263-011-0218-x" TargetMode="External"/><Relationship Id="rId40" Type="http://schemas.openxmlformats.org/officeDocument/2006/relationships/hyperlink" Target="https://doi.org/10.1038/s41426-018-0169-z" TargetMode="External"/><Relationship Id="rId45" Type="http://schemas.openxmlformats.org/officeDocument/2006/relationships/hyperlink" Target="https://doi.org/10.3390/nu12082189" TargetMode="External"/><Relationship Id="rId5" Type="http://schemas.openxmlformats.org/officeDocument/2006/relationships/image" Target="media/image1.png"/><Relationship Id="rId15" Type="http://schemas.openxmlformats.org/officeDocument/2006/relationships/hyperlink" Target="https://doi.org/10.1038/nrmicro2937" TargetMode="External"/><Relationship Id="rId23" Type="http://schemas.openxmlformats.org/officeDocument/2006/relationships/hyperlink" Target="https://doi.org/10.1038/nri3312" TargetMode="External"/><Relationship Id="rId28" Type="http://schemas.openxmlformats.org/officeDocument/2006/relationships/hyperlink" Target="https://doi.org/10.4172/2329-888X.1000107" TargetMode="External"/><Relationship Id="rId36" Type="http://schemas.openxmlformats.org/officeDocument/2006/relationships/hyperlink" Target="https://doi.org/10.1016/j.ijfoodmicro.2007.09.001" TargetMode="External"/><Relationship Id="rId10" Type="http://schemas.openxmlformats.org/officeDocument/2006/relationships/hyperlink" Target="https://doi.org/10.1016/j.foodchem.2017.07.074" TargetMode="External"/><Relationship Id="rId19" Type="http://schemas.openxmlformats.org/officeDocument/2006/relationships/hyperlink" Target="https://doi.org/10.1111/j.1541-4337.2010.00110.x" TargetMode="External"/><Relationship Id="rId31" Type="http://schemas.openxmlformats.org/officeDocument/2006/relationships/hyperlink" Target="https://doi.org/10.1016/j.foodres.2009.09.009" TargetMode="External"/><Relationship Id="rId44" Type="http://schemas.openxmlformats.org/officeDocument/2006/relationships/hyperlink" Target="https://doi.org/10.1016/j.cell.2018.08.041" TargetMode="External"/><Relationship Id="rId4" Type="http://schemas.openxmlformats.org/officeDocument/2006/relationships/webSettings" Target="webSettings.xml"/><Relationship Id="rId9" Type="http://schemas.openxmlformats.org/officeDocument/2006/relationships/hyperlink" Target="https://doi.org/10.1016/j.fm.2010.08.006" TargetMode="External"/><Relationship Id="rId14" Type="http://schemas.openxmlformats.org/officeDocument/2006/relationships/hyperlink" Target="https://doi.org/10.1016/j.jconrel.2012.06.003" TargetMode="External"/><Relationship Id="rId22" Type="http://schemas.openxmlformats.org/officeDocument/2006/relationships/hyperlink" Target="https://doi.org/10.1038/nbt.4222" TargetMode="External"/><Relationship Id="rId27" Type="http://schemas.openxmlformats.org/officeDocument/2006/relationships/hyperlink" Target="https://doi.org/10.1038/nmicrobiol.2017.57" TargetMode="External"/><Relationship Id="rId30" Type="http://schemas.openxmlformats.org/officeDocument/2006/relationships/hyperlink" Target="https://doi.org/10.1016/j.foodchem.2019.125364" TargetMode="External"/><Relationship Id="rId35" Type="http://schemas.openxmlformats.org/officeDocument/2006/relationships/hyperlink" Target="https://doi.org/10.4161/gmic.1.3.12127" TargetMode="External"/><Relationship Id="rId43" Type="http://schemas.openxmlformats.org/officeDocument/2006/relationships/hyperlink" Target="https://doi.org/10.1016/j.apsusc.2017.01.220"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31</Pages>
  <Words>10813</Words>
  <Characters>61637</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Rabinarayan Sahoo</dc:creator>
  <cp:keywords/>
  <dc:description/>
  <cp:lastModifiedBy>Editor GP 005</cp:lastModifiedBy>
  <cp:revision>9</cp:revision>
  <dcterms:created xsi:type="dcterms:W3CDTF">2025-08-19T18:29:00Z</dcterms:created>
  <dcterms:modified xsi:type="dcterms:W3CDTF">2025-10-03T05:31:00Z</dcterms:modified>
</cp:coreProperties>
</file>