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C556B" w14:textId="06DD7E6C" w:rsidR="005F30E0" w:rsidRDefault="00936F7D" w:rsidP="00A7365A">
      <w:pPr>
        <w:spacing w:line="240" w:lineRule="auto"/>
        <w:jc w:val="center"/>
        <w:rPr>
          <w:rFonts w:ascii="Times New Roman" w:hAnsi="Times New Roman" w:cs="Times New Roman"/>
          <w:b/>
          <w:iCs/>
          <w:sz w:val="24"/>
          <w:szCs w:val="20"/>
        </w:rPr>
      </w:pPr>
      <w:r w:rsidRPr="004B5901">
        <w:rPr>
          <w:rFonts w:ascii="Times New Roman" w:hAnsi="Times New Roman" w:cs="Times New Roman"/>
          <w:b/>
          <w:iCs/>
          <w:sz w:val="24"/>
          <w:szCs w:val="20"/>
          <w:highlight w:val="yellow"/>
        </w:rPr>
        <w:t>Herbicide Residues in Soil</w:t>
      </w:r>
      <w:r w:rsidR="00FD5FF2" w:rsidRPr="004B5901">
        <w:rPr>
          <w:rFonts w:ascii="Times New Roman" w:hAnsi="Times New Roman" w:cs="Times New Roman"/>
          <w:b/>
          <w:iCs/>
          <w:sz w:val="24"/>
          <w:szCs w:val="20"/>
          <w:highlight w:val="yellow"/>
        </w:rPr>
        <w:t xml:space="preserve"> of Former Phosphate Sludge Basins Converted to Agricultural Land in Mboro (</w:t>
      </w:r>
      <w:r w:rsidRPr="004B5901">
        <w:rPr>
          <w:rFonts w:ascii="Times New Roman" w:hAnsi="Times New Roman" w:cs="Times New Roman"/>
          <w:b/>
          <w:iCs/>
          <w:sz w:val="24"/>
          <w:szCs w:val="20"/>
          <w:highlight w:val="yellow"/>
        </w:rPr>
        <w:t>Niayes area-</w:t>
      </w:r>
      <w:r w:rsidR="00FD5FF2" w:rsidRPr="004B5901">
        <w:rPr>
          <w:rFonts w:ascii="Times New Roman" w:hAnsi="Times New Roman" w:cs="Times New Roman"/>
          <w:b/>
          <w:iCs/>
          <w:sz w:val="24"/>
          <w:szCs w:val="20"/>
          <w:highlight w:val="yellow"/>
        </w:rPr>
        <w:t>Senegal)</w:t>
      </w:r>
    </w:p>
    <w:p w14:paraId="1F6FA2E2" w14:textId="434D9459" w:rsidR="006C25CF" w:rsidRPr="006C25CF" w:rsidRDefault="006C25CF" w:rsidP="00104337">
      <w:pPr>
        <w:spacing w:before="100" w:beforeAutospacing="1" w:after="240" w:line="240" w:lineRule="auto"/>
        <w:jc w:val="center"/>
        <w:rPr>
          <w:rFonts w:ascii="Arial" w:hAnsi="Arial" w:cs="Arial"/>
          <w:noProof/>
          <w:sz w:val="20"/>
          <w:szCs w:val="20"/>
        </w:rPr>
      </w:pPr>
      <w:bookmarkStart w:id="0" w:name="_GoBack"/>
      <w:bookmarkEnd w:id="0"/>
      <w:r w:rsidRPr="00104337">
        <w:rPr>
          <w:rFonts w:ascii="Arial" w:hAnsi="Arial" w:cs="Arial"/>
          <w:noProof/>
          <w:sz w:val="20"/>
          <w:szCs w:val="20"/>
          <w:highlight w:val="yellow"/>
        </w:rPr>
        <w:t>Original Research Article</w:t>
      </w:r>
    </w:p>
    <w:p w14:paraId="0AA0EE12" w14:textId="5AD9E920" w:rsidR="006C25CF" w:rsidRPr="00CE1675" w:rsidRDefault="006C25CF" w:rsidP="006C25CF">
      <w:pPr>
        <w:tabs>
          <w:tab w:val="left" w:pos="1766"/>
        </w:tabs>
        <w:spacing w:after="0" w:line="240" w:lineRule="auto"/>
        <w:rPr>
          <w:rFonts w:ascii="Arial" w:hAnsi="Arial" w:cs="Arial"/>
          <w:noProof/>
          <w:sz w:val="20"/>
          <w:szCs w:val="20"/>
          <w:u w:val="single"/>
        </w:rPr>
      </w:pPr>
    </w:p>
    <w:p w14:paraId="3A28A652" w14:textId="77777777" w:rsidR="006C25CF" w:rsidRPr="00FD5FF2" w:rsidRDefault="006C25CF" w:rsidP="00A7365A">
      <w:pPr>
        <w:spacing w:line="240" w:lineRule="auto"/>
        <w:jc w:val="center"/>
        <w:rPr>
          <w:rFonts w:ascii="Times New Roman" w:hAnsi="Times New Roman" w:cs="Times New Roman"/>
          <w:b/>
          <w:sz w:val="32"/>
          <w:szCs w:val="24"/>
        </w:rPr>
      </w:pPr>
    </w:p>
    <w:p w14:paraId="01595CBA" w14:textId="77777777" w:rsidR="00C7553A" w:rsidRPr="005F30E0" w:rsidRDefault="00C7553A" w:rsidP="00A7365A">
      <w:pPr>
        <w:spacing w:line="240" w:lineRule="auto"/>
        <w:jc w:val="center"/>
        <w:rPr>
          <w:rFonts w:ascii="Times New Roman" w:hAnsi="Times New Roman" w:cs="Times New Roman"/>
          <w:sz w:val="24"/>
          <w:szCs w:val="24"/>
        </w:rPr>
      </w:pPr>
    </w:p>
    <w:p w14:paraId="63B5BCAA" w14:textId="78A617CE" w:rsidR="004666AE" w:rsidRPr="00B71370" w:rsidRDefault="00E879E0" w:rsidP="00A7365A">
      <w:pPr>
        <w:spacing w:line="240" w:lineRule="auto"/>
        <w:jc w:val="both"/>
        <w:rPr>
          <w:rFonts w:ascii="Times New Roman" w:hAnsi="Times New Roman" w:cs="Times New Roman"/>
          <w:b/>
          <w:sz w:val="24"/>
          <w:szCs w:val="24"/>
        </w:rPr>
      </w:pPr>
      <w:r w:rsidRPr="00E879E0">
        <w:t xml:space="preserve"> </w:t>
      </w:r>
      <w:r w:rsidRPr="00E879E0">
        <w:rPr>
          <w:rFonts w:ascii="Times New Roman" w:hAnsi="Times New Roman" w:cs="Times New Roman"/>
          <w:b/>
          <w:sz w:val="24"/>
          <w:szCs w:val="24"/>
        </w:rPr>
        <w:t>Abstract</w:t>
      </w:r>
    </w:p>
    <w:p w14:paraId="7193BF20" w14:textId="16E1687D" w:rsidR="00E879E0" w:rsidRDefault="00E879E0" w:rsidP="00A7365A">
      <w:pPr>
        <w:spacing w:line="240" w:lineRule="auto"/>
        <w:jc w:val="both"/>
        <w:rPr>
          <w:rFonts w:ascii="Times New Roman" w:hAnsi="Times New Roman" w:cs="Times New Roman"/>
          <w:sz w:val="24"/>
          <w:szCs w:val="24"/>
        </w:rPr>
      </w:pPr>
      <w:r w:rsidRPr="005A05E0">
        <w:rPr>
          <w:rFonts w:ascii="Times New Roman" w:hAnsi="Times New Roman" w:cs="Times New Roman"/>
          <w:sz w:val="24"/>
          <w:szCs w:val="24"/>
        </w:rPr>
        <w:t xml:space="preserve">Herbicides have been widely used in agriculture for many years to control weeds. </w:t>
      </w:r>
      <w:r w:rsidRPr="00E879E0">
        <w:rPr>
          <w:rFonts w:ascii="Times New Roman" w:hAnsi="Times New Roman" w:cs="Times New Roman"/>
          <w:sz w:val="24"/>
          <w:szCs w:val="24"/>
        </w:rPr>
        <w:t>Triazines are one group of herbicides. Their degradation products are mobile and soluble in water, and can be strongly adsorbed to soil. They are highly toxic and a source of concern in</w:t>
      </w:r>
      <w:r>
        <w:rPr>
          <w:rFonts w:ascii="Times New Roman" w:hAnsi="Times New Roman" w:cs="Times New Roman"/>
          <w:sz w:val="24"/>
          <w:szCs w:val="24"/>
        </w:rPr>
        <w:t xml:space="preserve"> terms of environmental safety. </w:t>
      </w:r>
      <w:r w:rsidRPr="00E879E0">
        <w:rPr>
          <w:rFonts w:ascii="Times New Roman" w:hAnsi="Times New Roman" w:cs="Times New Roman"/>
          <w:sz w:val="24"/>
          <w:szCs w:val="24"/>
        </w:rPr>
        <w:t>Open-pit mining of the Taïba phosphate mines by Chemical Industries of Senegal (ICS) leaves deep basins on the mined sites.</w:t>
      </w:r>
      <w:r w:rsidR="00882594" w:rsidRPr="00882594">
        <w:t xml:space="preserve"> </w:t>
      </w:r>
      <w:r w:rsidR="00882594" w:rsidRPr="00882594">
        <w:rPr>
          <w:rFonts w:ascii="Times New Roman" w:hAnsi="Times New Roman" w:cs="Times New Roman"/>
          <w:sz w:val="24"/>
          <w:szCs w:val="24"/>
          <w:highlight w:val="yellow"/>
        </w:rPr>
        <w:t>Downstream, these basins serve as storage areas for phosphate washing sludge</w:t>
      </w:r>
      <w:r w:rsidRPr="00882594">
        <w:rPr>
          <w:rFonts w:ascii="Times New Roman" w:hAnsi="Times New Roman" w:cs="Times New Roman"/>
          <w:sz w:val="24"/>
          <w:szCs w:val="24"/>
          <w:highlight w:val="yellow"/>
        </w:rPr>
        <w:t>.</w:t>
      </w:r>
      <w:r w:rsidRPr="00E879E0">
        <w:rPr>
          <w:rFonts w:ascii="Times New Roman" w:hAnsi="Times New Roman" w:cs="Times New Roman"/>
          <w:sz w:val="24"/>
          <w:szCs w:val="24"/>
        </w:rPr>
        <w:t xml:space="preserve"> This highly fertile farmland is used by over 2,000 local farmers of all kinds. In such a context, it is essential to study the evolution of the behavior and fate of herbicides in the soil of the ponds. In this study, residue levels of three herbicides (atrazine, Terbutryne and Cybutryne) were determined in the soil of four of these ponds (B9, B10, B11 and B17). </w:t>
      </w:r>
      <w:r w:rsidR="00882594" w:rsidRPr="00882594">
        <w:rPr>
          <w:rFonts w:ascii="Times New Roman" w:hAnsi="Times New Roman" w:cs="Times New Roman"/>
          <w:sz w:val="24"/>
          <w:szCs w:val="24"/>
          <w:highlight w:val="yellow"/>
        </w:rPr>
        <w:t>Extraction was performed using the QuEChERS method. Analyses were carried out by gas chromatography coupled with tandem mass spectrophotometry (GC-MS/MS).</w:t>
      </w:r>
      <w:r w:rsidR="00882594">
        <w:rPr>
          <w:rFonts w:ascii="Times New Roman" w:hAnsi="Times New Roman" w:cs="Times New Roman"/>
          <w:sz w:val="24"/>
          <w:szCs w:val="24"/>
        </w:rPr>
        <w:t xml:space="preserve"> </w:t>
      </w:r>
      <w:r w:rsidRPr="00E879E0">
        <w:rPr>
          <w:rFonts w:ascii="Times New Roman" w:hAnsi="Times New Roman" w:cs="Times New Roman"/>
          <w:sz w:val="24"/>
          <w:szCs w:val="24"/>
        </w:rPr>
        <w:t>Statistical analysis of the results shows an abundance of active substances in the following descending order: Terbutr</w:t>
      </w:r>
      <w:r>
        <w:rPr>
          <w:rFonts w:ascii="Times New Roman" w:hAnsi="Times New Roman" w:cs="Times New Roman"/>
          <w:sz w:val="24"/>
          <w:szCs w:val="24"/>
        </w:rPr>
        <w:t xml:space="preserve">yne ˃ Atrazine ˃ Cybutryne.  </w:t>
      </w:r>
      <w:r w:rsidRPr="00882594">
        <w:rPr>
          <w:rFonts w:ascii="Times New Roman" w:hAnsi="Times New Roman" w:cs="Times New Roman"/>
          <w:sz w:val="24"/>
          <w:szCs w:val="24"/>
          <w:highlight w:val="yellow"/>
        </w:rPr>
        <w:t>It also shows that: Terbutryne residue levels range from 2.351 to 83.457 µg.kg</w:t>
      </w:r>
      <w:r w:rsidRPr="00882594">
        <w:rPr>
          <w:rFonts w:ascii="Times New Roman" w:hAnsi="Times New Roman" w:cs="Times New Roman"/>
          <w:sz w:val="24"/>
          <w:szCs w:val="24"/>
          <w:highlight w:val="yellow"/>
          <w:vertAlign w:val="superscript"/>
        </w:rPr>
        <w:t>-1</w:t>
      </w:r>
      <w:r w:rsidRPr="00882594">
        <w:rPr>
          <w:rFonts w:ascii="Times New Roman" w:hAnsi="Times New Roman" w:cs="Times New Roman"/>
          <w:sz w:val="24"/>
          <w:szCs w:val="24"/>
          <w:highlight w:val="yellow"/>
        </w:rPr>
        <w:t>, with a mean of 32.172±5.777 µg.kg</w:t>
      </w:r>
      <w:r w:rsidRPr="00882594">
        <w:rPr>
          <w:rFonts w:ascii="Times New Roman" w:hAnsi="Times New Roman" w:cs="Times New Roman"/>
          <w:sz w:val="24"/>
          <w:szCs w:val="24"/>
          <w:highlight w:val="yellow"/>
          <w:vertAlign w:val="superscript"/>
        </w:rPr>
        <w:t>-1</w:t>
      </w:r>
      <w:r w:rsidRPr="00882594">
        <w:rPr>
          <w:rFonts w:ascii="Times New Roman" w:hAnsi="Times New Roman" w:cs="Times New Roman"/>
          <w:sz w:val="24"/>
          <w:szCs w:val="24"/>
          <w:highlight w:val="yellow"/>
        </w:rPr>
        <w:t xml:space="preserve"> and a median value of 31.681±1.810 µg.kg</w:t>
      </w:r>
      <w:r w:rsidRPr="00882594">
        <w:rPr>
          <w:rFonts w:ascii="Times New Roman" w:hAnsi="Times New Roman" w:cs="Times New Roman"/>
          <w:sz w:val="24"/>
          <w:szCs w:val="24"/>
          <w:highlight w:val="yellow"/>
          <w:vertAlign w:val="superscript"/>
        </w:rPr>
        <w:t>-1</w:t>
      </w:r>
      <w:r w:rsidR="00882594" w:rsidRPr="00882594">
        <w:rPr>
          <w:rFonts w:ascii="Times New Roman" w:hAnsi="Times New Roman" w:cs="Times New Roman"/>
          <w:sz w:val="24"/>
          <w:szCs w:val="24"/>
          <w:highlight w:val="yellow"/>
        </w:rPr>
        <w:t>.</w:t>
      </w:r>
      <w:r w:rsidR="00882594">
        <w:rPr>
          <w:rFonts w:ascii="Times New Roman" w:hAnsi="Times New Roman" w:cs="Times New Roman"/>
          <w:sz w:val="24"/>
          <w:szCs w:val="24"/>
        </w:rPr>
        <w:t xml:space="preserve"> </w:t>
      </w:r>
      <w:r w:rsidRPr="00882594">
        <w:rPr>
          <w:rFonts w:ascii="Times New Roman" w:hAnsi="Times New Roman" w:cs="Times New Roman"/>
          <w:sz w:val="24"/>
          <w:szCs w:val="24"/>
          <w:highlight w:val="yellow"/>
        </w:rPr>
        <w:t>Atrazine residue levels range from 0.059 to 0.444 µg. kg</w:t>
      </w:r>
      <w:r w:rsidRPr="00882594">
        <w:rPr>
          <w:rFonts w:ascii="Times New Roman" w:hAnsi="Times New Roman" w:cs="Times New Roman"/>
          <w:sz w:val="24"/>
          <w:szCs w:val="24"/>
          <w:highlight w:val="yellow"/>
          <w:vertAlign w:val="superscript"/>
        </w:rPr>
        <w:t>-1</w:t>
      </w:r>
      <w:r w:rsidRPr="00882594">
        <w:rPr>
          <w:rFonts w:ascii="Times New Roman" w:hAnsi="Times New Roman" w:cs="Times New Roman"/>
          <w:sz w:val="24"/>
          <w:szCs w:val="24"/>
          <w:highlight w:val="yellow"/>
        </w:rPr>
        <w:t>, with a mean value of 0.312±0.082 µg.kg</w:t>
      </w:r>
      <w:r w:rsidRPr="00882594">
        <w:rPr>
          <w:rFonts w:ascii="Times New Roman" w:hAnsi="Times New Roman" w:cs="Times New Roman"/>
          <w:sz w:val="24"/>
          <w:szCs w:val="24"/>
          <w:highlight w:val="yellow"/>
          <w:vertAlign w:val="superscript"/>
        </w:rPr>
        <w:t>-1</w:t>
      </w:r>
      <w:r w:rsidRPr="00882594">
        <w:rPr>
          <w:rFonts w:ascii="Times New Roman" w:hAnsi="Times New Roman" w:cs="Times New Roman"/>
          <w:sz w:val="24"/>
          <w:szCs w:val="24"/>
          <w:highlight w:val="yellow"/>
        </w:rPr>
        <w:t xml:space="preserve"> and a median value of 0.318±0.004 µg.kg</w:t>
      </w:r>
      <w:r w:rsidRPr="00882594">
        <w:rPr>
          <w:rFonts w:ascii="Times New Roman" w:hAnsi="Times New Roman" w:cs="Times New Roman"/>
          <w:sz w:val="24"/>
          <w:szCs w:val="24"/>
          <w:highlight w:val="yellow"/>
          <w:vertAlign w:val="superscript"/>
        </w:rPr>
        <w:t>-1</w:t>
      </w:r>
      <w:r w:rsidR="00882594" w:rsidRPr="00882594">
        <w:rPr>
          <w:rFonts w:ascii="Times New Roman" w:hAnsi="Times New Roman" w:cs="Times New Roman"/>
          <w:sz w:val="24"/>
          <w:szCs w:val="24"/>
          <w:highlight w:val="yellow"/>
        </w:rPr>
        <w:t>.</w:t>
      </w:r>
      <w:r w:rsidR="00882594">
        <w:rPr>
          <w:rFonts w:ascii="Times New Roman" w:hAnsi="Times New Roman" w:cs="Times New Roman"/>
          <w:sz w:val="24"/>
          <w:szCs w:val="24"/>
        </w:rPr>
        <w:t xml:space="preserve"> </w:t>
      </w:r>
      <w:r w:rsidRPr="00E879E0">
        <w:rPr>
          <w:rFonts w:ascii="Times New Roman" w:hAnsi="Times New Roman" w:cs="Times New Roman"/>
          <w:sz w:val="24"/>
          <w:szCs w:val="24"/>
        </w:rPr>
        <w:t xml:space="preserve"> </w:t>
      </w:r>
      <w:r w:rsidR="00882594">
        <w:rPr>
          <w:rFonts w:ascii="Times New Roman" w:hAnsi="Times New Roman" w:cs="Times New Roman"/>
          <w:sz w:val="24"/>
          <w:szCs w:val="24"/>
          <w:highlight w:val="yellow"/>
        </w:rPr>
        <w:t>C</w:t>
      </w:r>
      <w:r w:rsidRPr="00882594">
        <w:rPr>
          <w:rFonts w:ascii="Times New Roman" w:hAnsi="Times New Roman" w:cs="Times New Roman"/>
          <w:sz w:val="24"/>
          <w:szCs w:val="24"/>
          <w:highlight w:val="yellow"/>
        </w:rPr>
        <w:t>ybutryne residue levels range from 0.300 to 0.402 µg.kg</w:t>
      </w:r>
      <w:r w:rsidRPr="00882594">
        <w:rPr>
          <w:rFonts w:ascii="Times New Roman" w:hAnsi="Times New Roman" w:cs="Times New Roman"/>
          <w:sz w:val="24"/>
          <w:szCs w:val="24"/>
          <w:highlight w:val="yellow"/>
          <w:vertAlign w:val="superscript"/>
        </w:rPr>
        <w:t>-1,</w:t>
      </w:r>
      <w:r w:rsidRPr="00882594">
        <w:rPr>
          <w:rFonts w:ascii="Times New Roman" w:hAnsi="Times New Roman" w:cs="Times New Roman"/>
          <w:sz w:val="24"/>
          <w:szCs w:val="24"/>
          <w:highlight w:val="yellow"/>
        </w:rPr>
        <w:t xml:space="preserve"> with mean and median values of 0.309±0.006 and 0.304±0.002 µg.kg</w:t>
      </w:r>
      <w:r w:rsidRPr="00882594">
        <w:rPr>
          <w:rFonts w:ascii="Times New Roman" w:hAnsi="Times New Roman" w:cs="Times New Roman"/>
          <w:sz w:val="24"/>
          <w:szCs w:val="24"/>
          <w:highlight w:val="yellow"/>
          <w:vertAlign w:val="superscript"/>
        </w:rPr>
        <w:t>-1</w:t>
      </w:r>
      <w:r w:rsidRPr="00882594">
        <w:rPr>
          <w:rFonts w:ascii="Times New Roman" w:hAnsi="Times New Roman" w:cs="Times New Roman"/>
          <w:sz w:val="24"/>
          <w:szCs w:val="24"/>
          <w:highlight w:val="yellow"/>
        </w:rPr>
        <w:t xml:space="preserve"> respectively.</w:t>
      </w:r>
      <w:r w:rsidRPr="00E879E0">
        <w:rPr>
          <w:rFonts w:ascii="Times New Roman" w:hAnsi="Times New Roman" w:cs="Times New Roman"/>
          <w:sz w:val="24"/>
          <w:szCs w:val="24"/>
        </w:rPr>
        <w:t xml:space="preserve"> The presence of these three pesticides in sometimes significant quantities is partly due to the clayey nature of the soil studied. Their behavior depends on agricultural practices in the basins: the timing of herbicide application, soil turning, crop rotation and soil dilution by watering and rain. This study shows soil contamination by unregistered pesticides. The search for these and other more toxic and banned phytosanitary substances in the soils of the entire Niayes area and the market garden produce grown there is therefore essential to protect the environment and ensure the health and food safety of the population.  </w:t>
      </w:r>
    </w:p>
    <w:p w14:paraId="6A9CCB18" w14:textId="3A69E066" w:rsidR="00290708" w:rsidRDefault="00B94C44" w:rsidP="00A7365A">
      <w:pPr>
        <w:spacing w:line="240" w:lineRule="auto"/>
        <w:jc w:val="both"/>
        <w:rPr>
          <w:rFonts w:ascii="Times New Roman" w:hAnsi="Times New Roman" w:cs="Times New Roman"/>
          <w:sz w:val="24"/>
          <w:szCs w:val="24"/>
        </w:rPr>
      </w:pPr>
      <w:r w:rsidRPr="00E879E0">
        <w:rPr>
          <w:rFonts w:ascii="Times New Roman" w:hAnsi="Times New Roman" w:cs="Times New Roman"/>
          <w:b/>
          <w:sz w:val="24"/>
          <w:szCs w:val="24"/>
        </w:rPr>
        <w:t>Keywords</w:t>
      </w:r>
      <w:r w:rsidRPr="00E879E0">
        <w:rPr>
          <w:rFonts w:ascii="Times New Roman" w:hAnsi="Times New Roman" w:cs="Times New Roman"/>
          <w:sz w:val="24"/>
          <w:szCs w:val="24"/>
        </w:rPr>
        <w:t xml:space="preserve"> :</w:t>
      </w:r>
      <w:r w:rsidR="00E879E0" w:rsidRPr="00E879E0">
        <w:rPr>
          <w:rFonts w:ascii="Times New Roman" w:hAnsi="Times New Roman" w:cs="Times New Roman"/>
          <w:sz w:val="24"/>
          <w:szCs w:val="24"/>
        </w:rPr>
        <w:t xml:space="preserve"> Soil, herbicides, pollution, QuEChERS, GC-MS/MS</w:t>
      </w:r>
    </w:p>
    <w:p w14:paraId="1C283B9A" w14:textId="77777777" w:rsidR="00E10274" w:rsidRDefault="00E10274" w:rsidP="00A7365A">
      <w:pPr>
        <w:spacing w:line="240" w:lineRule="auto"/>
        <w:jc w:val="both"/>
        <w:rPr>
          <w:rFonts w:ascii="Times New Roman" w:hAnsi="Times New Roman" w:cs="Times New Roman"/>
          <w:sz w:val="24"/>
          <w:szCs w:val="24"/>
        </w:rPr>
      </w:pPr>
    </w:p>
    <w:p w14:paraId="60599DD7" w14:textId="77777777" w:rsidR="00E879E0" w:rsidRDefault="00E879E0" w:rsidP="00A7365A">
      <w:pPr>
        <w:spacing w:line="240" w:lineRule="auto"/>
        <w:jc w:val="both"/>
        <w:rPr>
          <w:rFonts w:ascii="Times New Roman" w:hAnsi="Times New Roman" w:cs="Times New Roman"/>
          <w:sz w:val="24"/>
          <w:szCs w:val="24"/>
        </w:rPr>
      </w:pPr>
    </w:p>
    <w:p w14:paraId="36CFAE85" w14:textId="77777777" w:rsidR="00E879E0" w:rsidRDefault="00E879E0" w:rsidP="00A7365A">
      <w:pPr>
        <w:spacing w:line="240" w:lineRule="auto"/>
        <w:jc w:val="both"/>
        <w:rPr>
          <w:rFonts w:ascii="Times New Roman" w:hAnsi="Times New Roman" w:cs="Times New Roman"/>
          <w:sz w:val="24"/>
          <w:szCs w:val="24"/>
        </w:rPr>
      </w:pPr>
    </w:p>
    <w:p w14:paraId="69091D7E" w14:textId="77777777" w:rsidR="00E879E0" w:rsidRDefault="00E879E0" w:rsidP="00A7365A">
      <w:pPr>
        <w:spacing w:line="240" w:lineRule="auto"/>
        <w:jc w:val="both"/>
        <w:rPr>
          <w:rFonts w:ascii="Times New Roman" w:hAnsi="Times New Roman" w:cs="Times New Roman"/>
          <w:sz w:val="24"/>
          <w:szCs w:val="24"/>
        </w:rPr>
      </w:pPr>
    </w:p>
    <w:p w14:paraId="1B867681" w14:textId="5C46FC92" w:rsidR="00E10274" w:rsidRDefault="00E10274" w:rsidP="00A7365A">
      <w:pPr>
        <w:spacing w:line="240" w:lineRule="auto"/>
        <w:jc w:val="both"/>
        <w:rPr>
          <w:rFonts w:ascii="Times New Roman" w:hAnsi="Times New Roman" w:cs="Times New Roman"/>
          <w:sz w:val="24"/>
          <w:szCs w:val="24"/>
        </w:rPr>
      </w:pPr>
    </w:p>
    <w:p w14:paraId="2A54654D" w14:textId="02BF0E5F" w:rsidR="00C7553A" w:rsidRDefault="00C7553A" w:rsidP="00A7365A">
      <w:pPr>
        <w:spacing w:line="240" w:lineRule="auto"/>
        <w:jc w:val="both"/>
        <w:rPr>
          <w:rFonts w:ascii="Times New Roman" w:hAnsi="Times New Roman" w:cs="Times New Roman"/>
          <w:sz w:val="24"/>
          <w:szCs w:val="24"/>
        </w:rPr>
      </w:pPr>
    </w:p>
    <w:p w14:paraId="76970C5A" w14:textId="1BC1E198" w:rsidR="00C7553A" w:rsidRDefault="00C7553A" w:rsidP="00A7365A">
      <w:pPr>
        <w:spacing w:line="240" w:lineRule="auto"/>
        <w:jc w:val="both"/>
        <w:rPr>
          <w:rFonts w:ascii="Times New Roman" w:hAnsi="Times New Roman" w:cs="Times New Roman"/>
          <w:sz w:val="24"/>
          <w:szCs w:val="24"/>
        </w:rPr>
      </w:pPr>
    </w:p>
    <w:p w14:paraId="3FC224A7" w14:textId="77777777" w:rsidR="00154D3D" w:rsidRDefault="00154D3D" w:rsidP="00A7365A">
      <w:pPr>
        <w:spacing w:line="240" w:lineRule="auto"/>
        <w:jc w:val="both"/>
        <w:rPr>
          <w:rFonts w:ascii="Times New Roman" w:hAnsi="Times New Roman" w:cs="Times New Roman"/>
          <w:sz w:val="24"/>
          <w:szCs w:val="24"/>
        </w:rPr>
      </w:pPr>
    </w:p>
    <w:p w14:paraId="7218C9E1" w14:textId="77777777" w:rsidR="00BA3F5C" w:rsidRDefault="00BA3F5C" w:rsidP="00A7365A">
      <w:pPr>
        <w:spacing w:line="240" w:lineRule="auto"/>
        <w:jc w:val="both"/>
        <w:rPr>
          <w:rFonts w:ascii="Times New Roman" w:hAnsi="Times New Roman" w:cs="Times New Roman"/>
          <w:sz w:val="24"/>
          <w:szCs w:val="24"/>
        </w:rPr>
      </w:pPr>
    </w:p>
    <w:p w14:paraId="107CE691" w14:textId="77777777" w:rsidR="00F066A6" w:rsidRPr="005A05E0" w:rsidRDefault="00F066A6" w:rsidP="00A7365A">
      <w:pPr>
        <w:pStyle w:val="ListParagraph"/>
        <w:numPr>
          <w:ilvl w:val="0"/>
          <w:numId w:val="1"/>
        </w:numPr>
        <w:spacing w:line="240" w:lineRule="auto"/>
        <w:jc w:val="both"/>
        <w:rPr>
          <w:rFonts w:ascii="Times New Roman" w:hAnsi="Times New Roman" w:cs="Times New Roman"/>
          <w:b/>
          <w:sz w:val="24"/>
          <w:szCs w:val="24"/>
        </w:rPr>
      </w:pPr>
      <w:r w:rsidRPr="005A05E0">
        <w:rPr>
          <w:rFonts w:ascii="Times New Roman" w:hAnsi="Times New Roman" w:cs="Times New Roman"/>
          <w:b/>
          <w:sz w:val="24"/>
          <w:szCs w:val="24"/>
        </w:rPr>
        <w:lastRenderedPageBreak/>
        <w:t xml:space="preserve">Introduction </w:t>
      </w:r>
    </w:p>
    <w:p w14:paraId="342BA3E9" w14:textId="168C6F13" w:rsidR="0087256C" w:rsidRDefault="00C734CB" w:rsidP="00A7365A">
      <w:pPr>
        <w:spacing w:line="240" w:lineRule="auto"/>
        <w:jc w:val="both"/>
        <w:rPr>
          <w:rFonts w:ascii="Times New Roman" w:hAnsi="Times New Roman" w:cs="Times New Roman"/>
          <w:sz w:val="24"/>
          <w:szCs w:val="24"/>
        </w:rPr>
      </w:pPr>
      <w:r w:rsidRPr="00C734CB">
        <w:rPr>
          <w:rFonts w:ascii="Times New Roman" w:hAnsi="Times New Roman" w:cs="Times New Roman"/>
          <w:sz w:val="24"/>
          <w:szCs w:val="24"/>
        </w:rPr>
        <w:t>Herbicides are the plant protection products most widely used to control or inhibit weed growth. They account for around 50% of all pesticides</w:t>
      </w:r>
      <w:r>
        <w:rPr>
          <w:rFonts w:ascii="Times New Roman" w:hAnsi="Times New Roman" w:cs="Times New Roman"/>
          <w:sz w:val="24"/>
          <w:szCs w:val="24"/>
        </w:rPr>
        <w:t xml:space="preserve"> [1]</w:t>
      </w:r>
      <w:r w:rsidRPr="00C734CB">
        <w:rPr>
          <w:rFonts w:ascii="Times New Roman" w:hAnsi="Times New Roman" w:cs="Times New Roman"/>
          <w:sz w:val="24"/>
          <w:szCs w:val="24"/>
        </w:rPr>
        <w:t>. Triazines are among the main agrochemicals currently used for pre- and post-emergence weed control in both agricultural and non-agricultural applications[2]. They have been widely used in agriculture for many years, due to their high weed control capacity. Triazine herbicides are probably the most important class of agricultural chemicals ever developed. For five decades, triazines have provided weed control in over 50 crops worldwide, helping farmers to increase yields and produce enough food to feed a growing world population</w:t>
      </w:r>
      <w:r>
        <w:rPr>
          <w:rFonts w:ascii="Times New Roman" w:hAnsi="Times New Roman" w:cs="Times New Roman"/>
          <w:sz w:val="24"/>
          <w:szCs w:val="24"/>
        </w:rPr>
        <w:t xml:space="preserve"> </w:t>
      </w:r>
      <w:r w:rsidRPr="00C734CB">
        <w:rPr>
          <w:rFonts w:ascii="Times New Roman" w:hAnsi="Times New Roman" w:cs="Times New Roman"/>
          <w:sz w:val="24"/>
          <w:szCs w:val="24"/>
        </w:rPr>
        <w:t>[3]. Their widespread use has led to serious environmental pollution. Triazines and their degradation products are mobile and soluble in water. They can also be strongly adsorbed to soil. Triazines are highly toxic and are a cause for concern in terms of environmental safety</w:t>
      </w:r>
      <w:r>
        <w:rPr>
          <w:rFonts w:ascii="Times New Roman" w:hAnsi="Times New Roman" w:cs="Times New Roman"/>
          <w:sz w:val="24"/>
          <w:szCs w:val="24"/>
        </w:rPr>
        <w:t xml:space="preserve"> </w:t>
      </w:r>
      <w:r w:rsidRPr="00C734CB">
        <w:rPr>
          <w:rFonts w:ascii="Times New Roman" w:hAnsi="Times New Roman" w:cs="Times New Roman"/>
          <w:sz w:val="24"/>
          <w:szCs w:val="24"/>
        </w:rPr>
        <w:t>[4]. However, small quantities of residual pesticides are present in the environment, often in the form of chemical mixtures that contaminate drinking water and foodstuffs and thus constitute a source of chronic exposure for humans [5]. Consequently, a number of studies have explored the toxicity of triazine herbicides to mammals, which have been shown to be toxic at inappropriate levels[4]. Herbicides disrupt several metabolic, stress and survival pathways in humans. Such disruptions in pathways involved in cellular protection may eventually explain the initiation of pathologies or reduced drug efficacy in humans exposed to multiple environmental contaminants [5]. The impact of pesticide pollution on agricultural soils has also attracted considerable attention in recent years. The Taïba mining site is operated by Industries Chimiques du Sénégal (ICS).  Mining at Taïba is an open-pit operation. The stripping of the layers covering the ore and the extraction of the phosphate itself leave deep basins on the mining sites. Since mining began, 18 ponds have been dug, ranging in size from 50 to 200 ha</w:t>
      </w:r>
      <w:r>
        <w:rPr>
          <w:rFonts w:ascii="Times New Roman" w:hAnsi="Times New Roman" w:cs="Times New Roman"/>
          <w:sz w:val="24"/>
          <w:szCs w:val="24"/>
        </w:rPr>
        <w:t xml:space="preserve"> </w:t>
      </w:r>
      <w:r w:rsidRPr="00C734CB">
        <w:rPr>
          <w:rFonts w:ascii="Times New Roman" w:hAnsi="Times New Roman" w:cs="Times New Roman"/>
          <w:sz w:val="24"/>
          <w:szCs w:val="24"/>
        </w:rPr>
        <w:t xml:space="preserve">[6]. To be marketed, mined phosphate must undergo a beneficiation process. This involves scalping, settling, cycloning and crushing/screening, before finally eliminating minerals smaller than 40 µm, which are too fine to be enriched. These are known as phosphate sludge, waste clays or schlamms. Every year, ICS plants produce between 2 and 2.3 million tonnes of this type of sludge. This represents between 35 and 38% by weight of the raw ore [6]. This waste is pumped by pipelines to the tailings ponds left upstream by the mining operation, where it is slowly deposited. To date, there is no strategy for recycling this waste. Moreover, after natural settling and consolidation, the sludge releases some of its water, which is recovered by the industry. In addition, in </w:t>
      </w:r>
      <w:r>
        <w:rPr>
          <w:rFonts w:ascii="Times New Roman" w:hAnsi="Times New Roman" w:cs="Times New Roman"/>
          <w:sz w:val="24"/>
          <w:szCs w:val="24"/>
        </w:rPr>
        <w:t xml:space="preserve">Basins </w:t>
      </w:r>
      <w:r w:rsidRPr="00C734CB">
        <w:rPr>
          <w:rFonts w:ascii="Times New Roman" w:hAnsi="Times New Roman" w:cs="Times New Roman"/>
          <w:sz w:val="24"/>
          <w:szCs w:val="24"/>
        </w:rPr>
        <w:t>filled with phosphate sludge and abandoned by industry, nature reclaims its rights. This becomes an important reserve of arable land and water in an arid sub-Saharan region. This highly fertile land is farmed by over 2,000 men and women who live along its banks, and for most of them, it is their main source of income. To date, there have been no studies on pesticide pollution of this agricultural land, despite its great economic potential. In such a context, it is vital to study the evolution of herbicide behaviour a</w:t>
      </w:r>
      <w:r w:rsidR="004557BA">
        <w:rPr>
          <w:rFonts w:ascii="Times New Roman" w:hAnsi="Times New Roman" w:cs="Times New Roman"/>
          <w:sz w:val="24"/>
          <w:szCs w:val="24"/>
        </w:rPr>
        <w:t>nd fate in the soil of the basins</w:t>
      </w:r>
      <w:r w:rsidRPr="00C734CB">
        <w:rPr>
          <w:rFonts w:ascii="Times New Roman" w:hAnsi="Times New Roman" w:cs="Times New Roman"/>
          <w:sz w:val="24"/>
          <w:szCs w:val="24"/>
        </w:rPr>
        <w:t>. The aim of this study is to determine the residue levels of three triazines (atrazine, terbutryne and cybutryne) in these former ICS phosphate sludge storage basins, which have been transformed into market gardening basins in the central Niayes area of Mboro.</w:t>
      </w:r>
    </w:p>
    <w:p w14:paraId="46786303" w14:textId="77777777" w:rsidR="008F06E9" w:rsidRDefault="008F06E9" w:rsidP="00A7365A">
      <w:pPr>
        <w:spacing w:line="240" w:lineRule="auto"/>
        <w:jc w:val="both"/>
        <w:rPr>
          <w:rFonts w:ascii="Times New Roman" w:hAnsi="Times New Roman" w:cs="Times New Roman"/>
          <w:sz w:val="24"/>
          <w:szCs w:val="24"/>
        </w:rPr>
      </w:pPr>
    </w:p>
    <w:p w14:paraId="137B39E4" w14:textId="77777777" w:rsidR="008F06E9" w:rsidRDefault="008F06E9" w:rsidP="00A7365A">
      <w:pPr>
        <w:spacing w:line="240" w:lineRule="auto"/>
        <w:jc w:val="both"/>
        <w:rPr>
          <w:rFonts w:ascii="Times New Roman" w:hAnsi="Times New Roman" w:cs="Times New Roman"/>
          <w:sz w:val="24"/>
          <w:szCs w:val="24"/>
        </w:rPr>
      </w:pPr>
    </w:p>
    <w:p w14:paraId="7968A476" w14:textId="77777777" w:rsidR="008F06E9" w:rsidRDefault="008F06E9" w:rsidP="00A7365A">
      <w:pPr>
        <w:spacing w:line="240" w:lineRule="auto"/>
        <w:jc w:val="both"/>
        <w:rPr>
          <w:rFonts w:ascii="Times New Roman" w:hAnsi="Times New Roman" w:cs="Times New Roman"/>
          <w:sz w:val="24"/>
          <w:szCs w:val="24"/>
        </w:rPr>
      </w:pPr>
    </w:p>
    <w:p w14:paraId="3E7A2B65" w14:textId="77777777" w:rsidR="008F06E9" w:rsidRDefault="008F06E9" w:rsidP="00A7365A">
      <w:pPr>
        <w:spacing w:line="240" w:lineRule="auto"/>
        <w:jc w:val="both"/>
        <w:rPr>
          <w:rFonts w:ascii="Times New Roman" w:hAnsi="Times New Roman" w:cs="Times New Roman"/>
          <w:sz w:val="24"/>
          <w:szCs w:val="24"/>
        </w:rPr>
      </w:pPr>
    </w:p>
    <w:p w14:paraId="6FDF8426" w14:textId="77777777" w:rsidR="008F06E9" w:rsidRDefault="008F06E9" w:rsidP="00A7365A">
      <w:pPr>
        <w:spacing w:line="240" w:lineRule="auto"/>
        <w:jc w:val="both"/>
        <w:rPr>
          <w:rFonts w:ascii="Times New Roman" w:hAnsi="Times New Roman" w:cs="Times New Roman"/>
          <w:sz w:val="24"/>
          <w:szCs w:val="24"/>
        </w:rPr>
      </w:pPr>
    </w:p>
    <w:p w14:paraId="6CDDAA6D" w14:textId="77777777" w:rsidR="008F06E9" w:rsidRDefault="008F06E9" w:rsidP="00A7365A">
      <w:pPr>
        <w:spacing w:line="240" w:lineRule="auto"/>
        <w:jc w:val="both"/>
        <w:rPr>
          <w:rFonts w:ascii="Times New Roman" w:hAnsi="Times New Roman" w:cs="Times New Roman"/>
          <w:sz w:val="24"/>
          <w:szCs w:val="24"/>
        </w:rPr>
      </w:pPr>
    </w:p>
    <w:p w14:paraId="093BE2D6" w14:textId="77777777" w:rsidR="007C08A5" w:rsidRPr="00590DED" w:rsidRDefault="007C08A5" w:rsidP="00A7365A">
      <w:pPr>
        <w:spacing w:line="240" w:lineRule="auto"/>
        <w:jc w:val="both"/>
        <w:rPr>
          <w:rFonts w:ascii="Times New Roman" w:hAnsi="Times New Roman" w:cs="Times New Roman"/>
          <w:sz w:val="24"/>
          <w:szCs w:val="24"/>
        </w:rPr>
      </w:pPr>
    </w:p>
    <w:p w14:paraId="5979E044" w14:textId="2052438E" w:rsidR="00017FB4" w:rsidRPr="005A05E0" w:rsidRDefault="004557BA" w:rsidP="00A7365A">
      <w:pPr>
        <w:pStyle w:val="ListParagraph"/>
        <w:numPr>
          <w:ilvl w:val="0"/>
          <w:numId w:val="1"/>
        </w:numPr>
        <w:spacing w:line="240" w:lineRule="auto"/>
        <w:jc w:val="both"/>
        <w:rPr>
          <w:rFonts w:ascii="Times New Roman" w:hAnsi="Times New Roman" w:cs="Times New Roman"/>
          <w:b/>
          <w:sz w:val="24"/>
          <w:szCs w:val="24"/>
        </w:rPr>
      </w:pPr>
      <w:r w:rsidRPr="005A05E0">
        <w:rPr>
          <w:rFonts w:ascii="Times New Roman" w:hAnsi="Times New Roman" w:cs="Times New Roman"/>
          <w:b/>
          <w:sz w:val="24"/>
          <w:szCs w:val="24"/>
        </w:rPr>
        <w:lastRenderedPageBreak/>
        <w:t>Materials and methods</w:t>
      </w:r>
    </w:p>
    <w:p w14:paraId="4D0D3108" w14:textId="77777777" w:rsidR="004557BA" w:rsidRPr="005A05E0" w:rsidRDefault="004557BA" w:rsidP="00A7365A">
      <w:pPr>
        <w:pStyle w:val="ListParagraph"/>
        <w:spacing w:line="240" w:lineRule="auto"/>
        <w:jc w:val="both"/>
        <w:rPr>
          <w:rFonts w:ascii="Times New Roman" w:hAnsi="Times New Roman" w:cs="Times New Roman"/>
          <w:b/>
          <w:sz w:val="24"/>
          <w:szCs w:val="24"/>
        </w:rPr>
      </w:pPr>
    </w:p>
    <w:p w14:paraId="749C7EA9" w14:textId="673AA374" w:rsidR="00C734CB" w:rsidRPr="005A05E0" w:rsidRDefault="002318D6" w:rsidP="008F06E9">
      <w:pPr>
        <w:pStyle w:val="ListParagraph"/>
        <w:numPr>
          <w:ilvl w:val="1"/>
          <w:numId w:val="1"/>
        </w:numPr>
        <w:spacing w:line="240" w:lineRule="auto"/>
        <w:jc w:val="both"/>
        <w:rPr>
          <w:rFonts w:ascii="Times New Roman" w:hAnsi="Times New Roman" w:cs="Times New Roman"/>
          <w:b/>
          <w:sz w:val="24"/>
          <w:szCs w:val="24"/>
        </w:rPr>
      </w:pPr>
      <w:r w:rsidRPr="005A05E0">
        <w:rPr>
          <w:rFonts w:ascii="Times New Roman" w:hAnsi="Times New Roman" w:cs="Times New Roman"/>
          <w:b/>
          <w:sz w:val="24"/>
          <w:szCs w:val="24"/>
        </w:rPr>
        <w:t xml:space="preserve"> </w:t>
      </w:r>
      <w:r w:rsidR="004557BA" w:rsidRPr="005A05E0">
        <w:rPr>
          <w:rFonts w:ascii="Times New Roman" w:hAnsi="Times New Roman" w:cs="Times New Roman"/>
          <w:b/>
          <w:sz w:val="24"/>
          <w:szCs w:val="24"/>
        </w:rPr>
        <w:t>Characteristics of analyzed substances</w:t>
      </w:r>
    </w:p>
    <w:p w14:paraId="1BE04D97" w14:textId="67B850E9" w:rsidR="00E36C26" w:rsidRPr="00AD4230" w:rsidRDefault="00E36C26" w:rsidP="00E36C26">
      <w:pPr>
        <w:spacing w:line="240" w:lineRule="auto"/>
        <w:ind w:left="360"/>
        <w:jc w:val="both"/>
        <w:rPr>
          <w:rFonts w:ascii="Times New Roman" w:hAnsi="Times New Roman" w:cs="Times New Roman"/>
          <w:sz w:val="24"/>
          <w:szCs w:val="24"/>
        </w:rPr>
      </w:pPr>
      <w:r w:rsidRPr="00E36C26">
        <w:rPr>
          <w:rFonts w:ascii="Times New Roman" w:hAnsi="Times New Roman" w:cs="Times New Roman"/>
          <w:b/>
          <w:sz w:val="24"/>
          <w:szCs w:val="24"/>
        </w:rPr>
        <w:t>Table1</w:t>
      </w:r>
      <w:r>
        <w:rPr>
          <w:rFonts w:ascii="Times New Roman" w:hAnsi="Times New Roman" w:cs="Times New Roman"/>
          <w:b/>
          <w:sz w:val="24"/>
          <w:szCs w:val="24"/>
        </w:rPr>
        <w:t xml:space="preserve"> : </w:t>
      </w:r>
      <w:r w:rsidR="00AD4230" w:rsidRPr="00AD4230">
        <w:rPr>
          <w:rFonts w:ascii="Times New Roman" w:hAnsi="Times New Roman" w:cs="Times New Roman"/>
          <w:sz w:val="24"/>
          <w:szCs w:val="24"/>
        </w:rPr>
        <w:t>General status and chemical structures of the herbicides studied [7].</w:t>
      </w:r>
    </w:p>
    <w:p w14:paraId="32B41268" w14:textId="77777777" w:rsidR="00C734CB" w:rsidRDefault="00C734CB" w:rsidP="00A7365A">
      <w:pPr>
        <w:pStyle w:val="NoSpacing"/>
        <w:jc w:val="center"/>
        <w:rPr>
          <w:rFonts w:ascii="Times New Roman" w:hAnsi="Times New Roman" w:cs="Times New Roman"/>
          <w:b/>
          <w:sz w:val="24"/>
          <w:szCs w:val="24"/>
          <w:u w:val="single"/>
        </w:rPr>
      </w:pPr>
    </w:p>
    <w:tbl>
      <w:tblPr>
        <w:tblStyle w:val="TableGrid"/>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126"/>
        <w:gridCol w:w="1843"/>
        <w:gridCol w:w="3119"/>
        <w:gridCol w:w="2551"/>
      </w:tblGrid>
      <w:tr w:rsidR="004742E1" w14:paraId="1189902C" w14:textId="77777777" w:rsidTr="00E36C26">
        <w:tc>
          <w:tcPr>
            <w:tcW w:w="1418" w:type="dxa"/>
            <w:tcBorders>
              <w:top w:val="single" w:sz="12" w:space="0" w:color="000000"/>
              <w:bottom w:val="single" w:sz="12" w:space="0" w:color="000000"/>
            </w:tcBorders>
          </w:tcPr>
          <w:p w14:paraId="4F5F5E07" w14:textId="1DDD7D49" w:rsidR="004742E1" w:rsidRPr="00E36C26" w:rsidRDefault="004742E1" w:rsidP="00E36C26">
            <w:pPr>
              <w:pStyle w:val="NoSpacing"/>
              <w:jc w:val="center"/>
              <w:rPr>
                <w:rFonts w:ascii="Times New Roman" w:hAnsi="Times New Roman" w:cs="Times New Roman"/>
                <w:sz w:val="24"/>
                <w:szCs w:val="24"/>
              </w:rPr>
            </w:pPr>
            <w:r w:rsidRPr="00E36C26">
              <w:rPr>
                <w:rFonts w:ascii="Times New Roman" w:hAnsi="Times New Roman" w:cs="Times New Roman"/>
                <w:sz w:val="24"/>
                <w:szCs w:val="24"/>
              </w:rPr>
              <w:t>Pesticides</w:t>
            </w:r>
          </w:p>
        </w:tc>
        <w:tc>
          <w:tcPr>
            <w:tcW w:w="2126" w:type="dxa"/>
            <w:tcBorders>
              <w:top w:val="single" w:sz="12" w:space="0" w:color="000000"/>
              <w:bottom w:val="single" w:sz="12" w:space="0" w:color="000000"/>
            </w:tcBorders>
          </w:tcPr>
          <w:p w14:paraId="18A724D0" w14:textId="48044878" w:rsidR="004742E1" w:rsidRPr="00E36C26" w:rsidRDefault="00E36C26" w:rsidP="00E36C26">
            <w:pPr>
              <w:pStyle w:val="NoSpacing"/>
              <w:jc w:val="center"/>
              <w:rPr>
                <w:rFonts w:ascii="Times New Roman" w:hAnsi="Times New Roman" w:cs="Times New Roman"/>
                <w:sz w:val="24"/>
                <w:szCs w:val="24"/>
              </w:rPr>
            </w:pPr>
            <w:r w:rsidRPr="00E36C26">
              <w:rPr>
                <w:rFonts w:ascii="Times New Roman" w:hAnsi="Times New Roman" w:cs="Times New Roman"/>
                <w:sz w:val="24"/>
                <w:szCs w:val="24"/>
              </w:rPr>
              <w:t>Chemical formula</w:t>
            </w:r>
          </w:p>
        </w:tc>
        <w:tc>
          <w:tcPr>
            <w:tcW w:w="1843" w:type="dxa"/>
            <w:tcBorders>
              <w:top w:val="single" w:sz="12" w:space="0" w:color="000000"/>
              <w:bottom w:val="single" w:sz="12" w:space="0" w:color="000000"/>
            </w:tcBorders>
          </w:tcPr>
          <w:p w14:paraId="3D63E9FF" w14:textId="05616A01" w:rsidR="004742E1" w:rsidRPr="00E36C26" w:rsidRDefault="00E36C26" w:rsidP="00E36C26">
            <w:pPr>
              <w:pStyle w:val="NoSpacing"/>
              <w:jc w:val="center"/>
              <w:rPr>
                <w:rFonts w:ascii="Times New Roman" w:hAnsi="Times New Roman" w:cs="Times New Roman"/>
                <w:sz w:val="24"/>
                <w:szCs w:val="24"/>
                <w:shd w:val="clear" w:color="auto" w:fill="FFFFFF"/>
              </w:rPr>
            </w:pPr>
            <w:r w:rsidRPr="00E36C26">
              <w:rPr>
                <w:rFonts w:ascii="Times New Roman" w:hAnsi="Times New Roman" w:cs="Times New Roman"/>
                <w:sz w:val="24"/>
                <w:szCs w:val="24"/>
                <w:shd w:val="clear" w:color="auto" w:fill="FFFFFF"/>
              </w:rPr>
              <w:t>molar mass</w:t>
            </w:r>
            <w:r>
              <w:rPr>
                <w:rFonts w:ascii="Times New Roman" w:hAnsi="Times New Roman" w:cs="Times New Roman"/>
                <w:sz w:val="24"/>
                <w:szCs w:val="24"/>
                <w:shd w:val="clear" w:color="auto" w:fill="FFFFFF"/>
              </w:rPr>
              <w:t xml:space="preserve"> (g/mol)</w:t>
            </w:r>
          </w:p>
        </w:tc>
        <w:tc>
          <w:tcPr>
            <w:tcW w:w="3119" w:type="dxa"/>
            <w:tcBorders>
              <w:top w:val="single" w:sz="12" w:space="0" w:color="000000"/>
              <w:bottom w:val="single" w:sz="12" w:space="0" w:color="000000"/>
            </w:tcBorders>
          </w:tcPr>
          <w:p w14:paraId="5F3BF31D" w14:textId="0E2BB24D" w:rsidR="004742E1" w:rsidRPr="00E36C26" w:rsidRDefault="004742E1" w:rsidP="00E36C26">
            <w:pPr>
              <w:pStyle w:val="NoSpacing"/>
              <w:jc w:val="center"/>
              <w:rPr>
                <w:rFonts w:ascii="Times New Roman" w:hAnsi="Times New Roman" w:cs="Times New Roman"/>
                <w:b/>
                <w:sz w:val="24"/>
                <w:szCs w:val="24"/>
                <w:u w:val="single"/>
              </w:rPr>
            </w:pPr>
            <w:r w:rsidRPr="00E36C26">
              <w:rPr>
                <w:rFonts w:ascii="Times New Roman" w:hAnsi="Times New Roman" w:cs="Times New Roman"/>
                <w:sz w:val="24"/>
                <w:szCs w:val="24"/>
                <w:shd w:val="clear" w:color="auto" w:fill="FFFFFF"/>
              </w:rPr>
              <w:t>Structure</w:t>
            </w:r>
          </w:p>
        </w:tc>
        <w:tc>
          <w:tcPr>
            <w:tcW w:w="2551" w:type="dxa"/>
            <w:tcBorders>
              <w:top w:val="single" w:sz="12" w:space="0" w:color="000000"/>
              <w:bottom w:val="single" w:sz="12" w:space="0" w:color="000000"/>
            </w:tcBorders>
          </w:tcPr>
          <w:p w14:paraId="19EA782E" w14:textId="2EFC113B" w:rsidR="004742E1" w:rsidRPr="00E36C26" w:rsidRDefault="004742E1" w:rsidP="00E36C26">
            <w:pPr>
              <w:pStyle w:val="NoSpacing"/>
              <w:jc w:val="center"/>
              <w:rPr>
                <w:rFonts w:ascii="Times New Roman" w:hAnsi="Times New Roman" w:cs="Times New Roman"/>
                <w:b/>
                <w:sz w:val="24"/>
                <w:szCs w:val="24"/>
                <w:u w:val="single"/>
              </w:rPr>
            </w:pPr>
            <w:r w:rsidRPr="00E36C26">
              <w:rPr>
                <w:rFonts w:ascii="Times New Roman" w:hAnsi="Times New Roman" w:cs="Times New Roman"/>
                <w:sz w:val="24"/>
                <w:szCs w:val="24"/>
                <w:shd w:val="clear" w:color="auto" w:fill="FFFFFF"/>
              </w:rPr>
              <w:t>IUPAC Name</w:t>
            </w:r>
          </w:p>
        </w:tc>
      </w:tr>
      <w:tr w:rsidR="004742E1" w14:paraId="351E99CE" w14:textId="77777777" w:rsidTr="00E36C26">
        <w:tc>
          <w:tcPr>
            <w:tcW w:w="1418" w:type="dxa"/>
            <w:tcBorders>
              <w:top w:val="single" w:sz="12" w:space="0" w:color="000000"/>
              <w:bottom w:val="single" w:sz="12" w:space="0" w:color="000000"/>
            </w:tcBorders>
          </w:tcPr>
          <w:p w14:paraId="656CA460" w14:textId="551C189C" w:rsidR="004742E1" w:rsidRPr="00E36C26" w:rsidRDefault="004742E1" w:rsidP="00E36C26">
            <w:pPr>
              <w:pStyle w:val="NoSpacing"/>
              <w:jc w:val="center"/>
              <w:rPr>
                <w:rFonts w:ascii="Times New Roman" w:hAnsi="Times New Roman" w:cs="Times New Roman"/>
                <w:sz w:val="24"/>
                <w:szCs w:val="24"/>
              </w:rPr>
            </w:pPr>
            <w:r w:rsidRPr="00E36C26">
              <w:rPr>
                <w:rFonts w:ascii="Times New Roman" w:hAnsi="Times New Roman" w:cs="Times New Roman"/>
                <w:sz w:val="24"/>
                <w:szCs w:val="24"/>
              </w:rPr>
              <w:t>Terbutryne</w:t>
            </w:r>
          </w:p>
        </w:tc>
        <w:tc>
          <w:tcPr>
            <w:tcW w:w="2126" w:type="dxa"/>
            <w:tcBorders>
              <w:top w:val="single" w:sz="12" w:space="0" w:color="000000"/>
              <w:bottom w:val="single" w:sz="12" w:space="0" w:color="000000"/>
            </w:tcBorders>
          </w:tcPr>
          <w:p w14:paraId="13EAE027" w14:textId="0A65E27B" w:rsidR="004742E1" w:rsidRPr="00E36C26" w:rsidRDefault="004D608F" w:rsidP="00E36C26">
            <w:pPr>
              <w:pStyle w:val="NoSpacing"/>
              <w:jc w:val="center"/>
              <w:rPr>
                <w:rFonts w:ascii="Times New Roman" w:hAnsi="Times New Roman" w:cs="Times New Roman"/>
                <w:b/>
                <w:sz w:val="24"/>
                <w:szCs w:val="24"/>
                <w:u w:val="single"/>
              </w:rPr>
            </w:pPr>
            <w:hyperlink r:id="rId8" w:anchor="query=C10H19N5S" w:history="1">
              <w:r w:rsidR="004742E1" w:rsidRPr="00E36C26">
                <w:rPr>
                  <w:rStyle w:val="breakword"/>
                  <w:rFonts w:ascii="Times New Roman" w:hAnsi="Times New Roman" w:cs="Times New Roman"/>
                  <w:sz w:val="24"/>
                  <w:szCs w:val="24"/>
                  <w:shd w:val="clear" w:color="auto" w:fill="FFFFFF"/>
                </w:rPr>
                <w:t>C</w:t>
              </w:r>
              <w:r w:rsidR="004742E1" w:rsidRPr="00E36C26">
                <w:rPr>
                  <w:rStyle w:val="breakword"/>
                  <w:rFonts w:ascii="Times New Roman" w:hAnsi="Times New Roman" w:cs="Times New Roman"/>
                  <w:sz w:val="24"/>
                  <w:szCs w:val="24"/>
                  <w:shd w:val="clear" w:color="auto" w:fill="FFFFFF"/>
                  <w:vertAlign w:val="subscript"/>
                </w:rPr>
                <w:t>10</w:t>
              </w:r>
              <w:r w:rsidR="004742E1" w:rsidRPr="00E36C26">
                <w:rPr>
                  <w:rStyle w:val="breakword"/>
                  <w:rFonts w:ascii="Times New Roman" w:hAnsi="Times New Roman" w:cs="Times New Roman"/>
                  <w:sz w:val="24"/>
                  <w:szCs w:val="24"/>
                  <w:shd w:val="clear" w:color="auto" w:fill="FFFFFF"/>
                </w:rPr>
                <w:t>H</w:t>
              </w:r>
              <w:r w:rsidR="004742E1" w:rsidRPr="00E36C26">
                <w:rPr>
                  <w:rStyle w:val="breakword"/>
                  <w:rFonts w:ascii="Times New Roman" w:hAnsi="Times New Roman" w:cs="Times New Roman"/>
                  <w:sz w:val="24"/>
                  <w:szCs w:val="24"/>
                  <w:shd w:val="clear" w:color="auto" w:fill="FFFFFF"/>
                  <w:vertAlign w:val="subscript"/>
                </w:rPr>
                <w:t>19</w:t>
              </w:r>
              <w:r w:rsidR="004742E1" w:rsidRPr="00E36C26">
                <w:rPr>
                  <w:rStyle w:val="breakword"/>
                  <w:rFonts w:ascii="Times New Roman" w:hAnsi="Times New Roman" w:cs="Times New Roman"/>
                  <w:sz w:val="24"/>
                  <w:szCs w:val="24"/>
                  <w:shd w:val="clear" w:color="auto" w:fill="FFFFFF"/>
                </w:rPr>
                <w:t>N</w:t>
              </w:r>
              <w:r w:rsidR="004742E1" w:rsidRPr="00E36C26">
                <w:rPr>
                  <w:rStyle w:val="breakword"/>
                  <w:rFonts w:ascii="Times New Roman" w:hAnsi="Times New Roman" w:cs="Times New Roman"/>
                  <w:sz w:val="24"/>
                  <w:szCs w:val="24"/>
                  <w:shd w:val="clear" w:color="auto" w:fill="FFFFFF"/>
                  <w:vertAlign w:val="subscript"/>
                </w:rPr>
                <w:t>5</w:t>
              </w:r>
              <w:r w:rsidR="004742E1" w:rsidRPr="00E36C26">
                <w:rPr>
                  <w:rStyle w:val="breakword"/>
                  <w:rFonts w:ascii="Times New Roman" w:hAnsi="Times New Roman" w:cs="Times New Roman"/>
                  <w:sz w:val="24"/>
                  <w:szCs w:val="24"/>
                  <w:shd w:val="clear" w:color="auto" w:fill="FFFFFF"/>
                </w:rPr>
                <w:t>S</w:t>
              </w:r>
            </w:hyperlink>
          </w:p>
        </w:tc>
        <w:tc>
          <w:tcPr>
            <w:tcW w:w="1843" w:type="dxa"/>
            <w:tcBorders>
              <w:top w:val="single" w:sz="12" w:space="0" w:color="000000"/>
              <w:bottom w:val="single" w:sz="12" w:space="0" w:color="000000"/>
            </w:tcBorders>
          </w:tcPr>
          <w:p w14:paraId="5E4C3D73" w14:textId="42AFAF1B" w:rsidR="004742E1" w:rsidRPr="00E36C26" w:rsidRDefault="004742E1" w:rsidP="00E36C26">
            <w:pPr>
              <w:pStyle w:val="NoSpacing"/>
              <w:jc w:val="center"/>
              <w:rPr>
                <w:rFonts w:ascii="Times New Roman" w:hAnsi="Times New Roman" w:cs="Times New Roman"/>
                <w:noProof/>
                <w:sz w:val="24"/>
                <w:szCs w:val="24"/>
                <w:lang w:eastAsia="fr-FR"/>
              </w:rPr>
            </w:pPr>
            <w:r w:rsidRPr="00E36C26">
              <w:rPr>
                <w:rStyle w:val="breakword"/>
                <w:rFonts w:ascii="Times New Roman" w:hAnsi="Times New Roman" w:cs="Times New Roman"/>
                <w:sz w:val="24"/>
                <w:szCs w:val="24"/>
                <w:shd w:val="clear" w:color="auto" w:fill="FFFFFF"/>
              </w:rPr>
              <w:t>241.36</w:t>
            </w:r>
          </w:p>
        </w:tc>
        <w:tc>
          <w:tcPr>
            <w:tcW w:w="3119" w:type="dxa"/>
            <w:tcBorders>
              <w:top w:val="single" w:sz="12" w:space="0" w:color="000000"/>
              <w:bottom w:val="single" w:sz="12" w:space="0" w:color="000000"/>
            </w:tcBorders>
          </w:tcPr>
          <w:p w14:paraId="34A5F383" w14:textId="3D14B40D" w:rsidR="004742E1" w:rsidRPr="00E36C26" w:rsidRDefault="004742E1" w:rsidP="00E36C26">
            <w:pPr>
              <w:pStyle w:val="NoSpacing"/>
              <w:jc w:val="center"/>
              <w:rPr>
                <w:rFonts w:ascii="Times New Roman" w:hAnsi="Times New Roman" w:cs="Times New Roman"/>
                <w:b/>
                <w:sz w:val="24"/>
                <w:szCs w:val="24"/>
                <w:u w:val="single"/>
              </w:rPr>
            </w:pPr>
            <w:r w:rsidRPr="00E36C26">
              <w:rPr>
                <w:rFonts w:ascii="Times New Roman" w:hAnsi="Times New Roman" w:cs="Times New Roman"/>
                <w:noProof/>
                <w:sz w:val="24"/>
                <w:szCs w:val="24"/>
                <w:lang w:val="es-ES" w:eastAsia="es-ES"/>
              </w:rPr>
              <w:drawing>
                <wp:inline distT="0" distB="0" distL="0" distR="0" wp14:anchorId="4853683D" wp14:editId="02636E01">
                  <wp:extent cx="1790700" cy="11811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700" cy="1181100"/>
                          </a:xfrm>
                          <a:prstGeom prst="rect">
                            <a:avLst/>
                          </a:prstGeom>
                        </pic:spPr>
                      </pic:pic>
                    </a:graphicData>
                  </a:graphic>
                </wp:inline>
              </w:drawing>
            </w:r>
          </w:p>
        </w:tc>
        <w:tc>
          <w:tcPr>
            <w:tcW w:w="2551" w:type="dxa"/>
            <w:tcBorders>
              <w:top w:val="single" w:sz="12" w:space="0" w:color="000000"/>
              <w:bottom w:val="single" w:sz="12" w:space="0" w:color="000000"/>
            </w:tcBorders>
          </w:tcPr>
          <w:p w14:paraId="5D7BBD08" w14:textId="44595D1C" w:rsidR="004742E1" w:rsidRPr="00E36C26" w:rsidRDefault="004742E1" w:rsidP="00E36C26">
            <w:pPr>
              <w:pStyle w:val="NoSpacing"/>
              <w:jc w:val="center"/>
              <w:rPr>
                <w:rFonts w:ascii="Times New Roman" w:hAnsi="Times New Roman" w:cs="Times New Roman"/>
                <w:b/>
                <w:sz w:val="24"/>
                <w:szCs w:val="24"/>
                <w:u w:val="single"/>
              </w:rPr>
            </w:pPr>
            <w:r w:rsidRPr="00E36C26">
              <w:rPr>
                <w:rFonts w:ascii="Times New Roman" w:hAnsi="Times New Roman" w:cs="Times New Roman"/>
                <w:sz w:val="24"/>
                <w:szCs w:val="24"/>
                <w:shd w:val="clear" w:color="auto" w:fill="FFFFFF"/>
              </w:rPr>
              <w:t>2-N-tert-butyl-4-N-ethyl-6-methylsulfanyl-1,3,5-triazine-2,4-diamine</w:t>
            </w:r>
          </w:p>
        </w:tc>
      </w:tr>
      <w:tr w:rsidR="004742E1" w14:paraId="0FB84707" w14:textId="77777777" w:rsidTr="00E36C26">
        <w:tc>
          <w:tcPr>
            <w:tcW w:w="1418" w:type="dxa"/>
            <w:tcBorders>
              <w:top w:val="single" w:sz="12" w:space="0" w:color="000000"/>
              <w:bottom w:val="single" w:sz="12" w:space="0" w:color="000000"/>
            </w:tcBorders>
          </w:tcPr>
          <w:p w14:paraId="71FF5577" w14:textId="31E8F044" w:rsidR="004742E1" w:rsidRPr="00E36C26" w:rsidRDefault="004742E1" w:rsidP="00E36C26">
            <w:pPr>
              <w:pStyle w:val="NoSpacing"/>
              <w:jc w:val="center"/>
              <w:rPr>
                <w:rFonts w:ascii="Times New Roman" w:hAnsi="Times New Roman" w:cs="Times New Roman"/>
                <w:sz w:val="24"/>
                <w:szCs w:val="24"/>
              </w:rPr>
            </w:pPr>
            <w:r w:rsidRPr="00E36C26">
              <w:rPr>
                <w:rFonts w:ascii="Times New Roman" w:hAnsi="Times New Roman" w:cs="Times New Roman"/>
                <w:sz w:val="24"/>
                <w:szCs w:val="24"/>
              </w:rPr>
              <w:t>Atrazine</w:t>
            </w:r>
          </w:p>
        </w:tc>
        <w:tc>
          <w:tcPr>
            <w:tcW w:w="2126" w:type="dxa"/>
            <w:tcBorders>
              <w:top w:val="single" w:sz="12" w:space="0" w:color="000000"/>
              <w:bottom w:val="single" w:sz="12" w:space="0" w:color="000000"/>
            </w:tcBorders>
          </w:tcPr>
          <w:p w14:paraId="6B7EAA11" w14:textId="779D0CE5" w:rsidR="004742E1" w:rsidRPr="00E36C26" w:rsidRDefault="004D608F" w:rsidP="00E36C26">
            <w:pPr>
              <w:pStyle w:val="NoSpacing"/>
              <w:jc w:val="center"/>
              <w:rPr>
                <w:rFonts w:ascii="Times New Roman" w:hAnsi="Times New Roman" w:cs="Times New Roman"/>
                <w:b/>
                <w:sz w:val="24"/>
                <w:szCs w:val="24"/>
                <w:u w:val="single"/>
              </w:rPr>
            </w:pPr>
            <w:hyperlink r:id="rId10" w:anchor="query=C8H14ClN5" w:history="1">
              <w:r w:rsidR="004742E1" w:rsidRPr="00E36C26">
                <w:rPr>
                  <w:rStyle w:val="breakword"/>
                  <w:rFonts w:ascii="Times New Roman" w:hAnsi="Times New Roman" w:cs="Times New Roman"/>
                  <w:sz w:val="24"/>
                  <w:szCs w:val="24"/>
                  <w:shd w:val="clear" w:color="auto" w:fill="FFFFFF"/>
                </w:rPr>
                <w:t>C</w:t>
              </w:r>
              <w:r w:rsidR="004742E1" w:rsidRPr="00E36C26">
                <w:rPr>
                  <w:rStyle w:val="breakword"/>
                  <w:rFonts w:ascii="Times New Roman" w:hAnsi="Times New Roman" w:cs="Times New Roman"/>
                  <w:sz w:val="24"/>
                  <w:szCs w:val="24"/>
                  <w:shd w:val="clear" w:color="auto" w:fill="FFFFFF"/>
                  <w:vertAlign w:val="subscript"/>
                </w:rPr>
                <w:t>8</w:t>
              </w:r>
              <w:r w:rsidR="004742E1" w:rsidRPr="00E36C26">
                <w:rPr>
                  <w:rStyle w:val="breakword"/>
                  <w:rFonts w:ascii="Times New Roman" w:hAnsi="Times New Roman" w:cs="Times New Roman"/>
                  <w:sz w:val="24"/>
                  <w:szCs w:val="24"/>
                  <w:shd w:val="clear" w:color="auto" w:fill="FFFFFF"/>
                </w:rPr>
                <w:t>H</w:t>
              </w:r>
              <w:r w:rsidR="004742E1" w:rsidRPr="00E36C26">
                <w:rPr>
                  <w:rStyle w:val="breakword"/>
                  <w:rFonts w:ascii="Times New Roman" w:hAnsi="Times New Roman" w:cs="Times New Roman"/>
                  <w:sz w:val="24"/>
                  <w:szCs w:val="24"/>
                  <w:shd w:val="clear" w:color="auto" w:fill="FFFFFF"/>
                  <w:vertAlign w:val="subscript"/>
                </w:rPr>
                <w:t>14</w:t>
              </w:r>
              <w:r w:rsidR="004742E1" w:rsidRPr="00E36C26">
                <w:rPr>
                  <w:rStyle w:val="breakword"/>
                  <w:rFonts w:ascii="Times New Roman" w:hAnsi="Times New Roman" w:cs="Times New Roman"/>
                  <w:sz w:val="24"/>
                  <w:szCs w:val="24"/>
                  <w:shd w:val="clear" w:color="auto" w:fill="FFFFFF"/>
                </w:rPr>
                <w:t>ClN</w:t>
              </w:r>
              <w:r w:rsidR="004742E1" w:rsidRPr="00E36C26">
                <w:rPr>
                  <w:rStyle w:val="breakword"/>
                  <w:rFonts w:ascii="Times New Roman" w:hAnsi="Times New Roman" w:cs="Times New Roman"/>
                  <w:sz w:val="24"/>
                  <w:szCs w:val="24"/>
                  <w:shd w:val="clear" w:color="auto" w:fill="FFFFFF"/>
                  <w:vertAlign w:val="subscript"/>
                </w:rPr>
                <w:t>5</w:t>
              </w:r>
            </w:hyperlink>
          </w:p>
        </w:tc>
        <w:tc>
          <w:tcPr>
            <w:tcW w:w="1843" w:type="dxa"/>
            <w:tcBorders>
              <w:top w:val="single" w:sz="12" w:space="0" w:color="000000"/>
              <w:bottom w:val="single" w:sz="12" w:space="0" w:color="000000"/>
            </w:tcBorders>
          </w:tcPr>
          <w:p w14:paraId="42402321" w14:textId="11ACBE06" w:rsidR="004742E1" w:rsidRPr="00E36C26" w:rsidRDefault="004742E1" w:rsidP="00E36C26">
            <w:pPr>
              <w:pStyle w:val="NoSpacing"/>
              <w:jc w:val="center"/>
              <w:rPr>
                <w:rFonts w:ascii="Times New Roman" w:hAnsi="Times New Roman" w:cs="Times New Roman"/>
                <w:noProof/>
                <w:sz w:val="24"/>
                <w:szCs w:val="24"/>
                <w:lang w:eastAsia="fr-FR"/>
              </w:rPr>
            </w:pPr>
            <w:r w:rsidRPr="00E36C26">
              <w:rPr>
                <w:rStyle w:val="breakword"/>
                <w:rFonts w:ascii="Times New Roman" w:hAnsi="Times New Roman" w:cs="Times New Roman"/>
                <w:sz w:val="24"/>
                <w:szCs w:val="24"/>
                <w:shd w:val="clear" w:color="auto" w:fill="FFFFFF"/>
              </w:rPr>
              <w:t>215.68</w:t>
            </w:r>
          </w:p>
        </w:tc>
        <w:tc>
          <w:tcPr>
            <w:tcW w:w="3119" w:type="dxa"/>
            <w:tcBorders>
              <w:top w:val="single" w:sz="12" w:space="0" w:color="000000"/>
              <w:bottom w:val="single" w:sz="12" w:space="0" w:color="000000"/>
            </w:tcBorders>
          </w:tcPr>
          <w:p w14:paraId="754F477B" w14:textId="2DDE3FBE" w:rsidR="004742E1" w:rsidRPr="00E36C26" w:rsidRDefault="004742E1" w:rsidP="00E36C26">
            <w:pPr>
              <w:pStyle w:val="NoSpacing"/>
              <w:jc w:val="center"/>
              <w:rPr>
                <w:rFonts w:ascii="Times New Roman" w:hAnsi="Times New Roman" w:cs="Times New Roman"/>
                <w:b/>
                <w:sz w:val="24"/>
                <w:szCs w:val="24"/>
                <w:u w:val="single"/>
              </w:rPr>
            </w:pPr>
            <w:r w:rsidRPr="00E36C26">
              <w:rPr>
                <w:rFonts w:ascii="Times New Roman" w:hAnsi="Times New Roman" w:cs="Times New Roman"/>
                <w:noProof/>
                <w:sz w:val="24"/>
                <w:szCs w:val="24"/>
                <w:lang w:val="es-ES" w:eastAsia="es-ES"/>
              </w:rPr>
              <w:drawing>
                <wp:inline distT="0" distB="0" distL="0" distR="0" wp14:anchorId="14252551" wp14:editId="591930B2">
                  <wp:extent cx="1941094" cy="1171575"/>
                  <wp:effectExtent l="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45848" cy="1174444"/>
                          </a:xfrm>
                          <a:prstGeom prst="rect">
                            <a:avLst/>
                          </a:prstGeom>
                        </pic:spPr>
                      </pic:pic>
                    </a:graphicData>
                  </a:graphic>
                </wp:inline>
              </w:drawing>
            </w:r>
          </w:p>
        </w:tc>
        <w:tc>
          <w:tcPr>
            <w:tcW w:w="2551" w:type="dxa"/>
            <w:tcBorders>
              <w:top w:val="single" w:sz="12" w:space="0" w:color="000000"/>
              <w:bottom w:val="single" w:sz="12" w:space="0" w:color="000000"/>
            </w:tcBorders>
          </w:tcPr>
          <w:p w14:paraId="7D763CE1" w14:textId="4F12C92B" w:rsidR="004742E1" w:rsidRPr="00E36C26" w:rsidRDefault="004742E1" w:rsidP="00E36C26">
            <w:pPr>
              <w:pStyle w:val="NoSpacing"/>
              <w:jc w:val="center"/>
              <w:rPr>
                <w:rFonts w:ascii="Times New Roman" w:hAnsi="Times New Roman" w:cs="Times New Roman"/>
                <w:b/>
                <w:sz w:val="24"/>
                <w:szCs w:val="24"/>
                <w:u w:val="single"/>
              </w:rPr>
            </w:pPr>
            <w:r w:rsidRPr="00E36C26">
              <w:rPr>
                <w:rStyle w:val="breakword"/>
                <w:rFonts w:ascii="Times New Roman" w:hAnsi="Times New Roman" w:cs="Times New Roman"/>
                <w:sz w:val="24"/>
                <w:szCs w:val="24"/>
                <w:shd w:val="clear" w:color="auto" w:fill="FFFFFF"/>
              </w:rPr>
              <w:t>6-chloro-4-N-ethyl-2-N-propan-2-yl-1,3,5-triazine-2,4-diamine</w:t>
            </w:r>
          </w:p>
        </w:tc>
      </w:tr>
      <w:tr w:rsidR="004742E1" w14:paraId="5B566E97" w14:textId="77777777" w:rsidTr="00E36C26">
        <w:trPr>
          <w:trHeight w:val="1945"/>
        </w:trPr>
        <w:tc>
          <w:tcPr>
            <w:tcW w:w="1418" w:type="dxa"/>
            <w:tcBorders>
              <w:top w:val="single" w:sz="12" w:space="0" w:color="000000"/>
              <w:bottom w:val="single" w:sz="12" w:space="0" w:color="000000"/>
            </w:tcBorders>
          </w:tcPr>
          <w:p w14:paraId="2B899BCE" w14:textId="1EBC53AF" w:rsidR="004742E1" w:rsidRPr="00E36C26" w:rsidRDefault="004742E1" w:rsidP="00E36C26">
            <w:pPr>
              <w:pStyle w:val="NoSpacing"/>
              <w:jc w:val="center"/>
              <w:rPr>
                <w:rFonts w:ascii="Times New Roman" w:hAnsi="Times New Roman" w:cs="Times New Roman"/>
                <w:sz w:val="24"/>
                <w:szCs w:val="24"/>
              </w:rPr>
            </w:pPr>
            <w:r w:rsidRPr="00E36C26">
              <w:rPr>
                <w:rFonts w:ascii="Times New Roman" w:hAnsi="Times New Roman" w:cs="Times New Roman"/>
                <w:sz w:val="24"/>
                <w:szCs w:val="24"/>
              </w:rPr>
              <w:t>Cybutryne</w:t>
            </w:r>
          </w:p>
        </w:tc>
        <w:tc>
          <w:tcPr>
            <w:tcW w:w="2126" w:type="dxa"/>
            <w:tcBorders>
              <w:top w:val="single" w:sz="12" w:space="0" w:color="000000"/>
              <w:bottom w:val="single" w:sz="12" w:space="0" w:color="000000"/>
            </w:tcBorders>
          </w:tcPr>
          <w:p w14:paraId="592AF385" w14:textId="39E32AFB" w:rsidR="004742E1" w:rsidRPr="00E36C26" w:rsidRDefault="004D608F" w:rsidP="00E36C26">
            <w:pPr>
              <w:pStyle w:val="NoSpacing"/>
              <w:jc w:val="center"/>
              <w:rPr>
                <w:rFonts w:ascii="Times New Roman" w:hAnsi="Times New Roman" w:cs="Times New Roman"/>
                <w:b/>
                <w:sz w:val="24"/>
                <w:szCs w:val="24"/>
                <w:u w:val="single"/>
              </w:rPr>
            </w:pPr>
            <w:hyperlink r:id="rId12" w:anchor="query=C11H19N5S" w:history="1">
              <w:r w:rsidR="004742E1" w:rsidRPr="00E36C26">
                <w:rPr>
                  <w:rStyle w:val="breakword"/>
                  <w:rFonts w:ascii="Times New Roman" w:hAnsi="Times New Roman" w:cs="Times New Roman"/>
                  <w:sz w:val="24"/>
                  <w:szCs w:val="24"/>
                  <w:shd w:val="clear" w:color="auto" w:fill="FFFFFF"/>
                </w:rPr>
                <w:t>C</w:t>
              </w:r>
              <w:r w:rsidR="004742E1" w:rsidRPr="00E36C26">
                <w:rPr>
                  <w:rStyle w:val="breakword"/>
                  <w:rFonts w:ascii="Times New Roman" w:hAnsi="Times New Roman" w:cs="Times New Roman"/>
                  <w:sz w:val="24"/>
                  <w:szCs w:val="24"/>
                  <w:shd w:val="clear" w:color="auto" w:fill="FFFFFF"/>
                  <w:vertAlign w:val="subscript"/>
                </w:rPr>
                <w:t>11</w:t>
              </w:r>
              <w:r w:rsidR="004742E1" w:rsidRPr="00E36C26">
                <w:rPr>
                  <w:rStyle w:val="breakword"/>
                  <w:rFonts w:ascii="Times New Roman" w:hAnsi="Times New Roman" w:cs="Times New Roman"/>
                  <w:sz w:val="24"/>
                  <w:szCs w:val="24"/>
                  <w:shd w:val="clear" w:color="auto" w:fill="FFFFFF"/>
                </w:rPr>
                <w:t>H</w:t>
              </w:r>
              <w:r w:rsidR="004742E1" w:rsidRPr="00E36C26">
                <w:rPr>
                  <w:rStyle w:val="breakword"/>
                  <w:rFonts w:ascii="Times New Roman" w:hAnsi="Times New Roman" w:cs="Times New Roman"/>
                  <w:sz w:val="24"/>
                  <w:szCs w:val="24"/>
                  <w:shd w:val="clear" w:color="auto" w:fill="FFFFFF"/>
                  <w:vertAlign w:val="subscript"/>
                </w:rPr>
                <w:t>19</w:t>
              </w:r>
              <w:r w:rsidR="004742E1" w:rsidRPr="00E36C26">
                <w:rPr>
                  <w:rStyle w:val="breakword"/>
                  <w:rFonts w:ascii="Times New Roman" w:hAnsi="Times New Roman" w:cs="Times New Roman"/>
                  <w:sz w:val="24"/>
                  <w:szCs w:val="24"/>
                  <w:shd w:val="clear" w:color="auto" w:fill="FFFFFF"/>
                </w:rPr>
                <w:t>N</w:t>
              </w:r>
              <w:r w:rsidR="004742E1" w:rsidRPr="00E36C26">
                <w:rPr>
                  <w:rStyle w:val="breakword"/>
                  <w:rFonts w:ascii="Times New Roman" w:hAnsi="Times New Roman" w:cs="Times New Roman"/>
                  <w:sz w:val="24"/>
                  <w:szCs w:val="24"/>
                  <w:shd w:val="clear" w:color="auto" w:fill="FFFFFF"/>
                  <w:vertAlign w:val="subscript"/>
                </w:rPr>
                <w:t>5</w:t>
              </w:r>
              <w:r w:rsidR="004742E1" w:rsidRPr="00E36C26">
                <w:rPr>
                  <w:rStyle w:val="breakword"/>
                  <w:rFonts w:ascii="Times New Roman" w:hAnsi="Times New Roman" w:cs="Times New Roman"/>
                  <w:sz w:val="24"/>
                  <w:szCs w:val="24"/>
                  <w:shd w:val="clear" w:color="auto" w:fill="FFFFFF"/>
                </w:rPr>
                <w:t>S</w:t>
              </w:r>
            </w:hyperlink>
          </w:p>
        </w:tc>
        <w:tc>
          <w:tcPr>
            <w:tcW w:w="1843" w:type="dxa"/>
            <w:tcBorders>
              <w:top w:val="single" w:sz="12" w:space="0" w:color="000000"/>
              <w:bottom w:val="single" w:sz="12" w:space="0" w:color="000000"/>
            </w:tcBorders>
          </w:tcPr>
          <w:p w14:paraId="122297BB" w14:textId="225FB76A" w:rsidR="004742E1" w:rsidRPr="00E36C26" w:rsidRDefault="004742E1" w:rsidP="00E36C26">
            <w:pPr>
              <w:pStyle w:val="NoSpacing"/>
              <w:jc w:val="center"/>
              <w:rPr>
                <w:rFonts w:ascii="Times New Roman" w:hAnsi="Times New Roman" w:cs="Times New Roman"/>
                <w:noProof/>
                <w:sz w:val="24"/>
                <w:szCs w:val="24"/>
                <w:lang w:eastAsia="fr-FR"/>
              </w:rPr>
            </w:pPr>
            <w:r w:rsidRPr="00E36C26">
              <w:rPr>
                <w:rStyle w:val="breakword"/>
                <w:rFonts w:ascii="Times New Roman" w:hAnsi="Times New Roman" w:cs="Times New Roman"/>
                <w:sz w:val="24"/>
                <w:szCs w:val="24"/>
                <w:shd w:val="clear" w:color="auto" w:fill="FFFFFF"/>
              </w:rPr>
              <w:t>253.37</w:t>
            </w:r>
          </w:p>
        </w:tc>
        <w:tc>
          <w:tcPr>
            <w:tcW w:w="3119" w:type="dxa"/>
            <w:tcBorders>
              <w:top w:val="single" w:sz="12" w:space="0" w:color="000000"/>
              <w:bottom w:val="single" w:sz="12" w:space="0" w:color="000000"/>
            </w:tcBorders>
          </w:tcPr>
          <w:p w14:paraId="5FCD0C4E" w14:textId="3190914A" w:rsidR="004742E1" w:rsidRPr="00E36C26" w:rsidRDefault="004742E1" w:rsidP="00E36C26">
            <w:pPr>
              <w:pStyle w:val="NoSpacing"/>
              <w:jc w:val="center"/>
              <w:rPr>
                <w:rFonts w:ascii="Times New Roman" w:hAnsi="Times New Roman" w:cs="Times New Roman"/>
                <w:b/>
                <w:sz w:val="24"/>
                <w:szCs w:val="24"/>
                <w:u w:val="single"/>
              </w:rPr>
            </w:pPr>
            <w:r w:rsidRPr="00E36C26">
              <w:rPr>
                <w:rFonts w:ascii="Times New Roman" w:hAnsi="Times New Roman" w:cs="Times New Roman"/>
                <w:noProof/>
                <w:sz w:val="24"/>
                <w:szCs w:val="24"/>
                <w:lang w:val="es-ES" w:eastAsia="es-ES"/>
              </w:rPr>
              <w:drawing>
                <wp:inline distT="0" distB="0" distL="0" distR="0" wp14:anchorId="4CC491D3" wp14:editId="2DE9715B">
                  <wp:extent cx="1811965" cy="1122947"/>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36371" cy="1138073"/>
                          </a:xfrm>
                          <a:prstGeom prst="rect">
                            <a:avLst/>
                          </a:prstGeom>
                        </pic:spPr>
                      </pic:pic>
                    </a:graphicData>
                  </a:graphic>
                </wp:inline>
              </w:drawing>
            </w:r>
          </w:p>
        </w:tc>
        <w:tc>
          <w:tcPr>
            <w:tcW w:w="2551" w:type="dxa"/>
            <w:tcBorders>
              <w:top w:val="single" w:sz="12" w:space="0" w:color="000000"/>
              <w:bottom w:val="single" w:sz="12" w:space="0" w:color="000000"/>
            </w:tcBorders>
          </w:tcPr>
          <w:p w14:paraId="585E081E" w14:textId="7335A5E6" w:rsidR="004742E1" w:rsidRPr="00E36C26" w:rsidRDefault="004742E1" w:rsidP="00E36C26">
            <w:pPr>
              <w:pStyle w:val="NoSpacing"/>
              <w:jc w:val="center"/>
              <w:rPr>
                <w:rFonts w:ascii="Times New Roman" w:hAnsi="Times New Roman" w:cs="Times New Roman"/>
                <w:b/>
                <w:sz w:val="24"/>
                <w:szCs w:val="24"/>
                <w:u w:val="single"/>
              </w:rPr>
            </w:pPr>
            <w:r w:rsidRPr="00E36C26">
              <w:rPr>
                <w:rStyle w:val="breakword"/>
                <w:rFonts w:ascii="Times New Roman" w:hAnsi="Times New Roman" w:cs="Times New Roman"/>
                <w:sz w:val="24"/>
                <w:szCs w:val="24"/>
                <w:shd w:val="clear" w:color="auto" w:fill="FFFFFF"/>
              </w:rPr>
              <w:t>2-N-tert-butyl-4-N-cyclopropyl-6-methylsulfanyl-1,3,5-triazine-2,4-diamine</w:t>
            </w:r>
          </w:p>
        </w:tc>
      </w:tr>
    </w:tbl>
    <w:p w14:paraId="09CD3977" w14:textId="77777777" w:rsidR="002318D6" w:rsidRDefault="002318D6" w:rsidP="00AD4230">
      <w:pPr>
        <w:pStyle w:val="NoSpacing"/>
        <w:rPr>
          <w:rFonts w:ascii="Times New Roman" w:hAnsi="Times New Roman" w:cs="Times New Roman"/>
          <w:b/>
          <w:sz w:val="24"/>
          <w:szCs w:val="24"/>
          <w:u w:val="single"/>
        </w:rPr>
      </w:pPr>
    </w:p>
    <w:p w14:paraId="3AF2F250" w14:textId="3A78BFE3" w:rsidR="007D62F1" w:rsidRPr="007D62F1" w:rsidRDefault="004557BA" w:rsidP="00A7365A">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T</w:t>
      </w:r>
      <w:r w:rsidRPr="004557BA">
        <w:rPr>
          <w:rFonts w:ascii="Times New Roman" w:hAnsi="Times New Roman" w:cs="Times New Roman"/>
          <w:b/>
          <w:sz w:val="24"/>
          <w:szCs w:val="24"/>
          <w:u w:val="single"/>
        </w:rPr>
        <w:t>able</w:t>
      </w:r>
      <w:r w:rsidR="00710BF8">
        <w:rPr>
          <w:rFonts w:ascii="Times New Roman" w:hAnsi="Times New Roman" w:cs="Times New Roman"/>
          <w:b/>
          <w:sz w:val="24"/>
          <w:szCs w:val="24"/>
          <w:u w:val="single"/>
        </w:rPr>
        <w:t xml:space="preserve"> 2</w:t>
      </w:r>
      <w:r w:rsidRPr="004557BA">
        <w:rPr>
          <w:rFonts w:ascii="Times New Roman" w:hAnsi="Times New Roman" w:cs="Times New Roman"/>
          <w:b/>
          <w:sz w:val="24"/>
          <w:szCs w:val="24"/>
          <w:u w:val="single"/>
        </w:rPr>
        <w:t>:</w:t>
      </w:r>
      <w:r w:rsidRPr="004557BA">
        <w:rPr>
          <w:rFonts w:ascii="Times New Roman" w:hAnsi="Times New Roman" w:cs="Times New Roman"/>
          <w:b/>
          <w:sz w:val="24"/>
          <w:szCs w:val="24"/>
        </w:rPr>
        <w:t xml:space="preserve"> </w:t>
      </w:r>
      <w:r w:rsidR="00B833E6">
        <w:rPr>
          <w:rFonts w:ascii="Times New Roman" w:hAnsi="Times New Roman" w:cs="Times New Roman"/>
          <w:sz w:val="24"/>
          <w:szCs w:val="24"/>
        </w:rPr>
        <w:t xml:space="preserve">Some physico-chemical </w:t>
      </w:r>
      <w:r w:rsidR="00B833E6" w:rsidRPr="00B833E6">
        <w:rPr>
          <w:rFonts w:ascii="Times New Roman" w:hAnsi="Times New Roman" w:cs="Times New Roman"/>
          <w:sz w:val="24"/>
          <w:szCs w:val="24"/>
        </w:rPr>
        <w:t>features</w:t>
      </w:r>
      <w:r w:rsidRPr="004557BA">
        <w:rPr>
          <w:rFonts w:ascii="Times New Roman" w:hAnsi="Times New Roman" w:cs="Times New Roman"/>
          <w:sz w:val="24"/>
          <w:szCs w:val="24"/>
        </w:rPr>
        <w:t xml:space="preserve"> of the pesticides studied</w:t>
      </w:r>
      <w:r>
        <w:rPr>
          <w:rFonts w:ascii="Times New Roman" w:hAnsi="Times New Roman" w:cs="Times New Roman"/>
          <w:sz w:val="24"/>
          <w:szCs w:val="24"/>
        </w:rPr>
        <w:t xml:space="preserve"> </w:t>
      </w:r>
      <w:r w:rsidR="0030661B">
        <w:rPr>
          <w:rFonts w:ascii="Times New Roman" w:hAnsi="Times New Roman" w:cs="Times New Roman"/>
          <w:sz w:val="24"/>
          <w:szCs w:val="24"/>
        </w:rPr>
        <w:t>[8</w:t>
      </w:r>
      <w:r w:rsidRPr="004557BA">
        <w:rPr>
          <w:rFonts w:ascii="Times New Roman" w:hAnsi="Times New Roman" w:cs="Times New Roman"/>
          <w:sz w:val="24"/>
          <w:szCs w:val="24"/>
        </w:rPr>
        <w:t>].</w:t>
      </w:r>
    </w:p>
    <w:p w14:paraId="1546BA89" w14:textId="77777777" w:rsidR="007D62F1" w:rsidRDefault="007D62F1" w:rsidP="00A7365A">
      <w:pPr>
        <w:pStyle w:val="NoSpacing"/>
        <w:jc w:val="both"/>
        <w:rPr>
          <w:rFonts w:ascii="Calibri" w:hAnsi="Calibri" w:cs="Calibri"/>
          <w:sz w:val="24"/>
          <w:szCs w:val="24"/>
        </w:rPr>
      </w:pPr>
    </w:p>
    <w:tbl>
      <w:tblPr>
        <w:tblStyle w:val="TableGrid"/>
        <w:tblpPr w:leftFromText="141" w:rightFromText="141" w:vertAnchor="text" w:tblpX="-583" w:tblpY="1"/>
        <w:tblOverlap w:val="nev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29"/>
        <w:gridCol w:w="1417"/>
        <w:gridCol w:w="1134"/>
        <w:gridCol w:w="2693"/>
      </w:tblGrid>
      <w:tr w:rsidR="007D62F1" w:rsidRPr="004B0A36" w14:paraId="2A96C1C0" w14:textId="77777777" w:rsidTr="007E4E65">
        <w:tc>
          <w:tcPr>
            <w:tcW w:w="4395" w:type="dxa"/>
            <w:tcBorders>
              <w:top w:val="single" w:sz="12" w:space="0" w:color="000000"/>
              <w:bottom w:val="single" w:sz="12" w:space="0" w:color="000000"/>
            </w:tcBorders>
          </w:tcPr>
          <w:p w14:paraId="556EDA95" w14:textId="538089F7" w:rsidR="007D62F1" w:rsidRPr="004B0A36" w:rsidRDefault="004557BA" w:rsidP="00A7365A">
            <w:pPr>
              <w:jc w:val="cente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Properties</w:t>
            </w:r>
          </w:p>
        </w:tc>
        <w:tc>
          <w:tcPr>
            <w:tcW w:w="1129" w:type="dxa"/>
            <w:tcBorders>
              <w:top w:val="single" w:sz="12" w:space="0" w:color="000000"/>
              <w:bottom w:val="single" w:sz="12" w:space="0" w:color="000000"/>
            </w:tcBorders>
          </w:tcPr>
          <w:p w14:paraId="18C4648B" w14:textId="77777777" w:rsidR="007D62F1" w:rsidRPr="004B0A36" w:rsidRDefault="007D62F1" w:rsidP="00A7365A">
            <w:pPr>
              <w:jc w:val="center"/>
              <w:rPr>
                <w:rFonts w:ascii="Times New Roman" w:hAnsi="Times New Roman" w:cs="Times New Roman"/>
                <w:bCs/>
                <w:sz w:val="24"/>
                <w:szCs w:val="24"/>
                <w:shd w:val="clear" w:color="auto" w:fill="FFFFFF"/>
              </w:rPr>
            </w:pPr>
          </w:p>
        </w:tc>
        <w:tc>
          <w:tcPr>
            <w:tcW w:w="1417" w:type="dxa"/>
            <w:tcBorders>
              <w:top w:val="single" w:sz="12" w:space="0" w:color="000000"/>
              <w:bottom w:val="single" w:sz="12" w:space="0" w:color="000000"/>
            </w:tcBorders>
          </w:tcPr>
          <w:p w14:paraId="4151D6E1" w14:textId="73755C52" w:rsidR="007D62F1" w:rsidRPr="004B0A36" w:rsidRDefault="004557BA" w:rsidP="00A7365A">
            <w:pPr>
              <w:jc w:val="cente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Compounds</w:t>
            </w:r>
          </w:p>
        </w:tc>
        <w:tc>
          <w:tcPr>
            <w:tcW w:w="1134" w:type="dxa"/>
            <w:tcBorders>
              <w:top w:val="single" w:sz="12" w:space="0" w:color="000000"/>
              <w:bottom w:val="single" w:sz="12" w:space="0" w:color="000000"/>
            </w:tcBorders>
          </w:tcPr>
          <w:p w14:paraId="7BAD39EB" w14:textId="5D4032FA" w:rsidR="007D62F1" w:rsidRPr="004B0A36" w:rsidRDefault="004557BA" w:rsidP="00A7365A">
            <w:pPr>
              <w:jc w:val="cente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Values</w:t>
            </w:r>
          </w:p>
        </w:tc>
        <w:tc>
          <w:tcPr>
            <w:tcW w:w="2693" w:type="dxa"/>
            <w:tcBorders>
              <w:top w:val="single" w:sz="12" w:space="0" w:color="000000"/>
              <w:bottom w:val="single" w:sz="12" w:space="0" w:color="000000"/>
            </w:tcBorders>
          </w:tcPr>
          <w:p w14:paraId="3F93F7D0" w14:textId="4BC0CF29" w:rsidR="007D62F1" w:rsidRPr="004B0A36" w:rsidRDefault="004557BA" w:rsidP="00A7365A">
            <w:pPr>
              <w:jc w:val="cente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Interpretations</w:t>
            </w:r>
          </w:p>
        </w:tc>
      </w:tr>
      <w:tr w:rsidR="007E4E65" w:rsidRPr="004B0A36" w14:paraId="72B0D690" w14:textId="77777777" w:rsidTr="00CC2571">
        <w:tc>
          <w:tcPr>
            <w:tcW w:w="5524" w:type="dxa"/>
            <w:gridSpan w:val="2"/>
            <w:vMerge w:val="restart"/>
            <w:tcBorders>
              <w:top w:val="single" w:sz="12" w:space="0" w:color="000000"/>
            </w:tcBorders>
          </w:tcPr>
          <w:p w14:paraId="7493BEC2" w14:textId="42E71E0F" w:rsidR="007E4E65" w:rsidRPr="004B0A36" w:rsidRDefault="004557BA" w:rsidP="00A7365A">
            <w:pP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Soil degradation (days) (aerobic) DT₅₀ (field)</w:t>
            </w:r>
          </w:p>
        </w:tc>
        <w:tc>
          <w:tcPr>
            <w:tcW w:w="1417" w:type="dxa"/>
            <w:tcBorders>
              <w:top w:val="single" w:sz="12" w:space="0" w:color="000000"/>
            </w:tcBorders>
          </w:tcPr>
          <w:p w14:paraId="630A1AC6"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Atrazine</w:t>
            </w:r>
          </w:p>
        </w:tc>
        <w:tc>
          <w:tcPr>
            <w:tcW w:w="1134" w:type="dxa"/>
            <w:tcBorders>
              <w:top w:val="single" w:sz="12" w:space="0" w:color="000000"/>
            </w:tcBorders>
          </w:tcPr>
          <w:p w14:paraId="15B21957"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29</w:t>
            </w:r>
          </w:p>
        </w:tc>
        <w:tc>
          <w:tcPr>
            <w:tcW w:w="2693" w:type="dxa"/>
            <w:tcBorders>
              <w:top w:val="single" w:sz="12" w:space="0" w:color="000000"/>
            </w:tcBorders>
          </w:tcPr>
          <w:p w14:paraId="6C82D84C" w14:textId="000BF3BB" w:rsidR="007E4E65" w:rsidRPr="004B0A36" w:rsidRDefault="004557BA" w:rsidP="00A7365A">
            <w:pPr>
              <w:jc w:val="cente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Non-persistent</w:t>
            </w:r>
          </w:p>
        </w:tc>
      </w:tr>
      <w:tr w:rsidR="007E4E65" w:rsidRPr="004B0A36" w14:paraId="61DB10B0" w14:textId="77777777" w:rsidTr="00CC2571">
        <w:tc>
          <w:tcPr>
            <w:tcW w:w="5524" w:type="dxa"/>
            <w:gridSpan w:val="2"/>
            <w:vMerge/>
          </w:tcPr>
          <w:p w14:paraId="0524555E" w14:textId="77777777" w:rsidR="007E4E65" w:rsidRPr="004B0A36" w:rsidRDefault="007E4E65" w:rsidP="00A7365A">
            <w:pPr>
              <w:jc w:val="center"/>
              <w:rPr>
                <w:rFonts w:ascii="Times New Roman" w:hAnsi="Times New Roman" w:cs="Times New Roman"/>
                <w:bCs/>
                <w:sz w:val="24"/>
                <w:szCs w:val="24"/>
                <w:shd w:val="clear" w:color="auto" w:fill="FFFFFF"/>
              </w:rPr>
            </w:pPr>
          </w:p>
        </w:tc>
        <w:tc>
          <w:tcPr>
            <w:tcW w:w="1417" w:type="dxa"/>
          </w:tcPr>
          <w:p w14:paraId="5DEB9EC9"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Cybutryne</w:t>
            </w:r>
          </w:p>
        </w:tc>
        <w:tc>
          <w:tcPr>
            <w:tcW w:w="1134" w:type="dxa"/>
          </w:tcPr>
          <w:p w14:paraId="3337623B"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w:t>
            </w:r>
          </w:p>
        </w:tc>
        <w:tc>
          <w:tcPr>
            <w:tcW w:w="2693" w:type="dxa"/>
          </w:tcPr>
          <w:p w14:paraId="6EC049C6"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w:t>
            </w:r>
          </w:p>
        </w:tc>
      </w:tr>
      <w:tr w:rsidR="007E4E65" w:rsidRPr="004B0A36" w14:paraId="0CC3EDBC" w14:textId="77777777" w:rsidTr="00CC2571">
        <w:tc>
          <w:tcPr>
            <w:tcW w:w="5524" w:type="dxa"/>
            <w:gridSpan w:val="2"/>
            <w:vMerge/>
          </w:tcPr>
          <w:p w14:paraId="2C1C0F2C" w14:textId="77777777" w:rsidR="007E4E65" w:rsidRPr="004B0A36" w:rsidRDefault="007E4E65" w:rsidP="00A7365A">
            <w:pPr>
              <w:jc w:val="center"/>
              <w:rPr>
                <w:rFonts w:ascii="Times New Roman" w:hAnsi="Times New Roman" w:cs="Times New Roman"/>
                <w:bCs/>
                <w:sz w:val="24"/>
                <w:szCs w:val="24"/>
                <w:shd w:val="clear" w:color="auto" w:fill="FFFFFF"/>
              </w:rPr>
            </w:pPr>
          </w:p>
        </w:tc>
        <w:tc>
          <w:tcPr>
            <w:tcW w:w="1417" w:type="dxa"/>
          </w:tcPr>
          <w:p w14:paraId="4B7EDFA7" w14:textId="4907A4F0" w:rsidR="007E4E65" w:rsidRPr="004B0A36" w:rsidRDefault="006820A2" w:rsidP="00A7365A">
            <w:pPr>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Terbutryn</w:t>
            </w:r>
          </w:p>
        </w:tc>
        <w:tc>
          <w:tcPr>
            <w:tcW w:w="1134" w:type="dxa"/>
          </w:tcPr>
          <w:p w14:paraId="5D56ED3F"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52</w:t>
            </w:r>
          </w:p>
        </w:tc>
        <w:tc>
          <w:tcPr>
            <w:tcW w:w="2693" w:type="dxa"/>
          </w:tcPr>
          <w:p w14:paraId="6AD87315" w14:textId="0FDAA388"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Moderate persistence</w:t>
            </w:r>
          </w:p>
        </w:tc>
      </w:tr>
      <w:tr w:rsidR="007E4E65" w:rsidRPr="004B0A36" w14:paraId="09DC9C72" w14:textId="77777777" w:rsidTr="00CC2571">
        <w:tc>
          <w:tcPr>
            <w:tcW w:w="5524" w:type="dxa"/>
            <w:gridSpan w:val="2"/>
            <w:vMerge w:val="restart"/>
            <w:tcBorders>
              <w:top w:val="single" w:sz="2" w:space="0" w:color="000000"/>
            </w:tcBorders>
          </w:tcPr>
          <w:p w14:paraId="5383F793" w14:textId="3DB972EE" w:rsidR="007E4E65" w:rsidRPr="004557BA" w:rsidRDefault="004557BA" w:rsidP="00A7365A">
            <w:pPr>
              <w:rPr>
                <w:rFonts w:ascii="Times New Roman" w:eastAsia="Times New Roman" w:hAnsi="Times New Roman" w:cs="Times New Roman"/>
                <w:bCs/>
                <w:sz w:val="24"/>
                <w:szCs w:val="24"/>
                <w:lang w:eastAsia="fr-FR"/>
              </w:rPr>
            </w:pPr>
            <w:r w:rsidRPr="004557BA">
              <w:rPr>
                <w:rFonts w:ascii="Times New Roman" w:eastAsia="Times New Roman" w:hAnsi="Times New Roman" w:cs="Times New Roman"/>
                <w:bCs/>
                <w:sz w:val="24"/>
                <w:szCs w:val="24"/>
                <w:lang w:eastAsia="fr-FR"/>
              </w:rPr>
              <w:t>Aqueous photolysis DT₅₀ (days) at pH 7</w:t>
            </w:r>
          </w:p>
        </w:tc>
        <w:tc>
          <w:tcPr>
            <w:tcW w:w="1417" w:type="dxa"/>
            <w:tcBorders>
              <w:top w:val="single" w:sz="2" w:space="0" w:color="000000"/>
            </w:tcBorders>
          </w:tcPr>
          <w:p w14:paraId="08BD97AD"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Atrazine</w:t>
            </w:r>
          </w:p>
        </w:tc>
        <w:tc>
          <w:tcPr>
            <w:tcW w:w="1134" w:type="dxa"/>
            <w:tcBorders>
              <w:top w:val="single" w:sz="2" w:space="0" w:color="000000"/>
            </w:tcBorders>
          </w:tcPr>
          <w:p w14:paraId="6C707015"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2.6</w:t>
            </w:r>
          </w:p>
        </w:tc>
        <w:tc>
          <w:tcPr>
            <w:tcW w:w="2693" w:type="dxa"/>
            <w:tcBorders>
              <w:top w:val="single" w:sz="2" w:space="0" w:color="000000"/>
            </w:tcBorders>
          </w:tcPr>
          <w:p w14:paraId="3088C439" w14:textId="2C33EDA4"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Moderately fast</w:t>
            </w:r>
          </w:p>
        </w:tc>
      </w:tr>
      <w:tr w:rsidR="007E4E65" w:rsidRPr="004B0A36" w14:paraId="5CCFFFA3" w14:textId="77777777" w:rsidTr="00CC2571">
        <w:tc>
          <w:tcPr>
            <w:tcW w:w="5524" w:type="dxa"/>
            <w:gridSpan w:val="2"/>
            <w:vMerge/>
          </w:tcPr>
          <w:p w14:paraId="6F6A7DCE"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Pr>
          <w:p w14:paraId="6369311C"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Cybutryne</w:t>
            </w:r>
          </w:p>
        </w:tc>
        <w:tc>
          <w:tcPr>
            <w:tcW w:w="1134" w:type="dxa"/>
          </w:tcPr>
          <w:p w14:paraId="558DE0F4"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14</w:t>
            </w:r>
          </w:p>
        </w:tc>
        <w:tc>
          <w:tcPr>
            <w:tcW w:w="2693" w:type="dxa"/>
          </w:tcPr>
          <w:p w14:paraId="3EFBCC0E" w14:textId="03040629"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Slow</w:t>
            </w:r>
          </w:p>
        </w:tc>
      </w:tr>
      <w:tr w:rsidR="007E4E65" w:rsidRPr="004B0A36" w14:paraId="35888194" w14:textId="77777777" w:rsidTr="00CC2571">
        <w:tc>
          <w:tcPr>
            <w:tcW w:w="5524" w:type="dxa"/>
            <w:gridSpan w:val="2"/>
            <w:vMerge/>
          </w:tcPr>
          <w:p w14:paraId="328F0627"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Pr>
          <w:p w14:paraId="33EBDC43" w14:textId="03B548B6" w:rsidR="007E4E65" w:rsidRPr="004B0A36" w:rsidRDefault="006820A2" w:rsidP="00A7365A">
            <w:pPr>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Terbutryn</w:t>
            </w:r>
          </w:p>
        </w:tc>
        <w:tc>
          <w:tcPr>
            <w:tcW w:w="1134" w:type="dxa"/>
          </w:tcPr>
          <w:p w14:paraId="7A6DC4DD"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0.5</w:t>
            </w:r>
          </w:p>
        </w:tc>
        <w:tc>
          <w:tcPr>
            <w:tcW w:w="2693" w:type="dxa"/>
          </w:tcPr>
          <w:p w14:paraId="602639E9" w14:textId="0BED732F"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Fast</w:t>
            </w:r>
          </w:p>
        </w:tc>
      </w:tr>
      <w:tr w:rsidR="007E4E65" w:rsidRPr="004B0A36" w14:paraId="203C5C46" w14:textId="77777777" w:rsidTr="00CC2571">
        <w:tc>
          <w:tcPr>
            <w:tcW w:w="5524" w:type="dxa"/>
            <w:gridSpan w:val="2"/>
            <w:vMerge w:val="restart"/>
            <w:tcBorders>
              <w:top w:val="single" w:sz="2" w:space="0" w:color="000000"/>
            </w:tcBorders>
          </w:tcPr>
          <w:p w14:paraId="34E5276D" w14:textId="62870F1A" w:rsidR="007E4E65" w:rsidRPr="004557BA" w:rsidRDefault="004557BA" w:rsidP="00A7365A">
            <w:pPr>
              <w:rPr>
                <w:rFonts w:ascii="Times New Roman" w:eastAsia="Times New Roman" w:hAnsi="Times New Roman" w:cs="Times New Roman"/>
                <w:bCs/>
                <w:sz w:val="24"/>
                <w:szCs w:val="24"/>
                <w:lang w:eastAsia="fr-FR"/>
              </w:rPr>
            </w:pPr>
            <w:r w:rsidRPr="004557BA">
              <w:rPr>
                <w:rFonts w:ascii="Times New Roman" w:eastAsia="Times New Roman" w:hAnsi="Times New Roman" w:cs="Times New Roman"/>
                <w:bCs/>
                <w:sz w:val="24"/>
                <w:szCs w:val="24"/>
                <w:lang w:eastAsia="fr-FR"/>
              </w:rPr>
              <w:t>Aqueous hydrolysis DT₅₀ (days) at 20 °C and pH 7</w:t>
            </w:r>
          </w:p>
          <w:p w14:paraId="562650EB" w14:textId="77777777" w:rsidR="007E4E65" w:rsidRPr="004B0A36" w:rsidRDefault="007E4E65" w:rsidP="00A7365A">
            <w:pPr>
              <w:jc w:val="center"/>
              <w:rPr>
                <w:rFonts w:ascii="Times New Roman" w:eastAsia="Times New Roman" w:hAnsi="Times New Roman" w:cs="Times New Roman"/>
                <w:b/>
                <w:bCs/>
                <w:sz w:val="24"/>
                <w:szCs w:val="24"/>
                <w:lang w:eastAsia="fr-FR"/>
              </w:rPr>
            </w:pPr>
          </w:p>
        </w:tc>
        <w:tc>
          <w:tcPr>
            <w:tcW w:w="1417" w:type="dxa"/>
            <w:tcBorders>
              <w:top w:val="single" w:sz="2" w:space="0" w:color="000000"/>
            </w:tcBorders>
          </w:tcPr>
          <w:p w14:paraId="16FB3CC9"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Atrazine</w:t>
            </w:r>
          </w:p>
        </w:tc>
        <w:tc>
          <w:tcPr>
            <w:tcW w:w="1134" w:type="dxa"/>
            <w:tcBorders>
              <w:top w:val="single" w:sz="2" w:space="0" w:color="000000"/>
            </w:tcBorders>
          </w:tcPr>
          <w:p w14:paraId="3F57B6B3"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86</w:t>
            </w:r>
          </w:p>
        </w:tc>
        <w:tc>
          <w:tcPr>
            <w:tcW w:w="2693" w:type="dxa"/>
            <w:tcBorders>
              <w:top w:val="single" w:sz="2" w:space="0" w:color="000000"/>
            </w:tcBorders>
          </w:tcPr>
          <w:p w14:paraId="2308B60A" w14:textId="1AF03805"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Moderate persistence</w:t>
            </w:r>
          </w:p>
        </w:tc>
      </w:tr>
      <w:tr w:rsidR="007E4E65" w:rsidRPr="004B0A36" w14:paraId="61536CDB" w14:textId="77777777" w:rsidTr="00CC2571">
        <w:tc>
          <w:tcPr>
            <w:tcW w:w="5524" w:type="dxa"/>
            <w:gridSpan w:val="2"/>
            <w:vMerge/>
          </w:tcPr>
          <w:p w14:paraId="46ACBD93"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Pr>
          <w:p w14:paraId="6BF18991"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Cybutryne</w:t>
            </w:r>
          </w:p>
        </w:tc>
        <w:tc>
          <w:tcPr>
            <w:tcW w:w="1134" w:type="dxa"/>
          </w:tcPr>
          <w:p w14:paraId="2C375F5C" w14:textId="77777777" w:rsidR="007E4E65" w:rsidRPr="007E4E65" w:rsidRDefault="007E4E65" w:rsidP="00A7365A">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tc>
        <w:tc>
          <w:tcPr>
            <w:tcW w:w="2693" w:type="dxa"/>
          </w:tcPr>
          <w:p w14:paraId="6352249C" w14:textId="02B14E5F"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Stable</w:t>
            </w:r>
          </w:p>
        </w:tc>
      </w:tr>
      <w:tr w:rsidR="007E4E65" w:rsidRPr="004B0A36" w14:paraId="4EF5B164" w14:textId="77777777" w:rsidTr="00CC2571">
        <w:trPr>
          <w:trHeight w:val="567"/>
        </w:trPr>
        <w:tc>
          <w:tcPr>
            <w:tcW w:w="5524" w:type="dxa"/>
            <w:gridSpan w:val="2"/>
            <w:vMerge/>
            <w:tcBorders>
              <w:bottom w:val="single" w:sz="2" w:space="0" w:color="000000"/>
            </w:tcBorders>
          </w:tcPr>
          <w:p w14:paraId="5883F4E2"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Borders>
              <w:bottom w:val="single" w:sz="2" w:space="0" w:color="000000"/>
            </w:tcBorders>
          </w:tcPr>
          <w:p w14:paraId="59566E72" w14:textId="4D1EC3E7" w:rsidR="007E4E65" w:rsidRPr="004B0A36" w:rsidRDefault="006820A2" w:rsidP="00A7365A">
            <w:pPr>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Terbutryn</w:t>
            </w:r>
          </w:p>
        </w:tc>
        <w:tc>
          <w:tcPr>
            <w:tcW w:w="1134" w:type="dxa"/>
            <w:tcBorders>
              <w:bottom w:val="single" w:sz="2" w:space="0" w:color="000000"/>
            </w:tcBorders>
          </w:tcPr>
          <w:p w14:paraId="63D7FE47" w14:textId="77777777" w:rsidR="007E4E65" w:rsidRPr="007E4E65" w:rsidRDefault="007E4E65" w:rsidP="00A7365A">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p>
        </w:tc>
        <w:tc>
          <w:tcPr>
            <w:tcW w:w="2693" w:type="dxa"/>
            <w:tcBorders>
              <w:bottom w:val="single" w:sz="2" w:space="0" w:color="000000"/>
            </w:tcBorders>
          </w:tcPr>
          <w:p w14:paraId="7042D516" w14:textId="77777777" w:rsidR="007E4E65" w:rsidRPr="004B0A36" w:rsidRDefault="007E4E65" w:rsidP="00A7365A">
            <w:pPr>
              <w:jc w:val="center"/>
              <w:rPr>
                <w:rFonts w:ascii="Times New Roman" w:eastAsia="Times New Roman" w:hAnsi="Times New Roman" w:cs="Times New Roman"/>
                <w:sz w:val="24"/>
                <w:szCs w:val="24"/>
                <w:lang w:eastAsia="fr-FR"/>
              </w:rPr>
            </w:pPr>
            <w:r w:rsidRPr="004B0A36">
              <w:rPr>
                <w:rFonts w:ascii="Times New Roman" w:eastAsia="Times New Roman" w:hAnsi="Times New Roman" w:cs="Times New Roman"/>
                <w:sz w:val="24"/>
                <w:szCs w:val="24"/>
                <w:lang w:eastAsia="fr-FR"/>
              </w:rPr>
              <w:t>Stable</w:t>
            </w:r>
          </w:p>
        </w:tc>
      </w:tr>
      <w:tr w:rsidR="007E4E65" w:rsidRPr="004B0A36" w14:paraId="0673DDB0" w14:textId="77777777" w:rsidTr="00CC2571">
        <w:tc>
          <w:tcPr>
            <w:tcW w:w="5524" w:type="dxa"/>
            <w:gridSpan w:val="2"/>
            <w:vMerge w:val="restart"/>
            <w:tcBorders>
              <w:top w:val="single" w:sz="2" w:space="0" w:color="000000"/>
            </w:tcBorders>
          </w:tcPr>
          <w:p w14:paraId="074F7CE2" w14:textId="024C86EE" w:rsidR="007E4E65" w:rsidRPr="004B0A36" w:rsidRDefault="004557BA" w:rsidP="00A7365A">
            <w:pP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So</w:t>
            </w:r>
            <w:r>
              <w:rPr>
                <w:rFonts w:ascii="Times New Roman" w:hAnsi="Times New Roman" w:cs="Times New Roman"/>
                <w:bCs/>
                <w:sz w:val="24"/>
                <w:szCs w:val="24"/>
                <w:shd w:val="clear" w:color="auto" w:fill="FFFFFF"/>
              </w:rPr>
              <w:t>lubility - In water at 20°C (mg.L</w:t>
            </w:r>
            <w:r w:rsidRPr="004557BA">
              <w:rPr>
                <w:rFonts w:ascii="Times New Roman" w:hAnsi="Times New Roman" w:cs="Times New Roman"/>
                <w:bCs/>
                <w:sz w:val="24"/>
                <w:szCs w:val="24"/>
                <w:shd w:val="clear" w:color="auto" w:fill="FFFFFF"/>
                <w:vertAlign w:val="superscript"/>
              </w:rPr>
              <w:t>-¹</w:t>
            </w:r>
            <w:r w:rsidRPr="004557BA">
              <w:rPr>
                <w:rFonts w:ascii="Times New Roman" w:hAnsi="Times New Roman" w:cs="Times New Roman"/>
                <w:bCs/>
                <w:sz w:val="24"/>
                <w:szCs w:val="24"/>
                <w:shd w:val="clear" w:color="auto" w:fill="FFFFFF"/>
              </w:rPr>
              <w:t>)</w:t>
            </w:r>
          </w:p>
        </w:tc>
        <w:tc>
          <w:tcPr>
            <w:tcW w:w="1417" w:type="dxa"/>
            <w:tcBorders>
              <w:top w:val="single" w:sz="2" w:space="0" w:color="000000"/>
            </w:tcBorders>
          </w:tcPr>
          <w:p w14:paraId="0F76A2D3"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Atrazine</w:t>
            </w:r>
          </w:p>
        </w:tc>
        <w:tc>
          <w:tcPr>
            <w:tcW w:w="1134" w:type="dxa"/>
            <w:tcBorders>
              <w:top w:val="single" w:sz="2" w:space="0" w:color="000000"/>
            </w:tcBorders>
          </w:tcPr>
          <w:p w14:paraId="55513F62"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35</w:t>
            </w:r>
          </w:p>
        </w:tc>
        <w:tc>
          <w:tcPr>
            <w:tcW w:w="2693" w:type="dxa"/>
            <w:tcBorders>
              <w:top w:val="single" w:sz="2" w:space="0" w:color="000000"/>
            </w:tcBorders>
          </w:tcPr>
          <w:p w14:paraId="28F97E6D" w14:textId="77777777" w:rsidR="007E4E65" w:rsidRPr="004B0A36" w:rsidRDefault="007E4E65" w:rsidP="00A7365A">
            <w:pPr>
              <w:jc w:val="center"/>
              <w:rPr>
                <w:rFonts w:ascii="Times New Roman" w:hAnsi="Times New Roman" w:cs="Times New Roman"/>
                <w:bCs/>
                <w:sz w:val="24"/>
                <w:szCs w:val="24"/>
                <w:shd w:val="clear" w:color="auto" w:fill="FFFFFF"/>
              </w:rPr>
            </w:pPr>
          </w:p>
        </w:tc>
      </w:tr>
      <w:tr w:rsidR="007E4E65" w:rsidRPr="004B0A36" w14:paraId="1A73945A" w14:textId="77777777" w:rsidTr="00CC2571">
        <w:tc>
          <w:tcPr>
            <w:tcW w:w="5524" w:type="dxa"/>
            <w:gridSpan w:val="2"/>
            <w:vMerge/>
          </w:tcPr>
          <w:p w14:paraId="260C645C"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Pr>
          <w:p w14:paraId="4472D279"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Cybutryne</w:t>
            </w:r>
          </w:p>
        </w:tc>
        <w:tc>
          <w:tcPr>
            <w:tcW w:w="1134" w:type="dxa"/>
          </w:tcPr>
          <w:p w14:paraId="04013684"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7.0</w:t>
            </w:r>
          </w:p>
        </w:tc>
        <w:tc>
          <w:tcPr>
            <w:tcW w:w="2693" w:type="dxa"/>
          </w:tcPr>
          <w:p w14:paraId="3D950F2A" w14:textId="2B91F1F2" w:rsidR="007E4E65" w:rsidRPr="004B0A36" w:rsidRDefault="004557BA" w:rsidP="00A7365A">
            <w:pPr>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Fast</w:t>
            </w:r>
          </w:p>
        </w:tc>
      </w:tr>
      <w:tr w:rsidR="007E4E65" w:rsidRPr="004B0A36" w14:paraId="54170ED4" w14:textId="77777777" w:rsidTr="00CC2571">
        <w:tc>
          <w:tcPr>
            <w:tcW w:w="5524" w:type="dxa"/>
            <w:gridSpan w:val="2"/>
            <w:vMerge/>
          </w:tcPr>
          <w:p w14:paraId="5F0F0F38"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Pr>
          <w:p w14:paraId="5FC7BEF8" w14:textId="1405B6A5" w:rsidR="007E4E65" w:rsidRPr="004B0A36" w:rsidRDefault="006820A2" w:rsidP="00A7365A">
            <w:pPr>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Terbutryn</w:t>
            </w:r>
          </w:p>
        </w:tc>
        <w:tc>
          <w:tcPr>
            <w:tcW w:w="1134" w:type="dxa"/>
          </w:tcPr>
          <w:p w14:paraId="0CF611F4"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25</w:t>
            </w:r>
          </w:p>
        </w:tc>
        <w:tc>
          <w:tcPr>
            <w:tcW w:w="2693" w:type="dxa"/>
          </w:tcPr>
          <w:p w14:paraId="571B79A8" w14:textId="0946609A"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Low</w:t>
            </w:r>
          </w:p>
        </w:tc>
      </w:tr>
      <w:tr w:rsidR="007E4E65" w:rsidRPr="004B0A36" w14:paraId="753D05C8" w14:textId="77777777" w:rsidTr="00CC2571">
        <w:tc>
          <w:tcPr>
            <w:tcW w:w="5524" w:type="dxa"/>
            <w:gridSpan w:val="2"/>
            <w:vMerge w:val="restart"/>
            <w:tcBorders>
              <w:top w:val="single" w:sz="2" w:space="0" w:color="000000"/>
            </w:tcBorders>
          </w:tcPr>
          <w:p w14:paraId="13A0AAF8" w14:textId="1F2504A2" w:rsidR="007E4E65" w:rsidRPr="004B0A36" w:rsidRDefault="004557BA" w:rsidP="00A7365A">
            <w:pPr>
              <w:rPr>
                <w:rFonts w:ascii="Times New Roman" w:hAnsi="Times New Roman" w:cs="Times New Roman"/>
                <w:bCs/>
                <w:sz w:val="24"/>
                <w:szCs w:val="24"/>
                <w:shd w:val="clear" w:color="auto" w:fill="FFFFFF"/>
              </w:rPr>
            </w:pPr>
            <w:r w:rsidRPr="004557BA">
              <w:rPr>
                <w:rFonts w:ascii="Times New Roman" w:hAnsi="Times New Roman" w:cs="Times New Roman"/>
                <w:bCs/>
                <w:sz w:val="24"/>
                <w:szCs w:val="24"/>
                <w:shd w:val="clear" w:color="auto" w:fill="FFFFFF"/>
              </w:rPr>
              <w:t>Vapour pressure at 20°C (mPa)</w:t>
            </w:r>
          </w:p>
        </w:tc>
        <w:tc>
          <w:tcPr>
            <w:tcW w:w="1417" w:type="dxa"/>
            <w:tcBorders>
              <w:top w:val="single" w:sz="2" w:space="0" w:color="000000"/>
            </w:tcBorders>
          </w:tcPr>
          <w:p w14:paraId="15CB984E"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Atrazine</w:t>
            </w:r>
          </w:p>
        </w:tc>
        <w:tc>
          <w:tcPr>
            <w:tcW w:w="1134" w:type="dxa"/>
            <w:tcBorders>
              <w:top w:val="single" w:sz="2" w:space="0" w:color="000000"/>
            </w:tcBorders>
          </w:tcPr>
          <w:p w14:paraId="3E9EA242"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0.039</w:t>
            </w:r>
          </w:p>
        </w:tc>
        <w:tc>
          <w:tcPr>
            <w:tcW w:w="2693" w:type="dxa"/>
            <w:tcBorders>
              <w:top w:val="single" w:sz="2" w:space="0" w:color="000000"/>
            </w:tcBorders>
          </w:tcPr>
          <w:p w14:paraId="66C3811C" w14:textId="7BB4CA44"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Low-volatility</w:t>
            </w:r>
          </w:p>
        </w:tc>
      </w:tr>
      <w:tr w:rsidR="007E4E65" w:rsidRPr="004B0A36" w14:paraId="64E4DD42" w14:textId="77777777" w:rsidTr="00CC2571">
        <w:tc>
          <w:tcPr>
            <w:tcW w:w="5524" w:type="dxa"/>
            <w:gridSpan w:val="2"/>
            <w:vMerge/>
          </w:tcPr>
          <w:p w14:paraId="4113B81A"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Pr>
          <w:p w14:paraId="2C8A8D65" w14:textId="77777777" w:rsidR="007E4E65" w:rsidRPr="004B0A36" w:rsidRDefault="007E4E65" w:rsidP="00A7365A">
            <w:pPr>
              <w:jc w:val="center"/>
              <w:rPr>
                <w:rFonts w:ascii="Times New Roman" w:hAnsi="Times New Roman" w:cs="Times New Roman"/>
                <w:bCs/>
                <w:sz w:val="24"/>
                <w:szCs w:val="24"/>
                <w:shd w:val="clear" w:color="auto" w:fill="FFFFFF"/>
              </w:rPr>
            </w:pPr>
            <w:r w:rsidRPr="004B0A36">
              <w:rPr>
                <w:rFonts w:ascii="Times New Roman" w:hAnsi="Times New Roman" w:cs="Times New Roman"/>
                <w:bCs/>
                <w:sz w:val="24"/>
                <w:szCs w:val="24"/>
                <w:shd w:val="clear" w:color="auto" w:fill="FFFFFF"/>
              </w:rPr>
              <w:t>Cybutryne</w:t>
            </w:r>
          </w:p>
        </w:tc>
        <w:tc>
          <w:tcPr>
            <w:tcW w:w="1134" w:type="dxa"/>
          </w:tcPr>
          <w:p w14:paraId="5A5F2E43"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0.088</w:t>
            </w:r>
          </w:p>
        </w:tc>
        <w:tc>
          <w:tcPr>
            <w:tcW w:w="2693" w:type="dxa"/>
          </w:tcPr>
          <w:p w14:paraId="107EA0A0" w14:textId="70AD8F82"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Low-volatility</w:t>
            </w:r>
          </w:p>
        </w:tc>
      </w:tr>
      <w:tr w:rsidR="007E4E65" w:rsidRPr="004B0A36" w14:paraId="40540405" w14:textId="77777777" w:rsidTr="00CC2571">
        <w:tc>
          <w:tcPr>
            <w:tcW w:w="5524" w:type="dxa"/>
            <w:gridSpan w:val="2"/>
            <w:vMerge/>
            <w:tcBorders>
              <w:bottom w:val="single" w:sz="12" w:space="0" w:color="000000"/>
            </w:tcBorders>
          </w:tcPr>
          <w:p w14:paraId="3B092397" w14:textId="77777777" w:rsidR="007E4E65" w:rsidRPr="004B0A36" w:rsidRDefault="007E4E65" w:rsidP="00A7365A">
            <w:pPr>
              <w:jc w:val="center"/>
              <w:rPr>
                <w:rFonts w:ascii="Times New Roman" w:eastAsia="Times New Roman" w:hAnsi="Times New Roman" w:cs="Times New Roman"/>
                <w:b/>
                <w:bCs/>
                <w:color w:val="3E5D57"/>
                <w:sz w:val="24"/>
                <w:szCs w:val="24"/>
                <w:lang w:eastAsia="fr-FR"/>
              </w:rPr>
            </w:pPr>
          </w:p>
        </w:tc>
        <w:tc>
          <w:tcPr>
            <w:tcW w:w="1417" w:type="dxa"/>
            <w:tcBorders>
              <w:bottom w:val="single" w:sz="12" w:space="0" w:color="000000"/>
            </w:tcBorders>
          </w:tcPr>
          <w:p w14:paraId="68A71FEF" w14:textId="43103343" w:rsidR="007E4E65" w:rsidRPr="004B0A36" w:rsidRDefault="006820A2" w:rsidP="00A7365A">
            <w:pPr>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Terbutryn</w:t>
            </w:r>
          </w:p>
        </w:tc>
        <w:tc>
          <w:tcPr>
            <w:tcW w:w="1134" w:type="dxa"/>
            <w:tcBorders>
              <w:bottom w:val="single" w:sz="12" w:space="0" w:color="000000"/>
            </w:tcBorders>
          </w:tcPr>
          <w:p w14:paraId="6E8109FC" w14:textId="77777777" w:rsidR="007E4E65" w:rsidRPr="007E4E65" w:rsidRDefault="007E4E65" w:rsidP="00A7365A">
            <w:pPr>
              <w:jc w:val="center"/>
              <w:rPr>
                <w:rFonts w:ascii="Times New Roman" w:eastAsia="Times New Roman" w:hAnsi="Times New Roman" w:cs="Times New Roman"/>
                <w:sz w:val="24"/>
                <w:szCs w:val="24"/>
                <w:lang w:eastAsia="fr-FR"/>
              </w:rPr>
            </w:pPr>
            <w:r w:rsidRPr="007E4E65">
              <w:rPr>
                <w:rFonts w:ascii="Times New Roman" w:eastAsia="Times New Roman" w:hAnsi="Times New Roman" w:cs="Times New Roman"/>
                <w:sz w:val="24"/>
                <w:szCs w:val="24"/>
                <w:lang w:eastAsia="fr-FR"/>
              </w:rPr>
              <w:t>0.13</w:t>
            </w:r>
          </w:p>
        </w:tc>
        <w:tc>
          <w:tcPr>
            <w:tcW w:w="2693" w:type="dxa"/>
            <w:tcBorders>
              <w:bottom w:val="single" w:sz="12" w:space="0" w:color="000000"/>
            </w:tcBorders>
          </w:tcPr>
          <w:p w14:paraId="6768F38B" w14:textId="74ACE140" w:rsidR="007E4E65" w:rsidRPr="004B0A36" w:rsidRDefault="004557BA" w:rsidP="00A7365A">
            <w:pPr>
              <w:jc w:val="center"/>
              <w:rPr>
                <w:rFonts w:ascii="Times New Roman" w:eastAsia="Times New Roman" w:hAnsi="Times New Roman" w:cs="Times New Roman"/>
                <w:sz w:val="24"/>
                <w:szCs w:val="24"/>
                <w:lang w:eastAsia="fr-FR"/>
              </w:rPr>
            </w:pPr>
            <w:r w:rsidRPr="004557BA">
              <w:rPr>
                <w:rFonts w:ascii="Times New Roman" w:eastAsia="Times New Roman" w:hAnsi="Times New Roman" w:cs="Times New Roman"/>
                <w:sz w:val="24"/>
                <w:szCs w:val="24"/>
                <w:lang w:eastAsia="fr-FR"/>
              </w:rPr>
              <w:t>Low-volatility</w:t>
            </w:r>
          </w:p>
        </w:tc>
      </w:tr>
    </w:tbl>
    <w:p w14:paraId="7E749A03" w14:textId="77777777" w:rsidR="00C734CB" w:rsidRDefault="00C734CB" w:rsidP="00A7365A">
      <w:pPr>
        <w:tabs>
          <w:tab w:val="left" w:pos="8230"/>
        </w:tabs>
        <w:spacing w:line="240" w:lineRule="auto"/>
        <w:rPr>
          <w:rFonts w:ascii="Times New Roman" w:hAnsi="Times New Roman" w:cs="Times New Roman"/>
          <w:b/>
          <w:sz w:val="24"/>
          <w:szCs w:val="24"/>
        </w:rPr>
      </w:pPr>
    </w:p>
    <w:p w14:paraId="0ED05F8F" w14:textId="4F9D9825" w:rsidR="00214187" w:rsidRPr="005A05E0" w:rsidRDefault="002318D6" w:rsidP="00A7365A">
      <w:pPr>
        <w:pStyle w:val="ListParagraph"/>
        <w:numPr>
          <w:ilvl w:val="1"/>
          <w:numId w:val="1"/>
        </w:numPr>
        <w:spacing w:line="240" w:lineRule="auto"/>
        <w:jc w:val="both"/>
        <w:rPr>
          <w:rFonts w:ascii="Times New Roman" w:hAnsi="Times New Roman" w:cs="Times New Roman"/>
          <w:b/>
          <w:sz w:val="24"/>
          <w:szCs w:val="24"/>
        </w:rPr>
      </w:pPr>
      <w:r w:rsidRPr="005A05E0">
        <w:rPr>
          <w:rFonts w:ascii="Times New Roman" w:hAnsi="Times New Roman" w:cs="Times New Roman"/>
          <w:b/>
          <w:sz w:val="24"/>
          <w:szCs w:val="24"/>
        </w:rPr>
        <w:lastRenderedPageBreak/>
        <w:t xml:space="preserve"> </w:t>
      </w:r>
      <w:r w:rsidR="006820A2" w:rsidRPr="005A05E0">
        <w:rPr>
          <w:rFonts w:ascii="Times New Roman" w:hAnsi="Times New Roman" w:cs="Times New Roman"/>
          <w:b/>
          <w:sz w:val="24"/>
          <w:szCs w:val="24"/>
        </w:rPr>
        <w:t>Presentation of the study area</w:t>
      </w:r>
    </w:p>
    <w:p w14:paraId="00B9AA9F" w14:textId="5789120A" w:rsidR="006820A2" w:rsidRDefault="006820A2" w:rsidP="00A7365A">
      <w:pPr>
        <w:spacing w:line="240" w:lineRule="auto"/>
        <w:jc w:val="both"/>
        <w:rPr>
          <w:rFonts w:ascii="Times New Roman" w:hAnsi="Times New Roman" w:cs="Times New Roman"/>
          <w:color w:val="000000"/>
          <w:sz w:val="24"/>
          <w:szCs w:val="24"/>
        </w:rPr>
      </w:pPr>
      <w:r w:rsidRPr="006820A2">
        <w:rPr>
          <w:rFonts w:ascii="Times New Roman" w:hAnsi="Times New Roman" w:cs="Times New Roman"/>
          <w:color w:val="000000"/>
          <w:sz w:val="24"/>
          <w:szCs w:val="24"/>
        </w:rPr>
        <w:t>The study site is located in the Niayes area, around 9</w:t>
      </w:r>
      <w:r w:rsidR="0030661B">
        <w:rPr>
          <w:rFonts w:ascii="Times New Roman" w:hAnsi="Times New Roman" w:cs="Times New Roman"/>
          <w:color w:val="000000"/>
          <w:sz w:val="24"/>
          <w:szCs w:val="24"/>
        </w:rPr>
        <w:t>0 km north of the Dakar region[9</w:t>
      </w:r>
      <w:r w:rsidRPr="006820A2">
        <w:rPr>
          <w:rFonts w:ascii="Times New Roman" w:hAnsi="Times New Roman" w:cs="Times New Roman"/>
          <w:color w:val="000000"/>
          <w:sz w:val="24"/>
          <w:szCs w:val="24"/>
        </w:rPr>
        <w:t>]. The Niayes zone stretches for 180 km along the coast between Dakar and Saint Louis, and is between 5 and 30 km wide. Thanks to its fertile soils, mild climate and accessible water table, it offers favourab</w:t>
      </w:r>
      <w:r w:rsidR="0030661B">
        <w:rPr>
          <w:rFonts w:ascii="Times New Roman" w:hAnsi="Times New Roman" w:cs="Times New Roman"/>
          <w:color w:val="000000"/>
          <w:sz w:val="24"/>
          <w:szCs w:val="24"/>
        </w:rPr>
        <w:t>le conditions for agriculture [9</w:t>
      </w:r>
      <w:r w:rsidRPr="006820A2">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sampling </w:t>
      </w:r>
      <w:r w:rsidRPr="006820A2">
        <w:rPr>
          <w:rFonts w:ascii="Times New Roman" w:hAnsi="Times New Roman" w:cs="Times New Roman"/>
          <w:color w:val="000000"/>
          <w:sz w:val="24"/>
          <w:szCs w:val="24"/>
        </w:rPr>
        <w:t>site is surrounded by the communes of Mboro and Darou Khoudoss to the north-west, Taïba Ndiaye to the south-west, Méouane to the east, Tivaouane and Pire Gourey to the south. A large part of the site is occupied by the ICS mining concession, which cov</w:t>
      </w:r>
      <w:r w:rsidR="0030661B">
        <w:rPr>
          <w:rFonts w:ascii="Times New Roman" w:hAnsi="Times New Roman" w:cs="Times New Roman"/>
          <w:color w:val="000000"/>
          <w:sz w:val="24"/>
          <w:szCs w:val="24"/>
        </w:rPr>
        <w:t>ers an area of around 250 km² [10</w:t>
      </w:r>
      <w:r w:rsidRPr="006820A2">
        <w:rPr>
          <w:rFonts w:ascii="Times New Roman" w:hAnsi="Times New Roman" w:cs="Times New Roman"/>
          <w:color w:val="000000"/>
          <w:sz w:val="24"/>
          <w:szCs w:val="24"/>
        </w:rPr>
        <w:t>]. Since phosphate mining began, three mines have been opened: Keur Mor Fall in the north, Ndomor Diop in the centre of T</w:t>
      </w:r>
      <w:r w:rsidR="0030661B">
        <w:rPr>
          <w:rFonts w:ascii="Times New Roman" w:hAnsi="Times New Roman" w:cs="Times New Roman"/>
          <w:color w:val="000000"/>
          <w:sz w:val="24"/>
          <w:szCs w:val="24"/>
        </w:rPr>
        <w:t>obène in the south (Figure 1) [10</w:t>
      </w:r>
      <w:r w:rsidRPr="006820A2">
        <w:rPr>
          <w:rFonts w:ascii="Times New Roman" w:hAnsi="Times New Roman" w:cs="Times New Roman"/>
          <w:color w:val="000000"/>
          <w:sz w:val="24"/>
          <w:szCs w:val="24"/>
        </w:rPr>
        <w:t>]. These blogs were named after the village closest to the drilling sites. These three panels cover an area of 48,000 hectares, 45,000 of which are at Ndomor Diop and Keur</w:t>
      </w:r>
      <w:r w:rsidR="0030661B">
        <w:rPr>
          <w:rFonts w:ascii="Times New Roman" w:hAnsi="Times New Roman" w:cs="Times New Roman"/>
          <w:color w:val="000000"/>
          <w:sz w:val="24"/>
          <w:szCs w:val="24"/>
        </w:rPr>
        <w:t xml:space="preserve"> Mor Fall and 3,000 at Tobène [10</w:t>
      </w:r>
      <w:r w:rsidRPr="006820A2">
        <w:rPr>
          <w:rFonts w:ascii="Times New Roman" w:hAnsi="Times New Roman" w:cs="Times New Roman"/>
          <w:color w:val="000000"/>
          <w:sz w:val="24"/>
          <w:szCs w:val="24"/>
        </w:rPr>
        <w:t xml:space="preserve">]. </w:t>
      </w:r>
      <w:proofErr w:type="spellStart"/>
      <w:r w:rsidRPr="00947FB4">
        <w:rPr>
          <w:rFonts w:ascii="Times New Roman" w:hAnsi="Times New Roman" w:cs="Times New Roman"/>
          <w:color w:val="000000"/>
          <w:sz w:val="24"/>
          <w:szCs w:val="24"/>
          <w:lang w:val="es-ES"/>
        </w:rPr>
        <w:t>Mining</w:t>
      </w:r>
      <w:proofErr w:type="spellEnd"/>
      <w:r w:rsidRPr="00947FB4">
        <w:rPr>
          <w:rFonts w:ascii="Times New Roman" w:hAnsi="Times New Roman" w:cs="Times New Roman"/>
          <w:color w:val="000000"/>
          <w:sz w:val="24"/>
          <w:szCs w:val="24"/>
          <w:lang w:val="es-ES"/>
        </w:rPr>
        <w:t xml:space="preserve"> at </w:t>
      </w:r>
      <w:proofErr w:type="spellStart"/>
      <w:r w:rsidRPr="00947FB4">
        <w:rPr>
          <w:rFonts w:ascii="Times New Roman" w:hAnsi="Times New Roman" w:cs="Times New Roman"/>
          <w:color w:val="000000"/>
          <w:sz w:val="24"/>
          <w:szCs w:val="24"/>
          <w:lang w:val="es-ES"/>
        </w:rPr>
        <w:t>Ndomor</w:t>
      </w:r>
      <w:proofErr w:type="spellEnd"/>
      <w:r w:rsidRPr="00947FB4">
        <w:rPr>
          <w:rFonts w:ascii="Times New Roman" w:hAnsi="Times New Roman" w:cs="Times New Roman"/>
          <w:color w:val="000000"/>
          <w:sz w:val="24"/>
          <w:szCs w:val="24"/>
          <w:lang w:val="es-ES"/>
        </w:rPr>
        <w:t xml:space="preserve"> Diop and </w:t>
      </w:r>
      <w:proofErr w:type="spellStart"/>
      <w:r w:rsidRPr="00947FB4">
        <w:rPr>
          <w:rFonts w:ascii="Times New Roman" w:hAnsi="Times New Roman" w:cs="Times New Roman"/>
          <w:color w:val="000000"/>
          <w:sz w:val="24"/>
          <w:szCs w:val="24"/>
          <w:lang w:val="es-ES"/>
        </w:rPr>
        <w:t>Keur</w:t>
      </w:r>
      <w:proofErr w:type="spellEnd"/>
      <w:r w:rsidRPr="00947FB4">
        <w:rPr>
          <w:rFonts w:ascii="Times New Roman" w:hAnsi="Times New Roman" w:cs="Times New Roman"/>
          <w:color w:val="000000"/>
          <w:sz w:val="24"/>
          <w:szCs w:val="24"/>
          <w:lang w:val="es-ES"/>
        </w:rPr>
        <w:t xml:space="preserve"> Mor </w:t>
      </w:r>
      <w:proofErr w:type="spellStart"/>
      <w:r w:rsidRPr="00947FB4">
        <w:rPr>
          <w:rFonts w:ascii="Times New Roman" w:hAnsi="Times New Roman" w:cs="Times New Roman"/>
          <w:color w:val="000000"/>
          <w:sz w:val="24"/>
          <w:szCs w:val="24"/>
          <w:lang w:val="es-ES"/>
        </w:rPr>
        <w:t>Fall</w:t>
      </w:r>
      <w:proofErr w:type="spellEnd"/>
      <w:r w:rsidRPr="00947FB4">
        <w:rPr>
          <w:rFonts w:ascii="Times New Roman" w:hAnsi="Times New Roman" w:cs="Times New Roman"/>
          <w:color w:val="000000"/>
          <w:sz w:val="24"/>
          <w:szCs w:val="24"/>
          <w:lang w:val="es-ES"/>
        </w:rPr>
        <w:t xml:space="preserve"> has </w:t>
      </w:r>
      <w:proofErr w:type="spellStart"/>
      <w:r w:rsidRPr="00947FB4">
        <w:rPr>
          <w:rFonts w:ascii="Times New Roman" w:hAnsi="Times New Roman" w:cs="Times New Roman"/>
          <w:color w:val="000000"/>
          <w:sz w:val="24"/>
          <w:szCs w:val="24"/>
          <w:lang w:val="es-ES"/>
        </w:rPr>
        <w:t>been</w:t>
      </w:r>
      <w:proofErr w:type="spellEnd"/>
      <w:r w:rsidRPr="00947FB4">
        <w:rPr>
          <w:rFonts w:ascii="Times New Roman" w:hAnsi="Times New Roman" w:cs="Times New Roman"/>
          <w:color w:val="000000"/>
          <w:sz w:val="24"/>
          <w:szCs w:val="24"/>
          <w:lang w:val="es-ES"/>
        </w:rPr>
        <w:t xml:space="preserve"> </w:t>
      </w:r>
      <w:proofErr w:type="spellStart"/>
      <w:r w:rsidRPr="00947FB4">
        <w:rPr>
          <w:rFonts w:ascii="Times New Roman" w:hAnsi="Times New Roman" w:cs="Times New Roman"/>
          <w:color w:val="000000"/>
          <w:sz w:val="24"/>
          <w:szCs w:val="24"/>
          <w:lang w:val="es-ES"/>
        </w:rPr>
        <w:t>completed</w:t>
      </w:r>
      <w:proofErr w:type="spellEnd"/>
      <w:r w:rsidRPr="00947FB4">
        <w:rPr>
          <w:rFonts w:ascii="Times New Roman" w:hAnsi="Times New Roman" w:cs="Times New Roman"/>
          <w:color w:val="000000"/>
          <w:sz w:val="24"/>
          <w:szCs w:val="24"/>
          <w:lang w:val="es-ES"/>
        </w:rPr>
        <w:t xml:space="preserve">, </w:t>
      </w:r>
      <w:proofErr w:type="spellStart"/>
      <w:r w:rsidRPr="00947FB4">
        <w:rPr>
          <w:rFonts w:ascii="Times New Roman" w:hAnsi="Times New Roman" w:cs="Times New Roman"/>
          <w:color w:val="000000"/>
          <w:sz w:val="24"/>
          <w:szCs w:val="24"/>
          <w:lang w:val="es-ES"/>
        </w:rPr>
        <w:t>while</w:t>
      </w:r>
      <w:proofErr w:type="spellEnd"/>
      <w:r w:rsidRPr="00947FB4">
        <w:rPr>
          <w:rFonts w:ascii="Times New Roman" w:hAnsi="Times New Roman" w:cs="Times New Roman"/>
          <w:color w:val="000000"/>
          <w:sz w:val="24"/>
          <w:szCs w:val="24"/>
          <w:lang w:val="es-ES"/>
        </w:rPr>
        <w:t xml:space="preserve"> </w:t>
      </w:r>
      <w:proofErr w:type="spellStart"/>
      <w:r w:rsidRPr="00947FB4">
        <w:rPr>
          <w:rFonts w:ascii="Times New Roman" w:hAnsi="Times New Roman" w:cs="Times New Roman"/>
          <w:color w:val="000000"/>
          <w:sz w:val="24"/>
          <w:szCs w:val="24"/>
          <w:lang w:val="es-ES"/>
        </w:rPr>
        <w:t>mining</w:t>
      </w:r>
      <w:proofErr w:type="spellEnd"/>
      <w:r w:rsidRPr="00947FB4">
        <w:rPr>
          <w:rFonts w:ascii="Times New Roman" w:hAnsi="Times New Roman" w:cs="Times New Roman"/>
          <w:color w:val="000000"/>
          <w:sz w:val="24"/>
          <w:szCs w:val="24"/>
          <w:lang w:val="es-ES"/>
        </w:rPr>
        <w:t xml:space="preserve"> at </w:t>
      </w:r>
      <w:proofErr w:type="spellStart"/>
      <w:r w:rsidRPr="00947FB4">
        <w:rPr>
          <w:rFonts w:ascii="Times New Roman" w:hAnsi="Times New Roman" w:cs="Times New Roman"/>
          <w:color w:val="000000"/>
          <w:sz w:val="24"/>
          <w:szCs w:val="24"/>
          <w:lang w:val="es-ES"/>
        </w:rPr>
        <w:t>Tobène</w:t>
      </w:r>
      <w:proofErr w:type="spellEnd"/>
      <w:r w:rsidR="0030661B" w:rsidRPr="00947FB4">
        <w:rPr>
          <w:rFonts w:ascii="Times New Roman" w:hAnsi="Times New Roman" w:cs="Times New Roman"/>
          <w:color w:val="000000"/>
          <w:sz w:val="24"/>
          <w:szCs w:val="24"/>
          <w:lang w:val="es-ES"/>
        </w:rPr>
        <w:t xml:space="preserve"> has </w:t>
      </w:r>
      <w:proofErr w:type="spellStart"/>
      <w:r w:rsidR="0030661B" w:rsidRPr="00947FB4">
        <w:rPr>
          <w:rFonts w:ascii="Times New Roman" w:hAnsi="Times New Roman" w:cs="Times New Roman"/>
          <w:color w:val="000000"/>
          <w:sz w:val="24"/>
          <w:szCs w:val="24"/>
          <w:lang w:val="es-ES"/>
        </w:rPr>
        <w:t>been</w:t>
      </w:r>
      <w:proofErr w:type="spellEnd"/>
      <w:r w:rsidR="0030661B" w:rsidRPr="00947FB4">
        <w:rPr>
          <w:rFonts w:ascii="Times New Roman" w:hAnsi="Times New Roman" w:cs="Times New Roman"/>
          <w:color w:val="000000"/>
          <w:sz w:val="24"/>
          <w:szCs w:val="24"/>
          <w:lang w:val="es-ES"/>
        </w:rPr>
        <w:t xml:space="preserve"> </w:t>
      </w:r>
      <w:proofErr w:type="spellStart"/>
      <w:r w:rsidR="0030661B" w:rsidRPr="00947FB4">
        <w:rPr>
          <w:rFonts w:ascii="Times New Roman" w:hAnsi="Times New Roman" w:cs="Times New Roman"/>
          <w:color w:val="000000"/>
          <w:sz w:val="24"/>
          <w:szCs w:val="24"/>
          <w:lang w:val="es-ES"/>
        </w:rPr>
        <w:t>underway</w:t>
      </w:r>
      <w:proofErr w:type="spellEnd"/>
      <w:r w:rsidR="0030661B" w:rsidRPr="00947FB4">
        <w:rPr>
          <w:rFonts w:ascii="Times New Roman" w:hAnsi="Times New Roman" w:cs="Times New Roman"/>
          <w:color w:val="000000"/>
          <w:sz w:val="24"/>
          <w:szCs w:val="24"/>
          <w:lang w:val="es-ES"/>
        </w:rPr>
        <w:t xml:space="preserve"> </w:t>
      </w:r>
      <w:proofErr w:type="spellStart"/>
      <w:r w:rsidR="0030661B" w:rsidRPr="00947FB4">
        <w:rPr>
          <w:rFonts w:ascii="Times New Roman" w:hAnsi="Times New Roman" w:cs="Times New Roman"/>
          <w:color w:val="000000"/>
          <w:sz w:val="24"/>
          <w:szCs w:val="24"/>
          <w:lang w:val="es-ES"/>
        </w:rPr>
        <w:t>since</w:t>
      </w:r>
      <w:proofErr w:type="spellEnd"/>
      <w:r w:rsidR="0030661B" w:rsidRPr="00947FB4">
        <w:rPr>
          <w:rFonts w:ascii="Times New Roman" w:hAnsi="Times New Roman" w:cs="Times New Roman"/>
          <w:color w:val="000000"/>
          <w:sz w:val="24"/>
          <w:szCs w:val="24"/>
          <w:lang w:val="es-ES"/>
        </w:rPr>
        <w:t xml:space="preserve"> 2003 [10</w:t>
      </w:r>
      <w:r w:rsidRPr="00947FB4">
        <w:rPr>
          <w:rFonts w:ascii="Times New Roman" w:hAnsi="Times New Roman" w:cs="Times New Roman"/>
          <w:color w:val="000000"/>
          <w:sz w:val="24"/>
          <w:szCs w:val="24"/>
          <w:lang w:val="es-ES"/>
        </w:rPr>
        <w:t xml:space="preserve">].  </w:t>
      </w:r>
      <w:r w:rsidRPr="006820A2">
        <w:rPr>
          <w:rFonts w:ascii="Times New Roman" w:hAnsi="Times New Roman" w:cs="Times New Roman"/>
          <w:color w:val="000000"/>
          <w:sz w:val="24"/>
          <w:szCs w:val="24"/>
        </w:rPr>
        <w:t>As mining progresses, land is being acquired and all the villages on the land b</w:t>
      </w:r>
      <w:r w:rsidR="0030661B">
        <w:rPr>
          <w:rFonts w:ascii="Times New Roman" w:hAnsi="Times New Roman" w:cs="Times New Roman"/>
          <w:color w:val="000000"/>
          <w:sz w:val="24"/>
          <w:szCs w:val="24"/>
        </w:rPr>
        <w:t>eing mined are being relocated [10</w:t>
      </w:r>
      <w:r w:rsidRPr="006820A2">
        <w:rPr>
          <w:rFonts w:ascii="Times New Roman" w:hAnsi="Times New Roman" w:cs="Times New Roman"/>
          <w:color w:val="000000"/>
          <w:sz w:val="24"/>
          <w:szCs w:val="24"/>
        </w:rPr>
        <w:t>] . This has led to the disappearance of much traditional agricultural land. Today, the relocations have affected 13 villages with a total populat</w:t>
      </w:r>
      <w:r w:rsidR="0030661B">
        <w:rPr>
          <w:rFonts w:ascii="Times New Roman" w:hAnsi="Times New Roman" w:cs="Times New Roman"/>
          <w:color w:val="000000"/>
          <w:sz w:val="24"/>
          <w:szCs w:val="24"/>
        </w:rPr>
        <w:t>ion of more than 5,100 people [10</w:t>
      </w:r>
      <w:r w:rsidRPr="006820A2">
        <w:rPr>
          <w:rFonts w:ascii="Times New Roman" w:hAnsi="Times New Roman" w:cs="Times New Roman"/>
          <w:color w:val="000000"/>
          <w:sz w:val="24"/>
          <w:szCs w:val="24"/>
        </w:rPr>
        <w:t>]. As a result, the populations of the relocated villages and neighbouring villages are generally forced to fall back on market gardening in the phosphate sludge po</w:t>
      </w:r>
      <w:r w:rsidR="0030661B">
        <w:rPr>
          <w:rFonts w:ascii="Times New Roman" w:hAnsi="Times New Roman" w:cs="Times New Roman"/>
          <w:color w:val="000000"/>
          <w:sz w:val="24"/>
          <w:szCs w:val="24"/>
        </w:rPr>
        <w:t>nds abandoned by the industry [10</w:t>
      </w:r>
      <w:r w:rsidRPr="006820A2">
        <w:rPr>
          <w:rFonts w:ascii="Times New Roman" w:hAnsi="Times New Roman" w:cs="Times New Roman"/>
          <w:color w:val="000000"/>
          <w:sz w:val="24"/>
          <w:szCs w:val="24"/>
        </w:rPr>
        <w:t>].</w:t>
      </w:r>
    </w:p>
    <w:p w14:paraId="0D36DD2B" w14:textId="77777777" w:rsidR="001002A0" w:rsidRDefault="001002A0" w:rsidP="00A7365A">
      <w:pPr>
        <w:spacing w:line="240" w:lineRule="auto"/>
        <w:jc w:val="both"/>
        <w:rPr>
          <w:rFonts w:ascii="Times New Roman" w:hAnsi="Times New Roman" w:cs="Times New Roman"/>
          <w:color w:val="000000"/>
          <w:sz w:val="24"/>
          <w:szCs w:val="24"/>
        </w:rPr>
      </w:pPr>
    </w:p>
    <w:p w14:paraId="0CCF6482" w14:textId="0A2604EC" w:rsidR="001002A0" w:rsidRDefault="001002A0" w:rsidP="00A7365A">
      <w:pPr>
        <w:spacing w:line="240" w:lineRule="auto"/>
        <w:jc w:val="both"/>
        <w:rPr>
          <w:rFonts w:ascii="Times New Roman" w:hAnsi="Times New Roman" w:cs="Times New Roman"/>
          <w:color w:val="000000"/>
          <w:sz w:val="24"/>
          <w:szCs w:val="24"/>
        </w:rPr>
      </w:pPr>
      <w:r w:rsidRPr="001002A0">
        <w:rPr>
          <w:rFonts w:ascii="Times New Roman" w:hAnsi="Times New Roman" w:cs="Times New Roman"/>
          <w:noProof/>
          <w:color w:val="000000"/>
          <w:sz w:val="24"/>
          <w:szCs w:val="24"/>
          <w:lang w:val="es-ES" w:eastAsia="es-ES"/>
        </w:rPr>
        <w:drawing>
          <wp:inline distT="0" distB="0" distL="0" distR="0" wp14:anchorId="6F97764C" wp14:editId="5C3BAC8C">
            <wp:extent cx="6153150" cy="4292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3471" cy="4292824"/>
                    </a:xfrm>
                    <a:prstGeom prst="rect">
                      <a:avLst/>
                    </a:prstGeom>
                  </pic:spPr>
                </pic:pic>
              </a:graphicData>
            </a:graphic>
          </wp:inline>
        </w:drawing>
      </w:r>
    </w:p>
    <w:p w14:paraId="536CBBD9" w14:textId="013FB94E" w:rsidR="00C21932" w:rsidRDefault="00C21932" w:rsidP="001002A0">
      <w:pPr>
        <w:spacing w:line="240" w:lineRule="auto"/>
        <w:jc w:val="both"/>
        <w:rPr>
          <w:rFonts w:ascii="Times New Roman" w:hAnsi="Times New Roman" w:cs="Times New Roman"/>
          <w:color w:val="000000"/>
          <w:sz w:val="24"/>
          <w:szCs w:val="24"/>
        </w:rPr>
      </w:pPr>
    </w:p>
    <w:p w14:paraId="7A9FE57A" w14:textId="0CD54EC7" w:rsidR="00A2034D" w:rsidRDefault="00A2034D" w:rsidP="00AD4230">
      <w:pPr>
        <w:spacing w:line="240" w:lineRule="auto"/>
        <w:jc w:val="center"/>
        <w:rPr>
          <w:rFonts w:ascii="Times New Roman" w:hAnsi="Times New Roman" w:cs="Times New Roman"/>
          <w:color w:val="000000"/>
          <w:sz w:val="24"/>
          <w:szCs w:val="24"/>
        </w:rPr>
      </w:pPr>
      <w:r>
        <w:rPr>
          <w:rFonts w:ascii="Times New Roman" w:hAnsi="Times New Roman" w:cs="Times New Roman"/>
          <w:b/>
          <w:sz w:val="24"/>
          <w:szCs w:val="24"/>
        </w:rPr>
        <w:t>Figure</w:t>
      </w:r>
      <w:r w:rsidR="00A11846">
        <w:rPr>
          <w:rFonts w:ascii="Times New Roman" w:hAnsi="Times New Roman" w:cs="Times New Roman"/>
          <w:b/>
          <w:sz w:val="24"/>
          <w:szCs w:val="24"/>
        </w:rPr>
        <w:t xml:space="preserve"> </w:t>
      </w:r>
      <w:r>
        <w:rPr>
          <w:rFonts w:ascii="Times New Roman" w:hAnsi="Times New Roman" w:cs="Times New Roman"/>
          <w:b/>
          <w:sz w:val="24"/>
          <w:szCs w:val="24"/>
        </w:rPr>
        <w:t>1 :</w:t>
      </w:r>
      <w:r w:rsidR="006820A2">
        <w:rPr>
          <w:rFonts w:ascii="Times New Roman" w:hAnsi="Times New Roman" w:cs="Times New Roman"/>
          <w:color w:val="000000"/>
          <w:sz w:val="24"/>
          <w:szCs w:val="24"/>
        </w:rPr>
        <w:t> </w:t>
      </w:r>
      <w:r w:rsidR="006820A2" w:rsidRPr="006820A2">
        <w:rPr>
          <w:rFonts w:ascii="Times New Roman" w:hAnsi="Times New Roman" w:cs="Times New Roman"/>
          <w:color w:val="000000"/>
          <w:sz w:val="24"/>
          <w:szCs w:val="24"/>
        </w:rPr>
        <w:t xml:space="preserve">Location of the study area and </w:t>
      </w:r>
      <w:r w:rsidR="006820A2">
        <w:rPr>
          <w:rFonts w:ascii="Times New Roman" w:hAnsi="Times New Roman" w:cs="Times New Roman"/>
          <w:color w:val="000000"/>
          <w:sz w:val="24"/>
          <w:szCs w:val="24"/>
        </w:rPr>
        <w:t xml:space="preserve">sampling </w:t>
      </w:r>
      <w:r w:rsidR="0030661B">
        <w:rPr>
          <w:rFonts w:ascii="Times New Roman" w:hAnsi="Times New Roman" w:cs="Times New Roman"/>
          <w:color w:val="000000"/>
          <w:sz w:val="24"/>
          <w:szCs w:val="24"/>
        </w:rPr>
        <w:t>site [11</w:t>
      </w:r>
      <w:r w:rsidR="00AD4230">
        <w:rPr>
          <w:rFonts w:ascii="Times New Roman" w:hAnsi="Times New Roman" w:cs="Times New Roman"/>
          <w:color w:val="000000"/>
          <w:sz w:val="24"/>
          <w:szCs w:val="24"/>
        </w:rPr>
        <w:t>]</w:t>
      </w:r>
    </w:p>
    <w:p w14:paraId="04B4A554" w14:textId="77777777" w:rsidR="001002A0" w:rsidRDefault="001002A0" w:rsidP="00AD4230">
      <w:pPr>
        <w:spacing w:line="240" w:lineRule="auto"/>
        <w:jc w:val="center"/>
        <w:rPr>
          <w:rFonts w:ascii="Times New Roman" w:hAnsi="Times New Roman" w:cs="Times New Roman"/>
          <w:color w:val="000000"/>
          <w:sz w:val="24"/>
          <w:szCs w:val="24"/>
        </w:rPr>
      </w:pPr>
    </w:p>
    <w:p w14:paraId="21373FA4" w14:textId="77777777" w:rsidR="001002A0" w:rsidRPr="00AD4230" w:rsidRDefault="001002A0" w:rsidP="00AD4230">
      <w:pPr>
        <w:spacing w:line="240" w:lineRule="auto"/>
        <w:jc w:val="center"/>
        <w:rPr>
          <w:rFonts w:ascii="Times New Roman" w:hAnsi="Times New Roman" w:cs="Times New Roman"/>
          <w:color w:val="FF0000"/>
          <w:sz w:val="24"/>
          <w:szCs w:val="24"/>
        </w:rPr>
      </w:pPr>
    </w:p>
    <w:p w14:paraId="6333716E" w14:textId="0796D3EF" w:rsidR="008975EA" w:rsidRPr="005A05E0" w:rsidRDefault="002318D6" w:rsidP="00A7365A">
      <w:pPr>
        <w:pStyle w:val="ListParagraph"/>
        <w:numPr>
          <w:ilvl w:val="1"/>
          <w:numId w:val="1"/>
        </w:numPr>
        <w:spacing w:line="240" w:lineRule="auto"/>
        <w:jc w:val="both"/>
        <w:rPr>
          <w:rFonts w:ascii="Times New Roman" w:hAnsi="Times New Roman" w:cs="Times New Roman"/>
          <w:b/>
          <w:color w:val="000000" w:themeColor="text1"/>
          <w:sz w:val="24"/>
          <w:szCs w:val="24"/>
        </w:rPr>
      </w:pPr>
      <w:r w:rsidRPr="005A05E0">
        <w:rPr>
          <w:rFonts w:ascii="Times New Roman" w:hAnsi="Times New Roman" w:cs="Times New Roman"/>
          <w:b/>
          <w:color w:val="000000" w:themeColor="text1"/>
          <w:sz w:val="24"/>
          <w:szCs w:val="24"/>
        </w:rPr>
        <w:lastRenderedPageBreak/>
        <w:t xml:space="preserve"> </w:t>
      </w:r>
      <w:r w:rsidR="006820A2" w:rsidRPr="005A05E0">
        <w:rPr>
          <w:rFonts w:ascii="Times New Roman" w:hAnsi="Times New Roman" w:cs="Times New Roman"/>
          <w:b/>
          <w:color w:val="000000" w:themeColor="text1"/>
          <w:sz w:val="24"/>
          <w:szCs w:val="24"/>
        </w:rPr>
        <w:t xml:space="preserve">Farming practices and pesticide use in the study area </w:t>
      </w:r>
      <w:r w:rsidR="008975EA" w:rsidRPr="005A05E0">
        <w:rPr>
          <w:rFonts w:ascii="Times New Roman" w:hAnsi="Times New Roman" w:cs="Times New Roman"/>
          <w:b/>
          <w:color w:val="000000" w:themeColor="text1"/>
          <w:sz w:val="24"/>
          <w:szCs w:val="24"/>
        </w:rPr>
        <w:t xml:space="preserve"> </w:t>
      </w:r>
    </w:p>
    <w:p w14:paraId="2B2431C7" w14:textId="1C83B42F" w:rsidR="006820A2" w:rsidRDefault="006820A2" w:rsidP="00A7365A">
      <w:pPr>
        <w:spacing w:line="240" w:lineRule="auto"/>
        <w:jc w:val="both"/>
        <w:rPr>
          <w:rFonts w:ascii="Times New Roman" w:hAnsi="Times New Roman" w:cs="Times New Roman"/>
          <w:color w:val="000000" w:themeColor="text1"/>
          <w:sz w:val="24"/>
          <w:szCs w:val="24"/>
        </w:rPr>
      </w:pPr>
      <w:r w:rsidRPr="006820A2">
        <w:rPr>
          <w:rFonts w:ascii="Times New Roman" w:hAnsi="Times New Roman" w:cs="Times New Roman"/>
          <w:color w:val="000000" w:themeColor="text1"/>
          <w:sz w:val="24"/>
          <w:szCs w:val="24"/>
        </w:rPr>
        <w:t>In the study area, herbicides are generally used in three periods: as a preventive anti-germinative (between June and July); between grass germination and planting (between July and September). During these two periods, herbicides are used for total weed control, acting on all the plant species present.  Two herbicides known respectively as RAFALE and BIN'FLA 720 WC (active ingredient: Glyphosate) are widely used by farmers as weedkillers. After weeds have germinated and grown (between September and November).</w:t>
      </w:r>
      <w:r w:rsidR="004B20AE" w:rsidRPr="004B20AE">
        <w:t xml:space="preserve"> </w:t>
      </w:r>
      <w:r w:rsidR="004B20AE" w:rsidRPr="004B20AE">
        <w:rPr>
          <w:rFonts w:ascii="Times New Roman" w:hAnsi="Times New Roman" w:cs="Times New Roman"/>
          <w:color w:val="000000" w:themeColor="text1"/>
          <w:sz w:val="24"/>
          <w:szCs w:val="24"/>
        </w:rPr>
        <w:t>Most farmers use mechanical w</w:t>
      </w:r>
      <w:r w:rsidR="004B20AE">
        <w:rPr>
          <w:rFonts w:ascii="Times New Roman" w:hAnsi="Times New Roman" w:cs="Times New Roman"/>
          <w:color w:val="000000" w:themeColor="text1"/>
          <w:sz w:val="24"/>
          <w:szCs w:val="24"/>
        </w:rPr>
        <w:t>eeding tools to eliminate weeds</w:t>
      </w:r>
      <w:r w:rsidRPr="006820A2">
        <w:rPr>
          <w:rFonts w:ascii="Times New Roman" w:hAnsi="Times New Roman" w:cs="Times New Roman"/>
          <w:color w:val="000000" w:themeColor="text1"/>
          <w:sz w:val="24"/>
          <w:szCs w:val="24"/>
        </w:rPr>
        <w:t>. However, to a lesser extent, farmers use selective herbicides to destroy weeds without affecting crops. Most farmers do not respect the doses indicated on the labels of phytosanitary substances. A raw pesticide volume of 20 to 40 mL, or a sachet (for granulated pesticides), is often solubilised in a 16L backpack tank. The 16 mL are used to treat around 1 hectare of land. The application of plant protection products by spraying is practised by both men and women. This method of preparing the pesticide solution, developed by farmers considered to be experienced, is generally applied by most farmers. Agricultural land is farmed by small farmers and farm labourers. However, they make little use of risk mitigation measures due to their exorbitant prices. Indeed, most farmers cannot afford to buy backpack sprayers, masks, protective suits or good quality gloves. This is due to the financial pressure exerted by the sale of their harvest. As a result, most of them do not know or do not respect the minimum time between pesticide application and harvesting. What's more, once the purchase has been made in the shop, farmers transfer the pesticides to another container that contains no instructions on how to use the products safely. Some species, such as amaranths (</w:t>
      </w:r>
      <w:r w:rsidRPr="004B20AE">
        <w:rPr>
          <w:rFonts w:ascii="Times New Roman" w:hAnsi="Times New Roman" w:cs="Times New Roman"/>
          <w:i/>
          <w:color w:val="000000" w:themeColor="text1"/>
          <w:sz w:val="24"/>
          <w:szCs w:val="24"/>
        </w:rPr>
        <w:t>espinosus L, reflexus L</w:t>
      </w:r>
      <w:r w:rsidRPr="006820A2">
        <w:rPr>
          <w:rFonts w:ascii="Times New Roman" w:hAnsi="Times New Roman" w:cs="Times New Roman"/>
          <w:color w:val="000000" w:themeColor="text1"/>
          <w:sz w:val="24"/>
          <w:szCs w:val="24"/>
        </w:rPr>
        <w:t xml:space="preserve">,) and </w:t>
      </w:r>
      <w:r w:rsidRPr="004B20AE">
        <w:rPr>
          <w:rFonts w:ascii="Times New Roman" w:hAnsi="Times New Roman" w:cs="Times New Roman"/>
          <w:i/>
          <w:color w:val="000000" w:themeColor="text1"/>
          <w:sz w:val="24"/>
          <w:szCs w:val="24"/>
        </w:rPr>
        <w:t>tridax precumbens L</w:t>
      </w:r>
      <w:r w:rsidRPr="006820A2">
        <w:rPr>
          <w:rFonts w:ascii="Times New Roman" w:hAnsi="Times New Roman" w:cs="Times New Roman"/>
          <w:color w:val="000000" w:themeColor="text1"/>
          <w:sz w:val="24"/>
          <w:szCs w:val="24"/>
        </w:rPr>
        <w:t xml:space="preserve">, are highly resistant to the selective herbicides used.  </w:t>
      </w:r>
    </w:p>
    <w:p w14:paraId="7D3F18C3" w14:textId="77777777" w:rsidR="0062015B" w:rsidRPr="0062015B" w:rsidRDefault="00A2034D" w:rsidP="00A7365A">
      <w:pPr>
        <w:spacing w:line="240" w:lineRule="auto"/>
        <w:jc w:val="both"/>
        <w:rPr>
          <w:rFonts w:ascii="Times New Roman" w:hAnsi="Times New Roman" w:cs="Times New Roman"/>
          <w:sz w:val="24"/>
          <w:szCs w:val="24"/>
        </w:rPr>
      </w:pPr>
      <w:r>
        <w:rPr>
          <w:noProof/>
          <w:lang w:val="es-ES" w:eastAsia="es-ES"/>
        </w:rPr>
        <w:drawing>
          <wp:inline distT="0" distB="0" distL="0" distR="0" wp14:anchorId="13CFA556" wp14:editId="200683E6">
            <wp:extent cx="6151920" cy="3350172"/>
            <wp:effectExtent l="0" t="0" r="127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61808" cy="3355557"/>
                    </a:xfrm>
                    <a:prstGeom prst="rect">
                      <a:avLst/>
                    </a:prstGeom>
                  </pic:spPr>
                </pic:pic>
              </a:graphicData>
            </a:graphic>
          </wp:inline>
        </w:drawing>
      </w:r>
    </w:p>
    <w:p w14:paraId="0DF929E6" w14:textId="653789F2" w:rsidR="00AD4230" w:rsidRPr="005E1CE8" w:rsidRDefault="004B20AE" w:rsidP="005A05E0">
      <w:pPr>
        <w:spacing w:line="240" w:lineRule="auto"/>
        <w:jc w:val="center"/>
        <w:rPr>
          <w:rFonts w:ascii="Times New Roman" w:hAnsi="Times New Roman" w:cs="Times New Roman"/>
          <w:sz w:val="24"/>
          <w:szCs w:val="24"/>
        </w:rPr>
      </w:pPr>
      <w:r w:rsidRPr="004B20AE">
        <w:rPr>
          <w:rFonts w:ascii="Times New Roman" w:hAnsi="Times New Roman" w:cs="Times New Roman"/>
          <w:b/>
          <w:sz w:val="24"/>
          <w:szCs w:val="24"/>
        </w:rPr>
        <w:t>Figure 2</w:t>
      </w:r>
      <w:r w:rsidRPr="004B20AE">
        <w:rPr>
          <w:rFonts w:ascii="Times New Roman" w:hAnsi="Times New Roman" w:cs="Times New Roman"/>
          <w:sz w:val="24"/>
          <w:szCs w:val="24"/>
        </w:rPr>
        <w:t>: Some photos taken on the study site: a) 16L backpack tank; b) man spraying pesticides on his field; c) woman spraying pesticides on her field; d) bag of a total systematic pesticide found on the site.</w:t>
      </w:r>
    </w:p>
    <w:p w14:paraId="0E70E387" w14:textId="404D1E6A" w:rsidR="004708B6" w:rsidRPr="005A05E0" w:rsidRDefault="002318D6" w:rsidP="00A7365A">
      <w:pPr>
        <w:pStyle w:val="ListParagraph"/>
        <w:numPr>
          <w:ilvl w:val="1"/>
          <w:numId w:val="1"/>
        </w:numPr>
        <w:spacing w:line="240" w:lineRule="auto"/>
        <w:rPr>
          <w:rFonts w:ascii="Times New Roman" w:hAnsi="Times New Roman" w:cs="Times New Roman"/>
          <w:b/>
          <w:sz w:val="24"/>
          <w:szCs w:val="24"/>
        </w:rPr>
      </w:pPr>
      <w:r w:rsidRPr="005A05E0">
        <w:rPr>
          <w:rFonts w:ascii="Times New Roman" w:hAnsi="Times New Roman" w:cs="Times New Roman"/>
          <w:b/>
          <w:sz w:val="24"/>
          <w:szCs w:val="24"/>
        </w:rPr>
        <w:t xml:space="preserve"> </w:t>
      </w:r>
      <w:r w:rsidR="004B20AE" w:rsidRPr="005A05E0">
        <w:rPr>
          <w:rFonts w:ascii="Times New Roman" w:hAnsi="Times New Roman" w:cs="Times New Roman"/>
          <w:b/>
          <w:sz w:val="24"/>
          <w:szCs w:val="24"/>
        </w:rPr>
        <w:t>Sampling</w:t>
      </w:r>
    </w:p>
    <w:p w14:paraId="5D3E8E50" w14:textId="74A6E573" w:rsidR="00A30208" w:rsidRDefault="00A30208" w:rsidP="00A7365A">
      <w:pPr>
        <w:spacing w:line="240" w:lineRule="auto"/>
        <w:jc w:val="both"/>
        <w:rPr>
          <w:rFonts w:ascii="Times New Roman" w:hAnsi="Times New Roman" w:cs="Times New Roman"/>
          <w:sz w:val="24"/>
          <w:szCs w:val="24"/>
        </w:rPr>
      </w:pPr>
      <w:r w:rsidRPr="00A30208">
        <w:rPr>
          <w:rFonts w:ascii="Times New Roman" w:hAnsi="Times New Roman" w:cs="Times New Roman"/>
          <w:sz w:val="24"/>
          <w:szCs w:val="24"/>
        </w:rPr>
        <w:t xml:space="preserve">Soil samples (phosphate sludge) were collected in four (4) basins at surface horizon level (10 Cm depth) over a period from September 2021 to March 2022. A total of sixteen (16) samples were taken, four per basin (one sample every 2 months). Sampling was carried out using a wooden spatula. The </w:t>
      </w:r>
      <w:r w:rsidRPr="00A30208">
        <w:rPr>
          <w:rFonts w:ascii="Times New Roman" w:hAnsi="Times New Roman" w:cs="Times New Roman"/>
          <w:sz w:val="24"/>
          <w:szCs w:val="24"/>
        </w:rPr>
        <w:lastRenderedPageBreak/>
        <w:t>sampling points were selected taking into account the agricultural activities of the basins. Samples were placed in plastic bags for transport to the laboratory.</w:t>
      </w:r>
    </w:p>
    <w:p w14:paraId="63234251" w14:textId="3AE1FFBC" w:rsidR="004708B6" w:rsidRPr="005A05E0" w:rsidRDefault="00A30208" w:rsidP="00A7365A">
      <w:pPr>
        <w:pStyle w:val="ListParagraph"/>
        <w:numPr>
          <w:ilvl w:val="1"/>
          <w:numId w:val="1"/>
        </w:numPr>
        <w:spacing w:line="240" w:lineRule="auto"/>
        <w:jc w:val="both"/>
        <w:rPr>
          <w:rFonts w:ascii="Times New Roman" w:hAnsi="Times New Roman" w:cs="Times New Roman"/>
          <w:b/>
          <w:sz w:val="24"/>
          <w:szCs w:val="24"/>
        </w:rPr>
      </w:pPr>
      <w:r>
        <w:rPr>
          <w:rFonts w:ascii="Times New Roman" w:hAnsi="Times New Roman" w:cs="Times New Roman"/>
          <w:b/>
          <w:i/>
          <w:sz w:val="24"/>
          <w:szCs w:val="24"/>
        </w:rPr>
        <w:t xml:space="preserve"> </w:t>
      </w:r>
      <w:r w:rsidRPr="005A05E0">
        <w:rPr>
          <w:rFonts w:ascii="Times New Roman" w:hAnsi="Times New Roman" w:cs="Times New Roman"/>
          <w:b/>
          <w:sz w:val="24"/>
          <w:szCs w:val="24"/>
        </w:rPr>
        <w:t>Soil sample processing</w:t>
      </w:r>
    </w:p>
    <w:p w14:paraId="5AB405F3" w14:textId="11B32C68" w:rsidR="00017FB4" w:rsidRPr="00DB6761" w:rsidRDefault="00091880" w:rsidP="00A7365A">
      <w:pPr>
        <w:spacing w:line="240" w:lineRule="auto"/>
        <w:jc w:val="both"/>
        <w:rPr>
          <w:rFonts w:ascii="Times New Roman" w:hAnsi="Times New Roman" w:cs="Times New Roman"/>
          <w:sz w:val="24"/>
          <w:szCs w:val="24"/>
        </w:rPr>
      </w:pPr>
      <w:r w:rsidRPr="00091880">
        <w:rPr>
          <w:rFonts w:ascii="Times New Roman" w:hAnsi="Times New Roman" w:cs="Times New Roman"/>
          <w:sz w:val="24"/>
          <w:szCs w:val="24"/>
        </w:rPr>
        <w:t>The soil samples collected in the basins were first dried in the open air and then ground manually. Then they were sieved with a 2 mm square mesh sieve to remove coarse particles. Samples with diameters less than 2 mm are then sieved using a 63µm square mesh sieve to obtain samples of very fine particles. Finally, the resulting samples were put into 30*40cm plastic sample bags and stored in the laboratory at room temperature until use.</w:t>
      </w:r>
    </w:p>
    <w:p w14:paraId="47552407" w14:textId="699490E3" w:rsidR="00AB56C9" w:rsidRPr="005A05E0" w:rsidRDefault="002318D6" w:rsidP="00A7365A">
      <w:pPr>
        <w:pStyle w:val="ListParagraph"/>
        <w:numPr>
          <w:ilvl w:val="1"/>
          <w:numId w:val="1"/>
        </w:numPr>
        <w:spacing w:line="240" w:lineRule="auto"/>
        <w:jc w:val="both"/>
        <w:rPr>
          <w:rFonts w:ascii="Times New Roman" w:hAnsi="Times New Roman" w:cs="Times New Roman"/>
          <w:b/>
          <w:sz w:val="24"/>
          <w:szCs w:val="24"/>
        </w:rPr>
      </w:pPr>
      <w:r w:rsidRPr="005A05E0">
        <w:rPr>
          <w:rFonts w:ascii="Times New Roman" w:hAnsi="Times New Roman" w:cs="Times New Roman"/>
          <w:b/>
          <w:sz w:val="24"/>
          <w:szCs w:val="24"/>
        </w:rPr>
        <w:t xml:space="preserve"> </w:t>
      </w:r>
      <w:r w:rsidR="00091880" w:rsidRPr="005A05E0">
        <w:rPr>
          <w:rFonts w:ascii="Times New Roman" w:hAnsi="Times New Roman" w:cs="Times New Roman"/>
          <w:b/>
          <w:sz w:val="24"/>
          <w:szCs w:val="24"/>
        </w:rPr>
        <w:t>Extraction and dosage of pesticides</w:t>
      </w:r>
    </w:p>
    <w:p w14:paraId="2853F7D6" w14:textId="04DBD7CA" w:rsidR="00FF30E9" w:rsidRPr="00FF30E9" w:rsidRDefault="009A68F8" w:rsidP="00A7365A">
      <w:pPr>
        <w:spacing w:line="240" w:lineRule="auto"/>
        <w:jc w:val="both"/>
        <w:rPr>
          <w:rFonts w:ascii="Times New Roman" w:hAnsi="Times New Roman" w:cs="Times New Roman"/>
          <w:color w:val="000000"/>
          <w:sz w:val="24"/>
          <w:szCs w:val="24"/>
        </w:rPr>
      </w:pPr>
      <w:r w:rsidRPr="009A68F8">
        <w:rPr>
          <w:rFonts w:ascii="Times New Roman" w:hAnsi="Times New Roman" w:cs="Times New Roman"/>
          <w:color w:val="000000"/>
          <w:sz w:val="24"/>
          <w:szCs w:val="24"/>
        </w:rPr>
        <w:t>For the determination of active substances, an analytical method developed by Dione et al. was used. This method is based on QuEChERS extraction, gas chromatography separation and mass spectrophotometry (GC-MS/MS) detection</w:t>
      </w:r>
      <w:r>
        <w:rPr>
          <w:rFonts w:ascii="Times New Roman" w:hAnsi="Times New Roman" w:cs="Times New Roman"/>
          <w:color w:val="000000"/>
          <w:sz w:val="24"/>
          <w:szCs w:val="24"/>
        </w:rPr>
        <w:t xml:space="preserve"> </w:t>
      </w:r>
      <w:r w:rsidR="0030661B">
        <w:rPr>
          <w:rFonts w:ascii="Times New Roman" w:hAnsi="Times New Roman" w:cs="Times New Roman"/>
          <w:color w:val="000000"/>
          <w:sz w:val="24"/>
          <w:szCs w:val="24"/>
        </w:rPr>
        <w:t>[12</w:t>
      </w:r>
      <w:r w:rsidRPr="009A68F8">
        <w:rPr>
          <w:rFonts w:ascii="Times New Roman" w:hAnsi="Times New Roman" w:cs="Times New Roman"/>
          <w:color w:val="000000"/>
          <w:sz w:val="24"/>
          <w:szCs w:val="24"/>
        </w:rPr>
        <w:t>].</w:t>
      </w:r>
      <w:r w:rsidRPr="00FF30E9">
        <w:rPr>
          <w:rFonts w:ascii="Times New Roman" w:hAnsi="Times New Roman" w:cs="Times New Roman"/>
          <w:color w:val="000000"/>
          <w:sz w:val="24"/>
          <w:szCs w:val="24"/>
        </w:rPr>
        <w:t xml:space="preserve"> </w:t>
      </w:r>
    </w:p>
    <w:p w14:paraId="385797AC" w14:textId="03874024" w:rsidR="003F0538" w:rsidRPr="005A05E0" w:rsidRDefault="002318D6" w:rsidP="00A7365A">
      <w:pPr>
        <w:pStyle w:val="NoSpacing"/>
        <w:numPr>
          <w:ilvl w:val="1"/>
          <w:numId w:val="1"/>
        </w:numPr>
        <w:jc w:val="both"/>
        <w:rPr>
          <w:rFonts w:ascii="Times New Roman" w:hAnsi="Times New Roman" w:cs="Times New Roman"/>
          <w:b/>
          <w:sz w:val="24"/>
          <w:szCs w:val="24"/>
        </w:rPr>
      </w:pPr>
      <w:r w:rsidRPr="005A05E0">
        <w:rPr>
          <w:rFonts w:ascii="Times New Roman" w:hAnsi="Times New Roman" w:cs="Times New Roman"/>
          <w:b/>
          <w:sz w:val="24"/>
          <w:szCs w:val="24"/>
        </w:rPr>
        <w:t xml:space="preserve"> </w:t>
      </w:r>
      <w:r w:rsidR="009A68F8" w:rsidRPr="005A05E0">
        <w:rPr>
          <w:rFonts w:ascii="Times New Roman" w:hAnsi="Times New Roman" w:cs="Times New Roman"/>
          <w:b/>
          <w:sz w:val="24"/>
          <w:szCs w:val="24"/>
        </w:rPr>
        <w:t>Material and Products</w:t>
      </w:r>
    </w:p>
    <w:p w14:paraId="13626D8A" w14:textId="77777777" w:rsidR="00FF30E9" w:rsidRDefault="00FF30E9" w:rsidP="00A7365A">
      <w:pPr>
        <w:pStyle w:val="NoSpacing"/>
        <w:jc w:val="both"/>
        <w:rPr>
          <w:rFonts w:ascii="Times New Roman" w:hAnsi="Times New Roman" w:cs="Times New Roman"/>
          <w:b/>
          <w:sz w:val="24"/>
          <w:szCs w:val="24"/>
        </w:rPr>
      </w:pPr>
    </w:p>
    <w:p w14:paraId="4211089F" w14:textId="565C3D91" w:rsidR="000303F3" w:rsidRPr="000303F3" w:rsidRDefault="009A68F8" w:rsidP="00A7365A">
      <w:pPr>
        <w:pStyle w:val="NoSpacing"/>
        <w:jc w:val="both"/>
        <w:rPr>
          <w:rFonts w:ascii="Times New Roman" w:hAnsi="Times New Roman" w:cs="Times New Roman"/>
          <w:bCs/>
          <w:color w:val="000000"/>
          <w:sz w:val="24"/>
          <w:szCs w:val="24"/>
        </w:rPr>
      </w:pPr>
      <w:r w:rsidRPr="009A68F8">
        <w:rPr>
          <w:rFonts w:ascii="Times New Roman" w:hAnsi="Times New Roman" w:cs="Times New Roman"/>
          <w:bCs/>
          <w:color w:val="000000"/>
          <w:sz w:val="24"/>
          <w:szCs w:val="24"/>
        </w:rPr>
        <w:t>QuEChERS kits and RESTEK brand centrifuge tubes, a Vortex, a Centrifuge and SPME Supelco Polyacylate (85µm) and PDMS (100µm) fibers, obtained from Sigma-Aldrich (St Quention Fallavier, France) were used for the sample preparation. SPME fiber was used to inject the samples into the chromatographic column. Acetonitrile (ACN) from Merck (Darmstadt, Germany) is the nonpolar solvent used for pesticide extraction. Acetone technique (Merck, Darmstadt, Germany) was used to wash the glassware. For calibration, pesticide standard solutions with a purity of 96 to 99.9% from Sigma-Aldrich (St Quention Fallavier, France) were used to prepare the solutions necessary for drawing the calibration lines. Internal standards (Diphenylamine-d6, Trifluralin-d14, Pendimethalin-d5) were obtained from Sigma-Aldrich (St Quention Fallavier, France). The chromatographic equipment used for analyte separation is from Thermo Fischer Scientific and consists of a TRACE GC coupled to an ion trap (ITQ 700) operating in MSMS mode. The stationary phase used is a 5% phenyl/95% dimethyl polysiloxane with sylarene groups inserted to increase thermal stability and prevent falling, allowing the column to be heated to 340°C routinely and 360°C specifically. The mass spectrometer used for detection is based on ion trap technology with an electron impact (EI) source and allows tandem analysis (MSMS) thanks to the refragmentation of the daughter ions of the compounds.</w:t>
      </w:r>
    </w:p>
    <w:p w14:paraId="22848C29" w14:textId="77777777" w:rsidR="00883AEE" w:rsidRPr="005F30E0" w:rsidRDefault="00883AEE" w:rsidP="00A7365A">
      <w:pPr>
        <w:pStyle w:val="NoSpacing"/>
        <w:jc w:val="both"/>
        <w:rPr>
          <w:rFonts w:ascii="Times New Roman" w:hAnsi="Times New Roman" w:cs="Times New Roman"/>
          <w:i/>
          <w:color w:val="000000"/>
          <w:sz w:val="24"/>
          <w:szCs w:val="24"/>
        </w:rPr>
      </w:pPr>
    </w:p>
    <w:p w14:paraId="5201D6E9" w14:textId="0A9B3926" w:rsidR="003C3728" w:rsidRPr="005A05E0" w:rsidRDefault="00901EF3" w:rsidP="00A7365A">
      <w:pPr>
        <w:pStyle w:val="NoSpacing"/>
        <w:numPr>
          <w:ilvl w:val="1"/>
          <w:numId w:val="1"/>
        </w:numPr>
        <w:jc w:val="both"/>
        <w:rPr>
          <w:rFonts w:ascii="Times New Roman" w:hAnsi="Times New Roman" w:cs="Times New Roman"/>
          <w:b/>
          <w:color w:val="000000"/>
          <w:sz w:val="24"/>
          <w:szCs w:val="24"/>
        </w:rPr>
      </w:pPr>
      <w:r w:rsidRPr="005A05E0">
        <w:rPr>
          <w:rFonts w:ascii="Times New Roman" w:hAnsi="Times New Roman" w:cs="Times New Roman"/>
          <w:b/>
          <w:color w:val="000000"/>
          <w:sz w:val="24"/>
          <w:szCs w:val="24"/>
        </w:rPr>
        <w:t xml:space="preserve"> </w:t>
      </w:r>
      <w:r w:rsidR="009A68F8" w:rsidRPr="005A05E0">
        <w:rPr>
          <w:rFonts w:ascii="Times New Roman" w:hAnsi="Times New Roman" w:cs="Times New Roman"/>
          <w:b/>
          <w:color w:val="000000"/>
          <w:sz w:val="24"/>
          <w:szCs w:val="24"/>
        </w:rPr>
        <w:t>Preparing solutions</w:t>
      </w:r>
    </w:p>
    <w:p w14:paraId="6AEB0127" w14:textId="77777777" w:rsidR="009A68F8" w:rsidRPr="009A68F8" w:rsidRDefault="009A68F8" w:rsidP="00A7365A">
      <w:pPr>
        <w:pStyle w:val="NoSpacing"/>
        <w:ind w:left="720"/>
        <w:jc w:val="both"/>
        <w:rPr>
          <w:rFonts w:ascii="Times New Roman" w:hAnsi="Times New Roman" w:cs="Times New Roman"/>
          <w:b/>
          <w:i/>
          <w:color w:val="000000"/>
          <w:sz w:val="24"/>
          <w:szCs w:val="24"/>
        </w:rPr>
      </w:pPr>
    </w:p>
    <w:p w14:paraId="00925C66" w14:textId="6DD6F98E" w:rsidR="00AD4230" w:rsidRDefault="00901EF3" w:rsidP="00A7365A">
      <w:pPr>
        <w:pStyle w:val="NoSpacing"/>
        <w:jc w:val="both"/>
        <w:rPr>
          <w:rFonts w:ascii="Times New Roman" w:hAnsi="Times New Roman" w:cs="Times New Roman"/>
          <w:color w:val="000000"/>
          <w:sz w:val="24"/>
          <w:szCs w:val="24"/>
        </w:rPr>
      </w:pPr>
      <w:r w:rsidRPr="00901EF3">
        <w:rPr>
          <w:rFonts w:ascii="Times New Roman" w:hAnsi="Times New Roman" w:cs="Times New Roman"/>
          <w:color w:val="000000"/>
          <w:sz w:val="24"/>
          <w:szCs w:val="24"/>
        </w:rPr>
        <w:t>The solutions of the different analytes were prepared in acetonitrile (ACN) at 1 g.L-1 and stored in vials at -20°C. Standard solutions at different concentrations (between 1 and 250µg.L-1) containing all analytes were prepared by appropriate dilution of the individual stock solutions. They were used to plot 10-point calibration curves and as spike solutions during method development and validation. A solution containing the mixture of internal standards at a concentration of 10 mg.L-1 was also prepared.</w:t>
      </w:r>
    </w:p>
    <w:p w14:paraId="09EF64B6" w14:textId="77777777" w:rsidR="00AD4230" w:rsidRDefault="00AD4230" w:rsidP="00A7365A">
      <w:pPr>
        <w:pStyle w:val="NoSpacing"/>
        <w:jc w:val="both"/>
        <w:rPr>
          <w:rFonts w:ascii="Times New Roman" w:hAnsi="Times New Roman" w:cs="Times New Roman"/>
          <w:color w:val="000000"/>
          <w:sz w:val="24"/>
          <w:szCs w:val="24"/>
        </w:rPr>
      </w:pPr>
    </w:p>
    <w:p w14:paraId="564E9E70" w14:textId="678C40B4" w:rsidR="003F0538" w:rsidRPr="005F30E0" w:rsidRDefault="00901EF3" w:rsidP="00A7365A">
      <w:pPr>
        <w:pStyle w:val="NoSpacing"/>
        <w:numPr>
          <w:ilvl w:val="1"/>
          <w:numId w:val="1"/>
        </w:numPr>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 </w:t>
      </w:r>
      <w:r w:rsidRPr="00901EF3">
        <w:rPr>
          <w:rFonts w:ascii="Times New Roman" w:hAnsi="Times New Roman" w:cs="Times New Roman"/>
          <w:b/>
          <w:i/>
          <w:color w:val="000000"/>
          <w:sz w:val="24"/>
          <w:szCs w:val="24"/>
        </w:rPr>
        <w:t>Sample extraction and purification</w:t>
      </w:r>
    </w:p>
    <w:p w14:paraId="212110B2" w14:textId="77777777" w:rsidR="003C3728" w:rsidRPr="003C3728" w:rsidRDefault="003C3728" w:rsidP="00A7365A">
      <w:pPr>
        <w:pStyle w:val="NoSpacing"/>
        <w:rPr>
          <w:rFonts w:ascii="Times New Roman" w:hAnsi="Times New Roman" w:cs="Times New Roman"/>
          <w:b/>
          <w:color w:val="000000" w:themeColor="text1"/>
        </w:rPr>
      </w:pPr>
    </w:p>
    <w:p w14:paraId="199192BC" w14:textId="6136C0B4" w:rsidR="00BC610A" w:rsidRPr="00BC610A" w:rsidRDefault="00BC610A" w:rsidP="00A7365A">
      <w:pPr>
        <w:spacing w:line="240" w:lineRule="auto"/>
        <w:jc w:val="both"/>
        <w:rPr>
          <w:rFonts w:ascii="Times New Roman" w:hAnsi="Times New Roman" w:cs="Times New Roman"/>
          <w:color w:val="000000"/>
          <w:sz w:val="24"/>
          <w:szCs w:val="24"/>
        </w:rPr>
      </w:pPr>
      <w:r w:rsidRPr="00BC610A">
        <w:rPr>
          <w:rFonts w:ascii="Times New Roman" w:hAnsi="Times New Roman" w:cs="Times New Roman"/>
          <w:color w:val="000000"/>
          <w:sz w:val="24"/>
          <w:szCs w:val="24"/>
        </w:rPr>
        <w:t>For the extraction phase, weigh a mass of approximately two grams (2g) of each finely gro</w:t>
      </w:r>
      <w:r>
        <w:rPr>
          <w:rFonts w:ascii="Times New Roman" w:hAnsi="Times New Roman" w:cs="Times New Roman"/>
          <w:color w:val="000000"/>
          <w:sz w:val="24"/>
          <w:szCs w:val="24"/>
        </w:rPr>
        <w:t>und dry soil sample into a 50 mL</w:t>
      </w:r>
      <w:r w:rsidRPr="00BC610A">
        <w:rPr>
          <w:rFonts w:ascii="Times New Roman" w:hAnsi="Times New Roman" w:cs="Times New Roman"/>
          <w:color w:val="000000"/>
          <w:sz w:val="24"/>
          <w:szCs w:val="24"/>
        </w:rPr>
        <w:t xml:space="preserve"> polypropylene centrifuge tube, containing 10 mg of QuEChERS Q110 extraction salts, containing 4g of MgSO</w:t>
      </w:r>
      <w:r w:rsidRPr="00BC610A">
        <w:rPr>
          <w:rFonts w:ascii="Times New Roman" w:hAnsi="Times New Roman" w:cs="Times New Roman"/>
          <w:color w:val="000000"/>
          <w:sz w:val="24"/>
          <w:szCs w:val="24"/>
          <w:vertAlign w:val="subscript"/>
        </w:rPr>
        <w:t>4</w:t>
      </w:r>
      <w:r w:rsidRPr="00BC610A">
        <w:rPr>
          <w:rFonts w:ascii="Times New Roman" w:hAnsi="Times New Roman" w:cs="Times New Roman"/>
          <w:color w:val="000000"/>
          <w:sz w:val="24"/>
          <w:szCs w:val="24"/>
        </w:rPr>
        <w:t xml:space="preserve">, 1g of NaCl, 1g of trisodium citrate dihydrate, 0.5g of disodium hydrogen citrate sesquihydrate, the method is buffered with buffer EN15662 (RESTEK, France). For dispersive solid phase extraction (dSPE) of the sample, add 10 mL of acetonitrile. Finally, vortex the sample vigorously for 1 min, then centrifuge for 10 min at 4000 rpm. For the purification phase, transfer </w:t>
      </w:r>
      <w:r w:rsidRPr="00BC610A">
        <w:rPr>
          <w:rFonts w:ascii="Times New Roman" w:hAnsi="Times New Roman" w:cs="Times New Roman"/>
          <w:color w:val="000000"/>
          <w:sz w:val="24"/>
          <w:szCs w:val="24"/>
        </w:rPr>
        <w:lastRenderedPageBreak/>
        <w:t>8 mL of the supernatant obtained after the extraction phase into a 15 mL centrifuge tube (Q-sep. QuEChERS, dSPE, RESTEK, France), containing 400 mg of primary secondary amine (PSA ), 400 mg of C18 and 1200 mg of anhydrous MgSO</w:t>
      </w:r>
      <w:r w:rsidRPr="00BC610A">
        <w:rPr>
          <w:rFonts w:ascii="Times New Roman" w:hAnsi="Times New Roman" w:cs="Times New Roman"/>
          <w:color w:val="000000"/>
          <w:sz w:val="24"/>
          <w:szCs w:val="24"/>
          <w:vertAlign w:val="subscript"/>
        </w:rPr>
        <w:t>4</w:t>
      </w:r>
      <w:r w:rsidRPr="00BC610A">
        <w:rPr>
          <w:rFonts w:ascii="Times New Roman" w:hAnsi="Times New Roman" w:cs="Times New Roman"/>
          <w:color w:val="000000"/>
          <w:sz w:val="24"/>
          <w:szCs w:val="24"/>
        </w:rPr>
        <w:t>. After this step, Vortex the sample for 1 minute and centrifuge it for 15 minutes at 4,000 rpm, transfer the supernatant to a 2mL vial, then evaporate the supernatant down to 1mL in a fume hood.</w:t>
      </w:r>
    </w:p>
    <w:p w14:paraId="656B29B5" w14:textId="6BAF2E9D" w:rsidR="00AE6254" w:rsidRDefault="00BC610A" w:rsidP="00A7365A">
      <w:pPr>
        <w:spacing w:line="240" w:lineRule="auto"/>
        <w:jc w:val="both"/>
        <w:rPr>
          <w:rFonts w:ascii="Times New Roman" w:hAnsi="Times New Roman" w:cs="Times New Roman"/>
          <w:color w:val="000000"/>
          <w:sz w:val="24"/>
          <w:szCs w:val="24"/>
        </w:rPr>
      </w:pPr>
      <w:r w:rsidRPr="00BC610A">
        <w:rPr>
          <w:rFonts w:ascii="Times New Roman" w:hAnsi="Times New Roman" w:cs="Times New Roman"/>
          <w:color w:val="000000"/>
          <w:sz w:val="24"/>
          <w:szCs w:val="24"/>
        </w:rPr>
        <w:t>PSA sorbent removes polar interferences such as certain sugars, polar</w:t>
      </w:r>
      <w:r>
        <w:rPr>
          <w:rFonts w:ascii="Times New Roman" w:hAnsi="Times New Roman" w:cs="Times New Roman"/>
          <w:color w:val="000000"/>
          <w:sz w:val="24"/>
          <w:szCs w:val="24"/>
        </w:rPr>
        <w:t xml:space="preserve"> pigments and organic acids. C</w:t>
      </w:r>
      <w:r>
        <w:rPr>
          <w:rFonts w:ascii="Times New Roman" w:hAnsi="Times New Roman" w:cs="Times New Roman"/>
          <w:color w:val="000000"/>
          <w:sz w:val="24"/>
          <w:szCs w:val="24"/>
          <w:vertAlign w:val="subscript"/>
        </w:rPr>
        <w:t>18</w:t>
      </w:r>
      <w:r w:rsidRPr="00BC610A">
        <w:rPr>
          <w:rFonts w:ascii="Times New Roman" w:hAnsi="Times New Roman" w:cs="Times New Roman"/>
          <w:color w:val="000000"/>
          <w:sz w:val="24"/>
          <w:szCs w:val="24"/>
        </w:rPr>
        <w:t xml:space="preserve"> sorbent removes non-polar impurities. Anhydrous MgSO</w:t>
      </w:r>
      <w:r w:rsidRPr="00BC610A">
        <w:rPr>
          <w:rFonts w:ascii="Times New Roman" w:hAnsi="Times New Roman" w:cs="Times New Roman"/>
          <w:color w:val="000000"/>
          <w:sz w:val="24"/>
          <w:szCs w:val="24"/>
          <w:vertAlign w:val="subscript"/>
        </w:rPr>
        <w:t>4</w:t>
      </w:r>
      <w:r w:rsidRPr="00BC610A">
        <w:rPr>
          <w:rFonts w:ascii="Times New Roman" w:hAnsi="Times New Roman" w:cs="Times New Roman"/>
          <w:color w:val="000000"/>
          <w:sz w:val="24"/>
          <w:szCs w:val="24"/>
        </w:rPr>
        <w:t xml:space="preserve"> is added to remove excess water and increase process efficiency.</w:t>
      </w:r>
    </w:p>
    <w:p w14:paraId="0D3F0458" w14:textId="47EC6B27" w:rsidR="003F0538" w:rsidRPr="005F30E0" w:rsidRDefault="00AE6254" w:rsidP="002318D6">
      <w:pPr>
        <w:pStyle w:val="ListParagraph"/>
        <w:numPr>
          <w:ilvl w:val="1"/>
          <w:numId w:val="1"/>
        </w:numPr>
        <w:spacing w:line="240" w:lineRule="auto"/>
        <w:jc w:val="both"/>
        <w:rPr>
          <w:rFonts w:ascii="Times New Roman" w:hAnsi="Times New Roman" w:cs="Times New Roman"/>
          <w:b/>
          <w:i/>
          <w:color w:val="000000"/>
          <w:sz w:val="24"/>
          <w:szCs w:val="24"/>
        </w:rPr>
      </w:pPr>
      <w:r w:rsidRPr="00AE6254">
        <w:rPr>
          <w:rFonts w:ascii="Times New Roman" w:hAnsi="Times New Roman" w:cs="Times New Roman"/>
          <w:b/>
          <w:i/>
          <w:color w:val="000000"/>
          <w:sz w:val="24"/>
          <w:szCs w:val="24"/>
        </w:rPr>
        <w:t>Separation and detection of pollutants, control and data processing</w:t>
      </w:r>
    </w:p>
    <w:p w14:paraId="3A9C1AD9" w14:textId="179357B7" w:rsidR="0085431A" w:rsidRPr="006C2A10" w:rsidRDefault="00AE6254" w:rsidP="00A7365A">
      <w:pPr>
        <w:spacing w:line="240" w:lineRule="auto"/>
        <w:jc w:val="both"/>
        <w:rPr>
          <w:rFonts w:ascii="Times New Roman" w:hAnsi="Times New Roman" w:cs="Times New Roman"/>
          <w:color w:val="000000"/>
          <w:sz w:val="24"/>
          <w:szCs w:val="24"/>
        </w:rPr>
      </w:pPr>
      <w:r w:rsidRPr="00AE6254">
        <w:rPr>
          <w:rFonts w:ascii="Times New Roman" w:hAnsi="Times New Roman" w:cs="Times New Roman"/>
          <w:color w:val="000000"/>
          <w:sz w:val="24"/>
          <w:szCs w:val="24"/>
        </w:rPr>
        <w:t>The extract solution is made up to 20mL with water acidified to pH=3, then extracted with SPME fiber at 60°C for 40 min. The fiber is then introduced into the injector maintained at 280°C in splitless mode for 3 min. The compounds were separated on an Optima XLB column (Macherey Nagel) with an internal diameter of 30 m × 0.25 mm and a film thickness of 0.25 μm. The temperature gradient was set as follows: 50°C for 3 min, then 240°C at 40°C/min, then 255°C for 5 min at 1.5°C/min, then 330°C for 18 min at 20°C/min. Identification and quantification were carried out by electronic impact using an ion trap maintained at 210°C in MSMS mode. The transfer line was maintained at 300°C. Data control and processing was carried out using Thermo Scientific™ Xcalibur™ software.</w:t>
      </w:r>
    </w:p>
    <w:p w14:paraId="104CD4E1" w14:textId="60982EC5" w:rsidR="003C0C5A" w:rsidRPr="005F30E0" w:rsidRDefault="00AE6254" w:rsidP="00A7365A">
      <w:pPr>
        <w:pStyle w:val="ListParagraph"/>
        <w:numPr>
          <w:ilvl w:val="0"/>
          <w:numId w:val="1"/>
        </w:numPr>
        <w:spacing w:line="240" w:lineRule="auto"/>
        <w:jc w:val="both"/>
        <w:rPr>
          <w:rFonts w:ascii="Times New Roman" w:hAnsi="Times New Roman" w:cs="Times New Roman"/>
          <w:b/>
          <w:i/>
          <w:sz w:val="24"/>
          <w:szCs w:val="24"/>
        </w:rPr>
      </w:pPr>
      <w:r w:rsidRPr="00AE6254">
        <w:rPr>
          <w:rFonts w:ascii="Times New Roman" w:hAnsi="Times New Roman" w:cs="Times New Roman"/>
          <w:b/>
          <w:i/>
          <w:sz w:val="24"/>
          <w:szCs w:val="24"/>
        </w:rPr>
        <w:t>Results and discussions</w:t>
      </w:r>
    </w:p>
    <w:p w14:paraId="3010B5AC" w14:textId="7B240A33" w:rsidR="003313B0" w:rsidRPr="003313B0" w:rsidRDefault="003313B0" w:rsidP="00A7365A">
      <w:pPr>
        <w:spacing w:line="240" w:lineRule="auto"/>
        <w:jc w:val="both"/>
        <w:rPr>
          <w:rFonts w:ascii="Times New Roman" w:hAnsi="Times New Roman" w:cs="Times New Roman"/>
          <w:sz w:val="24"/>
          <w:szCs w:val="24"/>
        </w:rPr>
      </w:pPr>
      <w:r w:rsidRPr="003313B0">
        <w:rPr>
          <w:rFonts w:ascii="Times New Roman" w:hAnsi="Times New Roman" w:cs="Times New Roman"/>
          <w:sz w:val="24"/>
          <w:szCs w:val="24"/>
        </w:rPr>
        <w:t xml:space="preserve">Soil pH values ​​vary between 6.6 and 7.2. They are generally lower in September and higher in November (Table </w:t>
      </w:r>
      <w:r w:rsidR="00710BF8">
        <w:rPr>
          <w:rFonts w:ascii="Times New Roman" w:hAnsi="Times New Roman" w:cs="Times New Roman"/>
          <w:sz w:val="24"/>
          <w:szCs w:val="24"/>
        </w:rPr>
        <w:t>3</w:t>
      </w:r>
      <w:r w:rsidRPr="003313B0">
        <w:rPr>
          <w:rFonts w:ascii="Times New Roman" w:hAnsi="Times New Roman" w:cs="Times New Roman"/>
          <w:sz w:val="24"/>
          <w:szCs w:val="24"/>
        </w:rPr>
        <w:t>). All the data recorded indicates that the soil studied, made up of phosphate sludge, has a slightly acidic to neutral pH. This is due to the abundance of minerals such as carbonates</w:t>
      </w:r>
      <w:r>
        <w:rPr>
          <w:rFonts w:ascii="Times New Roman" w:hAnsi="Times New Roman" w:cs="Times New Roman"/>
          <w:sz w:val="24"/>
          <w:szCs w:val="24"/>
        </w:rPr>
        <w:t xml:space="preserve"> </w:t>
      </w:r>
      <w:r w:rsidR="0030661B">
        <w:rPr>
          <w:rFonts w:ascii="Times New Roman" w:hAnsi="Times New Roman" w:cs="Times New Roman"/>
          <w:sz w:val="24"/>
          <w:szCs w:val="24"/>
        </w:rPr>
        <w:t>[13</w:t>
      </w:r>
      <w:r w:rsidRPr="003313B0">
        <w:rPr>
          <w:rFonts w:ascii="Times New Roman" w:hAnsi="Times New Roman" w:cs="Times New Roman"/>
          <w:sz w:val="24"/>
          <w:szCs w:val="24"/>
        </w:rPr>
        <w:t>]. The electrical conductivity (EC) varies between 690 and 2020 µS/cm. Soil salinity can therefore be co</w:t>
      </w:r>
      <w:r w:rsidR="0030661B">
        <w:rPr>
          <w:rFonts w:ascii="Times New Roman" w:hAnsi="Times New Roman" w:cs="Times New Roman"/>
          <w:sz w:val="24"/>
          <w:szCs w:val="24"/>
        </w:rPr>
        <w:t>nsidered salty to very salty [14</w:t>
      </w:r>
      <w:r w:rsidRPr="003313B0">
        <w:rPr>
          <w:rFonts w:ascii="Times New Roman" w:hAnsi="Times New Roman" w:cs="Times New Roman"/>
          <w:sz w:val="24"/>
          <w:szCs w:val="24"/>
        </w:rPr>
        <w:t>]. The three herbicides</w:t>
      </w:r>
      <w:r>
        <w:rPr>
          <w:rFonts w:ascii="Times New Roman" w:hAnsi="Times New Roman" w:cs="Times New Roman"/>
          <w:sz w:val="24"/>
          <w:szCs w:val="24"/>
        </w:rPr>
        <w:t xml:space="preserve"> studied were found in all basins</w:t>
      </w:r>
      <w:r w:rsidRPr="003313B0">
        <w:rPr>
          <w:rFonts w:ascii="Times New Roman" w:hAnsi="Times New Roman" w:cs="Times New Roman"/>
          <w:sz w:val="24"/>
          <w:szCs w:val="24"/>
        </w:rPr>
        <w:t xml:space="preserve"> sampled at residue levels ranging from 0.251 to 84.013 µg.kg</w:t>
      </w:r>
      <w:r w:rsidRPr="003313B0">
        <w:rPr>
          <w:rFonts w:ascii="Times New Roman" w:hAnsi="Times New Roman" w:cs="Times New Roman"/>
          <w:sz w:val="24"/>
          <w:szCs w:val="24"/>
          <w:vertAlign w:val="superscript"/>
        </w:rPr>
        <w:t>-1</w:t>
      </w:r>
      <w:r w:rsidRPr="003313B0">
        <w:rPr>
          <w:rFonts w:ascii="Times New Roman" w:hAnsi="Times New Roman" w:cs="Times New Roman"/>
          <w:sz w:val="24"/>
          <w:szCs w:val="24"/>
        </w:rPr>
        <w:t>.</w:t>
      </w:r>
    </w:p>
    <w:p w14:paraId="0BF328F1" w14:textId="0371EE99" w:rsidR="00AD4230" w:rsidRDefault="003313B0" w:rsidP="005A05E0">
      <w:pPr>
        <w:spacing w:line="240" w:lineRule="auto"/>
        <w:jc w:val="both"/>
        <w:rPr>
          <w:rFonts w:ascii="Times New Roman" w:hAnsi="Times New Roman" w:cs="Times New Roman"/>
          <w:sz w:val="24"/>
          <w:szCs w:val="24"/>
        </w:rPr>
      </w:pPr>
      <w:r w:rsidRPr="003313B0">
        <w:rPr>
          <w:rFonts w:ascii="Times New Roman" w:hAnsi="Times New Roman" w:cs="Times New Roman"/>
          <w:sz w:val="24"/>
          <w:szCs w:val="24"/>
        </w:rPr>
        <w:t>Researchers have shown that the type of soil studied (phosphate sludge) is very rich i</w:t>
      </w:r>
      <w:r w:rsidR="0030661B">
        <w:rPr>
          <w:rFonts w:ascii="Times New Roman" w:hAnsi="Times New Roman" w:cs="Times New Roman"/>
          <w:sz w:val="24"/>
          <w:szCs w:val="24"/>
        </w:rPr>
        <w:t>n clay minerals [15</w:t>
      </w:r>
      <w:r w:rsidRPr="003313B0">
        <w:rPr>
          <w:rFonts w:ascii="Times New Roman" w:hAnsi="Times New Roman" w:cs="Times New Roman"/>
          <w:sz w:val="24"/>
          <w:szCs w:val="24"/>
        </w:rPr>
        <w:t>]. Furthermore, according to some studies, triazines are stron</w:t>
      </w:r>
      <w:r w:rsidR="0030661B">
        <w:rPr>
          <w:rFonts w:ascii="Times New Roman" w:hAnsi="Times New Roman" w:cs="Times New Roman"/>
          <w:sz w:val="24"/>
          <w:szCs w:val="24"/>
        </w:rPr>
        <w:t>gly adsorbed by clay colloids[16</w:t>
      </w:r>
      <w:r w:rsidRPr="003313B0">
        <w:rPr>
          <w:rFonts w:ascii="Times New Roman" w:hAnsi="Times New Roman" w:cs="Times New Roman"/>
          <w:sz w:val="24"/>
          <w:szCs w:val="24"/>
        </w:rPr>
        <w:t>]. This could explain why these three active substances are sometimes present in large quantities.</w:t>
      </w:r>
    </w:p>
    <w:p w14:paraId="6E7A51DA" w14:textId="44DB26B8" w:rsidR="003313B0" w:rsidRDefault="003313B0" w:rsidP="00E700D8">
      <w:pPr>
        <w:spacing w:line="240" w:lineRule="auto"/>
        <w:rPr>
          <w:rFonts w:ascii="Times New Roman" w:hAnsi="Times New Roman" w:cs="Times New Roman"/>
          <w:sz w:val="24"/>
          <w:szCs w:val="24"/>
        </w:rPr>
      </w:pPr>
    </w:p>
    <w:p w14:paraId="26693118" w14:textId="2C8D2DCD" w:rsidR="005A05E0" w:rsidRDefault="005A05E0" w:rsidP="00E700D8">
      <w:pPr>
        <w:spacing w:line="240" w:lineRule="auto"/>
        <w:rPr>
          <w:rFonts w:ascii="Times New Roman" w:hAnsi="Times New Roman" w:cs="Times New Roman"/>
          <w:sz w:val="24"/>
          <w:szCs w:val="24"/>
        </w:rPr>
      </w:pPr>
    </w:p>
    <w:p w14:paraId="3F22E146" w14:textId="3828FF11" w:rsidR="005A05E0" w:rsidRDefault="005A05E0" w:rsidP="00E700D8">
      <w:pPr>
        <w:spacing w:line="240" w:lineRule="auto"/>
        <w:rPr>
          <w:rFonts w:ascii="Times New Roman" w:hAnsi="Times New Roman" w:cs="Times New Roman"/>
          <w:sz w:val="24"/>
          <w:szCs w:val="24"/>
        </w:rPr>
      </w:pPr>
    </w:p>
    <w:p w14:paraId="17CDF157" w14:textId="52B058FE" w:rsidR="005A05E0" w:rsidRDefault="005A05E0" w:rsidP="00E700D8">
      <w:pPr>
        <w:spacing w:line="240" w:lineRule="auto"/>
        <w:rPr>
          <w:rFonts w:ascii="Times New Roman" w:hAnsi="Times New Roman" w:cs="Times New Roman"/>
          <w:sz w:val="24"/>
          <w:szCs w:val="24"/>
        </w:rPr>
      </w:pPr>
    </w:p>
    <w:p w14:paraId="5252DF90" w14:textId="5057889A" w:rsidR="005A05E0" w:rsidRDefault="005A05E0" w:rsidP="00E700D8">
      <w:pPr>
        <w:spacing w:line="240" w:lineRule="auto"/>
        <w:rPr>
          <w:rFonts w:ascii="Times New Roman" w:hAnsi="Times New Roman" w:cs="Times New Roman"/>
          <w:sz w:val="24"/>
          <w:szCs w:val="24"/>
        </w:rPr>
      </w:pPr>
    </w:p>
    <w:p w14:paraId="49206E5C" w14:textId="7C36A745" w:rsidR="005A05E0" w:rsidRDefault="005A05E0" w:rsidP="00E700D8">
      <w:pPr>
        <w:spacing w:line="240" w:lineRule="auto"/>
        <w:rPr>
          <w:rFonts w:ascii="Times New Roman" w:hAnsi="Times New Roman" w:cs="Times New Roman"/>
          <w:sz w:val="24"/>
          <w:szCs w:val="24"/>
        </w:rPr>
      </w:pPr>
    </w:p>
    <w:p w14:paraId="57BBF8D4" w14:textId="6145B31B" w:rsidR="005A05E0" w:rsidRDefault="005A05E0" w:rsidP="00E700D8">
      <w:pPr>
        <w:spacing w:line="240" w:lineRule="auto"/>
        <w:rPr>
          <w:rFonts w:ascii="Times New Roman" w:hAnsi="Times New Roman" w:cs="Times New Roman"/>
          <w:sz w:val="24"/>
          <w:szCs w:val="24"/>
        </w:rPr>
      </w:pPr>
    </w:p>
    <w:p w14:paraId="49F507B2" w14:textId="58351F4A" w:rsidR="005A05E0" w:rsidRDefault="005A05E0" w:rsidP="00E700D8">
      <w:pPr>
        <w:spacing w:line="240" w:lineRule="auto"/>
        <w:rPr>
          <w:rFonts w:ascii="Times New Roman" w:hAnsi="Times New Roman" w:cs="Times New Roman"/>
          <w:sz w:val="24"/>
          <w:szCs w:val="24"/>
        </w:rPr>
      </w:pPr>
    </w:p>
    <w:p w14:paraId="08FE3BBE" w14:textId="1C46A40B" w:rsidR="005A05E0" w:rsidRDefault="005A05E0" w:rsidP="00E700D8">
      <w:pPr>
        <w:spacing w:line="240" w:lineRule="auto"/>
        <w:rPr>
          <w:rFonts w:ascii="Times New Roman" w:hAnsi="Times New Roman" w:cs="Times New Roman"/>
          <w:sz w:val="24"/>
          <w:szCs w:val="24"/>
        </w:rPr>
      </w:pPr>
    </w:p>
    <w:p w14:paraId="5D10006D" w14:textId="49ED4BE9" w:rsidR="005A05E0" w:rsidRDefault="005A05E0" w:rsidP="00E700D8">
      <w:pPr>
        <w:spacing w:line="240" w:lineRule="auto"/>
        <w:rPr>
          <w:rFonts w:ascii="Times New Roman" w:hAnsi="Times New Roman" w:cs="Times New Roman"/>
          <w:sz w:val="24"/>
          <w:szCs w:val="24"/>
        </w:rPr>
      </w:pPr>
    </w:p>
    <w:p w14:paraId="2F4D5060" w14:textId="77777777" w:rsidR="005A05E0" w:rsidRDefault="005A05E0" w:rsidP="00E700D8">
      <w:pPr>
        <w:spacing w:line="240" w:lineRule="auto"/>
        <w:rPr>
          <w:rFonts w:ascii="Times New Roman" w:hAnsi="Times New Roman" w:cs="Times New Roman"/>
          <w:sz w:val="24"/>
          <w:szCs w:val="24"/>
        </w:rPr>
      </w:pPr>
    </w:p>
    <w:p w14:paraId="092959DB" w14:textId="77777777" w:rsidR="00BA3F5C" w:rsidRDefault="00BA3F5C" w:rsidP="00E700D8">
      <w:pPr>
        <w:spacing w:line="240" w:lineRule="auto"/>
        <w:rPr>
          <w:rFonts w:ascii="Times New Roman" w:hAnsi="Times New Roman" w:cs="Times New Roman"/>
          <w:sz w:val="24"/>
          <w:szCs w:val="24"/>
        </w:rPr>
      </w:pPr>
    </w:p>
    <w:p w14:paraId="26C0A88B" w14:textId="41EACE7A" w:rsidR="00893710" w:rsidRDefault="00893710" w:rsidP="00A7365A">
      <w:pPr>
        <w:spacing w:line="240" w:lineRule="auto"/>
        <w:jc w:val="center"/>
        <w:rPr>
          <w:rFonts w:ascii="Times New Roman" w:hAnsi="Times New Roman" w:cs="Times New Roman"/>
          <w:sz w:val="24"/>
          <w:szCs w:val="24"/>
        </w:rPr>
      </w:pPr>
      <w:r w:rsidRPr="00893710">
        <w:rPr>
          <w:rFonts w:ascii="Times New Roman" w:hAnsi="Times New Roman" w:cs="Times New Roman"/>
          <w:b/>
          <w:sz w:val="24"/>
          <w:szCs w:val="24"/>
        </w:rPr>
        <w:lastRenderedPageBreak/>
        <w:t xml:space="preserve">Table </w:t>
      </w:r>
      <w:r w:rsidR="00710BF8">
        <w:rPr>
          <w:rFonts w:ascii="Times New Roman" w:hAnsi="Times New Roman" w:cs="Times New Roman"/>
          <w:b/>
          <w:sz w:val="24"/>
          <w:szCs w:val="24"/>
        </w:rPr>
        <w:t>3</w:t>
      </w:r>
      <w:r w:rsidR="00F62302" w:rsidRPr="00893710">
        <w:rPr>
          <w:rFonts w:ascii="Times New Roman" w:hAnsi="Times New Roman" w:cs="Times New Roman"/>
          <w:sz w:val="24"/>
          <w:szCs w:val="24"/>
        </w:rPr>
        <w:t xml:space="preserve"> :</w:t>
      </w:r>
      <w:r w:rsidRPr="00893710">
        <w:rPr>
          <w:rFonts w:ascii="Times New Roman" w:hAnsi="Times New Roman" w:cs="Times New Roman"/>
          <w:sz w:val="24"/>
          <w:szCs w:val="24"/>
        </w:rPr>
        <w:t xml:space="preserve"> Physico-chemical parameters and residue contents of triazines studied</w:t>
      </w:r>
      <w:r w:rsidR="004D48C2">
        <w:rPr>
          <w:rFonts w:ascii="Times New Roman" w:hAnsi="Times New Roman" w:cs="Times New Roman"/>
          <w:sz w:val="24"/>
          <w:szCs w:val="24"/>
        </w:rPr>
        <w:t>.</w:t>
      </w:r>
    </w:p>
    <w:p w14:paraId="747401ED" w14:textId="77777777" w:rsidR="00893710" w:rsidRDefault="00893710" w:rsidP="00A7365A">
      <w:pPr>
        <w:spacing w:line="240" w:lineRule="auto"/>
        <w:jc w:val="cente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086"/>
        <w:gridCol w:w="1243"/>
        <w:gridCol w:w="1080"/>
        <w:gridCol w:w="222"/>
        <w:gridCol w:w="1116"/>
        <w:gridCol w:w="222"/>
        <w:gridCol w:w="1283"/>
        <w:gridCol w:w="1043"/>
        <w:gridCol w:w="1230"/>
        <w:gridCol w:w="1256"/>
      </w:tblGrid>
      <w:tr w:rsidR="00A907D1" w:rsidRPr="00C56015" w14:paraId="7C7F96DE" w14:textId="77777777" w:rsidTr="00710BF8">
        <w:trPr>
          <w:trHeight w:val="645"/>
        </w:trPr>
        <w:tc>
          <w:tcPr>
            <w:tcW w:w="620" w:type="pct"/>
            <w:vMerge w:val="restart"/>
            <w:tcBorders>
              <w:top w:val="single" w:sz="12" w:space="0" w:color="000000"/>
              <w:left w:val="nil"/>
              <w:bottom w:val="nil"/>
              <w:right w:val="nil"/>
            </w:tcBorders>
            <w:hideMark/>
          </w:tcPr>
          <w:p w14:paraId="4D2AA039"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Basins</w:t>
            </w:r>
          </w:p>
        </w:tc>
        <w:tc>
          <w:tcPr>
            <w:tcW w:w="541" w:type="pct"/>
            <w:vMerge w:val="restart"/>
            <w:tcBorders>
              <w:top w:val="single" w:sz="12" w:space="0" w:color="000000"/>
              <w:left w:val="nil"/>
              <w:bottom w:val="nil"/>
              <w:right w:val="nil"/>
            </w:tcBorders>
            <w:noWrap/>
            <w:hideMark/>
          </w:tcPr>
          <w:p w14:paraId="77517CAD" w14:textId="77777777"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Month</w:t>
            </w:r>
          </w:p>
        </w:tc>
        <w:tc>
          <w:tcPr>
            <w:tcW w:w="617" w:type="pct"/>
            <w:vMerge w:val="restart"/>
            <w:tcBorders>
              <w:top w:val="single" w:sz="12" w:space="0" w:color="000000"/>
              <w:left w:val="nil"/>
              <w:bottom w:val="single" w:sz="12" w:space="0" w:color="000000"/>
              <w:right w:val="nil"/>
            </w:tcBorders>
            <w:hideMark/>
          </w:tcPr>
          <w:p w14:paraId="0C28EE1D" w14:textId="77777777"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pH</w:t>
            </w:r>
          </w:p>
        </w:tc>
        <w:tc>
          <w:tcPr>
            <w:tcW w:w="103" w:type="pct"/>
            <w:tcBorders>
              <w:top w:val="single" w:sz="12" w:space="0" w:color="000000"/>
              <w:left w:val="nil"/>
              <w:bottom w:val="single" w:sz="12" w:space="0" w:color="000000"/>
              <w:right w:val="nil"/>
            </w:tcBorders>
          </w:tcPr>
          <w:p w14:paraId="16728AD7"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single" w:sz="12" w:space="0" w:color="000000"/>
              <w:left w:val="nil"/>
              <w:bottom w:val="single" w:sz="12" w:space="0" w:color="000000"/>
              <w:right w:val="nil"/>
            </w:tcBorders>
            <w:hideMark/>
          </w:tcPr>
          <w:p w14:paraId="554DF4C2" w14:textId="77777777" w:rsidR="00A907D1"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EC</w:t>
            </w:r>
          </w:p>
          <w:p w14:paraId="2AB3A320" w14:textId="77777777" w:rsidR="00A907D1" w:rsidRDefault="00A907D1" w:rsidP="00A7365A">
            <w:pPr>
              <w:jc w:val="center"/>
              <w:rPr>
                <w:rFonts w:ascii="Times New Roman" w:hAnsi="Times New Roman" w:cs="Times New Roman"/>
                <w:color w:val="000000" w:themeColor="text1"/>
                <w:sz w:val="24"/>
                <w:szCs w:val="24"/>
              </w:rPr>
            </w:pPr>
          </w:p>
          <w:p w14:paraId="19438C5B" w14:textId="38E33614" w:rsidR="00A907D1" w:rsidRPr="00596F2D" w:rsidRDefault="00A907D1" w:rsidP="00A7365A">
            <w:pPr>
              <w:rPr>
                <w:rFonts w:ascii="Times New Roman" w:hAnsi="Times New Roman" w:cs="Times New Roman"/>
                <w:color w:val="000000" w:themeColor="text1"/>
                <w:sz w:val="24"/>
                <w:szCs w:val="24"/>
              </w:rPr>
            </w:pPr>
          </w:p>
        </w:tc>
        <w:tc>
          <w:tcPr>
            <w:tcW w:w="103" w:type="pct"/>
            <w:tcBorders>
              <w:top w:val="single" w:sz="12" w:space="0" w:color="000000"/>
              <w:left w:val="nil"/>
              <w:bottom w:val="nil"/>
              <w:right w:val="nil"/>
            </w:tcBorders>
          </w:tcPr>
          <w:p w14:paraId="7DCEAE38"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single" w:sz="12" w:space="0" w:color="000000"/>
              <w:left w:val="nil"/>
              <w:bottom w:val="single" w:sz="12" w:space="0" w:color="000000"/>
              <w:right w:val="nil"/>
            </w:tcBorders>
            <w:hideMark/>
          </w:tcPr>
          <w:p w14:paraId="4F6C2CEA" w14:textId="3D6BB979" w:rsidR="00A907D1" w:rsidRPr="00596F2D" w:rsidRDefault="00893710"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Terbutryn</w:t>
            </w:r>
            <w:r w:rsidR="006E7DF7">
              <w:rPr>
                <w:rFonts w:ascii="Times New Roman" w:hAnsi="Times New Roman" w:cs="Times New Roman"/>
                <w:color w:val="000000" w:themeColor="text1"/>
                <w:sz w:val="24"/>
                <w:szCs w:val="24"/>
              </w:rPr>
              <w:t>e</w:t>
            </w:r>
          </w:p>
        </w:tc>
        <w:tc>
          <w:tcPr>
            <w:tcW w:w="494" w:type="pct"/>
            <w:tcBorders>
              <w:top w:val="single" w:sz="12" w:space="0" w:color="000000"/>
              <w:left w:val="nil"/>
              <w:bottom w:val="single" w:sz="12" w:space="0" w:color="000000"/>
              <w:right w:val="nil"/>
            </w:tcBorders>
            <w:hideMark/>
          </w:tcPr>
          <w:p w14:paraId="0403ED25" w14:textId="77777777"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Atrazine</w:t>
            </w:r>
          </w:p>
        </w:tc>
        <w:tc>
          <w:tcPr>
            <w:tcW w:w="679" w:type="pct"/>
            <w:tcBorders>
              <w:top w:val="single" w:sz="12" w:space="0" w:color="000000"/>
              <w:left w:val="nil"/>
              <w:bottom w:val="single" w:sz="12" w:space="0" w:color="000000"/>
              <w:right w:val="nil"/>
            </w:tcBorders>
            <w:hideMark/>
          </w:tcPr>
          <w:p w14:paraId="25AD59A4" w14:textId="77777777"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Cybutryne</w:t>
            </w:r>
          </w:p>
        </w:tc>
        <w:tc>
          <w:tcPr>
            <w:tcW w:w="679" w:type="pct"/>
            <w:tcBorders>
              <w:top w:val="single" w:sz="12" w:space="0" w:color="000000"/>
              <w:left w:val="nil"/>
              <w:bottom w:val="single" w:sz="12" w:space="0" w:color="000000"/>
              <w:right w:val="nil"/>
            </w:tcBorders>
            <w:hideMark/>
          </w:tcPr>
          <w:p w14:paraId="0654C113" w14:textId="77777777"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Σ Herbicides</w:t>
            </w:r>
          </w:p>
        </w:tc>
      </w:tr>
      <w:tr w:rsidR="00A907D1" w:rsidRPr="00C56015" w14:paraId="1EECB3CF" w14:textId="77777777" w:rsidTr="00710BF8">
        <w:trPr>
          <w:trHeight w:val="375"/>
        </w:trPr>
        <w:tc>
          <w:tcPr>
            <w:tcW w:w="620" w:type="pct"/>
            <w:vMerge/>
            <w:tcBorders>
              <w:top w:val="nil"/>
              <w:left w:val="nil"/>
              <w:bottom w:val="single" w:sz="12" w:space="0" w:color="000000"/>
              <w:right w:val="nil"/>
            </w:tcBorders>
            <w:hideMark/>
          </w:tcPr>
          <w:p w14:paraId="45CBBFDB" w14:textId="77777777" w:rsidR="00A907D1" w:rsidRPr="00596F2D" w:rsidRDefault="00A907D1" w:rsidP="00A7365A">
            <w:pPr>
              <w:rPr>
                <w:rFonts w:ascii="Times New Roman" w:hAnsi="Times New Roman" w:cs="Times New Roman"/>
                <w:color w:val="000000" w:themeColor="text1"/>
                <w:sz w:val="24"/>
                <w:szCs w:val="24"/>
              </w:rPr>
            </w:pPr>
          </w:p>
        </w:tc>
        <w:tc>
          <w:tcPr>
            <w:tcW w:w="541" w:type="pct"/>
            <w:vMerge/>
            <w:tcBorders>
              <w:top w:val="nil"/>
              <w:left w:val="nil"/>
              <w:bottom w:val="single" w:sz="12" w:space="0" w:color="000000"/>
              <w:right w:val="nil"/>
            </w:tcBorders>
            <w:hideMark/>
          </w:tcPr>
          <w:p w14:paraId="348BFC1E" w14:textId="77777777" w:rsidR="00A907D1" w:rsidRPr="00596F2D" w:rsidRDefault="00A907D1" w:rsidP="00A7365A">
            <w:pPr>
              <w:jc w:val="center"/>
              <w:rPr>
                <w:rFonts w:ascii="Times New Roman" w:hAnsi="Times New Roman" w:cs="Times New Roman"/>
                <w:color w:val="000000" w:themeColor="text1"/>
                <w:sz w:val="24"/>
                <w:szCs w:val="24"/>
              </w:rPr>
            </w:pPr>
          </w:p>
        </w:tc>
        <w:tc>
          <w:tcPr>
            <w:tcW w:w="617" w:type="pct"/>
            <w:vMerge/>
            <w:tcBorders>
              <w:top w:val="single" w:sz="12" w:space="0" w:color="000000"/>
              <w:left w:val="nil"/>
              <w:bottom w:val="single" w:sz="12" w:space="0" w:color="000000"/>
              <w:right w:val="nil"/>
            </w:tcBorders>
            <w:hideMark/>
          </w:tcPr>
          <w:p w14:paraId="7953D047" w14:textId="77777777" w:rsidR="00A907D1" w:rsidRPr="00596F2D" w:rsidRDefault="00A907D1" w:rsidP="00A7365A">
            <w:pPr>
              <w:jc w:val="center"/>
              <w:rPr>
                <w:rFonts w:ascii="Times New Roman" w:hAnsi="Times New Roman" w:cs="Times New Roman"/>
                <w:color w:val="000000" w:themeColor="text1"/>
                <w:sz w:val="24"/>
                <w:szCs w:val="24"/>
              </w:rPr>
            </w:pPr>
          </w:p>
        </w:tc>
        <w:tc>
          <w:tcPr>
            <w:tcW w:w="103" w:type="pct"/>
            <w:tcBorders>
              <w:top w:val="single" w:sz="12" w:space="0" w:color="000000"/>
              <w:left w:val="nil"/>
              <w:bottom w:val="single" w:sz="12" w:space="0" w:color="000000"/>
              <w:right w:val="nil"/>
            </w:tcBorders>
          </w:tcPr>
          <w:p w14:paraId="4F4B8F14"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single" w:sz="12" w:space="0" w:color="000000"/>
              <w:left w:val="nil"/>
              <w:bottom w:val="single" w:sz="12" w:space="0" w:color="000000"/>
              <w:right w:val="nil"/>
            </w:tcBorders>
            <w:hideMark/>
          </w:tcPr>
          <w:p w14:paraId="1F6A3BA4" w14:textId="7F9E5E9A" w:rsidR="00A907D1" w:rsidRPr="00596F2D" w:rsidRDefault="00A907D1"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Calibri" w:hAnsi="Calibri" w:cs="Calibri"/>
                <w:color w:val="000000" w:themeColor="text1"/>
                <w:sz w:val="24"/>
                <w:szCs w:val="24"/>
              </w:rPr>
              <w:t>µ</w:t>
            </w:r>
            <w:r>
              <w:rPr>
                <w:rFonts w:ascii="Times New Roman" w:hAnsi="Times New Roman" w:cs="Times New Roman"/>
                <w:color w:val="000000" w:themeColor="text1"/>
                <w:sz w:val="24"/>
                <w:szCs w:val="24"/>
              </w:rPr>
              <w:t>s/Cm</w:t>
            </w:r>
          </w:p>
        </w:tc>
        <w:tc>
          <w:tcPr>
            <w:tcW w:w="103" w:type="pct"/>
            <w:tcBorders>
              <w:top w:val="nil"/>
              <w:left w:val="nil"/>
              <w:bottom w:val="single" w:sz="12" w:space="0" w:color="000000"/>
              <w:right w:val="nil"/>
            </w:tcBorders>
          </w:tcPr>
          <w:p w14:paraId="4B8200F4" w14:textId="77777777" w:rsidR="00A907D1" w:rsidRPr="00596F2D" w:rsidRDefault="00A907D1" w:rsidP="00A7365A">
            <w:pPr>
              <w:jc w:val="center"/>
              <w:rPr>
                <w:rFonts w:ascii="Times New Roman" w:hAnsi="Times New Roman" w:cs="Times New Roman"/>
                <w:color w:val="000000" w:themeColor="text1"/>
                <w:sz w:val="24"/>
                <w:szCs w:val="24"/>
                <w:lang w:val="en-GB"/>
              </w:rPr>
            </w:pPr>
          </w:p>
        </w:tc>
        <w:tc>
          <w:tcPr>
            <w:tcW w:w="2428" w:type="pct"/>
            <w:gridSpan w:val="4"/>
            <w:tcBorders>
              <w:top w:val="single" w:sz="12" w:space="0" w:color="000000"/>
              <w:left w:val="nil"/>
              <w:bottom w:val="nil"/>
              <w:right w:val="nil"/>
            </w:tcBorders>
            <w:hideMark/>
          </w:tcPr>
          <w:p w14:paraId="497EC231" w14:textId="7CFE86B0"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lang w:val="en-GB"/>
              </w:rPr>
              <w:t>Content in µg.kg</w:t>
            </w:r>
            <w:r w:rsidRPr="00596F2D">
              <w:rPr>
                <w:rFonts w:ascii="Times New Roman" w:hAnsi="Times New Roman" w:cs="Times New Roman"/>
                <w:color w:val="000000" w:themeColor="text1"/>
                <w:sz w:val="24"/>
                <w:szCs w:val="24"/>
                <w:vertAlign w:val="superscript"/>
                <w:lang w:val="en-GB"/>
              </w:rPr>
              <w:t>-1</w:t>
            </w:r>
            <w:r w:rsidRPr="00596F2D">
              <w:rPr>
                <w:rFonts w:ascii="Times New Roman" w:hAnsi="Times New Roman" w:cs="Times New Roman"/>
                <w:color w:val="000000" w:themeColor="text1"/>
                <w:sz w:val="24"/>
                <w:szCs w:val="24"/>
                <w:lang w:val="en-GB"/>
              </w:rPr>
              <w:t xml:space="preserve"> of dry weight</w:t>
            </w:r>
          </w:p>
        </w:tc>
      </w:tr>
      <w:tr w:rsidR="00A907D1" w:rsidRPr="00C56015" w14:paraId="276313E2" w14:textId="77777777" w:rsidTr="00710BF8">
        <w:trPr>
          <w:trHeight w:val="315"/>
        </w:trPr>
        <w:tc>
          <w:tcPr>
            <w:tcW w:w="620" w:type="pct"/>
            <w:vMerge w:val="restart"/>
            <w:tcBorders>
              <w:top w:val="single" w:sz="12" w:space="0" w:color="000000"/>
              <w:left w:val="nil"/>
              <w:bottom w:val="nil"/>
              <w:right w:val="nil"/>
            </w:tcBorders>
            <w:hideMark/>
          </w:tcPr>
          <w:p w14:paraId="79BAD626"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B9</w:t>
            </w:r>
          </w:p>
        </w:tc>
        <w:tc>
          <w:tcPr>
            <w:tcW w:w="541" w:type="pct"/>
            <w:tcBorders>
              <w:top w:val="single" w:sz="12" w:space="0" w:color="000000"/>
              <w:left w:val="nil"/>
              <w:bottom w:val="nil"/>
              <w:right w:val="nil"/>
            </w:tcBorders>
            <w:noWrap/>
            <w:hideMark/>
          </w:tcPr>
          <w:p w14:paraId="0FB67ABA"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September</w:t>
            </w:r>
          </w:p>
        </w:tc>
        <w:tc>
          <w:tcPr>
            <w:tcW w:w="617" w:type="pct"/>
            <w:tcBorders>
              <w:top w:val="single" w:sz="12" w:space="0" w:color="000000"/>
              <w:left w:val="nil"/>
              <w:bottom w:val="nil"/>
              <w:right w:val="nil"/>
            </w:tcBorders>
            <w:hideMark/>
          </w:tcPr>
          <w:p w14:paraId="668EDC0D" w14:textId="7D4D9F2F"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6</w:t>
            </w:r>
          </w:p>
        </w:tc>
        <w:tc>
          <w:tcPr>
            <w:tcW w:w="103" w:type="pct"/>
            <w:tcBorders>
              <w:top w:val="single" w:sz="12" w:space="0" w:color="000000"/>
              <w:left w:val="nil"/>
              <w:bottom w:val="nil"/>
              <w:right w:val="nil"/>
            </w:tcBorders>
          </w:tcPr>
          <w:p w14:paraId="07F18256"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single" w:sz="12" w:space="0" w:color="000000"/>
              <w:left w:val="nil"/>
              <w:bottom w:val="nil"/>
              <w:right w:val="nil"/>
            </w:tcBorders>
            <w:hideMark/>
          </w:tcPr>
          <w:p w14:paraId="119CDE8E" w14:textId="20BCD985"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690</w:t>
            </w:r>
          </w:p>
        </w:tc>
        <w:tc>
          <w:tcPr>
            <w:tcW w:w="103" w:type="pct"/>
            <w:tcBorders>
              <w:top w:val="single" w:sz="12" w:space="0" w:color="000000"/>
              <w:left w:val="nil"/>
              <w:bottom w:val="nil"/>
              <w:right w:val="nil"/>
            </w:tcBorders>
          </w:tcPr>
          <w:p w14:paraId="13D84E42"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single" w:sz="12" w:space="0" w:color="000000"/>
              <w:left w:val="nil"/>
              <w:bottom w:val="nil"/>
              <w:right w:val="nil"/>
            </w:tcBorders>
            <w:hideMark/>
          </w:tcPr>
          <w:p w14:paraId="4A129C6A" w14:textId="713F2B8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907D1" w:rsidRPr="00596F2D">
              <w:rPr>
                <w:rFonts w:ascii="Times New Roman" w:hAnsi="Times New Roman" w:cs="Times New Roman"/>
                <w:color w:val="000000" w:themeColor="text1"/>
                <w:sz w:val="24"/>
                <w:szCs w:val="24"/>
              </w:rPr>
              <w:t>3505</w:t>
            </w:r>
          </w:p>
        </w:tc>
        <w:tc>
          <w:tcPr>
            <w:tcW w:w="494" w:type="pct"/>
            <w:tcBorders>
              <w:top w:val="single" w:sz="12" w:space="0" w:color="000000"/>
              <w:left w:val="nil"/>
              <w:bottom w:val="nil"/>
              <w:right w:val="nil"/>
            </w:tcBorders>
            <w:hideMark/>
          </w:tcPr>
          <w:p w14:paraId="47077C81" w14:textId="4214DCB8" w:rsidR="00A907D1" w:rsidRPr="00596F2D"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0.</w:t>
            </w:r>
            <w:r w:rsidR="00A907D1" w:rsidRPr="00231E9E">
              <w:rPr>
                <w:rFonts w:ascii="Times New Roman" w:hAnsi="Times New Roman" w:cs="Times New Roman"/>
                <w:sz w:val="24"/>
                <w:szCs w:val="24"/>
              </w:rPr>
              <w:t>27</w:t>
            </w:r>
            <w:r w:rsidR="00231E9E" w:rsidRPr="00231E9E">
              <w:rPr>
                <w:rFonts w:ascii="Times New Roman" w:hAnsi="Times New Roman" w:cs="Times New Roman"/>
                <w:sz w:val="24"/>
                <w:szCs w:val="24"/>
              </w:rPr>
              <w:t>0</w:t>
            </w:r>
          </w:p>
        </w:tc>
        <w:tc>
          <w:tcPr>
            <w:tcW w:w="679" w:type="pct"/>
            <w:tcBorders>
              <w:top w:val="single" w:sz="12" w:space="0" w:color="000000"/>
              <w:left w:val="nil"/>
              <w:bottom w:val="nil"/>
              <w:right w:val="nil"/>
            </w:tcBorders>
            <w:hideMark/>
          </w:tcPr>
          <w:p w14:paraId="05402D38" w14:textId="302E2AA9"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304</w:t>
            </w:r>
          </w:p>
        </w:tc>
        <w:tc>
          <w:tcPr>
            <w:tcW w:w="679" w:type="pct"/>
            <w:tcBorders>
              <w:top w:val="single" w:sz="12" w:space="0" w:color="000000"/>
              <w:left w:val="nil"/>
              <w:bottom w:val="nil"/>
              <w:right w:val="nil"/>
            </w:tcBorders>
            <w:noWrap/>
            <w:hideMark/>
          </w:tcPr>
          <w:p w14:paraId="0A137458" w14:textId="36FC140C"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A907D1" w:rsidRPr="00596F2D">
              <w:rPr>
                <w:rFonts w:ascii="Times New Roman" w:hAnsi="Times New Roman" w:cs="Times New Roman"/>
                <w:color w:val="000000" w:themeColor="text1"/>
                <w:sz w:val="24"/>
                <w:szCs w:val="24"/>
              </w:rPr>
              <w:t>925</w:t>
            </w:r>
          </w:p>
        </w:tc>
      </w:tr>
      <w:tr w:rsidR="00A907D1" w:rsidRPr="00C56015" w14:paraId="418A664A" w14:textId="77777777" w:rsidTr="00710BF8">
        <w:trPr>
          <w:trHeight w:val="315"/>
        </w:trPr>
        <w:tc>
          <w:tcPr>
            <w:tcW w:w="620" w:type="pct"/>
            <w:vMerge/>
            <w:tcBorders>
              <w:top w:val="nil"/>
              <w:left w:val="nil"/>
              <w:bottom w:val="nil"/>
              <w:right w:val="nil"/>
            </w:tcBorders>
            <w:hideMark/>
          </w:tcPr>
          <w:p w14:paraId="1EFE9C9F"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28CB393C"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November</w:t>
            </w:r>
          </w:p>
        </w:tc>
        <w:tc>
          <w:tcPr>
            <w:tcW w:w="617" w:type="pct"/>
            <w:tcBorders>
              <w:top w:val="nil"/>
              <w:left w:val="nil"/>
              <w:bottom w:val="nil"/>
              <w:right w:val="nil"/>
            </w:tcBorders>
            <w:hideMark/>
          </w:tcPr>
          <w:p w14:paraId="175F727D" w14:textId="3DCEDAAC"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907D1" w:rsidRPr="00596F2D">
              <w:rPr>
                <w:rFonts w:ascii="Times New Roman" w:hAnsi="Times New Roman" w:cs="Times New Roman"/>
                <w:color w:val="000000" w:themeColor="text1"/>
                <w:sz w:val="24"/>
                <w:szCs w:val="24"/>
              </w:rPr>
              <w:t>2</w:t>
            </w:r>
          </w:p>
        </w:tc>
        <w:tc>
          <w:tcPr>
            <w:tcW w:w="103" w:type="pct"/>
            <w:tcBorders>
              <w:top w:val="nil"/>
              <w:left w:val="nil"/>
              <w:bottom w:val="nil"/>
              <w:right w:val="nil"/>
            </w:tcBorders>
          </w:tcPr>
          <w:p w14:paraId="45EF646C"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43B7E806" w14:textId="5721C780"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854</w:t>
            </w:r>
          </w:p>
        </w:tc>
        <w:tc>
          <w:tcPr>
            <w:tcW w:w="103" w:type="pct"/>
            <w:tcBorders>
              <w:top w:val="nil"/>
              <w:left w:val="nil"/>
              <w:bottom w:val="nil"/>
              <w:right w:val="nil"/>
            </w:tcBorders>
          </w:tcPr>
          <w:p w14:paraId="446A9559"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014CF404" w14:textId="76033B46"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A907D1" w:rsidRPr="00596F2D">
              <w:rPr>
                <w:rFonts w:ascii="Times New Roman" w:hAnsi="Times New Roman" w:cs="Times New Roman"/>
                <w:color w:val="000000" w:themeColor="text1"/>
                <w:sz w:val="24"/>
                <w:szCs w:val="24"/>
              </w:rPr>
              <w:t>76</w:t>
            </w:r>
          </w:p>
        </w:tc>
        <w:tc>
          <w:tcPr>
            <w:tcW w:w="494" w:type="pct"/>
            <w:tcBorders>
              <w:top w:val="nil"/>
              <w:left w:val="nil"/>
              <w:bottom w:val="nil"/>
              <w:right w:val="nil"/>
            </w:tcBorders>
            <w:hideMark/>
          </w:tcPr>
          <w:p w14:paraId="0039FC06" w14:textId="68A1469E"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402</w:t>
            </w:r>
          </w:p>
        </w:tc>
        <w:tc>
          <w:tcPr>
            <w:tcW w:w="679" w:type="pct"/>
            <w:tcBorders>
              <w:top w:val="nil"/>
              <w:left w:val="nil"/>
              <w:bottom w:val="nil"/>
              <w:right w:val="nil"/>
            </w:tcBorders>
            <w:hideMark/>
          </w:tcPr>
          <w:p w14:paraId="4B8618FE" w14:textId="5F877DA0"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303</w:t>
            </w:r>
          </w:p>
        </w:tc>
        <w:tc>
          <w:tcPr>
            <w:tcW w:w="679" w:type="pct"/>
            <w:tcBorders>
              <w:top w:val="nil"/>
              <w:left w:val="nil"/>
              <w:bottom w:val="nil"/>
              <w:right w:val="nil"/>
            </w:tcBorders>
            <w:noWrap/>
            <w:hideMark/>
          </w:tcPr>
          <w:p w14:paraId="7279B10E" w14:textId="430B2C1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A907D1" w:rsidRPr="00596F2D">
              <w:rPr>
                <w:rFonts w:ascii="Times New Roman" w:hAnsi="Times New Roman" w:cs="Times New Roman"/>
                <w:color w:val="000000" w:themeColor="text1"/>
                <w:sz w:val="24"/>
                <w:szCs w:val="24"/>
              </w:rPr>
              <w:t>465</w:t>
            </w:r>
          </w:p>
        </w:tc>
      </w:tr>
      <w:tr w:rsidR="00A907D1" w:rsidRPr="00C56015" w14:paraId="0DE72B87" w14:textId="77777777" w:rsidTr="00710BF8">
        <w:trPr>
          <w:trHeight w:val="315"/>
        </w:trPr>
        <w:tc>
          <w:tcPr>
            <w:tcW w:w="620" w:type="pct"/>
            <w:vMerge/>
            <w:tcBorders>
              <w:top w:val="nil"/>
              <w:left w:val="nil"/>
              <w:bottom w:val="nil"/>
              <w:right w:val="nil"/>
            </w:tcBorders>
            <w:hideMark/>
          </w:tcPr>
          <w:p w14:paraId="7582F6A0"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3C3C5ED9"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January</w:t>
            </w:r>
          </w:p>
        </w:tc>
        <w:tc>
          <w:tcPr>
            <w:tcW w:w="617" w:type="pct"/>
            <w:tcBorders>
              <w:top w:val="nil"/>
              <w:left w:val="nil"/>
              <w:bottom w:val="nil"/>
              <w:right w:val="nil"/>
            </w:tcBorders>
            <w:hideMark/>
          </w:tcPr>
          <w:p w14:paraId="730F7515" w14:textId="19D7995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6</w:t>
            </w:r>
          </w:p>
        </w:tc>
        <w:tc>
          <w:tcPr>
            <w:tcW w:w="103" w:type="pct"/>
            <w:tcBorders>
              <w:top w:val="nil"/>
              <w:left w:val="nil"/>
              <w:bottom w:val="nil"/>
              <w:right w:val="nil"/>
            </w:tcBorders>
          </w:tcPr>
          <w:p w14:paraId="06E38642"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330BA70F" w14:textId="0BEC64CB"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1053</w:t>
            </w:r>
          </w:p>
        </w:tc>
        <w:tc>
          <w:tcPr>
            <w:tcW w:w="103" w:type="pct"/>
            <w:tcBorders>
              <w:top w:val="nil"/>
              <w:left w:val="nil"/>
              <w:bottom w:val="nil"/>
              <w:right w:val="nil"/>
            </w:tcBorders>
          </w:tcPr>
          <w:p w14:paraId="69D9D17B"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6114AAD0" w14:textId="004DE96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r w:rsidR="00A907D1" w:rsidRPr="00596F2D">
              <w:rPr>
                <w:rFonts w:ascii="Times New Roman" w:hAnsi="Times New Roman" w:cs="Times New Roman"/>
                <w:color w:val="000000" w:themeColor="text1"/>
                <w:sz w:val="24"/>
                <w:szCs w:val="24"/>
              </w:rPr>
              <w:t>456</w:t>
            </w:r>
          </w:p>
        </w:tc>
        <w:tc>
          <w:tcPr>
            <w:tcW w:w="494" w:type="pct"/>
            <w:tcBorders>
              <w:top w:val="nil"/>
              <w:left w:val="nil"/>
              <w:bottom w:val="nil"/>
              <w:right w:val="nil"/>
            </w:tcBorders>
            <w:hideMark/>
          </w:tcPr>
          <w:p w14:paraId="70E9C886" w14:textId="13ACAEE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251</w:t>
            </w:r>
          </w:p>
        </w:tc>
        <w:tc>
          <w:tcPr>
            <w:tcW w:w="679" w:type="pct"/>
            <w:tcBorders>
              <w:top w:val="nil"/>
              <w:left w:val="nil"/>
              <w:bottom w:val="nil"/>
              <w:right w:val="nil"/>
            </w:tcBorders>
            <w:hideMark/>
          </w:tcPr>
          <w:p w14:paraId="53BEAA26" w14:textId="3DB37D3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305</w:t>
            </w:r>
          </w:p>
        </w:tc>
        <w:tc>
          <w:tcPr>
            <w:tcW w:w="679" w:type="pct"/>
            <w:tcBorders>
              <w:top w:val="nil"/>
              <w:left w:val="nil"/>
              <w:bottom w:val="nil"/>
              <w:right w:val="nil"/>
            </w:tcBorders>
            <w:noWrap/>
            <w:hideMark/>
          </w:tcPr>
          <w:p w14:paraId="54925C2E" w14:textId="68C04CC8"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A907D1" w:rsidRPr="00596F2D">
              <w:rPr>
                <w:rFonts w:ascii="Times New Roman" w:hAnsi="Times New Roman" w:cs="Times New Roman"/>
                <w:color w:val="000000" w:themeColor="text1"/>
                <w:sz w:val="24"/>
                <w:szCs w:val="24"/>
              </w:rPr>
              <w:t>013</w:t>
            </w:r>
          </w:p>
        </w:tc>
      </w:tr>
      <w:tr w:rsidR="00A907D1" w:rsidRPr="00C56015" w14:paraId="2463B604" w14:textId="77777777" w:rsidTr="00710BF8">
        <w:trPr>
          <w:trHeight w:val="330"/>
        </w:trPr>
        <w:tc>
          <w:tcPr>
            <w:tcW w:w="620" w:type="pct"/>
            <w:vMerge/>
            <w:tcBorders>
              <w:top w:val="nil"/>
              <w:left w:val="nil"/>
              <w:bottom w:val="nil"/>
              <w:right w:val="nil"/>
            </w:tcBorders>
            <w:hideMark/>
          </w:tcPr>
          <w:p w14:paraId="787D9336"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04856F2A"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March</w:t>
            </w:r>
          </w:p>
        </w:tc>
        <w:tc>
          <w:tcPr>
            <w:tcW w:w="617" w:type="pct"/>
            <w:tcBorders>
              <w:top w:val="nil"/>
              <w:left w:val="nil"/>
              <w:bottom w:val="nil"/>
              <w:right w:val="nil"/>
            </w:tcBorders>
            <w:hideMark/>
          </w:tcPr>
          <w:p w14:paraId="0E064B25" w14:textId="5ACEFC3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6</w:t>
            </w:r>
          </w:p>
        </w:tc>
        <w:tc>
          <w:tcPr>
            <w:tcW w:w="103" w:type="pct"/>
            <w:tcBorders>
              <w:top w:val="nil"/>
              <w:left w:val="nil"/>
              <w:bottom w:val="nil"/>
              <w:right w:val="nil"/>
            </w:tcBorders>
          </w:tcPr>
          <w:p w14:paraId="28DF29DC"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227D765A" w14:textId="61A24287"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972</w:t>
            </w:r>
          </w:p>
        </w:tc>
        <w:tc>
          <w:tcPr>
            <w:tcW w:w="103" w:type="pct"/>
            <w:tcBorders>
              <w:top w:val="nil"/>
              <w:left w:val="nil"/>
              <w:bottom w:val="nil"/>
              <w:right w:val="nil"/>
            </w:tcBorders>
          </w:tcPr>
          <w:p w14:paraId="7879B991"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42321F1B" w14:textId="5D2E600F"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A907D1" w:rsidRPr="00596F2D">
              <w:rPr>
                <w:rFonts w:ascii="Times New Roman" w:hAnsi="Times New Roman" w:cs="Times New Roman"/>
                <w:color w:val="000000" w:themeColor="text1"/>
                <w:sz w:val="24"/>
                <w:szCs w:val="24"/>
              </w:rPr>
              <w:t>044</w:t>
            </w:r>
          </w:p>
        </w:tc>
        <w:tc>
          <w:tcPr>
            <w:tcW w:w="494" w:type="pct"/>
            <w:tcBorders>
              <w:top w:val="nil"/>
              <w:left w:val="nil"/>
              <w:bottom w:val="nil"/>
              <w:right w:val="nil"/>
            </w:tcBorders>
            <w:hideMark/>
          </w:tcPr>
          <w:p w14:paraId="17E0226E" w14:textId="724FEBFB"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273</w:t>
            </w:r>
          </w:p>
        </w:tc>
        <w:tc>
          <w:tcPr>
            <w:tcW w:w="679" w:type="pct"/>
            <w:tcBorders>
              <w:top w:val="nil"/>
              <w:left w:val="nil"/>
              <w:bottom w:val="nil"/>
              <w:right w:val="nil"/>
            </w:tcBorders>
            <w:hideMark/>
          </w:tcPr>
          <w:p w14:paraId="0C95A4B7" w14:textId="2878DCF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301</w:t>
            </w:r>
          </w:p>
        </w:tc>
        <w:tc>
          <w:tcPr>
            <w:tcW w:w="679" w:type="pct"/>
            <w:tcBorders>
              <w:top w:val="nil"/>
              <w:left w:val="nil"/>
              <w:bottom w:val="nil"/>
              <w:right w:val="nil"/>
            </w:tcBorders>
            <w:noWrap/>
            <w:hideMark/>
          </w:tcPr>
          <w:p w14:paraId="63DCB048" w14:textId="6EDDF112" w:rsidR="00A907D1" w:rsidRPr="00596F2D"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51.</w:t>
            </w:r>
            <w:r w:rsidR="00A907D1" w:rsidRPr="00231E9E">
              <w:rPr>
                <w:rFonts w:ascii="Times New Roman" w:hAnsi="Times New Roman" w:cs="Times New Roman"/>
                <w:sz w:val="24"/>
                <w:szCs w:val="24"/>
              </w:rPr>
              <w:t>62</w:t>
            </w:r>
            <w:r w:rsidR="00231E9E" w:rsidRPr="00231E9E">
              <w:rPr>
                <w:rFonts w:ascii="Times New Roman" w:hAnsi="Times New Roman" w:cs="Times New Roman"/>
                <w:sz w:val="24"/>
                <w:szCs w:val="24"/>
              </w:rPr>
              <w:t>0</w:t>
            </w:r>
          </w:p>
        </w:tc>
      </w:tr>
      <w:tr w:rsidR="00A907D1" w:rsidRPr="00C56015" w14:paraId="4C9EADAE" w14:textId="77777777" w:rsidTr="00710BF8">
        <w:trPr>
          <w:trHeight w:val="315"/>
        </w:trPr>
        <w:tc>
          <w:tcPr>
            <w:tcW w:w="1161" w:type="pct"/>
            <w:gridSpan w:val="2"/>
            <w:tcBorders>
              <w:top w:val="nil"/>
              <w:left w:val="nil"/>
              <w:bottom w:val="single" w:sz="12" w:space="0" w:color="000000"/>
              <w:right w:val="nil"/>
            </w:tcBorders>
            <w:hideMark/>
          </w:tcPr>
          <w:p w14:paraId="05864DCA"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Average</w:t>
            </w:r>
          </w:p>
          <w:p w14:paraId="0C62E221"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w:t>
            </w:r>
          </w:p>
          <w:p w14:paraId="6367CD73" w14:textId="4889B1C0" w:rsidR="00A907D1" w:rsidRPr="00596F2D"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Standard deviation</w:t>
            </w:r>
          </w:p>
        </w:tc>
        <w:tc>
          <w:tcPr>
            <w:tcW w:w="617" w:type="pct"/>
            <w:tcBorders>
              <w:top w:val="nil"/>
              <w:left w:val="nil"/>
              <w:bottom w:val="single" w:sz="12" w:space="0" w:color="000000"/>
              <w:right w:val="nil"/>
            </w:tcBorders>
            <w:hideMark/>
          </w:tcPr>
          <w:p w14:paraId="51DF5AF3" w14:textId="36BADF56"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750</w:t>
            </w:r>
          </w:p>
          <w:p w14:paraId="03DE7480"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204193A4" w14:textId="1629F36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300</w:t>
            </w:r>
          </w:p>
        </w:tc>
        <w:tc>
          <w:tcPr>
            <w:tcW w:w="103" w:type="pct"/>
            <w:tcBorders>
              <w:top w:val="nil"/>
              <w:left w:val="nil"/>
              <w:bottom w:val="single" w:sz="12" w:space="0" w:color="000000"/>
              <w:right w:val="nil"/>
            </w:tcBorders>
          </w:tcPr>
          <w:p w14:paraId="3296FEF6"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single" w:sz="12" w:space="0" w:color="000000"/>
              <w:right w:val="nil"/>
            </w:tcBorders>
            <w:hideMark/>
          </w:tcPr>
          <w:p w14:paraId="4D0586A2" w14:textId="3861CFFD"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892.</w:t>
            </w:r>
            <w:r w:rsidR="00A907D1" w:rsidRPr="00596F2D">
              <w:rPr>
                <w:rFonts w:ascii="Times New Roman" w:hAnsi="Times New Roman" w:cs="Times New Roman"/>
                <w:color w:val="000000" w:themeColor="text1"/>
                <w:sz w:val="24"/>
                <w:szCs w:val="24"/>
              </w:rPr>
              <w:t>250</w:t>
            </w:r>
          </w:p>
          <w:p w14:paraId="1F7CF2F8" w14:textId="680ADD73"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0EC9AC69" w14:textId="766B089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r w:rsidR="00A907D1" w:rsidRPr="00596F2D">
              <w:rPr>
                <w:rFonts w:ascii="Times New Roman" w:hAnsi="Times New Roman" w:cs="Times New Roman"/>
                <w:color w:val="000000" w:themeColor="text1"/>
                <w:sz w:val="24"/>
                <w:szCs w:val="24"/>
              </w:rPr>
              <w:t>658</w:t>
            </w:r>
          </w:p>
        </w:tc>
        <w:tc>
          <w:tcPr>
            <w:tcW w:w="103" w:type="pct"/>
            <w:tcBorders>
              <w:top w:val="nil"/>
              <w:left w:val="nil"/>
              <w:bottom w:val="single" w:sz="12" w:space="0" w:color="000000"/>
              <w:right w:val="nil"/>
            </w:tcBorders>
          </w:tcPr>
          <w:p w14:paraId="1A55DF13"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single" w:sz="12" w:space="0" w:color="000000"/>
              <w:right w:val="nil"/>
            </w:tcBorders>
            <w:hideMark/>
          </w:tcPr>
          <w:p w14:paraId="6C80DECB" w14:textId="3331A1F4"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A907D1" w:rsidRPr="00596F2D">
              <w:rPr>
                <w:rFonts w:ascii="Times New Roman" w:hAnsi="Times New Roman" w:cs="Times New Roman"/>
                <w:color w:val="000000" w:themeColor="text1"/>
                <w:sz w:val="24"/>
                <w:szCs w:val="24"/>
              </w:rPr>
              <w:t>152</w:t>
            </w:r>
          </w:p>
          <w:p w14:paraId="017A4502"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69E7E39A" w14:textId="4492432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A907D1" w:rsidRPr="00596F2D">
              <w:rPr>
                <w:rFonts w:ascii="Times New Roman" w:hAnsi="Times New Roman" w:cs="Times New Roman"/>
                <w:color w:val="000000" w:themeColor="text1"/>
                <w:sz w:val="24"/>
                <w:szCs w:val="24"/>
              </w:rPr>
              <w:t>078</w:t>
            </w:r>
          </w:p>
        </w:tc>
        <w:tc>
          <w:tcPr>
            <w:tcW w:w="494" w:type="pct"/>
            <w:tcBorders>
              <w:top w:val="nil"/>
              <w:left w:val="nil"/>
              <w:bottom w:val="single" w:sz="12" w:space="0" w:color="000000"/>
              <w:right w:val="nil"/>
            </w:tcBorders>
            <w:hideMark/>
          </w:tcPr>
          <w:p w14:paraId="5159EE9B" w14:textId="490ED25E"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299</w:t>
            </w:r>
          </w:p>
          <w:p w14:paraId="4326C770"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00137247" w14:textId="69BB08D9"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069</w:t>
            </w:r>
          </w:p>
        </w:tc>
        <w:tc>
          <w:tcPr>
            <w:tcW w:w="679" w:type="pct"/>
            <w:tcBorders>
              <w:top w:val="nil"/>
              <w:left w:val="nil"/>
              <w:bottom w:val="single" w:sz="12" w:space="0" w:color="000000"/>
              <w:right w:val="nil"/>
            </w:tcBorders>
            <w:hideMark/>
          </w:tcPr>
          <w:p w14:paraId="7F4140F3" w14:textId="643C97E1"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303</w:t>
            </w:r>
          </w:p>
          <w:p w14:paraId="2EE39EFE"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0513AD6B" w14:textId="007E0EF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001</w:t>
            </w:r>
          </w:p>
        </w:tc>
        <w:tc>
          <w:tcPr>
            <w:tcW w:w="679" w:type="pct"/>
            <w:tcBorders>
              <w:top w:val="nil"/>
              <w:left w:val="nil"/>
              <w:bottom w:val="single" w:sz="12" w:space="0" w:color="000000"/>
              <w:right w:val="nil"/>
            </w:tcBorders>
            <w:hideMark/>
          </w:tcPr>
          <w:p w14:paraId="222ADC78" w14:textId="62553629"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A907D1" w:rsidRPr="00596F2D">
              <w:rPr>
                <w:rFonts w:ascii="Times New Roman" w:hAnsi="Times New Roman" w:cs="Times New Roman"/>
                <w:color w:val="000000" w:themeColor="text1"/>
                <w:sz w:val="24"/>
                <w:szCs w:val="24"/>
              </w:rPr>
              <w:t>755</w:t>
            </w:r>
          </w:p>
          <w:p w14:paraId="4639A1C8"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0589EF76" w14:textId="03650947"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A907D1" w:rsidRPr="00596F2D">
              <w:rPr>
                <w:rFonts w:ascii="Times New Roman" w:hAnsi="Times New Roman" w:cs="Times New Roman"/>
                <w:color w:val="000000" w:themeColor="text1"/>
                <w:sz w:val="24"/>
                <w:szCs w:val="24"/>
              </w:rPr>
              <w:t>051</w:t>
            </w:r>
          </w:p>
          <w:p w14:paraId="5EF08802" w14:textId="2C004A1A" w:rsidR="00893710" w:rsidRPr="00596F2D" w:rsidRDefault="00893710" w:rsidP="00A7365A">
            <w:pPr>
              <w:jc w:val="center"/>
              <w:rPr>
                <w:rFonts w:ascii="Times New Roman" w:hAnsi="Times New Roman" w:cs="Times New Roman"/>
                <w:color w:val="000000" w:themeColor="text1"/>
                <w:sz w:val="24"/>
                <w:szCs w:val="24"/>
              </w:rPr>
            </w:pPr>
          </w:p>
        </w:tc>
      </w:tr>
      <w:tr w:rsidR="00A907D1" w:rsidRPr="00C56015" w14:paraId="5339FC4A" w14:textId="77777777" w:rsidTr="00710BF8">
        <w:trPr>
          <w:trHeight w:val="315"/>
        </w:trPr>
        <w:tc>
          <w:tcPr>
            <w:tcW w:w="620" w:type="pct"/>
            <w:vMerge w:val="restart"/>
            <w:tcBorders>
              <w:top w:val="single" w:sz="12" w:space="0" w:color="000000"/>
              <w:left w:val="nil"/>
              <w:bottom w:val="nil"/>
              <w:right w:val="nil"/>
            </w:tcBorders>
            <w:hideMark/>
          </w:tcPr>
          <w:p w14:paraId="3E80AACE"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B10</w:t>
            </w:r>
          </w:p>
        </w:tc>
        <w:tc>
          <w:tcPr>
            <w:tcW w:w="541" w:type="pct"/>
            <w:tcBorders>
              <w:top w:val="single" w:sz="12" w:space="0" w:color="000000"/>
              <w:left w:val="nil"/>
              <w:bottom w:val="nil"/>
              <w:right w:val="nil"/>
            </w:tcBorders>
            <w:noWrap/>
            <w:hideMark/>
          </w:tcPr>
          <w:p w14:paraId="6925780D"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September</w:t>
            </w:r>
          </w:p>
        </w:tc>
        <w:tc>
          <w:tcPr>
            <w:tcW w:w="617" w:type="pct"/>
            <w:tcBorders>
              <w:top w:val="single" w:sz="12" w:space="0" w:color="000000"/>
              <w:left w:val="nil"/>
              <w:bottom w:val="nil"/>
              <w:right w:val="nil"/>
            </w:tcBorders>
            <w:hideMark/>
          </w:tcPr>
          <w:p w14:paraId="5D7B750B" w14:textId="6EEFCA1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9</w:t>
            </w:r>
          </w:p>
        </w:tc>
        <w:tc>
          <w:tcPr>
            <w:tcW w:w="103" w:type="pct"/>
            <w:tcBorders>
              <w:top w:val="single" w:sz="12" w:space="0" w:color="000000"/>
              <w:left w:val="nil"/>
              <w:bottom w:val="nil"/>
              <w:right w:val="nil"/>
            </w:tcBorders>
          </w:tcPr>
          <w:p w14:paraId="0CDB400C"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single" w:sz="12" w:space="0" w:color="000000"/>
              <w:left w:val="nil"/>
              <w:bottom w:val="nil"/>
              <w:right w:val="nil"/>
            </w:tcBorders>
            <w:hideMark/>
          </w:tcPr>
          <w:p w14:paraId="64461D88" w14:textId="65BFDF02"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790</w:t>
            </w:r>
          </w:p>
        </w:tc>
        <w:tc>
          <w:tcPr>
            <w:tcW w:w="103" w:type="pct"/>
            <w:tcBorders>
              <w:top w:val="single" w:sz="12" w:space="0" w:color="000000"/>
              <w:left w:val="nil"/>
              <w:bottom w:val="nil"/>
              <w:right w:val="nil"/>
            </w:tcBorders>
          </w:tcPr>
          <w:p w14:paraId="346FB8B4"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single" w:sz="12" w:space="0" w:color="000000"/>
              <w:left w:val="nil"/>
              <w:bottom w:val="nil"/>
              <w:right w:val="nil"/>
            </w:tcBorders>
            <w:hideMark/>
          </w:tcPr>
          <w:p w14:paraId="70E7D1E1" w14:textId="052733B3"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907D1" w:rsidRPr="00596F2D">
              <w:rPr>
                <w:rFonts w:ascii="Times New Roman" w:hAnsi="Times New Roman" w:cs="Times New Roman"/>
                <w:color w:val="000000" w:themeColor="text1"/>
                <w:sz w:val="24"/>
                <w:szCs w:val="24"/>
              </w:rPr>
              <w:t>689</w:t>
            </w:r>
          </w:p>
        </w:tc>
        <w:tc>
          <w:tcPr>
            <w:tcW w:w="494" w:type="pct"/>
            <w:tcBorders>
              <w:top w:val="single" w:sz="12" w:space="0" w:color="000000"/>
              <w:left w:val="nil"/>
              <w:bottom w:val="nil"/>
              <w:right w:val="nil"/>
            </w:tcBorders>
            <w:hideMark/>
          </w:tcPr>
          <w:p w14:paraId="086B9F06" w14:textId="604A56F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411</w:t>
            </w:r>
          </w:p>
        </w:tc>
        <w:tc>
          <w:tcPr>
            <w:tcW w:w="679" w:type="pct"/>
            <w:tcBorders>
              <w:top w:val="single" w:sz="12" w:space="0" w:color="000000"/>
              <w:left w:val="nil"/>
              <w:bottom w:val="nil"/>
              <w:right w:val="nil"/>
            </w:tcBorders>
            <w:hideMark/>
          </w:tcPr>
          <w:p w14:paraId="23C06D71" w14:textId="3191C03F"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304</w:t>
            </w:r>
          </w:p>
        </w:tc>
        <w:tc>
          <w:tcPr>
            <w:tcW w:w="679" w:type="pct"/>
            <w:tcBorders>
              <w:top w:val="single" w:sz="12" w:space="0" w:color="000000"/>
              <w:left w:val="nil"/>
              <w:bottom w:val="nil"/>
              <w:right w:val="nil"/>
            </w:tcBorders>
            <w:noWrap/>
            <w:hideMark/>
          </w:tcPr>
          <w:p w14:paraId="28334DBC" w14:textId="605466B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907D1" w:rsidRPr="00596F2D">
              <w:rPr>
                <w:rFonts w:ascii="Times New Roman" w:hAnsi="Times New Roman" w:cs="Times New Roman"/>
                <w:color w:val="000000" w:themeColor="text1"/>
                <w:sz w:val="24"/>
                <w:szCs w:val="24"/>
              </w:rPr>
              <w:t>405</w:t>
            </w:r>
          </w:p>
        </w:tc>
      </w:tr>
      <w:tr w:rsidR="00A907D1" w:rsidRPr="00C56015" w14:paraId="052216DC" w14:textId="77777777" w:rsidTr="00710BF8">
        <w:trPr>
          <w:trHeight w:val="315"/>
        </w:trPr>
        <w:tc>
          <w:tcPr>
            <w:tcW w:w="620" w:type="pct"/>
            <w:vMerge/>
            <w:tcBorders>
              <w:top w:val="nil"/>
              <w:left w:val="nil"/>
              <w:bottom w:val="nil"/>
              <w:right w:val="nil"/>
            </w:tcBorders>
            <w:hideMark/>
          </w:tcPr>
          <w:p w14:paraId="7290784C"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2B63FE83"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November</w:t>
            </w:r>
          </w:p>
        </w:tc>
        <w:tc>
          <w:tcPr>
            <w:tcW w:w="617" w:type="pct"/>
            <w:tcBorders>
              <w:top w:val="nil"/>
              <w:left w:val="nil"/>
              <w:bottom w:val="nil"/>
              <w:right w:val="nil"/>
            </w:tcBorders>
            <w:hideMark/>
          </w:tcPr>
          <w:p w14:paraId="3627A7A8" w14:textId="38BD0BB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907D1" w:rsidRPr="00596F2D">
              <w:rPr>
                <w:rFonts w:ascii="Times New Roman" w:hAnsi="Times New Roman" w:cs="Times New Roman"/>
                <w:color w:val="000000" w:themeColor="text1"/>
                <w:sz w:val="24"/>
                <w:szCs w:val="24"/>
              </w:rPr>
              <w:t>1</w:t>
            </w:r>
          </w:p>
        </w:tc>
        <w:tc>
          <w:tcPr>
            <w:tcW w:w="103" w:type="pct"/>
            <w:tcBorders>
              <w:top w:val="nil"/>
              <w:left w:val="nil"/>
              <w:bottom w:val="nil"/>
              <w:right w:val="nil"/>
            </w:tcBorders>
          </w:tcPr>
          <w:p w14:paraId="4E4B53EB"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2A57971F" w14:textId="5234CA8D"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918</w:t>
            </w:r>
          </w:p>
        </w:tc>
        <w:tc>
          <w:tcPr>
            <w:tcW w:w="103" w:type="pct"/>
            <w:tcBorders>
              <w:top w:val="nil"/>
              <w:left w:val="nil"/>
              <w:bottom w:val="nil"/>
              <w:right w:val="nil"/>
            </w:tcBorders>
          </w:tcPr>
          <w:p w14:paraId="4CD6F17D"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7D4D57D9" w14:textId="5D107F1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A907D1" w:rsidRPr="00596F2D">
              <w:rPr>
                <w:rFonts w:ascii="Times New Roman" w:hAnsi="Times New Roman" w:cs="Times New Roman"/>
                <w:color w:val="000000" w:themeColor="text1"/>
                <w:sz w:val="24"/>
                <w:szCs w:val="24"/>
              </w:rPr>
              <w:t>095</w:t>
            </w:r>
          </w:p>
        </w:tc>
        <w:tc>
          <w:tcPr>
            <w:tcW w:w="494" w:type="pct"/>
            <w:tcBorders>
              <w:top w:val="nil"/>
              <w:left w:val="nil"/>
              <w:bottom w:val="nil"/>
              <w:right w:val="nil"/>
            </w:tcBorders>
            <w:hideMark/>
          </w:tcPr>
          <w:p w14:paraId="1B302D00" w14:textId="537642BD" w:rsidR="00A907D1" w:rsidRPr="00596F2D"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0.</w:t>
            </w:r>
            <w:r w:rsidR="00A907D1" w:rsidRPr="00231E9E">
              <w:rPr>
                <w:rFonts w:ascii="Times New Roman" w:hAnsi="Times New Roman" w:cs="Times New Roman"/>
                <w:sz w:val="24"/>
                <w:szCs w:val="24"/>
              </w:rPr>
              <w:t>32</w:t>
            </w:r>
            <w:r w:rsidR="00231E9E" w:rsidRPr="00231E9E">
              <w:rPr>
                <w:rFonts w:ascii="Times New Roman" w:hAnsi="Times New Roman" w:cs="Times New Roman"/>
                <w:sz w:val="24"/>
                <w:szCs w:val="24"/>
              </w:rPr>
              <w:t>0</w:t>
            </w:r>
          </w:p>
        </w:tc>
        <w:tc>
          <w:tcPr>
            <w:tcW w:w="679" w:type="pct"/>
            <w:tcBorders>
              <w:top w:val="nil"/>
              <w:left w:val="nil"/>
              <w:bottom w:val="nil"/>
              <w:right w:val="nil"/>
            </w:tcBorders>
            <w:hideMark/>
          </w:tcPr>
          <w:p w14:paraId="223B1492" w14:textId="03B8BDEC"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303</w:t>
            </w:r>
          </w:p>
        </w:tc>
        <w:tc>
          <w:tcPr>
            <w:tcW w:w="679" w:type="pct"/>
            <w:tcBorders>
              <w:top w:val="nil"/>
              <w:left w:val="nil"/>
              <w:bottom w:val="nil"/>
              <w:right w:val="nil"/>
            </w:tcBorders>
            <w:noWrap/>
            <w:hideMark/>
          </w:tcPr>
          <w:p w14:paraId="4F90E806" w14:textId="3F3C5AE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A907D1" w:rsidRPr="00596F2D">
              <w:rPr>
                <w:rFonts w:ascii="Times New Roman" w:hAnsi="Times New Roman" w:cs="Times New Roman"/>
                <w:color w:val="000000" w:themeColor="text1"/>
                <w:sz w:val="24"/>
                <w:szCs w:val="24"/>
              </w:rPr>
              <w:t>719</w:t>
            </w:r>
          </w:p>
        </w:tc>
      </w:tr>
      <w:tr w:rsidR="00A907D1" w:rsidRPr="00C56015" w14:paraId="2017349F" w14:textId="77777777" w:rsidTr="00710BF8">
        <w:trPr>
          <w:trHeight w:val="315"/>
        </w:trPr>
        <w:tc>
          <w:tcPr>
            <w:tcW w:w="620" w:type="pct"/>
            <w:vMerge/>
            <w:tcBorders>
              <w:top w:val="nil"/>
              <w:left w:val="nil"/>
              <w:bottom w:val="nil"/>
              <w:right w:val="nil"/>
            </w:tcBorders>
            <w:hideMark/>
          </w:tcPr>
          <w:p w14:paraId="07D39FE3"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5CA97026"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January</w:t>
            </w:r>
          </w:p>
        </w:tc>
        <w:tc>
          <w:tcPr>
            <w:tcW w:w="617" w:type="pct"/>
            <w:tcBorders>
              <w:top w:val="nil"/>
              <w:left w:val="nil"/>
              <w:bottom w:val="nil"/>
              <w:right w:val="nil"/>
            </w:tcBorders>
            <w:hideMark/>
          </w:tcPr>
          <w:p w14:paraId="6B4053D8" w14:textId="44B12619"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4</w:t>
            </w:r>
          </w:p>
        </w:tc>
        <w:tc>
          <w:tcPr>
            <w:tcW w:w="103" w:type="pct"/>
            <w:tcBorders>
              <w:top w:val="nil"/>
              <w:left w:val="nil"/>
              <w:bottom w:val="nil"/>
              <w:right w:val="nil"/>
            </w:tcBorders>
          </w:tcPr>
          <w:p w14:paraId="2416F7C7"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1DDD70D8" w14:textId="3ADF5043"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986</w:t>
            </w:r>
          </w:p>
        </w:tc>
        <w:tc>
          <w:tcPr>
            <w:tcW w:w="103" w:type="pct"/>
            <w:tcBorders>
              <w:top w:val="nil"/>
              <w:left w:val="nil"/>
              <w:bottom w:val="nil"/>
              <w:right w:val="nil"/>
            </w:tcBorders>
          </w:tcPr>
          <w:p w14:paraId="7B746ADD"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533ECD2F" w14:textId="5D23D5A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907D1" w:rsidRPr="00596F2D">
              <w:rPr>
                <w:rFonts w:ascii="Times New Roman" w:hAnsi="Times New Roman" w:cs="Times New Roman"/>
                <w:color w:val="000000" w:themeColor="text1"/>
                <w:sz w:val="24"/>
                <w:szCs w:val="24"/>
              </w:rPr>
              <w:t>32</w:t>
            </w:r>
          </w:p>
        </w:tc>
        <w:tc>
          <w:tcPr>
            <w:tcW w:w="494" w:type="pct"/>
            <w:tcBorders>
              <w:top w:val="nil"/>
              <w:left w:val="nil"/>
              <w:bottom w:val="nil"/>
              <w:right w:val="nil"/>
            </w:tcBorders>
            <w:hideMark/>
          </w:tcPr>
          <w:p w14:paraId="2B525F30" w14:textId="5E604DFB"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265</w:t>
            </w:r>
          </w:p>
        </w:tc>
        <w:tc>
          <w:tcPr>
            <w:tcW w:w="679" w:type="pct"/>
            <w:tcBorders>
              <w:top w:val="nil"/>
              <w:left w:val="nil"/>
              <w:bottom w:val="nil"/>
              <w:right w:val="nil"/>
            </w:tcBorders>
            <w:hideMark/>
          </w:tcPr>
          <w:p w14:paraId="121A897C" w14:textId="732A5E5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304</w:t>
            </w:r>
          </w:p>
        </w:tc>
        <w:tc>
          <w:tcPr>
            <w:tcW w:w="679" w:type="pct"/>
            <w:tcBorders>
              <w:top w:val="nil"/>
              <w:left w:val="nil"/>
              <w:bottom w:val="nil"/>
              <w:right w:val="nil"/>
            </w:tcBorders>
            <w:noWrap/>
            <w:hideMark/>
          </w:tcPr>
          <w:p w14:paraId="1F1913BE" w14:textId="7AEB2898" w:rsidR="00A907D1" w:rsidRPr="00231E9E"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8.</w:t>
            </w:r>
            <w:r w:rsidR="00A907D1" w:rsidRPr="00231E9E">
              <w:rPr>
                <w:rFonts w:ascii="Times New Roman" w:hAnsi="Times New Roman" w:cs="Times New Roman"/>
                <w:sz w:val="24"/>
                <w:szCs w:val="24"/>
              </w:rPr>
              <w:t>89</w:t>
            </w:r>
            <w:r w:rsidR="00231E9E" w:rsidRPr="00231E9E">
              <w:rPr>
                <w:rFonts w:ascii="Times New Roman" w:hAnsi="Times New Roman" w:cs="Times New Roman"/>
                <w:sz w:val="24"/>
                <w:szCs w:val="24"/>
              </w:rPr>
              <w:t>0</w:t>
            </w:r>
          </w:p>
        </w:tc>
      </w:tr>
      <w:tr w:rsidR="00A907D1" w:rsidRPr="00C56015" w14:paraId="6CF5E461" w14:textId="77777777" w:rsidTr="00710BF8">
        <w:trPr>
          <w:trHeight w:val="330"/>
        </w:trPr>
        <w:tc>
          <w:tcPr>
            <w:tcW w:w="620" w:type="pct"/>
            <w:vMerge/>
            <w:tcBorders>
              <w:top w:val="nil"/>
              <w:left w:val="nil"/>
              <w:bottom w:val="nil"/>
              <w:right w:val="nil"/>
            </w:tcBorders>
            <w:hideMark/>
          </w:tcPr>
          <w:p w14:paraId="354A6E03"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036B300D"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March</w:t>
            </w:r>
          </w:p>
        </w:tc>
        <w:tc>
          <w:tcPr>
            <w:tcW w:w="617" w:type="pct"/>
            <w:tcBorders>
              <w:top w:val="nil"/>
              <w:left w:val="nil"/>
              <w:bottom w:val="nil"/>
              <w:right w:val="nil"/>
            </w:tcBorders>
            <w:hideMark/>
          </w:tcPr>
          <w:p w14:paraId="421F16B9" w14:textId="7A1FCF9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6</w:t>
            </w:r>
          </w:p>
        </w:tc>
        <w:tc>
          <w:tcPr>
            <w:tcW w:w="103" w:type="pct"/>
            <w:tcBorders>
              <w:top w:val="nil"/>
              <w:left w:val="nil"/>
              <w:bottom w:val="nil"/>
              <w:right w:val="nil"/>
            </w:tcBorders>
          </w:tcPr>
          <w:p w14:paraId="5FA615BE"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3DB7934B" w14:textId="202C542D"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1017</w:t>
            </w:r>
          </w:p>
        </w:tc>
        <w:tc>
          <w:tcPr>
            <w:tcW w:w="103" w:type="pct"/>
            <w:tcBorders>
              <w:top w:val="nil"/>
              <w:left w:val="nil"/>
              <w:bottom w:val="nil"/>
              <w:right w:val="nil"/>
            </w:tcBorders>
          </w:tcPr>
          <w:p w14:paraId="4A092CA4"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469A8727" w14:textId="0C346C43"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A907D1" w:rsidRPr="00596F2D">
              <w:rPr>
                <w:rFonts w:ascii="Times New Roman" w:hAnsi="Times New Roman" w:cs="Times New Roman"/>
                <w:color w:val="000000" w:themeColor="text1"/>
                <w:sz w:val="24"/>
                <w:szCs w:val="24"/>
              </w:rPr>
              <w:t>334</w:t>
            </w:r>
          </w:p>
        </w:tc>
        <w:tc>
          <w:tcPr>
            <w:tcW w:w="494" w:type="pct"/>
            <w:tcBorders>
              <w:top w:val="nil"/>
              <w:left w:val="nil"/>
              <w:bottom w:val="nil"/>
              <w:right w:val="nil"/>
            </w:tcBorders>
            <w:hideMark/>
          </w:tcPr>
          <w:p w14:paraId="313FB404" w14:textId="7333E1C3"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342</w:t>
            </w:r>
          </w:p>
        </w:tc>
        <w:tc>
          <w:tcPr>
            <w:tcW w:w="679" w:type="pct"/>
            <w:tcBorders>
              <w:top w:val="nil"/>
              <w:left w:val="nil"/>
              <w:bottom w:val="nil"/>
              <w:right w:val="nil"/>
            </w:tcBorders>
            <w:hideMark/>
          </w:tcPr>
          <w:p w14:paraId="73E9D6EA" w14:textId="03B53C2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301</w:t>
            </w:r>
          </w:p>
        </w:tc>
        <w:tc>
          <w:tcPr>
            <w:tcW w:w="679" w:type="pct"/>
            <w:tcBorders>
              <w:top w:val="nil"/>
              <w:left w:val="nil"/>
              <w:bottom w:val="nil"/>
              <w:right w:val="nil"/>
            </w:tcBorders>
            <w:noWrap/>
            <w:hideMark/>
          </w:tcPr>
          <w:p w14:paraId="6CE6CA90" w14:textId="0216EFC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A907D1" w:rsidRPr="00596F2D">
              <w:rPr>
                <w:rFonts w:ascii="Times New Roman" w:hAnsi="Times New Roman" w:cs="Times New Roman"/>
                <w:color w:val="000000" w:themeColor="text1"/>
                <w:sz w:val="24"/>
                <w:szCs w:val="24"/>
              </w:rPr>
              <w:t>977</w:t>
            </w:r>
          </w:p>
        </w:tc>
      </w:tr>
      <w:tr w:rsidR="00A907D1" w:rsidRPr="00C56015" w14:paraId="48E75ACD" w14:textId="77777777" w:rsidTr="00710BF8">
        <w:trPr>
          <w:trHeight w:val="315"/>
        </w:trPr>
        <w:tc>
          <w:tcPr>
            <w:tcW w:w="1161" w:type="pct"/>
            <w:gridSpan w:val="2"/>
            <w:tcBorders>
              <w:top w:val="nil"/>
              <w:left w:val="nil"/>
              <w:bottom w:val="single" w:sz="12" w:space="0" w:color="000000"/>
              <w:right w:val="nil"/>
            </w:tcBorders>
            <w:hideMark/>
          </w:tcPr>
          <w:p w14:paraId="7DD50E99"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Average</w:t>
            </w:r>
          </w:p>
          <w:p w14:paraId="719DFE3D"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w:t>
            </w:r>
          </w:p>
          <w:p w14:paraId="3BE154EC" w14:textId="552F5156" w:rsidR="00A907D1" w:rsidRPr="00596F2D"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Standard deviation</w:t>
            </w:r>
          </w:p>
        </w:tc>
        <w:tc>
          <w:tcPr>
            <w:tcW w:w="617" w:type="pct"/>
            <w:tcBorders>
              <w:top w:val="nil"/>
              <w:left w:val="nil"/>
              <w:bottom w:val="single" w:sz="12" w:space="0" w:color="000000"/>
              <w:right w:val="nil"/>
            </w:tcBorders>
            <w:hideMark/>
          </w:tcPr>
          <w:p w14:paraId="02D07BFC" w14:textId="6B4C23E7"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750</w:t>
            </w:r>
          </w:p>
          <w:p w14:paraId="5F530870"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4E83A4DF" w14:textId="1D5984A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310</w:t>
            </w:r>
          </w:p>
        </w:tc>
        <w:tc>
          <w:tcPr>
            <w:tcW w:w="103" w:type="pct"/>
            <w:tcBorders>
              <w:top w:val="nil"/>
              <w:left w:val="nil"/>
              <w:bottom w:val="single" w:sz="12" w:space="0" w:color="000000"/>
              <w:right w:val="nil"/>
            </w:tcBorders>
          </w:tcPr>
          <w:p w14:paraId="7E388BF6"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single" w:sz="12" w:space="0" w:color="000000"/>
              <w:right w:val="nil"/>
            </w:tcBorders>
            <w:hideMark/>
          </w:tcPr>
          <w:p w14:paraId="7C45DDF5" w14:textId="10CF46BB"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927.</w:t>
            </w:r>
            <w:r w:rsidR="00A907D1" w:rsidRPr="00596F2D">
              <w:rPr>
                <w:rFonts w:ascii="Times New Roman" w:hAnsi="Times New Roman" w:cs="Times New Roman"/>
                <w:color w:val="000000" w:themeColor="text1"/>
                <w:sz w:val="24"/>
                <w:szCs w:val="24"/>
              </w:rPr>
              <w:t>750</w:t>
            </w:r>
          </w:p>
          <w:p w14:paraId="646384D4"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2B58CF43" w14:textId="666C7ED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r w:rsidR="00A907D1" w:rsidRPr="00596F2D">
              <w:rPr>
                <w:rFonts w:ascii="Times New Roman" w:hAnsi="Times New Roman" w:cs="Times New Roman"/>
                <w:color w:val="000000" w:themeColor="text1"/>
                <w:sz w:val="24"/>
                <w:szCs w:val="24"/>
              </w:rPr>
              <w:t>712</w:t>
            </w:r>
          </w:p>
        </w:tc>
        <w:tc>
          <w:tcPr>
            <w:tcW w:w="103" w:type="pct"/>
            <w:tcBorders>
              <w:top w:val="nil"/>
              <w:left w:val="nil"/>
              <w:bottom w:val="single" w:sz="12" w:space="0" w:color="000000"/>
              <w:right w:val="nil"/>
            </w:tcBorders>
          </w:tcPr>
          <w:p w14:paraId="3F14B0BE"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single" w:sz="12" w:space="0" w:color="000000"/>
              <w:right w:val="nil"/>
            </w:tcBorders>
            <w:hideMark/>
          </w:tcPr>
          <w:p w14:paraId="62A9B37E" w14:textId="30EE46C0"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A907D1" w:rsidRPr="00596F2D">
              <w:rPr>
                <w:rFonts w:ascii="Times New Roman" w:hAnsi="Times New Roman" w:cs="Times New Roman"/>
                <w:color w:val="000000" w:themeColor="text1"/>
                <w:sz w:val="24"/>
                <w:szCs w:val="24"/>
              </w:rPr>
              <w:t>609</w:t>
            </w:r>
          </w:p>
          <w:p w14:paraId="7C558A3A"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0914056D" w14:textId="3690A0AA"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A907D1" w:rsidRPr="00596F2D">
              <w:rPr>
                <w:rFonts w:ascii="Times New Roman" w:hAnsi="Times New Roman" w:cs="Times New Roman"/>
                <w:color w:val="000000" w:themeColor="text1"/>
                <w:sz w:val="24"/>
                <w:szCs w:val="24"/>
              </w:rPr>
              <w:t>403</w:t>
            </w:r>
          </w:p>
        </w:tc>
        <w:tc>
          <w:tcPr>
            <w:tcW w:w="494" w:type="pct"/>
            <w:tcBorders>
              <w:top w:val="nil"/>
              <w:left w:val="nil"/>
              <w:bottom w:val="single" w:sz="12" w:space="0" w:color="000000"/>
              <w:right w:val="nil"/>
            </w:tcBorders>
            <w:hideMark/>
          </w:tcPr>
          <w:p w14:paraId="62A3C048" w14:textId="1B151E11"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334</w:t>
            </w:r>
          </w:p>
          <w:p w14:paraId="0DD3EDB9"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6020D008" w14:textId="3B829D9B"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060</w:t>
            </w:r>
          </w:p>
        </w:tc>
        <w:tc>
          <w:tcPr>
            <w:tcW w:w="679" w:type="pct"/>
            <w:tcBorders>
              <w:top w:val="nil"/>
              <w:left w:val="nil"/>
              <w:bottom w:val="single" w:sz="12" w:space="0" w:color="000000"/>
              <w:right w:val="nil"/>
            </w:tcBorders>
            <w:hideMark/>
          </w:tcPr>
          <w:p w14:paraId="1F6A0329" w14:textId="2D8EF5EF"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303</w:t>
            </w:r>
          </w:p>
          <w:p w14:paraId="6951575A"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65D9ADE7" w14:textId="4B3043FB"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001</w:t>
            </w:r>
          </w:p>
        </w:tc>
        <w:tc>
          <w:tcPr>
            <w:tcW w:w="679" w:type="pct"/>
            <w:tcBorders>
              <w:top w:val="nil"/>
              <w:left w:val="nil"/>
              <w:bottom w:val="single" w:sz="12" w:space="0" w:color="000000"/>
              <w:right w:val="nil"/>
            </w:tcBorders>
            <w:hideMark/>
          </w:tcPr>
          <w:p w14:paraId="04D47BCB" w14:textId="62FB92D5"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A907D1" w:rsidRPr="00596F2D">
              <w:rPr>
                <w:rFonts w:ascii="Times New Roman" w:hAnsi="Times New Roman" w:cs="Times New Roman"/>
                <w:color w:val="000000" w:themeColor="text1"/>
                <w:sz w:val="24"/>
                <w:szCs w:val="24"/>
              </w:rPr>
              <w:t>247</w:t>
            </w:r>
          </w:p>
          <w:p w14:paraId="51B7B2F4"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29177FAE" w14:textId="73C32384"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A907D1" w:rsidRPr="00596F2D">
              <w:rPr>
                <w:rFonts w:ascii="Times New Roman" w:hAnsi="Times New Roman" w:cs="Times New Roman"/>
                <w:color w:val="000000" w:themeColor="text1"/>
                <w:sz w:val="24"/>
                <w:szCs w:val="24"/>
              </w:rPr>
              <w:t>397</w:t>
            </w:r>
          </w:p>
          <w:p w14:paraId="6AF15F71" w14:textId="0F591010" w:rsidR="00893710" w:rsidRPr="00596F2D" w:rsidRDefault="00893710" w:rsidP="00A7365A">
            <w:pPr>
              <w:jc w:val="center"/>
              <w:rPr>
                <w:rFonts w:ascii="Times New Roman" w:hAnsi="Times New Roman" w:cs="Times New Roman"/>
                <w:color w:val="000000" w:themeColor="text1"/>
                <w:sz w:val="24"/>
                <w:szCs w:val="24"/>
              </w:rPr>
            </w:pPr>
          </w:p>
        </w:tc>
      </w:tr>
      <w:tr w:rsidR="00A907D1" w:rsidRPr="00C56015" w14:paraId="65A1BDE9" w14:textId="77777777" w:rsidTr="00710BF8">
        <w:trPr>
          <w:trHeight w:val="315"/>
        </w:trPr>
        <w:tc>
          <w:tcPr>
            <w:tcW w:w="620" w:type="pct"/>
            <w:vMerge w:val="restart"/>
            <w:tcBorders>
              <w:top w:val="single" w:sz="12" w:space="0" w:color="000000"/>
              <w:left w:val="nil"/>
              <w:bottom w:val="nil"/>
              <w:right w:val="nil"/>
            </w:tcBorders>
            <w:hideMark/>
          </w:tcPr>
          <w:p w14:paraId="32ABFA5F"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B11</w:t>
            </w:r>
          </w:p>
        </w:tc>
        <w:tc>
          <w:tcPr>
            <w:tcW w:w="541" w:type="pct"/>
            <w:tcBorders>
              <w:top w:val="single" w:sz="12" w:space="0" w:color="000000"/>
              <w:left w:val="nil"/>
              <w:bottom w:val="nil"/>
              <w:right w:val="nil"/>
            </w:tcBorders>
            <w:noWrap/>
            <w:hideMark/>
          </w:tcPr>
          <w:p w14:paraId="0AB0EB0D"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September</w:t>
            </w:r>
          </w:p>
        </w:tc>
        <w:tc>
          <w:tcPr>
            <w:tcW w:w="617" w:type="pct"/>
            <w:tcBorders>
              <w:top w:val="single" w:sz="12" w:space="0" w:color="000000"/>
              <w:left w:val="nil"/>
              <w:bottom w:val="nil"/>
              <w:right w:val="nil"/>
            </w:tcBorders>
            <w:hideMark/>
          </w:tcPr>
          <w:p w14:paraId="403611B6" w14:textId="11108D52"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907D1" w:rsidRPr="00596F2D">
              <w:rPr>
                <w:rFonts w:ascii="Times New Roman" w:hAnsi="Times New Roman" w:cs="Times New Roman"/>
                <w:color w:val="000000" w:themeColor="text1"/>
                <w:sz w:val="24"/>
                <w:szCs w:val="24"/>
              </w:rPr>
              <w:t>1</w:t>
            </w:r>
          </w:p>
        </w:tc>
        <w:tc>
          <w:tcPr>
            <w:tcW w:w="103" w:type="pct"/>
            <w:tcBorders>
              <w:top w:val="single" w:sz="12" w:space="0" w:color="000000"/>
              <w:left w:val="nil"/>
              <w:bottom w:val="nil"/>
              <w:right w:val="nil"/>
            </w:tcBorders>
          </w:tcPr>
          <w:p w14:paraId="704053B0"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single" w:sz="12" w:space="0" w:color="000000"/>
              <w:left w:val="nil"/>
              <w:bottom w:val="nil"/>
              <w:right w:val="nil"/>
            </w:tcBorders>
            <w:hideMark/>
          </w:tcPr>
          <w:p w14:paraId="75525199" w14:textId="5A5E571A"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810</w:t>
            </w:r>
          </w:p>
        </w:tc>
        <w:tc>
          <w:tcPr>
            <w:tcW w:w="103" w:type="pct"/>
            <w:tcBorders>
              <w:top w:val="single" w:sz="12" w:space="0" w:color="000000"/>
              <w:left w:val="nil"/>
              <w:bottom w:val="nil"/>
              <w:right w:val="nil"/>
            </w:tcBorders>
          </w:tcPr>
          <w:p w14:paraId="3A2037B9"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single" w:sz="12" w:space="0" w:color="000000"/>
              <w:left w:val="nil"/>
              <w:bottom w:val="nil"/>
              <w:right w:val="nil"/>
            </w:tcBorders>
            <w:hideMark/>
          </w:tcPr>
          <w:p w14:paraId="72115CA8" w14:textId="25DBC89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907D1" w:rsidRPr="00596F2D">
              <w:rPr>
                <w:rFonts w:ascii="Times New Roman" w:hAnsi="Times New Roman" w:cs="Times New Roman"/>
                <w:color w:val="000000" w:themeColor="text1"/>
                <w:sz w:val="24"/>
                <w:szCs w:val="24"/>
              </w:rPr>
              <w:t>018</w:t>
            </w:r>
          </w:p>
        </w:tc>
        <w:tc>
          <w:tcPr>
            <w:tcW w:w="494" w:type="pct"/>
            <w:tcBorders>
              <w:top w:val="single" w:sz="12" w:space="0" w:color="000000"/>
              <w:left w:val="nil"/>
              <w:bottom w:val="nil"/>
              <w:right w:val="nil"/>
            </w:tcBorders>
            <w:hideMark/>
          </w:tcPr>
          <w:p w14:paraId="1F1C7F76" w14:textId="4DB03EB3"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444</w:t>
            </w:r>
          </w:p>
        </w:tc>
        <w:tc>
          <w:tcPr>
            <w:tcW w:w="679" w:type="pct"/>
            <w:tcBorders>
              <w:top w:val="single" w:sz="12" w:space="0" w:color="000000"/>
              <w:left w:val="nil"/>
              <w:bottom w:val="nil"/>
              <w:right w:val="nil"/>
            </w:tcBorders>
            <w:hideMark/>
          </w:tcPr>
          <w:p w14:paraId="23529109" w14:textId="2A814A8D" w:rsidR="00A907D1" w:rsidRPr="00596F2D"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0.</w:t>
            </w:r>
            <w:r w:rsidR="00A907D1" w:rsidRPr="00231E9E">
              <w:rPr>
                <w:rFonts w:ascii="Times New Roman" w:hAnsi="Times New Roman" w:cs="Times New Roman"/>
                <w:sz w:val="24"/>
                <w:szCs w:val="24"/>
              </w:rPr>
              <w:t>3</w:t>
            </w:r>
            <w:r w:rsidR="00231E9E" w:rsidRPr="00231E9E">
              <w:rPr>
                <w:rFonts w:ascii="Times New Roman" w:hAnsi="Times New Roman" w:cs="Times New Roman"/>
                <w:sz w:val="24"/>
                <w:szCs w:val="24"/>
              </w:rPr>
              <w:t>00</w:t>
            </w:r>
          </w:p>
        </w:tc>
        <w:tc>
          <w:tcPr>
            <w:tcW w:w="679" w:type="pct"/>
            <w:tcBorders>
              <w:top w:val="single" w:sz="12" w:space="0" w:color="000000"/>
              <w:left w:val="nil"/>
              <w:bottom w:val="nil"/>
              <w:right w:val="nil"/>
            </w:tcBorders>
            <w:noWrap/>
            <w:hideMark/>
          </w:tcPr>
          <w:p w14:paraId="3192BE78" w14:textId="2DCB21E2"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A907D1" w:rsidRPr="00596F2D">
              <w:rPr>
                <w:rFonts w:ascii="Times New Roman" w:hAnsi="Times New Roman" w:cs="Times New Roman"/>
                <w:color w:val="000000" w:themeColor="text1"/>
                <w:sz w:val="24"/>
                <w:szCs w:val="24"/>
              </w:rPr>
              <w:t>763</w:t>
            </w:r>
          </w:p>
        </w:tc>
      </w:tr>
      <w:tr w:rsidR="00A907D1" w:rsidRPr="00C56015" w14:paraId="702CAE90" w14:textId="77777777" w:rsidTr="00710BF8">
        <w:trPr>
          <w:trHeight w:val="315"/>
        </w:trPr>
        <w:tc>
          <w:tcPr>
            <w:tcW w:w="620" w:type="pct"/>
            <w:vMerge/>
            <w:tcBorders>
              <w:top w:val="nil"/>
              <w:left w:val="nil"/>
              <w:bottom w:val="nil"/>
              <w:right w:val="nil"/>
            </w:tcBorders>
            <w:hideMark/>
          </w:tcPr>
          <w:p w14:paraId="08FF75F4"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4B5CD11B"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November</w:t>
            </w:r>
          </w:p>
        </w:tc>
        <w:tc>
          <w:tcPr>
            <w:tcW w:w="617" w:type="pct"/>
            <w:tcBorders>
              <w:top w:val="nil"/>
              <w:left w:val="nil"/>
              <w:bottom w:val="nil"/>
              <w:right w:val="nil"/>
            </w:tcBorders>
            <w:hideMark/>
          </w:tcPr>
          <w:p w14:paraId="42CECCE1" w14:textId="7D03DB8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907D1" w:rsidRPr="00596F2D">
              <w:rPr>
                <w:rFonts w:ascii="Times New Roman" w:hAnsi="Times New Roman" w:cs="Times New Roman"/>
                <w:color w:val="000000" w:themeColor="text1"/>
                <w:sz w:val="24"/>
                <w:szCs w:val="24"/>
              </w:rPr>
              <w:t>2</w:t>
            </w:r>
          </w:p>
        </w:tc>
        <w:tc>
          <w:tcPr>
            <w:tcW w:w="103" w:type="pct"/>
            <w:tcBorders>
              <w:top w:val="nil"/>
              <w:left w:val="nil"/>
              <w:bottom w:val="nil"/>
              <w:right w:val="nil"/>
            </w:tcBorders>
          </w:tcPr>
          <w:p w14:paraId="5C45EEF6"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1296A5F0" w14:textId="6ED77F92"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937</w:t>
            </w:r>
          </w:p>
        </w:tc>
        <w:tc>
          <w:tcPr>
            <w:tcW w:w="103" w:type="pct"/>
            <w:tcBorders>
              <w:top w:val="nil"/>
              <w:left w:val="nil"/>
              <w:bottom w:val="nil"/>
              <w:right w:val="nil"/>
            </w:tcBorders>
          </w:tcPr>
          <w:p w14:paraId="729B5E81"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3868A5A1" w14:textId="636C61F0"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A907D1" w:rsidRPr="00596F2D">
              <w:rPr>
                <w:rFonts w:ascii="Times New Roman" w:hAnsi="Times New Roman" w:cs="Times New Roman"/>
                <w:color w:val="000000" w:themeColor="text1"/>
                <w:sz w:val="24"/>
                <w:szCs w:val="24"/>
              </w:rPr>
              <w:t>094</w:t>
            </w:r>
          </w:p>
        </w:tc>
        <w:tc>
          <w:tcPr>
            <w:tcW w:w="494" w:type="pct"/>
            <w:tcBorders>
              <w:top w:val="nil"/>
              <w:left w:val="nil"/>
              <w:bottom w:val="nil"/>
              <w:right w:val="nil"/>
            </w:tcBorders>
            <w:hideMark/>
          </w:tcPr>
          <w:p w14:paraId="21A6E93B" w14:textId="07A4D20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265</w:t>
            </w:r>
          </w:p>
        </w:tc>
        <w:tc>
          <w:tcPr>
            <w:tcW w:w="679" w:type="pct"/>
            <w:tcBorders>
              <w:top w:val="nil"/>
              <w:left w:val="nil"/>
              <w:bottom w:val="nil"/>
              <w:right w:val="nil"/>
            </w:tcBorders>
            <w:hideMark/>
          </w:tcPr>
          <w:p w14:paraId="1B4E4AD0" w14:textId="798E6C0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304</w:t>
            </w:r>
          </w:p>
        </w:tc>
        <w:tc>
          <w:tcPr>
            <w:tcW w:w="679" w:type="pct"/>
            <w:tcBorders>
              <w:top w:val="nil"/>
              <w:left w:val="nil"/>
              <w:bottom w:val="nil"/>
              <w:right w:val="nil"/>
            </w:tcBorders>
            <w:noWrap/>
            <w:hideMark/>
          </w:tcPr>
          <w:p w14:paraId="2598C0E4" w14:textId="58654C56"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A907D1" w:rsidRPr="00596F2D">
              <w:rPr>
                <w:rFonts w:ascii="Times New Roman" w:hAnsi="Times New Roman" w:cs="Times New Roman"/>
                <w:color w:val="000000" w:themeColor="text1"/>
                <w:sz w:val="24"/>
                <w:szCs w:val="24"/>
              </w:rPr>
              <w:t>664</w:t>
            </w:r>
          </w:p>
        </w:tc>
      </w:tr>
      <w:tr w:rsidR="00A907D1" w:rsidRPr="00C56015" w14:paraId="52339451" w14:textId="77777777" w:rsidTr="00710BF8">
        <w:trPr>
          <w:trHeight w:val="315"/>
        </w:trPr>
        <w:tc>
          <w:tcPr>
            <w:tcW w:w="620" w:type="pct"/>
            <w:vMerge/>
            <w:tcBorders>
              <w:top w:val="nil"/>
              <w:left w:val="nil"/>
              <w:bottom w:val="nil"/>
              <w:right w:val="nil"/>
            </w:tcBorders>
            <w:hideMark/>
          </w:tcPr>
          <w:p w14:paraId="7D31ABF1"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759E3076"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January</w:t>
            </w:r>
          </w:p>
        </w:tc>
        <w:tc>
          <w:tcPr>
            <w:tcW w:w="617" w:type="pct"/>
            <w:tcBorders>
              <w:top w:val="nil"/>
              <w:left w:val="nil"/>
              <w:bottom w:val="nil"/>
              <w:right w:val="nil"/>
            </w:tcBorders>
            <w:hideMark/>
          </w:tcPr>
          <w:p w14:paraId="50B61F12" w14:textId="35C6B4DE"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5</w:t>
            </w:r>
          </w:p>
        </w:tc>
        <w:tc>
          <w:tcPr>
            <w:tcW w:w="103" w:type="pct"/>
            <w:tcBorders>
              <w:top w:val="nil"/>
              <w:left w:val="nil"/>
              <w:bottom w:val="nil"/>
              <w:right w:val="nil"/>
            </w:tcBorders>
          </w:tcPr>
          <w:p w14:paraId="04170E7B"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75D2C748" w14:textId="01ED3501"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1184</w:t>
            </w:r>
          </w:p>
        </w:tc>
        <w:tc>
          <w:tcPr>
            <w:tcW w:w="103" w:type="pct"/>
            <w:tcBorders>
              <w:top w:val="nil"/>
              <w:left w:val="nil"/>
              <w:bottom w:val="nil"/>
              <w:right w:val="nil"/>
            </w:tcBorders>
          </w:tcPr>
          <w:p w14:paraId="13060CF4"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32341BE1" w14:textId="2F2E6113"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00A907D1" w:rsidRPr="00596F2D">
              <w:rPr>
                <w:rFonts w:ascii="Times New Roman" w:hAnsi="Times New Roman" w:cs="Times New Roman"/>
                <w:color w:val="000000" w:themeColor="text1"/>
                <w:sz w:val="24"/>
                <w:szCs w:val="24"/>
              </w:rPr>
              <w:t>819</w:t>
            </w:r>
          </w:p>
        </w:tc>
        <w:tc>
          <w:tcPr>
            <w:tcW w:w="494" w:type="pct"/>
            <w:tcBorders>
              <w:top w:val="nil"/>
              <w:left w:val="nil"/>
              <w:bottom w:val="nil"/>
              <w:right w:val="nil"/>
            </w:tcBorders>
            <w:hideMark/>
          </w:tcPr>
          <w:p w14:paraId="141E50FF" w14:textId="64F145AA"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317</w:t>
            </w:r>
          </w:p>
        </w:tc>
        <w:tc>
          <w:tcPr>
            <w:tcW w:w="679" w:type="pct"/>
            <w:tcBorders>
              <w:top w:val="nil"/>
              <w:left w:val="nil"/>
              <w:bottom w:val="nil"/>
              <w:right w:val="nil"/>
            </w:tcBorders>
            <w:hideMark/>
          </w:tcPr>
          <w:p w14:paraId="6A15FA56" w14:textId="20F92193"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304</w:t>
            </w:r>
          </w:p>
        </w:tc>
        <w:tc>
          <w:tcPr>
            <w:tcW w:w="679" w:type="pct"/>
            <w:tcBorders>
              <w:top w:val="nil"/>
              <w:left w:val="nil"/>
              <w:bottom w:val="nil"/>
              <w:right w:val="nil"/>
            </w:tcBorders>
            <w:noWrap/>
            <w:hideMark/>
          </w:tcPr>
          <w:p w14:paraId="68319BD1" w14:textId="56BB2CDA"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sidR="00A907D1" w:rsidRPr="00596F2D">
              <w:rPr>
                <w:rFonts w:ascii="Times New Roman" w:hAnsi="Times New Roman" w:cs="Times New Roman"/>
                <w:color w:val="000000" w:themeColor="text1"/>
                <w:sz w:val="24"/>
                <w:szCs w:val="24"/>
              </w:rPr>
              <w:t>441</w:t>
            </w:r>
          </w:p>
        </w:tc>
      </w:tr>
      <w:tr w:rsidR="00A907D1" w:rsidRPr="00C56015" w14:paraId="235BE45E" w14:textId="77777777" w:rsidTr="00710BF8">
        <w:trPr>
          <w:trHeight w:val="330"/>
        </w:trPr>
        <w:tc>
          <w:tcPr>
            <w:tcW w:w="620" w:type="pct"/>
            <w:vMerge/>
            <w:tcBorders>
              <w:top w:val="nil"/>
              <w:left w:val="nil"/>
              <w:bottom w:val="nil"/>
              <w:right w:val="nil"/>
            </w:tcBorders>
            <w:hideMark/>
          </w:tcPr>
          <w:p w14:paraId="1FCDB6C7"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31E9B17B"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March</w:t>
            </w:r>
          </w:p>
        </w:tc>
        <w:tc>
          <w:tcPr>
            <w:tcW w:w="617" w:type="pct"/>
            <w:tcBorders>
              <w:top w:val="nil"/>
              <w:left w:val="nil"/>
              <w:bottom w:val="nil"/>
              <w:right w:val="nil"/>
            </w:tcBorders>
            <w:hideMark/>
          </w:tcPr>
          <w:p w14:paraId="6D4A9692" w14:textId="0A47721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2</w:t>
            </w:r>
          </w:p>
        </w:tc>
        <w:tc>
          <w:tcPr>
            <w:tcW w:w="103" w:type="pct"/>
            <w:tcBorders>
              <w:top w:val="nil"/>
              <w:left w:val="nil"/>
              <w:bottom w:val="nil"/>
              <w:right w:val="nil"/>
            </w:tcBorders>
          </w:tcPr>
          <w:p w14:paraId="40D031B8"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617F458A" w14:textId="0393311F"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2140</w:t>
            </w:r>
          </w:p>
        </w:tc>
        <w:tc>
          <w:tcPr>
            <w:tcW w:w="103" w:type="pct"/>
            <w:tcBorders>
              <w:top w:val="nil"/>
              <w:left w:val="nil"/>
              <w:bottom w:val="nil"/>
              <w:right w:val="nil"/>
            </w:tcBorders>
          </w:tcPr>
          <w:p w14:paraId="26E6CDDB"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6A9BAB8D" w14:textId="6CD457BE"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A907D1" w:rsidRPr="00596F2D">
              <w:rPr>
                <w:rFonts w:ascii="Times New Roman" w:hAnsi="Times New Roman" w:cs="Times New Roman"/>
                <w:color w:val="000000" w:themeColor="text1"/>
                <w:sz w:val="24"/>
                <w:szCs w:val="24"/>
              </w:rPr>
              <w:t>711</w:t>
            </w:r>
          </w:p>
        </w:tc>
        <w:tc>
          <w:tcPr>
            <w:tcW w:w="494" w:type="pct"/>
            <w:tcBorders>
              <w:top w:val="nil"/>
              <w:left w:val="nil"/>
              <w:bottom w:val="nil"/>
              <w:right w:val="nil"/>
            </w:tcBorders>
            <w:hideMark/>
          </w:tcPr>
          <w:p w14:paraId="71113A0E" w14:textId="29A939C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417</w:t>
            </w:r>
          </w:p>
        </w:tc>
        <w:tc>
          <w:tcPr>
            <w:tcW w:w="679" w:type="pct"/>
            <w:tcBorders>
              <w:top w:val="nil"/>
              <w:left w:val="nil"/>
              <w:bottom w:val="nil"/>
              <w:right w:val="nil"/>
            </w:tcBorders>
            <w:hideMark/>
          </w:tcPr>
          <w:p w14:paraId="3CED1243" w14:textId="0E23A721"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299</w:t>
            </w:r>
          </w:p>
        </w:tc>
        <w:tc>
          <w:tcPr>
            <w:tcW w:w="679" w:type="pct"/>
            <w:tcBorders>
              <w:top w:val="nil"/>
              <w:left w:val="nil"/>
              <w:bottom w:val="nil"/>
              <w:right w:val="nil"/>
            </w:tcBorders>
            <w:noWrap/>
            <w:hideMark/>
          </w:tcPr>
          <w:p w14:paraId="6DE272D2" w14:textId="24EDF20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A907D1" w:rsidRPr="00596F2D">
              <w:rPr>
                <w:rFonts w:ascii="Times New Roman" w:hAnsi="Times New Roman" w:cs="Times New Roman"/>
                <w:color w:val="000000" w:themeColor="text1"/>
                <w:sz w:val="24"/>
                <w:szCs w:val="24"/>
              </w:rPr>
              <w:t>429</w:t>
            </w:r>
          </w:p>
        </w:tc>
      </w:tr>
      <w:tr w:rsidR="00A907D1" w:rsidRPr="00C56015" w14:paraId="2C24044A" w14:textId="77777777" w:rsidTr="00710BF8">
        <w:trPr>
          <w:trHeight w:val="915"/>
        </w:trPr>
        <w:tc>
          <w:tcPr>
            <w:tcW w:w="1161" w:type="pct"/>
            <w:gridSpan w:val="2"/>
            <w:tcBorders>
              <w:top w:val="nil"/>
              <w:left w:val="nil"/>
              <w:bottom w:val="single" w:sz="12" w:space="0" w:color="000000"/>
              <w:right w:val="nil"/>
            </w:tcBorders>
            <w:hideMark/>
          </w:tcPr>
          <w:p w14:paraId="15848AA6"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Average</w:t>
            </w:r>
          </w:p>
          <w:p w14:paraId="18C7BDE0"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w:t>
            </w:r>
          </w:p>
          <w:p w14:paraId="2612BF12" w14:textId="41CBFD5C" w:rsidR="00A907D1" w:rsidRPr="00596F2D"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Standard deviation</w:t>
            </w:r>
          </w:p>
        </w:tc>
        <w:tc>
          <w:tcPr>
            <w:tcW w:w="617" w:type="pct"/>
            <w:tcBorders>
              <w:top w:val="nil"/>
              <w:left w:val="nil"/>
              <w:bottom w:val="single" w:sz="12" w:space="0" w:color="000000"/>
              <w:right w:val="nil"/>
            </w:tcBorders>
            <w:hideMark/>
          </w:tcPr>
          <w:p w14:paraId="4CFDE8DA" w14:textId="243ACECF"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750</w:t>
            </w:r>
          </w:p>
          <w:p w14:paraId="3ED882D6"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3838ED22" w14:textId="081E378E"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479</w:t>
            </w:r>
          </w:p>
        </w:tc>
        <w:tc>
          <w:tcPr>
            <w:tcW w:w="103" w:type="pct"/>
            <w:tcBorders>
              <w:top w:val="nil"/>
              <w:left w:val="nil"/>
              <w:bottom w:val="single" w:sz="12" w:space="0" w:color="000000"/>
              <w:right w:val="nil"/>
            </w:tcBorders>
          </w:tcPr>
          <w:p w14:paraId="1C5B188D"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single" w:sz="12" w:space="0" w:color="000000"/>
              <w:right w:val="nil"/>
            </w:tcBorders>
            <w:hideMark/>
          </w:tcPr>
          <w:p w14:paraId="38D65101" w14:textId="2638172C"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1267.</w:t>
            </w:r>
            <w:r w:rsidR="00A907D1" w:rsidRPr="00596F2D">
              <w:rPr>
                <w:rFonts w:ascii="Times New Roman" w:hAnsi="Times New Roman" w:cs="Times New Roman"/>
                <w:color w:val="000000" w:themeColor="text1"/>
                <w:sz w:val="24"/>
                <w:szCs w:val="24"/>
              </w:rPr>
              <w:t>750</w:t>
            </w:r>
          </w:p>
          <w:p w14:paraId="26F9E8E4"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7AEDF1C9" w14:textId="06ED0F78"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601.</w:t>
            </w:r>
            <w:r w:rsidR="00A907D1" w:rsidRPr="00596F2D">
              <w:rPr>
                <w:rFonts w:ascii="Times New Roman" w:hAnsi="Times New Roman" w:cs="Times New Roman"/>
                <w:color w:val="000000" w:themeColor="text1"/>
                <w:sz w:val="24"/>
                <w:szCs w:val="24"/>
              </w:rPr>
              <w:t>876</w:t>
            </w:r>
          </w:p>
        </w:tc>
        <w:tc>
          <w:tcPr>
            <w:tcW w:w="103" w:type="pct"/>
            <w:tcBorders>
              <w:top w:val="nil"/>
              <w:left w:val="nil"/>
              <w:bottom w:val="single" w:sz="12" w:space="0" w:color="000000"/>
              <w:right w:val="nil"/>
            </w:tcBorders>
          </w:tcPr>
          <w:p w14:paraId="241B6072"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single" w:sz="12" w:space="0" w:color="000000"/>
              <w:right w:val="nil"/>
            </w:tcBorders>
            <w:hideMark/>
          </w:tcPr>
          <w:p w14:paraId="626C71BE" w14:textId="4154C3B7"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A907D1" w:rsidRPr="00596F2D">
              <w:rPr>
                <w:rFonts w:ascii="Times New Roman" w:hAnsi="Times New Roman" w:cs="Times New Roman"/>
                <w:color w:val="000000" w:themeColor="text1"/>
                <w:sz w:val="24"/>
                <w:szCs w:val="24"/>
              </w:rPr>
              <w:t>660</w:t>
            </w:r>
          </w:p>
          <w:p w14:paraId="42728180"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1561B451" w14:textId="4D49DF7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A907D1" w:rsidRPr="00596F2D">
              <w:rPr>
                <w:rFonts w:ascii="Times New Roman" w:hAnsi="Times New Roman" w:cs="Times New Roman"/>
                <w:color w:val="000000" w:themeColor="text1"/>
                <w:sz w:val="24"/>
                <w:szCs w:val="24"/>
              </w:rPr>
              <w:t>903</w:t>
            </w:r>
          </w:p>
        </w:tc>
        <w:tc>
          <w:tcPr>
            <w:tcW w:w="494" w:type="pct"/>
            <w:tcBorders>
              <w:top w:val="nil"/>
              <w:left w:val="nil"/>
              <w:bottom w:val="single" w:sz="12" w:space="0" w:color="000000"/>
              <w:right w:val="nil"/>
            </w:tcBorders>
            <w:hideMark/>
          </w:tcPr>
          <w:p w14:paraId="2234190D" w14:textId="7DF4495D"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360</w:t>
            </w:r>
          </w:p>
          <w:p w14:paraId="15811887"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604F4A7C" w14:textId="5D56C3E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084</w:t>
            </w:r>
          </w:p>
        </w:tc>
        <w:tc>
          <w:tcPr>
            <w:tcW w:w="679" w:type="pct"/>
            <w:tcBorders>
              <w:top w:val="nil"/>
              <w:left w:val="nil"/>
              <w:bottom w:val="single" w:sz="12" w:space="0" w:color="000000"/>
              <w:right w:val="nil"/>
            </w:tcBorders>
            <w:hideMark/>
          </w:tcPr>
          <w:p w14:paraId="3A99BC63" w14:textId="15B606BD"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301</w:t>
            </w:r>
          </w:p>
          <w:p w14:paraId="5866EBFA"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5CE966B0" w14:textId="7B6EEF4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002</w:t>
            </w:r>
          </w:p>
        </w:tc>
        <w:tc>
          <w:tcPr>
            <w:tcW w:w="679" w:type="pct"/>
            <w:tcBorders>
              <w:top w:val="nil"/>
              <w:left w:val="nil"/>
              <w:bottom w:val="single" w:sz="12" w:space="0" w:color="000000"/>
              <w:right w:val="nil"/>
            </w:tcBorders>
            <w:hideMark/>
          </w:tcPr>
          <w:p w14:paraId="7BF180F0" w14:textId="7BAED883"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A907D1" w:rsidRPr="00596F2D">
              <w:rPr>
                <w:rFonts w:ascii="Times New Roman" w:hAnsi="Times New Roman" w:cs="Times New Roman"/>
                <w:color w:val="000000" w:themeColor="text1"/>
                <w:sz w:val="24"/>
                <w:szCs w:val="24"/>
              </w:rPr>
              <w:t>324</w:t>
            </w:r>
          </w:p>
          <w:p w14:paraId="5A4BA47E"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50E98170" w14:textId="212DA77D"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A907D1" w:rsidRPr="00596F2D">
              <w:rPr>
                <w:rFonts w:ascii="Times New Roman" w:hAnsi="Times New Roman" w:cs="Times New Roman"/>
                <w:color w:val="000000" w:themeColor="text1"/>
                <w:sz w:val="24"/>
                <w:szCs w:val="24"/>
              </w:rPr>
              <w:t>842</w:t>
            </w:r>
          </w:p>
          <w:p w14:paraId="01156082" w14:textId="22F24D84" w:rsidR="00893710" w:rsidRPr="00596F2D" w:rsidRDefault="00893710" w:rsidP="00A7365A">
            <w:pPr>
              <w:jc w:val="center"/>
              <w:rPr>
                <w:rFonts w:ascii="Times New Roman" w:hAnsi="Times New Roman" w:cs="Times New Roman"/>
                <w:color w:val="000000" w:themeColor="text1"/>
                <w:sz w:val="24"/>
                <w:szCs w:val="24"/>
              </w:rPr>
            </w:pPr>
          </w:p>
        </w:tc>
      </w:tr>
      <w:tr w:rsidR="00A907D1" w:rsidRPr="00C56015" w14:paraId="1EC9C707" w14:textId="77777777" w:rsidTr="00710BF8">
        <w:trPr>
          <w:trHeight w:val="315"/>
        </w:trPr>
        <w:tc>
          <w:tcPr>
            <w:tcW w:w="620" w:type="pct"/>
            <w:vMerge w:val="restart"/>
            <w:tcBorders>
              <w:top w:val="single" w:sz="12" w:space="0" w:color="000000"/>
              <w:left w:val="nil"/>
              <w:bottom w:val="nil"/>
              <w:right w:val="nil"/>
            </w:tcBorders>
            <w:hideMark/>
          </w:tcPr>
          <w:p w14:paraId="509C7B3D"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B17</w:t>
            </w:r>
          </w:p>
        </w:tc>
        <w:tc>
          <w:tcPr>
            <w:tcW w:w="541" w:type="pct"/>
            <w:tcBorders>
              <w:top w:val="single" w:sz="12" w:space="0" w:color="000000"/>
              <w:left w:val="nil"/>
              <w:bottom w:val="nil"/>
              <w:right w:val="nil"/>
            </w:tcBorders>
            <w:noWrap/>
            <w:hideMark/>
          </w:tcPr>
          <w:p w14:paraId="1E30B625"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September</w:t>
            </w:r>
          </w:p>
        </w:tc>
        <w:tc>
          <w:tcPr>
            <w:tcW w:w="617" w:type="pct"/>
            <w:tcBorders>
              <w:top w:val="single" w:sz="12" w:space="0" w:color="000000"/>
              <w:left w:val="nil"/>
              <w:bottom w:val="nil"/>
              <w:right w:val="nil"/>
            </w:tcBorders>
            <w:hideMark/>
          </w:tcPr>
          <w:p w14:paraId="4DC85AE5" w14:textId="38961A2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A907D1" w:rsidRPr="00596F2D">
              <w:rPr>
                <w:rFonts w:ascii="Times New Roman" w:hAnsi="Times New Roman" w:cs="Times New Roman"/>
                <w:color w:val="000000" w:themeColor="text1"/>
                <w:sz w:val="24"/>
                <w:szCs w:val="24"/>
              </w:rPr>
              <w:t>9</w:t>
            </w:r>
          </w:p>
        </w:tc>
        <w:tc>
          <w:tcPr>
            <w:tcW w:w="103" w:type="pct"/>
            <w:tcBorders>
              <w:top w:val="single" w:sz="12" w:space="0" w:color="000000"/>
              <w:left w:val="nil"/>
              <w:bottom w:val="nil"/>
              <w:right w:val="nil"/>
            </w:tcBorders>
          </w:tcPr>
          <w:p w14:paraId="690D765A"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single" w:sz="12" w:space="0" w:color="000000"/>
              <w:left w:val="nil"/>
              <w:bottom w:val="nil"/>
              <w:right w:val="nil"/>
            </w:tcBorders>
            <w:hideMark/>
          </w:tcPr>
          <w:p w14:paraId="1A53D88A" w14:textId="6DC992B1"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830</w:t>
            </w:r>
          </w:p>
        </w:tc>
        <w:tc>
          <w:tcPr>
            <w:tcW w:w="103" w:type="pct"/>
            <w:tcBorders>
              <w:top w:val="single" w:sz="12" w:space="0" w:color="000000"/>
              <w:left w:val="nil"/>
              <w:bottom w:val="nil"/>
              <w:right w:val="nil"/>
            </w:tcBorders>
          </w:tcPr>
          <w:p w14:paraId="141F95B0"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single" w:sz="12" w:space="0" w:color="000000"/>
              <w:left w:val="nil"/>
              <w:bottom w:val="nil"/>
              <w:right w:val="nil"/>
            </w:tcBorders>
            <w:hideMark/>
          </w:tcPr>
          <w:p w14:paraId="1DA6D557" w14:textId="41DA43B2"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907D1" w:rsidRPr="00596F2D">
              <w:rPr>
                <w:rFonts w:ascii="Times New Roman" w:hAnsi="Times New Roman" w:cs="Times New Roman"/>
                <w:color w:val="000000" w:themeColor="text1"/>
                <w:sz w:val="24"/>
                <w:szCs w:val="24"/>
              </w:rPr>
              <w:t>372</w:t>
            </w:r>
          </w:p>
        </w:tc>
        <w:tc>
          <w:tcPr>
            <w:tcW w:w="494" w:type="pct"/>
            <w:tcBorders>
              <w:top w:val="single" w:sz="12" w:space="0" w:color="000000"/>
              <w:left w:val="nil"/>
              <w:bottom w:val="nil"/>
              <w:right w:val="nil"/>
            </w:tcBorders>
            <w:hideMark/>
          </w:tcPr>
          <w:p w14:paraId="24532EB8" w14:textId="20649334" w:rsidR="00A907D1" w:rsidRPr="00596F2D"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0.</w:t>
            </w:r>
            <w:r w:rsidR="00A907D1" w:rsidRPr="00231E9E">
              <w:rPr>
                <w:rFonts w:ascii="Times New Roman" w:hAnsi="Times New Roman" w:cs="Times New Roman"/>
                <w:sz w:val="24"/>
                <w:szCs w:val="24"/>
              </w:rPr>
              <w:t>28</w:t>
            </w:r>
            <w:r w:rsidRPr="00231E9E">
              <w:rPr>
                <w:rFonts w:ascii="Times New Roman" w:hAnsi="Times New Roman" w:cs="Times New Roman"/>
                <w:sz w:val="24"/>
                <w:szCs w:val="24"/>
              </w:rPr>
              <w:t>0</w:t>
            </w:r>
          </w:p>
        </w:tc>
        <w:tc>
          <w:tcPr>
            <w:tcW w:w="679" w:type="pct"/>
            <w:tcBorders>
              <w:top w:val="single" w:sz="12" w:space="0" w:color="000000"/>
              <w:left w:val="nil"/>
              <w:bottom w:val="nil"/>
              <w:right w:val="nil"/>
            </w:tcBorders>
            <w:hideMark/>
          </w:tcPr>
          <w:p w14:paraId="26340098" w14:textId="0631998F"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304</w:t>
            </w:r>
          </w:p>
        </w:tc>
        <w:tc>
          <w:tcPr>
            <w:tcW w:w="679" w:type="pct"/>
            <w:tcBorders>
              <w:top w:val="single" w:sz="12" w:space="0" w:color="000000"/>
              <w:left w:val="nil"/>
              <w:bottom w:val="nil"/>
              <w:right w:val="nil"/>
            </w:tcBorders>
            <w:noWrap/>
            <w:hideMark/>
          </w:tcPr>
          <w:p w14:paraId="34078017" w14:textId="35C39CD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A907D1" w:rsidRPr="00596F2D">
              <w:rPr>
                <w:rFonts w:ascii="Times New Roman" w:hAnsi="Times New Roman" w:cs="Times New Roman"/>
                <w:color w:val="000000" w:themeColor="text1"/>
                <w:sz w:val="24"/>
                <w:szCs w:val="24"/>
              </w:rPr>
              <w:t>957</w:t>
            </w:r>
          </w:p>
        </w:tc>
      </w:tr>
      <w:tr w:rsidR="00A907D1" w:rsidRPr="00C56015" w14:paraId="6E98EC7D" w14:textId="77777777" w:rsidTr="00710BF8">
        <w:trPr>
          <w:trHeight w:val="315"/>
        </w:trPr>
        <w:tc>
          <w:tcPr>
            <w:tcW w:w="620" w:type="pct"/>
            <w:vMerge/>
            <w:tcBorders>
              <w:top w:val="nil"/>
              <w:left w:val="nil"/>
              <w:bottom w:val="nil"/>
              <w:right w:val="nil"/>
            </w:tcBorders>
            <w:hideMark/>
          </w:tcPr>
          <w:p w14:paraId="3DE514C3"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185A3FAE"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November</w:t>
            </w:r>
          </w:p>
        </w:tc>
        <w:tc>
          <w:tcPr>
            <w:tcW w:w="617" w:type="pct"/>
            <w:tcBorders>
              <w:top w:val="nil"/>
              <w:left w:val="nil"/>
              <w:bottom w:val="nil"/>
              <w:right w:val="nil"/>
            </w:tcBorders>
            <w:hideMark/>
          </w:tcPr>
          <w:p w14:paraId="5949AA96" w14:textId="4A3C429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A907D1" w:rsidRPr="00596F2D">
              <w:rPr>
                <w:rFonts w:ascii="Times New Roman" w:hAnsi="Times New Roman" w:cs="Times New Roman"/>
                <w:color w:val="000000" w:themeColor="text1"/>
                <w:sz w:val="24"/>
                <w:szCs w:val="24"/>
              </w:rPr>
              <w:t>2</w:t>
            </w:r>
          </w:p>
        </w:tc>
        <w:tc>
          <w:tcPr>
            <w:tcW w:w="103" w:type="pct"/>
            <w:tcBorders>
              <w:top w:val="nil"/>
              <w:left w:val="nil"/>
              <w:bottom w:val="nil"/>
              <w:right w:val="nil"/>
            </w:tcBorders>
          </w:tcPr>
          <w:p w14:paraId="5470A30F"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7A22150E" w14:textId="448243D2"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863</w:t>
            </w:r>
          </w:p>
        </w:tc>
        <w:tc>
          <w:tcPr>
            <w:tcW w:w="103" w:type="pct"/>
            <w:tcBorders>
              <w:top w:val="nil"/>
              <w:left w:val="nil"/>
              <w:bottom w:val="nil"/>
              <w:right w:val="nil"/>
            </w:tcBorders>
          </w:tcPr>
          <w:p w14:paraId="0E831175"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088EAEC1" w14:textId="298C02A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A907D1" w:rsidRPr="00596F2D">
              <w:rPr>
                <w:rFonts w:ascii="Times New Roman" w:hAnsi="Times New Roman" w:cs="Times New Roman"/>
                <w:color w:val="000000" w:themeColor="text1"/>
                <w:sz w:val="24"/>
                <w:szCs w:val="24"/>
              </w:rPr>
              <w:t>422</w:t>
            </w:r>
          </w:p>
        </w:tc>
        <w:tc>
          <w:tcPr>
            <w:tcW w:w="494" w:type="pct"/>
            <w:tcBorders>
              <w:top w:val="nil"/>
              <w:left w:val="nil"/>
              <w:bottom w:val="nil"/>
              <w:right w:val="nil"/>
            </w:tcBorders>
            <w:hideMark/>
          </w:tcPr>
          <w:p w14:paraId="64D2CE8B" w14:textId="338DF97E"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353</w:t>
            </w:r>
          </w:p>
        </w:tc>
        <w:tc>
          <w:tcPr>
            <w:tcW w:w="679" w:type="pct"/>
            <w:tcBorders>
              <w:top w:val="nil"/>
              <w:left w:val="nil"/>
              <w:bottom w:val="nil"/>
              <w:right w:val="nil"/>
            </w:tcBorders>
            <w:hideMark/>
          </w:tcPr>
          <w:p w14:paraId="064A9FB0" w14:textId="2AA555E2"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401</w:t>
            </w:r>
          </w:p>
        </w:tc>
        <w:tc>
          <w:tcPr>
            <w:tcW w:w="679" w:type="pct"/>
            <w:tcBorders>
              <w:top w:val="nil"/>
              <w:left w:val="nil"/>
              <w:bottom w:val="nil"/>
              <w:right w:val="nil"/>
            </w:tcBorders>
            <w:noWrap/>
            <w:hideMark/>
          </w:tcPr>
          <w:p w14:paraId="77DCD9B5" w14:textId="33333925"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A907D1" w:rsidRPr="00596F2D">
              <w:rPr>
                <w:rFonts w:ascii="Times New Roman" w:hAnsi="Times New Roman" w:cs="Times New Roman"/>
                <w:color w:val="000000" w:themeColor="text1"/>
                <w:sz w:val="24"/>
                <w:szCs w:val="24"/>
              </w:rPr>
              <w:t>178</w:t>
            </w:r>
          </w:p>
        </w:tc>
      </w:tr>
      <w:tr w:rsidR="00A907D1" w:rsidRPr="00C56015" w14:paraId="36C5A23D" w14:textId="77777777" w:rsidTr="00710BF8">
        <w:trPr>
          <w:trHeight w:val="315"/>
        </w:trPr>
        <w:tc>
          <w:tcPr>
            <w:tcW w:w="620" w:type="pct"/>
            <w:vMerge/>
            <w:tcBorders>
              <w:top w:val="nil"/>
              <w:left w:val="nil"/>
              <w:bottom w:val="nil"/>
              <w:right w:val="nil"/>
            </w:tcBorders>
            <w:hideMark/>
          </w:tcPr>
          <w:p w14:paraId="7BB55B70"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7781C468"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January</w:t>
            </w:r>
          </w:p>
        </w:tc>
        <w:tc>
          <w:tcPr>
            <w:tcW w:w="617" w:type="pct"/>
            <w:tcBorders>
              <w:top w:val="nil"/>
              <w:left w:val="nil"/>
              <w:bottom w:val="nil"/>
              <w:right w:val="nil"/>
            </w:tcBorders>
            <w:hideMark/>
          </w:tcPr>
          <w:p w14:paraId="4858B933" w14:textId="6153192F"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7</w:t>
            </w:r>
          </w:p>
        </w:tc>
        <w:tc>
          <w:tcPr>
            <w:tcW w:w="103" w:type="pct"/>
            <w:tcBorders>
              <w:top w:val="nil"/>
              <w:left w:val="nil"/>
              <w:bottom w:val="nil"/>
              <w:right w:val="nil"/>
            </w:tcBorders>
          </w:tcPr>
          <w:p w14:paraId="3F7E33A4"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0EC5B744" w14:textId="002C5324"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2020</w:t>
            </w:r>
          </w:p>
        </w:tc>
        <w:tc>
          <w:tcPr>
            <w:tcW w:w="103" w:type="pct"/>
            <w:tcBorders>
              <w:top w:val="nil"/>
              <w:left w:val="nil"/>
              <w:bottom w:val="nil"/>
              <w:right w:val="nil"/>
            </w:tcBorders>
          </w:tcPr>
          <w:p w14:paraId="4BB55C37"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52146818" w14:textId="3367B8DA"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00A907D1" w:rsidRPr="00596F2D">
              <w:rPr>
                <w:rFonts w:ascii="Times New Roman" w:hAnsi="Times New Roman" w:cs="Times New Roman"/>
                <w:color w:val="000000" w:themeColor="text1"/>
                <w:sz w:val="24"/>
                <w:szCs w:val="24"/>
              </w:rPr>
              <w:t>241</w:t>
            </w:r>
          </w:p>
        </w:tc>
        <w:tc>
          <w:tcPr>
            <w:tcW w:w="494" w:type="pct"/>
            <w:tcBorders>
              <w:top w:val="nil"/>
              <w:left w:val="nil"/>
              <w:bottom w:val="nil"/>
              <w:right w:val="nil"/>
            </w:tcBorders>
            <w:hideMark/>
          </w:tcPr>
          <w:p w14:paraId="73EA49FD" w14:textId="668AB3DA"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288</w:t>
            </w:r>
          </w:p>
        </w:tc>
        <w:tc>
          <w:tcPr>
            <w:tcW w:w="679" w:type="pct"/>
            <w:tcBorders>
              <w:top w:val="nil"/>
              <w:left w:val="nil"/>
              <w:bottom w:val="nil"/>
              <w:right w:val="nil"/>
            </w:tcBorders>
            <w:hideMark/>
          </w:tcPr>
          <w:p w14:paraId="7E2576FA" w14:textId="5C523BDB"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303</w:t>
            </w:r>
          </w:p>
        </w:tc>
        <w:tc>
          <w:tcPr>
            <w:tcW w:w="679" w:type="pct"/>
            <w:tcBorders>
              <w:top w:val="nil"/>
              <w:left w:val="nil"/>
              <w:bottom w:val="nil"/>
              <w:right w:val="nil"/>
            </w:tcBorders>
            <w:noWrap/>
            <w:hideMark/>
          </w:tcPr>
          <w:p w14:paraId="7E524FA0" w14:textId="41BB95A0"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00A907D1" w:rsidRPr="00596F2D">
              <w:rPr>
                <w:rFonts w:ascii="Times New Roman" w:hAnsi="Times New Roman" w:cs="Times New Roman"/>
                <w:color w:val="000000" w:themeColor="text1"/>
                <w:sz w:val="24"/>
                <w:szCs w:val="24"/>
              </w:rPr>
              <w:t>834</w:t>
            </w:r>
          </w:p>
        </w:tc>
      </w:tr>
      <w:tr w:rsidR="00A907D1" w:rsidRPr="00C56015" w14:paraId="16DAC90A" w14:textId="77777777" w:rsidTr="00710BF8">
        <w:trPr>
          <w:trHeight w:val="330"/>
        </w:trPr>
        <w:tc>
          <w:tcPr>
            <w:tcW w:w="620" w:type="pct"/>
            <w:vMerge/>
            <w:tcBorders>
              <w:top w:val="nil"/>
              <w:left w:val="nil"/>
              <w:bottom w:val="nil"/>
              <w:right w:val="nil"/>
            </w:tcBorders>
            <w:hideMark/>
          </w:tcPr>
          <w:p w14:paraId="56EDD467" w14:textId="77777777" w:rsidR="00A907D1" w:rsidRPr="00596F2D" w:rsidRDefault="00A907D1" w:rsidP="00A7365A">
            <w:pPr>
              <w:jc w:val="center"/>
              <w:rPr>
                <w:rFonts w:ascii="Times New Roman" w:hAnsi="Times New Roman" w:cs="Times New Roman"/>
                <w:color w:val="000000" w:themeColor="text1"/>
                <w:sz w:val="24"/>
                <w:szCs w:val="24"/>
              </w:rPr>
            </w:pPr>
          </w:p>
        </w:tc>
        <w:tc>
          <w:tcPr>
            <w:tcW w:w="541" w:type="pct"/>
            <w:tcBorders>
              <w:top w:val="nil"/>
              <w:left w:val="nil"/>
              <w:bottom w:val="nil"/>
              <w:right w:val="nil"/>
            </w:tcBorders>
            <w:noWrap/>
            <w:hideMark/>
          </w:tcPr>
          <w:p w14:paraId="7CFA4FE0" w14:textId="77777777" w:rsidR="00A907D1" w:rsidRPr="00596F2D" w:rsidRDefault="00A907D1" w:rsidP="00A7365A">
            <w:pP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March</w:t>
            </w:r>
          </w:p>
        </w:tc>
        <w:tc>
          <w:tcPr>
            <w:tcW w:w="617" w:type="pct"/>
            <w:tcBorders>
              <w:top w:val="nil"/>
              <w:left w:val="nil"/>
              <w:bottom w:val="nil"/>
              <w:right w:val="nil"/>
            </w:tcBorders>
            <w:hideMark/>
          </w:tcPr>
          <w:p w14:paraId="29D74A20" w14:textId="5267FB7C"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7</w:t>
            </w:r>
          </w:p>
        </w:tc>
        <w:tc>
          <w:tcPr>
            <w:tcW w:w="103" w:type="pct"/>
            <w:tcBorders>
              <w:top w:val="nil"/>
              <w:left w:val="nil"/>
              <w:bottom w:val="nil"/>
              <w:right w:val="nil"/>
            </w:tcBorders>
          </w:tcPr>
          <w:p w14:paraId="18169324"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nil"/>
              <w:right w:val="nil"/>
            </w:tcBorders>
            <w:hideMark/>
          </w:tcPr>
          <w:p w14:paraId="434369F1" w14:textId="678FF0D2" w:rsidR="00A907D1" w:rsidRPr="00596F2D"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951</w:t>
            </w:r>
          </w:p>
        </w:tc>
        <w:tc>
          <w:tcPr>
            <w:tcW w:w="103" w:type="pct"/>
            <w:tcBorders>
              <w:top w:val="nil"/>
              <w:left w:val="nil"/>
              <w:bottom w:val="nil"/>
              <w:right w:val="nil"/>
            </w:tcBorders>
          </w:tcPr>
          <w:p w14:paraId="0CC1EA47"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nil"/>
              <w:right w:val="nil"/>
            </w:tcBorders>
            <w:hideMark/>
          </w:tcPr>
          <w:p w14:paraId="0C4424DC" w14:textId="73A8736C"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907D1" w:rsidRPr="00596F2D">
              <w:rPr>
                <w:rFonts w:ascii="Times New Roman" w:hAnsi="Times New Roman" w:cs="Times New Roman"/>
                <w:color w:val="000000" w:themeColor="text1"/>
                <w:sz w:val="24"/>
                <w:szCs w:val="24"/>
              </w:rPr>
              <w:t>028</w:t>
            </w:r>
          </w:p>
        </w:tc>
        <w:tc>
          <w:tcPr>
            <w:tcW w:w="494" w:type="pct"/>
            <w:tcBorders>
              <w:top w:val="nil"/>
              <w:left w:val="nil"/>
              <w:bottom w:val="nil"/>
              <w:right w:val="nil"/>
            </w:tcBorders>
            <w:hideMark/>
          </w:tcPr>
          <w:p w14:paraId="2D46CB63" w14:textId="195BE7DD" w:rsidR="00A907D1" w:rsidRPr="00596F2D" w:rsidRDefault="007976B5" w:rsidP="00A7365A">
            <w:pPr>
              <w:jc w:val="center"/>
              <w:rPr>
                <w:rFonts w:ascii="Times New Roman" w:hAnsi="Times New Roman" w:cs="Times New Roman"/>
                <w:color w:val="000000" w:themeColor="text1"/>
                <w:sz w:val="24"/>
                <w:szCs w:val="24"/>
              </w:rPr>
            </w:pPr>
            <w:r w:rsidRPr="00231E9E">
              <w:rPr>
                <w:rFonts w:ascii="Times New Roman" w:hAnsi="Times New Roman" w:cs="Times New Roman"/>
                <w:sz w:val="24"/>
                <w:szCs w:val="24"/>
              </w:rPr>
              <w:t>0.</w:t>
            </w:r>
            <w:r w:rsidR="00A907D1" w:rsidRPr="00231E9E">
              <w:rPr>
                <w:rFonts w:ascii="Times New Roman" w:hAnsi="Times New Roman" w:cs="Times New Roman"/>
                <w:sz w:val="24"/>
                <w:szCs w:val="24"/>
              </w:rPr>
              <w:t>33</w:t>
            </w:r>
            <w:r w:rsidRPr="00231E9E">
              <w:rPr>
                <w:rFonts w:ascii="Times New Roman" w:hAnsi="Times New Roman" w:cs="Times New Roman"/>
                <w:sz w:val="24"/>
                <w:szCs w:val="24"/>
              </w:rPr>
              <w:t>0</w:t>
            </w:r>
          </w:p>
        </w:tc>
        <w:tc>
          <w:tcPr>
            <w:tcW w:w="679" w:type="pct"/>
            <w:tcBorders>
              <w:top w:val="nil"/>
              <w:left w:val="nil"/>
              <w:bottom w:val="nil"/>
              <w:right w:val="nil"/>
            </w:tcBorders>
            <w:hideMark/>
          </w:tcPr>
          <w:p w14:paraId="0FF5690A" w14:textId="7D47FDC7"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302</w:t>
            </w:r>
          </w:p>
        </w:tc>
        <w:tc>
          <w:tcPr>
            <w:tcW w:w="679" w:type="pct"/>
            <w:tcBorders>
              <w:top w:val="nil"/>
              <w:left w:val="nil"/>
              <w:bottom w:val="nil"/>
              <w:right w:val="nil"/>
            </w:tcBorders>
            <w:noWrap/>
            <w:hideMark/>
          </w:tcPr>
          <w:p w14:paraId="54CB5077" w14:textId="14D1E444"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A907D1" w:rsidRPr="00596F2D">
              <w:rPr>
                <w:rFonts w:ascii="Times New Roman" w:hAnsi="Times New Roman" w:cs="Times New Roman"/>
                <w:color w:val="000000" w:themeColor="text1"/>
                <w:sz w:val="24"/>
                <w:szCs w:val="24"/>
              </w:rPr>
              <w:t>661</w:t>
            </w:r>
          </w:p>
        </w:tc>
      </w:tr>
      <w:tr w:rsidR="00A907D1" w:rsidRPr="00C56015" w14:paraId="273DCE9A" w14:textId="77777777" w:rsidTr="00710BF8">
        <w:trPr>
          <w:trHeight w:val="315"/>
        </w:trPr>
        <w:tc>
          <w:tcPr>
            <w:tcW w:w="1161" w:type="pct"/>
            <w:gridSpan w:val="2"/>
            <w:tcBorders>
              <w:top w:val="nil"/>
              <w:left w:val="nil"/>
              <w:bottom w:val="single" w:sz="12" w:space="0" w:color="000000"/>
              <w:right w:val="nil"/>
            </w:tcBorders>
            <w:noWrap/>
            <w:hideMark/>
          </w:tcPr>
          <w:p w14:paraId="084E2C67"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Average</w:t>
            </w:r>
          </w:p>
          <w:p w14:paraId="3A0A1993" w14:textId="77777777" w:rsidR="00893710" w:rsidRPr="00893710"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w:t>
            </w:r>
          </w:p>
          <w:p w14:paraId="79A7DF76" w14:textId="3083F20C" w:rsidR="00A907D1" w:rsidRPr="00596F2D" w:rsidRDefault="00893710" w:rsidP="00A7365A">
            <w:pPr>
              <w:jc w:val="center"/>
              <w:rPr>
                <w:rFonts w:ascii="Times New Roman" w:hAnsi="Times New Roman" w:cs="Times New Roman"/>
                <w:color w:val="000000" w:themeColor="text1"/>
                <w:sz w:val="24"/>
                <w:szCs w:val="24"/>
              </w:rPr>
            </w:pPr>
            <w:r w:rsidRPr="00893710">
              <w:rPr>
                <w:rFonts w:ascii="Times New Roman" w:hAnsi="Times New Roman" w:cs="Times New Roman"/>
                <w:color w:val="000000" w:themeColor="text1"/>
                <w:sz w:val="24"/>
                <w:szCs w:val="24"/>
              </w:rPr>
              <w:t>Standard deviation</w:t>
            </w:r>
          </w:p>
        </w:tc>
        <w:tc>
          <w:tcPr>
            <w:tcW w:w="617" w:type="pct"/>
            <w:tcBorders>
              <w:top w:val="nil"/>
              <w:left w:val="nil"/>
              <w:bottom w:val="single" w:sz="12" w:space="0" w:color="000000"/>
              <w:right w:val="nil"/>
            </w:tcBorders>
            <w:noWrap/>
            <w:hideMark/>
          </w:tcPr>
          <w:p w14:paraId="04D84694" w14:textId="6028395F"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07D1" w:rsidRPr="00596F2D">
              <w:rPr>
                <w:rFonts w:ascii="Times New Roman" w:hAnsi="Times New Roman" w:cs="Times New Roman"/>
                <w:color w:val="000000" w:themeColor="text1"/>
                <w:sz w:val="24"/>
                <w:szCs w:val="24"/>
              </w:rPr>
              <w:t>625</w:t>
            </w:r>
          </w:p>
          <w:p w14:paraId="557CE806"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3834B1EC" w14:textId="3576E3FC"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537</w:t>
            </w:r>
          </w:p>
        </w:tc>
        <w:tc>
          <w:tcPr>
            <w:tcW w:w="103" w:type="pct"/>
            <w:tcBorders>
              <w:top w:val="nil"/>
              <w:left w:val="nil"/>
              <w:bottom w:val="single" w:sz="12" w:space="0" w:color="000000"/>
              <w:right w:val="nil"/>
            </w:tcBorders>
          </w:tcPr>
          <w:p w14:paraId="61A1FAF6" w14:textId="77777777" w:rsidR="00A907D1" w:rsidRPr="00596F2D" w:rsidRDefault="00A907D1" w:rsidP="00A7365A">
            <w:pPr>
              <w:jc w:val="center"/>
              <w:rPr>
                <w:rFonts w:ascii="Times New Roman" w:hAnsi="Times New Roman" w:cs="Times New Roman"/>
                <w:color w:val="000000" w:themeColor="text1"/>
                <w:sz w:val="24"/>
                <w:szCs w:val="24"/>
              </w:rPr>
            </w:pPr>
          </w:p>
        </w:tc>
        <w:tc>
          <w:tcPr>
            <w:tcW w:w="589" w:type="pct"/>
            <w:tcBorders>
              <w:top w:val="nil"/>
              <w:left w:val="nil"/>
              <w:bottom w:val="single" w:sz="12" w:space="0" w:color="000000"/>
              <w:right w:val="nil"/>
            </w:tcBorders>
            <w:noWrap/>
            <w:hideMark/>
          </w:tcPr>
          <w:p w14:paraId="278D823E" w14:textId="5287EDD2" w:rsidR="00A907D1" w:rsidRDefault="00A907D1" w:rsidP="00A7365A">
            <w:pPr>
              <w:jc w:val="center"/>
              <w:rPr>
                <w:rFonts w:ascii="Times New Roman" w:hAnsi="Times New Roman" w:cs="Times New Roman"/>
                <w:color w:val="000000" w:themeColor="text1"/>
                <w:sz w:val="24"/>
                <w:szCs w:val="24"/>
              </w:rPr>
            </w:pPr>
            <w:r w:rsidRPr="00596F2D">
              <w:rPr>
                <w:rFonts w:ascii="Times New Roman" w:hAnsi="Times New Roman" w:cs="Times New Roman"/>
                <w:color w:val="000000" w:themeColor="text1"/>
                <w:sz w:val="24"/>
                <w:szCs w:val="24"/>
              </w:rPr>
              <w:t>1166</w:t>
            </w:r>
            <w:r w:rsidR="007976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000</w:t>
            </w:r>
          </w:p>
          <w:p w14:paraId="3D5FAC51"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3A194BD9" w14:textId="1A82DC40" w:rsidR="00A907D1" w:rsidRDefault="007976B5" w:rsidP="00A7365A">
            <w:pPr>
              <w:jc w:val="center"/>
              <w:rPr>
                <w:rFonts w:ascii="Calibri" w:hAnsi="Calibri" w:cs="Calibri"/>
                <w:color w:val="000000" w:themeColor="text1"/>
                <w:sz w:val="24"/>
                <w:szCs w:val="24"/>
              </w:rPr>
            </w:pPr>
            <w:r>
              <w:rPr>
                <w:rFonts w:ascii="Times New Roman" w:hAnsi="Times New Roman" w:cs="Times New Roman"/>
                <w:color w:val="000000" w:themeColor="text1"/>
                <w:sz w:val="24"/>
                <w:szCs w:val="24"/>
              </w:rPr>
              <w:t>571.</w:t>
            </w:r>
            <w:r w:rsidR="00A907D1" w:rsidRPr="00596F2D">
              <w:rPr>
                <w:rFonts w:ascii="Times New Roman" w:hAnsi="Times New Roman" w:cs="Times New Roman"/>
                <w:color w:val="000000" w:themeColor="text1"/>
                <w:sz w:val="24"/>
                <w:szCs w:val="24"/>
              </w:rPr>
              <w:t>619</w:t>
            </w:r>
          </w:p>
          <w:p w14:paraId="589A6E8B" w14:textId="77777777" w:rsidR="00A907D1" w:rsidRPr="00596F2D" w:rsidRDefault="00A907D1" w:rsidP="00A7365A">
            <w:pPr>
              <w:jc w:val="center"/>
              <w:rPr>
                <w:rFonts w:ascii="Times New Roman" w:hAnsi="Times New Roman" w:cs="Times New Roman"/>
                <w:color w:val="000000" w:themeColor="text1"/>
                <w:sz w:val="24"/>
                <w:szCs w:val="24"/>
              </w:rPr>
            </w:pPr>
          </w:p>
        </w:tc>
        <w:tc>
          <w:tcPr>
            <w:tcW w:w="103" w:type="pct"/>
            <w:tcBorders>
              <w:top w:val="nil"/>
              <w:left w:val="nil"/>
              <w:bottom w:val="single" w:sz="12" w:space="0" w:color="000000"/>
              <w:right w:val="nil"/>
            </w:tcBorders>
          </w:tcPr>
          <w:p w14:paraId="2BE6501B" w14:textId="77777777" w:rsidR="00A907D1" w:rsidRPr="00596F2D" w:rsidRDefault="00A907D1" w:rsidP="00A7365A">
            <w:pPr>
              <w:jc w:val="center"/>
              <w:rPr>
                <w:rFonts w:ascii="Times New Roman" w:hAnsi="Times New Roman" w:cs="Times New Roman"/>
                <w:color w:val="000000" w:themeColor="text1"/>
                <w:sz w:val="24"/>
                <w:szCs w:val="24"/>
              </w:rPr>
            </w:pPr>
          </w:p>
        </w:tc>
        <w:tc>
          <w:tcPr>
            <w:tcW w:w="576" w:type="pct"/>
            <w:tcBorders>
              <w:top w:val="nil"/>
              <w:left w:val="nil"/>
              <w:bottom w:val="single" w:sz="12" w:space="0" w:color="000000"/>
              <w:right w:val="nil"/>
            </w:tcBorders>
            <w:noWrap/>
            <w:hideMark/>
          </w:tcPr>
          <w:p w14:paraId="24EF3F6B" w14:textId="405155AA"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A907D1" w:rsidRPr="00596F2D">
              <w:rPr>
                <w:rFonts w:ascii="Times New Roman" w:hAnsi="Times New Roman" w:cs="Times New Roman"/>
                <w:color w:val="000000" w:themeColor="text1"/>
                <w:sz w:val="24"/>
                <w:szCs w:val="24"/>
              </w:rPr>
              <w:t>265</w:t>
            </w:r>
          </w:p>
          <w:p w14:paraId="5E90DFAE"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4C8E5180" w14:textId="1BD127DB" w:rsidR="00A907D1" w:rsidRDefault="007976B5" w:rsidP="00A7365A">
            <w:pPr>
              <w:jc w:val="center"/>
              <w:rPr>
                <w:rFonts w:ascii="Calibri" w:hAnsi="Calibri" w:cs="Calibri"/>
                <w:color w:val="000000" w:themeColor="text1"/>
                <w:sz w:val="24"/>
                <w:szCs w:val="24"/>
              </w:rPr>
            </w:pPr>
            <w:r>
              <w:rPr>
                <w:rFonts w:ascii="Times New Roman" w:hAnsi="Times New Roman" w:cs="Times New Roman"/>
                <w:color w:val="000000" w:themeColor="text1"/>
                <w:sz w:val="24"/>
                <w:szCs w:val="24"/>
              </w:rPr>
              <w:t>26.</w:t>
            </w:r>
            <w:r w:rsidR="00A907D1" w:rsidRPr="00596F2D">
              <w:rPr>
                <w:rFonts w:ascii="Times New Roman" w:hAnsi="Times New Roman" w:cs="Times New Roman"/>
                <w:color w:val="000000" w:themeColor="text1"/>
                <w:sz w:val="24"/>
                <w:szCs w:val="24"/>
              </w:rPr>
              <w:t>632</w:t>
            </w:r>
          </w:p>
          <w:p w14:paraId="378FB319" w14:textId="620A5AAB" w:rsidR="00A907D1" w:rsidRPr="00596F2D" w:rsidRDefault="00A907D1" w:rsidP="00A7365A">
            <w:pPr>
              <w:jc w:val="center"/>
              <w:rPr>
                <w:rFonts w:ascii="Times New Roman" w:hAnsi="Times New Roman" w:cs="Times New Roman"/>
                <w:color w:val="000000" w:themeColor="text1"/>
                <w:sz w:val="24"/>
                <w:szCs w:val="24"/>
              </w:rPr>
            </w:pPr>
          </w:p>
        </w:tc>
        <w:tc>
          <w:tcPr>
            <w:tcW w:w="494" w:type="pct"/>
            <w:tcBorders>
              <w:top w:val="nil"/>
              <w:left w:val="nil"/>
              <w:bottom w:val="single" w:sz="12" w:space="0" w:color="000000"/>
              <w:right w:val="nil"/>
            </w:tcBorders>
            <w:noWrap/>
            <w:hideMark/>
          </w:tcPr>
          <w:p w14:paraId="1893B267" w14:textId="4D2F0C20"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312</w:t>
            </w:r>
          </w:p>
          <w:p w14:paraId="4A074E7F"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54C5D444" w14:textId="18942135" w:rsidR="00A907D1" w:rsidRDefault="007976B5" w:rsidP="00A7365A">
            <w:pPr>
              <w:jc w:val="center"/>
              <w:rPr>
                <w:rFonts w:ascii="Calibri" w:hAnsi="Calibri" w:cs="Calibri"/>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034</w:t>
            </w:r>
          </w:p>
          <w:p w14:paraId="1ED68F70" w14:textId="75C50ABB" w:rsidR="00A907D1" w:rsidRPr="00596F2D" w:rsidRDefault="00A907D1" w:rsidP="00A7365A">
            <w:pPr>
              <w:jc w:val="center"/>
              <w:rPr>
                <w:rFonts w:ascii="Times New Roman" w:hAnsi="Times New Roman" w:cs="Times New Roman"/>
                <w:color w:val="000000" w:themeColor="text1"/>
                <w:sz w:val="24"/>
                <w:szCs w:val="24"/>
              </w:rPr>
            </w:pPr>
          </w:p>
        </w:tc>
        <w:tc>
          <w:tcPr>
            <w:tcW w:w="679" w:type="pct"/>
            <w:tcBorders>
              <w:top w:val="nil"/>
              <w:left w:val="nil"/>
              <w:bottom w:val="single" w:sz="12" w:space="0" w:color="000000"/>
              <w:right w:val="nil"/>
            </w:tcBorders>
            <w:noWrap/>
            <w:hideMark/>
          </w:tcPr>
          <w:p w14:paraId="787D3312" w14:textId="1B202933"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327</w:t>
            </w:r>
          </w:p>
          <w:p w14:paraId="56ED05D8" w14:textId="77777777"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666B4FE8" w14:textId="19CF2C7A" w:rsidR="00A907D1" w:rsidRDefault="007976B5" w:rsidP="00A7365A">
            <w:pPr>
              <w:jc w:val="center"/>
              <w:rPr>
                <w:rFonts w:ascii="Calibri" w:hAnsi="Calibri" w:cs="Calibri"/>
                <w:color w:val="000000" w:themeColor="text1"/>
                <w:sz w:val="24"/>
                <w:szCs w:val="24"/>
              </w:rPr>
            </w:pPr>
            <w:r>
              <w:rPr>
                <w:rFonts w:ascii="Times New Roman" w:hAnsi="Times New Roman" w:cs="Times New Roman"/>
                <w:color w:val="000000" w:themeColor="text1"/>
                <w:sz w:val="24"/>
                <w:szCs w:val="24"/>
              </w:rPr>
              <w:t>0.</w:t>
            </w:r>
            <w:r w:rsidR="00A907D1" w:rsidRPr="00596F2D">
              <w:rPr>
                <w:rFonts w:ascii="Times New Roman" w:hAnsi="Times New Roman" w:cs="Times New Roman"/>
                <w:color w:val="000000" w:themeColor="text1"/>
                <w:sz w:val="24"/>
                <w:szCs w:val="24"/>
              </w:rPr>
              <w:t>049</w:t>
            </w:r>
          </w:p>
          <w:p w14:paraId="28498EDC" w14:textId="7402CEE8" w:rsidR="00A907D1" w:rsidRPr="00596F2D" w:rsidRDefault="00A907D1" w:rsidP="00A7365A">
            <w:pPr>
              <w:jc w:val="center"/>
              <w:rPr>
                <w:rFonts w:ascii="Times New Roman" w:hAnsi="Times New Roman" w:cs="Times New Roman"/>
                <w:color w:val="000000" w:themeColor="text1"/>
                <w:sz w:val="24"/>
                <w:szCs w:val="24"/>
              </w:rPr>
            </w:pPr>
          </w:p>
        </w:tc>
        <w:tc>
          <w:tcPr>
            <w:tcW w:w="679" w:type="pct"/>
            <w:tcBorders>
              <w:top w:val="nil"/>
              <w:left w:val="nil"/>
              <w:bottom w:val="single" w:sz="12" w:space="0" w:color="000000"/>
              <w:right w:val="nil"/>
            </w:tcBorders>
            <w:noWrap/>
            <w:hideMark/>
          </w:tcPr>
          <w:p w14:paraId="444A53A7" w14:textId="7D77B90D" w:rsidR="00A907D1"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A907D1" w:rsidRPr="00596F2D">
              <w:rPr>
                <w:rFonts w:ascii="Times New Roman" w:hAnsi="Times New Roman" w:cs="Times New Roman"/>
                <w:color w:val="000000" w:themeColor="text1"/>
                <w:sz w:val="24"/>
                <w:szCs w:val="24"/>
              </w:rPr>
              <w:t>907</w:t>
            </w:r>
          </w:p>
          <w:p w14:paraId="56E903F9" w14:textId="72781298" w:rsidR="00A907D1" w:rsidRDefault="00A907D1" w:rsidP="00A7365A">
            <w:pPr>
              <w:jc w:val="center"/>
              <w:rPr>
                <w:rFonts w:ascii="Calibri" w:hAnsi="Calibri" w:cs="Calibri"/>
                <w:color w:val="000000" w:themeColor="text1"/>
                <w:sz w:val="24"/>
                <w:szCs w:val="24"/>
              </w:rPr>
            </w:pPr>
            <w:r w:rsidRPr="00596F2D">
              <w:rPr>
                <w:rFonts w:ascii="Calibri" w:hAnsi="Calibri" w:cs="Calibri"/>
                <w:color w:val="000000" w:themeColor="text1"/>
                <w:sz w:val="24"/>
                <w:szCs w:val="24"/>
              </w:rPr>
              <w:t>±</w:t>
            </w:r>
          </w:p>
          <w:p w14:paraId="28FA593A" w14:textId="194D04DD" w:rsidR="00A907D1" w:rsidRPr="00596F2D" w:rsidRDefault="007976B5" w:rsidP="00A7365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A907D1" w:rsidRPr="00596F2D">
              <w:rPr>
                <w:rFonts w:ascii="Times New Roman" w:hAnsi="Times New Roman" w:cs="Times New Roman"/>
                <w:color w:val="000000" w:themeColor="text1"/>
                <w:sz w:val="24"/>
                <w:szCs w:val="24"/>
              </w:rPr>
              <w:t>612</w:t>
            </w:r>
          </w:p>
        </w:tc>
      </w:tr>
    </w:tbl>
    <w:p w14:paraId="1E9EF52F" w14:textId="77777777" w:rsidR="00D46D5F" w:rsidRPr="00172E9D" w:rsidRDefault="00D46D5F" w:rsidP="00A7365A">
      <w:pPr>
        <w:spacing w:line="240" w:lineRule="auto"/>
        <w:jc w:val="center"/>
        <w:rPr>
          <w:rFonts w:ascii="Times New Roman" w:hAnsi="Times New Roman" w:cs="Times New Roman"/>
          <w:sz w:val="24"/>
          <w:szCs w:val="24"/>
        </w:rPr>
      </w:pPr>
    </w:p>
    <w:p w14:paraId="0EDB38F5" w14:textId="17D36DB2" w:rsidR="001817E0" w:rsidRPr="001817E0" w:rsidRDefault="001817E0" w:rsidP="00A7365A">
      <w:pPr>
        <w:spacing w:line="240" w:lineRule="auto"/>
        <w:jc w:val="both"/>
        <w:rPr>
          <w:rFonts w:ascii="Times New Roman" w:hAnsi="Times New Roman" w:cs="Times New Roman"/>
          <w:sz w:val="24"/>
          <w:szCs w:val="24"/>
        </w:rPr>
      </w:pPr>
      <w:r w:rsidRPr="001817E0">
        <w:rPr>
          <w:rFonts w:ascii="Times New Roman" w:hAnsi="Times New Roman" w:cs="Times New Roman"/>
          <w:sz w:val="24"/>
          <w:szCs w:val="24"/>
        </w:rPr>
        <w:t>The statistical study shows that on average, the residue levels of the three herbicides studied are in the following decreasing order of abundance: Terbutryne ˃ Atrazine ˃ Cybutryne. The average residue concentration of Terbutryne is several orders of magnitude higher than that of Atrazine and Cybutryne. Among these three herbicides, only Terbutryne appears in the list of pesticides authorized by the Sahelian Pesticides Committee of which Senegal is a signatory</w:t>
      </w:r>
      <w:r>
        <w:rPr>
          <w:rFonts w:ascii="Times New Roman" w:hAnsi="Times New Roman" w:cs="Times New Roman"/>
          <w:sz w:val="24"/>
          <w:szCs w:val="24"/>
        </w:rPr>
        <w:t xml:space="preserve"> </w:t>
      </w:r>
      <w:r w:rsidR="0030661B">
        <w:rPr>
          <w:rFonts w:ascii="Times New Roman" w:hAnsi="Times New Roman" w:cs="Times New Roman"/>
          <w:sz w:val="24"/>
          <w:szCs w:val="24"/>
        </w:rPr>
        <w:t>[17</w:t>
      </w:r>
      <w:r w:rsidRPr="001817E0">
        <w:rPr>
          <w:rFonts w:ascii="Times New Roman" w:hAnsi="Times New Roman" w:cs="Times New Roman"/>
          <w:sz w:val="24"/>
          <w:szCs w:val="24"/>
        </w:rPr>
        <w:t>].</w:t>
      </w:r>
    </w:p>
    <w:p w14:paraId="6EACB086" w14:textId="5B335204" w:rsidR="001817E0" w:rsidRDefault="001817E0" w:rsidP="00A7365A">
      <w:pPr>
        <w:spacing w:line="240" w:lineRule="auto"/>
        <w:jc w:val="both"/>
        <w:rPr>
          <w:rFonts w:ascii="Times New Roman" w:hAnsi="Times New Roman" w:cs="Times New Roman"/>
          <w:sz w:val="24"/>
          <w:szCs w:val="24"/>
        </w:rPr>
      </w:pPr>
      <w:r w:rsidRPr="001817E0">
        <w:rPr>
          <w:rFonts w:ascii="Times New Roman" w:hAnsi="Times New Roman" w:cs="Times New Roman"/>
          <w:sz w:val="24"/>
          <w:szCs w:val="24"/>
        </w:rPr>
        <w:t>This may explain its high concentration compared to the other two. It is important to note that the committee legalizes the use of Terbutryn only for cotton weeds. So the latter like the other two are used fraudulently. Terbutr</w:t>
      </w:r>
      <w:r>
        <w:rPr>
          <w:rFonts w:ascii="Times New Roman" w:hAnsi="Times New Roman" w:cs="Times New Roman"/>
          <w:sz w:val="24"/>
          <w:szCs w:val="24"/>
        </w:rPr>
        <w:t>yn residue levels range from 2.351 to 83.</w:t>
      </w:r>
      <w:r w:rsidRPr="001817E0">
        <w:rPr>
          <w:rFonts w:ascii="Times New Roman" w:hAnsi="Times New Roman" w:cs="Times New Roman"/>
          <w:sz w:val="24"/>
          <w:szCs w:val="24"/>
        </w:rPr>
        <w:t>457 µg.kg</w:t>
      </w:r>
      <w:r w:rsidRPr="001817E0">
        <w:rPr>
          <w:rFonts w:ascii="Times New Roman" w:hAnsi="Times New Roman" w:cs="Times New Roman"/>
          <w:sz w:val="24"/>
          <w:szCs w:val="24"/>
          <w:vertAlign w:val="superscript"/>
        </w:rPr>
        <w:t>-1</w:t>
      </w:r>
      <w:r>
        <w:rPr>
          <w:rFonts w:ascii="Times New Roman" w:hAnsi="Times New Roman" w:cs="Times New Roman"/>
          <w:sz w:val="24"/>
          <w:szCs w:val="24"/>
        </w:rPr>
        <w:t>, with a mean of 32.172±5.</w:t>
      </w:r>
      <w:r w:rsidRPr="001817E0">
        <w:rPr>
          <w:rFonts w:ascii="Times New Roman" w:hAnsi="Times New Roman" w:cs="Times New Roman"/>
          <w:sz w:val="24"/>
          <w:szCs w:val="24"/>
        </w:rPr>
        <w:t>777 µg.kg</w:t>
      </w:r>
      <w:r w:rsidRPr="001817E0">
        <w:rPr>
          <w:rFonts w:ascii="Times New Roman" w:hAnsi="Times New Roman" w:cs="Times New Roman"/>
          <w:sz w:val="24"/>
          <w:szCs w:val="24"/>
          <w:vertAlign w:val="superscript"/>
        </w:rPr>
        <w:t>-1</w:t>
      </w:r>
      <w:r>
        <w:rPr>
          <w:rFonts w:ascii="Times New Roman" w:hAnsi="Times New Roman" w:cs="Times New Roman"/>
          <w:sz w:val="24"/>
          <w:szCs w:val="24"/>
        </w:rPr>
        <w:t xml:space="preserve"> and a median value of 31.</w:t>
      </w:r>
      <w:r w:rsidRPr="001817E0">
        <w:rPr>
          <w:rFonts w:ascii="Times New Roman" w:hAnsi="Times New Roman" w:cs="Times New Roman"/>
          <w:sz w:val="24"/>
          <w:szCs w:val="24"/>
        </w:rPr>
        <w:t>681±1,810 µg.kg</w:t>
      </w:r>
      <w:r w:rsidRPr="001817E0">
        <w:rPr>
          <w:rFonts w:ascii="Times New Roman" w:hAnsi="Times New Roman" w:cs="Times New Roman"/>
          <w:sz w:val="24"/>
          <w:szCs w:val="24"/>
          <w:vertAlign w:val="superscript"/>
        </w:rPr>
        <w:t>-1</w:t>
      </w:r>
      <w:r w:rsidRPr="001817E0">
        <w:rPr>
          <w:rFonts w:ascii="Times New Roman" w:hAnsi="Times New Roman" w:cs="Times New Roman"/>
          <w:sz w:val="24"/>
          <w:szCs w:val="24"/>
        </w:rPr>
        <w:t xml:space="preserve">. The minimum residue levels were </w:t>
      </w:r>
      <w:r w:rsidRPr="001817E0">
        <w:rPr>
          <w:rFonts w:ascii="Times New Roman" w:hAnsi="Times New Roman" w:cs="Times New Roman"/>
          <w:sz w:val="24"/>
          <w:szCs w:val="24"/>
        </w:rPr>
        <w:lastRenderedPageBreak/>
        <w:t>recorded in September and the maximum residue levels in January for all basins except for basin B10 where the maximum residue levels were recorded in November. September marks the beginning of the end of the rainy season, with abundant rains and vegetation at its peak. Howev</w:t>
      </w:r>
      <w:r>
        <w:rPr>
          <w:rFonts w:ascii="Times New Roman" w:hAnsi="Times New Roman" w:cs="Times New Roman"/>
          <w:sz w:val="24"/>
          <w:szCs w:val="24"/>
        </w:rPr>
        <w:t>er, the low levels of Terbutryn</w:t>
      </w:r>
      <w:r w:rsidRPr="001817E0">
        <w:rPr>
          <w:rFonts w:ascii="Times New Roman" w:hAnsi="Times New Roman" w:cs="Times New Roman"/>
          <w:sz w:val="24"/>
          <w:szCs w:val="24"/>
        </w:rPr>
        <w:t xml:space="preserve"> residues can be explained by the umbrella effect exerted by vegetation and/or the phenomenon of dilution by rainwater. Atrazine residue levels range from 0.059 to 0.444 µg.kg</w:t>
      </w:r>
      <w:r w:rsidRPr="001817E0">
        <w:rPr>
          <w:rFonts w:ascii="Times New Roman" w:hAnsi="Times New Roman" w:cs="Times New Roman"/>
          <w:sz w:val="24"/>
          <w:szCs w:val="24"/>
          <w:vertAlign w:val="superscript"/>
        </w:rPr>
        <w:t>-1</w:t>
      </w:r>
      <w:r w:rsidRPr="001817E0">
        <w:rPr>
          <w:rFonts w:ascii="Times New Roman" w:hAnsi="Times New Roman" w:cs="Times New Roman"/>
          <w:sz w:val="24"/>
          <w:szCs w:val="24"/>
        </w:rPr>
        <w:t>, with a mean value of 0.312±0.082 µg.kg</w:t>
      </w:r>
      <w:r w:rsidRPr="001817E0">
        <w:rPr>
          <w:rFonts w:ascii="Times New Roman" w:hAnsi="Times New Roman" w:cs="Times New Roman"/>
          <w:sz w:val="24"/>
          <w:szCs w:val="24"/>
          <w:vertAlign w:val="superscript"/>
        </w:rPr>
        <w:t>-1</w:t>
      </w:r>
      <w:r w:rsidRPr="001817E0">
        <w:rPr>
          <w:rFonts w:ascii="Times New Roman" w:hAnsi="Times New Roman" w:cs="Times New Roman"/>
          <w:sz w:val="24"/>
          <w:szCs w:val="24"/>
        </w:rPr>
        <w:t xml:space="preserve"> and a median value of 0.318±0.004 µg.kg</w:t>
      </w:r>
      <w:r w:rsidRPr="001817E0">
        <w:rPr>
          <w:rFonts w:ascii="Times New Roman" w:hAnsi="Times New Roman" w:cs="Times New Roman"/>
          <w:sz w:val="24"/>
          <w:szCs w:val="24"/>
          <w:vertAlign w:val="superscript"/>
        </w:rPr>
        <w:t>-1</w:t>
      </w:r>
      <w:r w:rsidRPr="001817E0">
        <w:rPr>
          <w:rFonts w:ascii="Times New Roman" w:hAnsi="Times New Roman" w:cs="Times New Roman"/>
          <w:sz w:val="24"/>
          <w:szCs w:val="24"/>
        </w:rPr>
        <w:t>. The minimum levels of Atrazine residues were found in January for basins B9 and B10, in November for basins B11 and in September for basins B17, while the maximum levels were recorded in November for basins B9 and B17, and in September for basins B10 and B11. For Cybutryn</w:t>
      </w:r>
      <w:r>
        <w:rPr>
          <w:rFonts w:ascii="Times New Roman" w:hAnsi="Times New Roman" w:cs="Times New Roman"/>
          <w:sz w:val="24"/>
          <w:szCs w:val="24"/>
        </w:rPr>
        <w:t>e</w:t>
      </w:r>
      <w:r w:rsidRPr="001817E0">
        <w:rPr>
          <w:rFonts w:ascii="Times New Roman" w:hAnsi="Times New Roman" w:cs="Times New Roman"/>
          <w:sz w:val="24"/>
          <w:szCs w:val="24"/>
        </w:rPr>
        <w:t>, residue concentrations were between 0.300 and 0.402 µg.kg</w:t>
      </w:r>
      <w:r w:rsidRPr="001817E0">
        <w:rPr>
          <w:rFonts w:ascii="Times New Roman" w:hAnsi="Times New Roman" w:cs="Times New Roman"/>
          <w:sz w:val="24"/>
          <w:szCs w:val="24"/>
          <w:vertAlign w:val="superscript"/>
        </w:rPr>
        <w:t>-1</w:t>
      </w:r>
      <w:r w:rsidRPr="001817E0">
        <w:rPr>
          <w:rFonts w:ascii="Times New Roman" w:hAnsi="Times New Roman" w:cs="Times New Roman"/>
          <w:sz w:val="24"/>
          <w:szCs w:val="24"/>
        </w:rPr>
        <w:t>, with mean and median values ​​of 0.309±0.006 and 0.304±0.002 µg.kg</w:t>
      </w:r>
      <w:r w:rsidRPr="001817E0">
        <w:rPr>
          <w:rFonts w:ascii="Times New Roman" w:hAnsi="Times New Roman" w:cs="Times New Roman"/>
          <w:sz w:val="24"/>
          <w:szCs w:val="24"/>
          <w:vertAlign w:val="superscript"/>
        </w:rPr>
        <w:t>-1</w:t>
      </w:r>
      <w:r w:rsidRPr="001817E0">
        <w:rPr>
          <w:rFonts w:ascii="Times New Roman" w:hAnsi="Times New Roman" w:cs="Times New Roman"/>
          <w:sz w:val="24"/>
          <w:szCs w:val="24"/>
        </w:rPr>
        <w:t xml:space="preserve"> respectively. The minimum Cybutryne residue values ​​were recorded in March for all four ponds and the maximum residue levels</w:t>
      </w:r>
      <w:r>
        <w:rPr>
          <w:rFonts w:ascii="Times New Roman" w:hAnsi="Times New Roman" w:cs="Times New Roman"/>
          <w:sz w:val="24"/>
          <w:szCs w:val="24"/>
        </w:rPr>
        <w:t xml:space="preserve"> were found in January for basins</w:t>
      </w:r>
      <w:r w:rsidRPr="001817E0">
        <w:rPr>
          <w:rFonts w:ascii="Times New Roman" w:hAnsi="Times New Roman" w:cs="Times New Roman"/>
          <w:sz w:val="24"/>
          <w:szCs w:val="24"/>
        </w:rPr>
        <w:t xml:space="preserve"> B9 and B10, and in November for ponds B11 and B17.</w:t>
      </w:r>
    </w:p>
    <w:p w14:paraId="0A298244" w14:textId="77777777" w:rsidR="001817E0" w:rsidRDefault="001817E0" w:rsidP="00A7365A">
      <w:pPr>
        <w:spacing w:line="240" w:lineRule="auto"/>
        <w:jc w:val="both"/>
        <w:rPr>
          <w:rFonts w:ascii="Times New Roman" w:hAnsi="Times New Roman" w:cs="Times New Roman"/>
          <w:sz w:val="24"/>
          <w:szCs w:val="24"/>
        </w:rPr>
      </w:pPr>
    </w:p>
    <w:p w14:paraId="12744493" w14:textId="125601ED" w:rsidR="000B42EE" w:rsidRPr="00F54B1D" w:rsidRDefault="000B42EE" w:rsidP="00A7365A">
      <w:pPr>
        <w:spacing w:line="240" w:lineRule="auto"/>
      </w:pPr>
      <w:r>
        <w:rPr>
          <w:noProof/>
          <w:lang w:val="es-ES" w:eastAsia="es-ES"/>
        </w:rPr>
        <w:drawing>
          <wp:inline distT="0" distB="0" distL="0" distR="0" wp14:anchorId="34FED61D" wp14:editId="2F68DBEC">
            <wp:extent cx="3028315" cy="2201122"/>
            <wp:effectExtent l="0" t="0" r="635" b="889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lang w:val="es-ES" w:eastAsia="es-ES"/>
        </w:rPr>
        <w:drawing>
          <wp:inline distT="0" distB="0" distL="0" distR="0" wp14:anchorId="64C9A7DA" wp14:editId="27393C1A">
            <wp:extent cx="2969049" cy="2209800"/>
            <wp:effectExtent l="0" t="0" r="3175"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lang w:val="es-ES" w:eastAsia="es-ES"/>
        </w:rPr>
        <w:drawing>
          <wp:inline distT="0" distB="0" distL="0" distR="0" wp14:anchorId="5E3BA46B" wp14:editId="0894AA15">
            <wp:extent cx="2968625" cy="2123338"/>
            <wp:effectExtent l="0" t="0" r="3175" b="1079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lang w:val="es-ES" w:eastAsia="es-ES"/>
        </w:rPr>
        <w:drawing>
          <wp:inline distT="0" distB="0" distL="0" distR="0" wp14:anchorId="24021D47" wp14:editId="0029E1FF">
            <wp:extent cx="3028315" cy="2123767"/>
            <wp:effectExtent l="0" t="0" r="635" b="1016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58603F" w14:textId="3BC7EDC6" w:rsidR="00A7365A" w:rsidRDefault="00C03FC5" w:rsidP="00A7365A">
      <w:pPr>
        <w:spacing w:line="240" w:lineRule="auto"/>
        <w:jc w:val="center"/>
        <w:rPr>
          <w:rFonts w:ascii="Times New Roman" w:hAnsi="Times New Roman" w:cs="Times New Roman"/>
          <w:sz w:val="24"/>
          <w:szCs w:val="24"/>
        </w:rPr>
      </w:pPr>
      <w:r w:rsidRPr="00C03FC5">
        <w:rPr>
          <w:rFonts w:ascii="Times New Roman" w:hAnsi="Times New Roman" w:cs="Times New Roman"/>
          <w:b/>
          <w:sz w:val="24"/>
          <w:szCs w:val="24"/>
        </w:rPr>
        <w:t xml:space="preserve">Figure </w:t>
      </w:r>
      <w:r w:rsidR="00F62302" w:rsidRPr="00C03FC5">
        <w:rPr>
          <w:rFonts w:ascii="Times New Roman" w:hAnsi="Times New Roman" w:cs="Times New Roman"/>
          <w:b/>
          <w:sz w:val="24"/>
          <w:szCs w:val="24"/>
        </w:rPr>
        <w:t>3</w:t>
      </w:r>
      <w:r w:rsidR="00F62302" w:rsidRPr="00C03FC5">
        <w:rPr>
          <w:rFonts w:ascii="Times New Roman" w:hAnsi="Times New Roman" w:cs="Times New Roman"/>
          <w:sz w:val="24"/>
          <w:szCs w:val="24"/>
        </w:rPr>
        <w:t xml:space="preserve"> :</w:t>
      </w:r>
      <w:r w:rsidRPr="00C03FC5">
        <w:rPr>
          <w:rFonts w:ascii="Times New Roman" w:hAnsi="Times New Roman" w:cs="Times New Roman"/>
          <w:sz w:val="24"/>
          <w:szCs w:val="24"/>
        </w:rPr>
        <w:t xml:space="preserve"> variation of triazine residue concentrations as a function of time</w:t>
      </w:r>
      <w:r w:rsidR="004B5901">
        <w:rPr>
          <w:rFonts w:ascii="Times New Roman" w:hAnsi="Times New Roman" w:cs="Times New Roman"/>
          <w:sz w:val="24"/>
          <w:szCs w:val="24"/>
        </w:rPr>
        <w:t xml:space="preserve"> (</w:t>
      </w:r>
      <w:r w:rsidR="004B5901" w:rsidRPr="001817E0">
        <w:rPr>
          <w:rFonts w:ascii="Times New Roman" w:hAnsi="Times New Roman" w:cs="Times New Roman"/>
          <w:sz w:val="24"/>
          <w:szCs w:val="24"/>
        </w:rPr>
        <w:t>µg.kg</w:t>
      </w:r>
      <w:r w:rsidR="004B5901" w:rsidRPr="001817E0">
        <w:rPr>
          <w:rFonts w:ascii="Times New Roman" w:hAnsi="Times New Roman" w:cs="Times New Roman"/>
          <w:sz w:val="24"/>
          <w:szCs w:val="24"/>
          <w:vertAlign w:val="superscript"/>
        </w:rPr>
        <w:t>-1</w:t>
      </w:r>
      <w:r w:rsidR="004B5901">
        <w:rPr>
          <w:rFonts w:ascii="Times New Roman" w:hAnsi="Times New Roman" w:cs="Times New Roman"/>
          <w:sz w:val="24"/>
          <w:szCs w:val="24"/>
        </w:rPr>
        <w:t>)</w:t>
      </w:r>
      <w:r>
        <w:rPr>
          <w:rFonts w:ascii="Times New Roman" w:hAnsi="Times New Roman" w:cs="Times New Roman"/>
          <w:sz w:val="24"/>
          <w:szCs w:val="24"/>
        </w:rPr>
        <w:t>.</w:t>
      </w:r>
    </w:p>
    <w:p w14:paraId="709D53FF" w14:textId="77777777" w:rsidR="00C03FC5" w:rsidRDefault="00C03FC5" w:rsidP="00A7365A">
      <w:pPr>
        <w:spacing w:line="240" w:lineRule="auto"/>
        <w:jc w:val="center"/>
        <w:rPr>
          <w:rFonts w:ascii="Times New Roman" w:hAnsi="Times New Roman" w:cs="Times New Roman"/>
          <w:sz w:val="24"/>
          <w:szCs w:val="24"/>
        </w:rPr>
      </w:pPr>
    </w:p>
    <w:p w14:paraId="7B9A329C" w14:textId="6594773E" w:rsidR="00B95E58" w:rsidRDefault="00B95E58" w:rsidP="00A7365A">
      <w:pPr>
        <w:spacing w:line="240" w:lineRule="auto"/>
        <w:jc w:val="center"/>
        <w:rPr>
          <w:rFonts w:ascii="Times New Roman" w:hAnsi="Times New Roman" w:cs="Times New Roman"/>
          <w:sz w:val="24"/>
          <w:szCs w:val="24"/>
        </w:rPr>
      </w:pPr>
      <w:r>
        <w:rPr>
          <w:noProof/>
          <w:lang w:val="es-ES" w:eastAsia="es-ES"/>
        </w:rPr>
        <w:lastRenderedPageBreak/>
        <w:drawing>
          <wp:inline distT="0" distB="0" distL="0" distR="0" wp14:anchorId="0BAF6702" wp14:editId="31A5728D">
            <wp:extent cx="6000115" cy="2455607"/>
            <wp:effectExtent l="0" t="0" r="635" b="190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1688B9" w14:textId="764FFF95" w:rsidR="005E1CE8" w:rsidRDefault="00C03FC5" w:rsidP="00A7365A">
      <w:pPr>
        <w:spacing w:line="240" w:lineRule="auto"/>
        <w:jc w:val="center"/>
        <w:rPr>
          <w:rFonts w:ascii="Times New Roman" w:hAnsi="Times New Roman" w:cs="Times New Roman"/>
          <w:sz w:val="24"/>
          <w:szCs w:val="24"/>
        </w:rPr>
      </w:pPr>
      <w:r w:rsidRPr="00C03FC5">
        <w:rPr>
          <w:rFonts w:ascii="Times New Roman" w:hAnsi="Times New Roman" w:cs="Times New Roman"/>
          <w:b/>
          <w:sz w:val="24"/>
          <w:szCs w:val="24"/>
        </w:rPr>
        <w:t xml:space="preserve">Figure </w:t>
      </w:r>
      <w:r w:rsidR="00F62302" w:rsidRPr="00C03FC5">
        <w:rPr>
          <w:rFonts w:ascii="Times New Roman" w:hAnsi="Times New Roman" w:cs="Times New Roman"/>
          <w:b/>
          <w:sz w:val="24"/>
          <w:szCs w:val="24"/>
        </w:rPr>
        <w:t>4</w:t>
      </w:r>
      <w:r w:rsidR="00F62302" w:rsidRPr="00C03FC5">
        <w:rPr>
          <w:rFonts w:ascii="Times New Roman" w:hAnsi="Times New Roman" w:cs="Times New Roman"/>
          <w:sz w:val="24"/>
          <w:szCs w:val="24"/>
        </w:rPr>
        <w:t xml:space="preserve"> :</w:t>
      </w:r>
      <w:r w:rsidRPr="00C03FC5">
        <w:rPr>
          <w:rFonts w:ascii="Times New Roman" w:hAnsi="Times New Roman" w:cs="Times New Roman"/>
          <w:sz w:val="24"/>
          <w:szCs w:val="24"/>
        </w:rPr>
        <w:t xml:space="preserve"> variation of the sum of residue contents of each basin as a function of time</w:t>
      </w:r>
      <w:r w:rsidR="004D48C2">
        <w:rPr>
          <w:rFonts w:ascii="Times New Roman" w:hAnsi="Times New Roman" w:cs="Times New Roman"/>
          <w:sz w:val="24"/>
          <w:szCs w:val="24"/>
        </w:rPr>
        <w:t>.</w:t>
      </w:r>
    </w:p>
    <w:p w14:paraId="0C2CC1CF" w14:textId="77777777" w:rsidR="00B63B77" w:rsidRDefault="00B63B77" w:rsidP="00A7365A">
      <w:pPr>
        <w:spacing w:line="240" w:lineRule="auto"/>
        <w:jc w:val="center"/>
        <w:rPr>
          <w:rFonts w:ascii="Times New Roman" w:hAnsi="Times New Roman" w:cs="Times New Roman"/>
          <w:sz w:val="24"/>
          <w:szCs w:val="24"/>
        </w:rPr>
      </w:pPr>
    </w:p>
    <w:p w14:paraId="64DF32BA" w14:textId="77777777" w:rsidR="00B63B77" w:rsidRPr="00B63B77" w:rsidRDefault="00B63B77" w:rsidP="00B63B77">
      <w:pPr>
        <w:pStyle w:val="NoSpacing"/>
        <w:jc w:val="both"/>
        <w:rPr>
          <w:rFonts w:ascii="Times New Roman" w:hAnsi="Times New Roman" w:cs="Times New Roman"/>
          <w:sz w:val="24"/>
          <w:szCs w:val="24"/>
        </w:rPr>
      </w:pPr>
      <w:r w:rsidRPr="00B63B77">
        <w:rPr>
          <w:rFonts w:ascii="Times New Roman" w:hAnsi="Times New Roman" w:cs="Times New Roman"/>
          <w:sz w:val="24"/>
          <w:szCs w:val="24"/>
        </w:rPr>
        <w:t>Atrazine and Cybutryne have approximately equal mean and median values. This shows that their distribution in the soil is symmetrical. Atrazine and Cybutryne show similar trends in the four basins studied. They vary with Terbutryne, in an identical manner in basins B9 and B17. On the other hand, Terbutryne varies randomly in basins B10 and B11.</w:t>
      </w:r>
    </w:p>
    <w:p w14:paraId="61A9F9F6" w14:textId="5EDAD15A" w:rsidR="00B63B77" w:rsidRDefault="00B63B77" w:rsidP="00B63B77">
      <w:pPr>
        <w:pStyle w:val="NoSpacing"/>
        <w:jc w:val="both"/>
        <w:rPr>
          <w:rFonts w:ascii="Times New Roman" w:hAnsi="Times New Roman" w:cs="Times New Roman"/>
          <w:sz w:val="24"/>
          <w:szCs w:val="24"/>
        </w:rPr>
      </w:pPr>
      <w:r w:rsidRPr="00B63B77">
        <w:rPr>
          <w:rFonts w:ascii="Times New Roman" w:hAnsi="Times New Roman" w:cs="Times New Roman"/>
          <w:sz w:val="24"/>
          <w:szCs w:val="24"/>
        </w:rPr>
        <w:t>At the significant level of 0.1%, basins B9 and B17 are strongly correlated (R</w:t>
      </w:r>
      <w:r w:rsidRPr="00B63B77">
        <w:rPr>
          <w:rFonts w:ascii="Times New Roman" w:hAnsi="Times New Roman" w:cs="Times New Roman"/>
          <w:sz w:val="24"/>
          <w:szCs w:val="24"/>
          <w:vertAlign w:val="superscript"/>
        </w:rPr>
        <w:t>2</w:t>
      </w:r>
      <w:r w:rsidRPr="00B63B77">
        <w:rPr>
          <w:rFonts w:ascii="Times New Roman" w:hAnsi="Times New Roman" w:cs="Times New Roman"/>
          <w:sz w:val="24"/>
          <w:szCs w:val="24"/>
        </w:rPr>
        <w:t>= 0.999999955 and P-value = 0.000190759). The same goes for basins B10 and B11 (R</w:t>
      </w:r>
      <w:r w:rsidRPr="00B63B77">
        <w:rPr>
          <w:rFonts w:ascii="Times New Roman" w:hAnsi="Times New Roman" w:cs="Times New Roman"/>
          <w:sz w:val="24"/>
          <w:szCs w:val="24"/>
          <w:vertAlign w:val="superscript"/>
        </w:rPr>
        <w:t>2</w:t>
      </w:r>
      <w:r w:rsidRPr="00B63B77">
        <w:rPr>
          <w:rFonts w:ascii="Times New Roman" w:hAnsi="Times New Roman" w:cs="Times New Roman"/>
          <w:sz w:val="24"/>
          <w:szCs w:val="24"/>
        </w:rPr>
        <w:t xml:space="preserve">=0.999999939 and P-value = 0.000223065) (table </w:t>
      </w:r>
      <w:r w:rsidR="00710BF8">
        <w:rPr>
          <w:rFonts w:ascii="Times New Roman" w:hAnsi="Times New Roman" w:cs="Times New Roman"/>
          <w:sz w:val="24"/>
          <w:szCs w:val="24"/>
        </w:rPr>
        <w:t>4</w:t>
      </w:r>
      <w:r w:rsidRPr="00B63B77">
        <w:rPr>
          <w:rFonts w:ascii="Times New Roman" w:hAnsi="Times New Roman" w:cs="Times New Roman"/>
          <w:sz w:val="24"/>
          <w:szCs w:val="24"/>
        </w:rPr>
        <w:t>). In the sampled part of basins B10 and B11, market gardening is practiced throughout the year, unlike basins B9 and B17 which are only cultivated during the winter season. The correlations obtained are consistent with agricultural practices in the basins: the timing of herbicide application, soil turning, crop rotation and soil dilution by watering, for example, w</w:t>
      </w:r>
      <w:r>
        <w:rPr>
          <w:rFonts w:ascii="Times New Roman" w:hAnsi="Times New Roman" w:cs="Times New Roman"/>
          <w:sz w:val="24"/>
          <w:szCs w:val="24"/>
        </w:rPr>
        <w:t>hich are higher in the two basins</w:t>
      </w:r>
      <w:r w:rsidRPr="00B63B77">
        <w:rPr>
          <w:rFonts w:ascii="Times New Roman" w:hAnsi="Times New Roman" w:cs="Times New Roman"/>
          <w:sz w:val="24"/>
          <w:szCs w:val="24"/>
        </w:rPr>
        <w:t xml:space="preserve"> cultivated all year round (B10 and B11). The use of pesticides in combination to increase their effectiveness in controlling weeds resistant to a single herbicide may also expla</w:t>
      </w:r>
      <w:r w:rsidR="0030661B">
        <w:rPr>
          <w:rFonts w:ascii="Times New Roman" w:hAnsi="Times New Roman" w:cs="Times New Roman"/>
          <w:sz w:val="24"/>
          <w:szCs w:val="24"/>
        </w:rPr>
        <w:t>in the observed correlations [18</w:t>
      </w:r>
      <w:r w:rsidRPr="00B63B77">
        <w:rPr>
          <w:rFonts w:ascii="Times New Roman" w:hAnsi="Times New Roman" w:cs="Times New Roman"/>
          <w:sz w:val="24"/>
          <w:szCs w:val="24"/>
        </w:rPr>
        <w:t>]. Atrazine and Cybutryne have similar structures</w:t>
      </w:r>
      <w:r>
        <w:rPr>
          <w:rFonts w:ascii="Times New Roman" w:hAnsi="Times New Roman" w:cs="Times New Roman"/>
          <w:sz w:val="24"/>
          <w:szCs w:val="24"/>
        </w:rPr>
        <w:t xml:space="preserve"> </w:t>
      </w:r>
      <w:r w:rsidR="0030661B">
        <w:rPr>
          <w:rFonts w:ascii="Times New Roman" w:hAnsi="Times New Roman" w:cs="Times New Roman"/>
          <w:sz w:val="24"/>
          <w:szCs w:val="24"/>
        </w:rPr>
        <w:t>[19</w:t>
      </w:r>
      <w:r w:rsidRPr="00B63B77">
        <w:rPr>
          <w:rFonts w:ascii="Times New Roman" w:hAnsi="Times New Roman" w:cs="Times New Roman"/>
          <w:sz w:val="24"/>
          <w:szCs w:val="24"/>
        </w:rPr>
        <w:t>]. This may be the reason for their correlation.</w:t>
      </w:r>
    </w:p>
    <w:p w14:paraId="47227C11" w14:textId="77777777" w:rsidR="00B63B77" w:rsidRPr="00B63B77" w:rsidRDefault="00B63B77" w:rsidP="00B63B77">
      <w:pPr>
        <w:pStyle w:val="NoSpacing"/>
        <w:jc w:val="both"/>
        <w:rPr>
          <w:rFonts w:ascii="Times New Roman" w:hAnsi="Times New Roman" w:cs="Times New Roman"/>
          <w:sz w:val="24"/>
          <w:szCs w:val="24"/>
        </w:rPr>
      </w:pPr>
    </w:p>
    <w:p w14:paraId="5F86061D" w14:textId="56A7D5DB" w:rsidR="008D6D8B" w:rsidRDefault="00B63B77" w:rsidP="00B63B77">
      <w:pPr>
        <w:tabs>
          <w:tab w:val="left" w:pos="4678"/>
        </w:tabs>
        <w:spacing w:line="240" w:lineRule="auto"/>
        <w:jc w:val="center"/>
        <w:rPr>
          <w:rFonts w:ascii="Times New Roman" w:hAnsi="Times New Roman" w:cs="Times New Roman"/>
          <w:b/>
          <w:sz w:val="24"/>
          <w:szCs w:val="24"/>
        </w:rPr>
      </w:pPr>
      <w:r w:rsidRPr="00B63B77">
        <w:rPr>
          <w:rFonts w:ascii="Times New Roman" w:hAnsi="Times New Roman" w:cs="Times New Roman"/>
          <w:b/>
          <w:sz w:val="24"/>
          <w:szCs w:val="24"/>
        </w:rPr>
        <w:t xml:space="preserve">Table </w:t>
      </w:r>
      <w:r w:rsidR="00710BF8">
        <w:rPr>
          <w:rFonts w:ascii="Times New Roman" w:hAnsi="Times New Roman" w:cs="Times New Roman"/>
          <w:b/>
          <w:sz w:val="24"/>
          <w:szCs w:val="24"/>
        </w:rPr>
        <w:t>4</w:t>
      </w:r>
      <w:r w:rsidR="00F62302" w:rsidRPr="00B63B77">
        <w:rPr>
          <w:rFonts w:ascii="Times New Roman" w:hAnsi="Times New Roman" w:cs="Times New Roman"/>
          <w:b/>
          <w:sz w:val="24"/>
          <w:szCs w:val="24"/>
        </w:rPr>
        <w:t xml:space="preserve"> :</w:t>
      </w:r>
      <w:r w:rsidRPr="00B63B77">
        <w:rPr>
          <w:rFonts w:ascii="Times New Roman" w:hAnsi="Times New Roman" w:cs="Times New Roman"/>
          <w:b/>
          <w:sz w:val="24"/>
          <w:szCs w:val="24"/>
        </w:rPr>
        <w:t xml:space="preserve"> </w:t>
      </w:r>
      <w:r w:rsidRPr="00B63B77">
        <w:rPr>
          <w:rFonts w:ascii="Times New Roman" w:hAnsi="Times New Roman" w:cs="Times New Roman"/>
          <w:sz w:val="24"/>
          <w:szCs w:val="24"/>
        </w:rPr>
        <w:t>descriptive statistics of the triazine residue contents studied.</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83"/>
        <w:gridCol w:w="1264"/>
        <w:gridCol w:w="1417"/>
        <w:gridCol w:w="1560"/>
      </w:tblGrid>
      <w:tr w:rsidR="008D6D8B" w:rsidRPr="00220C0B" w14:paraId="3DED0AFB" w14:textId="77777777" w:rsidTr="00172E9D">
        <w:trPr>
          <w:trHeight w:val="300"/>
        </w:trPr>
        <w:tc>
          <w:tcPr>
            <w:tcW w:w="3969" w:type="dxa"/>
            <w:tcBorders>
              <w:top w:val="single" w:sz="8" w:space="0" w:color="000000"/>
            </w:tcBorders>
            <w:noWrap/>
            <w:hideMark/>
          </w:tcPr>
          <w:p w14:paraId="33A5810B"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p>
        </w:tc>
        <w:tc>
          <w:tcPr>
            <w:tcW w:w="1283" w:type="dxa"/>
            <w:tcBorders>
              <w:top w:val="single" w:sz="8" w:space="0" w:color="000000"/>
            </w:tcBorders>
            <w:noWrap/>
            <w:hideMark/>
          </w:tcPr>
          <w:p w14:paraId="6F545C28"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r w:rsidRPr="00220C0B">
              <w:rPr>
                <w:rFonts w:ascii="Times New Roman" w:eastAsia="Times New Roman" w:hAnsi="Times New Roman" w:cs="Times New Roman"/>
                <w:color w:val="000000"/>
                <w:sz w:val="24"/>
                <w:szCs w:val="24"/>
                <w:lang w:eastAsia="fr-FR"/>
              </w:rPr>
              <w:t>Terbutryne</w:t>
            </w:r>
          </w:p>
        </w:tc>
        <w:tc>
          <w:tcPr>
            <w:tcW w:w="1264" w:type="dxa"/>
            <w:tcBorders>
              <w:top w:val="single" w:sz="8" w:space="0" w:color="000000"/>
            </w:tcBorders>
            <w:noWrap/>
            <w:hideMark/>
          </w:tcPr>
          <w:p w14:paraId="12607095"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r w:rsidRPr="00220C0B">
              <w:rPr>
                <w:rFonts w:ascii="Times New Roman" w:eastAsia="Times New Roman" w:hAnsi="Times New Roman" w:cs="Times New Roman"/>
                <w:color w:val="000000"/>
                <w:sz w:val="24"/>
                <w:szCs w:val="24"/>
                <w:lang w:eastAsia="fr-FR"/>
              </w:rPr>
              <w:t>Atrazine</w:t>
            </w:r>
          </w:p>
        </w:tc>
        <w:tc>
          <w:tcPr>
            <w:tcW w:w="1417" w:type="dxa"/>
            <w:tcBorders>
              <w:top w:val="single" w:sz="8" w:space="0" w:color="000000"/>
            </w:tcBorders>
            <w:noWrap/>
            <w:hideMark/>
          </w:tcPr>
          <w:p w14:paraId="18CBB5F5"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Cybutryne</w:t>
            </w:r>
          </w:p>
        </w:tc>
        <w:tc>
          <w:tcPr>
            <w:tcW w:w="1560" w:type="dxa"/>
            <w:tcBorders>
              <w:top w:val="single" w:sz="8" w:space="0" w:color="000000"/>
            </w:tcBorders>
          </w:tcPr>
          <w:p w14:paraId="5A1049D3"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Σ Herbi</w:t>
            </w:r>
            <w:r w:rsidRPr="00220C0B">
              <w:rPr>
                <w:rFonts w:ascii="Times New Roman" w:eastAsia="Times New Roman" w:hAnsi="Times New Roman" w:cs="Times New Roman"/>
                <w:color w:val="000000"/>
                <w:sz w:val="24"/>
                <w:szCs w:val="24"/>
                <w:lang w:eastAsia="fr-FR"/>
              </w:rPr>
              <w:t>cides</w:t>
            </w:r>
          </w:p>
        </w:tc>
      </w:tr>
      <w:tr w:rsidR="008D6D8B" w:rsidRPr="00220C0B" w14:paraId="5A5B038F" w14:textId="77777777" w:rsidTr="00172E9D">
        <w:trPr>
          <w:trHeight w:val="300"/>
        </w:trPr>
        <w:tc>
          <w:tcPr>
            <w:tcW w:w="3969" w:type="dxa"/>
            <w:noWrap/>
          </w:tcPr>
          <w:p w14:paraId="49CB052B"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p>
        </w:tc>
        <w:tc>
          <w:tcPr>
            <w:tcW w:w="5524" w:type="dxa"/>
            <w:gridSpan w:val="4"/>
            <w:noWrap/>
          </w:tcPr>
          <w:p w14:paraId="0C920F20" w14:textId="77777777" w:rsidR="008D6D8B" w:rsidRPr="00220C0B" w:rsidRDefault="008D6D8B" w:rsidP="00A7365A">
            <w:pPr>
              <w:jc w:val="center"/>
              <w:rPr>
                <w:rFonts w:ascii="Times New Roman" w:eastAsia="Times New Roman" w:hAnsi="Times New Roman" w:cs="Times New Roman"/>
                <w:color w:val="000000"/>
                <w:sz w:val="24"/>
                <w:szCs w:val="24"/>
                <w:lang w:val="en-GB" w:eastAsia="fr-FR"/>
              </w:rPr>
            </w:pPr>
            <w:r w:rsidRPr="00220C0B">
              <w:rPr>
                <w:rFonts w:ascii="Times New Roman" w:eastAsia="Times New Roman" w:hAnsi="Times New Roman" w:cs="Times New Roman"/>
                <w:color w:val="000000"/>
                <w:sz w:val="24"/>
                <w:szCs w:val="24"/>
                <w:lang w:val="en-GB" w:eastAsia="fr-FR"/>
              </w:rPr>
              <w:t>µg.kg</w:t>
            </w:r>
            <w:r w:rsidRPr="00220C0B">
              <w:rPr>
                <w:rFonts w:ascii="Times New Roman" w:eastAsia="Times New Roman" w:hAnsi="Times New Roman" w:cs="Times New Roman"/>
                <w:color w:val="000000"/>
                <w:sz w:val="24"/>
                <w:szCs w:val="24"/>
                <w:vertAlign w:val="superscript"/>
                <w:lang w:val="en-GB" w:eastAsia="fr-FR"/>
              </w:rPr>
              <w:t>-1</w:t>
            </w:r>
          </w:p>
        </w:tc>
      </w:tr>
      <w:tr w:rsidR="008D6D8B" w:rsidRPr="00220C0B" w14:paraId="5DB09AF0" w14:textId="77777777" w:rsidTr="00172E9D">
        <w:trPr>
          <w:trHeight w:val="300"/>
        </w:trPr>
        <w:tc>
          <w:tcPr>
            <w:tcW w:w="3969" w:type="dxa"/>
            <w:noWrap/>
            <w:hideMark/>
          </w:tcPr>
          <w:p w14:paraId="70A462FB"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r w:rsidRPr="00220C0B">
              <w:rPr>
                <w:rFonts w:ascii="Times New Roman" w:eastAsia="Times New Roman" w:hAnsi="Times New Roman" w:cs="Times New Roman"/>
                <w:color w:val="000000"/>
                <w:sz w:val="24"/>
                <w:szCs w:val="24"/>
                <w:lang w:eastAsia="fr-FR"/>
              </w:rPr>
              <w:t>Minimum</w:t>
            </w:r>
          </w:p>
        </w:tc>
        <w:tc>
          <w:tcPr>
            <w:tcW w:w="1283" w:type="dxa"/>
            <w:noWrap/>
            <w:hideMark/>
          </w:tcPr>
          <w:p w14:paraId="6D7635CF" w14:textId="27981A3F"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8D6D8B" w:rsidRPr="00220C0B">
              <w:rPr>
                <w:rFonts w:ascii="Times New Roman" w:eastAsia="Times New Roman" w:hAnsi="Times New Roman" w:cs="Times New Roman"/>
                <w:color w:val="000000"/>
                <w:sz w:val="24"/>
                <w:szCs w:val="24"/>
                <w:lang w:eastAsia="fr-FR"/>
              </w:rPr>
              <w:t>350</w:t>
            </w:r>
          </w:p>
        </w:tc>
        <w:tc>
          <w:tcPr>
            <w:tcW w:w="1264" w:type="dxa"/>
            <w:noWrap/>
            <w:hideMark/>
          </w:tcPr>
          <w:p w14:paraId="6AFB4580" w14:textId="3C6672D8"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251</w:t>
            </w:r>
          </w:p>
        </w:tc>
        <w:tc>
          <w:tcPr>
            <w:tcW w:w="1417" w:type="dxa"/>
            <w:noWrap/>
            <w:hideMark/>
          </w:tcPr>
          <w:p w14:paraId="44A630B7" w14:textId="4A44E6D7"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300</w:t>
            </w:r>
          </w:p>
        </w:tc>
        <w:tc>
          <w:tcPr>
            <w:tcW w:w="1560" w:type="dxa"/>
          </w:tcPr>
          <w:p w14:paraId="36A7C801" w14:textId="6D4980F8"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8D6D8B" w:rsidRPr="00220C0B">
              <w:rPr>
                <w:rFonts w:ascii="Times New Roman" w:hAnsi="Times New Roman" w:cs="Times New Roman"/>
                <w:color w:val="000000"/>
                <w:sz w:val="24"/>
                <w:szCs w:val="24"/>
              </w:rPr>
              <w:t>901</w:t>
            </w:r>
          </w:p>
        </w:tc>
      </w:tr>
      <w:tr w:rsidR="008D6D8B" w:rsidRPr="00220C0B" w14:paraId="146E99BB" w14:textId="77777777" w:rsidTr="00172E9D">
        <w:trPr>
          <w:trHeight w:val="300"/>
        </w:trPr>
        <w:tc>
          <w:tcPr>
            <w:tcW w:w="3969" w:type="dxa"/>
            <w:noWrap/>
            <w:hideMark/>
          </w:tcPr>
          <w:p w14:paraId="5B34DB74" w14:textId="15BFA8A1" w:rsidR="008D6D8B" w:rsidRPr="00220C0B" w:rsidRDefault="007976B5" w:rsidP="00A7365A">
            <w:pPr>
              <w:jc w:val="center"/>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Percentile 25% (Q1)</w:t>
            </w:r>
          </w:p>
        </w:tc>
        <w:tc>
          <w:tcPr>
            <w:tcW w:w="1283" w:type="dxa"/>
            <w:noWrap/>
            <w:hideMark/>
          </w:tcPr>
          <w:p w14:paraId="15D3CB0F" w14:textId="06833846"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9.</w:t>
            </w:r>
            <w:r w:rsidR="008D6D8B" w:rsidRPr="00220C0B">
              <w:rPr>
                <w:rFonts w:ascii="Times New Roman" w:eastAsia="Times New Roman" w:hAnsi="Times New Roman" w:cs="Times New Roman"/>
                <w:color w:val="000000"/>
                <w:sz w:val="24"/>
                <w:szCs w:val="24"/>
                <w:lang w:eastAsia="fr-FR"/>
              </w:rPr>
              <w:t>856</w:t>
            </w:r>
          </w:p>
        </w:tc>
        <w:tc>
          <w:tcPr>
            <w:tcW w:w="1264" w:type="dxa"/>
            <w:noWrap/>
            <w:hideMark/>
          </w:tcPr>
          <w:p w14:paraId="7921B0B9" w14:textId="04C32491"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273</w:t>
            </w:r>
          </w:p>
        </w:tc>
        <w:tc>
          <w:tcPr>
            <w:tcW w:w="1417" w:type="dxa"/>
            <w:noWrap/>
            <w:hideMark/>
          </w:tcPr>
          <w:p w14:paraId="1C85A4D7" w14:textId="749AC5F6"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302</w:t>
            </w:r>
          </w:p>
        </w:tc>
        <w:tc>
          <w:tcPr>
            <w:tcW w:w="1560" w:type="dxa"/>
          </w:tcPr>
          <w:p w14:paraId="4E119ADB" w14:textId="0D58E028"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sidR="008D6D8B" w:rsidRPr="00220C0B">
              <w:rPr>
                <w:rFonts w:ascii="Times New Roman" w:hAnsi="Times New Roman" w:cs="Times New Roman"/>
                <w:color w:val="000000"/>
                <w:sz w:val="24"/>
                <w:szCs w:val="24"/>
              </w:rPr>
              <w:t>431</w:t>
            </w:r>
          </w:p>
        </w:tc>
      </w:tr>
      <w:tr w:rsidR="008D6D8B" w:rsidRPr="00220C0B" w14:paraId="09887FB7" w14:textId="77777777" w:rsidTr="00172E9D">
        <w:trPr>
          <w:trHeight w:val="300"/>
        </w:trPr>
        <w:tc>
          <w:tcPr>
            <w:tcW w:w="3969" w:type="dxa"/>
            <w:noWrap/>
            <w:hideMark/>
          </w:tcPr>
          <w:p w14:paraId="720C4A10" w14:textId="736F90C9" w:rsidR="008D6D8B" w:rsidRPr="00220C0B" w:rsidRDefault="007976B5" w:rsidP="00A7365A">
            <w:pPr>
              <w:jc w:val="center"/>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Average</w:t>
            </w:r>
          </w:p>
        </w:tc>
        <w:tc>
          <w:tcPr>
            <w:tcW w:w="1283" w:type="dxa"/>
            <w:noWrap/>
            <w:hideMark/>
          </w:tcPr>
          <w:p w14:paraId="5C822B51" w14:textId="77706480"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008D6D8B" w:rsidRPr="00220C0B">
              <w:rPr>
                <w:rFonts w:ascii="Times New Roman" w:eastAsia="Times New Roman" w:hAnsi="Times New Roman" w:cs="Times New Roman"/>
                <w:color w:val="000000"/>
                <w:sz w:val="24"/>
                <w:szCs w:val="24"/>
                <w:lang w:eastAsia="fr-FR"/>
              </w:rPr>
              <w:t>172</w:t>
            </w:r>
          </w:p>
        </w:tc>
        <w:tc>
          <w:tcPr>
            <w:tcW w:w="1264" w:type="dxa"/>
            <w:noWrap/>
            <w:hideMark/>
          </w:tcPr>
          <w:p w14:paraId="08C4A4A9" w14:textId="60DF6446"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327</w:t>
            </w:r>
          </w:p>
        </w:tc>
        <w:tc>
          <w:tcPr>
            <w:tcW w:w="1417" w:type="dxa"/>
            <w:noWrap/>
            <w:hideMark/>
          </w:tcPr>
          <w:p w14:paraId="7AED9FE3" w14:textId="2C40889A"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309</w:t>
            </w:r>
          </w:p>
        </w:tc>
        <w:tc>
          <w:tcPr>
            <w:tcW w:w="1560" w:type="dxa"/>
          </w:tcPr>
          <w:p w14:paraId="091BC606" w14:textId="0AEA7965"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r w:rsidR="008D6D8B" w:rsidRPr="00220C0B">
              <w:rPr>
                <w:rFonts w:ascii="Times New Roman" w:hAnsi="Times New Roman" w:cs="Times New Roman"/>
                <w:color w:val="000000"/>
                <w:sz w:val="24"/>
                <w:szCs w:val="24"/>
              </w:rPr>
              <w:t>808</w:t>
            </w:r>
          </w:p>
        </w:tc>
      </w:tr>
      <w:tr w:rsidR="008D6D8B" w:rsidRPr="00220C0B" w14:paraId="489E2210" w14:textId="77777777" w:rsidTr="00172E9D">
        <w:trPr>
          <w:trHeight w:val="300"/>
        </w:trPr>
        <w:tc>
          <w:tcPr>
            <w:tcW w:w="3969" w:type="dxa"/>
            <w:noWrap/>
            <w:hideMark/>
          </w:tcPr>
          <w:p w14:paraId="54985769" w14:textId="11DB026F"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Standard error (of the a</w:t>
            </w:r>
            <w:r w:rsidRPr="007976B5">
              <w:rPr>
                <w:rFonts w:ascii="Times New Roman" w:eastAsia="Times New Roman" w:hAnsi="Times New Roman" w:cs="Times New Roman"/>
                <w:color w:val="000000"/>
                <w:sz w:val="24"/>
                <w:szCs w:val="24"/>
                <w:lang w:eastAsia="fr-FR"/>
              </w:rPr>
              <w:t>verage)</w:t>
            </w:r>
          </w:p>
        </w:tc>
        <w:tc>
          <w:tcPr>
            <w:tcW w:w="1283" w:type="dxa"/>
            <w:noWrap/>
            <w:hideMark/>
          </w:tcPr>
          <w:p w14:paraId="735E3F5E" w14:textId="1A2F202C"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5.</w:t>
            </w:r>
            <w:r w:rsidR="008D6D8B" w:rsidRPr="00220C0B">
              <w:rPr>
                <w:rFonts w:ascii="Times New Roman" w:eastAsia="Times New Roman" w:hAnsi="Times New Roman" w:cs="Times New Roman"/>
                <w:color w:val="000000"/>
                <w:sz w:val="24"/>
                <w:szCs w:val="24"/>
                <w:lang w:eastAsia="fr-FR"/>
              </w:rPr>
              <w:t>777</w:t>
            </w:r>
          </w:p>
        </w:tc>
        <w:tc>
          <w:tcPr>
            <w:tcW w:w="1264" w:type="dxa"/>
            <w:noWrap/>
            <w:hideMark/>
          </w:tcPr>
          <w:p w14:paraId="01B1EC64" w14:textId="0F1ACB6E"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015</w:t>
            </w:r>
          </w:p>
        </w:tc>
        <w:tc>
          <w:tcPr>
            <w:tcW w:w="1417" w:type="dxa"/>
            <w:noWrap/>
            <w:hideMark/>
          </w:tcPr>
          <w:p w14:paraId="21C679E4" w14:textId="2528AC56"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006</w:t>
            </w:r>
          </w:p>
        </w:tc>
        <w:tc>
          <w:tcPr>
            <w:tcW w:w="1560" w:type="dxa"/>
          </w:tcPr>
          <w:p w14:paraId="563EF732" w14:textId="59BF02E8"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8D6D8B" w:rsidRPr="00220C0B">
              <w:rPr>
                <w:rFonts w:ascii="Times New Roman" w:hAnsi="Times New Roman" w:cs="Times New Roman"/>
                <w:color w:val="000000"/>
                <w:sz w:val="24"/>
                <w:szCs w:val="24"/>
              </w:rPr>
              <w:t>798</w:t>
            </w:r>
          </w:p>
        </w:tc>
      </w:tr>
      <w:tr w:rsidR="008D6D8B" w:rsidRPr="00220C0B" w14:paraId="081C32CC" w14:textId="77777777" w:rsidTr="00172E9D">
        <w:trPr>
          <w:trHeight w:val="300"/>
        </w:trPr>
        <w:tc>
          <w:tcPr>
            <w:tcW w:w="3969" w:type="dxa"/>
            <w:noWrap/>
            <w:hideMark/>
          </w:tcPr>
          <w:p w14:paraId="758DA50A" w14:textId="58E4E584" w:rsidR="008D6D8B" w:rsidRPr="00220C0B" w:rsidRDefault="007976B5" w:rsidP="00A7365A">
            <w:pPr>
              <w:jc w:val="center"/>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Median</w:t>
            </w:r>
          </w:p>
        </w:tc>
        <w:tc>
          <w:tcPr>
            <w:tcW w:w="1283" w:type="dxa"/>
            <w:noWrap/>
            <w:hideMark/>
          </w:tcPr>
          <w:p w14:paraId="560159AE" w14:textId="08D174CF"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31.</w:t>
            </w:r>
            <w:r w:rsidR="008D6D8B" w:rsidRPr="00220C0B">
              <w:rPr>
                <w:rFonts w:ascii="Times New Roman" w:eastAsia="Times New Roman" w:hAnsi="Times New Roman" w:cs="Times New Roman"/>
                <w:color w:val="000000"/>
                <w:sz w:val="24"/>
                <w:szCs w:val="24"/>
                <w:lang w:eastAsia="fr-FR"/>
              </w:rPr>
              <w:t>681</w:t>
            </w:r>
          </w:p>
        </w:tc>
        <w:tc>
          <w:tcPr>
            <w:tcW w:w="1264" w:type="dxa"/>
            <w:noWrap/>
            <w:hideMark/>
          </w:tcPr>
          <w:p w14:paraId="0CDA5B87" w14:textId="61931A1B"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318</w:t>
            </w:r>
          </w:p>
        </w:tc>
        <w:tc>
          <w:tcPr>
            <w:tcW w:w="1417" w:type="dxa"/>
            <w:noWrap/>
            <w:hideMark/>
          </w:tcPr>
          <w:p w14:paraId="2FF6126D" w14:textId="484F66C1"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304</w:t>
            </w:r>
          </w:p>
        </w:tc>
        <w:tc>
          <w:tcPr>
            <w:tcW w:w="1560" w:type="dxa"/>
          </w:tcPr>
          <w:p w14:paraId="0E2DA4E9" w14:textId="68B69594"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r w:rsidR="008D6D8B" w:rsidRPr="00220C0B">
              <w:rPr>
                <w:rFonts w:ascii="Times New Roman" w:hAnsi="Times New Roman" w:cs="Times New Roman"/>
                <w:color w:val="000000"/>
                <w:sz w:val="24"/>
                <w:szCs w:val="24"/>
              </w:rPr>
              <w:t>303</w:t>
            </w:r>
          </w:p>
        </w:tc>
      </w:tr>
      <w:tr w:rsidR="008D6D8B" w:rsidRPr="00220C0B" w14:paraId="7122DEA9" w14:textId="77777777" w:rsidTr="00172E9D">
        <w:trPr>
          <w:trHeight w:val="300"/>
        </w:trPr>
        <w:tc>
          <w:tcPr>
            <w:tcW w:w="3969" w:type="dxa"/>
            <w:noWrap/>
            <w:hideMark/>
          </w:tcPr>
          <w:p w14:paraId="3CD57FC5" w14:textId="6398264D" w:rsidR="008D6D8B" w:rsidRPr="00220C0B" w:rsidRDefault="007976B5" w:rsidP="00A7365A">
            <w:pPr>
              <w:jc w:val="center"/>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Median error</w:t>
            </w:r>
          </w:p>
        </w:tc>
        <w:tc>
          <w:tcPr>
            <w:tcW w:w="1283" w:type="dxa"/>
            <w:noWrap/>
            <w:hideMark/>
          </w:tcPr>
          <w:p w14:paraId="6593833A" w14:textId="12DB05BD"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008D6D8B" w:rsidRPr="00220C0B">
              <w:rPr>
                <w:rFonts w:ascii="Times New Roman" w:eastAsia="Times New Roman" w:hAnsi="Times New Roman" w:cs="Times New Roman"/>
                <w:color w:val="000000"/>
                <w:sz w:val="24"/>
                <w:szCs w:val="24"/>
                <w:lang w:eastAsia="fr-FR"/>
              </w:rPr>
              <w:t>810</w:t>
            </w:r>
          </w:p>
        </w:tc>
        <w:tc>
          <w:tcPr>
            <w:tcW w:w="1264" w:type="dxa"/>
            <w:noWrap/>
            <w:hideMark/>
          </w:tcPr>
          <w:p w14:paraId="671E4007" w14:textId="55326D04"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004</w:t>
            </w:r>
          </w:p>
        </w:tc>
        <w:tc>
          <w:tcPr>
            <w:tcW w:w="1417" w:type="dxa"/>
            <w:noWrap/>
            <w:hideMark/>
          </w:tcPr>
          <w:p w14:paraId="0E8B4555" w14:textId="2E60255C"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002</w:t>
            </w:r>
          </w:p>
        </w:tc>
        <w:tc>
          <w:tcPr>
            <w:tcW w:w="1560" w:type="dxa"/>
          </w:tcPr>
          <w:p w14:paraId="0FEF79DD" w14:textId="41F889B5"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8D6D8B" w:rsidRPr="00220C0B">
              <w:rPr>
                <w:rFonts w:ascii="Times New Roman" w:hAnsi="Times New Roman" w:cs="Times New Roman"/>
                <w:color w:val="000000"/>
                <w:sz w:val="24"/>
                <w:szCs w:val="24"/>
              </w:rPr>
              <w:t>816</w:t>
            </w:r>
          </w:p>
        </w:tc>
      </w:tr>
      <w:tr w:rsidR="008D6D8B" w:rsidRPr="00220C0B" w14:paraId="068229EF" w14:textId="77777777" w:rsidTr="00172E9D">
        <w:trPr>
          <w:trHeight w:val="300"/>
        </w:trPr>
        <w:tc>
          <w:tcPr>
            <w:tcW w:w="3969" w:type="dxa"/>
            <w:noWrap/>
            <w:hideMark/>
          </w:tcPr>
          <w:p w14:paraId="61C4EF41" w14:textId="7B678EF5" w:rsidR="008D6D8B" w:rsidRPr="00220C0B" w:rsidRDefault="007976B5" w:rsidP="00A7365A">
            <w:pPr>
              <w:jc w:val="center"/>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Percentile 75% (Q3)</w:t>
            </w:r>
          </w:p>
        </w:tc>
        <w:tc>
          <w:tcPr>
            <w:tcW w:w="1283" w:type="dxa"/>
            <w:noWrap/>
            <w:hideMark/>
          </w:tcPr>
          <w:p w14:paraId="5B1B862D" w14:textId="4B994A7B"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41.</w:t>
            </w:r>
            <w:r w:rsidR="008D6D8B" w:rsidRPr="00220C0B">
              <w:rPr>
                <w:rFonts w:ascii="Times New Roman" w:eastAsia="Times New Roman" w:hAnsi="Times New Roman" w:cs="Times New Roman"/>
                <w:color w:val="000000"/>
                <w:sz w:val="24"/>
                <w:szCs w:val="24"/>
                <w:lang w:eastAsia="fr-FR"/>
              </w:rPr>
              <w:t>026</w:t>
            </w:r>
          </w:p>
        </w:tc>
        <w:tc>
          <w:tcPr>
            <w:tcW w:w="1264" w:type="dxa"/>
            <w:noWrap/>
            <w:hideMark/>
          </w:tcPr>
          <w:p w14:paraId="49F745F6" w14:textId="247C9DA6" w:rsidR="008D6D8B" w:rsidRPr="00220C0B" w:rsidRDefault="008D6D8B" w:rsidP="00A7365A">
            <w:pPr>
              <w:jc w:val="center"/>
              <w:rPr>
                <w:rFonts w:ascii="Times New Roman" w:eastAsia="Times New Roman" w:hAnsi="Times New Roman" w:cs="Times New Roman"/>
                <w:color w:val="000000"/>
                <w:sz w:val="24"/>
                <w:szCs w:val="24"/>
                <w:lang w:eastAsia="fr-FR"/>
              </w:rPr>
            </w:pPr>
            <w:r w:rsidRPr="00220C0B">
              <w:rPr>
                <w:rFonts w:ascii="Times New Roman" w:eastAsia="Times New Roman" w:hAnsi="Times New Roman" w:cs="Times New Roman"/>
                <w:color w:val="000000"/>
                <w:sz w:val="24"/>
                <w:szCs w:val="24"/>
                <w:lang w:eastAsia="fr-FR"/>
              </w:rPr>
              <w:t>0</w:t>
            </w:r>
            <w:r w:rsidR="007976B5">
              <w:rPr>
                <w:rFonts w:ascii="Times New Roman" w:eastAsia="Times New Roman" w:hAnsi="Times New Roman" w:cs="Times New Roman"/>
                <w:color w:val="000000"/>
                <w:sz w:val="24"/>
                <w:szCs w:val="24"/>
                <w:lang w:eastAsia="fr-FR"/>
              </w:rPr>
              <w:t>.</w:t>
            </w:r>
            <w:r w:rsidRPr="00220C0B">
              <w:rPr>
                <w:rFonts w:ascii="Times New Roman" w:eastAsia="Times New Roman" w:hAnsi="Times New Roman" w:cs="Times New Roman"/>
                <w:color w:val="000000"/>
                <w:sz w:val="24"/>
                <w:szCs w:val="24"/>
                <w:lang w:eastAsia="fr-FR"/>
              </w:rPr>
              <w:t>365</w:t>
            </w:r>
          </w:p>
        </w:tc>
        <w:tc>
          <w:tcPr>
            <w:tcW w:w="1417" w:type="dxa"/>
            <w:noWrap/>
            <w:hideMark/>
          </w:tcPr>
          <w:p w14:paraId="2E43D180" w14:textId="687C17BC"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305</w:t>
            </w:r>
          </w:p>
        </w:tc>
        <w:tc>
          <w:tcPr>
            <w:tcW w:w="1560" w:type="dxa"/>
          </w:tcPr>
          <w:p w14:paraId="7AC8DAE3" w14:textId="129BBF0F"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r w:rsidR="008D6D8B" w:rsidRPr="00220C0B">
              <w:rPr>
                <w:rFonts w:ascii="Times New Roman" w:hAnsi="Times New Roman" w:cs="Times New Roman"/>
                <w:color w:val="000000"/>
                <w:sz w:val="24"/>
                <w:szCs w:val="24"/>
              </w:rPr>
              <w:t>696</w:t>
            </w:r>
          </w:p>
        </w:tc>
      </w:tr>
      <w:tr w:rsidR="008D6D8B" w:rsidRPr="00220C0B" w14:paraId="40B1787D" w14:textId="77777777" w:rsidTr="00172E9D">
        <w:trPr>
          <w:trHeight w:val="300"/>
        </w:trPr>
        <w:tc>
          <w:tcPr>
            <w:tcW w:w="3969" w:type="dxa"/>
            <w:tcBorders>
              <w:bottom w:val="single" w:sz="8" w:space="0" w:color="000000"/>
            </w:tcBorders>
            <w:noWrap/>
            <w:hideMark/>
          </w:tcPr>
          <w:p w14:paraId="4A8F65DA" w14:textId="77777777" w:rsidR="008D6D8B" w:rsidRPr="00220C0B" w:rsidRDefault="008D6D8B" w:rsidP="00A7365A">
            <w:pPr>
              <w:jc w:val="center"/>
              <w:rPr>
                <w:rFonts w:ascii="Times New Roman" w:eastAsia="Times New Roman" w:hAnsi="Times New Roman" w:cs="Times New Roman"/>
                <w:color w:val="000000"/>
                <w:sz w:val="24"/>
                <w:szCs w:val="24"/>
                <w:lang w:eastAsia="fr-FR"/>
              </w:rPr>
            </w:pPr>
            <w:r w:rsidRPr="00220C0B">
              <w:rPr>
                <w:rFonts w:ascii="Times New Roman" w:eastAsia="Times New Roman" w:hAnsi="Times New Roman" w:cs="Times New Roman"/>
                <w:color w:val="000000"/>
                <w:sz w:val="24"/>
                <w:szCs w:val="24"/>
                <w:lang w:eastAsia="fr-FR"/>
              </w:rPr>
              <w:t>Maximum</w:t>
            </w:r>
          </w:p>
        </w:tc>
        <w:tc>
          <w:tcPr>
            <w:tcW w:w="1283" w:type="dxa"/>
            <w:tcBorders>
              <w:bottom w:val="single" w:sz="8" w:space="0" w:color="000000"/>
            </w:tcBorders>
            <w:noWrap/>
            <w:hideMark/>
          </w:tcPr>
          <w:p w14:paraId="7A434697" w14:textId="5889D893"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83.</w:t>
            </w:r>
            <w:r w:rsidR="008D6D8B" w:rsidRPr="00220C0B">
              <w:rPr>
                <w:rFonts w:ascii="Times New Roman" w:eastAsia="Times New Roman" w:hAnsi="Times New Roman" w:cs="Times New Roman"/>
                <w:color w:val="000000"/>
                <w:sz w:val="24"/>
                <w:szCs w:val="24"/>
                <w:lang w:eastAsia="fr-FR"/>
              </w:rPr>
              <w:t>456</w:t>
            </w:r>
          </w:p>
        </w:tc>
        <w:tc>
          <w:tcPr>
            <w:tcW w:w="1264" w:type="dxa"/>
            <w:tcBorders>
              <w:bottom w:val="single" w:sz="8" w:space="0" w:color="000000"/>
            </w:tcBorders>
            <w:noWrap/>
            <w:hideMark/>
          </w:tcPr>
          <w:p w14:paraId="01F80C5D" w14:textId="142DF8F5"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444</w:t>
            </w:r>
          </w:p>
        </w:tc>
        <w:tc>
          <w:tcPr>
            <w:tcW w:w="1417" w:type="dxa"/>
            <w:tcBorders>
              <w:bottom w:val="single" w:sz="8" w:space="0" w:color="000000"/>
            </w:tcBorders>
            <w:noWrap/>
            <w:hideMark/>
          </w:tcPr>
          <w:p w14:paraId="23FF08DB" w14:textId="5FED05E2" w:rsidR="008D6D8B" w:rsidRPr="00220C0B" w:rsidRDefault="007976B5" w:rsidP="00A7365A">
            <w:pPr>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008D6D8B" w:rsidRPr="00220C0B">
              <w:rPr>
                <w:rFonts w:ascii="Times New Roman" w:eastAsia="Times New Roman" w:hAnsi="Times New Roman" w:cs="Times New Roman"/>
                <w:color w:val="000000"/>
                <w:sz w:val="24"/>
                <w:szCs w:val="24"/>
                <w:lang w:eastAsia="fr-FR"/>
              </w:rPr>
              <w:t>402</w:t>
            </w:r>
          </w:p>
        </w:tc>
        <w:tc>
          <w:tcPr>
            <w:tcW w:w="1560" w:type="dxa"/>
            <w:tcBorders>
              <w:bottom w:val="single" w:sz="8" w:space="0" w:color="000000"/>
            </w:tcBorders>
          </w:tcPr>
          <w:p w14:paraId="0A036E77" w14:textId="7778A50B" w:rsidR="008D6D8B" w:rsidRPr="00220C0B" w:rsidRDefault="007976B5" w:rsidP="00A7365A">
            <w:pPr>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008D6D8B" w:rsidRPr="00220C0B">
              <w:rPr>
                <w:rFonts w:ascii="Times New Roman" w:hAnsi="Times New Roman" w:cs="Times New Roman"/>
                <w:color w:val="000000"/>
                <w:sz w:val="24"/>
                <w:szCs w:val="24"/>
              </w:rPr>
              <w:t>302</w:t>
            </w:r>
          </w:p>
        </w:tc>
      </w:tr>
    </w:tbl>
    <w:p w14:paraId="5ADE3A38" w14:textId="77777777" w:rsidR="001817E0" w:rsidRDefault="001817E0" w:rsidP="00A7365A">
      <w:pPr>
        <w:spacing w:line="240" w:lineRule="auto"/>
      </w:pPr>
    </w:p>
    <w:p w14:paraId="0A7650A3" w14:textId="77777777" w:rsidR="00AD4230" w:rsidRDefault="00AD4230" w:rsidP="00A7365A">
      <w:pPr>
        <w:spacing w:line="240" w:lineRule="auto"/>
      </w:pPr>
    </w:p>
    <w:p w14:paraId="780041B2" w14:textId="77777777" w:rsidR="00AD4230" w:rsidRDefault="00AD4230" w:rsidP="00A7365A">
      <w:pPr>
        <w:spacing w:line="240" w:lineRule="auto"/>
      </w:pPr>
    </w:p>
    <w:p w14:paraId="7CF3550F" w14:textId="7FC418E8" w:rsidR="000B42EE" w:rsidRPr="00F56EF9" w:rsidRDefault="00F62302" w:rsidP="00A7365A">
      <w:pPr>
        <w:spacing w:line="240" w:lineRule="auto"/>
        <w:jc w:val="center"/>
        <w:rPr>
          <w:rFonts w:ascii="Times New Roman" w:hAnsi="Times New Roman" w:cs="Times New Roman"/>
          <w:sz w:val="24"/>
          <w:szCs w:val="24"/>
        </w:rPr>
      </w:pPr>
      <w:r w:rsidRPr="00B63B77">
        <w:rPr>
          <w:rFonts w:ascii="Times New Roman" w:hAnsi="Times New Roman" w:cs="Times New Roman"/>
          <w:b/>
          <w:sz w:val="24"/>
          <w:szCs w:val="24"/>
        </w:rPr>
        <w:lastRenderedPageBreak/>
        <w:t>Table</w:t>
      </w:r>
      <w:r w:rsidRPr="00B63B77">
        <w:rPr>
          <w:rFonts w:ascii="Times New Roman" w:hAnsi="Times New Roman" w:cs="Times New Roman"/>
          <w:sz w:val="24"/>
          <w:szCs w:val="24"/>
        </w:rPr>
        <w:t xml:space="preserve"> </w:t>
      </w:r>
      <w:r w:rsidR="00710BF8">
        <w:rPr>
          <w:rFonts w:ascii="Times New Roman" w:hAnsi="Times New Roman" w:cs="Times New Roman"/>
          <w:sz w:val="24"/>
          <w:szCs w:val="24"/>
        </w:rPr>
        <w:t>5</w:t>
      </w:r>
      <w:r w:rsidRPr="00B63B77">
        <w:rPr>
          <w:rFonts w:ascii="Times New Roman" w:hAnsi="Times New Roman" w:cs="Times New Roman"/>
          <w:sz w:val="24"/>
          <w:szCs w:val="24"/>
        </w:rPr>
        <w:t>:</w:t>
      </w:r>
      <w:r w:rsidR="00B63B77" w:rsidRPr="00B63B77">
        <w:rPr>
          <w:rFonts w:ascii="Times New Roman" w:hAnsi="Times New Roman" w:cs="Times New Roman"/>
          <w:sz w:val="24"/>
          <w:szCs w:val="24"/>
        </w:rPr>
        <w:t xml:space="preserve"> Pearson correlation matrix of sampled basins</w:t>
      </w:r>
    </w:p>
    <w:tbl>
      <w:tblPr>
        <w:tblW w:w="10970" w:type="dxa"/>
        <w:tblInd w:w="-851" w:type="dxa"/>
        <w:tblCellMar>
          <w:left w:w="70" w:type="dxa"/>
          <w:right w:w="70" w:type="dxa"/>
        </w:tblCellMar>
        <w:tblLook w:val="04A0" w:firstRow="1" w:lastRow="0" w:firstColumn="1" w:lastColumn="0" w:noHBand="0" w:noVBand="1"/>
      </w:tblPr>
      <w:tblGrid>
        <w:gridCol w:w="781"/>
        <w:gridCol w:w="3898"/>
        <w:gridCol w:w="1842"/>
        <w:gridCol w:w="1701"/>
        <w:gridCol w:w="1701"/>
        <w:gridCol w:w="887"/>
        <w:gridCol w:w="160"/>
      </w:tblGrid>
      <w:tr w:rsidR="000B42EE" w:rsidRPr="00951340" w14:paraId="0CD822D1" w14:textId="77777777" w:rsidTr="00CC2571">
        <w:trPr>
          <w:gridAfter w:val="1"/>
          <w:wAfter w:w="160" w:type="dxa"/>
          <w:trHeight w:val="300"/>
        </w:trPr>
        <w:tc>
          <w:tcPr>
            <w:tcW w:w="781" w:type="dxa"/>
            <w:tcBorders>
              <w:top w:val="single" w:sz="12" w:space="0" w:color="000000"/>
              <w:left w:val="nil"/>
              <w:bottom w:val="nil"/>
              <w:right w:val="nil"/>
            </w:tcBorders>
            <w:noWrap/>
            <w:vAlign w:val="bottom"/>
            <w:hideMark/>
          </w:tcPr>
          <w:p w14:paraId="1E131C75"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Basins                          </w:t>
            </w:r>
          </w:p>
        </w:tc>
        <w:tc>
          <w:tcPr>
            <w:tcW w:w="3898" w:type="dxa"/>
            <w:tcBorders>
              <w:top w:val="single" w:sz="12" w:space="0" w:color="000000"/>
              <w:left w:val="nil"/>
              <w:bottom w:val="nil"/>
              <w:right w:val="nil"/>
            </w:tcBorders>
            <w:noWrap/>
            <w:vAlign w:val="bottom"/>
            <w:hideMark/>
          </w:tcPr>
          <w:p w14:paraId="5E377FA8"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842" w:type="dxa"/>
            <w:tcBorders>
              <w:top w:val="single" w:sz="12" w:space="0" w:color="000000"/>
              <w:left w:val="nil"/>
              <w:bottom w:val="nil"/>
              <w:right w:val="nil"/>
            </w:tcBorders>
            <w:noWrap/>
            <w:vAlign w:val="bottom"/>
            <w:hideMark/>
          </w:tcPr>
          <w:p w14:paraId="122930FE"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B9                                   </w:t>
            </w:r>
          </w:p>
        </w:tc>
        <w:tc>
          <w:tcPr>
            <w:tcW w:w="1701" w:type="dxa"/>
            <w:tcBorders>
              <w:top w:val="single" w:sz="12" w:space="0" w:color="000000"/>
              <w:left w:val="nil"/>
              <w:bottom w:val="nil"/>
              <w:right w:val="nil"/>
            </w:tcBorders>
            <w:noWrap/>
            <w:vAlign w:val="bottom"/>
            <w:hideMark/>
          </w:tcPr>
          <w:p w14:paraId="51493566"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B10                                  </w:t>
            </w:r>
          </w:p>
        </w:tc>
        <w:tc>
          <w:tcPr>
            <w:tcW w:w="1701" w:type="dxa"/>
            <w:tcBorders>
              <w:top w:val="single" w:sz="12" w:space="0" w:color="000000"/>
              <w:left w:val="nil"/>
              <w:bottom w:val="nil"/>
              <w:right w:val="nil"/>
            </w:tcBorders>
            <w:noWrap/>
            <w:vAlign w:val="bottom"/>
            <w:hideMark/>
          </w:tcPr>
          <w:p w14:paraId="00925B95"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B11                                  </w:t>
            </w:r>
          </w:p>
        </w:tc>
        <w:tc>
          <w:tcPr>
            <w:tcW w:w="887" w:type="dxa"/>
            <w:tcBorders>
              <w:top w:val="single" w:sz="12" w:space="0" w:color="000000"/>
              <w:left w:val="nil"/>
              <w:bottom w:val="nil"/>
              <w:right w:val="nil"/>
            </w:tcBorders>
            <w:noWrap/>
            <w:vAlign w:val="bottom"/>
            <w:hideMark/>
          </w:tcPr>
          <w:p w14:paraId="09D00839"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B17                                  </w:t>
            </w:r>
          </w:p>
        </w:tc>
      </w:tr>
      <w:tr w:rsidR="000B42EE" w:rsidRPr="00951340" w14:paraId="51D336BF" w14:textId="77777777" w:rsidTr="00CC2571">
        <w:trPr>
          <w:gridAfter w:val="1"/>
          <w:wAfter w:w="160" w:type="dxa"/>
          <w:trHeight w:val="300"/>
        </w:trPr>
        <w:tc>
          <w:tcPr>
            <w:tcW w:w="781" w:type="dxa"/>
            <w:tcBorders>
              <w:top w:val="nil"/>
              <w:left w:val="nil"/>
              <w:bottom w:val="nil"/>
              <w:right w:val="nil"/>
            </w:tcBorders>
            <w:noWrap/>
            <w:vAlign w:val="bottom"/>
            <w:hideMark/>
          </w:tcPr>
          <w:p w14:paraId="5ABC5C11"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B9                                   </w:t>
            </w:r>
          </w:p>
        </w:tc>
        <w:tc>
          <w:tcPr>
            <w:tcW w:w="3898" w:type="dxa"/>
            <w:tcBorders>
              <w:top w:val="nil"/>
              <w:left w:val="nil"/>
              <w:bottom w:val="nil"/>
              <w:right w:val="nil"/>
            </w:tcBorders>
            <w:noWrap/>
            <w:vAlign w:val="bottom"/>
            <w:hideMark/>
          </w:tcPr>
          <w:p w14:paraId="0724D9D9" w14:textId="79BA8225" w:rsidR="000B42EE" w:rsidRPr="008119A9" w:rsidRDefault="007976B5" w:rsidP="00A7365A">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Pearson Correlation Coefficient</w:t>
            </w:r>
          </w:p>
        </w:tc>
        <w:tc>
          <w:tcPr>
            <w:tcW w:w="1842" w:type="dxa"/>
            <w:tcBorders>
              <w:top w:val="nil"/>
              <w:left w:val="nil"/>
              <w:bottom w:val="nil"/>
              <w:right w:val="nil"/>
            </w:tcBorders>
            <w:noWrap/>
            <w:vAlign w:val="bottom"/>
            <w:hideMark/>
          </w:tcPr>
          <w:p w14:paraId="2BC61793"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1</w:t>
            </w:r>
          </w:p>
        </w:tc>
        <w:tc>
          <w:tcPr>
            <w:tcW w:w="1701" w:type="dxa"/>
            <w:tcBorders>
              <w:top w:val="nil"/>
              <w:left w:val="nil"/>
              <w:bottom w:val="nil"/>
              <w:right w:val="nil"/>
            </w:tcBorders>
            <w:noWrap/>
            <w:vAlign w:val="bottom"/>
            <w:hideMark/>
          </w:tcPr>
          <w:p w14:paraId="69832FA7"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68C7FDEB"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5B6521EC"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0B42EE" w:rsidRPr="00951340" w14:paraId="12C37163" w14:textId="77777777" w:rsidTr="00CC2571">
        <w:trPr>
          <w:gridAfter w:val="1"/>
          <w:wAfter w:w="160" w:type="dxa"/>
          <w:trHeight w:val="300"/>
        </w:trPr>
        <w:tc>
          <w:tcPr>
            <w:tcW w:w="781" w:type="dxa"/>
            <w:tcBorders>
              <w:top w:val="nil"/>
              <w:left w:val="nil"/>
              <w:bottom w:val="nil"/>
              <w:right w:val="nil"/>
            </w:tcBorders>
            <w:noWrap/>
            <w:vAlign w:val="bottom"/>
            <w:hideMark/>
          </w:tcPr>
          <w:p w14:paraId="2EE81953"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19205A20" w14:textId="123908A4" w:rsidR="000B42EE" w:rsidRPr="008119A9" w:rsidRDefault="007976B5" w:rsidP="00A7365A">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R standard error</w:t>
            </w:r>
            <w:r w:rsidR="000B42EE"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092E305B"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4C01C569"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7AFF2961"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29E35F15"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0B42EE" w:rsidRPr="00951340" w14:paraId="59EA9E05" w14:textId="77777777" w:rsidTr="00CC2571">
        <w:trPr>
          <w:gridAfter w:val="1"/>
          <w:wAfter w:w="160" w:type="dxa"/>
          <w:trHeight w:val="300"/>
        </w:trPr>
        <w:tc>
          <w:tcPr>
            <w:tcW w:w="781" w:type="dxa"/>
            <w:tcBorders>
              <w:top w:val="nil"/>
              <w:left w:val="nil"/>
              <w:bottom w:val="nil"/>
              <w:right w:val="nil"/>
            </w:tcBorders>
            <w:noWrap/>
            <w:vAlign w:val="bottom"/>
            <w:hideMark/>
          </w:tcPr>
          <w:p w14:paraId="6EE1A4C0"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617A4605"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P-value</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2ADD19CA"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7F332A67"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68EEB152"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28157307"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0B42EE" w:rsidRPr="00951340" w14:paraId="6D242B35" w14:textId="77777777" w:rsidTr="00CC2571">
        <w:trPr>
          <w:gridAfter w:val="1"/>
          <w:wAfter w:w="160" w:type="dxa"/>
          <w:trHeight w:val="300"/>
        </w:trPr>
        <w:tc>
          <w:tcPr>
            <w:tcW w:w="781" w:type="dxa"/>
            <w:tcBorders>
              <w:top w:val="nil"/>
              <w:left w:val="nil"/>
              <w:bottom w:val="single" w:sz="8" w:space="0" w:color="000000"/>
              <w:right w:val="nil"/>
            </w:tcBorders>
            <w:noWrap/>
            <w:vAlign w:val="bottom"/>
            <w:hideMark/>
          </w:tcPr>
          <w:p w14:paraId="18BD14CA"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single" w:sz="8" w:space="0" w:color="000000"/>
              <w:right w:val="nil"/>
            </w:tcBorders>
            <w:noWrap/>
            <w:vAlign w:val="bottom"/>
            <w:hideMark/>
          </w:tcPr>
          <w:p w14:paraId="28D33D3C" w14:textId="4C34996C"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H0 (0</w:t>
            </w:r>
            <w:r w:rsidR="00F62302">
              <w:rPr>
                <w:rFonts w:ascii="Times New Roman" w:eastAsia="Times New Roman" w:hAnsi="Times New Roman" w:cs="Times New Roman"/>
                <w:color w:val="000000"/>
                <w:sz w:val="24"/>
                <w:szCs w:val="24"/>
                <w:lang w:eastAsia="fr-FR"/>
              </w:rPr>
              <w:t>.</w:t>
            </w:r>
            <w:r w:rsidRPr="008119A9">
              <w:rPr>
                <w:rFonts w:ascii="Times New Roman" w:eastAsia="Times New Roman" w:hAnsi="Times New Roman" w:cs="Times New Roman"/>
                <w:color w:val="000000"/>
                <w:sz w:val="24"/>
                <w:szCs w:val="24"/>
                <w:lang w:eastAsia="fr-FR"/>
              </w:rPr>
              <w:t xml:space="preserve">1%)                            </w:t>
            </w:r>
          </w:p>
        </w:tc>
        <w:tc>
          <w:tcPr>
            <w:tcW w:w="1842" w:type="dxa"/>
            <w:tcBorders>
              <w:top w:val="nil"/>
              <w:left w:val="nil"/>
              <w:bottom w:val="single" w:sz="8" w:space="0" w:color="000000"/>
              <w:right w:val="nil"/>
            </w:tcBorders>
            <w:noWrap/>
            <w:vAlign w:val="bottom"/>
            <w:hideMark/>
          </w:tcPr>
          <w:p w14:paraId="4AE0F4F2"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single" w:sz="8" w:space="0" w:color="000000"/>
              <w:right w:val="nil"/>
            </w:tcBorders>
            <w:noWrap/>
            <w:vAlign w:val="bottom"/>
            <w:hideMark/>
          </w:tcPr>
          <w:p w14:paraId="3321D310"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single" w:sz="8" w:space="0" w:color="000000"/>
              <w:right w:val="nil"/>
            </w:tcBorders>
            <w:noWrap/>
            <w:vAlign w:val="bottom"/>
            <w:hideMark/>
          </w:tcPr>
          <w:p w14:paraId="33AADCE9"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single" w:sz="8" w:space="0" w:color="000000"/>
              <w:right w:val="nil"/>
            </w:tcBorders>
            <w:noWrap/>
            <w:vAlign w:val="bottom"/>
            <w:hideMark/>
          </w:tcPr>
          <w:p w14:paraId="3CE9B727" w14:textId="77777777" w:rsidR="000B42EE" w:rsidRPr="008119A9" w:rsidRDefault="000B42EE" w:rsidP="00A7365A">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521FCC3A" w14:textId="77777777" w:rsidTr="002318D6">
        <w:trPr>
          <w:gridAfter w:val="1"/>
          <w:wAfter w:w="160" w:type="dxa"/>
          <w:trHeight w:val="300"/>
        </w:trPr>
        <w:tc>
          <w:tcPr>
            <w:tcW w:w="781" w:type="dxa"/>
            <w:tcBorders>
              <w:top w:val="single" w:sz="8" w:space="0" w:color="000000"/>
              <w:left w:val="nil"/>
              <w:bottom w:val="nil"/>
              <w:right w:val="nil"/>
            </w:tcBorders>
            <w:noWrap/>
            <w:vAlign w:val="bottom"/>
            <w:hideMark/>
          </w:tcPr>
          <w:p w14:paraId="1F9A7A81"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B10                                  </w:t>
            </w:r>
          </w:p>
        </w:tc>
        <w:tc>
          <w:tcPr>
            <w:tcW w:w="3898" w:type="dxa"/>
            <w:tcBorders>
              <w:top w:val="nil"/>
              <w:left w:val="nil"/>
              <w:bottom w:val="nil"/>
              <w:right w:val="nil"/>
            </w:tcBorders>
            <w:noWrap/>
            <w:vAlign w:val="bottom"/>
            <w:hideMark/>
          </w:tcPr>
          <w:p w14:paraId="045A7039" w14:textId="75B82485"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Pearson Correlation Coefficient</w:t>
            </w:r>
          </w:p>
        </w:tc>
        <w:tc>
          <w:tcPr>
            <w:tcW w:w="1842" w:type="dxa"/>
            <w:tcBorders>
              <w:top w:val="single" w:sz="8" w:space="0" w:color="000000"/>
              <w:left w:val="nil"/>
              <w:bottom w:val="nil"/>
              <w:right w:val="nil"/>
            </w:tcBorders>
            <w:noWrap/>
            <w:vAlign w:val="bottom"/>
            <w:hideMark/>
          </w:tcPr>
          <w:p w14:paraId="1C8FE784" w14:textId="7B8CC6FA"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0.</w:t>
            </w:r>
            <w:r w:rsidRPr="008119A9">
              <w:rPr>
                <w:rFonts w:ascii="Times New Roman" w:eastAsia="Times New Roman" w:hAnsi="Times New Roman" w:cs="Times New Roman"/>
                <w:color w:val="000000"/>
                <w:sz w:val="24"/>
                <w:szCs w:val="24"/>
                <w:lang w:eastAsia="fr-FR"/>
              </w:rPr>
              <w:t>999999141</w:t>
            </w:r>
          </w:p>
        </w:tc>
        <w:tc>
          <w:tcPr>
            <w:tcW w:w="1701" w:type="dxa"/>
            <w:tcBorders>
              <w:top w:val="single" w:sz="8" w:space="0" w:color="000000"/>
              <w:left w:val="nil"/>
              <w:bottom w:val="nil"/>
              <w:right w:val="nil"/>
            </w:tcBorders>
            <w:noWrap/>
            <w:vAlign w:val="bottom"/>
            <w:hideMark/>
          </w:tcPr>
          <w:p w14:paraId="57B17E41"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1</w:t>
            </w:r>
          </w:p>
        </w:tc>
        <w:tc>
          <w:tcPr>
            <w:tcW w:w="1701" w:type="dxa"/>
            <w:tcBorders>
              <w:top w:val="single" w:sz="8" w:space="0" w:color="000000"/>
              <w:left w:val="nil"/>
              <w:bottom w:val="nil"/>
              <w:right w:val="nil"/>
            </w:tcBorders>
            <w:noWrap/>
            <w:vAlign w:val="bottom"/>
            <w:hideMark/>
          </w:tcPr>
          <w:p w14:paraId="4F457282"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single" w:sz="8" w:space="0" w:color="000000"/>
              <w:left w:val="nil"/>
              <w:bottom w:val="nil"/>
              <w:right w:val="nil"/>
            </w:tcBorders>
            <w:noWrap/>
            <w:vAlign w:val="bottom"/>
            <w:hideMark/>
          </w:tcPr>
          <w:p w14:paraId="3646B879"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5DB947E8" w14:textId="77777777" w:rsidTr="00CC2571">
        <w:trPr>
          <w:gridAfter w:val="1"/>
          <w:wAfter w:w="160" w:type="dxa"/>
          <w:trHeight w:val="300"/>
        </w:trPr>
        <w:tc>
          <w:tcPr>
            <w:tcW w:w="781" w:type="dxa"/>
            <w:tcBorders>
              <w:top w:val="nil"/>
              <w:left w:val="nil"/>
              <w:bottom w:val="nil"/>
              <w:right w:val="nil"/>
            </w:tcBorders>
            <w:noWrap/>
            <w:vAlign w:val="bottom"/>
            <w:hideMark/>
          </w:tcPr>
          <w:p w14:paraId="28EAB7D8"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4F9BAD17" w14:textId="147CA6B0"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R standard error</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224C1A1B" w14:textId="211927A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Pr="008119A9">
              <w:rPr>
                <w:rFonts w:ascii="Times New Roman" w:eastAsia="Times New Roman" w:hAnsi="Times New Roman" w:cs="Times New Roman"/>
                <w:color w:val="000000"/>
                <w:sz w:val="24"/>
                <w:szCs w:val="24"/>
                <w:lang w:eastAsia="fr-FR"/>
              </w:rPr>
              <w:t>72E-06</w:t>
            </w:r>
          </w:p>
        </w:tc>
        <w:tc>
          <w:tcPr>
            <w:tcW w:w="1701" w:type="dxa"/>
            <w:tcBorders>
              <w:top w:val="nil"/>
              <w:left w:val="nil"/>
              <w:bottom w:val="nil"/>
              <w:right w:val="nil"/>
            </w:tcBorders>
            <w:noWrap/>
            <w:vAlign w:val="bottom"/>
            <w:hideMark/>
          </w:tcPr>
          <w:p w14:paraId="5C9253FA"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74AC7350"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16D0A792"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7197C69E" w14:textId="77777777" w:rsidTr="00CC2571">
        <w:trPr>
          <w:gridAfter w:val="1"/>
          <w:wAfter w:w="160" w:type="dxa"/>
          <w:trHeight w:val="300"/>
        </w:trPr>
        <w:tc>
          <w:tcPr>
            <w:tcW w:w="781" w:type="dxa"/>
            <w:tcBorders>
              <w:top w:val="nil"/>
              <w:left w:val="nil"/>
              <w:bottom w:val="nil"/>
              <w:right w:val="nil"/>
            </w:tcBorders>
            <w:noWrap/>
            <w:vAlign w:val="bottom"/>
            <w:hideMark/>
          </w:tcPr>
          <w:p w14:paraId="28086E24"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66763344"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P-value</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5F99AFE3" w14:textId="3D967872"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000834364</w:t>
            </w:r>
          </w:p>
        </w:tc>
        <w:tc>
          <w:tcPr>
            <w:tcW w:w="1701" w:type="dxa"/>
            <w:tcBorders>
              <w:top w:val="nil"/>
              <w:left w:val="nil"/>
              <w:bottom w:val="nil"/>
              <w:right w:val="nil"/>
            </w:tcBorders>
            <w:noWrap/>
            <w:vAlign w:val="bottom"/>
            <w:hideMark/>
          </w:tcPr>
          <w:p w14:paraId="25FD7ECB"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08F5F7BC"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5F2D8D6F"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64F4A5D7" w14:textId="77777777" w:rsidTr="00CC2571">
        <w:trPr>
          <w:gridAfter w:val="1"/>
          <w:wAfter w:w="160" w:type="dxa"/>
          <w:trHeight w:val="300"/>
        </w:trPr>
        <w:tc>
          <w:tcPr>
            <w:tcW w:w="781" w:type="dxa"/>
            <w:tcBorders>
              <w:top w:val="nil"/>
              <w:left w:val="nil"/>
              <w:bottom w:val="single" w:sz="8" w:space="0" w:color="000000"/>
              <w:right w:val="nil"/>
            </w:tcBorders>
            <w:noWrap/>
            <w:vAlign w:val="bottom"/>
            <w:hideMark/>
          </w:tcPr>
          <w:p w14:paraId="66AB9FCB"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single" w:sz="8" w:space="0" w:color="000000"/>
              <w:right w:val="nil"/>
            </w:tcBorders>
            <w:noWrap/>
            <w:vAlign w:val="bottom"/>
            <w:hideMark/>
          </w:tcPr>
          <w:p w14:paraId="611E2D73" w14:textId="2C13C64E"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H0 (0</w:t>
            </w:r>
            <w:r w:rsidR="00F62302">
              <w:rPr>
                <w:rFonts w:ascii="Times New Roman" w:eastAsia="Times New Roman" w:hAnsi="Times New Roman" w:cs="Times New Roman"/>
                <w:color w:val="000000"/>
                <w:sz w:val="24"/>
                <w:szCs w:val="24"/>
                <w:lang w:eastAsia="fr-FR"/>
              </w:rPr>
              <w:t>.</w:t>
            </w:r>
            <w:r w:rsidRPr="008119A9">
              <w:rPr>
                <w:rFonts w:ascii="Times New Roman" w:eastAsia="Times New Roman" w:hAnsi="Times New Roman" w:cs="Times New Roman"/>
                <w:color w:val="000000"/>
                <w:sz w:val="24"/>
                <w:szCs w:val="24"/>
                <w:lang w:eastAsia="fr-FR"/>
              </w:rPr>
              <w:t>1</w:t>
            </w:r>
            <w:r w:rsidR="00F62302" w:rsidRPr="008119A9">
              <w:rPr>
                <w:rFonts w:ascii="Times New Roman" w:eastAsia="Times New Roman" w:hAnsi="Times New Roman" w:cs="Times New Roman"/>
                <w:color w:val="000000"/>
                <w:sz w:val="24"/>
                <w:szCs w:val="24"/>
                <w:lang w:eastAsia="fr-FR"/>
              </w:rPr>
              <w:t xml:space="preserve">%)  </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single" w:sz="8" w:space="0" w:color="000000"/>
              <w:right w:val="nil"/>
            </w:tcBorders>
            <w:noWrap/>
            <w:vAlign w:val="bottom"/>
            <w:hideMark/>
          </w:tcPr>
          <w:p w14:paraId="5DC27489" w14:textId="3B8340B2" w:rsidR="007976B5" w:rsidRPr="008119A9" w:rsidRDefault="008F06E9" w:rsidP="007976B5">
            <w:pPr>
              <w:spacing w:after="0" w:line="240" w:lineRule="auto"/>
              <w:jc w:val="both"/>
              <w:rPr>
                <w:rFonts w:ascii="Times New Roman" w:eastAsia="Times New Roman" w:hAnsi="Times New Roman" w:cs="Times New Roman"/>
                <w:color w:val="000000"/>
                <w:sz w:val="24"/>
                <w:szCs w:val="24"/>
                <w:lang w:eastAsia="fr-FR"/>
              </w:rPr>
            </w:pPr>
            <w:r w:rsidRPr="008F06E9">
              <w:rPr>
                <w:rFonts w:ascii="Times New Roman" w:eastAsia="Times New Roman" w:hAnsi="Times New Roman" w:cs="Times New Roman"/>
                <w:color w:val="000000"/>
                <w:sz w:val="24"/>
                <w:szCs w:val="24"/>
                <w:lang w:eastAsia="fr-FR"/>
              </w:rPr>
              <w:t>rejected</w:t>
            </w:r>
            <w:r w:rsidR="007976B5"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single" w:sz="8" w:space="0" w:color="000000"/>
              <w:right w:val="nil"/>
            </w:tcBorders>
            <w:noWrap/>
            <w:vAlign w:val="bottom"/>
            <w:hideMark/>
          </w:tcPr>
          <w:p w14:paraId="07FD8ADB"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single" w:sz="8" w:space="0" w:color="000000"/>
              <w:right w:val="nil"/>
            </w:tcBorders>
            <w:noWrap/>
            <w:vAlign w:val="bottom"/>
            <w:hideMark/>
          </w:tcPr>
          <w:p w14:paraId="24C4BA4B"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single" w:sz="8" w:space="0" w:color="000000"/>
              <w:right w:val="nil"/>
            </w:tcBorders>
            <w:noWrap/>
            <w:vAlign w:val="bottom"/>
            <w:hideMark/>
          </w:tcPr>
          <w:p w14:paraId="2A2B94B5"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5A1C8240" w14:textId="77777777" w:rsidTr="002318D6">
        <w:trPr>
          <w:gridAfter w:val="1"/>
          <w:wAfter w:w="160" w:type="dxa"/>
          <w:trHeight w:val="300"/>
        </w:trPr>
        <w:tc>
          <w:tcPr>
            <w:tcW w:w="781" w:type="dxa"/>
            <w:tcBorders>
              <w:top w:val="single" w:sz="8" w:space="0" w:color="000000"/>
              <w:left w:val="nil"/>
              <w:bottom w:val="nil"/>
              <w:right w:val="nil"/>
            </w:tcBorders>
            <w:noWrap/>
            <w:vAlign w:val="bottom"/>
            <w:hideMark/>
          </w:tcPr>
          <w:p w14:paraId="188B0AE4"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B11                                  </w:t>
            </w:r>
          </w:p>
        </w:tc>
        <w:tc>
          <w:tcPr>
            <w:tcW w:w="3898" w:type="dxa"/>
            <w:tcBorders>
              <w:top w:val="nil"/>
              <w:left w:val="nil"/>
              <w:bottom w:val="nil"/>
              <w:right w:val="nil"/>
            </w:tcBorders>
            <w:noWrap/>
            <w:vAlign w:val="bottom"/>
            <w:hideMark/>
          </w:tcPr>
          <w:p w14:paraId="292D81E1" w14:textId="2F05E46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Pearson Correlation Coefficient</w:t>
            </w:r>
          </w:p>
        </w:tc>
        <w:tc>
          <w:tcPr>
            <w:tcW w:w="1842" w:type="dxa"/>
            <w:tcBorders>
              <w:top w:val="single" w:sz="8" w:space="0" w:color="000000"/>
              <w:left w:val="nil"/>
              <w:bottom w:val="nil"/>
              <w:right w:val="nil"/>
            </w:tcBorders>
            <w:noWrap/>
            <w:vAlign w:val="bottom"/>
            <w:hideMark/>
          </w:tcPr>
          <w:p w14:paraId="51DC5F4B" w14:textId="5CC5A178"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999998621</w:t>
            </w:r>
          </w:p>
        </w:tc>
        <w:tc>
          <w:tcPr>
            <w:tcW w:w="1701" w:type="dxa"/>
            <w:tcBorders>
              <w:top w:val="single" w:sz="8" w:space="0" w:color="000000"/>
              <w:left w:val="nil"/>
              <w:bottom w:val="nil"/>
              <w:right w:val="nil"/>
            </w:tcBorders>
            <w:noWrap/>
            <w:vAlign w:val="bottom"/>
            <w:hideMark/>
          </w:tcPr>
          <w:p w14:paraId="0E408FD3" w14:textId="132A53B1"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999999939</w:t>
            </w:r>
          </w:p>
        </w:tc>
        <w:tc>
          <w:tcPr>
            <w:tcW w:w="1701" w:type="dxa"/>
            <w:tcBorders>
              <w:top w:val="single" w:sz="8" w:space="0" w:color="000000"/>
              <w:left w:val="nil"/>
              <w:bottom w:val="nil"/>
              <w:right w:val="nil"/>
            </w:tcBorders>
            <w:noWrap/>
            <w:vAlign w:val="bottom"/>
            <w:hideMark/>
          </w:tcPr>
          <w:p w14:paraId="5DDA4161"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1</w:t>
            </w:r>
          </w:p>
        </w:tc>
        <w:tc>
          <w:tcPr>
            <w:tcW w:w="887" w:type="dxa"/>
            <w:tcBorders>
              <w:top w:val="single" w:sz="8" w:space="0" w:color="000000"/>
              <w:left w:val="nil"/>
              <w:bottom w:val="nil"/>
              <w:right w:val="nil"/>
            </w:tcBorders>
            <w:noWrap/>
            <w:vAlign w:val="bottom"/>
            <w:hideMark/>
          </w:tcPr>
          <w:p w14:paraId="190B1B21"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43FABE05" w14:textId="77777777" w:rsidTr="00CC2571">
        <w:trPr>
          <w:gridAfter w:val="1"/>
          <w:wAfter w:w="160" w:type="dxa"/>
          <w:trHeight w:val="300"/>
        </w:trPr>
        <w:tc>
          <w:tcPr>
            <w:tcW w:w="781" w:type="dxa"/>
            <w:tcBorders>
              <w:top w:val="nil"/>
              <w:left w:val="nil"/>
              <w:bottom w:val="nil"/>
              <w:right w:val="nil"/>
            </w:tcBorders>
            <w:noWrap/>
            <w:vAlign w:val="bottom"/>
            <w:hideMark/>
          </w:tcPr>
          <w:p w14:paraId="12BDB31C"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128CF531" w14:textId="08581C74"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R standard error</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44A71F3C" w14:textId="6A0DBA6E"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8119A9">
              <w:rPr>
                <w:rFonts w:ascii="Times New Roman" w:eastAsia="Times New Roman" w:hAnsi="Times New Roman" w:cs="Times New Roman"/>
                <w:color w:val="000000"/>
                <w:sz w:val="24"/>
                <w:szCs w:val="24"/>
                <w:lang w:eastAsia="fr-FR"/>
              </w:rPr>
              <w:t>76E-06</w:t>
            </w:r>
          </w:p>
        </w:tc>
        <w:tc>
          <w:tcPr>
            <w:tcW w:w="1701" w:type="dxa"/>
            <w:tcBorders>
              <w:top w:val="nil"/>
              <w:left w:val="nil"/>
              <w:bottom w:val="nil"/>
              <w:right w:val="nil"/>
            </w:tcBorders>
            <w:noWrap/>
            <w:vAlign w:val="bottom"/>
            <w:hideMark/>
          </w:tcPr>
          <w:p w14:paraId="5A6610BE" w14:textId="061D048B"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r w:rsidRPr="008119A9">
              <w:rPr>
                <w:rFonts w:ascii="Times New Roman" w:eastAsia="Times New Roman" w:hAnsi="Times New Roman" w:cs="Times New Roman"/>
                <w:color w:val="000000"/>
                <w:sz w:val="24"/>
                <w:szCs w:val="24"/>
                <w:lang w:eastAsia="fr-FR"/>
              </w:rPr>
              <w:t>23E-07</w:t>
            </w:r>
          </w:p>
        </w:tc>
        <w:tc>
          <w:tcPr>
            <w:tcW w:w="1701" w:type="dxa"/>
            <w:tcBorders>
              <w:top w:val="nil"/>
              <w:left w:val="nil"/>
              <w:bottom w:val="nil"/>
              <w:right w:val="nil"/>
            </w:tcBorders>
            <w:noWrap/>
            <w:vAlign w:val="bottom"/>
            <w:hideMark/>
          </w:tcPr>
          <w:p w14:paraId="189D41F6"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63F83449"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7B1DEBC0" w14:textId="77777777" w:rsidTr="00CC2571">
        <w:trPr>
          <w:gridAfter w:val="1"/>
          <w:wAfter w:w="160" w:type="dxa"/>
          <w:trHeight w:val="300"/>
        </w:trPr>
        <w:tc>
          <w:tcPr>
            <w:tcW w:w="781" w:type="dxa"/>
            <w:tcBorders>
              <w:top w:val="nil"/>
              <w:left w:val="nil"/>
              <w:bottom w:val="nil"/>
              <w:right w:val="nil"/>
            </w:tcBorders>
            <w:noWrap/>
            <w:vAlign w:val="bottom"/>
            <w:hideMark/>
          </w:tcPr>
          <w:p w14:paraId="05589612"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3281D242"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P-value</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396BFDC7" w14:textId="7F1CB786"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001057429</w:t>
            </w:r>
          </w:p>
        </w:tc>
        <w:tc>
          <w:tcPr>
            <w:tcW w:w="1701" w:type="dxa"/>
            <w:tcBorders>
              <w:top w:val="nil"/>
              <w:left w:val="nil"/>
              <w:bottom w:val="nil"/>
              <w:right w:val="nil"/>
            </w:tcBorders>
            <w:noWrap/>
            <w:vAlign w:val="bottom"/>
            <w:hideMark/>
          </w:tcPr>
          <w:p w14:paraId="7EF37FEC" w14:textId="247CB8C3"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000223065</w:t>
            </w:r>
          </w:p>
        </w:tc>
        <w:tc>
          <w:tcPr>
            <w:tcW w:w="1701" w:type="dxa"/>
            <w:tcBorders>
              <w:top w:val="nil"/>
              <w:left w:val="nil"/>
              <w:bottom w:val="nil"/>
              <w:right w:val="nil"/>
            </w:tcBorders>
            <w:noWrap/>
            <w:vAlign w:val="bottom"/>
            <w:hideMark/>
          </w:tcPr>
          <w:p w14:paraId="5E7F8F9F"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5EB5AF96"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0A4A7FC0" w14:textId="77777777" w:rsidTr="00CC2571">
        <w:trPr>
          <w:gridAfter w:val="1"/>
          <w:wAfter w:w="160" w:type="dxa"/>
          <w:trHeight w:val="300"/>
        </w:trPr>
        <w:tc>
          <w:tcPr>
            <w:tcW w:w="781" w:type="dxa"/>
            <w:tcBorders>
              <w:top w:val="nil"/>
              <w:left w:val="nil"/>
              <w:bottom w:val="nil"/>
              <w:right w:val="nil"/>
            </w:tcBorders>
            <w:noWrap/>
            <w:vAlign w:val="bottom"/>
            <w:hideMark/>
          </w:tcPr>
          <w:p w14:paraId="45EA11EC"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3FBE573D" w14:textId="790C23FE"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H0 (0</w:t>
            </w:r>
            <w:r w:rsidR="00F62302">
              <w:rPr>
                <w:rFonts w:ascii="Times New Roman" w:eastAsia="Times New Roman" w:hAnsi="Times New Roman" w:cs="Times New Roman"/>
                <w:color w:val="000000"/>
                <w:sz w:val="24"/>
                <w:szCs w:val="24"/>
                <w:lang w:eastAsia="fr-FR"/>
              </w:rPr>
              <w:t>.</w:t>
            </w:r>
            <w:r w:rsidRPr="008119A9">
              <w:rPr>
                <w:rFonts w:ascii="Times New Roman" w:eastAsia="Times New Roman" w:hAnsi="Times New Roman" w:cs="Times New Roman"/>
                <w:color w:val="000000"/>
                <w:sz w:val="24"/>
                <w:szCs w:val="24"/>
                <w:lang w:eastAsia="fr-FR"/>
              </w:rPr>
              <w:t xml:space="preserve">1%)                            </w:t>
            </w:r>
          </w:p>
        </w:tc>
        <w:tc>
          <w:tcPr>
            <w:tcW w:w="1842" w:type="dxa"/>
            <w:tcBorders>
              <w:top w:val="nil"/>
              <w:left w:val="nil"/>
              <w:bottom w:val="nil"/>
              <w:right w:val="nil"/>
            </w:tcBorders>
            <w:noWrap/>
            <w:vAlign w:val="bottom"/>
            <w:hideMark/>
          </w:tcPr>
          <w:p w14:paraId="04258419" w14:textId="498A281A" w:rsidR="007976B5" w:rsidRPr="008119A9" w:rsidRDefault="008F06E9" w:rsidP="007976B5">
            <w:pPr>
              <w:spacing w:after="0" w:line="240" w:lineRule="auto"/>
              <w:jc w:val="both"/>
              <w:rPr>
                <w:rFonts w:ascii="Times New Roman" w:eastAsia="Times New Roman" w:hAnsi="Times New Roman" w:cs="Times New Roman"/>
                <w:color w:val="000000"/>
                <w:sz w:val="24"/>
                <w:szCs w:val="24"/>
                <w:lang w:eastAsia="fr-FR"/>
              </w:rPr>
            </w:pPr>
            <w:r w:rsidRPr="008F06E9">
              <w:rPr>
                <w:rFonts w:ascii="Times New Roman" w:eastAsia="Times New Roman" w:hAnsi="Times New Roman" w:cs="Times New Roman"/>
                <w:color w:val="000000"/>
                <w:sz w:val="24"/>
                <w:szCs w:val="24"/>
                <w:lang w:eastAsia="fr-FR"/>
              </w:rPr>
              <w:t>rejected</w:t>
            </w:r>
            <w:r w:rsidR="007976B5"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2E496AC1" w14:textId="10B5986B" w:rsidR="007976B5" w:rsidRPr="008119A9" w:rsidRDefault="008F06E9"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w:t>
            </w:r>
            <w:r w:rsidRPr="008F06E9">
              <w:rPr>
                <w:rFonts w:ascii="Times New Roman" w:eastAsia="Times New Roman" w:hAnsi="Times New Roman" w:cs="Times New Roman"/>
                <w:color w:val="000000"/>
                <w:sz w:val="24"/>
                <w:szCs w:val="24"/>
                <w:lang w:eastAsia="fr-FR"/>
              </w:rPr>
              <w:t>rejected</w:t>
            </w:r>
            <w:r w:rsidR="007976B5"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nil"/>
              <w:right w:val="nil"/>
            </w:tcBorders>
            <w:noWrap/>
            <w:vAlign w:val="bottom"/>
            <w:hideMark/>
          </w:tcPr>
          <w:p w14:paraId="51914661"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nil"/>
              <w:right w:val="nil"/>
            </w:tcBorders>
            <w:noWrap/>
            <w:vAlign w:val="bottom"/>
            <w:hideMark/>
          </w:tcPr>
          <w:p w14:paraId="4D45D007"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301D445C" w14:textId="77777777" w:rsidTr="002318D6">
        <w:trPr>
          <w:trHeight w:val="300"/>
        </w:trPr>
        <w:tc>
          <w:tcPr>
            <w:tcW w:w="781" w:type="dxa"/>
            <w:tcBorders>
              <w:top w:val="single" w:sz="8" w:space="0" w:color="000000"/>
              <w:left w:val="nil"/>
              <w:bottom w:val="nil"/>
              <w:right w:val="nil"/>
            </w:tcBorders>
            <w:noWrap/>
            <w:vAlign w:val="bottom"/>
            <w:hideMark/>
          </w:tcPr>
          <w:p w14:paraId="6713AF1B"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B17                                  </w:t>
            </w:r>
          </w:p>
        </w:tc>
        <w:tc>
          <w:tcPr>
            <w:tcW w:w="3898" w:type="dxa"/>
            <w:tcBorders>
              <w:top w:val="nil"/>
              <w:left w:val="nil"/>
              <w:bottom w:val="nil"/>
              <w:right w:val="nil"/>
            </w:tcBorders>
            <w:noWrap/>
            <w:vAlign w:val="bottom"/>
            <w:hideMark/>
          </w:tcPr>
          <w:p w14:paraId="79318E26" w14:textId="7EBF35C3"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Pearson Correlation Coefficient</w:t>
            </w:r>
          </w:p>
        </w:tc>
        <w:tc>
          <w:tcPr>
            <w:tcW w:w="1842" w:type="dxa"/>
            <w:tcBorders>
              <w:top w:val="single" w:sz="8" w:space="0" w:color="000000"/>
              <w:left w:val="nil"/>
              <w:bottom w:val="nil"/>
              <w:right w:val="nil"/>
            </w:tcBorders>
            <w:noWrap/>
            <w:vAlign w:val="bottom"/>
            <w:hideMark/>
          </w:tcPr>
          <w:p w14:paraId="7D2744DB" w14:textId="6B0DA92F"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999999955</w:t>
            </w:r>
          </w:p>
        </w:tc>
        <w:tc>
          <w:tcPr>
            <w:tcW w:w="1701" w:type="dxa"/>
            <w:tcBorders>
              <w:top w:val="single" w:sz="8" w:space="0" w:color="000000"/>
              <w:left w:val="nil"/>
              <w:bottom w:val="nil"/>
              <w:right w:val="nil"/>
            </w:tcBorders>
            <w:noWrap/>
            <w:vAlign w:val="bottom"/>
            <w:hideMark/>
          </w:tcPr>
          <w:p w14:paraId="66898BE7" w14:textId="36003380"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999998704</w:t>
            </w:r>
          </w:p>
        </w:tc>
        <w:tc>
          <w:tcPr>
            <w:tcW w:w="1701" w:type="dxa"/>
            <w:tcBorders>
              <w:top w:val="single" w:sz="8" w:space="0" w:color="000000"/>
              <w:left w:val="nil"/>
              <w:bottom w:val="nil"/>
              <w:right w:val="nil"/>
            </w:tcBorders>
            <w:noWrap/>
            <w:vAlign w:val="bottom"/>
            <w:hideMark/>
          </w:tcPr>
          <w:p w14:paraId="45C910FB" w14:textId="42B71535"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999998078</w:t>
            </w:r>
          </w:p>
        </w:tc>
        <w:tc>
          <w:tcPr>
            <w:tcW w:w="887" w:type="dxa"/>
            <w:tcBorders>
              <w:top w:val="single" w:sz="8" w:space="0" w:color="000000"/>
              <w:left w:val="nil"/>
              <w:bottom w:val="nil"/>
              <w:right w:val="nil"/>
            </w:tcBorders>
            <w:noWrap/>
            <w:vAlign w:val="bottom"/>
            <w:hideMark/>
          </w:tcPr>
          <w:p w14:paraId="4D9D54E2"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1</w:t>
            </w:r>
          </w:p>
        </w:tc>
        <w:tc>
          <w:tcPr>
            <w:tcW w:w="160" w:type="dxa"/>
            <w:tcBorders>
              <w:top w:val="single" w:sz="8" w:space="0" w:color="000000"/>
              <w:left w:val="nil"/>
              <w:bottom w:val="nil"/>
              <w:right w:val="nil"/>
            </w:tcBorders>
            <w:noWrap/>
            <w:vAlign w:val="bottom"/>
            <w:hideMark/>
          </w:tcPr>
          <w:p w14:paraId="27CE4AEE" w14:textId="77777777" w:rsidR="007976B5" w:rsidRPr="00951340" w:rsidRDefault="007976B5" w:rsidP="007976B5">
            <w:pPr>
              <w:spacing w:after="0" w:line="240" w:lineRule="auto"/>
              <w:jc w:val="both"/>
              <w:rPr>
                <w:rFonts w:ascii="Times New Roman" w:eastAsia="Times New Roman" w:hAnsi="Times New Roman" w:cs="Times New Roman"/>
                <w:color w:val="000000"/>
                <w:sz w:val="18"/>
                <w:szCs w:val="18"/>
                <w:lang w:eastAsia="fr-FR"/>
              </w:rPr>
            </w:pPr>
          </w:p>
        </w:tc>
      </w:tr>
      <w:tr w:rsidR="007976B5" w:rsidRPr="00951340" w14:paraId="461F5311" w14:textId="77777777" w:rsidTr="00CC2571">
        <w:trPr>
          <w:gridAfter w:val="1"/>
          <w:wAfter w:w="160" w:type="dxa"/>
          <w:trHeight w:val="300"/>
        </w:trPr>
        <w:tc>
          <w:tcPr>
            <w:tcW w:w="781" w:type="dxa"/>
            <w:tcBorders>
              <w:top w:val="nil"/>
              <w:left w:val="nil"/>
              <w:bottom w:val="nil"/>
              <w:right w:val="nil"/>
            </w:tcBorders>
            <w:noWrap/>
            <w:vAlign w:val="bottom"/>
            <w:hideMark/>
          </w:tcPr>
          <w:p w14:paraId="6DD4443A"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034A57DD" w14:textId="772B2905"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7976B5">
              <w:rPr>
                <w:rFonts w:ascii="Times New Roman" w:eastAsia="Times New Roman" w:hAnsi="Times New Roman" w:cs="Times New Roman"/>
                <w:color w:val="000000"/>
                <w:sz w:val="24"/>
                <w:szCs w:val="24"/>
                <w:lang w:eastAsia="fr-FR"/>
              </w:rPr>
              <w:t>R standard error</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56197740" w14:textId="255AC74C"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8.</w:t>
            </w:r>
            <w:r w:rsidRPr="008119A9">
              <w:rPr>
                <w:rFonts w:ascii="Times New Roman" w:eastAsia="Times New Roman" w:hAnsi="Times New Roman" w:cs="Times New Roman"/>
                <w:color w:val="000000"/>
                <w:sz w:val="24"/>
                <w:szCs w:val="24"/>
                <w:lang w:eastAsia="fr-FR"/>
              </w:rPr>
              <w:t>98E-08</w:t>
            </w:r>
          </w:p>
        </w:tc>
        <w:tc>
          <w:tcPr>
            <w:tcW w:w="1701" w:type="dxa"/>
            <w:tcBorders>
              <w:top w:val="nil"/>
              <w:left w:val="nil"/>
              <w:bottom w:val="nil"/>
              <w:right w:val="nil"/>
            </w:tcBorders>
            <w:noWrap/>
            <w:vAlign w:val="bottom"/>
            <w:hideMark/>
          </w:tcPr>
          <w:p w14:paraId="2A00B469" w14:textId="5003AB0B"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Pr="008119A9">
              <w:rPr>
                <w:rFonts w:ascii="Times New Roman" w:eastAsia="Times New Roman" w:hAnsi="Times New Roman" w:cs="Times New Roman"/>
                <w:color w:val="000000"/>
                <w:sz w:val="24"/>
                <w:szCs w:val="24"/>
                <w:lang w:eastAsia="fr-FR"/>
              </w:rPr>
              <w:t>59E-06</w:t>
            </w:r>
          </w:p>
        </w:tc>
        <w:tc>
          <w:tcPr>
            <w:tcW w:w="1701" w:type="dxa"/>
            <w:tcBorders>
              <w:top w:val="nil"/>
              <w:left w:val="nil"/>
              <w:bottom w:val="nil"/>
              <w:right w:val="nil"/>
            </w:tcBorders>
            <w:noWrap/>
            <w:vAlign w:val="bottom"/>
            <w:hideMark/>
          </w:tcPr>
          <w:p w14:paraId="7815E8AC" w14:textId="41568B7E"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Pr="008119A9">
              <w:rPr>
                <w:rFonts w:ascii="Times New Roman" w:eastAsia="Times New Roman" w:hAnsi="Times New Roman" w:cs="Times New Roman"/>
                <w:color w:val="000000"/>
                <w:sz w:val="24"/>
                <w:szCs w:val="24"/>
                <w:lang w:eastAsia="fr-FR"/>
              </w:rPr>
              <w:t>84E-06</w:t>
            </w:r>
          </w:p>
        </w:tc>
        <w:tc>
          <w:tcPr>
            <w:tcW w:w="887" w:type="dxa"/>
            <w:tcBorders>
              <w:top w:val="nil"/>
              <w:left w:val="nil"/>
              <w:bottom w:val="nil"/>
              <w:right w:val="nil"/>
            </w:tcBorders>
            <w:noWrap/>
            <w:vAlign w:val="bottom"/>
            <w:hideMark/>
          </w:tcPr>
          <w:p w14:paraId="7B8C0817"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1EECCFDA" w14:textId="77777777" w:rsidTr="00CC2571">
        <w:trPr>
          <w:gridAfter w:val="1"/>
          <w:wAfter w:w="160" w:type="dxa"/>
          <w:trHeight w:val="300"/>
        </w:trPr>
        <w:tc>
          <w:tcPr>
            <w:tcW w:w="781" w:type="dxa"/>
            <w:tcBorders>
              <w:top w:val="nil"/>
              <w:left w:val="nil"/>
              <w:bottom w:val="nil"/>
              <w:right w:val="nil"/>
            </w:tcBorders>
            <w:noWrap/>
            <w:vAlign w:val="bottom"/>
            <w:hideMark/>
          </w:tcPr>
          <w:p w14:paraId="3AC27EA1"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nil"/>
              <w:right w:val="nil"/>
            </w:tcBorders>
            <w:noWrap/>
            <w:vAlign w:val="bottom"/>
            <w:hideMark/>
          </w:tcPr>
          <w:p w14:paraId="5280BCF4"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P-value</w:t>
            </w:r>
            <w:r w:rsidRPr="008119A9">
              <w:rPr>
                <w:rFonts w:ascii="Times New Roman" w:eastAsia="Times New Roman" w:hAnsi="Times New Roman" w:cs="Times New Roman"/>
                <w:color w:val="000000"/>
                <w:sz w:val="24"/>
                <w:szCs w:val="24"/>
                <w:lang w:eastAsia="fr-FR"/>
              </w:rPr>
              <w:t xml:space="preserve">                            </w:t>
            </w:r>
          </w:p>
        </w:tc>
        <w:tc>
          <w:tcPr>
            <w:tcW w:w="1842" w:type="dxa"/>
            <w:tcBorders>
              <w:top w:val="nil"/>
              <w:left w:val="nil"/>
              <w:bottom w:val="nil"/>
              <w:right w:val="nil"/>
            </w:tcBorders>
            <w:noWrap/>
            <w:vAlign w:val="bottom"/>
            <w:hideMark/>
          </w:tcPr>
          <w:p w14:paraId="2FDDCE02" w14:textId="5CB8A621"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000190759</w:t>
            </w:r>
          </w:p>
        </w:tc>
        <w:tc>
          <w:tcPr>
            <w:tcW w:w="1701" w:type="dxa"/>
            <w:tcBorders>
              <w:top w:val="nil"/>
              <w:left w:val="nil"/>
              <w:bottom w:val="nil"/>
              <w:right w:val="nil"/>
            </w:tcBorders>
            <w:noWrap/>
            <w:vAlign w:val="bottom"/>
            <w:hideMark/>
          </w:tcPr>
          <w:p w14:paraId="6B34F5BF" w14:textId="3528D55F"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001025123</w:t>
            </w:r>
          </w:p>
        </w:tc>
        <w:tc>
          <w:tcPr>
            <w:tcW w:w="1701" w:type="dxa"/>
            <w:tcBorders>
              <w:top w:val="nil"/>
              <w:left w:val="nil"/>
              <w:bottom w:val="nil"/>
              <w:right w:val="nil"/>
            </w:tcBorders>
            <w:noWrap/>
            <w:vAlign w:val="bottom"/>
            <w:hideMark/>
          </w:tcPr>
          <w:p w14:paraId="69C4841D" w14:textId="0FF4423F"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0.</w:t>
            </w:r>
            <w:r w:rsidRPr="008119A9">
              <w:rPr>
                <w:rFonts w:ascii="Times New Roman" w:eastAsia="Times New Roman" w:hAnsi="Times New Roman" w:cs="Times New Roman"/>
                <w:color w:val="000000"/>
                <w:sz w:val="24"/>
                <w:szCs w:val="24"/>
                <w:lang w:eastAsia="fr-FR"/>
              </w:rPr>
              <w:t>001248189</w:t>
            </w:r>
          </w:p>
        </w:tc>
        <w:tc>
          <w:tcPr>
            <w:tcW w:w="887" w:type="dxa"/>
            <w:tcBorders>
              <w:top w:val="nil"/>
              <w:left w:val="nil"/>
              <w:bottom w:val="nil"/>
              <w:right w:val="nil"/>
            </w:tcBorders>
            <w:noWrap/>
            <w:vAlign w:val="bottom"/>
            <w:hideMark/>
          </w:tcPr>
          <w:p w14:paraId="330D43BF"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r w:rsidR="007976B5" w:rsidRPr="00951340" w14:paraId="6750C78C" w14:textId="77777777" w:rsidTr="00CC2571">
        <w:trPr>
          <w:gridAfter w:val="1"/>
          <w:wAfter w:w="160" w:type="dxa"/>
          <w:trHeight w:val="300"/>
        </w:trPr>
        <w:tc>
          <w:tcPr>
            <w:tcW w:w="781" w:type="dxa"/>
            <w:tcBorders>
              <w:top w:val="nil"/>
              <w:left w:val="nil"/>
              <w:bottom w:val="single" w:sz="12" w:space="0" w:color="000000"/>
              <w:right w:val="nil"/>
            </w:tcBorders>
            <w:noWrap/>
            <w:vAlign w:val="bottom"/>
            <w:hideMark/>
          </w:tcPr>
          <w:p w14:paraId="7DEEB363"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c>
          <w:tcPr>
            <w:tcW w:w="3898" w:type="dxa"/>
            <w:tcBorders>
              <w:top w:val="nil"/>
              <w:left w:val="nil"/>
              <w:bottom w:val="single" w:sz="12" w:space="0" w:color="000000"/>
              <w:right w:val="nil"/>
            </w:tcBorders>
            <w:noWrap/>
            <w:vAlign w:val="bottom"/>
            <w:hideMark/>
          </w:tcPr>
          <w:p w14:paraId="4964CAF6" w14:textId="2C98BA05"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H0 (0</w:t>
            </w:r>
            <w:r w:rsidR="00F62302">
              <w:rPr>
                <w:rFonts w:ascii="Times New Roman" w:eastAsia="Times New Roman" w:hAnsi="Times New Roman" w:cs="Times New Roman"/>
                <w:color w:val="000000"/>
                <w:sz w:val="24"/>
                <w:szCs w:val="24"/>
                <w:lang w:eastAsia="fr-FR"/>
              </w:rPr>
              <w:t>.</w:t>
            </w:r>
            <w:r w:rsidRPr="008119A9">
              <w:rPr>
                <w:rFonts w:ascii="Times New Roman" w:eastAsia="Times New Roman" w:hAnsi="Times New Roman" w:cs="Times New Roman"/>
                <w:color w:val="000000"/>
                <w:sz w:val="24"/>
                <w:szCs w:val="24"/>
                <w:lang w:eastAsia="fr-FR"/>
              </w:rPr>
              <w:t xml:space="preserve">1%)                            </w:t>
            </w:r>
          </w:p>
        </w:tc>
        <w:tc>
          <w:tcPr>
            <w:tcW w:w="1842" w:type="dxa"/>
            <w:tcBorders>
              <w:top w:val="nil"/>
              <w:left w:val="nil"/>
              <w:bottom w:val="single" w:sz="12" w:space="0" w:color="000000"/>
              <w:right w:val="nil"/>
            </w:tcBorders>
            <w:noWrap/>
            <w:vAlign w:val="bottom"/>
            <w:hideMark/>
          </w:tcPr>
          <w:p w14:paraId="3ACB0BB8" w14:textId="2C8D7339" w:rsidR="007976B5" w:rsidRPr="008119A9" w:rsidRDefault="008F06E9" w:rsidP="007976B5">
            <w:pPr>
              <w:spacing w:after="0" w:line="240" w:lineRule="auto"/>
              <w:jc w:val="both"/>
              <w:rPr>
                <w:rFonts w:ascii="Times New Roman" w:eastAsia="Times New Roman" w:hAnsi="Times New Roman" w:cs="Times New Roman"/>
                <w:color w:val="000000"/>
                <w:sz w:val="24"/>
                <w:szCs w:val="24"/>
                <w:lang w:eastAsia="fr-FR"/>
              </w:rPr>
            </w:pPr>
            <w:r w:rsidRPr="008F06E9">
              <w:rPr>
                <w:rFonts w:ascii="Times New Roman" w:eastAsia="Times New Roman" w:hAnsi="Times New Roman" w:cs="Times New Roman"/>
                <w:color w:val="000000"/>
                <w:sz w:val="24"/>
                <w:szCs w:val="24"/>
                <w:lang w:eastAsia="fr-FR"/>
              </w:rPr>
              <w:t>rejected</w:t>
            </w:r>
            <w:r w:rsidR="007976B5"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single" w:sz="12" w:space="0" w:color="000000"/>
              <w:right w:val="nil"/>
            </w:tcBorders>
            <w:noWrap/>
            <w:vAlign w:val="bottom"/>
            <w:hideMark/>
          </w:tcPr>
          <w:p w14:paraId="1A8D6F35" w14:textId="61F9D7A6" w:rsidR="007976B5" w:rsidRPr="008119A9" w:rsidRDefault="008F06E9" w:rsidP="007976B5">
            <w:pPr>
              <w:spacing w:after="0" w:line="240" w:lineRule="auto"/>
              <w:jc w:val="both"/>
              <w:rPr>
                <w:rFonts w:ascii="Times New Roman" w:eastAsia="Times New Roman" w:hAnsi="Times New Roman" w:cs="Times New Roman"/>
                <w:color w:val="000000"/>
                <w:sz w:val="24"/>
                <w:szCs w:val="24"/>
                <w:lang w:eastAsia="fr-FR"/>
              </w:rPr>
            </w:pPr>
            <w:r w:rsidRPr="008F06E9">
              <w:rPr>
                <w:rFonts w:ascii="Times New Roman" w:eastAsia="Times New Roman" w:hAnsi="Times New Roman" w:cs="Times New Roman"/>
                <w:color w:val="000000"/>
                <w:sz w:val="24"/>
                <w:szCs w:val="24"/>
                <w:lang w:eastAsia="fr-FR"/>
              </w:rPr>
              <w:t>rejected</w:t>
            </w:r>
            <w:r w:rsidR="007976B5" w:rsidRPr="008119A9">
              <w:rPr>
                <w:rFonts w:ascii="Times New Roman" w:eastAsia="Times New Roman" w:hAnsi="Times New Roman" w:cs="Times New Roman"/>
                <w:color w:val="000000"/>
                <w:sz w:val="24"/>
                <w:szCs w:val="24"/>
                <w:lang w:eastAsia="fr-FR"/>
              </w:rPr>
              <w:t xml:space="preserve">                              </w:t>
            </w:r>
          </w:p>
        </w:tc>
        <w:tc>
          <w:tcPr>
            <w:tcW w:w="1701" w:type="dxa"/>
            <w:tcBorders>
              <w:top w:val="nil"/>
              <w:left w:val="nil"/>
              <w:bottom w:val="single" w:sz="12" w:space="0" w:color="000000"/>
              <w:right w:val="nil"/>
            </w:tcBorders>
            <w:noWrap/>
            <w:vAlign w:val="bottom"/>
            <w:hideMark/>
          </w:tcPr>
          <w:p w14:paraId="3EF0042B" w14:textId="00F0AF9B"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r w:rsidR="008F06E9" w:rsidRPr="008F06E9">
              <w:rPr>
                <w:rFonts w:ascii="Times New Roman" w:eastAsia="Times New Roman" w:hAnsi="Times New Roman" w:cs="Times New Roman"/>
                <w:color w:val="000000"/>
                <w:sz w:val="24"/>
                <w:szCs w:val="24"/>
                <w:lang w:eastAsia="fr-FR"/>
              </w:rPr>
              <w:t>rejected</w:t>
            </w:r>
            <w:r w:rsidRPr="008119A9">
              <w:rPr>
                <w:rFonts w:ascii="Times New Roman" w:eastAsia="Times New Roman" w:hAnsi="Times New Roman" w:cs="Times New Roman"/>
                <w:color w:val="000000"/>
                <w:sz w:val="24"/>
                <w:szCs w:val="24"/>
                <w:lang w:eastAsia="fr-FR"/>
              </w:rPr>
              <w:t xml:space="preserve">                       </w:t>
            </w:r>
          </w:p>
        </w:tc>
        <w:tc>
          <w:tcPr>
            <w:tcW w:w="887" w:type="dxa"/>
            <w:tcBorders>
              <w:top w:val="nil"/>
              <w:left w:val="nil"/>
              <w:bottom w:val="single" w:sz="12" w:space="0" w:color="000000"/>
              <w:right w:val="nil"/>
            </w:tcBorders>
            <w:noWrap/>
            <w:vAlign w:val="bottom"/>
            <w:hideMark/>
          </w:tcPr>
          <w:p w14:paraId="18DCBD24" w14:textId="77777777" w:rsidR="007976B5" w:rsidRPr="008119A9" w:rsidRDefault="007976B5" w:rsidP="007976B5">
            <w:pPr>
              <w:spacing w:after="0" w:line="240" w:lineRule="auto"/>
              <w:jc w:val="both"/>
              <w:rPr>
                <w:rFonts w:ascii="Times New Roman" w:eastAsia="Times New Roman" w:hAnsi="Times New Roman" w:cs="Times New Roman"/>
                <w:color w:val="000000"/>
                <w:sz w:val="24"/>
                <w:szCs w:val="24"/>
                <w:lang w:eastAsia="fr-FR"/>
              </w:rPr>
            </w:pPr>
            <w:r w:rsidRPr="008119A9">
              <w:rPr>
                <w:rFonts w:ascii="Times New Roman" w:eastAsia="Times New Roman" w:hAnsi="Times New Roman" w:cs="Times New Roman"/>
                <w:color w:val="000000"/>
                <w:sz w:val="24"/>
                <w:szCs w:val="24"/>
                <w:lang w:eastAsia="fr-FR"/>
              </w:rPr>
              <w:t xml:space="preserve">                                     </w:t>
            </w:r>
          </w:p>
        </w:tc>
      </w:tr>
    </w:tbl>
    <w:p w14:paraId="45920E5B" w14:textId="77777777" w:rsidR="00F62302" w:rsidRDefault="00F62302" w:rsidP="00A7365A">
      <w:pPr>
        <w:spacing w:line="240" w:lineRule="auto"/>
        <w:ind w:firstLine="708"/>
        <w:jc w:val="both"/>
        <w:rPr>
          <w:rFonts w:ascii="Calibri" w:eastAsia="Times New Roman" w:hAnsi="Calibri" w:cs="Calibri"/>
          <w:color w:val="000000"/>
          <w:lang w:eastAsia="fr-FR"/>
        </w:rPr>
      </w:pPr>
    </w:p>
    <w:p w14:paraId="21042BEA" w14:textId="2C0E8F09" w:rsidR="000B42EE" w:rsidRDefault="000B42EE" w:rsidP="00A7365A">
      <w:pPr>
        <w:spacing w:line="240" w:lineRule="auto"/>
        <w:ind w:firstLine="708"/>
        <w:jc w:val="both"/>
        <w:rPr>
          <w:rFonts w:ascii="Times New Roman" w:eastAsia="Times New Roman" w:hAnsi="Times New Roman" w:cs="Times New Roman"/>
          <w:color w:val="000000"/>
          <w:sz w:val="24"/>
          <w:szCs w:val="24"/>
          <w:lang w:eastAsia="fr-FR"/>
        </w:rPr>
      </w:pPr>
      <w:r>
        <w:rPr>
          <w:rFonts w:ascii="Calibri" w:eastAsia="Times New Roman" w:hAnsi="Calibri" w:cs="Calibri"/>
          <w:color w:val="000000"/>
          <w:lang w:eastAsia="fr-FR"/>
        </w:rPr>
        <w:t xml:space="preserve"> </w:t>
      </w:r>
      <w:r w:rsidR="00B63B77">
        <w:rPr>
          <w:rFonts w:ascii="Times New Roman" w:eastAsia="Times New Roman" w:hAnsi="Times New Roman" w:cs="Times New Roman"/>
          <w:color w:val="000000"/>
          <w:sz w:val="24"/>
          <w:szCs w:val="24"/>
          <w:lang w:eastAsia="fr-FR"/>
        </w:rPr>
        <w:t>0</w:t>
      </w:r>
      <w:r w:rsidR="00F62302">
        <w:rPr>
          <w:rFonts w:ascii="Times New Roman" w:eastAsia="Times New Roman" w:hAnsi="Times New Roman" w:cs="Times New Roman"/>
          <w:color w:val="000000"/>
          <w:sz w:val="24"/>
          <w:szCs w:val="24"/>
          <w:lang w:eastAsia="fr-FR"/>
        </w:rPr>
        <w:t>.</w:t>
      </w:r>
      <w:r w:rsidR="00B63B77">
        <w:rPr>
          <w:rFonts w:ascii="Times New Roman" w:eastAsia="Times New Roman" w:hAnsi="Times New Roman" w:cs="Times New Roman"/>
          <w:color w:val="000000"/>
          <w:sz w:val="24"/>
          <w:szCs w:val="24"/>
          <w:lang w:eastAsia="fr-FR"/>
        </w:rPr>
        <w:t xml:space="preserve">1% : </w:t>
      </w:r>
      <w:r w:rsidR="00B63B77" w:rsidRPr="00B63B77">
        <w:rPr>
          <w:rFonts w:ascii="Times New Roman" w:eastAsia="Times New Roman" w:hAnsi="Times New Roman" w:cs="Times New Roman"/>
          <w:color w:val="000000"/>
          <w:sz w:val="24"/>
          <w:szCs w:val="24"/>
          <w:lang w:eastAsia="fr-FR"/>
        </w:rPr>
        <w:t>Critical value</w:t>
      </w:r>
      <w:r>
        <w:rPr>
          <w:rFonts w:ascii="Times New Roman" w:eastAsia="Times New Roman" w:hAnsi="Times New Roman" w:cs="Times New Roman"/>
          <w:color w:val="000000"/>
          <w:sz w:val="24"/>
          <w:szCs w:val="24"/>
          <w:lang w:eastAsia="fr-FR"/>
        </w:rPr>
        <w:t xml:space="preserve">        </w:t>
      </w:r>
    </w:p>
    <w:p w14:paraId="4F96E201" w14:textId="0D3D3947" w:rsidR="00576E50" w:rsidRDefault="00576E50" w:rsidP="00A7365A">
      <w:pPr>
        <w:spacing w:line="240" w:lineRule="auto"/>
        <w:jc w:val="both"/>
        <w:rPr>
          <w:rFonts w:ascii="Times New Roman" w:hAnsi="Times New Roman" w:cs="Times New Roman"/>
          <w:sz w:val="24"/>
          <w:szCs w:val="24"/>
        </w:rPr>
      </w:pPr>
      <w:r w:rsidRPr="00576E50">
        <w:rPr>
          <w:rFonts w:ascii="Times New Roman" w:hAnsi="Times New Roman" w:cs="Times New Roman"/>
          <w:sz w:val="24"/>
          <w:szCs w:val="24"/>
        </w:rPr>
        <w:t>The differences in residue concentrations between the three pesticides in soil samples can be explained by their physicochemical properties. The very large difference between the concentrations of Terbutryne and Atrazine can be linked to their DT</w:t>
      </w:r>
      <w:r w:rsidRPr="00576E50">
        <w:rPr>
          <w:rFonts w:ascii="Times New Roman" w:hAnsi="Times New Roman" w:cs="Times New Roman"/>
          <w:sz w:val="24"/>
          <w:szCs w:val="24"/>
          <w:vertAlign w:val="subscript"/>
        </w:rPr>
        <w:t xml:space="preserve">50 </w:t>
      </w:r>
      <w:r w:rsidRPr="00576E50">
        <w:rPr>
          <w:rFonts w:ascii="Times New Roman" w:hAnsi="Times New Roman" w:cs="Times New Roman"/>
          <w:sz w:val="24"/>
          <w:szCs w:val="24"/>
        </w:rPr>
        <w:t>in the field (table 1). Indeed, Terbutryne, with a DT</w:t>
      </w:r>
      <w:r w:rsidRPr="00576E50">
        <w:rPr>
          <w:rFonts w:ascii="Times New Roman" w:hAnsi="Times New Roman" w:cs="Times New Roman"/>
          <w:sz w:val="24"/>
          <w:szCs w:val="24"/>
          <w:vertAlign w:val="subscript"/>
        </w:rPr>
        <w:t>50</w:t>
      </w:r>
      <w:r w:rsidRPr="00576E50">
        <w:rPr>
          <w:rFonts w:ascii="Times New Roman" w:hAnsi="Times New Roman" w:cs="Times New Roman"/>
          <w:sz w:val="24"/>
          <w:szCs w:val="24"/>
        </w:rPr>
        <w:t xml:space="preserve"> of 52 days, is approximately twice as persistent in the field as atrazine, which has a DT</w:t>
      </w:r>
      <w:r w:rsidRPr="00576E50">
        <w:rPr>
          <w:rFonts w:ascii="Times New Roman" w:hAnsi="Times New Roman" w:cs="Times New Roman"/>
          <w:sz w:val="24"/>
          <w:szCs w:val="24"/>
          <w:vertAlign w:val="subscript"/>
        </w:rPr>
        <w:t>50</w:t>
      </w:r>
      <w:r w:rsidRPr="00576E50">
        <w:rPr>
          <w:rFonts w:ascii="Times New Roman" w:hAnsi="Times New Roman" w:cs="Times New Roman"/>
          <w:sz w:val="24"/>
          <w:szCs w:val="24"/>
        </w:rPr>
        <w:t xml:space="preserve"> of 29 days (table 1). Therefore, in the field, Terbutryn is more persistent than atrazine and therefore has a higher bioconcentration potential. Banned in the European Union since 2004 due to its toxicity, Atrazine was detected in the soil 22</w:t>
      </w:r>
      <w:r w:rsidR="0030661B">
        <w:rPr>
          <w:rFonts w:ascii="Times New Roman" w:hAnsi="Times New Roman" w:cs="Times New Roman"/>
          <w:sz w:val="24"/>
          <w:szCs w:val="24"/>
        </w:rPr>
        <w:t xml:space="preserve"> years after its application [20</w:t>
      </w:r>
      <w:r w:rsidRPr="00576E50">
        <w:rPr>
          <w:rFonts w:ascii="Times New Roman" w:hAnsi="Times New Roman" w:cs="Times New Roman"/>
          <w:sz w:val="24"/>
          <w:szCs w:val="24"/>
        </w:rPr>
        <w:t>]. Also of concern is the presence of high concentrations of Terbutryne, which is approximately twice as persistent as atrazine. Both Atrazine and Terbutryn</w:t>
      </w:r>
      <w:r w:rsidR="006E7DF7">
        <w:rPr>
          <w:rFonts w:ascii="Times New Roman" w:hAnsi="Times New Roman" w:cs="Times New Roman"/>
          <w:sz w:val="24"/>
          <w:szCs w:val="24"/>
        </w:rPr>
        <w:t>e</w:t>
      </w:r>
      <w:r w:rsidRPr="00576E50">
        <w:rPr>
          <w:rFonts w:ascii="Times New Roman" w:hAnsi="Times New Roman" w:cs="Times New Roman"/>
          <w:sz w:val="24"/>
          <w:szCs w:val="24"/>
        </w:rPr>
        <w:t xml:space="preserve"> are low volatile, with saturation vapor pressures of 0.039 and 0.13 mPa respectively (Table 1). However, the risk of contamination of neighboring ecosystems by wind is negligible. In addition, Atrazine, whose solubility in water is 35 mg.l-1, is more soluble than Terbutryne, whose solubility in water is 25 mg.l-1. This may promote greater transfer of Atrazine to groundwater due to its gradual desorption. Cybutryn also belongs to the group of biocides. However, it is not often used for agricultural purposes, which may explain its low concentration in soil samples.The differences in concentration can also be explained by the greater use of plant protection products based on Terbutryne, or by a much higher concentration of this active substance in the pesticides used in these areas.</w:t>
      </w:r>
    </w:p>
    <w:p w14:paraId="22052DD8" w14:textId="77777777" w:rsidR="00576E50" w:rsidRDefault="00576E50" w:rsidP="00A7365A">
      <w:pPr>
        <w:spacing w:line="240" w:lineRule="auto"/>
        <w:jc w:val="both"/>
        <w:rPr>
          <w:rFonts w:ascii="Times New Roman" w:hAnsi="Times New Roman" w:cs="Times New Roman"/>
          <w:sz w:val="24"/>
          <w:szCs w:val="24"/>
        </w:rPr>
      </w:pPr>
    </w:p>
    <w:p w14:paraId="5225C325" w14:textId="77777777" w:rsidR="000B42EE" w:rsidRDefault="000B42EE" w:rsidP="00A7365A">
      <w:pPr>
        <w:pStyle w:val="NoSpacing"/>
        <w:jc w:val="both"/>
        <w:rPr>
          <w:rFonts w:ascii="Times New Roman" w:hAnsi="Times New Roman" w:cs="Times New Roman"/>
          <w:sz w:val="24"/>
          <w:szCs w:val="24"/>
        </w:rPr>
      </w:pPr>
      <w:r>
        <w:rPr>
          <w:noProof/>
          <w:lang w:val="es-ES" w:eastAsia="es-ES"/>
        </w:rPr>
        <w:lastRenderedPageBreak/>
        <w:drawing>
          <wp:inline distT="0" distB="0" distL="0" distR="0" wp14:anchorId="61CFA5C3" wp14:editId="76171789">
            <wp:extent cx="5995219" cy="3251200"/>
            <wp:effectExtent l="19050" t="19050" r="24765" b="2540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96630" cy="3251965"/>
                    </a:xfrm>
                    <a:prstGeom prst="rect">
                      <a:avLst/>
                    </a:prstGeom>
                    <a:ln w="3175">
                      <a:solidFill>
                        <a:schemeClr val="tx1"/>
                      </a:solidFill>
                    </a:ln>
                  </pic:spPr>
                </pic:pic>
              </a:graphicData>
            </a:graphic>
          </wp:inline>
        </w:drawing>
      </w:r>
    </w:p>
    <w:p w14:paraId="0DBC55FC" w14:textId="77777777" w:rsidR="000B42EE" w:rsidRDefault="000B42EE" w:rsidP="00A7365A">
      <w:pPr>
        <w:spacing w:line="240" w:lineRule="auto"/>
      </w:pPr>
    </w:p>
    <w:p w14:paraId="4EFC07F0" w14:textId="53FC17C9" w:rsidR="00172E9D" w:rsidRPr="00576E50" w:rsidRDefault="00576E50" w:rsidP="00576E50">
      <w:pPr>
        <w:pStyle w:val="NoSpacing"/>
        <w:jc w:val="center"/>
        <w:rPr>
          <w:rFonts w:ascii="Times New Roman" w:hAnsi="Times New Roman" w:cs="Times New Roman"/>
          <w:sz w:val="24"/>
          <w:szCs w:val="24"/>
        </w:rPr>
      </w:pPr>
      <w:r w:rsidRPr="00576E50">
        <w:rPr>
          <w:rFonts w:ascii="Times New Roman" w:hAnsi="Times New Roman" w:cs="Times New Roman"/>
          <w:b/>
          <w:sz w:val="24"/>
          <w:szCs w:val="24"/>
        </w:rPr>
        <w:t xml:space="preserve">Figure 5: </w:t>
      </w:r>
      <w:r w:rsidRPr="00576E50">
        <w:rPr>
          <w:rFonts w:ascii="Times New Roman" w:hAnsi="Times New Roman" w:cs="Times New Roman"/>
          <w:sz w:val="24"/>
          <w:szCs w:val="24"/>
        </w:rPr>
        <w:t>Box and whisker plot of the residue content of the triazines studied</w:t>
      </w:r>
      <w:r w:rsidR="00BA3F5C">
        <w:rPr>
          <w:rFonts w:ascii="Times New Roman" w:hAnsi="Times New Roman" w:cs="Times New Roman"/>
          <w:sz w:val="24"/>
          <w:szCs w:val="24"/>
        </w:rPr>
        <w:t xml:space="preserve"> (</w:t>
      </w:r>
      <w:r w:rsidR="00BA3F5C" w:rsidRPr="001817E0">
        <w:rPr>
          <w:rFonts w:ascii="Times New Roman" w:hAnsi="Times New Roman" w:cs="Times New Roman"/>
          <w:sz w:val="24"/>
          <w:szCs w:val="24"/>
        </w:rPr>
        <w:t>µg.kg</w:t>
      </w:r>
      <w:r w:rsidR="00BA3F5C" w:rsidRPr="001817E0">
        <w:rPr>
          <w:rFonts w:ascii="Times New Roman" w:hAnsi="Times New Roman" w:cs="Times New Roman"/>
          <w:sz w:val="24"/>
          <w:szCs w:val="24"/>
          <w:vertAlign w:val="superscript"/>
        </w:rPr>
        <w:t>-1</w:t>
      </w:r>
      <w:r w:rsidR="00BA3F5C">
        <w:rPr>
          <w:rFonts w:ascii="Times New Roman" w:hAnsi="Times New Roman" w:cs="Times New Roman"/>
          <w:sz w:val="24"/>
          <w:szCs w:val="24"/>
        </w:rPr>
        <w:t>)</w:t>
      </w:r>
      <w:r>
        <w:rPr>
          <w:rFonts w:ascii="Times New Roman" w:hAnsi="Times New Roman" w:cs="Times New Roman"/>
          <w:sz w:val="24"/>
          <w:szCs w:val="24"/>
        </w:rPr>
        <w:t xml:space="preserve">. </w:t>
      </w:r>
    </w:p>
    <w:p w14:paraId="35C9525D" w14:textId="77777777" w:rsidR="005E1CE8" w:rsidRPr="00576E50" w:rsidRDefault="005E1CE8" w:rsidP="00A7365A">
      <w:pPr>
        <w:pStyle w:val="NoSpacing"/>
        <w:jc w:val="both"/>
        <w:rPr>
          <w:rFonts w:ascii="Times New Roman" w:hAnsi="Times New Roman" w:cs="Times New Roman"/>
          <w:sz w:val="24"/>
          <w:szCs w:val="24"/>
        </w:rPr>
      </w:pPr>
    </w:p>
    <w:p w14:paraId="07697AE7" w14:textId="77777777" w:rsidR="00F066A6" w:rsidRPr="005F30E0" w:rsidRDefault="00F066A6" w:rsidP="00A7365A">
      <w:pPr>
        <w:pStyle w:val="NoSpacing"/>
        <w:numPr>
          <w:ilvl w:val="0"/>
          <w:numId w:val="1"/>
        </w:numPr>
        <w:jc w:val="both"/>
        <w:rPr>
          <w:rFonts w:ascii="Times New Roman" w:hAnsi="Times New Roman" w:cs="Times New Roman"/>
          <w:b/>
          <w:i/>
          <w:sz w:val="24"/>
          <w:szCs w:val="24"/>
        </w:rPr>
      </w:pPr>
      <w:r w:rsidRPr="005F30E0">
        <w:rPr>
          <w:rFonts w:ascii="Times New Roman" w:hAnsi="Times New Roman" w:cs="Times New Roman"/>
          <w:b/>
          <w:i/>
          <w:sz w:val="24"/>
          <w:szCs w:val="24"/>
        </w:rPr>
        <w:t xml:space="preserve">Conclusion </w:t>
      </w:r>
    </w:p>
    <w:p w14:paraId="749C9D79" w14:textId="77777777" w:rsidR="003B03DE" w:rsidRDefault="003B03DE" w:rsidP="00A7365A">
      <w:pPr>
        <w:pStyle w:val="NoSpacing"/>
        <w:jc w:val="both"/>
        <w:rPr>
          <w:rFonts w:ascii="Times New Roman" w:hAnsi="Times New Roman" w:cs="Times New Roman"/>
          <w:b/>
          <w:sz w:val="24"/>
          <w:szCs w:val="24"/>
        </w:rPr>
      </w:pPr>
    </w:p>
    <w:p w14:paraId="4D98B33F" w14:textId="0A30E2CB" w:rsidR="007976B5" w:rsidRDefault="007976B5" w:rsidP="007976B5">
      <w:pPr>
        <w:pStyle w:val="NoSpacing"/>
        <w:jc w:val="both"/>
        <w:rPr>
          <w:rFonts w:ascii="Times New Roman" w:hAnsi="Times New Roman" w:cs="Times New Roman"/>
          <w:sz w:val="24"/>
          <w:szCs w:val="24"/>
        </w:rPr>
      </w:pPr>
      <w:r w:rsidRPr="007976B5">
        <w:rPr>
          <w:rFonts w:ascii="Times New Roman" w:hAnsi="Times New Roman" w:cs="Times New Roman"/>
          <w:sz w:val="24"/>
          <w:szCs w:val="24"/>
        </w:rPr>
        <w:t>The objective of this study was to study the residues of three triazines (Atrazine, Terbutryne and Cybutryne) in the soil of the former ICS phosphate sludge</w:t>
      </w:r>
      <w:r>
        <w:rPr>
          <w:rFonts w:ascii="Times New Roman" w:hAnsi="Times New Roman" w:cs="Times New Roman"/>
          <w:sz w:val="24"/>
          <w:szCs w:val="24"/>
        </w:rPr>
        <w:t xml:space="preserve"> storage basins</w:t>
      </w:r>
      <w:r w:rsidRPr="007976B5">
        <w:rPr>
          <w:rFonts w:ascii="Times New Roman" w:hAnsi="Times New Roman" w:cs="Times New Roman"/>
          <w:sz w:val="24"/>
          <w:szCs w:val="24"/>
        </w:rPr>
        <w:t xml:space="preserve"> converted into market gardening ponds in the central area of ​​Niayes de Mboro. It shows the presence of the three herbicides studied. This proves that the soil in the ponds is contaminated by these three herbicides. Indeed, this study shows that the presence of these three pesticides in sometimes significant quantities is partly due to the clayey nature of the soil studied. It also shows that the behavior of active substances depends on agricultural practices in the basins: the time of application of herbicides, turning of the soil, crop rotation and dilution of the soil by watering and rain. The statistical study of the results shows that the abundance of active substances is in the following descending order: Terbutryne ˃ Atrazine ˃ Cybutryne. The average residue concentration of Terbutryne is several orders of magnitude higher than that of Atrazine and Cybutryne. The presence of Atrazine and Cybutryne residues not approved by the Sahelian Pesticides Committee of which Senegal is a member, as well as Terbutryne only authorized for cotton plants in the soils studied, shows fraudulent use or supply of the latter. This work provided interesting information on soil pollution linked to pesticide residues in the Niayes area of ​​Mboro. It shows soil contamination by unapproved phytosanitary products. Thus the search for these phytosanitary substances and other more toxic and prohibited ones in the soils of the entire Niayes area and the market garden products grown there is essential to protect the environment and ensure the fo</w:t>
      </w:r>
      <w:r>
        <w:rPr>
          <w:rFonts w:ascii="Times New Roman" w:hAnsi="Times New Roman" w:cs="Times New Roman"/>
          <w:sz w:val="24"/>
          <w:szCs w:val="24"/>
        </w:rPr>
        <w:t xml:space="preserve">od security of the population. </w:t>
      </w:r>
    </w:p>
    <w:p w14:paraId="6312BAE3" w14:textId="77777777" w:rsidR="001629ED" w:rsidRDefault="001629ED" w:rsidP="00A7365A">
      <w:pPr>
        <w:pStyle w:val="NoSpacing"/>
        <w:jc w:val="both"/>
        <w:rPr>
          <w:rFonts w:ascii="Times New Roman" w:hAnsi="Times New Roman" w:cs="Times New Roman"/>
          <w:sz w:val="24"/>
          <w:szCs w:val="24"/>
        </w:rPr>
      </w:pPr>
    </w:p>
    <w:p w14:paraId="2BDA7C6D" w14:textId="77777777" w:rsidR="00F62302" w:rsidRDefault="00F62302" w:rsidP="00A7365A">
      <w:pPr>
        <w:pStyle w:val="NoSpacing"/>
        <w:jc w:val="both"/>
        <w:rPr>
          <w:rFonts w:ascii="Times New Roman" w:hAnsi="Times New Roman" w:cs="Times New Roman"/>
          <w:sz w:val="24"/>
          <w:szCs w:val="24"/>
        </w:rPr>
      </w:pPr>
    </w:p>
    <w:p w14:paraId="064551D8" w14:textId="77777777" w:rsidR="00F62302" w:rsidRDefault="00F62302" w:rsidP="00A7365A">
      <w:pPr>
        <w:pStyle w:val="NoSpacing"/>
        <w:jc w:val="both"/>
        <w:rPr>
          <w:rFonts w:ascii="Times New Roman" w:hAnsi="Times New Roman" w:cs="Times New Roman"/>
          <w:sz w:val="24"/>
          <w:szCs w:val="24"/>
        </w:rPr>
      </w:pPr>
    </w:p>
    <w:p w14:paraId="3116B532" w14:textId="77777777" w:rsidR="00F62302" w:rsidRDefault="00F62302" w:rsidP="00A7365A">
      <w:pPr>
        <w:pStyle w:val="NoSpacing"/>
        <w:jc w:val="both"/>
        <w:rPr>
          <w:rFonts w:ascii="Times New Roman" w:hAnsi="Times New Roman" w:cs="Times New Roman"/>
          <w:sz w:val="24"/>
          <w:szCs w:val="24"/>
        </w:rPr>
      </w:pPr>
    </w:p>
    <w:p w14:paraId="5EF42F5B" w14:textId="77777777" w:rsidR="0059413E" w:rsidRPr="00740879" w:rsidRDefault="0059413E" w:rsidP="0059413E">
      <w:pPr>
        <w:rPr>
          <w:highlight w:val="yellow"/>
        </w:rPr>
      </w:pPr>
      <w:r w:rsidRPr="00740879">
        <w:rPr>
          <w:highlight w:val="yellow"/>
        </w:rPr>
        <w:t>Disclaimer (Artificial intelligence)</w:t>
      </w:r>
    </w:p>
    <w:p w14:paraId="58C9A22E" w14:textId="77777777" w:rsidR="0059413E" w:rsidRPr="00740879" w:rsidRDefault="0059413E" w:rsidP="0059413E">
      <w:pPr>
        <w:rPr>
          <w:highlight w:val="yellow"/>
        </w:rPr>
      </w:pPr>
      <w:r w:rsidRPr="00740879">
        <w:rPr>
          <w:highlight w:val="yellow"/>
        </w:rPr>
        <w:t xml:space="preserve">Option 1: </w:t>
      </w:r>
    </w:p>
    <w:p w14:paraId="4A5F9CAC" w14:textId="77777777" w:rsidR="0059413E" w:rsidRPr="00740879" w:rsidRDefault="0059413E" w:rsidP="0059413E">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510A43C8" w14:textId="77777777" w:rsidR="0059413E" w:rsidRPr="00740879" w:rsidRDefault="0059413E" w:rsidP="0059413E">
      <w:pPr>
        <w:rPr>
          <w:highlight w:val="yellow"/>
        </w:rPr>
      </w:pPr>
      <w:r w:rsidRPr="00740879">
        <w:rPr>
          <w:highlight w:val="yellow"/>
        </w:rPr>
        <w:t xml:space="preserve">Option 2: </w:t>
      </w:r>
    </w:p>
    <w:p w14:paraId="11D72C92" w14:textId="77777777" w:rsidR="0059413E" w:rsidRPr="00740879" w:rsidRDefault="0059413E" w:rsidP="0059413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D59983" w14:textId="77777777" w:rsidR="0059413E" w:rsidRPr="00740879" w:rsidRDefault="0059413E" w:rsidP="0059413E">
      <w:pPr>
        <w:rPr>
          <w:highlight w:val="yellow"/>
        </w:rPr>
      </w:pPr>
      <w:r w:rsidRPr="00740879">
        <w:rPr>
          <w:highlight w:val="yellow"/>
        </w:rPr>
        <w:t>Details of the AI usage are given below:</w:t>
      </w:r>
    </w:p>
    <w:p w14:paraId="4B6EDA1B" w14:textId="77777777" w:rsidR="0059413E" w:rsidRPr="00740879" w:rsidRDefault="0059413E" w:rsidP="0059413E">
      <w:pPr>
        <w:rPr>
          <w:highlight w:val="yellow"/>
        </w:rPr>
      </w:pPr>
      <w:r w:rsidRPr="00740879">
        <w:rPr>
          <w:highlight w:val="yellow"/>
        </w:rPr>
        <w:t>1.</w:t>
      </w:r>
    </w:p>
    <w:p w14:paraId="76B21B64" w14:textId="77777777" w:rsidR="0059413E" w:rsidRPr="00740879" w:rsidRDefault="0059413E" w:rsidP="0059413E">
      <w:pPr>
        <w:rPr>
          <w:highlight w:val="yellow"/>
        </w:rPr>
      </w:pPr>
      <w:r w:rsidRPr="00740879">
        <w:rPr>
          <w:highlight w:val="yellow"/>
        </w:rPr>
        <w:t>2.</w:t>
      </w:r>
    </w:p>
    <w:p w14:paraId="29D1C683" w14:textId="77777777" w:rsidR="0059413E" w:rsidRPr="00D047BB" w:rsidRDefault="0059413E" w:rsidP="0059413E">
      <w:r w:rsidRPr="00740879">
        <w:rPr>
          <w:highlight w:val="yellow"/>
        </w:rPr>
        <w:t>3.</w:t>
      </w:r>
    </w:p>
    <w:p w14:paraId="4BB1BE2E" w14:textId="77777777" w:rsidR="00F62302" w:rsidRDefault="00F62302" w:rsidP="00A7365A">
      <w:pPr>
        <w:pStyle w:val="NoSpacing"/>
        <w:jc w:val="both"/>
        <w:rPr>
          <w:rFonts w:ascii="Times New Roman" w:hAnsi="Times New Roman" w:cs="Times New Roman"/>
          <w:sz w:val="24"/>
          <w:szCs w:val="24"/>
        </w:rPr>
      </w:pPr>
    </w:p>
    <w:p w14:paraId="483C7391" w14:textId="77777777" w:rsidR="00F62302" w:rsidRDefault="00F62302" w:rsidP="00A7365A">
      <w:pPr>
        <w:pStyle w:val="NoSpacing"/>
        <w:jc w:val="both"/>
        <w:rPr>
          <w:rFonts w:ascii="Times New Roman" w:hAnsi="Times New Roman" w:cs="Times New Roman"/>
          <w:sz w:val="24"/>
          <w:szCs w:val="24"/>
        </w:rPr>
      </w:pPr>
    </w:p>
    <w:p w14:paraId="40FC867C" w14:textId="77777777" w:rsidR="00F62302" w:rsidRDefault="00F62302" w:rsidP="00A7365A">
      <w:pPr>
        <w:pStyle w:val="NoSpacing"/>
        <w:jc w:val="both"/>
        <w:rPr>
          <w:rFonts w:ascii="Times New Roman" w:hAnsi="Times New Roman" w:cs="Times New Roman"/>
          <w:sz w:val="24"/>
          <w:szCs w:val="24"/>
        </w:rPr>
      </w:pPr>
    </w:p>
    <w:p w14:paraId="10794630" w14:textId="77777777" w:rsidR="007976B5" w:rsidRDefault="007976B5" w:rsidP="00A7365A">
      <w:pPr>
        <w:pStyle w:val="NoSpacing"/>
        <w:jc w:val="both"/>
        <w:rPr>
          <w:rFonts w:ascii="Times New Roman" w:hAnsi="Times New Roman" w:cs="Times New Roman"/>
          <w:sz w:val="24"/>
          <w:szCs w:val="24"/>
        </w:rPr>
      </w:pPr>
    </w:p>
    <w:p w14:paraId="6098746C" w14:textId="343644F5" w:rsidR="005F30E0" w:rsidRDefault="005F30E0" w:rsidP="00F62302">
      <w:pPr>
        <w:pStyle w:val="NoSpacing"/>
        <w:numPr>
          <w:ilvl w:val="0"/>
          <w:numId w:val="1"/>
        </w:numPr>
        <w:jc w:val="both"/>
        <w:rPr>
          <w:rFonts w:ascii="Times New Roman" w:hAnsi="Times New Roman" w:cs="Times New Roman"/>
          <w:b/>
          <w:sz w:val="24"/>
          <w:szCs w:val="24"/>
        </w:rPr>
      </w:pPr>
      <w:r w:rsidRPr="005F30E0">
        <w:rPr>
          <w:rFonts w:ascii="Times New Roman" w:hAnsi="Times New Roman" w:cs="Times New Roman"/>
          <w:b/>
          <w:sz w:val="24"/>
          <w:szCs w:val="24"/>
        </w:rPr>
        <w:t xml:space="preserve">Références </w:t>
      </w:r>
    </w:p>
    <w:p w14:paraId="1124C815" w14:textId="77777777" w:rsidR="00F62302" w:rsidRPr="005F30E0" w:rsidRDefault="00F62302" w:rsidP="00F62302">
      <w:pPr>
        <w:pStyle w:val="NoSpacing"/>
        <w:ind w:left="720"/>
        <w:jc w:val="both"/>
        <w:rPr>
          <w:rFonts w:ascii="Times New Roman" w:hAnsi="Times New Roman" w:cs="Times New Roman"/>
          <w:b/>
          <w:sz w:val="24"/>
          <w:szCs w:val="24"/>
        </w:rPr>
      </w:pPr>
    </w:p>
    <w:p w14:paraId="53B74AE5" w14:textId="77777777" w:rsidR="00D46D5F" w:rsidRPr="00D46D5F" w:rsidRDefault="00D46D5F" w:rsidP="00A7365A">
      <w:pPr>
        <w:pStyle w:val="Bibliography"/>
        <w:spacing w:line="240" w:lineRule="auto"/>
        <w:rPr>
          <w:rFonts w:ascii="Times New Roman" w:hAnsi="Times New Roman" w:cs="Times New Roman"/>
          <w:sz w:val="24"/>
        </w:rPr>
      </w:pPr>
      <w:r>
        <w:rPr>
          <w:color w:val="FF0000"/>
        </w:rPr>
        <w:fldChar w:fldCharType="begin"/>
      </w:r>
      <w:r>
        <w:rPr>
          <w:color w:val="FF0000"/>
        </w:rPr>
        <w:instrText xml:space="preserve"> ADDIN ZOTERO_BIBL {"uncited":[],"omitted":[],"custom":[]} CSL_BIBLIOGRAPHY </w:instrText>
      </w:r>
      <w:r>
        <w:rPr>
          <w:color w:val="FF0000"/>
        </w:rPr>
        <w:fldChar w:fldCharType="separate"/>
      </w:r>
      <w:r w:rsidRPr="00D46D5F">
        <w:rPr>
          <w:rFonts w:ascii="Times New Roman" w:hAnsi="Times New Roman" w:cs="Times New Roman"/>
          <w:sz w:val="24"/>
        </w:rPr>
        <w:t>[1]</w:t>
      </w:r>
      <w:r w:rsidRPr="00D46D5F">
        <w:rPr>
          <w:rFonts w:ascii="Times New Roman" w:hAnsi="Times New Roman" w:cs="Times New Roman"/>
          <w:sz w:val="24"/>
        </w:rPr>
        <w:tab/>
        <w:t xml:space="preserve">Q. Ma, Q. Li, J. Wang, R. E. Parales, L. Li, et Z. Ruan, « Exposure to three herbicide mixtures influenced maize root-associated microbial community structure, function and the network complexity », </w:t>
      </w:r>
      <w:r w:rsidRPr="00D46D5F">
        <w:rPr>
          <w:rFonts w:ascii="Times New Roman" w:hAnsi="Times New Roman" w:cs="Times New Roman"/>
          <w:i/>
          <w:iCs/>
          <w:sz w:val="24"/>
        </w:rPr>
        <w:t>Environmental Pollution</w:t>
      </w:r>
      <w:r w:rsidRPr="00D46D5F">
        <w:rPr>
          <w:rFonts w:ascii="Times New Roman" w:hAnsi="Times New Roman" w:cs="Times New Roman"/>
          <w:sz w:val="24"/>
        </w:rPr>
        <w:t>, vol. 336, p. 122393, 2023, doi: https://doi.org/10.1016/j.envpol.2023.122393.</w:t>
      </w:r>
    </w:p>
    <w:p w14:paraId="39C1101A" w14:textId="77777777" w:rsidR="00D46D5F" w:rsidRPr="00D46D5F" w:rsidRDefault="00D46D5F" w:rsidP="00A7365A">
      <w:pPr>
        <w:pStyle w:val="Bibliography"/>
        <w:spacing w:line="240" w:lineRule="auto"/>
        <w:rPr>
          <w:rFonts w:ascii="Times New Roman" w:hAnsi="Times New Roman" w:cs="Times New Roman"/>
          <w:sz w:val="24"/>
        </w:rPr>
      </w:pPr>
      <w:r w:rsidRPr="00D46D5F">
        <w:rPr>
          <w:rFonts w:ascii="Times New Roman" w:hAnsi="Times New Roman" w:cs="Times New Roman"/>
          <w:sz w:val="24"/>
        </w:rPr>
        <w:t>[2]</w:t>
      </w:r>
      <w:r w:rsidRPr="00D46D5F">
        <w:rPr>
          <w:rFonts w:ascii="Times New Roman" w:hAnsi="Times New Roman" w:cs="Times New Roman"/>
          <w:sz w:val="24"/>
        </w:rPr>
        <w:tab/>
        <w:t xml:space="preserve">H. Wang </w:t>
      </w:r>
      <w:r w:rsidRPr="00D46D5F">
        <w:rPr>
          <w:rFonts w:ascii="Times New Roman" w:hAnsi="Times New Roman" w:cs="Times New Roman"/>
          <w:i/>
          <w:iCs/>
          <w:sz w:val="24"/>
        </w:rPr>
        <w:t>et al.</w:t>
      </w:r>
      <w:r w:rsidRPr="00D46D5F">
        <w:rPr>
          <w:rFonts w:ascii="Times New Roman" w:hAnsi="Times New Roman" w:cs="Times New Roman"/>
          <w:sz w:val="24"/>
        </w:rPr>
        <w:t xml:space="preserve">, « Determination of triazine herbicides in cereals using dynamic microwave-assisted extraction with solidification of floating organic drop followed by high-performance liquid chromatography », </w:t>
      </w:r>
      <w:r w:rsidRPr="00D46D5F">
        <w:rPr>
          <w:rFonts w:ascii="Times New Roman" w:hAnsi="Times New Roman" w:cs="Times New Roman"/>
          <w:i/>
          <w:iCs/>
          <w:sz w:val="24"/>
        </w:rPr>
        <w:t>Journal of Chromatography A</w:t>
      </w:r>
      <w:r w:rsidRPr="00D46D5F">
        <w:rPr>
          <w:rFonts w:ascii="Times New Roman" w:hAnsi="Times New Roman" w:cs="Times New Roman"/>
          <w:sz w:val="24"/>
        </w:rPr>
        <w:t>, vol. 1233, p. 36‑43, 2012, doi: https://doi.org/10.1016/j.chroma.2012.02.034.</w:t>
      </w:r>
    </w:p>
    <w:p w14:paraId="3E939847" w14:textId="77777777" w:rsidR="00D46D5F" w:rsidRPr="00D46D5F" w:rsidRDefault="00D46D5F" w:rsidP="00A7365A">
      <w:pPr>
        <w:pStyle w:val="Bibliography"/>
        <w:spacing w:line="240" w:lineRule="auto"/>
        <w:rPr>
          <w:rFonts w:ascii="Times New Roman" w:hAnsi="Times New Roman" w:cs="Times New Roman"/>
          <w:sz w:val="24"/>
        </w:rPr>
      </w:pPr>
      <w:r w:rsidRPr="00D46D5F">
        <w:rPr>
          <w:rFonts w:ascii="Times New Roman" w:hAnsi="Times New Roman" w:cs="Times New Roman"/>
          <w:sz w:val="24"/>
        </w:rPr>
        <w:t>[3]</w:t>
      </w:r>
      <w:r w:rsidRPr="00D46D5F">
        <w:rPr>
          <w:rFonts w:ascii="Times New Roman" w:hAnsi="Times New Roman" w:cs="Times New Roman"/>
          <w:sz w:val="24"/>
        </w:rPr>
        <w:tab/>
        <w:t xml:space="preserve">E. C. Martins, V. de F. Melo, J. B. Bohone, et G. Abate, « Sorption and desorption of atrazine on soils: The effect of different soil fractions », </w:t>
      </w:r>
      <w:r w:rsidRPr="00D46D5F">
        <w:rPr>
          <w:rFonts w:ascii="Times New Roman" w:hAnsi="Times New Roman" w:cs="Times New Roman"/>
          <w:i/>
          <w:iCs/>
          <w:sz w:val="24"/>
        </w:rPr>
        <w:t>Geoderma</w:t>
      </w:r>
      <w:r w:rsidRPr="00D46D5F">
        <w:rPr>
          <w:rFonts w:ascii="Times New Roman" w:hAnsi="Times New Roman" w:cs="Times New Roman"/>
          <w:sz w:val="24"/>
        </w:rPr>
        <w:t>, vol. 322, p. 131‑139, 2018, doi: https://doi.org/10.1016/j.geoderma.2018.02.028.</w:t>
      </w:r>
    </w:p>
    <w:p w14:paraId="3F45A5AC" w14:textId="77777777" w:rsidR="00D46D5F" w:rsidRPr="00D46D5F" w:rsidRDefault="00D46D5F" w:rsidP="00A7365A">
      <w:pPr>
        <w:pStyle w:val="Bibliography"/>
        <w:spacing w:line="240" w:lineRule="auto"/>
        <w:rPr>
          <w:rFonts w:ascii="Times New Roman" w:hAnsi="Times New Roman" w:cs="Times New Roman"/>
          <w:sz w:val="24"/>
        </w:rPr>
      </w:pPr>
      <w:r w:rsidRPr="00D46D5F">
        <w:rPr>
          <w:rFonts w:ascii="Times New Roman" w:hAnsi="Times New Roman" w:cs="Times New Roman"/>
          <w:sz w:val="24"/>
        </w:rPr>
        <w:t>[4]</w:t>
      </w:r>
      <w:r w:rsidRPr="00D46D5F">
        <w:rPr>
          <w:rFonts w:ascii="Times New Roman" w:hAnsi="Times New Roman" w:cs="Times New Roman"/>
          <w:sz w:val="24"/>
        </w:rPr>
        <w:tab/>
        <w:t xml:space="preserve">Q.-X. Zhou et Y.-Y. Gao, « Combination of ionic liquid dispersive liquid-phase microextraction and high performance liquid chromatography for the determination of triazine herbicides in water samples », </w:t>
      </w:r>
      <w:r w:rsidRPr="00D46D5F">
        <w:rPr>
          <w:rFonts w:ascii="Times New Roman" w:hAnsi="Times New Roman" w:cs="Times New Roman"/>
          <w:i/>
          <w:iCs/>
          <w:sz w:val="24"/>
        </w:rPr>
        <w:t>Chinese Chemical Letters</w:t>
      </w:r>
      <w:r w:rsidRPr="00D46D5F">
        <w:rPr>
          <w:rFonts w:ascii="Times New Roman" w:hAnsi="Times New Roman" w:cs="Times New Roman"/>
          <w:sz w:val="24"/>
        </w:rPr>
        <w:t>, vol. 25, n</w:t>
      </w:r>
      <w:r w:rsidRPr="00D46D5F">
        <w:rPr>
          <w:rFonts w:ascii="Times New Roman" w:hAnsi="Times New Roman" w:cs="Times New Roman"/>
          <w:sz w:val="24"/>
          <w:vertAlign w:val="superscript"/>
        </w:rPr>
        <w:t>o</w:t>
      </w:r>
      <w:r w:rsidRPr="00D46D5F">
        <w:rPr>
          <w:rFonts w:ascii="Times New Roman" w:hAnsi="Times New Roman" w:cs="Times New Roman"/>
          <w:sz w:val="24"/>
        </w:rPr>
        <w:t xml:space="preserve"> 5, p. 745‑748, 2014, doi: https://doi.org/10.1016/j.cclet.2014.01.026.</w:t>
      </w:r>
    </w:p>
    <w:p w14:paraId="6DF19511" w14:textId="77777777" w:rsidR="00D46D5F" w:rsidRPr="00D46D5F" w:rsidRDefault="00D46D5F" w:rsidP="00A7365A">
      <w:pPr>
        <w:pStyle w:val="Bibliography"/>
        <w:spacing w:line="240" w:lineRule="auto"/>
        <w:rPr>
          <w:rFonts w:ascii="Times New Roman" w:hAnsi="Times New Roman" w:cs="Times New Roman"/>
          <w:sz w:val="24"/>
        </w:rPr>
      </w:pPr>
      <w:r w:rsidRPr="00D46D5F">
        <w:rPr>
          <w:rFonts w:ascii="Times New Roman" w:hAnsi="Times New Roman" w:cs="Times New Roman"/>
          <w:sz w:val="24"/>
        </w:rPr>
        <w:t>[5]</w:t>
      </w:r>
      <w:r w:rsidRPr="00D46D5F">
        <w:rPr>
          <w:rFonts w:ascii="Times New Roman" w:hAnsi="Times New Roman" w:cs="Times New Roman"/>
          <w:sz w:val="24"/>
        </w:rPr>
        <w:tab/>
        <w:t xml:space="preserve">P. Rouimi </w:t>
      </w:r>
      <w:r w:rsidRPr="00D46D5F">
        <w:rPr>
          <w:rFonts w:ascii="Times New Roman" w:hAnsi="Times New Roman" w:cs="Times New Roman"/>
          <w:i/>
          <w:iCs/>
          <w:sz w:val="24"/>
        </w:rPr>
        <w:t>et al.</w:t>
      </w:r>
      <w:r w:rsidRPr="00D46D5F">
        <w:rPr>
          <w:rFonts w:ascii="Times New Roman" w:hAnsi="Times New Roman" w:cs="Times New Roman"/>
          <w:sz w:val="24"/>
        </w:rPr>
        <w:t xml:space="preserve">, « Impacts of low doses of pesticide mixtures on liver cell defence systems », </w:t>
      </w:r>
      <w:r w:rsidRPr="00D46D5F">
        <w:rPr>
          <w:rFonts w:ascii="Times New Roman" w:hAnsi="Times New Roman" w:cs="Times New Roman"/>
          <w:i/>
          <w:iCs/>
          <w:sz w:val="24"/>
        </w:rPr>
        <w:t>Toxicology in vitro : an international journal published in association with BIBRA</w:t>
      </w:r>
      <w:r w:rsidRPr="00D46D5F">
        <w:rPr>
          <w:rFonts w:ascii="Times New Roman" w:hAnsi="Times New Roman" w:cs="Times New Roman"/>
          <w:sz w:val="24"/>
        </w:rPr>
        <w:t>, vol. 26, p. 718‑26, avr. 2012, doi: 10.1016/j.tiv.2012.03.015.</w:t>
      </w:r>
    </w:p>
    <w:p w14:paraId="67F0A85B" w14:textId="68411266" w:rsidR="00D46D5F" w:rsidRDefault="00D46D5F" w:rsidP="00A7365A">
      <w:pPr>
        <w:pStyle w:val="Bibliography"/>
        <w:spacing w:line="240" w:lineRule="auto"/>
        <w:rPr>
          <w:rFonts w:ascii="Times New Roman" w:hAnsi="Times New Roman" w:cs="Times New Roman"/>
          <w:sz w:val="24"/>
        </w:rPr>
      </w:pPr>
      <w:r w:rsidRPr="006C25CF">
        <w:rPr>
          <w:rFonts w:ascii="Times New Roman" w:hAnsi="Times New Roman" w:cs="Times New Roman"/>
          <w:sz w:val="24"/>
          <w:highlight w:val="yellow"/>
        </w:rPr>
        <w:t>[6]</w:t>
      </w:r>
      <w:r w:rsidRPr="006C25CF">
        <w:rPr>
          <w:rFonts w:ascii="Times New Roman" w:hAnsi="Times New Roman" w:cs="Times New Roman"/>
          <w:sz w:val="24"/>
          <w:highlight w:val="yellow"/>
        </w:rPr>
        <w:tab/>
      </w:r>
      <w:r w:rsidR="00937632" w:rsidRPr="006C25CF">
        <w:rPr>
          <w:rFonts w:ascii="Times New Roman" w:hAnsi="Times New Roman" w:cs="Times New Roman"/>
          <w:sz w:val="24"/>
          <w:highlight w:val="yellow"/>
        </w:rPr>
        <w:t>H. Calba, C. Chevassus, and D. Montange, “Agronomic study of market gardening in the ICS basins in Mboro: Agronomic use of phosphate sludge from Taïba, Senegal (Gospel project)”, Montpellier, monographbiblioteca, 2008. [Online]. Available at: https://publications.cirad.fr</w:t>
      </w:r>
    </w:p>
    <w:p w14:paraId="337EB81A" w14:textId="0E556D50" w:rsidR="00BA4964" w:rsidRPr="00BA4964" w:rsidRDefault="00BA4964" w:rsidP="00BA4964">
      <w:pPr>
        <w:rPr>
          <w:rFonts w:ascii="Times New Roman" w:hAnsi="Times New Roman" w:cs="Times New Roman"/>
          <w:sz w:val="24"/>
          <w:szCs w:val="24"/>
        </w:rPr>
      </w:pPr>
      <w:r w:rsidRPr="00BA4964">
        <w:rPr>
          <w:rFonts w:ascii="Times New Roman" w:hAnsi="Times New Roman" w:cs="Times New Roman"/>
          <w:sz w:val="24"/>
          <w:szCs w:val="24"/>
        </w:rPr>
        <w:t>[7]       National Center for Biotechnology Information. "PubChem Compound Summary for CID 2256, Atrazine" </w:t>
      </w:r>
      <w:r w:rsidRPr="00BA4964">
        <w:rPr>
          <w:rFonts w:ascii="Times New Roman" w:hAnsi="Times New Roman" w:cs="Times New Roman"/>
          <w:i/>
          <w:iCs/>
          <w:sz w:val="24"/>
          <w:szCs w:val="24"/>
        </w:rPr>
        <w:t>PubChem</w:t>
      </w:r>
      <w:r w:rsidRPr="00BA4964">
        <w:rPr>
          <w:rFonts w:ascii="Times New Roman" w:hAnsi="Times New Roman" w:cs="Times New Roman"/>
          <w:sz w:val="24"/>
          <w:szCs w:val="24"/>
        </w:rPr>
        <w:t>, </w:t>
      </w:r>
      <w:hyperlink r:id="rId22" w:history="1">
        <w:r w:rsidRPr="00BA4964">
          <w:rPr>
            <w:rStyle w:val="Hyperlink"/>
            <w:rFonts w:ascii="Times New Roman" w:hAnsi="Times New Roman" w:cs="Times New Roman"/>
            <w:sz w:val="24"/>
            <w:szCs w:val="24"/>
          </w:rPr>
          <w:t>https://pubchem.ncbi.nlm.nih.gov/compound/Atrazine</w:t>
        </w:r>
      </w:hyperlink>
      <w:r w:rsidRPr="00BA4964">
        <w:rPr>
          <w:rFonts w:ascii="Times New Roman" w:hAnsi="Times New Roman" w:cs="Times New Roman"/>
          <w:sz w:val="24"/>
          <w:szCs w:val="24"/>
        </w:rPr>
        <w:t>. Accessed 10 August, 2024.</w:t>
      </w:r>
    </w:p>
    <w:p w14:paraId="16779C94" w14:textId="39CAC89B" w:rsidR="00D46D5F" w:rsidRPr="00D46D5F" w:rsidRDefault="00BA4964" w:rsidP="00A7365A">
      <w:pPr>
        <w:pStyle w:val="Bibliography"/>
        <w:spacing w:line="240" w:lineRule="auto"/>
        <w:rPr>
          <w:rFonts w:ascii="Times New Roman" w:hAnsi="Times New Roman" w:cs="Times New Roman"/>
          <w:sz w:val="24"/>
        </w:rPr>
      </w:pPr>
      <w:r>
        <w:rPr>
          <w:rFonts w:ascii="Times New Roman" w:hAnsi="Times New Roman" w:cs="Times New Roman"/>
          <w:sz w:val="24"/>
        </w:rPr>
        <w:lastRenderedPageBreak/>
        <w:t xml:space="preserve"> </w:t>
      </w:r>
      <w:r w:rsidR="0030661B">
        <w:rPr>
          <w:rFonts w:ascii="Times New Roman" w:hAnsi="Times New Roman" w:cs="Times New Roman"/>
          <w:sz w:val="24"/>
        </w:rPr>
        <w:t>[8</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K. Lewis, J. Tzilivakis, D. Warner, et A. Green, « An international database for pesticide risk assessments and management », </w:t>
      </w:r>
      <w:r w:rsidR="00D46D5F" w:rsidRPr="00D46D5F">
        <w:rPr>
          <w:rFonts w:ascii="Times New Roman" w:hAnsi="Times New Roman" w:cs="Times New Roman"/>
          <w:i/>
          <w:iCs/>
          <w:sz w:val="24"/>
        </w:rPr>
        <w:t>Human and Ecological Risk Assessment: An International Journal</w:t>
      </w:r>
      <w:r w:rsidR="00D46D5F" w:rsidRPr="00D46D5F">
        <w:rPr>
          <w:rFonts w:ascii="Times New Roman" w:hAnsi="Times New Roman" w:cs="Times New Roman"/>
          <w:sz w:val="24"/>
        </w:rPr>
        <w:t>, vol. 22, p. 1‑15, janv. 2016, doi: 10.1080/10807039.2015.1133242.</w:t>
      </w:r>
    </w:p>
    <w:p w14:paraId="05BE945D" w14:textId="03E00D44"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[9</w:t>
      </w:r>
      <w:r w:rsidR="00D46D5F" w:rsidRPr="00D46D5F">
        <w:rPr>
          <w:rFonts w:ascii="Times New Roman" w:hAnsi="Times New Roman" w:cs="Times New Roman"/>
          <w:sz w:val="24"/>
        </w:rPr>
        <w:t>]</w:t>
      </w:r>
      <w:r w:rsidR="00D46D5F" w:rsidRPr="00D46D5F">
        <w:rPr>
          <w:rFonts w:ascii="Times New Roman" w:hAnsi="Times New Roman" w:cs="Times New Roman"/>
          <w:sz w:val="24"/>
        </w:rPr>
        <w:tab/>
      </w:r>
      <w:r w:rsidR="00937632" w:rsidRPr="006C25CF">
        <w:rPr>
          <w:rFonts w:ascii="Times New Roman" w:hAnsi="Times New Roman" w:cs="Times New Roman"/>
          <w:sz w:val="24"/>
          <w:highlight w:val="yellow"/>
        </w:rPr>
        <w:t>S. Kesseler and V. Tine, “A necessary evil? Industrial influences at the urban-rural interface, the impact of ICS on the Mboro area, Senegal”. December 2004. Accessed: July 4, 2024. [Online]. Available at: www.ecocite.org</w:t>
      </w:r>
    </w:p>
    <w:p w14:paraId="7B4E68E8" w14:textId="25726CC5"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[10</w:t>
      </w:r>
      <w:r w:rsidR="00D46D5F" w:rsidRPr="00D46D5F">
        <w:rPr>
          <w:rFonts w:ascii="Times New Roman" w:hAnsi="Times New Roman" w:cs="Times New Roman"/>
          <w:sz w:val="24"/>
        </w:rPr>
        <w:t>]</w:t>
      </w:r>
      <w:r w:rsidR="00D46D5F" w:rsidRPr="00D46D5F">
        <w:rPr>
          <w:rFonts w:ascii="Times New Roman" w:hAnsi="Times New Roman" w:cs="Times New Roman"/>
          <w:sz w:val="24"/>
        </w:rPr>
        <w:tab/>
      </w:r>
      <w:r w:rsidR="00937632" w:rsidRPr="006C25CF">
        <w:rPr>
          <w:rFonts w:ascii="Times New Roman" w:hAnsi="Times New Roman" w:cs="Times New Roman"/>
          <w:sz w:val="24"/>
          <w:highlight w:val="yellow"/>
        </w:rPr>
        <w:t>S. M. Seck, “Socio-economic study of market gardening in the ICS basins in Mboro (annex 1): Agronomic use of phosphate sludge from Taïba, Senegal (Gospel project)”, GOSPEL PROJECT, Montpellier, France, Technical and research document CD_RP17134, 2007. Accessed: June 20, 2024. [Online]. Available at: http://agritrop.cirad.fr/546392/1/document_546392.pdf</w:t>
      </w:r>
    </w:p>
    <w:p w14:paraId="0A1B842C" w14:textId="4A66B57C"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[11</w:t>
      </w:r>
      <w:r w:rsidR="00D46D5F" w:rsidRPr="00D46D5F">
        <w:rPr>
          <w:rFonts w:ascii="Times New Roman" w:hAnsi="Times New Roman" w:cs="Times New Roman"/>
          <w:sz w:val="24"/>
        </w:rPr>
        <w:t>]</w:t>
      </w:r>
      <w:r w:rsidR="00D46D5F" w:rsidRPr="00D46D5F">
        <w:rPr>
          <w:rFonts w:ascii="Times New Roman" w:hAnsi="Times New Roman" w:cs="Times New Roman"/>
          <w:sz w:val="24"/>
        </w:rPr>
        <w:tab/>
      </w:r>
      <w:r w:rsidR="00937632" w:rsidRPr="006C25CF">
        <w:rPr>
          <w:rFonts w:ascii="Times New Roman" w:hAnsi="Times New Roman" w:cs="Times New Roman"/>
          <w:sz w:val="24"/>
          <w:highlight w:val="yellow"/>
        </w:rPr>
        <w:t>H. Seck, E. Hadji, E. Dièye, T. Sané, and B. Solly, “Mining extraction and management of enschlammed basins in the communities alongside the Chemical Industries of Senegal (ICS)”, Jan. 2023.</w:t>
      </w:r>
    </w:p>
    <w:p w14:paraId="5CAA3113" w14:textId="03F607A6"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[12</w:t>
      </w:r>
      <w:r w:rsidR="00154D3D">
        <w:rPr>
          <w:rFonts w:ascii="Times New Roman" w:hAnsi="Times New Roman" w:cs="Times New Roman"/>
          <w:sz w:val="24"/>
        </w:rPr>
        <w:t>] C. T. Dione O. Delhomme, I. Diagne, C. Diebakate, B. Ndiaye, D. Cisse, M. Hane, M. M. Dione, S. Diouf, A.</w:t>
      </w:r>
      <w:r w:rsidR="00D46D5F" w:rsidRPr="00D46D5F">
        <w:rPr>
          <w:rFonts w:ascii="Times New Roman" w:hAnsi="Times New Roman" w:cs="Times New Roman"/>
          <w:sz w:val="24"/>
        </w:rPr>
        <w:t xml:space="preserve"> Diop et M. Millet, « Application of the QuEChERS method for the determination of pesticides, PAHs and PCBs in fish in Senegal », </w:t>
      </w:r>
      <w:r w:rsidR="00D46D5F" w:rsidRPr="00D46D5F">
        <w:rPr>
          <w:rFonts w:ascii="Times New Roman" w:hAnsi="Times New Roman" w:cs="Times New Roman"/>
          <w:i/>
          <w:iCs/>
          <w:sz w:val="24"/>
        </w:rPr>
        <w:t>Journal of Environmental Science and Health, Part A</w:t>
      </w:r>
      <w:r w:rsidR="00D46D5F" w:rsidRPr="00D46D5F">
        <w:rPr>
          <w:rFonts w:ascii="Times New Roman" w:hAnsi="Times New Roman" w:cs="Times New Roman"/>
          <w:sz w:val="24"/>
        </w:rPr>
        <w:t>, vol. 57, n</w:t>
      </w:r>
      <w:r w:rsidR="00D46D5F" w:rsidRPr="00D46D5F">
        <w:rPr>
          <w:rFonts w:ascii="Times New Roman" w:hAnsi="Times New Roman" w:cs="Times New Roman"/>
          <w:sz w:val="24"/>
          <w:vertAlign w:val="superscript"/>
        </w:rPr>
        <w:t>o</w:t>
      </w:r>
      <w:r w:rsidR="00D46D5F" w:rsidRPr="00D46D5F">
        <w:rPr>
          <w:rFonts w:ascii="Times New Roman" w:hAnsi="Times New Roman" w:cs="Times New Roman"/>
          <w:sz w:val="24"/>
        </w:rPr>
        <w:t xml:space="preserve"> 10, p. 869‑879, 2022, doi: 10.1080/10934529.2022.2123188.</w:t>
      </w:r>
    </w:p>
    <w:p w14:paraId="08297C60" w14:textId="02B7BED1"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[13</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L. Arroug, M. Elaatmani, M. Afqir, M. Ibnoussina, et M. Babram, « Effects of long-term storage of phosphate sludges on their physicochemical properties, the distribution and mobility of heavy metals, and acid generation », </w:t>
      </w:r>
      <w:r w:rsidR="00D46D5F" w:rsidRPr="00D46D5F">
        <w:rPr>
          <w:rFonts w:ascii="Times New Roman" w:hAnsi="Times New Roman" w:cs="Times New Roman"/>
          <w:i/>
          <w:iCs/>
          <w:sz w:val="24"/>
        </w:rPr>
        <w:t>Environment Protection Engineering</w:t>
      </w:r>
      <w:r w:rsidR="00D46D5F" w:rsidRPr="00D46D5F">
        <w:rPr>
          <w:rFonts w:ascii="Times New Roman" w:hAnsi="Times New Roman" w:cs="Times New Roman"/>
          <w:sz w:val="24"/>
        </w:rPr>
        <w:t>, vol. 47, janv. 2021, doi: 10.37190/epe210205.</w:t>
      </w:r>
    </w:p>
    <w:p w14:paraId="3A951384" w14:textId="3DCF267C"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[14</w:t>
      </w:r>
      <w:r w:rsidR="00D46D5F" w:rsidRPr="00D46D5F">
        <w:rPr>
          <w:rFonts w:ascii="Times New Roman" w:hAnsi="Times New Roman" w:cs="Times New Roman"/>
          <w:sz w:val="24"/>
        </w:rPr>
        <w:t>]</w:t>
      </w:r>
      <w:r w:rsidR="00D46D5F" w:rsidRPr="00D46D5F">
        <w:rPr>
          <w:rFonts w:ascii="Times New Roman" w:hAnsi="Times New Roman" w:cs="Times New Roman"/>
          <w:sz w:val="24"/>
        </w:rPr>
        <w:tab/>
      </w:r>
      <w:r w:rsidR="00937632" w:rsidRPr="006C25CF">
        <w:rPr>
          <w:rFonts w:ascii="Times New Roman" w:hAnsi="Times New Roman" w:cs="Times New Roman"/>
          <w:sz w:val="24"/>
          <w:highlight w:val="yellow"/>
        </w:rPr>
        <w:t>B. Sane, M. Faye, and C. Sadibou, “Vertical and Horizontal Spatialization of Land Salinity in the North of the Saloum Estuary (Senegal)”, vol. Vol 9, pp. 1-13, June 2020, doi: 10.9790/1813-0906020113</w:t>
      </w:r>
      <w:r w:rsidR="00D46D5F" w:rsidRPr="006C25CF">
        <w:rPr>
          <w:rFonts w:ascii="Times New Roman" w:hAnsi="Times New Roman" w:cs="Times New Roman"/>
          <w:sz w:val="24"/>
          <w:highlight w:val="yellow"/>
        </w:rPr>
        <w:t>.</w:t>
      </w:r>
    </w:p>
    <w:p w14:paraId="041A81FA" w14:textId="140886F1"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[15</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W. Oats, O. Ozdemir, et A. Nguyen, « Effect of mechanical and chemical clay removals by hydrocyclone and dispersants on coal flotation », </w:t>
      </w:r>
      <w:r w:rsidR="00D46D5F" w:rsidRPr="00D46D5F">
        <w:rPr>
          <w:rFonts w:ascii="Times New Roman" w:hAnsi="Times New Roman" w:cs="Times New Roman"/>
          <w:i/>
          <w:iCs/>
          <w:sz w:val="24"/>
        </w:rPr>
        <w:t>Minerals Engineering</w:t>
      </w:r>
      <w:r w:rsidR="00D46D5F" w:rsidRPr="00D46D5F">
        <w:rPr>
          <w:rFonts w:ascii="Times New Roman" w:hAnsi="Times New Roman" w:cs="Times New Roman"/>
          <w:sz w:val="24"/>
        </w:rPr>
        <w:t>, vol. 23, p. 413‑419, avr. 2010, doi: 10.1016/j.mineng.2009.12.002.</w:t>
      </w:r>
    </w:p>
    <w:p w14:paraId="07F91131" w14:textId="38EAF2AD"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[16</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J. Boesten, « Effects of Random and Systematic Errors on Freundlich Parameters for Pesticide Sorption », </w:t>
      </w:r>
      <w:r w:rsidR="00D46D5F" w:rsidRPr="00D46D5F">
        <w:rPr>
          <w:rFonts w:ascii="Times New Roman" w:hAnsi="Times New Roman" w:cs="Times New Roman"/>
          <w:i/>
          <w:iCs/>
          <w:sz w:val="24"/>
        </w:rPr>
        <w:t>Soil Science Society of America Journal</w:t>
      </w:r>
      <w:r w:rsidR="00D46D5F" w:rsidRPr="00D46D5F">
        <w:rPr>
          <w:rFonts w:ascii="Times New Roman" w:hAnsi="Times New Roman" w:cs="Times New Roman"/>
          <w:sz w:val="24"/>
        </w:rPr>
        <w:t>, vol. 79, oct. 2015, doi: 10.2136/sssaj2015.03.0116.</w:t>
      </w:r>
    </w:p>
    <w:p w14:paraId="0A50412B" w14:textId="77777777" w:rsidR="00937632"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[17</w:t>
      </w:r>
      <w:r w:rsidR="00D46D5F" w:rsidRPr="00D46D5F">
        <w:rPr>
          <w:rFonts w:ascii="Times New Roman" w:hAnsi="Times New Roman" w:cs="Times New Roman"/>
          <w:sz w:val="24"/>
        </w:rPr>
        <w:t>]</w:t>
      </w:r>
      <w:r w:rsidR="00D46D5F" w:rsidRPr="00D46D5F">
        <w:rPr>
          <w:rFonts w:ascii="Times New Roman" w:hAnsi="Times New Roman" w:cs="Times New Roman"/>
          <w:sz w:val="24"/>
        </w:rPr>
        <w:tab/>
      </w:r>
      <w:r w:rsidR="00937632" w:rsidRPr="006C25CF">
        <w:rPr>
          <w:rFonts w:ascii="Times New Roman" w:hAnsi="Times New Roman" w:cs="Times New Roman"/>
          <w:sz w:val="24"/>
          <w:highlight w:val="yellow"/>
        </w:rPr>
        <w:t>Sahelian Pesticides Committee (CSP), “Global list of pesticides authorized by the Sahelian Pesticides Committee”. 2023. [Online]. Available at: http://www.insah.org/</w:t>
      </w:r>
      <w:r w:rsidR="00937632" w:rsidRPr="00937632">
        <w:rPr>
          <w:rFonts w:ascii="Times New Roman" w:hAnsi="Times New Roman" w:cs="Times New Roman"/>
          <w:sz w:val="24"/>
        </w:rPr>
        <w:t xml:space="preserve"> </w:t>
      </w:r>
    </w:p>
    <w:p w14:paraId="3CC0FD1D" w14:textId="7548F0F1"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[18</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E. C. Martins, V. de F. Melo, J. B. Bohone, et G. Abate, « Sorption and desorption of atrazine on soils: The effect of different soil fractions », </w:t>
      </w:r>
      <w:r w:rsidR="00D46D5F" w:rsidRPr="00D46D5F">
        <w:rPr>
          <w:rFonts w:ascii="Times New Roman" w:hAnsi="Times New Roman" w:cs="Times New Roman"/>
          <w:i/>
          <w:iCs/>
          <w:sz w:val="24"/>
        </w:rPr>
        <w:t>Geoderma</w:t>
      </w:r>
      <w:r w:rsidR="00D46D5F" w:rsidRPr="00D46D5F">
        <w:rPr>
          <w:rFonts w:ascii="Times New Roman" w:hAnsi="Times New Roman" w:cs="Times New Roman"/>
          <w:sz w:val="24"/>
        </w:rPr>
        <w:t>, vol. 322, p. 131‑139, 2018, doi: https://doi.org/10.1016/j.geoderma.2018.02.028.</w:t>
      </w:r>
    </w:p>
    <w:p w14:paraId="52BB1AEC" w14:textId="131A915D"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[19</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M. V. Fernandez et P. R. Gardinali, « Risk assessment of triazine herbicides in surface waters and bioaccumulation of Irgarol and M1 by submerged aquatic vegetation in Southeast Florida », </w:t>
      </w:r>
      <w:r w:rsidR="00D46D5F" w:rsidRPr="00D46D5F">
        <w:rPr>
          <w:rFonts w:ascii="Times New Roman" w:hAnsi="Times New Roman" w:cs="Times New Roman"/>
          <w:i/>
          <w:iCs/>
          <w:sz w:val="24"/>
        </w:rPr>
        <w:t>Science of The Total Environment</w:t>
      </w:r>
      <w:r w:rsidR="00D46D5F" w:rsidRPr="00D46D5F">
        <w:rPr>
          <w:rFonts w:ascii="Times New Roman" w:hAnsi="Times New Roman" w:cs="Times New Roman"/>
          <w:sz w:val="24"/>
        </w:rPr>
        <w:t>, vol. 541, p. 1556‑1571, 2016, doi: https://doi.org/10.1016/j.scitotenv.2015.09.035.</w:t>
      </w:r>
    </w:p>
    <w:p w14:paraId="6F04C452" w14:textId="3665AEEA" w:rsidR="00D46D5F" w:rsidRPr="00D46D5F" w:rsidRDefault="0030661B" w:rsidP="00A7365A">
      <w:pPr>
        <w:pStyle w:val="Bibliography"/>
        <w:spacing w:line="240" w:lineRule="auto"/>
        <w:rPr>
          <w:rFonts w:ascii="Times New Roman" w:hAnsi="Times New Roman" w:cs="Times New Roman"/>
          <w:sz w:val="24"/>
        </w:rPr>
      </w:pPr>
      <w:r>
        <w:rPr>
          <w:rFonts w:ascii="Times New Roman" w:hAnsi="Times New Roman" w:cs="Times New Roman"/>
          <w:sz w:val="24"/>
        </w:rPr>
        <w:t>[20</w:t>
      </w:r>
      <w:r w:rsidR="00D46D5F" w:rsidRPr="00D46D5F">
        <w:rPr>
          <w:rFonts w:ascii="Times New Roman" w:hAnsi="Times New Roman" w:cs="Times New Roman"/>
          <w:sz w:val="24"/>
        </w:rPr>
        <w:t>]</w:t>
      </w:r>
      <w:r w:rsidR="00D46D5F" w:rsidRPr="00D46D5F">
        <w:rPr>
          <w:rFonts w:ascii="Times New Roman" w:hAnsi="Times New Roman" w:cs="Times New Roman"/>
          <w:sz w:val="24"/>
        </w:rPr>
        <w:tab/>
        <w:t xml:space="preserve">E. C. Martins, V. de F. Melo, J. B. Bohone, et G. Abate, « Sorption and desorption of atrazine on soils: The effect of different soil fractions », </w:t>
      </w:r>
      <w:r w:rsidR="00D46D5F" w:rsidRPr="00D46D5F">
        <w:rPr>
          <w:rFonts w:ascii="Times New Roman" w:hAnsi="Times New Roman" w:cs="Times New Roman"/>
          <w:i/>
          <w:iCs/>
          <w:sz w:val="24"/>
        </w:rPr>
        <w:t>Geoderma</w:t>
      </w:r>
      <w:r w:rsidR="00D46D5F" w:rsidRPr="00D46D5F">
        <w:rPr>
          <w:rFonts w:ascii="Times New Roman" w:hAnsi="Times New Roman" w:cs="Times New Roman"/>
          <w:sz w:val="24"/>
        </w:rPr>
        <w:t>, vol. 322, p. 131‑139, 2018, doi: https://doi.org/10.1016/j.geoderma.2018.02.028.</w:t>
      </w:r>
    </w:p>
    <w:p w14:paraId="24EC6FE8" w14:textId="77777777" w:rsidR="00B54863" w:rsidRPr="006E3608" w:rsidRDefault="00D46D5F" w:rsidP="00A7365A">
      <w:pPr>
        <w:pStyle w:val="NoSpacing"/>
        <w:jc w:val="both"/>
        <w:rPr>
          <w:rFonts w:ascii="Times New Roman" w:hAnsi="Times New Roman" w:cs="Times New Roman"/>
          <w:color w:val="FF0000"/>
          <w:sz w:val="24"/>
          <w:szCs w:val="24"/>
        </w:rPr>
      </w:pPr>
      <w:r>
        <w:rPr>
          <w:rFonts w:ascii="Times New Roman" w:hAnsi="Times New Roman" w:cs="Times New Roman"/>
          <w:color w:val="FF0000"/>
          <w:sz w:val="24"/>
          <w:szCs w:val="24"/>
        </w:rPr>
        <w:fldChar w:fldCharType="end"/>
      </w:r>
    </w:p>
    <w:sectPr w:rsidR="00B54863" w:rsidRPr="006E3608" w:rsidSect="00446E08">
      <w:headerReference w:type="even" r:id="rId23"/>
      <w:headerReference w:type="default" r:id="rId24"/>
      <w:footerReference w:type="even" r:id="rId25"/>
      <w:footerReference w:type="default" r:id="rId26"/>
      <w:headerReference w:type="first" r:id="rId27"/>
      <w:footerReference w:type="first" r:id="rId28"/>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544E" w14:textId="77777777" w:rsidR="004D608F" w:rsidRDefault="004D608F" w:rsidP="00214187">
      <w:pPr>
        <w:spacing w:after="0" w:line="240" w:lineRule="auto"/>
      </w:pPr>
      <w:r>
        <w:separator/>
      </w:r>
    </w:p>
  </w:endnote>
  <w:endnote w:type="continuationSeparator" w:id="0">
    <w:p w14:paraId="387FAB40" w14:textId="77777777" w:rsidR="004D608F" w:rsidRDefault="004D608F" w:rsidP="0021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AdvOT596495f2+2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7CF0D" w14:textId="77777777" w:rsidR="00FD5FF2" w:rsidRDefault="00FD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1450" w14:textId="77777777" w:rsidR="00FD5FF2" w:rsidRDefault="00FD5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E698" w14:textId="77777777" w:rsidR="00FD5FF2" w:rsidRDefault="00FD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A7D5" w14:textId="77777777" w:rsidR="004D608F" w:rsidRDefault="004D608F" w:rsidP="00214187">
      <w:pPr>
        <w:spacing w:after="0" w:line="240" w:lineRule="auto"/>
      </w:pPr>
      <w:r>
        <w:separator/>
      </w:r>
    </w:p>
  </w:footnote>
  <w:footnote w:type="continuationSeparator" w:id="0">
    <w:p w14:paraId="1059B430" w14:textId="77777777" w:rsidR="004D608F" w:rsidRDefault="004D608F" w:rsidP="00214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63092" w14:textId="37B02288" w:rsidR="00FD5FF2" w:rsidRDefault="004D608F">
    <w:pPr>
      <w:pStyle w:val="Header"/>
    </w:pPr>
    <w:r>
      <w:rPr>
        <w:noProof/>
      </w:rPr>
      <w:pict w14:anchorId="698F4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2266" o:spid="_x0000_s2050" type="#_x0000_t136" style="position:absolute;margin-left:0;margin-top:0;width:580.65pt;height:108.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4C23" w14:textId="2C3B2E3A" w:rsidR="00FD5FF2" w:rsidRDefault="004D608F">
    <w:pPr>
      <w:pStyle w:val="Header"/>
    </w:pPr>
    <w:r>
      <w:rPr>
        <w:noProof/>
      </w:rPr>
      <w:pict w14:anchorId="43123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2267" o:spid="_x0000_s2051" type="#_x0000_t136" style="position:absolute;margin-left:0;margin-top:0;width:580.65pt;height:108.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ACA7" w14:textId="3CBB6516" w:rsidR="00FD5FF2" w:rsidRDefault="004D608F">
    <w:pPr>
      <w:pStyle w:val="Header"/>
    </w:pPr>
    <w:r>
      <w:rPr>
        <w:noProof/>
      </w:rPr>
      <w:pict w14:anchorId="56E8D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072265" o:spid="_x0000_s2049" type="#_x0000_t136" style="position:absolute;margin-left:0;margin-top:0;width:580.65pt;height:108.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E55AFC"/>
    <w:multiLevelType w:val="multilevel"/>
    <w:tmpl w:val="1A3CE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A6"/>
    <w:rsid w:val="000030A8"/>
    <w:rsid w:val="00004E27"/>
    <w:rsid w:val="00005306"/>
    <w:rsid w:val="0000759C"/>
    <w:rsid w:val="00011234"/>
    <w:rsid w:val="00017FB4"/>
    <w:rsid w:val="00020F16"/>
    <w:rsid w:val="00022537"/>
    <w:rsid w:val="000301E9"/>
    <w:rsid w:val="000303F3"/>
    <w:rsid w:val="000343BC"/>
    <w:rsid w:val="00035186"/>
    <w:rsid w:val="00044E6A"/>
    <w:rsid w:val="000549EE"/>
    <w:rsid w:val="0006571E"/>
    <w:rsid w:val="00073C38"/>
    <w:rsid w:val="00075CB0"/>
    <w:rsid w:val="00082142"/>
    <w:rsid w:val="0008465C"/>
    <w:rsid w:val="000871AC"/>
    <w:rsid w:val="00091880"/>
    <w:rsid w:val="0009556B"/>
    <w:rsid w:val="0009595C"/>
    <w:rsid w:val="00095F80"/>
    <w:rsid w:val="00096A31"/>
    <w:rsid w:val="000A5009"/>
    <w:rsid w:val="000A5CFF"/>
    <w:rsid w:val="000A74B6"/>
    <w:rsid w:val="000B2F15"/>
    <w:rsid w:val="000B42EE"/>
    <w:rsid w:val="000C3018"/>
    <w:rsid w:val="000D1841"/>
    <w:rsid w:val="000D5973"/>
    <w:rsid w:val="001002A0"/>
    <w:rsid w:val="00104033"/>
    <w:rsid w:val="00104337"/>
    <w:rsid w:val="0011467E"/>
    <w:rsid w:val="00121973"/>
    <w:rsid w:val="001231BD"/>
    <w:rsid w:val="00133617"/>
    <w:rsid w:val="00133A24"/>
    <w:rsid w:val="001411AB"/>
    <w:rsid w:val="00141773"/>
    <w:rsid w:val="001438FA"/>
    <w:rsid w:val="001457E8"/>
    <w:rsid w:val="0015111A"/>
    <w:rsid w:val="00154D3D"/>
    <w:rsid w:val="00156B0F"/>
    <w:rsid w:val="00161095"/>
    <w:rsid w:val="001629ED"/>
    <w:rsid w:val="00170475"/>
    <w:rsid w:val="00172E9D"/>
    <w:rsid w:val="00173316"/>
    <w:rsid w:val="00173E00"/>
    <w:rsid w:val="00175654"/>
    <w:rsid w:val="001817E0"/>
    <w:rsid w:val="001822E3"/>
    <w:rsid w:val="0018417B"/>
    <w:rsid w:val="00191944"/>
    <w:rsid w:val="00197D7E"/>
    <w:rsid w:val="001A3B83"/>
    <w:rsid w:val="001B0964"/>
    <w:rsid w:val="001B3373"/>
    <w:rsid w:val="001B3866"/>
    <w:rsid w:val="001B7E5B"/>
    <w:rsid w:val="001C527D"/>
    <w:rsid w:val="001C6DA9"/>
    <w:rsid w:val="001D1ACE"/>
    <w:rsid w:val="001D1D0A"/>
    <w:rsid w:val="001D376C"/>
    <w:rsid w:val="001D4901"/>
    <w:rsid w:val="001E6DB9"/>
    <w:rsid w:val="001F18BD"/>
    <w:rsid w:val="001F36C3"/>
    <w:rsid w:val="0020614C"/>
    <w:rsid w:val="00213A82"/>
    <w:rsid w:val="00214036"/>
    <w:rsid w:val="00214187"/>
    <w:rsid w:val="00220C0B"/>
    <w:rsid w:val="00225FFC"/>
    <w:rsid w:val="002318D6"/>
    <w:rsid w:val="00231E9E"/>
    <w:rsid w:val="0023238E"/>
    <w:rsid w:val="002370AC"/>
    <w:rsid w:val="00242F19"/>
    <w:rsid w:val="0024374C"/>
    <w:rsid w:val="00257810"/>
    <w:rsid w:val="002639DD"/>
    <w:rsid w:val="00263DB5"/>
    <w:rsid w:val="0026592B"/>
    <w:rsid w:val="00270E73"/>
    <w:rsid w:val="00275C60"/>
    <w:rsid w:val="0028067C"/>
    <w:rsid w:val="00283860"/>
    <w:rsid w:val="00286F0C"/>
    <w:rsid w:val="00290708"/>
    <w:rsid w:val="00292A17"/>
    <w:rsid w:val="00294C7E"/>
    <w:rsid w:val="002A2C69"/>
    <w:rsid w:val="002A2DCE"/>
    <w:rsid w:val="002A3FAC"/>
    <w:rsid w:val="002A463F"/>
    <w:rsid w:val="002B1A27"/>
    <w:rsid w:val="002B4FBA"/>
    <w:rsid w:val="002B5F79"/>
    <w:rsid w:val="002B7F7E"/>
    <w:rsid w:val="002C22C6"/>
    <w:rsid w:val="002C285A"/>
    <w:rsid w:val="002C73B4"/>
    <w:rsid w:val="002D098A"/>
    <w:rsid w:val="002D0FB7"/>
    <w:rsid w:val="002D2E2F"/>
    <w:rsid w:val="002D6AC6"/>
    <w:rsid w:val="002E262F"/>
    <w:rsid w:val="002E454D"/>
    <w:rsid w:val="002F1041"/>
    <w:rsid w:val="002F171F"/>
    <w:rsid w:val="002F5E6B"/>
    <w:rsid w:val="003036AD"/>
    <w:rsid w:val="0030661B"/>
    <w:rsid w:val="0030794A"/>
    <w:rsid w:val="00314A38"/>
    <w:rsid w:val="00321EAB"/>
    <w:rsid w:val="00324399"/>
    <w:rsid w:val="00326B74"/>
    <w:rsid w:val="00330D48"/>
    <w:rsid w:val="003313B0"/>
    <w:rsid w:val="00332659"/>
    <w:rsid w:val="0033774A"/>
    <w:rsid w:val="003418E1"/>
    <w:rsid w:val="003419F0"/>
    <w:rsid w:val="00355CF1"/>
    <w:rsid w:val="003624C1"/>
    <w:rsid w:val="0036337D"/>
    <w:rsid w:val="00363E2F"/>
    <w:rsid w:val="00364F03"/>
    <w:rsid w:val="003673BC"/>
    <w:rsid w:val="00373980"/>
    <w:rsid w:val="00373C90"/>
    <w:rsid w:val="00373F97"/>
    <w:rsid w:val="00375463"/>
    <w:rsid w:val="0037546C"/>
    <w:rsid w:val="0038308F"/>
    <w:rsid w:val="003A317A"/>
    <w:rsid w:val="003B03DE"/>
    <w:rsid w:val="003B0516"/>
    <w:rsid w:val="003B0C49"/>
    <w:rsid w:val="003B0FA0"/>
    <w:rsid w:val="003B11BF"/>
    <w:rsid w:val="003B39E9"/>
    <w:rsid w:val="003B5A40"/>
    <w:rsid w:val="003C0C5A"/>
    <w:rsid w:val="003C3728"/>
    <w:rsid w:val="003D0994"/>
    <w:rsid w:val="003D74E6"/>
    <w:rsid w:val="003E3AC9"/>
    <w:rsid w:val="003F0538"/>
    <w:rsid w:val="003F64F9"/>
    <w:rsid w:val="004038B2"/>
    <w:rsid w:val="00422B32"/>
    <w:rsid w:val="00433230"/>
    <w:rsid w:val="004344FC"/>
    <w:rsid w:val="00435122"/>
    <w:rsid w:val="004429D7"/>
    <w:rsid w:val="00446E08"/>
    <w:rsid w:val="00452480"/>
    <w:rsid w:val="004557BA"/>
    <w:rsid w:val="00461E54"/>
    <w:rsid w:val="004666AE"/>
    <w:rsid w:val="004708B6"/>
    <w:rsid w:val="00471016"/>
    <w:rsid w:val="0047215F"/>
    <w:rsid w:val="004742E1"/>
    <w:rsid w:val="00483769"/>
    <w:rsid w:val="00485205"/>
    <w:rsid w:val="004A18FB"/>
    <w:rsid w:val="004A1E2B"/>
    <w:rsid w:val="004B0A36"/>
    <w:rsid w:val="004B20AE"/>
    <w:rsid w:val="004B5901"/>
    <w:rsid w:val="004B5CE5"/>
    <w:rsid w:val="004C6687"/>
    <w:rsid w:val="004C7DEA"/>
    <w:rsid w:val="004D3E95"/>
    <w:rsid w:val="004D48C2"/>
    <w:rsid w:val="004D608F"/>
    <w:rsid w:val="004E177F"/>
    <w:rsid w:val="004E4399"/>
    <w:rsid w:val="00503774"/>
    <w:rsid w:val="005053A9"/>
    <w:rsid w:val="0050650B"/>
    <w:rsid w:val="00506741"/>
    <w:rsid w:val="00507D7C"/>
    <w:rsid w:val="00512C52"/>
    <w:rsid w:val="00517B11"/>
    <w:rsid w:val="005224A6"/>
    <w:rsid w:val="00532CF8"/>
    <w:rsid w:val="00537CDB"/>
    <w:rsid w:val="00547998"/>
    <w:rsid w:val="0055080E"/>
    <w:rsid w:val="005549CC"/>
    <w:rsid w:val="00557D01"/>
    <w:rsid w:val="00565A26"/>
    <w:rsid w:val="00566254"/>
    <w:rsid w:val="00570835"/>
    <w:rsid w:val="005762B1"/>
    <w:rsid w:val="00576E50"/>
    <w:rsid w:val="0058081F"/>
    <w:rsid w:val="005908AF"/>
    <w:rsid w:val="00590C71"/>
    <w:rsid w:val="00590DED"/>
    <w:rsid w:val="005916B5"/>
    <w:rsid w:val="0059413E"/>
    <w:rsid w:val="00596F2D"/>
    <w:rsid w:val="005972D6"/>
    <w:rsid w:val="00597E79"/>
    <w:rsid w:val="005A05E0"/>
    <w:rsid w:val="005A4385"/>
    <w:rsid w:val="005A504B"/>
    <w:rsid w:val="005B11ED"/>
    <w:rsid w:val="005B2AFF"/>
    <w:rsid w:val="005B3372"/>
    <w:rsid w:val="005B4B3E"/>
    <w:rsid w:val="005B6337"/>
    <w:rsid w:val="005B67A2"/>
    <w:rsid w:val="005C2540"/>
    <w:rsid w:val="005C2D8C"/>
    <w:rsid w:val="005C796A"/>
    <w:rsid w:val="005D1D21"/>
    <w:rsid w:val="005D2C8B"/>
    <w:rsid w:val="005E1CE8"/>
    <w:rsid w:val="005E1DEF"/>
    <w:rsid w:val="005F30E0"/>
    <w:rsid w:val="00611E14"/>
    <w:rsid w:val="0062015B"/>
    <w:rsid w:val="00626CBC"/>
    <w:rsid w:val="0062766E"/>
    <w:rsid w:val="00632CB5"/>
    <w:rsid w:val="00633EF5"/>
    <w:rsid w:val="00641AC1"/>
    <w:rsid w:val="00643AAF"/>
    <w:rsid w:val="00660403"/>
    <w:rsid w:val="0067193B"/>
    <w:rsid w:val="00671943"/>
    <w:rsid w:val="00671C44"/>
    <w:rsid w:val="006723DF"/>
    <w:rsid w:val="006820A2"/>
    <w:rsid w:val="006836EF"/>
    <w:rsid w:val="00685A8C"/>
    <w:rsid w:val="00691EBF"/>
    <w:rsid w:val="006932F8"/>
    <w:rsid w:val="0069798A"/>
    <w:rsid w:val="006A2694"/>
    <w:rsid w:val="006B38D2"/>
    <w:rsid w:val="006C25CF"/>
    <w:rsid w:val="006C2A10"/>
    <w:rsid w:val="006C2ACE"/>
    <w:rsid w:val="006D0A7A"/>
    <w:rsid w:val="006D1A23"/>
    <w:rsid w:val="006D1AC7"/>
    <w:rsid w:val="006E3608"/>
    <w:rsid w:val="006E4EE6"/>
    <w:rsid w:val="006E7DF7"/>
    <w:rsid w:val="00706126"/>
    <w:rsid w:val="007101ED"/>
    <w:rsid w:val="00710BF8"/>
    <w:rsid w:val="007227FA"/>
    <w:rsid w:val="007330F1"/>
    <w:rsid w:val="00740C0D"/>
    <w:rsid w:val="007412D5"/>
    <w:rsid w:val="00742FFD"/>
    <w:rsid w:val="00755ED2"/>
    <w:rsid w:val="00757615"/>
    <w:rsid w:val="00763AAB"/>
    <w:rsid w:val="0077686D"/>
    <w:rsid w:val="0078244C"/>
    <w:rsid w:val="007951AE"/>
    <w:rsid w:val="007958A3"/>
    <w:rsid w:val="007976B5"/>
    <w:rsid w:val="00797B90"/>
    <w:rsid w:val="007A1B10"/>
    <w:rsid w:val="007B3AD0"/>
    <w:rsid w:val="007B3C48"/>
    <w:rsid w:val="007C057B"/>
    <w:rsid w:val="007C08A5"/>
    <w:rsid w:val="007C62DC"/>
    <w:rsid w:val="007D1AC4"/>
    <w:rsid w:val="007D62F1"/>
    <w:rsid w:val="007E0030"/>
    <w:rsid w:val="007E341A"/>
    <w:rsid w:val="007E4E65"/>
    <w:rsid w:val="007E5F55"/>
    <w:rsid w:val="0080085F"/>
    <w:rsid w:val="00801567"/>
    <w:rsid w:val="00803B74"/>
    <w:rsid w:val="008119A9"/>
    <w:rsid w:val="00822A4C"/>
    <w:rsid w:val="00822C10"/>
    <w:rsid w:val="0082682B"/>
    <w:rsid w:val="00832F29"/>
    <w:rsid w:val="00837382"/>
    <w:rsid w:val="00842878"/>
    <w:rsid w:val="008429D1"/>
    <w:rsid w:val="008432E0"/>
    <w:rsid w:val="00847107"/>
    <w:rsid w:val="0085431A"/>
    <w:rsid w:val="00857CD0"/>
    <w:rsid w:val="00865241"/>
    <w:rsid w:val="00866E12"/>
    <w:rsid w:val="0087256C"/>
    <w:rsid w:val="00876DD1"/>
    <w:rsid w:val="0088233B"/>
    <w:rsid w:val="00882594"/>
    <w:rsid w:val="00883AEE"/>
    <w:rsid w:val="00883CD5"/>
    <w:rsid w:val="00893710"/>
    <w:rsid w:val="008954CA"/>
    <w:rsid w:val="008975EA"/>
    <w:rsid w:val="008A3E29"/>
    <w:rsid w:val="008B0315"/>
    <w:rsid w:val="008B3210"/>
    <w:rsid w:val="008C4426"/>
    <w:rsid w:val="008C442A"/>
    <w:rsid w:val="008C569E"/>
    <w:rsid w:val="008C71FC"/>
    <w:rsid w:val="008D4A73"/>
    <w:rsid w:val="008D51AE"/>
    <w:rsid w:val="008D5A1E"/>
    <w:rsid w:val="008D6D8B"/>
    <w:rsid w:val="008E1DDF"/>
    <w:rsid w:val="008E280E"/>
    <w:rsid w:val="008E3FFB"/>
    <w:rsid w:val="008E7B18"/>
    <w:rsid w:val="008F06E9"/>
    <w:rsid w:val="008F3E92"/>
    <w:rsid w:val="008F6B11"/>
    <w:rsid w:val="00900471"/>
    <w:rsid w:val="00901853"/>
    <w:rsid w:val="00901EF3"/>
    <w:rsid w:val="00907049"/>
    <w:rsid w:val="00911C3D"/>
    <w:rsid w:val="00914401"/>
    <w:rsid w:val="0091492D"/>
    <w:rsid w:val="009222F8"/>
    <w:rsid w:val="00931605"/>
    <w:rsid w:val="0093386B"/>
    <w:rsid w:val="00936F7D"/>
    <w:rsid w:val="00937632"/>
    <w:rsid w:val="00941509"/>
    <w:rsid w:val="00945AF0"/>
    <w:rsid w:val="00947FB4"/>
    <w:rsid w:val="009503A0"/>
    <w:rsid w:val="00951340"/>
    <w:rsid w:val="00967907"/>
    <w:rsid w:val="0096796B"/>
    <w:rsid w:val="00973A8F"/>
    <w:rsid w:val="00985D75"/>
    <w:rsid w:val="00985F90"/>
    <w:rsid w:val="00991C53"/>
    <w:rsid w:val="009A50A3"/>
    <w:rsid w:val="009A528D"/>
    <w:rsid w:val="009A68F8"/>
    <w:rsid w:val="009B2DE0"/>
    <w:rsid w:val="009B6652"/>
    <w:rsid w:val="009C2F92"/>
    <w:rsid w:val="009C33C4"/>
    <w:rsid w:val="009C473D"/>
    <w:rsid w:val="009C6B7D"/>
    <w:rsid w:val="009D5E6B"/>
    <w:rsid w:val="009E44D9"/>
    <w:rsid w:val="009E66EF"/>
    <w:rsid w:val="009F0F73"/>
    <w:rsid w:val="009F5709"/>
    <w:rsid w:val="00A018F4"/>
    <w:rsid w:val="00A03303"/>
    <w:rsid w:val="00A06B94"/>
    <w:rsid w:val="00A11846"/>
    <w:rsid w:val="00A13712"/>
    <w:rsid w:val="00A2034D"/>
    <w:rsid w:val="00A21C41"/>
    <w:rsid w:val="00A30208"/>
    <w:rsid w:val="00A3067C"/>
    <w:rsid w:val="00A34F67"/>
    <w:rsid w:val="00A35093"/>
    <w:rsid w:val="00A37028"/>
    <w:rsid w:val="00A40078"/>
    <w:rsid w:val="00A50457"/>
    <w:rsid w:val="00A50681"/>
    <w:rsid w:val="00A547AA"/>
    <w:rsid w:val="00A5618D"/>
    <w:rsid w:val="00A7365A"/>
    <w:rsid w:val="00A82C89"/>
    <w:rsid w:val="00A85D22"/>
    <w:rsid w:val="00A86DAD"/>
    <w:rsid w:val="00A907D1"/>
    <w:rsid w:val="00A91324"/>
    <w:rsid w:val="00A92415"/>
    <w:rsid w:val="00AA283E"/>
    <w:rsid w:val="00AA4310"/>
    <w:rsid w:val="00AA490B"/>
    <w:rsid w:val="00AB56C9"/>
    <w:rsid w:val="00AC3C08"/>
    <w:rsid w:val="00AC761F"/>
    <w:rsid w:val="00AD4230"/>
    <w:rsid w:val="00AD42A7"/>
    <w:rsid w:val="00AE583A"/>
    <w:rsid w:val="00AE6254"/>
    <w:rsid w:val="00AF1E21"/>
    <w:rsid w:val="00AF1F58"/>
    <w:rsid w:val="00AF322E"/>
    <w:rsid w:val="00AF34D5"/>
    <w:rsid w:val="00AF6BBA"/>
    <w:rsid w:val="00B01421"/>
    <w:rsid w:val="00B07CC6"/>
    <w:rsid w:val="00B10D79"/>
    <w:rsid w:val="00B200AE"/>
    <w:rsid w:val="00B235F4"/>
    <w:rsid w:val="00B258DF"/>
    <w:rsid w:val="00B262F6"/>
    <w:rsid w:val="00B277ED"/>
    <w:rsid w:val="00B30E34"/>
    <w:rsid w:val="00B34269"/>
    <w:rsid w:val="00B34408"/>
    <w:rsid w:val="00B40D2D"/>
    <w:rsid w:val="00B429BC"/>
    <w:rsid w:val="00B42B73"/>
    <w:rsid w:val="00B44770"/>
    <w:rsid w:val="00B507F5"/>
    <w:rsid w:val="00B51D8B"/>
    <w:rsid w:val="00B54863"/>
    <w:rsid w:val="00B56D9F"/>
    <w:rsid w:val="00B63091"/>
    <w:rsid w:val="00B63B77"/>
    <w:rsid w:val="00B63D67"/>
    <w:rsid w:val="00B64A8F"/>
    <w:rsid w:val="00B67CD7"/>
    <w:rsid w:val="00B71370"/>
    <w:rsid w:val="00B75085"/>
    <w:rsid w:val="00B82E1F"/>
    <w:rsid w:val="00B833E6"/>
    <w:rsid w:val="00B87559"/>
    <w:rsid w:val="00B94C44"/>
    <w:rsid w:val="00B95E58"/>
    <w:rsid w:val="00BA208B"/>
    <w:rsid w:val="00BA3F5C"/>
    <w:rsid w:val="00BA43F7"/>
    <w:rsid w:val="00BA4964"/>
    <w:rsid w:val="00BB4D22"/>
    <w:rsid w:val="00BB60ED"/>
    <w:rsid w:val="00BC1A17"/>
    <w:rsid w:val="00BC610A"/>
    <w:rsid w:val="00BC7F00"/>
    <w:rsid w:val="00BD58A0"/>
    <w:rsid w:val="00BE186B"/>
    <w:rsid w:val="00BE6A76"/>
    <w:rsid w:val="00C00613"/>
    <w:rsid w:val="00C02274"/>
    <w:rsid w:val="00C03C83"/>
    <w:rsid w:val="00C03FC5"/>
    <w:rsid w:val="00C04AD9"/>
    <w:rsid w:val="00C15B60"/>
    <w:rsid w:val="00C21932"/>
    <w:rsid w:val="00C31655"/>
    <w:rsid w:val="00C3174A"/>
    <w:rsid w:val="00C37CCA"/>
    <w:rsid w:val="00C4743C"/>
    <w:rsid w:val="00C56015"/>
    <w:rsid w:val="00C65C2F"/>
    <w:rsid w:val="00C734CB"/>
    <w:rsid w:val="00C7553A"/>
    <w:rsid w:val="00C77F4F"/>
    <w:rsid w:val="00C8179E"/>
    <w:rsid w:val="00C81E40"/>
    <w:rsid w:val="00C84221"/>
    <w:rsid w:val="00C8503A"/>
    <w:rsid w:val="00CA5224"/>
    <w:rsid w:val="00CA73D5"/>
    <w:rsid w:val="00CB7AA9"/>
    <w:rsid w:val="00CC0CAE"/>
    <w:rsid w:val="00CC2571"/>
    <w:rsid w:val="00CC3652"/>
    <w:rsid w:val="00CC5E29"/>
    <w:rsid w:val="00CC76A6"/>
    <w:rsid w:val="00CD74F9"/>
    <w:rsid w:val="00CE162E"/>
    <w:rsid w:val="00CF45DC"/>
    <w:rsid w:val="00D02EEA"/>
    <w:rsid w:val="00D02EF4"/>
    <w:rsid w:val="00D0412D"/>
    <w:rsid w:val="00D34CE4"/>
    <w:rsid w:val="00D360EA"/>
    <w:rsid w:val="00D37779"/>
    <w:rsid w:val="00D41735"/>
    <w:rsid w:val="00D46D5F"/>
    <w:rsid w:val="00D61F0B"/>
    <w:rsid w:val="00D65009"/>
    <w:rsid w:val="00D6531E"/>
    <w:rsid w:val="00D66DA0"/>
    <w:rsid w:val="00D778FB"/>
    <w:rsid w:val="00D822A0"/>
    <w:rsid w:val="00D85CAF"/>
    <w:rsid w:val="00D95CC7"/>
    <w:rsid w:val="00DA0B91"/>
    <w:rsid w:val="00DA3A6C"/>
    <w:rsid w:val="00DA6347"/>
    <w:rsid w:val="00DB4C80"/>
    <w:rsid w:val="00DB4D73"/>
    <w:rsid w:val="00DB6761"/>
    <w:rsid w:val="00DB734A"/>
    <w:rsid w:val="00DC242C"/>
    <w:rsid w:val="00DD0E57"/>
    <w:rsid w:val="00DD306E"/>
    <w:rsid w:val="00DE2309"/>
    <w:rsid w:val="00DE30DA"/>
    <w:rsid w:val="00DE4243"/>
    <w:rsid w:val="00DE51A0"/>
    <w:rsid w:val="00DF7B4E"/>
    <w:rsid w:val="00E06714"/>
    <w:rsid w:val="00E074E1"/>
    <w:rsid w:val="00E10274"/>
    <w:rsid w:val="00E14D8E"/>
    <w:rsid w:val="00E158D8"/>
    <w:rsid w:val="00E21AC2"/>
    <w:rsid w:val="00E24844"/>
    <w:rsid w:val="00E25582"/>
    <w:rsid w:val="00E34C09"/>
    <w:rsid w:val="00E36C26"/>
    <w:rsid w:val="00E43D8C"/>
    <w:rsid w:val="00E513BE"/>
    <w:rsid w:val="00E557A1"/>
    <w:rsid w:val="00E608F9"/>
    <w:rsid w:val="00E6365B"/>
    <w:rsid w:val="00E700D8"/>
    <w:rsid w:val="00E7217D"/>
    <w:rsid w:val="00E76CE2"/>
    <w:rsid w:val="00E77DBA"/>
    <w:rsid w:val="00E879E0"/>
    <w:rsid w:val="00E90412"/>
    <w:rsid w:val="00E9394A"/>
    <w:rsid w:val="00E94ED2"/>
    <w:rsid w:val="00E96602"/>
    <w:rsid w:val="00EA296C"/>
    <w:rsid w:val="00EA58E6"/>
    <w:rsid w:val="00EA6C02"/>
    <w:rsid w:val="00EA7F96"/>
    <w:rsid w:val="00EC0880"/>
    <w:rsid w:val="00EC22DB"/>
    <w:rsid w:val="00EC6CA9"/>
    <w:rsid w:val="00ED16D0"/>
    <w:rsid w:val="00ED2A04"/>
    <w:rsid w:val="00EE0C8A"/>
    <w:rsid w:val="00EF3CA1"/>
    <w:rsid w:val="00EF3FC8"/>
    <w:rsid w:val="00EF4055"/>
    <w:rsid w:val="00EF44B0"/>
    <w:rsid w:val="00EF5149"/>
    <w:rsid w:val="00F01A7B"/>
    <w:rsid w:val="00F01B15"/>
    <w:rsid w:val="00F064C9"/>
    <w:rsid w:val="00F066A6"/>
    <w:rsid w:val="00F0691C"/>
    <w:rsid w:val="00F253FA"/>
    <w:rsid w:val="00F31A70"/>
    <w:rsid w:val="00F3666F"/>
    <w:rsid w:val="00F42252"/>
    <w:rsid w:val="00F47F46"/>
    <w:rsid w:val="00F53389"/>
    <w:rsid w:val="00F54B1D"/>
    <w:rsid w:val="00F56EF9"/>
    <w:rsid w:val="00F6093C"/>
    <w:rsid w:val="00F62302"/>
    <w:rsid w:val="00F70897"/>
    <w:rsid w:val="00F76FF1"/>
    <w:rsid w:val="00F77A0B"/>
    <w:rsid w:val="00F86BEA"/>
    <w:rsid w:val="00F909E9"/>
    <w:rsid w:val="00F94371"/>
    <w:rsid w:val="00FA3DEC"/>
    <w:rsid w:val="00FA4EFA"/>
    <w:rsid w:val="00FA5813"/>
    <w:rsid w:val="00FA6A71"/>
    <w:rsid w:val="00FB37B5"/>
    <w:rsid w:val="00FB7C34"/>
    <w:rsid w:val="00FC1616"/>
    <w:rsid w:val="00FC27C6"/>
    <w:rsid w:val="00FC5300"/>
    <w:rsid w:val="00FC66E1"/>
    <w:rsid w:val="00FD0FEE"/>
    <w:rsid w:val="00FD1903"/>
    <w:rsid w:val="00FD44B7"/>
    <w:rsid w:val="00FD5FF2"/>
    <w:rsid w:val="00FE3E51"/>
    <w:rsid w:val="00FE3FE4"/>
    <w:rsid w:val="00FE5888"/>
    <w:rsid w:val="00FE7954"/>
    <w:rsid w:val="00FF3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FD0059"/>
  <w15:docId w15:val="{F01F96E5-109E-4491-953B-31D80862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A7F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DefaultParagraphFont"/>
    <w:rsid w:val="00F53389"/>
    <w:rPr>
      <w:rFonts w:ascii="Times-Roman" w:hAnsi="Times-Roman" w:hint="default"/>
      <w:b w:val="0"/>
      <w:bCs w:val="0"/>
      <w:i w:val="0"/>
      <w:iCs w:val="0"/>
      <w:color w:val="000000"/>
      <w:sz w:val="24"/>
      <w:szCs w:val="24"/>
    </w:rPr>
  </w:style>
  <w:style w:type="character" w:styleId="Hyperlink">
    <w:name w:val="Hyperlink"/>
    <w:basedOn w:val="DefaultParagraphFont"/>
    <w:uiPriority w:val="99"/>
    <w:unhideWhenUsed/>
    <w:rsid w:val="00F53389"/>
    <w:rPr>
      <w:color w:val="0563C1" w:themeColor="hyperlink"/>
      <w:u w:val="single"/>
    </w:rPr>
  </w:style>
  <w:style w:type="paragraph" w:styleId="Header">
    <w:name w:val="header"/>
    <w:basedOn w:val="Normal"/>
    <w:link w:val="HeaderChar"/>
    <w:uiPriority w:val="99"/>
    <w:unhideWhenUsed/>
    <w:rsid w:val="002141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4187"/>
  </w:style>
  <w:style w:type="paragraph" w:styleId="Footer">
    <w:name w:val="footer"/>
    <w:basedOn w:val="Normal"/>
    <w:link w:val="FooterChar"/>
    <w:uiPriority w:val="99"/>
    <w:unhideWhenUsed/>
    <w:rsid w:val="002141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4187"/>
  </w:style>
  <w:style w:type="character" w:customStyle="1" w:styleId="Heading1Char">
    <w:name w:val="Heading 1 Char"/>
    <w:basedOn w:val="DefaultParagraphFont"/>
    <w:link w:val="Heading1"/>
    <w:uiPriority w:val="9"/>
    <w:rsid w:val="0021418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73B4"/>
    <w:pPr>
      <w:spacing w:after="0" w:line="240" w:lineRule="auto"/>
    </w:pPr>
  </w:style>
  <w:style w:type="character" w:customStyle="1" w:styleId="fontstyle21">
    <w:name w:val="fontstyle21"/>
    <w:basedOn w:val="DefaultParagraphFont"/>
    <w:rsid w:val="0069798A"/>
    <w:rPr>
      <w:rFonts w:ascii="AdvOT596495f2+20" w:hAnsi="AdvOT596495f2+20" w:hint="default"/>
      <w:b w:val="0"/>
      <w:bCs w:val="0"/>
      <w:i w:val="0"/>
      <w:iCs w:val="0"/>
      <w:color w:val="287CA5"/>
      <w:sz w:val="14"/>
      <w:szCs w:val="14"/>
    </w:rPr>
  </w:style>
  <w:style w:type="character" w:styleId="PlaceholderText">
    <w:name w:val="Placeholder Text"/>
    <w:basedOn w:val="DefaultParagraphFont"/>
    <w:uiPriority w:val="99"/>
    <w:semiHidden/>
    <w:rsid w:val="00220C0B"/>
    <w:rPr>
      <w:color w:val="808080"/>
    </w:rPr>
  </w:style>
  <w:style w:type="table" w:customStyle="1" w:styleId="Grilledutableau1">
    <w:name w:val="Grille du tableau1"/>
    <w:basedOn w:val="TableNormal"/>
    <w:next w:val="TableGrid"/>
    <w:uiPriority w:val="39"/>
    <w:rsid w:val="00C8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527D"/>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Normal1">
    <w:name w:val="Normal1"/>
    <w:basedOn w:val="Normal"/>
    <w:rsid w:val="004C66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ibliography">
    <w:name w:val="Bibliography"/>
    <w:basedOn w:val="Normal"/>
    <w:next w:val="Normal"/>
    <w:uiPriority w:val="37"/>
    <w:unhideWhenUsed/>
    <w:rsid w:val="00883AEE"/>
  </w:style>
  <w:style w:type="paragraph" w:styleId="ListParagraph">
    <w:name w:val="List Paragraph"/>
    <w:basedOn w:val="Normal"/>
    <w:uiPriority w:val="34"/>
    <w:qFormat/>
    <w:rsid w:val="005F30E0"/>
    <w:pPr>
      <w:ind w:left="720"/>
      <w:contextualSpacing/>
    </w:pPr>
  </w:style>
  <w:style w:type="character" w:styleId="CommentReference">
    <w:name w:val="annotation reference"/>
    <w:basedOn w:val="DefaultParagraphFont"/>
    <w:uiPriority w:val="99"/>
    <w:semiHidden/>
    <w:unhideWhenUsed/>
    <w:rsid w:val="00901853"/>
    <w:rPr>
      <w:sz w:val="16"/>
      <w:szCs w:val="16"/>
    </w:rPr>
  </w:style>
  <w:style w:type="paragraph" w:styleId="CommentText">
    <w:name w:val="annotation text"/>
    <w:basedOn w:val="Normal"/>
    <w:link w:val="CommentTextChar"/>
    <w:uiPriority w:val="99"/>
    <w:semiHidden/>
    <w:unhideWhenUsed/>
    <w:rsid w:val="00901853"/>
    <w:pPr>
      <w:spacing w:line="240" w:lineRule="auto"/>
    </w:pPr>
    <w:rPr>
      <w:sz w:val="20"/>
      <w:szCs w:val="20"/>
    </w:rPr>
  </w:style>
  <w:style w:type="character" w:customStyle="1" w:styleId="CommentTextChar">
    <w:name w:val="Comment Text Char"/>
    <w:basedOn w:val="DefaultParagraphFont"/>
    <w:link w:val="CommentText"/>
    <w:uiPriority w:val="99"/>
    <w:semiHidden/>
    <w:rsid w:val="00901853"/>
    <w:rPr>
      <w:sz w:val="20"/>
      <w:szCs w:val="20"/>
    </w:rPr>
  </w:style>
  <w:style w:type="paragraph" w:styleId="CommentSubject">
    <w:name w:val="annotation subject"/>
    <w:basedOn w:val="CommentText"/>
    <w:next w:val="CommentText"/>
    <w:link w:val="CommentSubjectChar"/>
    <w:uiPriority w:val="99"/>
    <w:semiHidden/>
    <w:unhideWhenUsed/>
    <w:rsid w:val="00901853"/>
    <w:rPr>
      <w:b/>
      <w:bCs/>
    </w:rPr>
  </w:style>
  <w:style w:type="character" w:customStyle="1" w:styleId="CommentSubjectChar">
    <w:name w:val="Comment Subject Char"/>
    <w:basedOn w:val="CommentTextChar"/>
    <w:link w:val="CommentSubject"/>
    <w:uiPriority w:val="99"/>
    <w:semiHidden/>
    <w:rsid w:val="00901853"/>
    <w:rPr>
      <w:b/>
      <w:bCs/>
      <w:sz w:val="20"/>
      <w:szCs w:val="20"/>
    </w:rPr>
  </w:style>
  <w:style w:type="paragraph" w:styleId="BalloonText">
    <w:name w:val="Balloon Text"/>
    <w:basedOn w:val="Normal"/>
    <w:link w:val="BalloonTextChar"/>
    <w:uiPriority w:val="99"/>
    <w:semiHidden/>
    <w:unhideWhenUsed/>
    <w:rsid w:val="0090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853"/>
    <w:rPr>
      <w:rFonts w:ascii="Tahoma" w:hAnsi="Tahoma" w:cs="Tahoma"/>
      <w:sz w:val="16"/>
      <w:szCs w:val="16"/>
    </w:rPr>
  </w:style>
  <w:style w:type="character" w:customStyle="1" w:styleId="breakword">
    <w:name w:val="breakword"/>
    <w:basedOn w:val="DefaultParagraphFont"/>
    <w:rsid w:val="002A463F"/>
  </w:style>
  <w:style w:type="character" w:customStyle="1" w:styleId="f-medium">
    <w:name w:val="f-medium"/>
    <w:basedOn w:val="DefaultParagraphFont"/>
    <w:rsid w:val="002A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2908">
      <w:bodyDiv w:val="1"/>
      <w:marLeft w:val="0"/>
      <w:marRight w:val="0"/>
      <w:marTop w:val="0"/>
      <w:marBottom w:val="0"/>
      <w:divBdr>
        <w:top w:val="none" w:sz="0" w:space="0" w:color="auto"/>
        <w:left w:val="none" w:sz="0" w:space="0" w:color="auto"/>
        <w:bottom w:val="none" w:sz="0" w:space="0" w:color="auto"/>
        <w:right w:val="none" w:sz="0" w:space="0" w:color="auto"/>
      </w:divBdr>
    </w:div>
    <w:div w:id="87972426">
      <w:bodyDiv w:val="1"/>
      <w:marLeft w:val="0"/>
      <w:marRight w:val="0"/>
      <w:marTop w:val="0"/>
      <w:marBottom w:val="0"/>
      <w:divBdr>
        <w:top w:val="none" w:sz="0" w:space="0" w:color="auto"/>
        <w:left w:val="none" w:sz="0" w:space="0" w:color="auto"/>
        <w:bottom w:val="none" w:sz="0" w:space="0" w:color="auto"/>
        <w:right w:val="none" w:sz="0" w:space="0" w:color="auto"/>
      </w:divBdr>
    </w:div>
    <w:div w:id="135806590">
      <w:bodyDiv w:val="1"/>
      <w:marLeft w:val="0"/>
      <w:marRight w:val="0"/>
      <w:marTop w:val="0"/>
      <w:marBottom w:val="0"/>
      <w:divBdr>
        <w:top w:val="none" w:sz="0" w:space="0" w:color="auto"/>
        <w:left w:val="none" w:sz="0" w:space="0" w:color="auto"/>
        <w:bottom w:val="none" w:sz="0" w:space="0" w:color="auto"/>
        <w:right w:val="none" w:sz="0" w:space="0" w:color="auto"/>
      </w:divBdr>
    </w:div>
    <w:div w:id="270860317">
      <w:bodyDiv w:val="1"/>
      <w:marLeft w:val="0"/>
      <w:marRight w:val="0"/>
      <w:marTop w:val="0"/>
      <w:marBottom w:val="0"/>
      <w:divBdr>
        <w:top w:val="none" w:sz="0" w:space="0" w:color="auto"/>
        <w:left w:val="none" w:sz="0" w:space="0" w:color="auto"/>
        <w:bottom w:val="none" w:sz="0" w:space="0" w:color="auto"/>
        <w:right w:val="none" w:sz="0" w:space="0" w:color="auto"/>
      </w:divBdr>
    </w:div>
    <w:div w:id="346756666">
      <w:bodyDiv w:val="1"/>
      <w:marLeft w:val="0"/>
      <w:marRight w:val="0"/>
      <w:marTop w:val="0"/>
      <w:marBottom w:val="0"/>
      <w:divBdr>
        <w:top w:val="none" w:sz="0" w:space="0" w:color="auto"/>
        <w:left w:val="none" w:sz="0" w:space="0" w:color="auto"/>
        <w:bottom w:val="none" w:sz="0" w:space="0" w:color="auto"/>
        <w:right w:val="none" w:sz="0" w:space="0" w:color="auto"/>
      </w:divBdr>
    </w:div>
    <w:div w:id="573049757">
      <w:bodyDiv w:val="1"/>
      <w:marLeft w:val="0"/>
      <w:marRight w:val="0"/>
      <w:marTop w:val="0"/>
      <w:marBottom w:val="0"/>
      <w:divBdr>
        <w:top w:val="none" w:sz="0" w:space="0" w:color="auto"/>
        <w:left w:val="none" w:sz="0" w:space="0" w:color="auto"/>
        <w:bottom w:val="none" w:sz="0" w:space="0" w:color="auto"/>
        <w:right w:val="none" w:sz="0" w:space="0" w:color="auto"/>
      </w:divBdr>
    </w:div>
    <w:div w:id="736829460">
      <w:bodyDiv w:val="1"/>
      <w:marLeft w:val="0"/>
      <w:marRight w:val="0"/>
      <w:marTop w:val="0"/>
      <w:marBottom w:val="0"/>
      <w:divBdr>
        <w:top w:val="none" w:sz="0" w:space="0" w:color="auto"/>
        <w:left w:val="none" w:sz="0" w:space="0" w:color="auto"/>
        <w:bottom w:val="none" w:sz="0" w:space="0" w:color="auto"/>
        <w:right w:val="none" w:sz="0" w:space="0" w:color="auto"/>
      </w:divBdr>
    </w:div>
    <w:div w:id="1008751458">
      <w:bodyDiv w:val="1"/>
      <w:marLeft w:val="0"/>
      <w:marRight w:val="0"/>
      <w:marTop w:val="0"/>
      <w:marBottom w:val="0"/>
      <w:divBdr>
        <w:top w:val="none" w:sz="0" w:space="0" w:color="auto"/>
        <w:left w:val="none" w:sz="0" w:space="0" w:color="auto"/>
        <w:bottom w:val="none" w:sz="0" w:space="0" w:color="auto"/>
        <w:right w:val="none" w:sz="0" w:space="0" w:color="auto"/>
      </w:divBdr>
    </w:div>
    <w:div w:id="1068454083">
      <w:bodyDiv w:val="1"/>
      <w:marLeft w:val="0"/>
      <w:marRight w:val="0"/>
      <w:marTop w:val="0"/>
      <w:marBottom w:val="0"/>
      <w:divBdr>
        <w:top w:val="none" w:sz="0" w:space="0" w:color="auto"/>
        <w:left w:val="none" w:sz="0" w:space="0" w:color="auto"/>
        <w:bottom w:val="none" w:sz="0" w:space="0" w:color="auto"/>
        <w:right w:val="none" w:sz="0" w:space="0" w:color="auto"/>
      </w:divBdr>
    </w:div>
    <w:div w:id="1105541385">
      <w:bodyDiv w:val="1"/>
      <w:marLeft w:val="0"/>
      <w:marRight w:val="0"/>
      <w:marTop w:val="0"/>
      <w:marBottom w:val="0"/>
      <w:divBdr>
        <w:top w:val="none" w:sz="0" w:space="0" w:color="auto"/>
        <w:left w:val="none" w:sz="0" w:space="0" w:color="auto"/>
        <w:bottom w:val="none" w:sz="0" w:space="0" w:color="auto"/>
        <w:right w:val="none" w:sz="0" w:space="0" w:color="auto"/>
      </w:divBdr>
    </w:div>
    <w:div w:id="1301574871">
      <w:bodyDiv w:val="1"/>
      <w:marLeft w:val="0"/>
      <w:marRight w:val="0"/>
      <w:marTop w:val="0"/>
      <w:marBottom w:val="0"/>
      <w:divBdr>
        <w:top w:val="none" w:sz="0" w:space="0" w:color="auto"/>
        <w:left w:val="none" w:sz="0" w:space="0" w:color="auto"/>
        <w:bottom w:val="none" w:sz="0" w:space="0" w:color="auto"/>
        <w:right w:val="none" w:sz="0" w:space="0" w:color="auto"/>
      </w:divBdr>
    </w:div>
    <w:div w:id="1319847540">
      <w:bodyDiv w:val="1"/>
      <w:marLeft w:val="0"/>
      <w:marRight w:val="0"/>
      <w:marTop w:val="0"/>
      <w:marBottom w:val="0"/>
      <w:divBdr>
        <w:top w:val="none" w:sz="0" w:space="0" w:color="auto"/>
        <w:left w:val="none" w:sz="0" w:space="0" w:color="auto"/>
        <w:bottom w:val="none" w:sz="0" w:space="0" w:color="auto"/>
        <w:right w:val="none" w:sz="0" w:space="0" w:color="auto"/>
      </w:divBdr>
    </w:div>
    <w:div w:id="1388530994">
      <w:bodyDiv w:val="1"/>
      <w:marLeft w:val="0"/>
      <w:marRight w:val="0"/>
      <w:marTop w:val="0"/>
      <w:marBottom w:val="0"/>
      <w:divBdr>
        <w:top w:val="none" w:sz="0" w:space="0" w:color="auto"/>
        <w:left w:val="none" w:sz="0" w:space="0" w:color="auto"/>
        <w:bottom w:val="none" w:sz="0" w:space="0" w:color="auto"/>
        <w:right w:val="none" w:sz="0" w:space="0" w:color="auto"/>
      </w:divBdr>
    </w:div>
    <w:div w:id="1600676264">
      <w:bodyDiv w:val="1"/>
      <w:marLeft w:val="0"/>
      <w:marRight w:val="0"/>
      <w:marTop w:val="0"/>
      <w:marBottom w:val="0"/>
      <w:divBdr>
        <w:top w:val="none" w:sz="0" w:space="0" w:color="auto"/>
        <w:left w:val="none" w:sz="0" w:space="0" w:color="auto"/>
        <w:bottom w:val="none" w:sz="0" w:space="0" w:color="auto"/>
        <w:right w:val="none" w:sz="0" w:space="0" w:color="auto"/>
      </w:divBdr>
    </w:div>
    <w:div w:id="1880167747">
      <w:bodyDiv w:val="1"/>
      <w:marLeft w:val="0"/>
      <w:marRight w:val="0"/>
      <w:marTop w:val="0"/>
      <w:marBottom w:val="0"/>
      <w:divBdr>
        <w:top w:val="none" w:sz="0" w:space="0" w:color="auto"/>
        <w:left w:val="none" w:sz="0" w:space="0" w:color="auto"/>
        <w:bottom w:val="none" w:sz="0" w:space="0" w:color="auto"/>
        <w:right w:val="none" w:sz="0" w:space="0" w:color="auto"/>
      </w:divBdr>
    </w:div>
    <w:div w:id="1898198564">
      <w:bodyDiv w:val="1"/>
      <w:marLeft w:val="0"/>
      <w:marRight w:val="0"/>
      <w:marTop w:val="0"/>
      <w:marBottom w:val="0"/>
      <w:divBdr>
        <w:top w:val="none" w:sz="0" w:space="0" w:color="auto"/>
        <w:left w:val="none" w:sz="0" w:space="0" w:color="auto"/>
        <w:bottom w:val="none" w:sz="0" w:space="0" w:color="auto"/>
        <w:right w:val="none" w:sz="0" w:space="0" w:color="auto"/>
      </w:divBdr>
    </w:div>
    <w:div w:id="1901750615">
      <w:bodyDiv w:val="1"/>
      <w:marLeft w:val="0"/>
      <w:marRight w:val="0"/>
      <w:marTop w:val="0"/>
      <w:marBottom w:val="0"/>
      <w:divBdr>
        <w:top w:val="none" w:sz="0" w:space="0" w:color="auto"/>
        <w:left w:val="none" w:sz="0" w:space="0" w:color="auto"/>
        <w:bottom w:val="none" w:sz="0" w:space="0" w:color="auto"/>
        <w:right w:val="none" w:sz="0" w:space="0" w:color="auto"/>
      </w:divBdr>
    </w:div>
    <w:div w:id="21045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chem.ncbi.nlm.nih.gov/" TargetMode="External"/><Relationship Id="rId13" Type="http://schemas.openxmlformats.org/officeDocument/2006/relationships/image" Target="media/image3.png"/><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pubchem.ncbi.nlm.nih.gov/" TargetMode="External"/><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ubchem.ncbi.nlm.nih.gov/"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pubchem.ncbi.nlm.nih.gov/compound/Atrazine"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Feuil4!$D$7</c:f>
              <c:strCache>
                <c:ptCount val="1"/>
                <c:pt idx="0">
                  <c:v>Atrazine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Feuil4!$A$8:$B$11</c:f>
              <c:multiLvlStrCache>
                <c:ptCount val="4"/>
                <c:lvl>
                  <c:pt idx="0">
                    <c:v>September</c:v>
                  </c:pt>
                  <c:pt idx="1">
                    <c:v>November</c:v>
                  </c:pt>
                  <c:pt idx="2">
                    <c:v>January</c:v>
                  </c:pt>
                  <c:pt idx="3">
                    <c:v>March</c:v>
                  </c:pt>
                </c:lvl>
                <c:lvl>
                  <c:pt idx="0">
                    <c:v>B9</c:v>
                  </c:pt>
                </c:lvl>
              </c:multiLvlStrCache>
            </c:multiLvlStrRef>
          </c:cat>
          <c:val>
            <c:numRef>
              <c:f>Feuil4!$D$8:$D$11</c:f>
              <c:numCache>
                <c:formatCode>General</c:formatCode>
                <c:ptCount val="4"/>
                <c:pt idx="0">
                  <c:v>0.27007949999999997</c:v>
                </c:pt>
                <c:pt idx="1">
                  <c:v>0.4020319</c:v>
                </c:pt>
                <c:pt idx="2">
                  <c:v>0.25161260000000002</c:v>
                </c:pt>
                <c:pt idx="3">
                  <c:v>0.27387479999999997</c:v>
                </c:pt>
              </c:numCache>
            </c:numRef>
          </c:val>
          <c:smooth val="0"/>
          <c:extLst>
            <c:ext xmlns:c16="http://schemas.microsoft.com/office/drawing/2014/chart" uri="{C3380CC4-5D6E-409C-BE32-E72D297353CC}">
              <c16:uniqueId val="{00000000-18DF-431F-B61D-A488C169EC89}"/>
            </c:ext>
          </c:extLst>
        </c:ser>
        <c:ser>
          <c:idx val="2"/>
          <c:order val="2"/>
          <c:tx>
            <c:strRef>
              <c:f>Feuil4!$E$7</c:f>
              <c:strCache>
                <c:ptCount val="1"/>
                <c:pt idx="0">
                  <c:v>Cybutryne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Feuil4!$A$8:$B$11</c:f>
              <c:multiLvlStrCache>
                <c:ptCount val="4"/>
                <c:lvl>
                  <c:pt idx="0">
                    <c:v>September</c:v>
                  </c:pt>
                  <c:pt idx="1">
                    <c:v>November</c:v>
                  </c:pt>
                  <c:pt idx="2">
                    <c:v>January</c:v>
                  </c:pt>
                  <c:pt idx="3">
                    <c:v>March</c:v>
                  </c:pt>
                </c:lvl>
                <c:lvl>
                  <c:pt idx="0">
                    <c:v>B9</c:v>
                  </c:pt>
                </c:lvl>
              </c:multiLvlStrCache>
            </c:multiLvlStrRef>
          </c:cat>
          <c:val>
            <c:numRef>
              <c:f>Feuil4!$E$8:$E$11</c:f>
              <c:numCache>
                <c:formatCode>General</c:formatCode>
                <c:ptCount val="4"/>
                <c:pt idx="0">
                  <c:v>0.3047337</c:v>
                </c:pt>
                <c:pt idx="1">
                  <c:v>0.30302879999999999</c:v>
                </c:pt>
                <c:pt idx="2">
                  <c:v>0.30550100000000002</c:v>
                </c:pt>
                <c:pt idx="3">
                  <c:v>0.30169279999999998</c:v>
                </c:pt>
              </c:numCache>
            </c:numRef>
          </c:val>
          <c:smooth val="0"/>
          <c:extLst>
            <c:ext xmlns:c16="http://schemas.microsoft.com/office/drawing/2014/chart" uri="{C3380CC4-5D6E-409C-BE32-E72D297353CC}">
              <c16:uniqueId val="{00000001-18DF-431F-B61D-A488C169EC89}"/>
            </c:ext>
          </c:extLst>
        </c:ser>
        <c:dLbls>
          <c:showLegendKey val="0"/>
          <c:showVal val="0"/>
          <c:showCatName val="0"/>
          <c:showSerName val="0"/>
          <c:showPercent val="0"/>
          <c:showBubbleSize val="0"/>
        </c:dLbls>
        <c:marker val="1"/>
        <c:smooth val="0"/>
        <c:axId val="972086400"/>
        <c:axId val="972088360"/>
      </c:lineChart>
      <c:lineChart>
        <c:grouping val="stacked"/>
        <c:varyColors val="0"/>
        <c:ser>
          <c:idx val="0"/>
          <c:order val="0"/>
          <c:tx>
            <c:strRef>
              <c:f>Feuil4!$C$7</c:f>
              <c:strCache>
                <c:ptCount val="1"/>
                <c:pt idx="0">
                  <c:v>Terbutryne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Feuil4!$A$8:$B$11</c:f>
              <c:multiLvlStrCache>
                <c:ptCount val="4"/>
                <c:lvl>
                  <c:pt idx="0">
                    <c:v>September</c:v>
                  </c:pt>
                  <c:pt idx="1">
                    <c:v>November</c:v>
                  </c:pt>
                  <c:pt idx="2">
                    <c:v>January</c:v>
                  </c:pt>
                  <c:pt idx="3">
                    <c:v>March</c:v>
                  </c:pt>
                </c:lvl>
                <c:lvl>
                  <c:pt idx="0">
                    <c:v>B9</c:v>
                  </c:pt>
                </c:lvl>
              </c:multiLvlStrCache>
            </c:multiLvlStrRef>
          </c:cat>
          <c:val>
            <c:numRef>
              <c:f>Feuil4!$C$8:$C$11</c:f>
              <c:numCache>
                <c:formatCode>General</c:formatCode>
                <c:ptCount val="4"/>
                <c:pt idx="0">
                  <c:v>2.3505121</c:v>
                </c:pt>
                <c:pt idx="1">
                  <c:v>23.760477000000002</c:v>
                </c:pt>
                <c:pt idx="2">
                  <c:v>83.456615999999997</c:v>
                </c:pt>
                <c:pt idx="3">
                  <c:v>51.044597000000003</c:v>
                </c:pt>
              </c:numCache>
            </c:numRef>
          </c:val>
          <c:smooth val="0"/>
          <c:extLst>
            <c:ext xmlns:c16="http://schemas.microsoft.com/office/drawing/2014/chart" uri="{C3380CC4-5D6E-409C-BE32-E72D297353CC}">
              <c16:uniqueId val="{00000002-18DF-431F-B61D-A488C169EC89}"/>
            </c:ext>
          </c:extLst>
        </c:ser>
        <c:dLbls>
          <c:showLegendKey val="0"/>
          <c:showVal val="0"/>
          <c:showCatName val="0"/>
          <c:showSerName val="0"/>
          <c:showPercent val="0"/>
          <c:showBubbleSize val="0"/>
        </c:dLbls>
        <c:marker val="1"/>
        <c:smooth val="0"/>
        <c:axId val="972087184"/>
        <c:axId val="972086792"/>
      </c:lineChart>
      <c:catAx>
        <c:axId val="97208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088360"/>
        <c:crosses val="autoZero"/>
        <c:auto val="1"/>
        <c:lblAlgn val="ctr"/>
        <c:lblOffset val="100"/>
        <c:noMultiLvlLbl val="0"/>
      </c:catAx>
      <c:valAx>
        <c:axId val="972088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086400"/>
        <c:crosses val="autoZero"/>
        <c:crossBetween val="between"/>
      </c:valAx>
      <c:valAx>
        <c:axId val="972086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087184"/>
        <c:crosses val="max"/>
        <c:crossBetween val="between"/>
      </c:valAx>
      <c:catAx>
        <c:axId val="972087184"/>
        <c:scaling>
          <c:orientation val="minMax"/>
        </c:scaling>
        <c:delete val="1"/>
        <c:axPos val="b"/>
        <c:numFmt formatCode="General" sourceLinked="1"/>
        <c:majorTickMark val="out"/>
        <c:minorTickMark val="none"/>
        <c:tickLblPos val="nextTo"/>
        <c:crossAx val="972086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Feuil4!$D$13</c:f>
              <c:strCache>
                <c:ptCount val="1"/>
                <c:pt idx="0">
                  <c:v>Atrazine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Feuil4!$A$14:$B$17</c:f>
              <c:multiLvlStrCache>
                <c:ptCount val="4"/>
                <c:lvl>
                  <c:pt idx="0">
                    <c:v>September</c:v>
                  </c:pt>
                  <c:pt idx="1">
                    <c:v>November</c:v>
                  </c:pt>
                  <c:pt idx="2">
                    <c:v>January</c:v>
                  </c:pt>
                  <c:pt idx="3">
                    <c:v>March</c:v>
                  </c:pt>
                </c:lvl>
                <c:lvl>
                  <c:pt idx="0">
                    <c:v>B17</c:v>
                  </c:pt>
                </c:lvl>
              </c:multiLvlStrCache>
            </c:multiLvlStrRef>
          </c:cat>
          <c:val>
            <c:numRef>
              <c:f>Feuil4!$D$14:$D$17</c:f>
              <c:numCache>
                <c:formatCode>General</c:formatCode>
                <c:ptCount val="4"/>
                <c:pt idx="0">
                  <c:v>0.28052329999999998</c:v>
                </c:pt>
                <c:pt idx="1">
                  <c:v>0.35374040000000001</c:v>
                </c:pt>
                <c:pt idx="2">
                  <c:v>0.28854200000000002</c:v>
                </c:pt>
                <c:pt idx="3">
                  <c:v>0.3302505</c:v>
                </c:pt>
              </c:numCache>
            </c:numRef>
          </c:val>
          <c:smooth val="0"/>
          <c:extLst>
            <c:ext xmlns:c16="http://schemas.microsoft.com/office/drawing/2014/chart" uri="{C3380CC4-5D6E-409C-BE32-E72D297353CC}">
              <c16:uniqueId val="{00000000-BD65-4F58-B5E7-75429057B386}"/>
            </c:ext>
          </c:extLst>
        </c:ser>
        <c:ser>
          <c:idx val="2"/>
          <c:order val="2"/>
          <c:tx>
            <c:strRef>
              <c:f>Feuil4!$E$13</c:f>
              <c:strCache>
                <c:ptCount val="1"/>
                <c:pt idx="0">
                  <c:v>Cybutryne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Feuil4!$A$14:$B$17</c:f>
              <c:multiLvlStrCache>
                <c:ptCount val="4"/>
                <c:lvl>
                  <c:pt idx="0">
                    <c:v>September</c:v>
                  </c:pt>
                  <c:pt idx="1">
                    <c:v>November</c:v>
                  </c:pt>
                  <c:pt idx="2">
                    <c:v>January</c:v>
                  </c:pt>
                  <c:pt idx="3">
                    <c:v>March</c:v>
                  </c:pt>
                </c:lvl>
                <c:lvl>
                  <c:pt idx="0">
                    <c:v>B17</c:v>
                  </c:pt>
                </c:lvl>
              </c:multiLvlStrCache>
            </c:multiLvlStrRef>
          </c:cat>
          <c:val>
            <c:numRef>
              <c:f>Feuil4!$E$14:$E$17</c:f>
              <c:numCache>
                <c:formatCode>General</c:formatCode>
                <c:ptCount val="4"/>
                <c:pt idx="0">
                  <c:v>0.30419449999999998</c:v>
                </c:pt>
                <c:pt idx="1">
                  <c:v>0.40184730000000002</c:v>
                </c:pt>
                <c:pt idx="2">
                  <c:v>0.3039712</c:v>
                </c:pt>
                <c:pt idx="3">
                  <c:v>0.30298940000000002</c:v>
                </c:pt>
              </c:numCache>
            </c:numRef>
          </c:val>
          <c:smooth val="0"/>
          <c:extLst>
            <c:ext xmlns:c16="http://schemas.microsoft.com/office/drawing/2014/chart" uri="{C3380CC4-5D6E-409C-BE32-E72D297353CC}">
              <c16:uniqueId val="{00000001-BD65-4F58-B5E7-75429057B386}"/>
            </c:ext>
          </c:extLst>
        </c:ser>
        <c:dLbls>
          <c:showLegendKey val="0"/>
          <c:showVal val="0"/>
          <c:showCatName val="0"/>
          <c:showSerName val="0"/>
          <c:showPercent val="0"/>
          <c:showBubbleSize val="0"/>
        </c:dLbls>
        <c:marker val="1"/>
        <c:smooth val="0"/>
        <c:axId val="972084048"/>
        <c:axId val="972088752"/>
      </c:lineChart>
      <c:lineChart>
        <c:grouping val="stacked"/>
        <c:varyColors val="0"/>
        <c:ser>
          <c:idx val="0"/>
          <c:order val="0"/>
          <c:tx>
            <c:strRef>
              <c:f>Feuil4!$C$13</c:f>
              <c:strCache>
                <c:ptCount val="1"/>
                <c:pt idx="0">
                  <c:v>Terbutryne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Feuil4!$A$14:$B$17</c:f>
              <c:multiLvlStrCache>
                <c:ptCount val="4"/>
                <c:lvl>
                  <c:pt idx="0">
                    <c:v>September</c:v>
                  </c:pt>
                  <c:pt idx="1">
                    <c:v>November</c:v>
                  </c:pt>
                  <c:pt idx="2">
                    <c:v>January</c:v>
                  </c:pt>
                  <c:pt idx="3">
                    <c:v>March</c:v>
                  </c:pt>
                </c:lvl>
                <c:lvl>
                  <c:pt idx="0">
                    <c:v>B17</c:v>
                  </c:pt>
                </c:lvl>
              </c:multiLvlStrCache>
            </c:multiLvlStrRef>
          </c:cat>
          <c:val>
            <c:numRef>
              <c:f>Feuil4!$C$14:$C$17</c:f>
              <c:numCache>
                <c:formatCode>General</c:formatCode>
                <c:ptCount val="4"/>
                <c:pt idx="0">
                  <c:v>9.3728435000000001</c:v>
                </c:pt>
                <c:pt idx="1">
                  <c:v>23.422758999999999</c:v>
                </c:pt>
                <c:pt idx="2">
                  <c:v>71.241738999999995</c:v>
                </c:pt>
                <c:pt idx="3">
                  <c:v>29.028292</c:v>
                </c:pt>
              </c:numCache>
            </c:numRef>
          </c:val>
          <c:smooth val="0"/>
          <c:extLst>
            <c:ext xmlns:c16="http://schemas.microsoft.com/office/drawing/2014/chart" uri="{C3380CC4-5D6E-409C-BE32-E72D297353CC}">
              <c16:uniqueId val="{00000002-BD65-4F58-B5E7-75429057B386}"/>
            </c:ext>
          </c:extLst>
        </c:ser>
        <c:dLbls>
          <c:showLegendKey val="0"/>
          <c:showVal val="0"/>
          <c:showCatName val="0"/>
          <c:showSerName val="0"/>
          <c:showPercent val="0"/>
          <c:showBubbleSize val="0"/>
        </c:dLbls>
        <c:marker val="1"/>
        <c:smooth val="0"/>
        <c:axId val="821879184"/>
        <c:axId val="821876832"/>
      </c:lineChart>
      <c:catAx>
        <c:axId val="97208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088752"/>
        <c:crosses val="autoZero"/>
        <c:auto val="1"/>
        <c:lblAlgn val="ctr"/>
        <c:lblOffset val="100"/>
        <c:noMultiLvlLbl val="0"/>
      </c:catAx>
      <c:valAx>
        <c:axId val="97208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2084048"/>
        <c:crosses val="autoZero"/>
        <c:crossBetween val="between"/>
      </c:valAx>
      <c:valAx>
        <c:axId val="82187683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1879184"/>
        <c:crosses val="max"/>
        <c:crossBetween val="between"/>
      </c:valAx>
      <c:catAx>
        <c:axId val="821879184"/>
        <c:scaling>
          <c:orientation val="minMax"/>
        </c:scaling>
        <c:delete val="1"/>
        <c:axPos val="b"/>
        <c:numFmt formatCode="General" sourceLinked="1"/>
        <c:majorTickMark val="out"/>
        <c:minorTickMark val="none"/>
        <c:tickLblPos val="nextTo"/>
        <c:crossAx val="821876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Feuil4!$D$19</c:f>
              <c:strCache>
                <c:ptCount val="1"/>
                <c:pt idx="0">
                  <c:v>Atrazine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Feuil4!$A$20:$B$23</c:f>
              <c:multiLvlStrCache>
                <c:ptCount val="4"/>
                <c:lvl>
                  <c:pt idx="0">
                    <c:v>September</c:v>
                  </c:pt>
                  <c:pt idx="1">
                    <c:v>November</c:v>
                  </c:pt>
                  <c:pt idx="2">
                    <c:v>January</c:v>
                  </c:pt>
                  <c:pt idx="3">
                    <c:v>March</c:v>
                  </c:pt>
                </c:lvl>
                <c:lvl>
                  <c:pt idx="0">
                    <c:v>B10</c:v>
                  </c:pt>
                </c:lvl>
              </c:multiLvlStrCache>
            </c:multiLvlStrRef>
          </c:cat>
          <c:val>
            <c:numRef>
              <c:f>Feuil4!$D$20:$D$23</c:f>
              <c:numCache>
                <c:formatCode>General</c:formatCode>
                <c:ptCount val="4"/>
                <c:pt idx="0">
                  <c:v>0.41162539999999997</c:v>
                </c:pt>
                <c:pt idx="1">
                  <c:v>0.32038549999999999</c:v>
                </c:pt>
                <c:pt idx="2">
                  <c:v>0.2652542</c:v>
                </c:pt>
                <c:pt idx="3">
                  <c:v>0.3422827</c:v>
                </c:pt>
              </c:numCache>
            </c:numRef>
          </c:val>
          <c:smooth val="0"/>
          <c:extLst>
            <c:ext xmlns:c16="http://schemas.microsoft.com/office/drawing/2014/chart" uri="{C3380CC4-5D6E-409C-BE32-E72D297353CC}">
              <c16:uniqueId val="{00000000-57F9-4FC8-8B93-9028E45410B6}"/>
            </c:ext>
          </c:extLst>
        </c:ser>
        <c:ser>
          <c:idx val="2"/>
          <c:order val="2"/>
          <c:tx>
            <c:strRef>
              <c:f>Feuil4!$E$19</c:f>
              <c:strCache>
                <c:ptCount val="1"/>
                <c:pt idx="0">
                  <c:v>Cybutryne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Feuil4!$A$20:$B$23</c:f>
              <c:multiLvlStrCache>
                <c:ptCount val="4"/>
                <c:lvl>
                  <c:pt idx="0">
                    <c:v>September</c:v>
                  </c:pt>
                  <c:pt idx="1">
                    <c:v>November</c:v>
                  </c:pt>
                  <c:pt idx="2">
                    <c:v>January</c:v>
                  </c:pt>
                  <c:pt idx="3">
                    <c:v>March</c:v>
                  </c:pt>
                </c:lvl>
                <c:lvl>
                  <c:pt idx="0">
                    <c:v>B10</c:v>
                  </c:pt>
                </c:lvl>
              </c:multiLvlStrCache>
            </c:multiLvlStrRef>
          </c:cat>
          <c:val>
            <c:numRef>
              <c:f>Feuil4!$E$20:$E$23</c:f>
              <c:numCache>
                <c:formatCode>General</c:formatCode>
                <c:ptCount val="4"/>
                <c:pt idx="0">
                  <c:v>0.30467899999999998</c:v>
                </c:pt>
                <c:pt idx="1">
                  <c:v>0.30343029999999999</c:v>
                </c:pt>
                <c:pt idx="2">
                  <c:v>0.30493930000000002</c:v>
                </c:pt>
                <c:pt idx="3">
                  <c:v>0.30127359999999997</c:v>
                </c:pt>
              </c:numCache>
            </c:numRef>
          </c:val>
          <c:smooth val="0"/>
          <c:extLst>
            <c:ext xmlns:c16="http://schemas.microsoft.com/office/drawing/2014/chart" uri="{C3380CC4-5D6E-409C-BE32-E72D297353CC}">
              <c16:uniqueId val="{00000001-57F9-4FC8-8B93-9028E45410B6}"/>
            </c:ext>
          </c:extLst>
        </c:ser>
        <c:dLbls>
          <c:showLegendKey val="0"/>
          <c:showVal val="0"/>
          <c:showCatName val="0"/>
          <c:showSerName val="0"/>
          <c:showPercent val="0"/>
          <c:showBubbleSize val="0"/>
        </c:dLbls>
        <c:marker val="1"/>
        <c:smooth val="0"/>
        <c:axId val="821877616"/>
        <c:axId val="821878008"/>
      </c:lineChart>
      <c:lineChart>
        <c:grouping val="standard"/>
        <c:varyColors val="0"/>
        <c:ser>
          <c:idx val="0"/>
          <c:order val="0"/>
          <c:tx>
            <c:strRef>
              <c:f>Feuil4!$C$19</c:f>
              <c:strCache>
                <c:ptCount val="1"/>
                <c:pt idx="0">
                  <c:v>Terbutryne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Feuil4!$A$20:$B$23</c:f>
              <c:multiLvlStrCache>
                <c:ptCount val="4"/>
                <c:lvl>
                  <c:pt idx="0">
                    <c:v>September</c:v>
                  </c:pt>
                  <c:pt idx="1">
                    <c:v>November</c:v>
                  </c:pt>
                  <c:pt idx="2">
                    <c:v>January</c:v>
                  </c:pt>
                  <c:pt idx="3">
                    <c:v>March</c:v>
                  </c:pt>
                </c:lvl>
                <c:lvl>
                  <c:pt idx="0">
                    <c:v>B10</c:v>
                  </c:pt>
                </c:lvl>
              </c:multiLvlStrCache>
            </c:multiLvlStrRef>
          </c:cat>
          <c:val>
            <c:numRef>
              <c:f>Feuil4!$C$20:$C$23</c:f>
              <c:numCache>
                <c:formatCode>General</c:formatCode>
                <c:ptCount val="4"/>
                <c:pt idx="0">
                  <c:v>8.6890678999999995</c:v>
                </c:pt>
                <c:pt idx="1">
                  <c:v>39.095274000000003</c:v>
                </c:pt>
                <c:pt idx="2">
                  <c:v>8.3200149999999997</c:v>
                </c:pt>
                <c:pt idx="3">
                  <c:v>34.334131999999997</c:v>
                </c:pt>
              </c:numCache>
            </c:numRef>
          </c:val>
          <c:smooth val="0"/>
          <c:extLst>
            <c:ext xmlns:c16="http://schemas.microsoft.com/office/drawing/2014/chart" uri="{C3380CC4-5D6E-409C-BE32-E72D297353CC}">
              <c16:uniqueId val="{00000002-57F9-4FC8-8B93-9028E45410B6}"/>
            </c:ext>
          </c:extLst>
        </c:ser>
        <c:dLbls>
          <c:showLegendKey val="0"/>
          <c:showVal val="0"/>
          <c:showCatName val="0"/>
          <c:showSerName val="0"/>
          <c:showPercent val="0"/>
          <c:showBubbleSize val="0"/>
        </c:dLbls>
        <c:marker val="1"/>
        <c:smooth val="0"/>
        <c:axId val="821879576"/>
        <c:axId val="821878400"/>
      </c:lineChart>
      <c:catAx>
        <c:axId val="82187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1878008"/>
        <c:crosses val="autoZero"/>
        <c:auto val="1"/>
        <c:lblAlgn val="ctr"/>
        <c:lblOffset val="100"/>
        <c:noMultiLvlLbl val="0"/>
      </c:catAx>
      <c:valAx>
        <c:axId val="821878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1877616"/>
        <c:crosses val="autoZero"/>
        <c:crossBetween val="between"/>
      </c:valAx>
      <c:valAx>
        <c:axId val="82187840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1879576"/>
        <c:crosses val="max"/>
        <c:crossBetween val="between"/>
      </c:valAx>
      <c:catAx>
        <c:axId val="821879576"/>
        <c:scaling>
          <c:orientation val="minMax"/>
        </c:scaling>
        <c:delete val="1"/>
        <c:axPos val="b"/>
        <c:numFmt formatCode="General" sourceLinked="1"/>
        <c:majorTickMark val="out"/>
        <c:minorTickMark val="none"/>
        <c:tickLblPos val="nextTo"/>
        <c:crossAx val="82187840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1"/>
          <c:tx>
            <c:strRef>
              <c:f>Feuil4!$D$25</c:f>
              <c:strCache>
                <c:ptCount val="1"/>
                <c:pt idx="0">
                  <c:v>Atrazine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Feuil4!$A$26:$B$29</c:f>
              <c:multiLvlStrCache>
                <c:ptCount val="4"/>
                <c:lvl>
                  <c:pt idx="0">
                    <c:v>September</c:v>
                  </c:pt>
                  <c:pt idx="1">
                    <c:v>November</c:v>
                  </c:pt>
                  <c:pt idx="2">
                    <c:v>January</c:v>
                  </c:pt>
                  <c:pt idx="3">
                    <c:v>March</c:v>
                  </c:pt>
                </c:lvl>
                <c:lvl>
                  <c:pt idx="0">
                    <c:v>B11</c:v>
                  </c:pt>
                </c:lvl>
              </c:multiLvlStrCache>
            </c:multiLvlStrRef>
          </c:cat>
          <c:val>
            <c:numRef>
              <c:f>Feuil4!$D$26:$D$29</c:f>
              <c:numCache>
                <c:formatCode>General</c:formatCode>
                <c:ptCount val="4"/>
                <c:pt idx="0">
                  <c:v>0.44438230000000001</c:v>
                </c:pt>
                <c:pt idx="1">
                  <c:v>0.26516099999999998</c:v>
                </c:pt>
                <c:pt idx="2">
                  <c:v>0.31705939999999999</c:v>
                </c:pt>
                <c:pt idx="3">
                  <c:v>0.41784660000000001</c:v>
                </c:pt>
              </c:numCache>
            </c:numRef>
          </c:val>
          <c:smooth val="0"/>
          <c:extLst>
            <c:ext xmlns:c16="http://schemas.microsoft.com/office/drawing/2014/chart" uri="{C3380CC4-5D6E-409C-BE32-E72D297353CC}">
              <c16:uniqueId val="{00000000-B638-4026-88F1-04387905F587}"/>
            </c:ext>
          </c:extLst>
        </c:ser>
        <c:ser>
          <c:idx val="2"/>
          <c:order val="2"/>
          <c:tx>
            <c:strRef>
              <c:f>Feuil4!$E$25</c:f>
              <c:strCache>
                <c:ptCount val="1"/>
                <c:pt idx="0">
                  <c:v>Cybutryne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Feuil4!$A$26:$B$29</c:f>
              <c:multiLvlStrCache>
                <c:ptCount val="4"/>
                <c:lvl>
                  <c:pt idx="0">
                    <c:v>September</c:v>
                  </c:pt>
                  <c:pt idx="1">
                    <c:v>November</c:v>
                  </c:pt>
                  <c:pt idx="2">
                    <c:v>January</c:v>
                  </c:pt>
                  <c:pt idx="3">
                    <c:v>March</c:v>
                  </c:pt>
                </c:lvl>
                <c:lvl>
                  <c:pt idx="0">
                    <c:v>B11</c:v>
                  </c:pt>
                </c:lvl>
              </c:multiLvlStrCache>
            </c:multiLvlStrRef>
          </c:cat>
          <c:val>
            <c:numRef>
              <c:f>Feuil4!$E$26:$E$29</c:f>
              <c:numCache>
                <c:formatCode>General</c:formatCode>
                <c:ptCount val="4"/>
                <c:pt idx="0">
                  <c:v>0.30094460000000001</c:v>
                </c:pt>
                <c:pt idx="1">
                  <c:v>0.3048399</c:v>
                </c:pt>
                <c:pt idx="2">
                  <c:v>0.30482039999999999</c:v>
                </c:pt>
                <c:pt idx="3">
                  <c:v>0.29990070000000002</c:v>
                </c:pt>
              </c:numCache>
            </c:numRef>
          </c:val>
          <c:smooth val="0"/>
          <c:extLst>
            <c:ext xmlns:c16="http://schemas.microsoft.com/office/drawing/2014/chart" uri="{C3380CC4-5D6E-409C-BE32-E72D297353CC}">
              <c16:uniqueId val="{00000001-B638-4026-88F1-04387905F587}"/>
            </c:ext>
          </c:extLst>
        </c:ser>
        <c:dLbls>
          <c:showLegendKey val="0"/>
          <c:showVal val="0"/>
          <c:showCatName val="0"/>
          <c:showSerName val="0"/>
          <c:showPercent val="0"/>
          <c:showBubbleSize val="0"/>
        </c:dLbls>
        <c:marker val="1"/>
        <c:smooth val="0"/>
        <c:axId val="793731392"/>
        <c:axId val="793730608"/>
      </c:lineChart>
      <c:lineChart>
        <c:grouping val="stacked"/>
        <c:varyColors val="0"/>
        <c:ser>
          <c:idx val="0"/>
          <c:order val="0"/>
          <c:tx>
            <c:strRef>
              <c:f>Feuil4!$C$25</c:f>
              <c:strCache>
                <c:ptCount val="1"/>
                <c:pt idx="0">
                  <c:v>Terbutryne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Feuil4!$A$26:$B$29</c:f>
              <c:multiLvlStrCache>
                <c:ptCount val="4"/>
                <c:lvl>
                  <c:pt idx="0">
                    <c:v>September</c:v>
                  </c:pt>
                  <c:pt idx="1">
                    <c:v>November</c:v>
                  </c:pt>
                  <c:pt idx="2">
                    <c:v>January</c:v>
                  </c:pt>
                  <c:pt idx="3">
                    <c:v>March</c:v>
                  </c:pt>
                </c:lvl>
                <c:lvl>
                  <c:pt idx="0">
                    <c:v>B11</c:v>
                  </c:pt>
                </c:lvl>
              </c:multiLvlStrCache>
            </c:multiLvlStrRef>
          </c:cat>
          <c:val>
            <c:numRef>
              <c:f>Feuil4!$C$26:$C$29</c:f>
              <c:numCache>
                <c:formatCode>General</c:formatCode>
                <c:ptCount val="4"/>
                <c:pt idx="0">
                  <c:v>10.018197000000001</c:v>
                </c:pt>
                <c:pt idx="1">
                  <c:v>39.094696999999996</c:v>
                </c:pt>
                <c:pt idx="2">
                  <c:v>46.819546000000003</c:v>
                </c:pt>
                <c:pt idx="3">
                  <c:v>34.711613999999997</c:v>
                </c:pt>
              </c:numCache>
            </c:numRef>
          </c:val>
          <c:smooth val="0"/>
          <c:extLst>
            <c:ext xmlns:c16="http://schemas.microsoft.com/office/drawing/2014/chart" uri="{C3380CC4-5D6E-409C-BE32-E72D297353CC}">
              <c16:uniqueId val="{00000002-B638-4026-88F1-04387905F587}"/>
            </c:ext>
          </c:extLst>
        </c:ser>
        <c:dLbls>
          <c:showLegendKey val="0"/>
          <c:showVal val="0"/>
          <c:showCatName val="0"/>
          <c:showSerName val="0"/>
          <c:showPercent val="0"/>
          <c:showBubbleSize val="0"/>
        </c:dLbls>
        <c:marker val="1"/>
        <c:smooth val="0"/>
        <c:axId val="793729040"/>
        <c:axId val="793732568"/>
      </c:lineChart>
      <c:catAx>
        <c:axId val="79373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730608"/>
        <c:crosses val="autoZero"/>
        <c:auto val="1"/>
        <c:lblAlgn val="ctr"/>
        <c:lblOffset val="100"/>
        <c:noMultiLvlLbl val="0"/>
      </c:catAx>
      <c:valAx>
        <c:axId val="79373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731392"/>
        <c:crosses val="autoZero"/>
        <c:crossBetween val="between"/>
      </c:valAx>
      <c:valAx>
        <c:axId val="79373256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729040"/>
        <c:crosses val="max"/>
        <c:crossBetween val="between"/>
      </c:valAx>
      <c:catAx>
        <c:axId val="793729040"/>
        <c:scaling>
          <c:orientation val="minMax"/>
        </c:scaling>
        <c:delete val="1"/>
        <c:axPos val="b"/>
        <c:numFmt formatCode="General" sourceLinked="1"/>
        <c:majorTickMark val="out"/>
        <c:minorTickMark val="none"/>
        <c:tickLblPos val="nextTo"/>
        <c:crossAx val="7937325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Feuil1!$L$9</c:f>
              <c:strCache>
                <c:ptCount val="1"/>
                <c:pt idx="0">
                  <c:v>B9</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Feuil1!$K$10:$K$13</c:f>
              <c:strCache>
                <c:ptCount val="4"/>
                <c:pt idx="0">
                  <c:v>September</c:v>
                </c:pt>
                <c:pt idx="1">
                  <c:v>November</c:v>
                </c:pt>
                <c:pt idx="2">
                  <c:v>January</c:v>
                </c:pt>
                <c:pt idx="3">
                  <c:v>March</c:v>
                </c:pt>
              </c:strCache>
            </c:strRef>
          </c:cat>
          <c:val>
            <c:numRef>
              <c:f>Feuil1!$L$10:$L$13</c:f>
              <c:numCache>
                <c:formatCode>General</c:formatCode>
                <c:ptCount val="4"/>
                <c:pt idx="0">
                  <c:v>2.9253252999999999</c:v>
                </c:pt>
                <c:pt idx="1">
                  <c:v>24.465537699999999</c:v>
                </c:pt>
                <c:pt idx="2">
                  <c:v>84.013729600000005</c:v>
                </c:pt>
                <c:pt idx="3">
                  <c:v>51.620164600000003</c:v>
                </c:pt>
              </c:numCache>
            </c:numRef>
          </c:val>
          <c:smooth val="0"/>
          <c:extLst>
            <c:ext xmlns:c16="http://schemas.microsoft.com/office/drawing/2014/chart" uri="{C3380CC4-5D6E-409C-BE32-E72D297353CC}">
              <c16:uniqueId val="{00000000-CB02-4048-BFF2-99FB4BA265F1}"/>
            </c:ext>
          </c:extLst>
        </c:ser>
        <c:ser>
          <c:idx val="1"/>
          <c:order val="1"/>
          <c:tx>
            <c:strRef>
              <c:f>Feuil1!$M$9</c:f>
              <c:strCache>
                <c:ptCount val="1"/>
                <c:pt idx="0">
                  <c:v>B10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Feuil1!$K$10:$K$13</c:f>
              <c:strCache>
                <c:ptCount val="4"/>
                <c:pt idx="0">
                  <c:v>September</c:v>
                </c:pt>
                <c:pt idx="1">
                  <c:v>November</c:v>
                </c:pt>
                <c:pt idx="2">
                  <c:v>January</c:v>
                </c:pt>
                <c:pt idx="3">
                  <c:v>March</c:v>
                </c:pt>
              </c:strCache>
            </c:strRef>
          </c:cat>
          <c:val>
            <c:numRef>
              <c:f>Feuil1!$M$10:$M$13</c:f>
              <c:numCache>
                <c:formatCode>General</c:formatCode>
                <c:ptCount val="4"/>
                <c:pt idx="0">
                  <c:v>9.4053722999999998</c:v>
                </c:pt>
                <c:pt idx="1">
                  <c:v>39.719089799999999</c:v>
                </c:pt>
                <c:pt idx="2">
                  <c:v>8.8902085</c:v>
                </c:pt>
                <c:pt idx="3">
                  <c:v>34.977688299999997</c:v>
                </c:pt>
              </c:numCache>
            </c:numRef>
          </c:val>
          <c:smooth val="0"/>
          <c:extLst>
            <c:ext xmlns:c16="http://schemas.microsoft.com/office/drawing/2014/chart" uri="{C3380CC4-5D6E-409C-BE32-E72D297353CC}">
              <c16:uniqueId val="{00000001-CB02-4048-BFF2-99FB4BA265F1}"/>
            </c:ext>
          </c:extLst>
        </c:ser>
        <c:ser>
          <c:idx val="2"/>
          <c:order val="2"/>
          <c:tx>
            <c:strRef>
              <c:f>Feuil1!$N$9</c:f>
              <c:strCache>
                <c:ptCount val="1"/>
                <c:pt idx="0">
                  <c:v>B11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Feuil1!$K$10:$K$13</c:f>
              <c:strCache>
                <c:ptCount val="4"/>
                <c:pt idx="0">
                  <c:v>September</c:v>
                </c:pt>
                <c:pt idx="1">
                  <c:v>November</c:v>
                </c:pt>
                <c:pt idx="2">
                  <c:v>January</c:v>
                </c:pt>
                <c:pt idx="3">
                  <c:v>March</c:v>
                </c:pt>
              </c:strCache>
            </c:strRef>
          </c:cat>
          <c:val>
            <c:numRef>
              <c:f>Feuil1!$N$10:$N$13</c:f>
              <c:numCache>
                <c:formatCode>General</c:formatCode>
                <c:ptCount val="4"/>
                <c:pt idx="0">
                  <c:v>10.763523899999999</c:v>
                </c:pt>
                <c:pt idx="1">
                  <c:v>39.6646979</c:v>
                </c:pt>
                <c:pt idx="2">
                  <c:v>47.441425799999998</c:v>
                </c:pt>
                <c:pt idx="3">
                  <c:v>35.429361299999997</c:v>
                </c:pt>
              </c:numCache>
            </c:numRef>
          </c:val>
          <c:smooth val="0"/>
          <c:extLst>
            <c:ext xmlns:c16="http://schemas.microsoft.com/office/drawing/2014/chart" uri="{C3380CC4-5D6E-409C-BE32-E72D297353CC}">
              <c16:uniqueId val="{00000002-CB02-4048-BFF2-99FB4BA265F1}"/>
            </c:ext>
          </c:extLst>
        </c:ser>
        <c:ser>
          <c:idx val="3"/>
          <c:order val="3"/>
          <c:tx>
            <c:strRef>
              <c:f>Feuil1!$O$9</c:f>
              <c:strCache>
                <c:ptCount val="1"/>
                <c:pt idx="0">
                  <c:v>B17</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Feuil1!$K$10:$K$13</c:f>
              <c:strCache>
                <c:ptCount val="4"/>
                <c:pt idx="0">
                  <c:v>September</c:v>
                </c:pt>
                <c:pt idx="1">
                  <c:v>November</c:v>
                </c:pt>
                <c:pt idx="2">
                  <c:v>January</c:v>
                </c:pt>
                <c:pt idx="3">
                  <c:v>March</c:v>
                </c:pt>
              </c:strCache>
            </c:strRef>
          </c:cat>
          <c:val>
            <c:numRef>
              <c:f>Feuil1!$O$10:$O$13</c:f>
              <c:numCache>
                <c:formatCode>General</c:formatCode>
                <c:ptCount val="4"/>
                <c:pt idx="0">
                  <c:v>9.9575613000000001</c:v>
                </c:pt>
                <c:pt idx="1">
                  <c:v>24.178346699999999</c:v>
                </c:pt>
                <c:pt idx="2">
                  <c:v>71.834252199999995</c:v>
                </c:pt>
                <c:pt idx="3">
                  <c:v>29.6615319</c:v>
                </c:pt>
              </c:numCache>
            </c:numRef>
          </c:val>
          <c:smooth val="0"/>
          <c:extLst>
            <c:ext xmlns:c16="http://schemas.microsoft.com/office/drawing/2014/chart" uri="{C3380CC4-5D6E-409C-BE32-E72D297353CC}">
              <c16:uniqueId val="{00000003-CB02-4048-BFF2-99FB4BA265F1}"/>
            </c:ext>
          </c:extLst>
        </c:ser>
        <c:dLbls>
          <c:showLegendKey val="0"/>
          <c:showVal val="0"/>
          <c:showCatName val="0"/>
          <c:showSerName val="0"/>
          <c:showPercent val="0"/>
          <c:showBubbleSize val="0"/>
        </c:dLbls>
        <c:marker val="1"/>
        <c:smooth val="0"/>
        <c:axId val="793731000"/>
        <c:axId val="793732176"/>
      </c:lineChart>
      <c:catAx>
        <c:axId val="793731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732176"/>
        <c:crosses val="autoZero"/>
        <c:auto val="1"/>
        <c:lblAlgn val="ctr"/>
        <c:lblOffset val="100"/>
        <c:noMultiLvlLbl val="0"/>
      </c:catAx>
      <c:valAx>
        <c:axId val="793732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fr-FR" sz="1000" b="1" i="0" u="none" strike="noStrike" baseline="0">
                    <a:effectLst/>
                  </a:rPr>
                  <a:t>µg.kg</a:t>
                </a:r>
                <a:r>
                  <a:rPr lang="fr-FR" sz="1000" b="1" i="0" u="none" strike="noStrike" baseline="30000">
                    <a:effectLst/>
                  </a:rPr>
                  <a:t>-1</a:t>
                </a:r>
                <a:endParaRPr lang="fr-F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7310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07EC-BA72-48A2-9409-F77208FC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5373</Words>
  <Characters>30630</Characters>
  <Application>Microsoft Office Word</Application>
  <DocSecurity>0</DocSecurity>
  <Lines>255</Lines>
  <Paragraphs>71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1186</cp:lastModifiedBy>
  <cp:revision>3</cp:revision>
  <dcterms:created xsi:type="dcterms:W3CDTF">2025-09-28T08:58:00Z</dcterms:created>
  <dcterms:modified xsi:type="dcterms:W3CDTF">2025-10-03T11:30:00Z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id="zaXfmEx7"/&gt;&lt;style id="http://www.zotero.org/styles/ieee" locale="fr-FR" hasBibliography="1" bibliographyStyleHasBeenSet="1"/&gt;&lt;prefs&gt;&lt;pref name="fieldType" value="Field"/&gt;&lt;/prefs&gt;&lt;/data&gt;</vt:lpwstr>
  </property>
  <property fmtid="{D5CDD505-2E9C-101B-9397-08002B2CF9AE}" pid="3" name="GrammarlyDocumentId">
    <vt:lpwstr>9dd54ea8-7e82-4ff9-a0b1-a8e9ad1debf2</vt:lpwstr>
  </property>
</Properties>
</file>