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16946" w14:textId="11701514" w:rsidR="008903B9" w:rsidRDefault="008903B9" w:rsidP="007A2EE8">
      <w:pPr>
        <w:rPr>
          <w:rFonts w:asciiTheme="minorBidi" w:eastAsia="Times New Roman" w:hAnsiTheme="minorBidi" w:cstheme="minorBidi"/>
          <w:b/>
          <w:bCs/>
          <w:i/>
          <w:iCs/>
          <w:sz w:val="36"/>
          <w:szCs w:val="36"/>
          <w:u w:val="single"/>
          <w:shd w:val="clear" w:color="auto" w:fill="FFFFFF"/>
          <w:lang w:val="en-US" w:eastAsia="en-GB"/>
        </w:rPr>
      </w:pPr>
      <w:r w:rsidRPr="008903B9">
        <w:rPr>
          <w:rFonts w:asciiTheme="minorBidi" w:eastAsia="Times New Roman" w:hAnsiTheme="minorBidi" w:cstheme="minorBidi"/>
          <w:b/>
          <w:bCs/>
          <w:i/>
          <w:iCs/>
          <w:sz w:val="36"/>
          <w:szCs w:val="36"/>
          <w:u w:val="single"/>
          <w:shd w:val="clear" w:color="auto" w:fill="FFFFFF"/>
          <w:lang w:val="en-US" w:eastAsia="en-GB"/>
        </w:rPr>
        <w:t>Original Research Article</w:t>
      </w:r>
    </w:p>
    <w:p w14:paraId="26940D0A" w14:textId="77777777" w:rsidR="008903B9" w:rsidRDefault="008903B9" w:rsidP="00C82927">
      <w:pPr>
        <w:jc w:val="right"/>
        <w:rPr>
          <w:rFonts w:asciiTheme="minorBidi" w:eastAsia="Times New Roman" w:hAnsiTheme="minorBidi" w:cstheme="minorBidi"/>
          <w:b/>
          <w:bCs/>
          <w:sz w:val="36"/>
          <w:szCs w:val="36"/>
          <w:shd w:val="clear" w:color="auto" w:fill="FFFFFF"/>
          <w:lang w:eastAsia="en-GB"/>
        </w:rPr>
      </w:pPr>
    </w:p>
    <w:p w14:paraId="7E048018" w14:textId="3E2C52CD" w:rsidR="00485C55" w:rsidRPr="004125FF" w:rsidRDefault="00485C55" w:rsidP="00C82927">
      <w:pPr>
        <w:jc w:val="right"/>
        <w:rPr>
          <w:rFonts w:asciiTheme="minorBidi" w:eastAsia="Times New Roman" w:hAnsiTheme="minorBidi" w:cstheme="minorBidi"/>
          <w:b/>
          <w:bCs/>
          <w:sz w:val="36"/>
          <w:szCs w:val="36"/>
          <w:shd w:val="clear" w:color="auto" w:fill="FFFFFF"/>
          <w:lang w:eastAsia="en-GB"/>
        </w:rPr>
      </w:pPr>
      <w:r w:rsidRPr="004125FF">
        <w:rPr>
          <w:rFonts w:asciiTheme="minorBidi" w:eastAsia="Times New Roman" w:hAnsiTheme="minorBidi" w:cstheme="minorBidi"/>
          <w:b/>
          <w:bCs/>
          <w:sz w:val="36"/>
          <w:szCs w:val="36"/>
          <w:shd w:val="clear" w:color="auto" w:fill="FFFFFF"/>
          <w:lang w:eastAsia="en-GB"/>
        </w:rPr>
        <w:t xml:space="preserve">The Maturity Levels of the Digital Technology Competence in </w:t>
      </w:r>
      <w:r w:rsidR="00B90543">
        <w:rPr>
          <w:rFonts w:asciiTheme="minorBidi" w:eastAsia="Times New Roman" w:hAnsiTheme="minorBidi" w:cstheme="minorBidi"/>
          <w:b/>
          <w:bCs/>
          <w:sz w:val="36"/>
          <w:szCs w:val="36"/>
          <w:shd w:val="clear" w:color="auto" w:fill="FFFFFF"/>
          <w:lang w:eastAsia="en-GB"/>
        </w:rPr>
        <w:t xml:space="preserve">the </w:t>
      </w:r>
      <w:r w:rsidRPr="004125FF">
        <w:rPr>
          <w:rFonts w:asciiTheme="minorBidi" w:eastAsia="Times New Roman" w:hAnsiTheme="minorBidi" w:cstheme="minorBidi"/>
          <w:b/>
          <w:bCs/>
          <w:sz w:val="36"/>
          <w:szCs w:val="36"/>
          <w:shd w:val="clear" w:color="auto" w:fill="FFFFFF"/>
          <w:lang w:eastAsia="en-GB"/>
        </w:rPr>
        <w:t>Libyan Telecommunications Sector</w:t>
      </w:r>
    </w:p>
    <w:p w14:paraId="3F44A461" w14:textId="59AA35F1" w:rsidR="004125FF" w:rsidRDefault="004125FF" w:rsidP="004125FF">
      <w:pPr>
        <w:pStyle w:val="Default"/>
      </w:pPr>
    </w:p>
    <w:p w14:paraId="66A9A155" w14:textId="2734D8F5" w:rsidR="006C784D" w:rsidRDefault="004125FF" w:rsidP="004125FF">
      <w:pPr>
        <w:jc w:val="left"/>
        <w:rPr>
          <w:rFonts w:ascii="Arial" w:hAnsi="Arial" w:cs="Arial"/>
          <w:b/>
          <w:bCs/>
          <w:sz w:val="22"/>
          <w:szCs w:val="22"/>
        </w:rPr>
      </w:pPr>
      <w:r w:rsidRPr="004125FF">
        <w:rPr>
          <w:rFonts w:ascii="Arial" w:hAnsi="Arial" w:cs="Arial"/>
          <w:b/>
          <w:bCs/>
          <w:sz w:val="22"/>
          <w:szCs w:val="22"/>
        </w:rPr>
        <w:t>ABSTRACT</w:t>
      </w:r>
    </w:p>
    <w:p w14:paraId="3173E9D3" w14:textId="77777777" w:rsidR="00317F82" w:rsidRPr="004125FF" w:rsidRDefault="00317F82" w:rsidP="004125FF">
      <w:pPr>
        <w:jc w:val="left"/>
        <w:rPr>
          <w:rFonts w:asciiTheme="minorBidi" w:eastAsiaTheme="minorHAnsi" w:hAnsiTheme="minorBidi" w:cstheme="minorBidi"/>
          <w:b/>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C82927" w:rsidRPr="001E44FE" w14:paraId="41A641A9" w14:textId="77777777" w:rsidTr="009F58E1">
        <w:tc>
          <w:tcPr>
            <w:tcW w:w="9576" w:type="dxa"/>
            <w:shd w:val="clear" w:color="auto" w:fill="F2F2F2"/>
          </w:tcPr>
          <w:p w14:paraId="390FAA84" w14:textId="6C5FF899" w:rsidR="00CC7AF4" w:rsidRDefault="00CC7AF4" w:rsidP="0054063A">
            <w:pPr>
              <w:pStyle w:val="Body"/>
              <w:spacing w:after="0"/>
              <w:rPr>
                <w:rFonts w:ascii="Arial" w:eastAsia="Calibri" w:hAnsi="Arial" w:cs="Arial"/>
                <w:b/>
                <w:szCs w:val="22"/>
              </w:rPr>
            </w:pPr>
            <w:r w:rsidRPr="00CC7AF4">
              <w:rPr>
                <w:rFonts w:ascii="Arial" w:eastAsia="Calibri" w:hAnsi="Arial" w:cs="Arial"/>
                <w:b/>
                <w:szCs w:val="22"/>
              </w:rPr>
              <w:t xml:space="preserve">Aims: </w:t>
            </w:r>
            <w:r w:rsidRPr="00CC7AF4">
              <w:rPr>
                <w:rFonts w:ascii="Arial" w:eastAsia="Calibri" w:hAnsi="Arial" w:cs="Arial"/>
                <w:bCs/>
                <w:szCs w:val="22"/>
              </w:rPr>
              <w:t xml:space="preserve">This paper </w:t>
            </w:r>
            <w:r w:rsidR="00B90543">
              <w:rPr>
                <w:rFonts w:ascii="Arial" w:eastAsia="Calibri" w:hAnsi="Arial" w:cs="Arial"/>
                <w:bCs/>
                <w:szCs w:val="22"/>
              </w:rPr>
              <w:t>proposes a Digital Maturity Index (DMI) to evaluate the current condition of Libyan telecommunications firms, focus</w:t>
            </w:r>
            <w:r w:rsidRPr="00CC7AF4">
              <w:rPr>
                <w:rFonts w:ascii="Arial" w:eastAsia="Calibri" w:hAnsi="Arial" w:cs="Arial"/>
                <w:bCs/>
                <w:szCs w:val="22"/>
              </w:rPr>
              <w:t>ing on five essential dimensions: client, strategy, technology, organization, and culture</w:t>
            </w:r>
            <w:r w:rsidR="0054063A">
              <w:rPr>
                <w:rFonts w:ascii="Arial" w:eastAsia="Calibri" w:hAnsi="Arial" w:cs="Arial"/>
                <w:bCs/>
                <w:szCs w:val="22"/>
              </w:rPr>
              <w:t>.</w:t>
            </w:r>
            <w:r w:rsidRPr="00CC7AF4">
              <w:rPr>
                <w:rFonts w:ascii="Arial" w:eastAsia="Calibri" w:hAnsi="Arial" w:cs="Arial"/>
                <w:b/>
                <w:szCs w:val="22"/>
              </w:rPr>
              <w:t xml:space="preserve"> </w:t>
            </w:r>
          </w:p>
          <w:p w14:paraId="42BD9ECF" w14:textId="4ECC350A" w:rsidR="00C82927" w:rsidRPr="00BA1B01" w:rsidRDefault="00C82927" w:rsidP="009F58E1">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736206" w:rsidRPr="00736206">
              <w:rPr>
                <w:rFonts w:ascii="Arial" w:eastAsia="Calibri" w:hAnsi="Arial" w:cs="Arial"/>
                <w:szCs w:val="22"/>
              </w:rPr>
              <w:t>A quantitative methodology was employed</w:t>
            </w:r>
            <w:r w:rsidR="00B90543">
              <w:rPr>
                <w:rFonts w:ascii="Arial" w:eastAsia="Calibri" w:hAnsi="Arial" w:cs="Arial"/>
                <w:szCs w:val="22"/>
              </w:rPr>
              <w:t>, utilizing a weighted average that attributed</w:t>
            </w:r>
            <w:r w:rsidR="00736206" w:rsidRPr="00736206">
              <w:rPr>
                <w:rFonts w:ascii="Arial" w:eastAsia="Calibri" w:hAnsi="Arial" w:cs="Arial"/>
                <w:szCs w:val="22"/>
              </w:rPr>
              <w:t xml:space="preserve"> relative weights to each dimension and its sub-dimensions.</w:t>
            </w:r>
            <w:r w:rsidR="007D571D">
              <w:rPr>
                <w:rFonts w:ascii="Arial" w:eastAsia="Calibri" w:hAnsi="Arial" w:cs="Arial"/>
                <w:szCs w:val="22"/>
              </w:rPr>
              <w:t xml:space="preserve"> The sample included 170 </w:t>
            </w:r>
            <w:r w:rsidR="007D571D">
              <w:rPr>
                <w:rFonts w:ascii="Arial" w:eastAsia="Calibri" w:hAnsi="Arial" w:cs="Arial"/>
                <w:szCs w:val="22"/>
                <w:lang w:val="en-GB"/>
              </w:rPr>
              <w:t>telecommunication customer</w:t>
            </w:r>
            <w:r w:rsidR="00B90543">
              <w:rPr>
                <w:rFonts w:ascii="Arial" w:eastAsia="Calibri" w:hAnsi="Arial" w:cs="Arial"/>
                <w:szCs w:val="22"/>
                <w:lang w:val="en-GB"/>
              </w:rPr>
              <w:t>s</w:t>
            </w:r>
            <w:r w:rsidR="007D571D">
              <w:rPr>
                <w:rFonts w:ascii="Arial" w:eastAsia="Calibri" w:hAnsi="Arial" w:cs="Arial"/>
                <w:szCs w:val="22"/>
                <w:lang w:val="en-GB"/>
              </w:rPr>
              <w:t xml:space="preserve"> from various cities, 42 employees, and </w:t>
            </w:r>
            <w:r w:rsidR="00B90543">
              <w:rPr>
                <w:rFonts w:ascii="Arial" w:eastAsia="Calibri" w:hAnsi="Arial" w:cs="Arial"/>
                <w:szCs w:val="22"/>
                <w:lang w:val="en-GB"/>
              </w:rPr>
              <w:t>five</w:t>
            </w:r>
            <w:r w:rsidR="007D571D">
              <w:rPr>
                <w:rFonts w:ascii="Arial" w:eastAsia="Calibri" w:hAnsi="Arial" w:cs="Arial"/>
                <w:szCs w:val="22"/>
                <w:lang w:val="en-GB"/>
              </w:rPr>
              <w:t xml:space="preserve"> </w:t>
            </w:r>
            <w:r w:rsidR="00C27D25">
              <w:rPr>
                <w:rFonts w:ascii="Arial" w:eastAsia="Calibri" w:hAnsi="Arial" w:cs="Arial"/>
                <w:szCs w:val="22"/>
                <w:lang w:val="en-GB"/>
              </w:rPr>
              <w:t>decision-makers within these companies.</w:t>
            </w:r>
          </w:p>
          <w:p w14:paraId="66A1AA2C" w14:textId="3FBC6634" w:rsidR="00A63A4D" w:rsidRDefault="00C82927" w:rsidP="00A63A4D">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736206" w:rsidRPr="00736206">
              <w:rPr>
                <w:rFonts w:ascii="Arial" w:eastAsia="Calibri" w:hAnsi="Arial" w:cs="Arial"/>
                <w:szCs w:val="22"/>
              </w:rPr>
              <w:t xml:space="preserve">The findings </w:t>
            </w:r>
            <w:r w:rsidR="00B90543">
              <w:rPr>
                <w:rFonts w:ascii="Arial" w:eastAsia="Calibri" w:hAnsi="Arial" w:cs="Arial"/>
                <w:szCs w:val="22"/>
              </w:rPr>
              <w:t>revealed a distinct disparity in maturity levels, with the organization achieving an overall score of 2.88, demonstrating strong performance in the culture and organization aspects, while exhibi</w:t>
            </w:r>
            <w:r w:rsidR="00736206" w:rsidRPr="00736206">
              <w:rPr>
                <w:rFonts w:ascii="Arial" w:eastAsia="Calibri" w:hAnsi="Arial" w:cs="Arial"/>
                <w:szCs w:val="22"/>
              </w:rPr>
              <w:t xml:space="preserve">ting significant deficiencies in the strategy and technology dimensions. </w:t>
            </w:r>
          </w:p>
          <w:p w14:paraId="3D3BFEAF" w14:textId="5BAA554A" w:rsidR="00A63A4D" w:rsidRPr="00A63A4D" w:rsidRDefault="00A63A4D" w:rsidP="00A63A4D">
            <w:pPr>
              <w:pStyle w:val="Body"/>
              <w:spacing w:after="0"/>
              <w:rPr>
                <w:rFonts w:ascii="Arial" w:eastAsia="Calibri" w:hAnsi="Arial" w:cs="Arial"/>
                <w:szCs w:val="22"/>
              </w:rPr>
            </w:pPr>
            <w:r w:rsidRPr="00BA1B01">
              <w:rPr>
                <w:rFonts w:ascii="Arial" w:eastAsia="Calibri" w:hAnsi="Arial" w:cs="Arial"/>
                <w:b/>
                <w:bCs/>
                <w:szCs w:val="22"/>
              </w:rPr>
              <w:t>Conclusion:</w:t>
            </w:r>
            <w:r>
              <w:rPr>
                <w:rFonts w:ascii="Arial" w:eastAsia="Calibri" w:hAnsi="Arial" w:cs="Arial"/>
                <w:b/>
                <w:bCs/>
                <w:szCs w:val="22"/>
              </w:rPr>
              <w:t xml:space="preserve"> </w:t>
            </w:r>
            <w:r w:rsidRPr="00736206">
              <w:rPr>
                <w:rFonts w:ascii="Arial" w:eastAsia="Calibri" w:hAnsi="Arial" w:cs="Arial"/>
                <w:szCs w:val="22"/>
              </w:rPr>
              <w:t xml:space="preserve">The results indicate that </w:t>
            </w:r>
            <w:r w:rsidR="00B90543">
              <w:rPr>
                <w:rFonts w:ascii="Arial" w:eastAsia="Calibri" w:hAnsi="Arial" w:cs="Arial"/>
                <w:szCs w:val="22"/>
              </w:rPr>
              <w:t>an average level of digitalization characterizes the digital maturity of the Libyan telecommunications sector</w:t>
            </w:r>
            <w:r w:rsidRPr="00736206">
              <w:rPr>
                <w:rFonts w:ascii="Arial" w:eastAsia="Calibri" w:hAnsi="Arial" w:cs="Arial"/>
                <w:szCs w:val="22"/>
              </w:rPr>
              <w:t>, requiring more attention to strategic coherence and vision unification</w:t>
            </w:r>
            <w:r w:rsidR="00B90543">
              <w:rPr>
                <w:rFonts w:ascii="Arial" w:eastAsia="Calibri" w:hAnsi="Arial" w:cs="Arial"/>
                <w:szCs w:val="22"/>
              </w:rPr>
              <w:t>. Additionally, there is a need to improve the adoption of new technologies, prepare employees,</w:t>
            </w:r>
            <w:r w:rsidRPr="00736206">
              <w:rPr>
                <w:rFonts w:ascii="Arial" w:eastAsia="Calibri" w:hAnsi="Arial" w:cs="Arial"/>
                <w:szCs w:val="22"/>
              </w:rPr>
              <w:t xml:space="preserve"> and incorporate them into digital transformation initiatives.</w:t>
            </w:r>
          </w:p>
        </w:tc>
      </w:tr>
    </w:tbl>
    <w:p w14:paraId="3D44350C" w14:textId="6393EFD8" w:rsidR="00AD060B" w:rsidRPr="004125FF" w:rsidRDefault="00AD060B" w:rsidP="00AA731C">
      <w:pPr>
        <w:jc w:val="both"/>
        <w:rPr>
          <w:rFonts w:asciiTheme="minorBidi" w:eastAsiaTheme="minorHAnsi" w:hAnsiTheme="minorBidi" w:cstheme="minorBidi"/>
          <w:b/>
          <w:bCs/>
          <w:sz w:val="28"/>
          <w:szCs w:val="28"/>
        </w:rPr>
      </w:pPr>
    </w:p>
    <w:p w14:paraId="53A43FA1" w14:textId="26D65944" w:rsidR="007C5128" w:rsidRPr="004125FF" w:rsidRDefault="00AD060B" w:rsidP="00F2746E">
      <w:pPr>
        <w:autoSpaceDE w:val="0"/>
        <w:autoSpaceDN w:val="0"/>
        <w:adjustRightInd w:val="0"/>
        <w:jc w:val="left"/>
        <w:rPr>
          <w:rFonts w:asciiTheme="minorBidi" w:eastAsiaTheme="minorHAnsi" w:hAnsiTheme="minorBidi" w:cstheme="minorBidi"/>
          <w:color w:val="000000"/>
        </w:rPr>
      </w:pPr>
      <w:r w:rsidRPr="004125FF">
        <w:rPr>
          <w:rFonts w:asciiTheme="minorBidi" w:eastAsiaTheme="minorHAnsi" w:hAnsiTheme="minorBidi" w:cstheme="minorBidi"/>
          <w:i/>
          <w:iCs/>
          <w:color w:val="000000"/>
        </w:rPr>
        <w:t>Keywords:</w:t>
      </w:r>
      <w:r w:rsidRPr="004125FF">
        <w:rPr>
          <w:rFonts w:asciiTheme="minorBidi" w:eastAsiaTheme="minorHAnsi" w:hAnsiTheme="minorBidi" w:cstheme="minorBidi"/>
          <w:b/>
          <w:bCs/>
          <w:i/>
          <w:iCs/>
          <w:color w:val="000000"/>
        </w:rPr>
        <w:t xml:space="preserve"> </w:t>
      </w:r>
      <w:r w:rsidRPr="004125FF">
        <w:rPr>
          <w:rFonts w:asciiTheme="minorBidi" w:eastAsiaTheme="minorHAnsi" w:hAnsiTheme="minorBidi" w:cstheme="minorBidi"/>
          <w:i/>
          <w:iCs/>
          <w:color w:val="000000"/>
        </w:rPr>
        <w:t xml:space="preserve">Digital maturity; </w:t>
      </w:r>
      <w:r w:rsidR="00F2746E" w:rsidRPr="004125FF">
        <w:rPr>
          <w:rFonts w:asciiTheme="minorBidi" w:hAnsiTheme="minorBidi" w:cstheme="minorBidi"/>
          <w:i/>
          <w:iCs/>
        </w:rPr>
        <w:t>Digital transformation;</w:t>
      </w:r>
      <w:r w:rsidR="00F2746E" w:rsidRPr="004125FF">
        <w:rPr>
          <w:rFonts w:asciiTheme="minorBidi" w:hAnsiTheme="minorBidi" w:cstheme="minorBidi"/>
        </w:rPr>
        <w:t xml:space="preserve"> </w:t>
      </w:r>
      <w:r w:rsidRPr="004125FF">
        <w:rPr>
          <w:rFonts w:asciiTheme="minorBidi" w:hAnsiTheme="minorBidi" w:cstheme="minorBidi"/>
          <w:i/>
          <w:iCs/>
        </w:rPr>
        <w:t>Libyan telecommunication sector</w:t>
      </w:r>
      <w:r w:rsidR="00F2746E" w:rsidRPr="004125FF">
        <w:rPr>
          <w:rFonts w:asciiTheme="minorBidi" w:hAnsiTheme="minorBidi" w:cstheme="minorBidi"/>
          <w:i/>
          <w:iCs/>
        </w:rPr>
        <w:t>; qualitative research;</w:t>
      </w:r>
    </w:p>
    <w:p w14:paraId="07D86F3A" w14:textId="77777777" w:rsidR="00AD060B" w:rsidRPr="004125FF" w:rsidRDefault="00AD060B" w:rsidP="00485C55">
      <w:pPr>
        <w:rPr>
          <w:rFonts w:asciiTheme="minorBidi" w:hAnsiTheme="minorBidi" w:cstheme="minorBidi"/>
          <w:sz w:val="28"/>
          <w:szCs w:val="28"/>
        </w:rPr>
      </w:pPr>
    </w:p>
    <w:p w14:paraId="79453371" w14:textId="1A21E6E7" w:rsidR="00317F82" w:rsidRPr="00317F82" w:rsidRDefault="004125FF" w:rsidP="00F044C5">
      <w:pPr>
        <w:pStyle w:val="ListParagraph"/>
        <w:numPr>
          <w:ilvl w:val="0"/>
          <w:numId w:val="19"/>
        </w:numPr>
        <w:ind w:left="357" w:hanging="357"/>
        <w:jc w:val="both"/>
        <w:rPr>
          <w:rFonts w:ascii="Arial" w:hAnsi="Arial" w:cs="Arial"/>
          <w:b/>
          <w:bCs/>
        </w:rPr>
      </w:pPr>
      <w:r w:rsidRPr="00317F82">
        <w:rPr>
          <w:rFonts w:ascii="Arial" w:hAnsi="Arial" w:cs="Arial"/>
          <w:b/>
          <w:bCs/>
        </w:rPr>
        <w:t xml:space="preserve">INTRODUCTION </w:t>
      </w:r>
    </w:p>
    <w:p w14:paraId="2F4B0BD4" w14:textId="1E428D4A" w:rsidR="000D4D4C" w:rsidRPr="004125FF" w:rsidRDefault="004816D5" w:rsidP="00FA55C8">
      <w:pPr>
        <w:jc w:val="both"/>
        <w:rPr>
          <w:rFonts w:asciiTheme="minorBidi" w:eastAsia="Times New Roman" w:hAnsiTheme="minorBidi" w:cstheme="minorBidi"/>
          <w:lang w:eastAsia="en-GB"/>
        </w:rPr>
      </w:pPr>
      <w:r w:rsidRPr="004125FF">
        <w:rPr>
          <w:rFonts w:asciiTheme="minorBidi" w:eastAsia="Times New Roman" w:hAnsiTheme="minorBidi" w:cstheme="minorBidi"/>
          <w:lang w:eastAsia="en-GB"/>
        </w:rPr>
        <w:t xml:space="preserve">Success in the telecommunications sector is no longer limited to offering basic services like </w:t>
      </w:r>
      <w:r w:rsidR="00B90543">
        <w:rPr>
          <w:rFonts w:asciiTheme="minorBidi" w:eastAsia="Times New Roman" w:hAnsiTheme="minorBidi" w:cstheme="minorBidi"/>
          <w:lang w:eastAsia="en-GB"/>
        </w:rPr>
        <w:t>i</w:t>
      </w:r>
      <w:r w:rsidRPr="004125FF">
        <w:rPr>
          <w:rFonts w:asciiTheme="minorBidi" w:eastAsia="Times New Roman" w:hAnsiTheme="minorBidi" w:cstheme="minorBidi"/>
          <w:lang w:eastAsia="en-GB"/>
        </w:rPr>
        <w:t>nternet and voice calls in a swiftly changing environment</w:t>
      </w:r>
      <w:r w:rsidR="000D4D4C" w:rsidRPr="004125FF">
        <w:rPr>
          <w:rFonts w:asciiTheme="minorBidi" w:eastAsia="Times New Roman" w:hAnsiTheme="minorBidi" w:cstheme="minorBidi"/>
          <w:lang w:eastAsia="en-GB"/>
        </w:rPr>
        <w:t>. It now primarily relies on organisations' ability to adopt digital technologies and integrate them into all aspects of their operations, enhancing operational efficiency and delivering additional value to customers. Therefore, assessing digital maturity as a vital strategic instrument becomes essential</w:t>
      </w:r>
      <w:r w:rsidR="0024453A" w:rsidRPr="004125FF">
        <w:rPr>
          <w:rFonts w:asciiTheme="minorBidi" w:eastAsia="Times New Roman" w:hAnsiTheme="minorBidi" w:cstheme="minorBidi"/>
          <w:lang w:eastAsia="en-GB"/>
        </w:rPr>
        <w:t xml:space="preserve"> </w:t>
      </w:r>
      <w:r w:rsidR="0024453A" w:rsidRPr="004125FF">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{"citationItems":[{"id":"ITEM-1","itemData":{"author":[{"dropping-particle":"","family":"Arkhipova","given":"L I","non-dropping-particle":"","parse-names":false,"suffix":""}],"id":"ITEM-1","issued":{"date-parts":[["2025"]]},"page":"23-24","title":"Udc 330.33:004 digital maturity categories in business: integrating and assessment","type":"article-journal"},"uris":["http://www.mendeley.com/documents/?uuid=5b9fdacd-9853-489e-b8fe-becee92fb71a"]}],"mendeley":{"formattedCitation":"(Arkhipova, 2025)","plainTextFormattedCitation":"(Arkhipova, 2025)","previouslyFormattedCitation":"(Arkhipova, 2025)"},"properties":{"noteIndex":0},"schema":"https://github.com/citation-style-language/schema/raw/master/csl-citation.json"}</w:instrText>
      </w:r>
      <w:r w:rsidR="0024453A" w:rsidRPr="004125FF">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(Arkhipova, 2025)</w:t>
      </w:r>
      <w:r w:rsidR="0024453A" w:rsidRPr="004125FF">
        <w:rPr>
          <w:rFonts w:asciiTheme="minorBidi" w:eastAsia="Times New Roman" w:hAnsiTheme="minorBidi" w:cstheme="minorBidi"/>
          <w:lang w:eastAsia="en-GB"/>
        </w:rPr>
        <w:fldChar w:fldCharType="end"/>
      </w:r>
      <w:r w:rsidR="000D4D4C" w:rsidRPr="004125FF">
        <w:rPr>
          <w:rFonts w:asciiTheme="minorBidi" w:eastAsia="Times New Roman" w:hAnsiTheme="minorBidi" w:cstheme="minorBidi"/>
          <w:lang w:eastAsia="en-GB"/>
        </w:rPr>
        <w:t>. The organisational environment is rapidly altering in the digital age, becoming increasingly complex, unexpected, and uncertain compared to previous eras. Due to rapid fluctuations in demand, technology, competition, and legislation, it is increasingly imperative for organisations to respond and adapt to their envir</w:t>
      </w:r>
      <w:r w:rsidR="0024453A" w:rsidRPr="004125FF">
        <w:rPr>
          <w:rFonts w:asciiTheme="minorBidi" w:eastAsia="Times New Roman" w:hAnsiTheme="minorBidi" w:cstheme="minorBidi"/>
          <w:lang w:eastAsia="en-GB"/>
        </w:rPr>
        <w:t xml:space="preserve">onment </w:t>
      </w:r>
      <w:r w:rsidR="0024453A" w:rsidRPr="004125FF">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{"citationItems":[{"id":"ITEM-1","itemData":{"DOI":"10.1016/j.emj.2022.09.007","ISSN":"02632373","abstract":"The ongoing and ubiquitous digital transformation challenges the raison d'être of firms and forces managers to rethink business strategies and operations and academics to reconsider related theories. To aid these efforts, we conduct a systematic review of research on firms' digital transformation, generating a database of 537 peer-reviewed academic articles and analyzing it using a novel multi-layered framework. The framework separates three layers: an organization's core activities, its peripheral activities, and its external environment. We find that firms that have come far in their transformations are more embedded in platform ecosystems with unclear business boundaries. Relatedly, we identify a tension between decentralizing versus centralizing power across organizational layers during a firm's digital transformation and how this dynamic affects corporate strategies and firms' internal and external boundaries.","author":[{"dropping-particle":"","family":"Plekhanov","given":"Dmitry","non-dropping-particle":"","parse-names":false,"suffix":""},{"dropping-particle":"","family":"Franke","given":"Henrik","non-dropping-particle":"","parse-names":false,"suffix":""},{"dropping-particle":"","family":"Netland","given":"Torbjørn H.","non-dropping-particle":"","parse-names":false,"suffix":""}],"container-title":"European Management Journal","id":"ITEM-1","issue":"6","issued":{"date-parts":[["2023"]]},"page":"821-844","title":"Digital transformation: A review and research agenda","type":"article-journal","volume":"41"},"uris":["http://www.mendeley.com/documents/?uuid=7fec60f0-c985-42ec-b841-cddff550d56c"]}],"mendeley":{"formattedCitation":"(Plekhanov et al., 2023)","plainTextFormattedCitation":"(Plekhanov et al., 2023)","previouslyFormattedCitation":"(Plekhanov et al., 2023)"},"properties":{"noteIndex":0},"schema":"https://github.com/citation-style-language/schema/raw/master/csl-citation.json"}</w:instrText>
      </w:r>
      <w:r w:rsidR="0024453A" w:rsidRPr="004125FF">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(Plekhanov et al., 2023)</w:t>
      </w:r>
      <w:r w:rsidR="0024453A" w:rsidRPr="004125FF">
        <w:rPr>
          <w:rFonts w:asciiTheme="minorBidi" w:eastAsia="Times New Roman" w:hAnsiTheme="minorBidi" w:cstheme="minorBidi"/>
          <w:lang w:eastAsia="en-GB"/>
        </w:rPr>
        <w:fldChar w:fldCharType="end"/>
      </w:r>
      <w:r w:rsidR="000D4D4C" w:rsidRPr="004125FF">
        <w:rPr>
          <w:rFonts w:asciiTheme="minorBidi" w:eastAsia="Times New Roman" w:hAnsiTheme="minorBidi" w:cstheme="minorBidi"/>
          <w:lang w:eastAsia="en-GB"/>
        </w:rPr>
        <w:t>. The phrase "digital maturity," although lacking a definitive definition, can be characterized as an organization's ability to utilize digital technology effectively and efficiently</w:t>
      </w:r>
      <w:r w:rsidR="0024453A" w:rsidRPr="004125FF">
        <w:rPr>
          <w:rFonts w:asciiTheme="minorBidi" w:eastAsia="Times New Roman" w:hAnsiTheme="minorBidi" w:cstheme="minorBidi"/>
          <w:lang w:eastAsia="en-GB"/>
        </w:rPr>
        <w:t xml:space="preserve"> to achieve its strategic goals</w:t>
      </w:r>
      <w:r w:rsidR="000D4D4C" w:rsidRPr="004125FF">
        <w:rPr>
          <w:rFonts w:asciiTheme="minorBidi" w:eastAsia="Times New Roman" w:hAnsiTheme="minorBidi" w:cstheme="minorBidi"/>
          <w:lang w:eastAsia="en-GB"/>
        </w:rPr>
        <w:t xml:space="preserve"> </w:t>
      </w:r>
      <w:r w:rsidR="0024453A" w:rsidRPr="004125FF">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{"citationItems":[{"id":"ITEM-1","itemData":{"author":[{"dropping-particle":"","family":"Rossmann","given":"Alexander","non-dropping-particle":"","parse-names":false,"suffix":""}],"id":"ITEM-1","issue":"November","issued":{"date-parts":[["2020"]]},"title":"Digital Maturity : Conceptualization and Measurement Model Digital Maturity : Conceptualization and Measurement Model","type":"article-journal"},"uris":["http://www.mendeley.com/documents/?uuid=dd6ff7c2-5e4f-40c8-a694-c878439e3e91"]}],"mendeley":{"formattedCitation":"(Rossmann, 2020)","plainTextFormattedCitation":"(Rossmann, 2020)","previouslyFormattedCitation":"(Rossmann, 2020)"},"properties":{"noteIndex":0},"schema":"https://github.com/citation-style-language/schema/raw/master/csl-citation.json"}</w:instrText>
      </w:r>
      <w:r w:rsidR="0024453A" w:rsidRPr="004125FF">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(Rossmann, 2020)</w:t>
      </w:r>
      <w:r w:rsidR="0024453A" w:rsidRPr="004125FF">
        <w:rPr>
          <w:rFonts w:asciiTheme="minorBidi" w:eastAsia="Times New Roman" w:hAnsiTheme="minorBidi" w:cstheme="minorBidi"/>
          <w:lang w:eastAsia="en-GB"/>
        </w:rPr>
        <w:fldChar w:fldCharType="end"/>
      </w:r>
      <w:r w:rsidR="000D4D4C" w:rsidRPr="004125FF">
        <w:rPr>
          <w:rFonts w:asciiTheme="minorBidi" w:eastAsia="Times New Roman" w:hAnsiTheme="minorBidi" w:cstheme="minorBidi"/>
          <w:lang w:eastAsia="en-GB"/>
        </w:rPr>
        <w:t>. Digital maturity measurement is a systematic and comprehensive assessment of a telecommunications company's ability to leverage data, technology, and digital culture to achieve its objectives. Although the latest software and technology are undeniably significant, digital maturity also relies on integrating these tools into a business's strategy, enhancing customer satisfaction, optimizing operations, and cultivating an innovative culture</w:t>
      </w:r>
      <w:r w:rsidR="00885488" w:rsidRPr="004125FF">
        <w:rPr>
          <w:rFonts w:asciiTheme="minorBidi" w:eastAsia="Times New Roman" w:hAnsiTheme="minorBidi" w:cstheme="minorBidi"/>
          <w:lang w:eastAsia="en-GB"/>
        </w:rPr>
        <w:t xml:space="preserve"> </w:t>
      </w:r>
      <w:r w:rsidR="00885488" w:rsidRPr="004125FF">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author":[{"dropping-particle":"","family":"Aagaard","given":"Annabeth","non-dropping-particle":"","parse-names":false,"suffix":""},{"dropping-particle":"","family":"Presser","given":"Mirko","non-dropping-particle":"","parse-names":false,"suffix":""},{"dropping-particle":"","family":"Collins","given":"Tom","non-dropping-particle":"","parse-names":false,"suffix":""},{"dropping-particle":"","family":"Beliatis","given":"Michail","non-dropping-particle":"","parse-names":false,"suffix":""},{"dropping-particle":"","family":"Jakobsen","given":"Emilie Mathilde","non-dropping-particle":"","parse-names":false,"suffix":""},{"dropping-particle":"","family":"Skou","given":"Anita Krogsøe","non-dropping-particle":"","parse-names":false,"suffix":""}],"id":"ITEM-1","issued":{"date-parts":[["2021"]]},"title":"The Role of Digital Maturity Assessment in Technology Interventions with Industrial Internet Playground","type":"article-journal"},"uris":["http://www.mendeley.com/documents/?uuid=c13387b4-0a69-4418-8b46-2f44158af7a2"]}],"mendeley":{"formattedCitation":"(Aagaard et al., 2021)","plainTextFormattedCitation":"(Aagaard et al., 2021)","previouslyFormattedCitation":"(Aagaard et al., 2021)"},"properties":{"noteIndex":0},"schema":"https://github.com/citation-style-language/schema/raw/master/csl-citation.json"}</w:instrText>
      </w:r>
      <w:r w:rsidR="00885488" w:rsidRPr="004125FF">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(Aagaard et al., 2021)</w:t>
      </w:r>
      <w:r w:rsidR="00885488" w:rsidRPr="004125FF">
        <w:rPr>
          <w:rFonts w:asciiTheme="minorBidi" w:eastAsia="Times New Roman" w:hAnsiTheme="minorBidi" w:cstheme="minorBidi"/>
          <w:lang w:eastAsia="en-GB"/>
        </w:rPr>
        <w:fldChar w:fldCharType="end"/>
      </w:r>
      <w:r w:rsidR="000D4D4C" w:rsidRPr="004125FF">
        <w:rPr>
          <w:rFonts w:asciiTheme="minorBidi" w:eastAsia="Times New Roman" w:hAnsiTheme="minorBidi" w:cstheme="minorBidi"/>
          <w:lang w:eastAsia="en-GB"/>
        </w:rPr>
        <w:t>. The emergence and growing importance of new digital technologies, such as social media, cloud computing, big data and analytics, the Internet of Things, and artificial intelligence, have significantly intensified the pressure on businesses to modify their strategies in response to technological advancements in the environment. They are substantially influencing the strategic framework of organisations by modifying the competitive environment, consu</w:t>
      </w:r>
      <w:r w:rsidR="00885488" w:rsidRPr="004125FF">
        <w:rPr>
          <w:rFonts w:asciiTheme="minorBidi" w:eastAsia="Times New Roman" w:hAnsiTheme="minorBidi" w:cstheme="minorBidi"/>
          <w:lang w:eastAsia="en-GB"/>
        </w:rPr>
        <w:t xml:space="preserve">mer behaviour, and expectations </w:t>
      </w:r>
      <w:r w:rsidR="00885488" w:rsidRPr="004125FF">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{"citationItems":[{"id":"ITEM-1","itemData":{"author":[{"dropping-particle":"","family":"Sacavém","given":"António","non-dropping-particle":"","parse-names":false,"suffix":""},{"dropping-particle":"","family":"Machado","given":"Andreia De Bem","non-dropping-particle":"","parse-names":false,"suffix":""},{"dropping-particle":"","family":"Palma-moreira","given":"Ana","non-dropping-particle":"","parse-names":false,"suffix":""}],"id":"ITEM-1","issued":{"date-parts":[["2025"]]},"page":"1-21","title":"Leading in the Digital Age : The Role of Leadership in Organizational Digital Transformation","type":"article-journal"},"uris":["http://www.mendeley.com/documents/?uuid=89631891-6568-4fd2-8fd8-f9e1c446d785"]}],"mendeley":{"formattedCitation":"(Sacavém et al., 2025)","plainTextFormattedCitation":"(Sacavém et al., 2025)","previouslyFormattedCitation":"(Sacavém et al., 2025)"},"properties":{"noteIndex":0},"schema":"https://github.com/citation-style-language/schema/raw/master/csl-citation.json"}</w:instrText>
      </w:r>
      <w:r w:rsidR="00885488" w:rsidRPr="004125FF">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(Sacavém et al., 2025)</w:t>
      </w:r>
      <w:r w:rsidR="00885488" w:rsidRPr="004125FF">
        <w:rPr>
          <w:rFonts w:asciiTheme="minorBidi" w:eastAsia="Times New Roman" w:hAnsiTheme="minorBidi" w:cstheme="minorBidi"/>
          <w:lang w:eastAsia="en-GB"/>
        </w:rPr>
        <w:fldChar w:fldCharType="end"/>
      </w:r>
      <w:r w:rsidR="000D4D4C" w:rsidRPr="004125FF">
        <w:rPr>
          <w:rFonts w:asciiTheme="minorBidi" w:eastAsia="Times New Roman" w:hAnsiTheme="minorBidi" w:cstheme="minorBidi"/>
          <w:lang w:eastAsia="en-GB"/>
        </w:rPr>
        <w:t>. The Digital Maturity Indicator is typically used as a primary instrument to evaluate an organization's ability to incorporate and leverage digital technologies to achieve business objectives. The DMI provides an in-depth assessment of the organization's digital preparedness, enabling the identification of strengths and weaknesses while facilitating the development of a strategic plan for enhancement across all dimensions. It assesses a company's ability and preparedness to implement digital projects effectively. To optimise operations and sustain competitiveness in an evolving digital landscape, firms must assess their digital maturity to identify strengths and areas for enhancement. By consistently evaluating their Digital Maturity Index, firms can ensure they are well-positioned to leverage digital innovatio</w:t>
      </w:r>
      <w:r w:rsidR="00885488" w:rsidRPr="004125FF">
        <w:rPr>
          <w:rFonts w:asciiTheme="minorBidi" w:eastAsia="Times New Roman" w:hAnsiTheme="minorBidi" w:cstheme="minorBidi"/>
          <w:lang w:eastAsia="en-GB"/>
        </w:rPr>
        <w:t xml:space="preserve">ns and foster sustained success </w:t>
      </w:r>
      <w:r w:rsidR="00885488" w:rsidRPr="004125FF">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{"citationItems":[{"id":"ITEM-1","itemData":{"author":[{"dropping-particle":"","family":"Tubis","given":"Agnieszka A","non-dropping-particle":"","parse-names":false,"suffix":""}],"id":"ITEM-1","issued":{"date-parts":[["2023"]]},"title":"Digital Maturity Assessment Model for the Organizational and Process Dimensions","type":"article-journal"},"uris":["http://www.mendeley.com/documents/?uuid=7200b360-48da-475c-a1dd-6a892c132890"]}],"mendeley":{"formattedCitation":"(Tubis, 2023)","plainTextFormattedCitation":"(Tubis, 2023)","previouslyFormattedCitation":"(Tubis, 2023)"},"properties":{"noteIndex":0},"schema":"https://github.com/citation-style-language/schema/raw/master/csl-citation.json"}</w:instrText>
      </w:r>
      <w:r w:rsidR="00885488" w:rsidRPr="004125FF">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(Tubis, 2023)</w:t>
      </w:r>
      <w:r w:rsidR="00885488" w:rsidRPr="004125FF">
        <w:rPr>
          <w:rFonts w:asciiTheme="minorBidi" w:eastAsia="Times New Roman" w:hAnsiTheme="minorBidi" w:cstheme="minorBidi"/>
          <w:lang w:eastAsia="en-GB"/>
        </w:rPr>
        <w:fldChar w:fldCharType="end"/>
      </w:r>
      <w:r w:rsidR="000D4D4C" w:rsidRPr="004125FF">
        <w:rPr>
          <w:rFonts w:asciiTheme="minorBidi" w:eastAsia="Times New Roman" w:hAnsiTheme="minorBidi" w:cstheme="minorBidi"/>
          <w:lang w:eastAsia="en-GB"/>
        </w:rPr>
        <w:t>.</w:t>
      </w:r>
      <w:r w:rsidR="000D4D4C" w:rsidRPr="004125FF">
        <w:rPr>
          <w:rFonts w:asciiTheme="minorBidi" w:hAnsiTheme="minorBidi" w:cstheme="minorBidi"/>
        </w:rPr>
        <w:t xml:space="preserve"> </w:t>
      </w:r>
      <w:r w:rsidR="000D4D4C" w:rsidRPr="004125FF">
        <w:rPr>
          <w:rFonts w:asciiTheme="minorBidi" w:eastAsia="Times New Roman" w:hAnsiTheme="minorBidi" w:cstheme="minorBidi"/>
          <w:lang w:eastAsia="en-GB"/>
        </w:rPr>
        <w:t xml:space="preserve">To remain competitive and sustainable in today's technologically advanced and globally networked world, digital maturity has become a crucial criterion for the competitiveness and sustainability of any industry. The concept of digital maturity is particularly relevant for Libya's </w:t>
      </w:r>
      <w:r w:rsidR="000D4D4C" w:rsidRPr="004125FF">
        <w:rPr>
          <w:rFonts w:asciiTheme="minorBidi" w:eastAsia="Times New Roman" w:hAnsiTheme="minorBidi" w:cstheme="minorBidi"/>
          <w:lang w:eastAsia="en-GB"/>
        </w:rPr>
        <w:lastRenderedPageBreak/>
        <w:t>telecommunications sector, which presents a unique opportunity to drive digital transformation across social and economic domains. Despite Libya's high mobile adoption rates, issues persist due to unreliable infrastructure, limited broadband access, and a fragmented regulatory framework. This setting renders the pursuit of digital maturity not only an operational objective but a strategic requirement.</w:t>
      </w:r>
    </w:p>
    <w:p w14:paraId="6D119B74" w14:textId="6C657278" w:rsidR="000D4D4C" w:rsidRPr="004125FF" w:rsidRDefault="000D4D4C" w:rsidP="000D4D4C">
      <w:pPr>
        <w:jc w:val="both"/>
        <w:rPr>
          <w:rFonts w:asciiTheme="minorBidi" w:eastAsia="Times New Roman" w:hAnsiTheme="minorBidi" w:cstheme="minorBidi"/>
          <w:lang w:eastAsia="en-GB"/>
        </w:rPr>
      </w:pPr>
      <w:r w:rsidRPr="004125FF">
        <w:rPr>
          <w:rFonts w:asciiTheme="minorBidi" w:eastAsia="Times New Roman" w:hAnsiTheme="minorBidi" w:cstheme="minorBidi"/>
          <w:lang w:eastAsia="en-GB"/>
        </w:rPr>
        <w:t>This research aims to assess the digital maturity within the telecommunications sector in Libya. Libyan telecommunications companies face several challenges, including the need to modernize aging infrastructure, adapt to rapid technological advancements, and meet consumers' growing expectations for more advanced and efficient digital services. Therefore, this study aims to provide a comprehensive and objective assessment of the current level of digital maturity among these companies. By analysing key dimensions of digital maturity, such as customer experience, digital strategy, technology, organization, and culture, this paper seeks to identify strengths and weaknesses and provide valuable insights to help formulate effective improvement plans.</w:t>
      </w:r>
    </w:p>
    <w:p w14:paraId="5785B05E" w14:textId="77777777" w:rsidR="000D4D4C" w:rsidRPr="004125FF" w:rsidRDefault="000D4D4C" w:rsidP="000D4D4C">
      <w:pPr>
        <w:jc w:val="both"/>
        <w:rPr>
          <w:rFonts w:asciiTheme="minorBidi" w:eastAsia="Times New Roman" w:hAnsiTheme="minorBidi" w:cstheme="minorBidi"/>
          <w:lang w:eastAsia="en-GB"/>
        </w:rPr>
      </w:pPr>
      <w:r w:rsidRPr="004125FF">
        <w:rPr>
          <w:rFonts w:asciiTheme="minorBidi" w:eastAsia="Times New Roman" w:hAnsiTheme="minorBidi" w:cstheme="minorBidi"/>
          <w:lang w:eastAsia="en-GB"/>
        </w:rPr>
        <w:t>In addition, this research will focus on the following aspects to address the research question: Is the telecommunication sector in Libya prepared for digital transformation?</w:t>
      </w:r>
    </w:p>
    <w:p w14:paraId="3ECBF079" w14:textId="77777777" w:rsidR="000D4D4C" w:rsidRPr="004125FF" w:rsidRDefault="000D4D4C" w:rsidP="00F044C5">
      <w:pPr>
        <w:pStyle w:val="ListParagraph"/>
        <w:numPr>
          <w:ilvl w:val="0"/>
          <w:numId w:val="10"/>
        </w:numPr>
        <w:spacing w:after="160" w:line="256" w:lineRule="auto"/>
        <w:jc w:val="both"/>
        <w:rPr>
          <w:rFonts w:asciiTheme="minorBidi" w:eastAsia="Times New Roman" w:hAnsiTheme="minorBidi"/>
          <w:sz w:val="20"/>
          <w:szCs w:val="20"/>
          <w:lang w:eastAsia="en-GB"/>
        </w:rPr>
      </w:pPr>
      <w:r w:rsidRPr="004125FF">
        <w:rPr>
          <w:rFonts w:asciiTheme="minorBidi" w:eastAsia="Times New Roman" w:hAnsiTheme="minorBidi"/>
          <w:sz w:val="20"/>
          <w:szCs w:val="20"/>
          <w:lang w:eastAsia="en-GB"/>
        </w:rPr>
        <w:t>Current Situation Assessment: Identify the current level of digital maturity in the Libyan telecommunications sector.</w:t>
      </w:r>
    </w:p>
    <w:p w14:paraId="30D52222" w14:textId="1DEF2FE4" w:rsidR="000D4D4C" w:rsidRPr="004125FF" w:rsidRDefault="000D4D4C" w:rsidP="00F044C5">
      <w:pPr>
        <w:pStyle w:val="ListParagraph"/>
        <w:numPr>
          <w:ilvl w:val="0"/>
          <w:numId w:val="10"/>
        </w:numPr>
        <w:spacing w:after="160" w:line="256" w:lineRule="auto"/>
        <w:jc w:val="both"/>
        <w:rPr>
          <w:rFonts w:asciiTheme="minorBidi" w:eastAsia="Times New Roman" w:hAnsiTheme="minorBidi"/>
          <w:sz w:val="20"/>
          <w:szCs w:val="20"/>
          <w:lang w:eastAsia="en-GB"/>
        </w:rPr>
      </w:pPr>
      <w:r w:rsidRPr="004125FF">
        <w:rPr>
          <w:rFonts w:asciiTheme="minorBidi" w:eastAsia="Times New Roman" w:hAnsiTheme="minorBidi"/>
          <w:sz w:val="20"/>
          <w:szCs w:val="20"/>
          <w:lang w:eastAsia="en-GB"/>
        </w:rPr>
        <w:t xml:space="preserve">Identifying gaps: Identifying </w:t>
      </w:r>
      <w:r w:rsidR="00B90543">
        <w:rPr>
          <w:rFonts w:asciiTheme="minorBidi" w:eastAsia="Times New Roman" w:hAnsiTheme="minorBidi"/>
          <w:sz w:val="20"/>
          <w:szCs w:val="20"/>
          <w:lang w:eastAsia="en-GB"/>
        </w:rPr>
        <w:t>the differences between the current status and the ideal standards of digital maturity</w:t>
      </w:r>
      <w:r w:rsidRPr="004125FF">
        <w:rPr>
          <w:rFonts w:asciiTheme="minorBidi" w:eastAsia="Times New Roman" w:hAnsiTheme="minorBidi"/>
          <w:sz w:val="20"/>
          <w:szCs w:val="20"/>
          <w:lang w:eastAsia="en-GB"/>
        </w:rPr>
        <w:t>.</w:t>
      </w:r>
    </w:p>
    <w:p w14:paraId="7B8B3376" w14:textId="77777777" w:rsidR="000D4D4C" w:rsidRPr="004125FF" w:rsidRDefault="000D4D4C" w:rsidP="00F044C5">
      <w:pPr>
        <w:pStyle w:val="ListParagraph"/>
        <w:numPr>
          <w:ilvl w:val="0"/>
          <w:numId w:val="10"/>
        </w:numPr>
        <w:spacing w:after="160" w:line="256" w:lineRule="auto"/>
        <w:jc w:val="both"/>
        <w:rPr>
          <w:rFonts w:asciiTheme="minorBidi" w:eastAsia="Times New Roman" w:hAnsiTheme="minorBidi"/>
          <w:sz w:val="20"/>
          <w:szCs w:val="20"/>
          <w:lang w:eastAsia="en-GB"/>
        </w:rPr>
      </w:pPr>
      <w:r w:rsidRPr="004125FF">
        <w:rPr>
          <w:rFonts w:asciiTheme="minorBidi" w:eastAsia="Times New Roman" w:hAnsiTheme="minorBidi"/>
          <w:sz w:val="20"/>
          <w:szCs w:val="20"/>
          <w:lang w:eastAsia="en-GB"/>
        </w:rPr>
        <w:t>Providing recommendations: Formulating practical and targeted recommendations to improve digital maturity and increase the sector's competitiveness.</w:t>
      </w:r>
    </w:p>
    <w:p w14:paraId="26423027" w14:textId="28659DAB" w:rsidR="000D4D4C" w:rsidRPr="004125FF" w:rsidRDefault="000D4D4C" w:rsidP="000D4D4C">
      <w:pPr>
        <w:rPr>
          <w:rFonts w:asciiTheme="minorBidi" w:eastAsia="Times New Roman" w:hAnsiTheme="minorBidi" w:cstheme="minorBidi"/>
          <w:lang w:eastAsia="en-GB"/>
        </w:rPr>
      </w:pPr>
      <w:r w:rsidRPr="004125FF">
        <w:rPr>
          <w:rFonts w:asciiTheme="minorBidi" w:eastAsia="Times New Roman" w:hAnsiTheme="minorBidi" w:cstheme="minorBidi"/>
          <w:lang w:eastAsia="en-GB"/>
        </w:rPr>
        <w:t>However, this research is important to the telecommunication sector in Libya for several reasons, including:</w:t>
      </w:r>
    </w:p>
    <w:p w14:paraId="543E0C6D" w14:textId="77777777" w:rsidR="000D4D4C" w:rsidRPr="004125FF" w:rsidRDefault="000D4D4C" w:rsidP="00F044C5">
      <w:pPr>
        <w:pStyle w:val="ListParagraph"/>
        <w:numPr>
          <w:ilvl w:val="0"/>
          <w:numId w:val="11"/>
        </w:numPr>
        <w:spacing w:after="160" w:line="256" w:lineRule="auto"/>
        <w:jc w:val="both"/>
        <w:rPr>
          <w:rFonts w:asciiTheme="minorBidi" w:eastAsia="Times New Roman" w:hAnsiTheme="minorBidi"/>
          <w:sz w:val="20"/>
          <w:szCs w:val="20"/>
          <w:lang w:eastAsia="en-GB"/>
        </w:rPr>
      </w:pPr>
      <w:r w:rsidRPr="004125FF">
        <w:rPr>
          <w:rFonts w:asciiTheme="minorBidi" w:eastAsia="Times New Roman" w:hAnsiTheme="minorBidi"/>
          <w:sz w:val="20"/>
          <w:szCs w:val="20"/>
          <w:lang w:eastAsia="en-GB"/>
        </w:rPr>
        <w:t>It contributes to enriching the scientific literature, especially in the area of digital maturity within the telecommunications sector.</w:t>
      </w:r>
    </w:p>
    <w:p w14:paraId="6B6F9DA4" w14:textId="77777777" w:rsidR="000D4D4C" w:rsidRPr="004125FF" w:rsidRDefault="000D4D4C" w:rsidP="00F044C5">
      <w:pPr>
        <w:pStyle w:val="ListParagraph"/>
        <w:numPr>
          <w:ilvl w:val="0"/>
          <w:numId w:val="11"/>
        </w:numPr>
        <w:spacing w:after="160" w:line="256" w:lineRule="auto"/>
        <w:jc w:val="both"/>
        <w:rPr>
          <w:rFonts w:asciiTheme="minorBidi" w:eastAsia="Times New Roman" w:hAnsiTheme="minorBidi"/>
          <w:sz w:val="20"/>
          <w:szCs w:val="20"/>
          <w:lang w:eastAsia="en-GB"/>
        </w:rPr>
      </w:pPr>
      <w:r w:rsidRPr="004125FF">
        <w:rPr>
          <w:rFonts w:asciiTheme="minorBidi" w:eastAsia="Times New Roman" w:hAnsiTheme="minorBidi"/>
          <w:sz w:val="20"/>
          <w:szCs w:val="20"/>
          <w:lang w:eastAsia="en-GB"/>
        </w:rPr>
        <w:t>It provides sector stakeholders, including companies and regulators, with a reliable assessment tool and a reference point for strategic decision-making.</w:t>
      </w:r>
    </w:p>
    <w:p w14:paraId="1DA21616" w14:textId="25C02E7C" w:rsidR="000418E4" w:rsidRPr="004125FF" w:rsidRDefault="000D4D4C" w:rsidP="00F044C5">
      <w:pPr>
        <w:pStyle w:val="ListParagraph"/>
        <w:numPr>
          <w:ilvl w:val="0"/>
          <w:numId w:val="11"/>
        </w:numPr>
        <w:spacing w:after="160" w:line="256" w:lineRule="auto"/>
        <w:jc w:val="both"/>
        <w:rPr>
          <w:rFonts w:asciiTheme="minorBidi" w:eastAsia="Times New Roman" w:hAnsiTheme="minorBidi"/>
          <w:sz w:val="20"/>
          <w:szCs w:val="20"/>
          <w:lang w:eastAsia="en-GB"/>
        </w:rPr>
      </w:pPr>
      <w:r w:rsidRPr="004125FF">
        <w:rPr>
          <w:rFonts w:asciiTheme="minorBidi" w:eastAsia="Times New Roman" w:hAnsiTheme="minorBidi"/>
          <w:sz w:val="20"/>
          <w:szCs w:val="20"/>
          <w:lang w:eastAsia="en-GB"/>
        </w:rPr>
        <w:t>By enhancing digital maturity, telecommunications companies can further contribute to driving economic growth in Libya.</w:t>
      </w:r>
    </w:p>
    <w:p w14:paraId="58C4147A" w14:textId="77777777" w:rsidR="006C784D" w:rsidRPr="004125FF" w:rsidRDefault="006C784D" w:rsidP="006C784D">
      <w:pPr>
        <w:pStyle w:val="ListParagraph"/>
        <w:spacing w:after="160" w:line="256" w:lineRule="auto"/>
        <w:jc w:val="both"/>
        <w:rPr>
          <w:rFonts w:asciiTheme="minorBidi" w:eastAsia="Times New Roman" w:hAnsiTheme="minorBidi"/>
          <w:sz w:val="20"/>
          <w:szCs w:val="20"/>
          <w:lang w:eastAsia="en-GB"/>
        </w:rPr>
      </w:pPr>
    </w:p>
    <w:p w14:paraId="22009F64" w14:textId="285B2615" w:rsidR="000418E4" w:rsidRPr="00317F82" w:rsidRDefault="00317F82" w:rsidP="00F044C5">
      <w:pPr>
        <w:pStyle w:val="ListParagraph"/>
        <w:numPr>
          <w:ilvl w:val="0"/>
          <w:numId w:val="19"/>
        </w:numPr>
        <w:spacing w:after="160" w:line="257" w:lineRule="auto"/>
        <w:ind w:left="357" w:hanging="357"/>
        <w:jc w:val="both"/>
        <w:rPr>
          <w:rFonts w:asciiTheme="minorBidi" w:hAnsiTheme="minorBidi"/>
          <w:b/>
          <w:bCs/>
          <w:shd w:val="clear" w:color="auto" w:fill="FFFFFF"/>
        </w:rPr>
      </w:pPr>
      <w:r w:rsidRPr="00317F82">
        <w:rPr>
          <w:rFonts w:asciiTheme="minorBidi" w:hAnsiTheme="minorBidi"/>
          <w:b/>
          <w:bCs/>
        </w:rPr>
        <w:t xml:space="preserve">BACKGROUND </w:t>
      </w:r>
    </w:p>
    <w:p w14:paraId="09FCBFE3" w14:textId="06E8EF4C" w:rsidR="000418E4" w:rsidRPr="004125FF" w:rsidRDefault="000D4D4C" w:rsidP="006C784D">
      <w:pPr>
        <w:spacing w:after="160" w:line="257" w:lineRule="auto"/>
        <w:jc w:val="both"/>
        <w:rPr>
          <w:rFonts w:asciiTheme="minorBidi" w:hAnsiTheme="minorBidi" w:cstheme="minorBidi"/>
          <w:sz w:val="28"/>
          <w:szCs w:val="28"/>
          <w:shd w:val="clear" w:color="auto" w:fill="FFFFFF"/>
        </w:rPr>
      </w:pPr>
      <w:r w:rsidRPr="004125FF">
        <w:rPr>
          <w:rFonts w:asciiTheme="minorBidi" w:hAnsiTheme="minorBidi" w:cstheme="minorBidi"/>
        </w:rPr>
        <w:t>This section discusses the concepts related to digital maturity, its levels, assessment methods, and the digital maturity models utilised for evaluating the digital maturity of organisations. It is essential to recognize that digital maturity models have a significant impact on the successful management of digital transformation.</w:t>
      </w:r>
    </w:p>
    <w:p w14:paraId="3E4685B1" w14:textId="088979A8" w:rsidR="006C784D" w:rsidRPr="001C7FEF" w:rsidRDefault="000D4D4C" w:rsidP="00F044C5">
      <w:pPr>
        <w:pStyle w:val="ListParagraph"/>
        <w:numPr>
          <w:ilvl w:val="1"/>
          <w:numId w:val="20"/>
        </w:numPr>
        <w:spacing w:line="240" w:lineRule="auto"/>
        <w:ind w:left="357" w:hanging="357"/>
        <w:jc w:val="both"/>
        <w:rPr>
          <w:rFonts w:ascii="Arial" w:hAnsi="Arial" w:cs="Arial"/>
          <w:b/>
          <w:bCs/>
          <w:shd w:val="clear" w:color="auto" w:fill="FFFFFF"/>
        </w:rPr>
      </w:pPr>
      <w:r w:rsidRPr="001C7FEF">
        <w:rPr>
          <w:rFonts w:ascii="Arial" w:hAnsi="Arial" w:cs="Arial"/>
          <w:b/>
          <w:bCs/>
          <w:shd w:val="clear" w:color="auto" w:fill="FFFFFF"/>
        </w:rPr>
        <w:t xml:space="preserve">Digital Maturity </w:t>
      </w:r>
    </w:p>
    <w:p w14:paraId="30841E29" w14:textId="0259E2C6" w:rsidR="000D4D4C" w:rsidRDefault="000D4D4C" w:rsidP="00FA55C8">
      <w:pPr>
        <w:jc w:val="both"/>
        <w:rPr>
          <w:rFonts w:asciiTheme="minorBidi" w:hAnsiTheme="minorBidi" w:cstheme="minorBidi"/>
          <w:shd w:val="clear" w:color="auto" w:fill="FFFFFF"/>
        </w:rPr>
      </w:pPr>
      <w:r w:rsidRPr="004125FF">
        <w:rPr>
          <w:rFonts w:asciiTheme="minorBidi" w:hAnsiTheme="minorBidi" w:cstheme="minorBidi"/>
          <w:shd w:val="clear" w:color="auto" w:fill="FFFFFF"/>
        </w:rPr>
        <w:t>Digital maturity does not possess a fixed definition; however, it is characterised by the transformation of an organization's operations, skill engagement, and business frameworks through digital technology</w:t>
      </w:r>
      <w:r w:rsidR="00885488" w:rsidRPr="004125FF">
        <w:rPr>
          <w:rFonts w:asciiTheme="minorBidi" w:hAnsiTheme="minorBidi" w:cstheme="minorBidi"/>
          <w:shd w:val="clear" w:color="auto" w:fill="FFFFFF"/>
        </w:rPr>
        <w:t xml:space="preserve"> </w:t>
      </w:r>
      <w:r w:rsidR="00885488" w:rsidRPr="004125FF">
        <w:rPr>
          <w:rFonts w:asciiTheme="minorBidi" w:hAnsiTheme="minorBidi" w:cstheme="minorBidi"/>
          <w:shd w:val="clear" w:color="auto" w:fill="FFFFFF"/>
        </w:rPr>
        <w:fldChar w:fldCharType="begin" w:fldLock="1"/>
      </w:r>
      <w:r w:rsidR="004D74B5">
        <w:rPr>
          <w:rFonts w:asciiTheme="minorBidi" w:hAnsiTheme="minorBidi" w:cstheme="minorBidi"/>
          <w:shd w:val="clear" w:color="auto" w:fill="FFFFFF"/>
        </w:rPr>
        <w:instrText>ADDIN CSL_CITATION {"citationItems":[{"id":"ITEM-1","itemData":{"DOI":"10.5539/ijbm.v19n6p71","author":[{"dropping-particle":"","family":"Schilirò","given":"Daniele","non-dropping-particle":"","parse-names":false,"suffix":""}],"id":"ITEM-1","issue":"6","issued":{"date-parts":[["2024"]]},"page":"71-81","title":"Digital Transformation and its Impact on Organizations","type":"article-journal","volume":"19"},"uris":["http://www.mendeley.com/documents/?uuid=0558c291-07b7-4ea1-b8f8-52c475f9f80f"]}],"mendeley":{"formattedCitation":"(Schilirò, 2024)","plainTextFormattedCitation":"(Schilirò, 2024)","previouslyFormattedCitation":"(Schilirò, 2024)"},"properties":{"noteIndex":0},"schema":"https://github.com/citation-style-language/schema/raw/master/csl-citation.json"}</w:instrText>
      </w:r>
      <w:r w:rsidR="00885488" w:rsidRPr="004125FF">
        <w:rPr>
          <w:rFonts w:asciiTheme="minorBidi" w:hAnsiTheme="minorBidi" w:cstheme="minorBidi"/>
          <w:shd w:val="clear" w:color="auto" w:fill="FFFFFF"/>
        </w:rPr>
        <w:fldChar w:fldCharType="separate"/>
      </w:r>
      <w:r w:rsidR="00FA55C8" w:rsidRPr="00FA55C8">
        <w:rPr>
          <w:rFonts w:asciiTheme="minorBidi" w:hAnsiTheme="minorBidi" w:cstheme="minorBidi"/>
          <w:noProof/>
          <w:shd w:val="clear" w:color="auto" w:fill="FFFFFF"/>
        </w:rPr>
        <w:t>(Schilirò, 2024)</w:t>
      </w:r>
      <w:r w:rsidR="00885488" w:rsidRPr="004125FF">
        <w:rPr>
          <w:rFonts w:asciiTheme="minorBidi" w:hAnsiTheme="minorBidi" w:cstheme="minorBidi"/>
          <w:shd w:val="clear" w:color="auto" w:fill="FFFFFF"/>
        </w:rPr>
        <w:fldChar w:fldCharType="end"/>
      </w:r>
      <w:r w:rsidRPr="004125FF">
        <w:rPr>
          <w:rFonts w:asciiTheme="minorBidi" w:hAnsiTheme="minorBidi" w:cstheme="minorBidi"/>
          <w:shd w:val="clear" w:color="auto" w:fill="FFFFFF"/>
        </w:rPr>
        <w:t>. The maturity model provides comprehensive insights into the company's current state and the necessary trajectory for implementing relevant initiatives. Maturity is employed as an assessment factor and articulated in detail. It is also beneficial in advancing the foundational level to a more sophisticated final step</w:t>
      </w:r>
      <w:r w:rsidR="00885488" w:rsidRPr="004125FF">
        <w:rPr>
          <w:rFonts w:asciiTheme="minorBidi" w:hAnsiTheme="minorBidi" w:cstheme="minorBidi"/>
          <w:shd w:val="clear" w:color="auto" w:fill="FFFFFF"/>
        </w:rPr>
        <w:t xml:space="preserve"> </w:t>
      </w:r>
      <w:r w:rsidR="00885488" w:rsidRPr="004125FF">
        <w:rPr>
          <w:rFonts w:asciiTheme="minorBidi" w:hAnsiTheme="minorBidi" w:cstheme="minorBidi"/>
          <w:shd w:val="clear" w:color="auto" w:fill="FFFFFF"/>
        </w:rPr>
        <w:fldChar w:fldCharType="begin" w:fldLock="1"/>
      </w:r>
      <w:r w:rsidR="004D74B5">
        <w:rPr>
          <w:rFonts w:asciiTheme="minorBidi" w:hAnsiTheme="minorBidi" w:cstheme="minorBidi"/>
          <w:shd w:val="clear" w:color="auto" w:fill="FFFFFF"/>
        </w:rPr>
        <w:instrText>ADDIN CSL_CITATION {"citationItems":[{"id":"ITEM-1","itemData":{"author":[{"dropping-particle":"","family":"Haryanti","given":"Tining","non-dropping-particle":"","parse-names":false,"suffix":""},{"dropping-particle":"","family":"Rakhmawati","given":"Nur Aini","non-dropping-particle":"","parse-names":false,"suffix":""},{"dropping-particle":"","family":"Subriadi","given":"Apol Pribadi","non-dropping-particle":"","parse-names":false,"suffix":""}],"id":"ITEM-1","issued":{"date-parts":[["2023"]]},"page":"1-24","title":"The Extended Digital Maturity Model","type":"article-journal"},"uris":["http://www.mendeley.com/documents/?uuid=ac976c3c-864f-46e8-94d3-4b9bd30a2b07"]}],"mendeley":{"formattedCitation":"(Haryanti et al., 2023)","plainTextFormattedCitation":"(Haryanti et al., 2023)","previouslyFormattedCitation":"(Haryanti et al., 2023)"},"properties":{"noteIndex":0},"schema":"https://github.com/citation-style-language/schema/raw/master/csl-citation.json"}</w:instrText>
      </w:r>
      <w:r w:rsidR="00885488" w:rsidRPr="004125FF">
        <w:rPr>
          <w:rFonts w:asciiTheme="minorBidi" w:hAnsiTheme="minorBidi" w:cstheme="minorBidi"/>
          <w:shd w:val="clear" w:color="auto" w:fill="FFFFFF"/>
        </w:rPr>
        <w:fldChar w:fldCharType="separate"/>
      </w:r>
      <w:r w:rsidR="00FA55C8" w:rsidRPr="00FA55C8">
        <w:rPr>
          <w:rFonts w:asciiTheme="minorBidi" w:hAnsiTheme="minorBidi" w:cstheme="minorBidi"/>
          <w:noProof/>
          <w:shd w:val="clear" w:color="auto" w:fill="FFFFFF"/>
        </w:rPr>
        <w:t>(Haryanti et al., 2023)</w:t>
      </w:r>
      <w:r w:rsidR="00885488" w:rsidRPr="004125FF">
        <w:rPr>
          <w:rFonts w:asciiTheme="minorBidi" w:hAnsiTheme="minorBidi" w:cstheme="minorBidi"/>
          <w:shd w:val="clear" w:color="auto" w:fill="FFFFFF"/>
        </w:rPr>
        <w:fldChar w:fldCharType="end"/>
      </w:r>
      <w:r w:rsidRPr="004125FF">
        <w:rPr>
          <w:rFonts w:asciiTheme="minorBidi" w:hAnsiTheme="minorBidi" w:cstheme="minorBidi"/>
          <w:shd w:val="clear" w:color="auto" w:fill="FFFFFF"/>
        </w:rPr>
        <w:t>.</w:t>
      </w:r>
      <w:r w:rsidRPr="004125FF">
        <w:rPr>
          <w:rFonts w:asciiTheme="minorBidi" w:hAnsiTheme="minorBidi" w:cstheme="minorBidi"/>
        </w:rPr>
        <w:t xml:space="preserve"> </w:t>
      </w:r>
      <w:r w:rsidRPr="004125FF">
        <w:rPr>
          <w:rFonts w:asciiTheme="minorBidi" w:hAnsiTheme="minorBidi" w:cstheme="minorBidi"/>
          <w:shd w:val="clear" w:color="auto" w:fill="FFFFFF"/>
        </w:rPr>
        <w:t>Digital maturity assessment is a process that evaluates an organization's level of digital maturity by examining its capabilities, readiness, and progress in implementing digital technologies to transform business operations and maintain competitiveness in the digital age</w:t>
      </w:r>
      <w:r w:rsidR="00EE3EC4" w:rsidRPr="004125FF">
        <w:rPr>
          <w:rFonts w:asciiTheme="minorBidi" w:hAnsiTheme="minorBidi" w:cstheme="minorBidi"/>
          <w:shd w:val="clear" w:color="auto" w:fill="FFFFFF"/>
        </w:rPr>
        <w:t xml:space="preserve"> </w:t>
      </w:r>
      <w:r w:rsidR="00EE3EC4" w:rsidRPr="004125FF">
        <w:rPr>
          <w:rFonts w:asciiTheme="minorBidi" w:hAnsiTheme="minorBidi" w:cstheme="minorBidi"/>
          <w:shd w:val="clear" w:color="auto" w:fill="FFFFFF"/>
        </w:rPr>
        <w:fldChar w:fldCharType="begin" w:fldLock="1"/>
      </w:r>
      <w:r w:rsidR="004D74B5">
        <w:rPr>
          <w:rFonts w:asciiTheme="minorBidi" w:hAnsiTheme="minorBidi" w:cstheme="minorBidi"/>
          <w:shd w:val="clear" w:color="auto" w:fill="FFFFFF"/>
        </w:rPr>
        <w:instrText>ADDIN CSL_CITATION {"citationItems":[{"id":"ITEM-1","itemData":{"author":[{"dropping-particle":"","family":"Aras","given":"Arzu","non-dropping-particle":"","parse-names":false,"suffix":""},{"dropping-particle":"","family":"Büyüközkan","given":"Gülçin","non-dropping-particle":"","parse-names":false,"suffix":""}],"id":"ITEM-1","issued":{"date-parts":[["2023"]]},"page":"1-31","title":"Digital Transformation Journey Guidance : A Holistic Digital","type":"article-journal"},"uris":["http://www.mendeley.com/documents/?uuid=aa5923af-b3ae-4e4d-955c-9077f9b2f442"]}],"mendeley":{"formattedCitation":"(Aras &amp; Büyüközkan, 2023)","plainTextFormattedCitation":"(Aras &amp; Büyüközkan, 2023)","previouslyFormattedCitation":"(Aras &amp; Büyüközkan, 2023)"},"properties":{"noteIndex":0},"schema":"https://github.com/citation-style-language/schema/raw/master/csl-citation.json"}</w:instrText>
      </w:r>
      <w:r w:rsidR="00EE3EC4" w:rsidRPr="004125FF">
        <w:rPr>
          <w:rFonts w:asciiTheme="minorBidi" w:hAnsiTheme="minorBidi" w:cstheme="minorBidi"/>
          <w:shd w:val="clear" w:color="auto" w:fill="FFFFFF"/>
        </w:rPr>
        <w:fldChar w:fldCharType="separate"/>
      </w:r>
      <w:r w:rsidR="00FA55C8" w:rsidRPr="00FA55C8">
        <w:rPr>
          <w:rFonts w:asciiTheme="minorBidi" w:hAnsiTheme="minorBidi" w:cstheme="minorBidi"/>
          <w:noProof/>
          <w:shd w:val="clear" w:color="auto" w:fill="FFFFFF"/>
        </w:rPr>
        <w:t>(Aras &amp; Büyüközkan, 2023)</w:t>
      </w:r>
      <w:r w:rsidR="00EE3EC4" w:rsidRPr="004125FF">
        <w:rPr>
          <w:rFonts w:asciiTheme="minorBidi" w:hAnsiTheme="minorBidi" w:cstheme="minorBidi"/>
          <w:shd w:val="clear" w:color="auto" w:fill="FFFFFF"/>
        </w:rPr>
        <w:fldChar w:fldCharType="end"/>
      </w:r>
      <w:r w:rsidRPr="004125FF">
        <w:rPr>
          <w:rFonts w:asciiTheme="minorBidi" w:hAnsiTheme="minorBidi" w:cstheme="minorBidi"/>
          <w:shd w:val="clear" w:color="auto" w:fill="FFFFFF"/>
        </w:rPr>
        <w:t>.</w:t>
      </w:r>
      <w:r w:rsidRPr="004125FF">
        <w:rPr>
          <w:rFonts w:asciiTheme="minorBidi" w:hAnsiTheme="minorBidi" w:cstheme="minorBidi"/>
        </w:rPr>
        <w:t xml:space="preserve"> </w:t>
      </w:r>
      <w:r w:rsidRPr="004125FF">
        <w:rPr>
          <w:rFonts w:asciiTheme="minorBidi" w:hAnsiTheme="minorBidi" w:cstheme="minorBidi"/>
          <w:shd w:val="clear" w:color="auto" w:fill="FFFFFF"/>
        </w:rPr>
        <w:t>The maturity model framework becomes essential for assessing organisations</w:t>
      </w:r>
      <w:r w:rsidR="00EE3EC4" w:rsidRPr="004125FF">
        <w:rPr>
          <w:rFonts w:asciiTheme="minorBidi" w:hAnsiTheme="minorBidi" w:cstheme="minorBidi"/>
          <w:shd w:val="clear" w:color="auto" w:fill="FFFFFF"/>
        </w:rPr>
        <w:t xml:space="preserve"> </w:t>
      </w:r>
      <w:r w:rsidR="00EE3EC4" w:rsidRPr="004125FF">
        <w:rPr>
          <w:rFonts w:asciiTheme="minorBidi" w:hAnsiTheme="minorBidi" w:cstheme="minorBidi"/>
          <w:shd w:val="clear" w:color="auto" w:fill="FFFFFF"/>
        </w:rPr>
        <w:fldChar w:fldCharType="begin" w:fldLock="1"/>
      </w:r>
      <w:r w:rsidR="004D74B5">
        <w:rPr>
          <w:rFonts w:asciiTheme="minorBidi" w:hAnsiTheme="minorBidi" w:cstheme="minorBidi"/>
          <w:shd w:val="clear" w:color="auto" w:fill="FFFFFF"/>
        </w:rPr>
        <w:instrText>ADDIN CSL_CITATION {"citationItems":[{"id":"ITEM-1","itemData":{"DOI":"10.1016/j.sbspro.2014.03.094","ISBN":"0000000000","ISSN":"1877-0428","author":[{"dropping-particle":"","family":"Backlund","given":"F","non-dropping-particle":"","parse-names":false,"suffix":""},{"dropping-particle":"","family":"Chronéer","given":"D","non-dropping-particle":"","parse-names":false,"suffix":""},{"dropping-particle":"","family":"Sundqvist","given":"E","non-dropping-particle":"","parse-names":false,"suffix":""}],"container-title":"Procedia - Social and Behavioral Sciences","id":"ITEM-1","issued":{"date-parts":[["2014"]]},"page":"837-846","publisher":"Elsevier B.V.","title":"Project Management Maturity Models – A Critical Review A case study within Swedish engineering and construction organizations","type":"article-journal","volume":"119"},"uris":["http://www.mendeley.com/documents/?uuid=481d675d-88c4-461b-85d0-23e4d6db5cd3"]}],"mendeley":{"formattedCitation":"(Backlund et al., 2014)","plainTextFormattedCitation":"(Backlund et al., 2014)","previouslyFormattedCitation":"(Backlund et al., 2014)"},"properties":{"noteIndex":0},"schema":"https://github.com/citation-style-language/schema/raw/master/csl-citation.json"}</w:instrText>
      </w:r>
      <w:r w:rsidR="00EE3EC4" w:rsidRPr="004125FF">
        <w:rPr>
          <w:rFonts w:asciiTheme="minorBidi" w:hAnsiTheme="minorBidi" w:cstheme="minorBidi"/>
          <w:shd w:val="clear" w:color="auto" w:fill="FFFFFF"/>
        </w:rPr>
        <w:fldChar w:fldCharType="separate"/>
      </w:r>
      <w:r w:rsidR="00FA55C8" w:rsidRPr="00FA55C8">
        <w:rPr>
          <w:rFonts w:asciiTheme="minorBidi" w:hAnsiTheme="minorBidi" w:cstheme="minorBidi"/>
          <w:noProof/>
          <w:shd w:val="clear" w:color="auto" w:fill="FFFFFF"/>
        </w:rPr>
        <w:t>(Backlund et al., 2014)</w:t>
      </w:r>
      <w:r w:rsidR="00EE3EC4" w:rsidRPr="004125FF">
        <w:rPr>
          <w:rFonts w:asciiTheme="minorBidi" w:hAnsiTheme="minorBidi" w:cstheme="minorBidi"/>
          <w:shd w:val="clear" w:color="auto" w:fill="FFFFFF"/>
        </w:rPr>
        <w:fldChar w:fldCharType="end"/>
      </w:r>
      <w:r w:rsidR="00E2548E">
        <w:rPr>
          <w:rFonts w:asciiTheme="minorBidi" w:hAnsiTheme="minorBidi" w:cstheme="minorBidi"/>
          <w:shd w:val="clear" w:color="auto" w:fill="FFFFFF"/>
        </w:rPr>
        <w:t xml:space="preserve">. </w:t>
      </w:r>
      <w:r w:rsidRPr="004125FF">
        <w:rPr>
          <w:rFonts w:asciiTheme="minorBidi" w:hAnsiTheme="minorBidi" w:cstheme="minorBidi"/>
          <w:shd w:val="clear" w:color="auto" w:fill="FFFFFF"/>
        </w:rPr>
        <w:t>A distinction exists between readiness</w:t>
      </w:r>
      <w:r w:rsidR="00EE3EC4" w:rsidRPr="004125FF">
        <w:rPr>
          <w:rFonts w:asciiTheme="minorBidi" w:hAnsiTheme="minorBidi" w:cstheme="minorBidi"/>
          <w:shd w:val="clear" w:color="auto" w:fill="FFFFFF"/>
        </w:rPr>
        <w:t xml:space="preserve"> and maturity in assessment.</w:t>
      </w:r>
      <w:r w:rsidRPr="004125FF">
        <w:rPr>
          <w:rFonts w:asciiTheme="minorBidi" w:hAnsiTheme="minorBidi" w:cstheme="minorBidi"/>
          <w:shd w:val="clear" w:color="auto" w:fill="FFFFFF"/>
        </w:rPr>
        <w:t xml:space="preserve"> Readiness precedes the maturation phase and indicates if the organisation is prepared to initiate development</w:t>
      </w:r>
      <w:r w:rsidR="00EE3EC4" w:rsidRPr="004125FF">
        <w:rPr>
          <w:rFonts w:asciiTheme="minorBidi" w:hAnsiTheme="minorBidi" w:cstheme="minorBidi"/>
          <w:shd w:val="clear" w:color="auto" w:fill="FFFFFF"/>
        </w:rPr>
        <w:t xml:space="preserve"> </w:t>
      </w:r>
      <w:r w:rsidR="00EE3EC4" w:rsidRPr="004125FF">
        <w:rPr>
          <w:rFonts w:asciiTheme="minorBidi" w:hAnsiTheme="minorBidi" w:cstheme="minorBidi"/>
          <w:shd w:val="clear" w:color="auto" w:fill="FFFFFF"/>
        </w:rPr>
        <w:fldChar w:fldCharType="begin" w:fldLock="1"/>
      </w:r>
      <w:r w:rsidR="004D74B5">
        <w:rPr>
          <w:rFonts w:asciiTheme="minorBidi" w:hAnsiTheme="minorBidi" w:cstheme="minorBidi"/>
          <w:shd w:val="clear" w:color="auto" w:fill="FFFFFF"/>
        </w:rPr>
        <w:instrText>ADDIN CSL_CITATION {"citationItems":[{"id":"ITEM-1","itemData":{"ISBN":"9783319578699","author":[{"dropping-particle":"","family":"Ustundag","given":"Alp","non-dropping-particle":"","parse-names":false,"suffix":""}],"id":"ITEM-1","issued":{"date-parts":[["0"]]},"title":"Managing The Digital Transformation","type":"book"},"uris":["http://www.mendeley.com/documents/?uuid=ddecb862-e1a0-4c02-9ada-36e074139dc6"]}],"mendeley":{"formattedCitation":"(Ustundag, n.d.)","plainTextFormattedCitation":"(Ustundag, n.d.)","previouslyFormattedCitation":"(Ustundag, n.d.)"},"properties":{"noteIndex":0},"schema":"https://github.com/citation-style-language/schema/raw/master/csl-citation.json"}</w:instrText>
      </w:r>
      <w:r w:rsidR="00EE3EC4" w:rsidRPr="004125FF">
        <w:rPr>
          <w:rFonts w:asciiTheme="minorBidi" w:hAnsiTheme="minorBidi" w:cstheme="minorBidi"/>
          <w:shd w:val="clear" w:color="auto" w:fill="FFFFFF"/>
        </w:rPr>
        <w:fldChar w:fldCharType="separate"/>
      </w:r>
      <w:r w:rsidR="00FA55C8" w:rsidRPr="00FA55C8">
        <w:rPr>
          <w:rFonts w:asciiTheme="minorBidi" w:hAnsiTheme="minorBidi" w:cstheme="minorBidi"/>
          <w:noProof/>
          <w:shd w:val="clear" w:color="auto" w:fill="FFFFFF"/>
        </w:rPr>
        <w:t>(Ustundag, n.d.)</w:t>
      </w:r>
      <w:r w:rsidR="00EE3EC4" w:rsidRPr="004125FF">
        <w:rPr>
          <w:rFonts w:asciiTheme="minorBidi" w:hAnsiTheme="minorBidi" w:cstheme="minorBidi"/>
          <w:shd w:val="clear" w:color="auto" w:fill="FFFFFF"/>
        </w:rPr>
        <w:fldChar w:fldCharType="end"/>
      </w:r>
      <w:r w:rsidRPr="004125FF">
        <w:rPr>
          <w:rFonts w:asciiTheme="minorBidi" w:hAnsiTheme="minorBidi" w:cstheme="minorBidi"/>
          <w:shd w:val="clear" w:color="auto" w:fill="FFFFFF"/>
        </w:rPr>
        <w:t>. The maturity assessment seeks to document the current situation to illustrate the organization's level of maturity. Organisations require insights derived from maturity models to evaluate their current status against industry best practices. Consequently, the maturity model assists organisations in determining when and why they must act to progress and evaluate the requisite steps to attain a higher level of maturity. Digital maturity extends beyond basic technological interpretation, encompassing the company's operational execution and information management through IT, as well as its achievements in digital transformation initiatives</w:t>
      </w:r>
      <w:r w:rsidR="001C7FEF">
        <w:rPr>
          <w:rFonts w:asciiTheme="minorBidi" w:hAnsiTheme="minorBidi" w:cstheme="minorBidi"/>
          <w:shd w:val="clear" w:color="auto" w:fill="FFFFFF"/>
        </w:rPr>
        <w:t xml:space="preserve"> </w:t>
      </w:r>
      <w:r w:rsidR="001C7FEF">
        <w:rPr>
          <w:rFonts w:asciiTheme="minorBidi" w:hAnsiTheme="minorBidi" w:cstheme="minorBidi"/>
          <w:shd w:val="clear" w:color="auto" w:fill="FFFFFF"/>
        </w:rPr>
        <w:fldChar w:fldCharType="begin" w:fldLock="1"/>
      </w:r>
      <w:r w:rsidR="004D74B5">
        <w:rPr>
          <w:rFonts w:asciiTheme="minorBidi" w:hAnsiTheme="minorBidi" w:cstheme="minorBidi"/>
          <w:shd w:val="clear" w:color="auto" w:fill="FFFFFF"/>
        </w:rPr>
        <w:instrText>ADDIN CSL_CITATION {"citationItems":[{"id":"ITEM-1","itemData":{"DOI":"10.1016/j.promfg.2020.10.154","ISSN":"2351-9789","author":[{"dropping-particle":"","family":"Felipe","given":"Luiz","non-dropping-particle":"","parse-names":false,"suffix":""},{"dropping-particle":"","family":"Ramos","given":"Pierin","non-dropping-particle":"","parse-names":false,"suffix":""},{"dropping-particle":"De","family":"Freitas","given":"Eduardo","non-dropping-particle":"","parse-names":false,"suffix":""},{"dropping-particle":"","family":"Loures","given":"Rocha","non-dropping-particle":"","parse-names":false,"suffix":""},{"dropping-particle":"","family":"Deschamps","given":"Fernando","non-dropping-particle":"","parse-names":false,"suffix":""},{"dropping-particle":"","family":"Felipe","given":"Luiz","non-dropping-particle":"","parse-names":false,"suffix":""},{"dropping-particle":"","family":"Deschamps","given":"Fernando","non-dropping-particle":"","parse-names":false,"suffix":""}],"container-title":"Procedia Manufacturing","id":"ITEM-1","issued":{"date-parts":[["2020"]]},"page":"1098-1105","publisher":"Elsevier B.V.","title":"ScienceDirect ScienceDirect ScienceDirect An Analysis of Maturity Models and Current State Assessment of An Analysis of Maturity Models and Current State Assessment of Organizations for Industry 4 . 0 Implementation Organizations for Industry 4 . 0 Implementation","type":"article-journal","volume":"51"},"uris":["http://www.mendeley.com/documents/?uuid=cbaf9404-fcee-4367-b008-d031cf9f27fd"]}],"mendeley":{"formattedCitation":"(Felipe et al., 2020)","plainTextFormattedCitation":"(Felipe et al., 2020)","previouslyFormattedCitation":"(Felipe et al., 2020)"},"properties":{"noteIndex":0},"schema":"https://github.com/citation-style-language/schema/raw/master/csl-citation.json"}</w:instrText>
      </w:r>
      <w:r w:rsidR="001C7FEF">
        <w:rPr>
          <w:rFonts w:asciiTheme="minorBidi" w:hAnsiTheme="minorBidi" w:cstheme="minorBidi"/>
          <w:shd w:val="clear" w:color="auto" w:fill="FFFFFF"/>
        </w:rPr>
        <w:fldChar w:fldCharType="separate"/>
      </w:r>
      <w:r w:rsidR="00FA55C8" w:rsidRPr="00FA55C8">
        <w:rPr>
          <w:rFonts w:asciiTheme="minorBidi" w:hAnsiTheme="minorBidi" w:cstheme="minorBidi"/>
          <w:noProof/>
          <w:shd w:val="clear" w:color="auto" w:fill="FFFFFF"/>
        </w:rPr>
        <w:t>(Felipe et al., 2020)</w:t>
      </w:r>
      <w:r w:rsidR="001C7FEF">
        <w:rPr>
          <w:rFonts w:asciiTheme="minorBidi" w:hAnsiTheme="minorBidi" w:cstheme="minorBidi"/>
          <w:shd w:val="clear" w:color="auto" w:fill="FFFFFF"/>
        </w:rPr>
        <w:fldChar w:fldCharType="end"/>
      </w:r>
      <w:r w:rsidRPr="004125FF">
        <w:rPr>
          <w:rFonts w:asciiTheme="minorBidi" w:hAnsiTheme="minorBidi" w:cstheme="minorBidi"/>
          <w:shd w:val="clear" w:color="auto" w:fill="FFFFFF"/>
        </w:rPr>
        <w:t>. This process encompasses improvements in items, services, procedures, competencies, culture, and capabilities related to mastering the change process. Consequently, digital maturity can be regarded as a comprehensive term. Digital maturity is a dynamic concept, as it is continually evolving in response to the ever-changing digital ecosystem. Consequently, an organisation must evaluate its maturity progressively</w:t>
      </w:r>
      <w:r w:rsidR="009F58E1">
        <w:rPr>
          <w:rFonts w:asciiTheme="minorBidi" w:hAnsiTheme="minorBidi" w:cstheme="minorBidi"/>
          <w:shd w:val="clear" w:color="auto" w:fill="FFFFFF"/>
        </w:rPr>
        <w:t xml:space="preserve"> </w:t>
      </w:r>
      <w:r w:rsidR="009F58E1">
        <w:rPr>
          <w:rFonts w:asciiTheme="minorBidi" w:hAnsiTheme="minorBidi" w:cstheme="minorBidi"/>
          <w:shd w:val="clear" w:color="auto" w:fill="FFFFFF"/>
        </w:rPr>
        <w:fldChar w:fldCharType="begin" w:fldLock="1"/>
      </w:r>
      <w:r w:rsidR="004D74B5">
        <w:rPr>
          <w:rFonts w:asciiTheme="minorBidi" w:hAnsiTheme="minorBidi" w:cstheme="minorBidi"/>
          <w:shd w:val="clear" w:color="auto" w:fill="FFFFFF"/>
        </w:rPr>
        <w:instrText>ADDIN CSL_CITATION {"citationItems":[{"id":"ITEM-1","itemData":{"author":[{"dropping-particle":"","family":"Teichert","given":"Roman","non-dropping-particle":"","parse-names":false,"suffix":""}],"id":"ITEM-1","issue":"6","issued":{"date-parts":[["2019"]]},"page":"1673-1687","title":"DIGITAL TRANSFORMATION MATURITY : A SYSTEMATIC REVIEW OF LITERATURE","type":"article-journal","volume":"67"},"uris":["http://www.mendeley.com/documents/?uuid=8d9b2813-6a94-4181-a5e0-c09930d66c2c"]}],"mendeley":{"formattedCitation":"(Teichert, 2019)","plainTextFormattedCitation":"(Teichert, 2019)","previouslyFormattedCitation":"(Teichert, 2019)"},"properties":{"noteIndex":0},"schema":"https://github.com/citation-style-language/schema/raw/master/csl-citation.json"}</w:instrText>
      </w:r>
      <w:r w:rsidR="009F58E1">
        <w:rPr>
          <w:rFonts w:asciiTheme="minorBidi" w:hAnsiTheme="minorBidi" w:cstheme="minorBidi"/>
          <w:shd w:val="clear" w:color="auto" w:fill="FFFFFF"/>
        </w:rPr>
        <w:fldChar w:fldCharType="separate"/>
      </w:r>
      <w:r w:rsidR="00FA55C8" w:rsidRPr="00FA55C8">
        <w:rPr>
          <w:rFonts w:asciiTheme="minorBidi" w:hAnsiTheme="minorBidi" w:cstheme="minorBidi"/>
          <w:noProof/>
          <w:shd w:val="clear" w:color="auto" w:fill="FFFFFF"/>
        </w:rPr>
        <w:t>(Teichert, 2019)</w:t>
      </w:r>
      <w:r w:rsidR="009F58E1">
        <w:rPr>
          <w:rFonts w:asciiTheme="minorBidi" w:hAnsiTheme="minorBidi" w:cstheme="minorBidi"/>
          <w:shd w:val="clear" w:color="auto" w:fill="FFFFFF"/>
        </w:rPr>
        <w:fldChar w:fldCharType="end"/>
      </w:r>
      <w:r w:rsidRPr="004125FF">
        <w:rPr>
          <w:rFonts w:asciiTheme="minorBidi" w:hAnsiTheme="minorBidi" w:cstheme="minorBidi"/>
          <w:shd w:val="clear" w:color="auto" w:fill="FFFFFF"/>
        </w:rPr>
        <w:t xml:space="preserve">. </w:t>
      </w:r>
    </w:p>
    <w:p w14:paraId="106C75D1" w14:textId="77777777" w:rsidR="00317F82" w:rsidRPr="004125FF" w:rsidRDefault="00317F82" w:rsidP="00885488">
      <w:pPr>
        <w:jc w:val="both"/>
        <w:rPr>
          <w:rFonts w:asciiTheme="minorBidi" w:hAnsiTheme="minorBidi" w:cstheme="minorBidi"/>
          <w:shd w:val="clear" w:color="auto" w:fill="FFFFFF"/>
        </w:rPr>
      </w:pPr>
    </w:p>
    <w:p w14:paraId="5F71E7FB" w14:textId="77777777" w:rsidR="0000536A" w:rsidRPr="004125FF" w:rsidRDefault="0000536A" w:rsidP="006C784D">
      <w:pPr>
        <w:jc w:val="both"/>
        <w:rPr>
          <w:rFonts w:asciiTheme="minorBidi" w:hAnsiTheme="minorBidi" w:cstheme="minorBidi"/>
          <w:b/>
          <w:bCs/>
          <w:sz w:val="24"/>
          <w:szCs w:val="24"/>
          <w:shd w:val="clear" w:color="auto" w:fill="FFFFFF"/>
        </w:rPr>
      </w:pPr>
    </w:p>
    <w:p w14:paraId="1E7C0E64" w14:textId="54921122" w:rsidR="00317F82" w:rsidRDefault="000D4D4C" w:rsidP="00F044C5">
      <w:pPr>
        <w:pStyle w:val="Heading4"/>
        <w:numPr>
          <w:ilvl w:val="1"/>
          <w:numId w:val="18"/>
        </w:numPr>
        <w:rPr>
          <w:rFonts w:asciiTheme="minorBidi" w:hAnsiTheme="minorBidi" w:cstheme="minorBidi"/>
          <w:b/>
          <w:bCs/>
          <w:i w:val="0"/>
          <w:iCs w:val="0"/>
          <w:sz w:val="22"/>
          <w:szCs w:val="22"/>
        </w:rPr>
      </w:pPr>
      <w:r w:rsidRPr="00317F82">
        <w:rPr>
          <w:rFonts w:asciiTheme="minorBidi" w:hAnsiTheme="minorBidi" w:cstheme="minorBidi"/>
          <w:b/>
          <w:bCs/>
          <w:i w:val="0"/>
          <w:iCs w:val="0"/>
          <w:sz w:val="22"/>
          <w:szCs w:val="22"/>
        </w:rPr>
        <w:t>Digital Transformation Maturity Model</w:t>
      </w:r>
    </w:p>
    <w:p w14:paraId="02A81980" w14:textId="77777777" w:rsidR="00317F82" w:rsidRPr="00317F82" w:rsidRDefault="00317F82" w:rsidP="00317F82"/>
    <w:p w14:paraId="466594D0" w14:textId="1880A447" w:rsidR="000D4D4C" w:rsidRPr="004125FF" w:rsidRDefault="000D4D4C" w:rsidP="00FA55C8">
      <w:pPr>
        <w:pStyle w:val="Heading4"/>
        <w:numPr>
          <w:ilvl w:val="0"/>
          <w:numId w:val="0"/>
        </w:numPr>
        <w:rPr>
          <w:rFonts w:asciiTheme="minorBidi" w:hAnsiTheme="minorBidi" w:cstheme="minorBidi"/>
          <w:i w:val="0"/>
          <w:iCs w:val="0"/>
        </w:rPr>
      </w:pPr>
      <w:r w:rsidRPr="004125FF">
        <w:rPr>
          <w:rFonts w:asciiTheme="minorBidi" w:hAnsiTheme="minorBidi" w:cstheme="minorBidi"/>
          <w:i w:val="0"/>
          <w:iCs w:val="0"/>
        </w:rPr>
        <w:t xml:space="preserve">Organisations across all sectors face the challenge of leveraging technology-driven opportunities while mitigating technology-related risks in the realm of digital maturity. Consequently, </w:t>
      </w:r>
      <w:r w:rsidR="00B90543">
        <w:rPr>
          <w:rFonts w:asciiTheme="minorBidi" w:hAnsiTheme="minorBidi" w:cstheme="minorBidi"/>
          <w:i w:val="0"/>
          <w:iCs w:val="0"/>
        </w:rPr>
        <w:t>inquiries regarding an organization's overall position in relation to its digital transition, specifical</w:t>
      </w:r>
      <w:r w:rsidRPr="004125FF">
        <w:rPr>
          <w:rFonts w:asciiTheme="minorBidi" w:hAnsiTheme="minorBidi" w:cstheme="minorBidi"/>
          <w:i w:val="0"/>
          <w:iCs w:val="0"/>
        </w:rPr>
        <w:t>ly its digital maturity, become increasingly relevant</w:t>
      </w:r>
      <w:r w:rsidR="009F58E1">
        <w:rPr>
          <w:rFonts w:asciiTheme="minorBidi" w:hAnsiTheme="minorBidi" w:cstheme="minorBidi"/>
          <w:i w:val="0"/>
          <w:iCs w:val="0"/>
        </w:rPr>
        <w:t xml:space="preserve"> </w:t>
      </w:r>
      <w:r w:rsidR="009F58E1">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{"citationItems":[{"id":"ITEM-1","itemData":{"DOI":"10.62127/aijmr.2024.v02i05.1097","author":[{"dropping-particle":"","family":"Nikita","given":"Nabila Ahmed","non-dropping-particle":"","parse-names":false,"suffix":""},{"dropping-particle":"","family":"Azim","given":"Kazi Sanwarul","non-dropping-particle":"","parse-names":false,"suffix":""},{"dropping-particle":"","family":"Jafor","given":"A H M","non-dropping-particle":"","parse-names":false,"suffix":""},{"dropping-particle":"","family":"Shayed","given":"Azher Uddin","non-dropping-particle":"","parse-names":false,"suffix":""},{"dropping-particle":"","family":"Hossain","given":"Mir Abrar","non-dropping-particle":"","parse-names":false,"suffix":""},{"dropping-particle":"","family":"Khan","given":"Obyed Ullah","non-dropping-particle":"","parse-names":false,"suffix":""}],"id":"ITEM-1","issue":"5","issued":{"date-parts":[["2024"]]},"page":"1-21","title":"Digital Transformation in Non-Profit Organizations : Strategies , Challenges , and Successes","type":"article-journal","volume":"2"},"uris":["http://www.mendeley.com/documents/?uuid=5dc8fd69-c360-4e4a-a0c2-0e8b0b1d5a01"]}],"mendeley":{"formattedCitation":"(Nikita et al., 2024)","plainTextFormattedCitation":"(Nikita et al., 2024)","previouslyFormattedCitation":"(Nikita et al., 2024)"},"properties":{"noteIndex":0},"schema":"https://github.com/citation-style-language/schema/raw/master/csl-citation.json"}</w:instrText>
      </w:r>
      <w:r w:rsidR="009F58E1">
        <w:rPr>
          <w:rFonts w:asciiTheme="minorBidi" w:hAnsiTheme="minorBidi" w:cstheme="minorBidi"/>
          <w:i w:val="0"/>
          <w:iCs w:val="0"/>
        </w:rPr>
        <w:fldChar w:fldCharType="separate"/>
      </w:r>
      <w:r w:rsidR="00FA55C8" w:rsidRPr="00FA55C8">
        <w:rPr>
          <w:rFonts w:asciiTheme="minorBidi" w:hAnsiTheme="minorBidi" w:cstheme="minorBidi"/>
          <w:i w:val="0"/>
          <w:iCs w:val="0"/>
        </w:rPr>
        <w:t>(Nikita et al., 2024)</w:t>
      </w:r>
      <w:r w:rsidR="009F58E1">
        <w:rPr>
          <w:rFonts w:asciiTheme="minorBidi" w:hAnsiTheme="minorBidi" w:cstheme="minorBidi"/>
          <w:i w:val="0"/>
          <w:iCs w:val="0"/>
        </w:rPr>
        <w:fldChar w:fldCharType="end"/>
      </w:r>
      <w:r w:rsidRPr="004125FF">
        <w:rPr>
          <w:rFonts w:asciiTheme="minorBidi" w:hAnsiTheme="minorBidi" w:cstheme="minorBidi"/>
          <w:i w:val="0"/>
          <w:iCs w:val="0"/>
        </w:rPr>
        <w:t>. The term "digital maturity" refers to a company's current level of digital transformation implementation. These efforts could include changes achieved from an operational perspective, such as modifications to products or processes, as well as skills acquired in mastering the change process</w:t>
      </w:r>
      <w:r w:rsidR="009F58E1">
        <w:rPr>
          <w:rFonts w:asciiTheme="minorBidi" w:hAnsiTheme="minorBidi" w:cstheme="minorBidi"/>
          <w:i w:val="0"/>
          <w:iCs w:val="0"/>
        </w:rPr>
        <w:t xml:space="preserve"> </w:t>
      </w:r>
      <w:r w:rsidR="009F58E1">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DOI":"10.24857/rgsa.v18n11-256","ISBN":"0000000338660","author":[{"dropping-particle":"","family":"Andres","given":"Oscar","non-dropping-particle":"","parse-names":false,"suffix":""},{"dropping-particle":"","family":"Rodriguez","given":"Galindo","non-dropping-particle":"","parse-names":false,"suffix":""},{"dropping-particle":"","family":"Yolima","given":"Darlyn","non-dropping-particle":"","parse-names":false,"suffix":""},{"dropping-particle":"","family":"Balbin","given":"Castrillón","non-dropping-particle":"","parse-names":false,"suffix":""}],"id":"ITEM-1","issue":"November 2024","issued":{"date-parts":[["2025"]]},"title":"Digital Maturity Level , a Roadmap for Digital Transformation : Case Study DIGITAL MATURITY LEVEL , A ROADMAP FOR DIGITAL TRANSFORMATION : CASE STUDY","type":"article-journal"},"uris":["http://www.mendeley.com/documents/?uuid=0991af98-862e-41be-95a6-c43ff2f5a882"]}],"mendeley":{"formattedCitation":"(Andres et al., 2025)","plainTextFormattedCitation":"(Andres et al., 2025)","previouslyFormattedCitation":"(Andres et al., 2025)"},"properties":{"noteIndex":0},"schema":"https://github.com/citation-style-language/schema/raw/master/csl-citation.json"}</w:instrText>
      </w:r>
      <w:r w:rsidR="009F58E1">
        <w:rPr>
          <w:rFonts w:asciiTheme="minorBidi" w:hAnsiTheme="minorBidi" w:cstheme="minorBidi"/>
          <w:i w:val="0"/>
          <w:iCs w:val="0"/>
        </w:rPr>
        <w:fldChar w:fldCharType="separate"/>
      </w:r>
      <w:r w:rsidR="00FA55C8" w:rsidRPr="00FA55C8">
        <w:rPr>
          <w:rFonts w:asciiTheme="minorBidi" w:hAnsiTheme="minorBidi" w:cstheme="minorBidi"/>
          <w:i w:val="0"/>
          <w:iCs w:val="0"/>
        </w:rPr>
        <w:t>(Andres et al., 2025)</w:t>
      </w:r>
      <w:r w:rsidR="009F58E1">
        <w:rPr>
          <w:rFonts w:asciiTheme="minorBidi" w:hAnsiTheme="minorBidi" w:cstheme="minorBidi"/>
          <w:i w:val="0"/>
          <w:iCs w:val="0"/>
        </w:rPr>
        <w:fldChar w:fldCharType="end"/>
      </w:r>
      <w:r w:rsidRPr="004125FF">
        <w:rPr>
          <w:rFonts w:asciiTheme="minorBidi" w:hAnsiTheme="minorBidi" w:cstheme="minorBidi"/>
          <w:i w:val="0"/>
          <w:iCs w:val="0"/>
        </w:rPr>
        <w:t>. The maturity model offers direction for organisations in their transformation efforts and delineates the process for executing those transformations. Digital maturity models often have dimensions and criteria that delineate actions or measures signifying progression towards maturity</w:t>
      </w:r>
      <w:r w:rsidR="009F58E1">
        <w:rPr>
          <w:rFonts w:asciiTheme="minorBidi" w:hAnsiTheme="minorBidi" w:cstheme="minorBidi"/>
          <w:i w:val="0"/>
          <w:iCs w:val="0"/>
        </w:rPr>
        <w:t xml:space="preserve"> </w:t>
      </w:r>
      <w:r w:rsidR="009F58E1">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{"citationItems":[{"id":"ITEM-1","itemData":{"author":[{"dropping-particle":"","family":"Haryanti","given":"Tining","non-dropping-particle":"","parse-names":false,"suffix":""},{"dropping-particle":"","family":"Rakhmawati","given":"Nur Aini","non-dropping-particle":"","parse-names":false,"suffix":""},{"dropping-particle":"","family":"Subriadi","given":"Apol Pribadi","non-dropping-particle":"","parse-names":false,"suffix":""}],"id":"ITEM-1","issued":{"date-parts":[["2023"]]},"page":"1-24","title":"The Extended Digital Maturity Model","type":"article-journal"},"uris":["http://www.mendeley.com/documents/?uuid=ac976c3c-864f-46e8-94d3-4b9bd30a2b07"]}],"mendeley":{"formattedCitation":"(Haryanti et al., 2023)","plainTextFormattedCitation":"(Haryanti et al., 2023)","previouslyFormattedCitation":"(Haryanti et al., 2023)"},"properties":{"noteIndex":0},"schema":"https://github.com/citation-style-language/schema/raw/master/csl-citation.json"}</w:instrText>
      </w:r>
      <w:r w:rsidR="009F58E1">
        <w:rPr>
          <w:rFonts w:asciiTheme="minorBidi" w:hAnsiTheme="minorBidi" w:cstheme="minorBidi"/>
          <w:i w:val="0"/>
          <w:iCs w:val="0"/>
        </w:rPr>
        <w:fldChar w:fldCharType="separate"/>
      </w:r>
      <w:r w:rsidR="00FA55C8" w:rsidRPr="00FA55C8">
        <w:rPr>
          <w:rFonts w:asciiTheme="minorBidi" w:hAnsiTheme="minorBidi" w:cstheme="minorBidi"/>
          <w:i w:val="0"/>
          <w:iCs w:val="0"/>
        </w:rPr>
        <w:t>(Haryanti et al., 2023)</w:t>
      </w:r>
      <w:r w:rsidR="009F58E1">
        <w:rPr>
          <w:rFonts w:asciiTheme="minorBidi" w:hAnsiTheme="minorBidi" w:cstheme="minorBidi"/>
          <w:i w:val="0"/>
          <w:iCs w:val="0"/>
        </w:rPr>
        <w:fldChar w:fldCharType="end"/>
      </w:r>
      <w:r w:rsidRPr="004125FF">
        <w:rPr>
          <w:rFonts w:asciiTheme="minorBidi" w:hAnsiTheme="minorBidi" w:cstheme="minorBidi"/>
          <w:i w:val="0"/>
          <w:iCs w:val="0"/>
        </w:rPr>
        <w:t xml:space="preserve">. The maturity model offers direction for organisations in their transformation efforts and delineates the process for executing those transformations. Digital maturity models often have dimensions and criteria that delineate actions or measures signifying </w:t>
      </w:r>
      <w:r w:rsidR="002B4013" w:rsidRPr="004125FF">
        <w:rPr>
          <w:rFonts w:asciiTheme="minorBidi" w:hAnsiTheme="minorBidi" w:cstheme="minorBidi"/>
          <w:i w:val="0"/>
          <w:iCs w:val="0"/>
        </w:rPr>
        <w:t xml:space="preserve">progression towards maturity </w:t>
      </w:r>
      <w:r w:rsidR="009F58E1">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author":[{"dropping-particle":"","family":"Aagaard","given":"Annabeth","non-dropping-particle":"","parse-names":false,"suffix":""},{"dropping-particle":"","family":"Presser","given":"Mirko","non-dropping-particle":"","parse-names":false,"suffix":""},{"dropping-particle":"","family":"Collins","given":"Tom","non-dropping-particle":"","parse-names":false,"suffix":""},{"dropping-particle":"","family":"Beliatis","given":"Michail","non-dropping-particle":"","parse-names":false,"suffix":""},{"dropping-particle":"","family":"Jakobsen","given":"Emilie Mathilde","non-dropping-particle":"","parse-names":false,"suffix":""},{"dropping-particle":"","family":"Skou","given":"Anita Krogsøe","non-dropping-particle":"","parse-names":false,"suffix":""}],"id":"ITEM-1","issued":{"date-parts":[["2021"]]},"title":"The Role of Digital Maturity Assessment in Technology Interventions with Industrial Internet Playground","type":"article-journal"},"uris":["http://www.mendeley.com/documents/?uuid=c13387b4-0a69-4418-8b46-2f44158af7a2"]}],"mendeley":{"formattedCitation":"(Aagaard et al., 2021)","plainTextFormattedCitation":"(Aagaard et al., 2021)","previouslyFormattedCitation":"(Aagaard et al., 2021)"},"properties":{"noteIndex":0},"schema":"https://github.com/citation-style-language/schema/raw/master/csl-citation.json"}</w:instrText>
      </w:r>
      <w:r w:rsidR="009F58E1">
        <w:rPr>
          <w:rFonts w:asciiTheme="minorBidi" w:hAnsiTheme="minorBidi" w:cstheme="minorBidi"/>
          <w:i w:val="0"/>
          <w:iCs w:val="0"/>
        </w:rPr>
        <w:fldChar w:fldCharType="separate"/>
      </w:r>
      <w:r w:rsidR="00FA55C8" w:rsidRPr="00FA55C8">
        <w:rPr>
          <w:rFonts w:asciiTheme="minorBidi" w:hAnsiTheme="minorBidi" w:cstheme="minorBidi"/>
          <w:i w:val="0"/>
          <w:iCs w:val="0"/>
        </w:rPr>
        <w:t>(Aagaard et al., 2021)</w:t>
      </w:r>
      <w:r w:rsidR="009F58E1">
        <w:rPr>
          <w:rFonts w:asciiTheme="minorBidi" w:hAnsiTheme="minorBidi" w:cstheme="minorBidi"/>
          <w:i w:val="0"/>
          <w:iCs w:val="0"/>
        </w:rPr>
        <w:fldChar w:fldCharType="end"/>
      </w:r>
      <w:r w:rsidRPr="004125FF">
        <w:rPr>
          <w:rFonts w:asciiTheme="minorBidi" w:hAnsiTheme="minorBidi" w:cstheme="minorBidi"/>
          <w:i w:val="0"/>
          <w:iCs w:val="0"/>
        </w:rPr>
        <w:t>. The element that delineates the main characteristics of an action fiel</w:t>
      </w:r>
      <w:r w:rsidR="009F58E1">
        <w:rPr>
          <w:rFonts w:asciiTheme="minorBidi" w:hAnsiTheme="minorBidi" w:cstheme="minorBidi"/>
          <w:i w:val="0"/>
          <w:iCs w:val="0"/>
        </w:rPr>
        <w:t xml:space="preserve">d is referred to as a dimension </w:t>
      </w:r>
      <w:r w:rsidR="009F58E1">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{"citationItems":[{"id":"ITEM-1","itemData":{"author":[{"dropping-particle":"","family":"Haryanti","given":"Tining","non-dropping-particle":"","parse-names":false,"suffix":""},{"dropping-particle":"","family":"Rakhmawati","given":"Nur Aini","non-dropping-particle":"","parse-names":false,"suffix":""},{"dropping-particle":"","family":"Subriadi","given":"Apol Pribadi","non-dropping-particle":"","parse-names":false,"suffix":""}],"id":"ITEM-1","issued":{"date-parts":[["2023"]]},"page":"1-24","title":"The Extended Digital Maturity Model","type":"article-journal"},"uris":["http://www.mendeley.com/documents/?uuid=ac976c3c-864f-46e8-94d3-4b9bd30a2b07"]}],"mendeley":{"formattedCitation":"(Haryanti et al., 2023)","plainTextFormattedCitation":"(Haryanti et al., 2023)","previouslyFormattedCitation":"(Haryanti et al., 2023)"},"properties":{"noteIndex":0},"schema":"https://github.com/citation-style-language/schema/raw/master/csl-citation.json"}</w:instrText>
      </w:r>
      <w:r w:rsidR="009F58E1">
        <w:rPr>
          <w:rFonts w:asciiTheme="minorBidi" w:hAnsiTheme="minorBidi" w:cstheme="minorBidi"/>
          <w:i w:val="0"/>
          <w:iCs w:val="0"/>
        </w:rPr>
        <w:fldChar w:fldCharType="separate"/>
      </w:r>
      <w:r w:rsidR="00FA55C8" w:rsidRPr="00FA55C8">
        <w:rPr>
          <w:rFonts w:asciiTheme="minorBidi" w:hAnsiTheme="minorBidi" w:cstheme="minorBidi"/>
          <w:i w:val="0"/>
          <w:iCs w:val="0"/>
        </w:rPr>
        <w:t>(Haryanti et al., 2023)</w:t>
      </w:r>
      <w:r w:rsidR="009F58E1">
        <w:rPr>
          <w:rFonts w:asciiTheme="minorBidi" w:hAnsiTheme="minorBidi" w:cstheme="minorBidi"/>
          <w:i w:val="0"/>
          <w:iCs w:val="0"/>
        </w:rPr>
        <w:fldChar w:fldCharType="end"/>
      </w:r>
      <w:r w:rsidRPr="004125FF">
        <w:rPr>
          <w:rFonts w:asciiTheme="minorBidi" w:hAnsiTheme="minorBidi" w:cstheme="minorBidi"/>
          <w:i w:val="0"/>
          <w:iCs w:val="0"/>
        </w:rPr>
        <w:t>. This action is assessed according to maturity levels that encompass both specific and general practices related to various maturity dimensions. Despite the existence of several maturity models, various issues contribute to the ineffectiveness of evaluating a company's transformation capabilities, including limited domain-specific discourse and the substantial expense of maturity assessment, which necessitates third-party involvement. The maturity model requires a holistic approach. Conversely, assessing digital maturity is essential at all times, facilitating organisations in understanding their existing transformation stage while delineating the specific steps required to enhance digital maturity</w:t>
      </w:r>
      <w:r w:rsidR="009F58E1">
        <w:rPr>
          <w:rFonts w:asciiTheme="minorBidi" w:hAnsiTheme="minorBidi" w:cstheme="minorBidi"/>
          <w:i w:val="0"/>
          <w:iCs w:val="0"/>
        </w:rPr>
        <w:t xml:space="preserve"> </w:t>
      </w:r>
      <w:r w:rsidR="009F58E1">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author":[{"dropping-particle":"","family":"Lee","given":"Keeeun","non-dropping-particle":"","parse-names":false,"suffix":""},{"dropping-particle":"","family":"Song","given":"Youngchul","non-dropping-particle":"","parse-names":false,"suffix":""},{"dropping-particle":"","family":"Park","given":"Minyoung","non-dropping-particle":"","parse-names":false,"suffix":""},{"dropping-particle":"","family":"Yoon","given":"Byungun","non-dropping-particle":"","parse-names":false,"suffix":""}],"id":"ITEM-1","issued":{"date-parts":[["2024"]]},"title":"Development of Digital Transformation Maturity Assessment Model for Collaborative Factory Involving Multiple Companies","type":"article-journal"},"uris":["http://www.mendeley.com/documents/?uuid=8bed2cee-e6af-4ae2-bbda-d8f301144573"]}],"mendeley":{"formattedCitation":"(Lee et al., 2024)","plainTextFormattedCitation":"(Lee et al., 2024)","previouslyFormattedCitation":"(Lee et al., 2024)"},"properties":{"noteIndex":0},"schema":"https://github.com/citation-style-language/schema/raw/master/csl-citation.json"}</w:instrText>
      </w:r>
      <w:r w:rsidR="009F58E1">
        <w:rPr>
          <w:rFonts w:asciiTheme="minorBidi" w:hAnsiTheme="minorBidi" w:cstheme="minorBidi"/>
          <w:i w:val="0"/>
          <w:iCs w:val="0"/>
        </w:rPr>
        <w:fldChar w:fldCharType="separate"/>
      </w:r>
      <w:r w:rsidR="00FA55C8" w:rsidRPr="00FA55C8">
        <w:rPr>
          <w:rFonts w:asciiTheme="minorBidi" w:hAnsiTheme="minorBidi" w:cstheme="minorBidi"/>
          <w:i w:val="0"/>
          <w:iCs w:val="0"/>
        </w:rPr>
        <w:t>(Lee et al., 2024)</w:t>
      </w:r>
      <w:r w:rsidR="009F58E1">
        <w:rPr>
          <w:rFonts w:asciiTheme="minorBidi" w:hAnsiTheme="minorBidi" w:cstheme="minorBidi"/>
          <w:i w:val="0"/>
          <w:iCs w:val="0"/>
        </w:rPr>
        <w:fldChar w:fldCharType="end"/>
      </w:r>
      <w:r w:rsidRPr="004125FF">
        <w:rPr>
          <w:rFonts w:asciiTheme="minorBidi" w:hAnsiTheme="minorBidi" w:cstheme="minorBidi"/>
          <w:i w:val="0"/>
          <w:iCs w:val="0"/>
        </w:rPr>
        <w:t>.</w:t>
      </w:r>
    </w:p>
    <w:p w14:paraId="4587C558" w14:textId="77777777" w:rsidR="000D4D4C" w:rsidRPr="004125FF" w:rsidRDefault="000D4D4C" w:rsidP="000D4D4C">
      <w:pPr>
        <w:rPr>
          <w:rFonts w:asciiTheme="minorBidi" w:hAnsiTheme="minorBidi" w:cstheme="minorBidi"/>
        </w:rPr>
      </w:pPr>
    </w:p>
    <w:p w14:paraId="420AD6E4" w14:textId="3B0610BE" w:rsidR="000D4D4C" w:rsidRPr="00317F82" w:rsidRDefault="000D4D4C" w:rsidP="00F044C5">
      <w:pPr>
        <w:pStyle w:val="ListParagraph"/>
        <w:numPr>
          <w:ilvl w:val="1"/>
          <w:numId w:val="18"/>
        </w:numPr>
        <w:rPr>
          <w:rFonts w:asciiTheme="minorBidi" w:hAnsiTheme="minorBidi"/>
          <w:b/>
          <w:bCs/>
          <w:shd w:val="clear" w:color="auto" w:fill="FFFFFF"/>
        </w:rPr>
      </w:pPr>
      <w:r w:rsidRPr="00317F82">
        <w:rPr>
          <w:rFonts w:asciiTheme="minorBidi" w:hAnsiTheme="minorBidi"/>
          <w:b/>
          <w:bCs/>
          <w:shd w:val="clear" w:color="auto" w:fill="FFFFFF"/>
        </w:rPr>
        <w:t>Digital Maturity Level</w:t>
      </w:r>
    </w:p>
    <w:p w14:paraId="34E2AED0" w14:textId="264C7BC1" w:rsidR="000D4D4C" w:rsidRPr="004125FF" w:rsidRDefault="000D4D4C" w:rsidP="00FA55C8">
      <w:pPr>
        <w:jc w:val="both"/>
        <w:rPr>
          <w:rFonts w:asciiTheme="minorBidi" w:hAnsiTheme="minorBidi" w:cstheme="minorBidi"/>
        </w:rPr>
      </w:pPr>
      <w:r w:rsidRPr="004125FF">
        <w:rPr>
          <w:rFonts w:asciiTheme="minorBidi" w:hAnsiTheme="minorBidi" w:cstheme="minorBidi"/>
        </w:rPr>
        <w:t>Researchers and practitioners utilise many different maturity level model</w:t>
      </w:r>
      <w:r w:rsidR="00395FAE">
        <w:rPr>
          <w:rFonts w:asciiTheme="minorBidi" w:hAnsiTheme="minorBidi" w:cstheme="minorBidi"/>
        </w:rPr>
        <w:t xml:space="preserve">s </w:t>
      </w:r>
      <w:r w:rsidR="00395FAE">
        <w:rPr>
          <w:rFonts w:asciiTheme="minorBidi" w:hAnsiTheme="minorBidi" w:cstheme="minorBidi"/>
        </w:rPr>
        <w:fldChar w:fldCharType="begin" w:fldLock="1"/>
      </w:r>
      <w:r w:rsidR="004D74B5">
        <w:rPr>
          <w:rFonts w:asciiTheme="minorBidi" w:hAnsiTheme="minorBidi" w:cstheme="minorBidi"/>
        </w:rPr>
        <w:instrText>ADDIN CSL_CITATION {"citationItems":[{"id":"ITEM-1","itemData":{"author":[{"dropping-particle":"","family":"Haryanti","given":"Tining","non-dropping-particle":"","parse-names":false,"suffix":""},{"dropping-particle":"","family":"Rakhmawati","given":"Nur Aini","non-dropping-particle":"","parse-names":false,"suffix":""},{"dropping-particle":"","family":"Subriadi","given":"Apol Pribadi","non-dropping-particle":"","parse-names":false,"suffix":""}],"id":"ITEM-1","issued":{"date-parts":[["2023"]]},"page":"1-24","title":"The Extended Digital Maturity Model","type":"article-journal"},"uris":["http://www.mendeley.com/documents/?uuid=ac976c3c-864f-46e8-94d3-4b9bd30a2b07"]}],"mendeley":{"formattedCitation":"(Haryanti et al., 2023)","plainTextFormattedCitation":"(Haryanti et al., 2023)","previouslyFormattedCitation":"(Haryanti et al., 2023)"},"properties":{"noteIndex":0},"schema":"https://github.com/citation-style-language/schema/raw/master/csl-citation.json"}</w:instrText>
      </w:r>
      <w:r w:rsidR="00395FAE">
        <w:rPr>
          <w:rFonts w:asciiTheme="minorBidi" w:hAnsiTheme="minorBidi" w:cstheme="minorBidi"/>
        </w:rPr>
        <w:fldChar w:fldCharType="separate"/>
      </w:r>
      <w:r w:rsidR="00FA55C8" w:rsidRPr="00FA55C8">
        <w:rPr>
          <w:rFonts w:asciiTheme="minorBidi" w:hAnsiTheme="minorBidi" w:cstheme="minorBidi"/>
          <w:noProof/>
        </w:rPr>
        <w:t>(Haryanti et al., 2023)</w:t>
      </w:r>
      <w:r w:rsidR="00395FAE">
        <w:rPr>
          <w:rFonts w:asciiTheme="minorBidi" w:hAnsiTheme="minorBidi" w:cstheme="minorBidi"/>
        </w:rPr>
        <w:fldChar w:fldCharType="end"/>
      </w:r>
      <w:r w:rsidRPr="004125FF">
        <w:rPr>
          <w:rFonts w:asciiTheme="minorBidi" w:hAnsiTheme="minorBidi" w:cstheme="minorBidi"/>
        </w:rPr>
        <w:t>. A Digital Maturity Level describes an organization's current capacity to adapt and succeed in a digital environment, evaluated across several key dimensions, including technology, customer experience, organizational structure, culture, and strategy</w:t>
      </w:r>
      <w:r w:rsidR="00395FAE">
        <w:rPr>
          <w:rFonts w:asciiTheme="minorBidi" w:hAnsiTheme="minorBidi" w:cstheme="minorBidi"/>
        </w:rPr>
        <w:t xml:space="preserve"> </w:t>
      </w:r>
      <w:r w:rsidR="00395FAE">
        <w:rPr>
          <w:rFonts w:asciiTheme="minorBidi" w:hAnsiTheme="minorBidi" w:cstheme="minorBidi"/>
        </w:rPr>
        <w:fldChar w:fldCharType="begin" w:fldLock="1"/>
      </w:r>
      <w:r w:rsidR="004D74B5">
        <w:rPr>
          <w:rFonts w:asciiTheme="minorBidi" w:hAnsiTheme="minorBidi" w:cstheme="minorBidi"/>
        </w:rPr>
        <w:instrText>ADDIN CSL_CITATION {"citationItems":[{"id":"ITEM-1","itemData":{"DOI":"10.1080/00207543.2021.1991020","author":[{"dropping-particle":"","family":"Gökalp","given":"Ebru","non-dropping-particle":"","parse-names":false,"suffix":""},{"dropping-particle":"","family":"Martinez","given":"Veronica","non-dropping-particle":"","parse-names":false,"suffix":""}],"id":"ITEM-1","issue":"May","issued":{"date-parts":[["2025"]]},"title":"Digital transformation maturity assessment : development of the digital transformation capability maturity model","type":"article-journal"},"uris":["http://www.mendeley.com/documents/?uuid=f91d2dce-f11b-476e-80b9-557612067137"]}],"mendeley":{"formattedCitation":"(Gökalp &amp; Martinez, 2025)","plainTextFormattedCitation":"(Gökalp &amp; Martinez, 2025)","previouslyFormattedCitation":"(Gökalp &amp; Martinez, 2025)"},"properties":{"noteIndex":0},"schema":"https://github.com/citation-style-language/schema/raw/master/csl-citation.json"}</w:instrText>
      </w:r>
      <w:r w:rsidR="00395FAE">
        <w:rPr>
          <w:rFonts w:asciiTheme="minorBidi" w:hAnsiTheme="minorBidi" w:cstheme="minorBidi"/>
        </w:rPr>
        <w:fldChar w:fldCharType="separate"/>
      </w:r>
      <w:r w:rsidR="00FA55C8" w:rsidRPr="00FA55C8">
        <w:rPr>
          <w:rFonts w:asciiTheme="minorBidi" w:hAnsiTheme="minorBidi" w:cstheme="minorBidi"/>
          <w:noProof/>
        </w:rPr>
        <w:t>(Gökalp &amp; Martinez, 2025)</w:t>
      </w:r>
      <w:r w:rsidR="00395FAE">
        <w:rPr>
          <w:rFonts w:asciiTheme="minorBidi" w:hAnsiTheme="minorBidi" w:cstheme="minorBidi"/>
        </w:rPr>
        <w:fldChar w:fldCharType="end"/>
      </w:r>
      <w:r w:rsidRPr="004125FF">
        <w:rPr>
          <w:rFonts w:asciiTheme="minorBidi" w:hAnsiTheme="minorBidi" w:cstheme="minorBidi"/>
        </w:rPr>
        <w:t>. Organisations are generally evaluated using a framework that indicates stages of development, from "Initial" to "Advanced". An elevated level of digital maturity signifies enhanced efficiency, adaptability, and potential for innovation and growth through the proficient use of digital tools and strategies. Maturity models are designed to provide a framework for assessing critical corporate acti</w:t>
      </w:r>
      <w:r w:rsidR="00395FAE">
        <w:rPr>
          <w:rFonts w:asciiTheme="minorBidi" w:hAnsiTheme="minorBidi" w:cstheme="minorBidi"/>
        </w:rPr>
        <w:t xml:space="preserve">vities </w:t>
      </w:r>
      <w:r w:rsidR="00395FAE">
        <w:rPr>
          <w:rFonts w:asciiTheme="minorBidi" w:hAnsiTheme="minorBidi" w:cstheme="minorBidi"/>
        </w:rPr>
        <w:fldChar w:fldCharType="begin" w:fldLock="1"/>
      </w:r>
      <w:r w:rsidR="004D74B5">
        <w:rPr>
          <w:rFonts w:asciiTheme="minorBidi" w:hAnsiTheme="minorBidi" w:cstheme="minorBidi"/>
        </w:rPr>
        <w:instrText>ADDIN CSL_CITATION {"citationItems":[{"id":"ITEM-1","itemData":{"author":[{"dropping-particle":"","family":"Mettler","given":"Tobias","non-dropping-particle":"","parse-names":false,"suffix":""},{"dropping-particle":"","family":"Ballester","given":"Omar","non-dropping-particle":"","parse-names":false,"suffix":""}],"id":"ITEM-1","issue":"2017","issued":{"date-parts":[["2021"]]},"page":"1-16","title":"Maturity Models in Information Systems : A Review and Extension of Existing Guidelines","type":"article-journal"},"uris":["http://www.mendeley.com/documents/?uuid=92934bf5-80d1-4030-80d5-d4bd99091e45"]}],"mendeley":{"formattedCitation":"(Mettler &amp; Ballester, 2021)","plainTextFormattedCitation":"(Mettler &amp; Ballester, 2021)","previouslyFormattedCitation":"(Mettler &amp; Ballester, 2021)"},"properties":{"noteIndex":0},"schema":"https://github.com/citation-style-language/schema/raw/master/csl-citation.json"}</w:instrText>
      </w:r>
      <w:r w:rsidR="00395FAE">
        <w:rPr>
          <w:rFonts w:asciiTheme="minorBidi" w:hAnsiTheme="minorBidi" w:cstheme="minorBidi"/>
        </w:rPr>
        <w:fldChar w:fldCharType="separate"/>
      </w:r>
      <w:r w:rsidR="00FA55C8" w:rsidRPr="00FA55C8">
        <w:rPr>
          <w:rFonts w:asciiTheme="minorBidi" w:hAnsiTheme="minorBidi" w:cstheme="minorBidi"/>
          <w:noProof/>
        </w:rPr>
        <w:t>(Mettler &amp; Ballester, 2021)</w:t>
      </w:r>
      <w:r w:rsidR="00395FAE">
        <w:rPr>
          <w:rFonts w:asciiTheme="minorBidi" w:hAnsiTheme="minorBidi" w:cstheme="minorBidi"/>
        </w:rPr>
        <w:fldChar w:fldCharType="end"/>
      </w:r>
      <w:r w:rsidRPr="004125FF">
        <w:rPr>
          <w:rFonts w:asciiTheme="minorBidi" w:hAnsiTheme="minorBidi" w:cstheme="minorBidi"/>
        </w:rPr>
        <w:t>. Generally, diverse methodological frameworks are employed to evaluate digital maturity, each aiming to delineate the critical aspects and elements of transition. The approach from the MIT Centre, created in partnership with Capgemini, emphasises three primary dimensions: digital customer experience, operational efficiencies, and the business model</w:t>
      </w:r>
      <w:r w:rsidR="00395FAE">
        <w:rPr>
          <w:rFonts w:asciiTheme="minorBidi" w:hAnsiTheme="minorBidi" w:cstheme="minorBidi"/>
        </w:rPr>
        <w:t xml:space="preserve"> </w:t>
      </w:r>
      <w:r w:rsidR="00395FAE">
        <w:rPr>
          <w:rFonts w:asciiTheme="minorBidi" w:hAnsiTheme="minorBidi" w:cstheme="minorBidi"/>
        </w:rPr>
        <w:fldChar w:fldCharType="begin" w:fldLock="1"/>
      </w:r>
      <w:r w:rsidR="004D74B5">
        <w:rPr>
          <w:rFonts w:asciiTheme="minorBidi" w:hAnsiTheme="minorBidi" w:cstheme="minorBidi"/>
        </w:rPr>
        <w:instrText>ADDIN CSL_CITATION {"citationItems":[{"id":"ITEM-1","itemData":{"author":[{"dropping-particle":"","family":"Röper","given":"Jonas","non-dropping-particle":"","parse-names":false,"suffix":""},{"dropping-particle":"","family":"Röper","given":"Jonas","non-dropping-particle":"","parse-names":false,"suffix":""}],"id":"ITEM-1","issued":{"date-parts":[["2023"]]},"title":"Boosting Outcome-Based Business Models – The Role of the Consulting Industry A case study at Capgemini Invent","type":"article-journal"},"uris":["http://www.mendeley.com/documents/?uuid=d090ba2f-6d21-4e0a-be8b-28e7e5b3b0dd"]}],"mendeley":{"formattedCitation":"(Röper &amp; Röper, 2023)","plainTextFormattedCitation":"(Röper &amp; Röper, 2023)","previouslyFormattedCitation":"(Röper &amp; Röper, 2023)"},"properties":{"noteIndex":0},"schema":"https://github.com/citation-style-language/schema/raw/master/csl-citation.json"}</w:instrText>
      </w:r>
      <w:r w:rsidR="00395FAE">
        <w:rPr>
          <w:rFonts w:asciiTheme="minorBidi" w:hAnsiTheme="minorBidi" w:cstheme="minorBidi"/>
        </w:rPr>
        <w:fldChar w:fldCharType="separate"/>
      </w:r>
      <w:r w:rsidR="00FA55C8" w:rsidRPr="00FA55C8">
        <w:rPr>
          <w:rFonts w:asciiTheme="minorBidi" w:hAnsiTheme="minorBidi" w:cstheme="minorBidi"/>
          <w:noProof/>
        </w:rPr>
        <w:t>(Röper &amp; Röper, 2023)</w:t>
      </w:r>
      <w:r w:rsidR="00395FAE">
        <w:rPr>
          <w:rFonts w:asciiTheme="minorBidi" w:hAnsiTheme="minorBidi" w:cstheme="minorBidi"/>
        </w:rPr>
        <w:fldChar w:fldCharType="end"/>
      </w:r>
      <w:r w:rsidRPr="004125FF">
        <w:rPr>
          <w:rFonts w:asciiTheme="minorBidi" w:hAnsiTheme="minorBidi" w:cstheme="minorBidi"/>
        </w:rPr>
        <w:t>. Deloitte's Digital Maturity Model provides a comprehensive framework comprising five interrelated dimensions: strategy, customers, technology, data, and organisational processes</w:t>
      </w:r>
      <w:r w:rsidR="00395FAE">
        <w:rPr>
          <w:rFonts w:asciiTheme="minorBidi" w:hAnsiTheme="minorBidi" w:cstheme="minorBidi"/>
        </w:rPr>
        <w:t xml:space="preserve"> </w:t>
      </w:r>
      <w:r w:rsidR="00395FAE">
        <w:rPr>
          <w:rFonts w:asciiTheme="minorBidi" w:hAnsiTheme="minorBidi" w:cstheme="minorBidi"/>
        </w:rPr>
        <w:fldChar w:fldCharType="begin" w:fldLock="1"/>
      </w:r>
      <w:r w:rsidR="004D74B5">
        <w:rPr>
          <w:rFonts w:asciiTheme="minorBidi" w:hAnsiTheme="minorBidi" w:cstheme="minorBidi"/>
        </w:rPr>
        <w:instrText>ADDIN CSL_CITATION {"citationItems":[{"id":"ITEM-1","itemData":{"DOI":"10.22054/dcm.2022.66880.1070","author":[{"dropping-particle":"","family":"Ciruskabiri","given":"Sepideh","non-dropping-particle":"","parse-names":false,"suffix":""}],"id":"ITEM-1","issue":"7","issued":{"date-parts":[["2023"]]},"title":"Digital Transformation Planning and Frameworks","type":"article-journal","volume":"4"},"uris":["http://www.mendeley.com/documents/?uuid=6a4dab70-b105-45bb-9430-51e5d81e947f"]}],"mendeley":{"formattedCitation":"(Ciruskabiri, 2023)","plainTextFormattedCitation":"(Ciruskabiri, 2023)","previouslyFormattedCitation":"(Ciruskabiri, 2023)"},"properties":{"noteIndex":0},"schema":"https://github.com/citation-style-language/schema/raw/master/csl-citation.json"}</w:instrText>
      </w:r>
      <w:r w:rsidR="00395FAE">
        <w:rPr>
          <w:rFonts w:asciiTheme="minorBidi" w:hAnsiTheme="minorBidi" w:cstheme="minorBidi"/>
        </w:rPr>
        <w:fldChar w:fldCharType="separate"/>
      </w:r>
      <w:r w:rsidR="00FA55C8" w:rsidRPr="00FA55C8">
        <w:rPr>
          <w:rFonts w:asciiTheme="minorBidi" w:hAnsiTheme="minorBidi" w:cstheme="minorBidi"/>
          <w:noProof/>
        </w:rPr>
        <w:t>(Ciruskabiri, 2023)</w:t>
      </w:r>
      <w:r w:rsidR="00395FAE">
        <w:rPr>
          <w:rFonts w:asciiTheme="minorBidi" w:hAnsiTheme="minorBidi" w:cstheme="minorBidi"/>
        </w:rPr>
        <w:fldChar w:fldCharType="end"/>
      </w:r>
      <w:r w:rsidRPr="004125FF">
        <w:rPr>
          <w:rFonts w:asciiTheme="minorBidi" w:hAnsiTheme="minorBidi" w:cstheme="minorBidi"/>
        </w:rPr>
        <w:t>. These academic models indicate that organisational evaluations extend beyond technology, occurring within a framework that delineates progre</w:t>
      </w:r>
      <w:r w:rsidR="008C7E5E">
        <w:rPr>
          <w:rFonts w:asciiTheme="minorBidi" w:hAnsiTheme="minorBidi" w:cstheme="minorBidi"/>
        </w:rPr>
        <w:t>ssive development stages from "</w:t>
      </w:r>
      <w:r w:rsidR="008C7E5E" w:rsidRPr="004125FF">
        <w:rPr>
          <w:rFonts w:asciiTheme="minorBidi" w:hAnsiTheme="minorBidi" w:cstheme="minorBidi"/>
        </w:rPr>
        <w:t xml:space="preserve">Initial </w:t>
      </w:r>
      <w:r w:rsidR="008C7E5E">
        <w:rPr>
          <w:rFonts w:asciiTheme="minorBidi" w:hAnsiTheme="minorBidi" w:cstheme="minorBidi"/>
        </w:rPr>
        <w:t>" to "</w:t>
      </w:r>
      <w:r w:rsidR="008C7E5E" w:rsidRPr="008C7E5E">
        <w:rPr>
          <w:rFonts w:asciiTheme="minorBidi" w:hAnsiTheme="minorBidi" w:cstheme="minorBidi"/>
        </w:rPr>
        <w:t xml:space="preserve"> </w:t>
      </w:r>
      <w:r w:rsidR="008C7E5E" w:rsidRPr="004125FF">
        <w:rPr>
          <w:rFonts w:asciiTheme="minorBidi" w:hAnsiTheme="minorBidi" w:cstheme="minorBidi"/>
        </w:rPr>
        <w:t>Optimized</w:t>
      </w:r>
      <w:r w:rsidRPr="004125FF">
        <w:rPr>
          <w:rFonts w:asciiTheme="minorBidi" w:hAnsiTheme="minorBidi" w:cstheme="minorBidi"/>
        </w:rPr>
        <w:t>"</w:t>
      </w:r>
      <w:r w:rsidR="008C7E5E">
        <w:rPr>
          <w:rFonts w:asciiTheme="minorBidi" w:hAnsiTheme="minorBidi" w:cstheme="minorBidi"/>
        </w:rPr>
        <w:t>.</w:t>
      </w:r>
    </w:p>
    <w:p w14:paraId="6DA7AF10" w14:textId="77777777" w:rsidR="006C784D" w:rsidRPr="004125FF" w:rsidRDefault="006C784D" w:rsidP="000D4D4C">
      <w:pPr>
        <w:jc w:val="both"/>
        <w:rPr>
          <w:rFonts w:asciiTheme="minorBidi" w:hAnsiTheme="minorBidi" w:cstheme="minorBidi"/>
        </w:rPr>
      </w:pPr>
    </w:p>
    <w:p w14:paraId="487B16AA" w14:textId="203F465F" w:rsidR="00317F82" w:rsidRPr="003D1D02" w:rsidRDefault="003D1D02" w:rsidP="00F044C5">
      <w:pPr>
        <w:pStyle w:val="ListParagraph"/>
        <w:numPr>
          <w:ilvl w:val="0"/>
          <w:numId w:val="19"/>
        </w:numPr>
        <w:spacing w:after="160" w:line="257" w:lineRule="auto"/>
        <w:ind w:left="357" w:hanging="357"/>
        <w:rPr>
          <w:rFonts w:asciiTheme="minorBidi" w:hAnsiTheme="minorBidi"/>
          <w:b/>
          <w:bCs/>
        </w:rPr>
      </w:pPr>
      <w:r>
        <w:rPr>
          <w:rFonts w:asciiTheme="minorBidi" w:hAnsiTheme="minorBidi"/>
          <w:b/>
          <w:bCs/>
          <w:lang w:val="en-GB"/>
        </w:rPr>
        <w:t xml:space="preserve">DIGITAL MATURITY </w:t>
      </w:r>
      <w:r>
        <w:rPr>
          <w:rFonts w:asciiTheme="minorBidi" w:hAnsiTheme="minorBidi"/>
          <w:b/>
          <w:bCs/>
        </w:rPr>
        <w:t xml:space="preserve">METHODOLOGY FOR THE LIBYAN </w:t>
      </w:r>
      <w:r>
        <w:rPr>
          <w:rFonts w:asciiTheme="minorBidi" w:hAnsiTheme="minorBidi"/>
          <w:b/>
          <w:bCs/>
          <w:lang w:val="en-GB"/>
        </w:rPr>
        <w:t xml:space="preserve">TELECOMMUNICATIONS SECTOR </w:t>
      </w:r>
    </w:p>
    <w:p w14:paraId="3349071C" w14:textId="77777777" w:rsidR="000D4D4C" w:rsidRPr="004125FF" w:rsidRDefault="000D4D4C" w:rsidP="000D4D4C">
      <w:pPr>
        <w:pStyle w:val="BodyText"/>
        <w:spacing w:line="240" w:lineRule="auto"/>
        <w:ind w:firstLine="0"/>
        <w:rPr>
          <w:rFonts w:asciiTheme="minorBidi" w:hAnsiTheme="minorBidi" w:cstheme="minorBidi"/>
        </w:rPr>
      </w:pPr>
      <w:r w:rsidRPr="004125FF">
        <w:rPr>
          <w:rFonts w:asciiTheme="minorBidi" w:hAnsiTheme="minorBidi" w:cstheme="minorBidi"/>
        </w:rPr>
        <w:t>This research aims to assess and analyse the levels of digital maturity in Libyan telecommunications companies. To achieve this goal, a mixed-methods approach was adopted, combining quantitative and qualitative methods. This approach allows for the collection of measurable and generalizable digital data. This research was designed as a case study, focusing on specific telecommunications companies in Libya to analyse their journey toward digital maturity in depth. This approach enables the exploration of both internal and external factors that influence the digital transformation process, as well as an understanding of the dynamics within the telecommunications sector. A quantitative questionnaire was designed for employees and customers at various levels within the targeted companies. Semi-structured interviews were conducted with a carefully selected sample of decision-makers and leaders from the companies, including department managers and team leaders. These interviews aimed to explore the qualitative aspects of digital maturity, understand strategic visions and challenges, cultural drivers, and barriers that the survey may not have covered. The survey consists of closed-ended questions using a Likert scale to measure digital maturity across five key dimensions: digital strategy, customer experience, technology, organizations, and culture. Each question was linked to one of these dimensions, and a numerical value was assigned to each response (from 1 = Agree to 4 = Disagree). Figure 1 illustrates the proposed methodology applied in this research.</w:t>
      </w:r>
    </w:p>
    <w:p w14:paraId="71EF9020" w14:textId="77777777" w:rsidR="000D4D4C" w:rsidRPr="004125FF" w:rsidRDefault="000D4D4C" w:rsidP="000D4D4C">
      <w:pPr>
        <w:rPr>
          <w:rFonts w:asciiTheme="minorBidi" w:hAnsiTheme="minorBidi" w:cstheme="minorBidi"/>
        </w:rPr>
      </w:pPr>
      <w:r w:rsidRPr="004125FF">
        <w:rPr>
          <w:rFonts w:asciiTheme="minorBidi" w:hAnsiTheme="minorBidi" w:cstheme="minorBidi"/>
          <w:noProof/>
          <w:lang w:eastAsia="en-GB"/>
        </w:rPr>
        <w:lastRenderedPageBreak/>
        <w:drawing>
          <wp:inline distT="0" distB="0" distL="0" distR="0" wp14:anchorId="615F6E06" wp14:editId="62F1470D">
            <wp:extent cx="5729605" cy="3724275"/>
            <wp:effectExtent l="0" t="0" r="4445" b="9525"/>
            <wp:docPr id="543910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10665" name="Picture 543910665"/>
                    <pic:cNvPicPr/>
                  </pic:nvPicPr>
                  <pic:blipFill>
                    <a:blip r:embed="rId8">
                      <a:extLst>
                        <a:ext uri="{28A0092B-C50C-407E-A947-70E740481C1C}">
                          <a14:useLocalDpi xmlns:a14="http://schemas.microsoft.com/office/drawing/2010/main" val="0"/>
                        </a:ext>
                      </a:extLst>
                    </a:blip>
                    <a:stretch>
                      <a:fillRect/>
                    </a:stretch>
                  </pic:blipFill>
                  <pic:spPr>
                    <a:xfrm>
                      <a:off x="0" y="0"/>
                      <a:ext cx="5729605" cy="3724275"/>
                    </a:xfrm>
                    <a:prstGeom prst="rect">
                      <a:avLst/>
                    </a:prstGeom>
                  </pic:spPr>
                </pic:pic>
              </a:graphicData>
            </a:graphic>
          </wp:inline>
        </w:drawing>
      </w:r>
    </w:p>
    <w:p w14:paraId="13A29B36" w14:textId="6ED1B13D" w:rsidR="000D4D4C" w:rsidRPr="004125FF" w:rsidRDefault="00C40962" w:rsidP="000D4D4C">
      <w:pPr>
        <w:rPr>
          <w:rFonts w:asciiTheme="minorBidi" w:hAnsiTheme="minorBidi" w:cstheme="minorBidi"/>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000D4D4C" w:rsidRPr="00C40962">
        <w:rPr>
          <w:rFonts w:asciiTheme="minorBidi" w:hAnsiTheme="minorBidi" w:cstheme="minorBidi"/>
          <w:b/>
          <w:bCs/>
        </w:rPr>
        <w:t>The Proposed Digital Maturity Methodology</w:t>
      </w:r>
    </w:p>
    <w:p w14:paraId="60291885" w14:textId="128DF317" w:rsidR="000D4D4C" w:rsidRDefault="000D4D4C" w:rsidP="00F044C5">
      <w:pPr>
        <w:pStyle w:val="Heading2"/>
        <w:numPr>
          <w:ilvl w:val="1"/>
          <w:numId w:val="9"/>
        </w:numPr>
        <w:rPr>
          <w:rFonts w:asciiTheme="minorBidi" w:hAnsiTheme="minorBidi" w:cstheme="minorBidi"/>
          <w:b/>
          <w:bCs/>
          <w:i w:val="0"/>
          <w:iCs w:val="0"/>
          <w:sz w:val="22"/>
          <w:szCs w:val="22"/>
        </w:rPr>
      </w:pPr>
      <w:r w:rsidRPr="00317F82">
        <w:rPr>
          <w:rFonts w:asciiTheme="minorBidi" w:hAnsiTheme="minorBidi" w:cstheme="minorBidi"/>
          <w:b/>
          <w:bCs/>
          <w:i w:val="0"/>
          <w:iCs w:val="0"/>
          <w:sz w:val="22"/>
          <w:szCs w:val="22"/>
        </w:rPr>
        <w:t xml:space="preserve">Data Collection </w:t>
      </w:r>
    </w:p>
    <w:p w14:paraId="6AB372F9" w14:textId="77777777" w:rsidR="00C40962" w:rsidRPr="00C40962" w:rsidRDefault="00C40962" w:rsidP="00C40962"/>
    <w:p w14:paraId="239E7F1C" w14:textId="2D8B53E6" w:rsidR="000D4D4C" w:rsidRPr="004125FF" w:rsidRDefault="000D4D4C" w:rsidP="000D4D4C">
      <w:pPr>
        <w:pStyle w:val="BodyText"/>
        <w:spacing w:line="240" w:lineRule="auto"/>
        <w:ind w:firstLine="0"/>
        <w:rPr>
          <w:rFonts w:asciiTheme="minorBidi" w:hAnsiTheme="minorBidi" w:cstheme="minorBidi"/>
        </w:rPr>
      </w:pPr>
      <w:r w:rsidRPr="004125FF">
        <w:rPr>
          <w:rFonts w:asciiTheme="minorBidi" w:hAnsiTheme="minorBidi" w:cstheme="minorBidi"/>
        </w:rPr>
        <w:t>This research examines a set of surveys related to digital maturity in Libya, focusing on the role of local telecommunications companies in providing services and keeping pace with modern technologies. The scope of this research is limited to examining the impact of change management on digital transformation in the Libyan telecom sector. The listed Libyan government telecom companies are the following:</w:t>
      </w:r>
    </w:p>
    <w:p w14:paraId="127F1204"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w:t>
      </w:r>
      <w:r w:rsidRPr="004125FF">
        <w:rPr>
          <w:rFonts w:asciiTheme="minorBidi" w:hAnsiTheme="minorBidi" w:cstheme="minorBidi"/>
        </w:rPr>
        <w:tab/>
      </w:r>
      <w:proofErr w:type="spellStart"/>
      <w:r w:rsidRPr="004125FF">
        <w:rPr>
          <w:rFonts w:asciiTheme="minorBidi" w:hAnsiTheme="minorBidi" w:cstheme="minorBidi"/>
        </w:rPr>
        <w:t>Hatif</w:t>
      </w:r>
      <w:proofErr w:type="spellEnd"/>
      <w:r w:rsidRPr="004125FF">
        <w:rPr>
          <w:rFonts w:asciiTheme="minorBidi" w:hAnsiTheme="minorBidi" w:cstheme="minorBidi"/>
        </w:rPr>
        <w:t xml:space="preserve"> Libya Company </w:t>
      </w:r>
    </w:p>
    <w:p w14:paraId="2FE2E9D0"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w:t>
      </w:r>
      <w:r w:rsidRPr="004125FF">
        <w:rPr>
          <w:rFonts w:asciiTheme="minorBidi" w:hAnsiTheme="minorBidi" w:cstheme="minorBidi"/>
        </w:rPr>
        <w:tab/>
      </w:r>
      <w:proofErr w:type="spellStart"/>
      <w:r w:rsidRPr="004125FF">
        <w:rPr>
          <w:rFonts w:asciiTheme="minorBidi" w:hAnsiTheme="minorBidi" w:cstheme="minorBidi"/>
        </w:rPr>
        <w:t>Almadar</w:t>
      </w:r>
      <w:proofErr w:type="spellEnd"/>
      <w:r w:rsidRPr="004125FF">
        <w:rPr>
          <w:rFonts w:asciiTheme="minorBidi" w:hAnsiTheme="minorBidi" w:cstheme="minorBidi"/>
        </w:rPr>
        <w:t xml:space="preserve"> Company</w:t>
      </w:r>
    </w:p>
    <w:p w14:paraId="2F30998B"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w:t>
      </w:r>
      <w:r w:rsidRPr="004125FF">
        <w:rPr>
          <w:rFonts w:asciiTheme="minorBidi" w:hAnsiTheme="minorBidi" w:cstheme="minorBidi"/>
        </w:rPr>
        <w:tab/>
      </w:r>
      <w:proofErr w:type="spellStart"/>
      <w:r w:rsidRPr="004125FF">
        <w:rPr>
          <w:rFonts w:asciiTheme="minorBidi" w:hAnsiTheme="minorBidi" w:cstheme="minorBidi"/>
        </w:rPr>
        <w:t>Libyana</w:t>
      </w:r>
      <w:proofErr w:type="spellEnd"/>
      <w:r w:rsidRPr="004125FF">
        <w:rPr>
          <w:rFonts w:asciiTheme="minorBidi" w:hAnsiTheme="minorBidi" w:cstheme="minorBidi"/>
        </w:rPr>
        <w:t xml:space="preserve"> Company</w:t>
      </w:r>
    </w:p>
    <w:p w14:paraId="767F402F"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w:t>
      </w:r>
      <w:r w:rsidRPr="004125FF">
        <w:rPr>
          <w:rFonts w:asciiTheme="minorBidi" w:hAnsiTheme="minorBidi" w:cstheme="minorBidi"/>
        </w:rPr>
        <w:tab/>
        <w:t>Libya Telecom and Technology Company.</w:t>
      </w:r>
    </w:p>
    <w:p w14:paraId="0ACE5159"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The intended responders comprised leaders, decision-makers, and employees within these organisations. The data collection strategy is outlined as follows: The strategy entails interacting with telecom clients through an electronic survey, conducting interviews, and engaging in direct telephone connections. The enquiries from customers encompassed the following:</w:t>
      </w:r>
    </w:p>
    <w:p w14:paraId="281389FE"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 xml:space="preserve"> • The address of the customer.</w:t>
      </w:r>
    </w:p>
    <w:p w14:paraId="10A193C4"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 xml:space="preserve"> The name of the company that offers services. </w:t>
      </w:r>
    </w:p>
    <w:p w14:paraId="21AE8C6A" w14:textId="11CCD554"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 xml:space="preserve"> The </w:t>
      </w:r>
      <w:r w:rsidR="00B90543">
        <w:rPr>
          <w:rFonts w:asciiTheme="minorBidi" w:hAnsiTheme="minorBidi" w:cstheme="minorBidi"/>
        </w:rPr>
        <w:t>i</w:t>
      </w:r>
      <w:r w:rsidRPr="004125FF">
        <w:rPr>
          <w:rFonts w:asciiTheme="minorBidi" w:hAnsiTheme="minorBidi" w:cstheme="minorBidi"/>
        </w:rPr>
        <w:t>nternet can be categorised as wired, wireless, or other.</w:t>
      </w:r>
    </w:p>
    <w:p w14:paraId="404D798D"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 xml:space="preserve"> • Assessing the quality of digital services.</w:t>
      </w:r>
    </w:p>
    <w:p w14:paraId="773CF527" w14:textId="77777777" w:rsidR="000D4D4C" w:rsidRPr="004125FF" w:rsidRDefault="000D4D4C" w:rsidP="000D4D4C">
      <w:pPr>
        <w:pStyle w:val="BodyText"/>
        <w:spacing w:line="240" w:lineRule="auto"/>
        <w:rPr>
          <w:rFonts w:asciiTheme="minorBidi" w:hAnsiTheme="minorBidi" w:cstheme="minorBidi"/>
        </w:rPr>
      </w:pPr>
      <w:r w:rsidRPr="004125FF">
        <w:rPr>
          <w:rFonts w:asciiTheme="minorBidi" w:hAnsiTheme="minorBidi" w:cstheme="minorBidi"/>
        </w:rPr>
        <w:t xml:space="preserve"> • Application service.</w:t>
      </w:r>
    </w:p>
    <w:p w14:paraId="7895DEB0" w14:textId="77777777" w:rsidR="000D4D4C" w:rsidRPr="004125FF" w:rsidRDefault="000D4D4C" w:rsidP="000D4D4C">
      <w:pPr>
        <w:pStyle w:val="BodyText"/>
        <w:spacing w:line="240" w:lineRule="auto"/>
        <w:ind w:firstLine="0"/>
        <w:rPr>
          <w:rFonts w:asciiTheme="minorBidi" w:hAnsiTheme="minorBidi" w:cstheme="minorBidi"/>
        </w:rPr>
      </w:pPr>
      <w:r w:rsidRPr="004125FF">
        <w:rPr>
          <w:rFonts w:asciiTheme="minorBidi" w:hAnsiTheme="minorBidi" w:cstheme="minorBidi"/>
        </w:rPr>
        <w:t xml:space="preserve"> • Assess the expenses in relation to the quality of services provided.</w:t>
      </w:r>
    </w:p>
    <w:p w14:paraId="288CFA27" w14:textId="77777777" w:rsidR="000D4D4C" w:rsidRPr="004125FF" w:rsidRDefault="000D4D4C" w:rsidP="000D4D4C">
      <w:pPr>
        <w:pStyle w:val="BodyText"/>
        <w:ind w:firstLine="0"/>
        <w:rPr>
          <w:rFonts w:asciiTheme="minorBidi" w:hAnsiTheme="minorBidi" w:cstheme="minorBidi"/>
        </w:rPr>
      </w:pPr>
      <w:r w:rsidRPr="004125FF">
        <w:rPr>
          <w:rStyle w:val="y2iqfc"/>
          <w:rFonts w:asciiTheme="minorBidi" w:hAnsiTheme="minorBidi" w:cstheme="minorBidi"/>
          <w:lang w:val="en"/>
        </w:rPr>
        <w:t xml:space="preserve">Data were gathered from various Libyan cities, including Tripoli, Misurata, and Benghazi, as well as several mountainous regions such as Gharyan, Al-Asaba, Zintan, Derna, </w:t>
      </w:r>
      <w:proofErr w:type="spellStart"/>
      <w:r w:rsidRPr="004125FF">
        <w:rPr>
          <w:rStyle w:val="y2iqfc"/>
          <w:rFonts w:asciiTheme="minorBidi" w:hAnsiTheme="minorBidi" w:cstheme="minorBidi"/>
          <w:lang w:val="en"/>
        </w:rPr>
        <w:t>Msallata</w:t>
      </w:r>
      <w:proofErr w:type="spellEnd"/>
      <w:r w:rsidRPr="004125FF">
        <w:rPr>
          <w:rStyle w:val="y2iqfc"/>
          <w:rFonts w:asciiTheme="minorBidi" w:hAnsiTheme="minorBidi" w:cstheme="minorBidi"/>
          <w:lang w:val="en"/>
        </w:rPr>
        <w:t xml:space="preserve">, and Tarhuna. Additionally, data were collected from towns located in arid landscapes, including </w:t>
      </w:r>
      <w:proofErr w:type="spellStart"/>
      <w:r w:rsidRPr="004125FF">
        <w:rPr>
          <w:rStyle w:val="y2iqfc"/>
          <w:rFonts w:asciiTheme="minorBidi" w:hAnsiTheme="minorBidi" w:cstheme="minorBidi"/>
          <w:lang w:val="en"/>
        </w:rPr>
        <w:t>Sebha</w:t>
      </w:r>
      <w:proofErr w:type="spellEnd"/>
      <w:r w:rsidRPr="004125FF">
        <w:rPr>
          <w:rStyle w:val="y2iqfc"/>
          <w:rFonts w:asciiTheme="minorBidi" w:hAnsiTheme="minorBidi" w:cstheme="minorBidi"/>
          <w:lang w:val="en"/>
        </w:rPr>
        <w:t xml:space="preserve">, </w:t>
      </w:r>
      <w:proofErr w:type="spellStart"/>
      <w:r w:rsidRPr="004125FF">
        <w:rPr>
          <w:rStyle w:val="y2iqfc"/>
          <w:rFonts w:asciiTheme="minorBidi" w:hAnsiTheme="minorBidi" w:cstheme="minorBidi"/>
          <w:lang w:val="en"/>
        </w:rPr>
        <w:t>Zwelah</w:t>
      </w:r>
      <w:proofErr w:type="spellEnd"/>
      <w:r w:rsidRPr="004125FF">
        <w:rPr>
          <w:rStyle w:val="y2iqfc"/>
          <w:rFonts w:asciiTheme="minorBidi" w:hAnsiTheme="minorBidi" w:cstheme="minorBidi"/>
          <w:lang w:val="en"/>
        </w:rPr>
        <w:t xml:space="preserve">, </w:t>
      </w:r>
      <w:proofErr w:type="spellStart"/>
      <w:r w:rsidRPr="004125FF">
        <w:rPr>
          <w:rStyle w:val="y2iqfc"/>
          <w:rFonts w:asciiTheme="minorBidi" w:hAnsiTheme="minorBidi" w:cstheme="minorBidi"/>
          <w:lang w:val="en"/>
        </w:rPr>
        <w:t>Ubari</w:t>
      </w:r>
      <w:proofErr w:type="spellEnd"/>
      <w:r w:rsidRPr="004125FF">
        <w:rPr>
          <w:rStyle w:val="y2iqfc"/>
          <w:rFonts w:asciiTheme="minorBidi" w:hAnsiTheme="minorBidi" w:cstheme="minorBidi"/>
          <w:lang w:val="en"/>
        </w:rPr>
        <w:t xml:space="preserve">, </w:t>
      </w:r>
      <w:proofErr w:type="spellStart"/>
      <w:r w:rsidRPr="004125FF">
        <w:rPr>
          <w:rStyle w:val="y2iqfc"/>
          <w:rFonts w:asciiTheme="minorBidi" w:hAnsiTheme="minorBidi" w:cstheme="minorBidi"/>
          <w:lang w:val="en"/>
        </w:rPr>
        <w:t>Awjila</w:t>
      </w:r>
      <w:proofErr w:type="spellEnd"/>
      <w:r w:rsidRPr="004125FF">
        <w:rPr>
          <w:rStyle w:val="y2iqfc"/>
          <w:rFonts w:asciiTheme="minorBidi" w:hAnsiTheme="minorBidi" w:cstheme="minorBidi"/>
          <w:lang w:val="en"/>
        </w:rPr>
        <w:t xml:space="preserve">, Ghat, Kufra, and </w:t>
      </w:r>
      <w:proofErr w:type="spellStart"/>
      <w:r w:rsidRPr="004125FF">
        <w:rPr>
          <w:rStyle w:val="y2iqfc"/>
          <w:rFonts w:asciiTheme="minorBidi" w:hAnsiTheme="minorBidi" w:cstheme="minorBidi"/>
          <w:lang w:val="en"/>
        </w:rPr>
        <w:t>Ubari</w:t>
      </w:r>
      <w:proofErr w:type="spellEnd"/>
      <w:r w:rsidRPr="004125FF">
        <w:rPr>
          <w:rStyle w:val="y2iqfc"/>
          <w:rFonts w:asciiTheme="minorBidi" w:hAnsiTheme="minorBidi" w:cstheme="minorBidi"/>
          <w:lang w:val="en"/>
        </w:rPr>
        <w:t xml:space="preserve">, in the southernmost region of Libya, as well as other cities such as Sabratha, Sorman, Al-Zawiya, </w:t>
      </w:r>
      <w:proofErr w:type="spellStart"/>
      <w:r w:rsidRPr="004125FF">
        <w:rPr>
          <w:rStyle w:val="y2iqfc"/>
          <w:rFonts w:asciiTheme="minorBidi" w:hAnsiTheme="minorBidi" w:cstheme="minorBidi"/>
          <w:lang w:val="en"/>
        </w:rPr>
        <w:t>Zuwara</w:t>
      </w:r>
      <w:proofErr w:type="spellEnd"/>
      <w:r w:rsidRPr="004125FF">
        <w:rPr>
          <w:rStyle w:val="y2iqfc"/>
          <w:rFonts w:asciiTheme="minorBidi" w:hAnsiTheme="minorBidi" w:cstheme="minorBidi"/>
          <w:lang w:val="en"/>
        </w:rPr>
        <w:t>, Zliten, Al-</w:t>
      </w:r>
      <w:proofErr w:type="spellStart"/>
      <w:r w:rsidRPr="004125FF">
        <w:rPr>
          <w:rStyle w:val="y2iqfc"/>
          <w:rFonts w:asciiTheme="minorBidi" w:hAnsiTheme="minorBidi" w:cstheme="minorBidi"/>
          <w:lang w:val="en"/>
        </w:rPr>
        <w:t>Khoms</w:t>
      </w:r>
      <w:proofErr w:type="spellEnd"/>
      <w:r w:rsidRPr="004125FF">
        <w:rPr>
          <w:rStyle w:val="y2iqfc"/>
          <w:rFonts w:asciiTheme="minorBidi" w:hAnsiTheme="minorBidi" w:cstheme="minorBidi"/>
          <w:lang w:val="en"/>
        </w:rPr>
        <w:t xml:space="preserve">, </w:t>
      </w:r>
      <w:proofErr w:type="spellStart"/>
      <w:r w:rsidRPr="004125FF">
        <w:rPr>
          <w:rStyle w:val="y2iqfc"/>
          <w:rFonts w:asciiTheme="minorBidi" w:hAnsiTheme="minorBidi" w:cstheme="minorBidi"/>
          <w:lang w:val="en"/>
        </w:rPr>
        <w:t>Janzour</w:t>
      </w:r>
      <w:proofErr w:type="spellEnd"/>
      <w:r w:rsidRPr="004125FF">
        <w:rPr>
          <w:rStyle w:val="y2iqfc"/>
          <w:rFonts w:asciiTheme="minorBidi" w:hAnsiTheme="minorBidi" w:cstheme="minorBidi"/>
          <w:lang w:val="en"/>
        </w:rPr>
        <w:t xml:space="preserve">, and Al-Aziziyah. </w:t>
      </w:r>
      <w:r w:rsidRPr="004125FF">
        <w:rPr>
          <w:rStyle w:val="y2iqfc"/>
          <w:rFonts w:asciiTheme="minorBidi" w:hAnsiTheme="minorBidi" w:cstheme="minorBidi"/>
          <w:lang w:val="en"/>
        </w:rPr>
        <w:lastRenderedPageBreak/>
        <w:t xml:space="preserve">In the second phase of data collection, information was obtained from employees of telecommunications companies via direct communication with various departments and decision-makers managing digital transformation projects in the sector. </w:t>
      </w:r>
      <w:r w:rsidRPr="004125FF">
        <w:rPr>
          <w:rFonts w:asciiTheme="minorBidi" w:hAnsiTheme="minorBidi" w:cstheme="minorBidi"/>
        </w:rPr>
        <w:t>In contrast, the questionnaire for telecom employees focused more on the use of digital projects and technologies. The content of the questions of employees is as follows:</w:t>
      </w:r>
    </w:p>
    <w:p w14:paraId="43657984" w14:textId="77777777" w:rsidR="000D4D4C" w:rsidRPr="004125FF" w:rsidRDefault="000D4D4C" w:rsidP="00F044C5">
      <w:pPr>
        <w:pStyle w:val="BodyText"/>
        <w:numPr>
          <w:ilvl w:val="0"/>
          <w:numId w:val="12"/>
        </w:numPr>
        <w:rPr>
          <w:rFonts w:asciiTheme="minorBidi" w:hAnsiTheme="minorBidi" w:cstheme="minorBidi"/>
        </w:rPr>
      </w:pPr>
      <w:r w:rsidRPr="004125FF">
        <w:rPr>
          <w:rFonts w:asciiTheme="minorBidi" w:hAnsiTheme="minorBidi" w:cstheme="minorBidi"/>
        </w:rPr>
        <w:t>Initiatives for digital transformation.</w:t>
      </w:r>
    </w:p>
    <w:p w14:paraId="26F3A482" w14:textId="77777777" w:rsidR="000D4D4C" w:rsidRPr="004125FF" w:rsidRDefault="000D4D4C" w:rsidP="00F044C5">
      <w:pPr>
        <w:pStyle w:val="BodyText"/>
        <w:numPr>
          <w:ilvl w:val="0"/>
          <w:numId w:val="12"/>
        </w:numPr>
        <w:rPr>
          <w:rFonts w:asciiTheme="minorBidi" w:hAnsiTheme="minorBidi" w:cstheme="minorBidi"/>
        </w:rPr>
      </w:pPr>
      <w:r w:rsidRPr="004125FF">
        <w:rPr>
          <w:rFonts w:asciiTheme="minorBidi" w:hAnsiTheme="minorBidi" w:cstheme="minorBidi"/>
        </w:rPr>
        <w:t>Digital strategy aligned with company strategy.</w:t>
      </w:r>
    </w:p>
    <w:p w14:paraId="6BFAC3C0" w14:textId="77777777" w:rsidR="000D4D4C" w:rsidRPr="004125FF" w:rsidRDefault="000D4D4C" w:rsidP="00F044C5">
      <w:pPr>
        <w:pStyle w:val="BodyText"/>
        <w:numPr>
          <w:ilvl w:val="0"/>
          <w:numId w:val="12"/>
        </w:numPr>
        <w:rPr>
          <w:rFonts w:asciiTheme="minorBidi" w:hAnsiTheme="minorBidi" w:cstheme="minorBidi"/>
        </w:rPr>
      </w:pPr>
      <w:r w:rsidRPr="004125FF">
        <w:rPr>
          <w:rFonts w:asciiTheme="minorBidi" w:hAnsiTheme="minorBidi" w:cstheme="minorBidi"/>
        </w:rPr>
        <w:t>What issues impede digital transformation within your organisation? Legacy systems, inadequate funding, cybersecurity and privacy mandates, conflicting business strategies, communication infrastructure, and legal regulations.</w:t>
      </w:r>
    </w:p>
    <w:p w14:paraId="0E348341" w14:textId="77777777" w:rsidR="000D4D4C" w:rsidRPr="004125FF" w:rsidRDefault="000D4D4C" w:rsidP="00F044C5">
      <w:pPr>
        <w:pStyle w:val="BodyText"/>
        <w:numPr>
          <w:ilvl w:val="0"/>
          <w:numId w:val="12"/>
        </w:numPr>
        <w:rPr>
          <w:rFonts w:asciiTheme="minorBidi" w:hAnsiTheme="minorBidi" w:cstheme="minorBidi"/>
        </w:rPr>
      </w:pPr>
      <w:r w:rsidRPr="004125FF">
        <w:rPr>
          <w:rFonts w:asciiTheme="minorBidi" w:hAnsiTheme="minorBidi" w:cstheme="minorBidi"/>
        </w:rPr>
        <w:t>What do you consider to be the most critical aspects for achieving successful digital transformation? Robust leadership in advancing digitalisation, a comprehensive cybersecurity strategy/program, and adequate budget. Effective collaboration between IT and business divisions. Establishing a perpetual culture of transformation.</w:t>
      </w:r>
    </w:p>
    <w:p w14:paraId="0F9C1AAD" w14:textId="77777777" w:rsidR="000D4D4C" w:rsidRPr="004125FF" w:rsidRDefault="000D4D4C" w:rsidP="00F044C5">
      <w:pPr>
        <w:pStyle w:val="BodyText"/>
        <w:numPr>
          <w:ilvl w:val="0"/>
          <w:numId w:val="12"/>
        </w:numPr>
        <w:rPr>
          <w:rFonts w:asciiTheme="minorBidi" w:hAnsiTheme="minorBidi" w:cstheme="minorBidi"/>
        </w:rPr>
      </w:pPr>
      <w:r w:rsidRPr="004125FF">
        <w:rPr>
          <w:rFonts w:asciiTheme="minorBidi" w:hAnsiTheme="minorBidi" w:cstheme="minorBidi"/>
        </w:rPr>
        <w:t xml:space="preserve">What is your most significant deficiency in digitalisation? Insufficient hardware, inadequate software, and limited data availability. </w:t>
      </w:r>
    </w:p>
    <w:p w14:paraId="72B80BF4" w14:textId="77777777" w:rsidR="000D4D4C" w:rsidRPr="004125FF" w:rsidRDefault="000D4D4C" w:rsidP="00F044C5">
      <w:pPr>
        <w:pStyle w:val="BodyText"/>
        <w:numPr>
          <w:ilvl w:val="0"/>
          <w:numId w:val="12"/>
        </w:numPr>
        <w:rPr>
          <w:rFonts w:asciiTheme="minorBidi" w:hAnsiTheme="minorBidi" w:cstheme="minorBidi"/>
        </w:rPr>
      </w:pPr>
      <w:r w:rsidRPr="004125FF">
        <w:rPr>
          <w:rFonts w:asciiTheme="minorBidi" w:hAnsiTheme="minorBidi" w:cstheme="minorBidi"/>
        </w:rPr>
        <w:t>The degree of automation in processes at your site/company is significant.</w:t>
      </w:r>
    </w:p>
    <w:p w14:paraId="19AF76D2" w14:textId="77777777" w:rsidR="000D4D4C" w:rsidRPr="004125FF" w:rsidRDefault="000D4D4C" w:rsidP="00F044C5">
      <w:pPr>
        <w:pStyle w:val="BodyText"/>
        <w:numPr>
          <w:ilvl w:val="0"/>
          <w:numId w:val="12"/>
        </w:numPr>
        <w:rPr>
          <w:rFonts w:asciiTheme="minorBidi" w:hAnsiTheme="minorBidi" w:cstheme="minorBidi"/>
        </w:rPr>
      </w:pPr>
      <w:r w:rsidRPr="004125FF">
        <w:rPr>
          <w:rFonts w:asciiTheme="minorBidi" w:hAnsiTheme="minorBidi" w:cstheme="minorBidi"/>
        </w:rPr>
        <w:t>Do you believe the existing telecommunications infrastructure is sufficient to facilitate digital transformation in Libya?</w:t>
      </w:r>
    </w:p>
    <w:p w14:paraId="7B6E0E68" w14:textId="77777777" w:rsidR="000D4D4C" w:rsidRPr="004125FF" w:rsidRDefault="000D4D4C" w:rsidP="000D4D4C">
      <w:pPr>
        <w:pStyle w:val="01PaperTitle"/>
        <w:jc w:val="both"/>
        <w:rPr>
          <w:rFonts w:asciiTheme="minorBidi" w:eastAsia="SimSun" w:hAnsiTheme="minorBidi" w:cstheme="minorBidi"/>
          <w:noProof w:val="0"/>
          <w:sz w:val="20"/>
          <w:szCs w:val="20"/>
        </w:rPr>
      </w:pPr>
      <w:r w:rsidRPr="004125FF">
        <w:rPr>
          <w:rFonts w:asciiTheme="minorBidi" w:eastAsia="SimSun" w:hAnsiTheme="minorBidi" w:cstheme="minorBidi"/>
          <w:noProof w:val="0"/>
          <w:spacing w:val="-1"/>
          <w:sz w:val="20"/>
          <w:szCs w:val="20"/>
          <w:lang w:val="en-GB"/>
        </w:rPr>
        <w:t>This section comprises enquiries gathered from interviews with directors in telecommunications companies, as they are responsible for the decisions of digital development in Libya. The main point of the enquiries is as follows:</w:t>
      </w:r>
    </w:p>
    <w:p w14:paraId="482BADDB" w14:textId="77777777" w:rsidR="000D4D4C" w:rsidRPr="004125FF" w:rsidRDefault="000D4D4C" w:rsidP="00F044C5">
      <w:pPr>
        <w:pStyle w:val="01PaperTitle"/>
        <w:numPr>
          <w:ilvl w:val="0"/>
          <w:numId w:val="13"/>
        </w:numPr>
        <w:jc w:val="both"/>
        <w:rPr>
          <w:rFonts w:asciiTheme="minorBidi" w:eastAsia="SimSun" w:hAnsiTheme="minorBidi" w:cstheme="minorBidi"/>
          <w:noProof w:val="0"/>
          <w:sz w:val="20"/>
          <w:szCs w:val="20"/>
          <w:lang w:val="en-GB"/>
        </w:rPr>
      </w:pPr>
      <w:r w:rsidRPr="004125FF">
        <w:rPr>
          <w:rFonts w:asciiTheme="minorBidi" w:eastAsia="SimSun" w:hAnsiTheme="minorBidi" w:cstheme="minorBidi"/>
          <w:noProof w:val="0"/>
          <w:sz w:val="20"/>
          <w:szCs w:val="20"/>
        </w:rPr>
        <w:t>The strategy for the next three to five years concerning the growth of digital development.</w:t>
      </w:r>
    </w:p>
    <w:p w14:paraId="4EB990FC" w14:textId="77777777" w:rsidR="000D4D4C" w:rsidRPr="004125FF" w:rsidRDefault="000D4D4C" w:rsidP="00F044C5">
      <w:pPr>
        <w:pStyle w:val="01PaperTitle"/>
        <w:numPr>
          <w:ilvl w:val="0"/>
          <w:numId w:val="13"/>
        </w:numPr>
        <w:jc w:val="both"/>
        <w:rPr>
          <w:rFonts w:asciiTheme="minorBidi" w:eastAsia="SimSun" w:hAnsiTheme="minorBidi" w:cstheme="minorBidi"/>
          <w:noProof w:val="0"/>
          <w:sz w:val="20"/>
          <w:szCs w:val="20"/>
          <w:lang w:val="en-GB"/>
        </w:rPr>
      </w:pPr>
      <w:r w:rsidRPr="004125FF">
        <w:rPr>
          <w:rFonts w:asciiTheme="minorBidi" w:eastAsia="SimSun" w:hAnsiTheme="minorBidi" w:cstheme="minorBidi"/>
          <w:noProof w:val="0"/>
          <w:sz w:val="20"/>
          <w:szCs w:val="20"/>
          <w:lang w:val="en-GB"/>
        </w:rPr>
        <w:t>The efficiency of existing infrastructure.</w:t>
      </w:r>
    </w:p>
    <w:p w14:paraId="3FFBF900" w14:textId="77777777" w:rsidR="000D4D4C" w:rsidRPr="004125FF" w:rsidRDefault="000D4D4C" w:rsidP="00F044C5">
      <w:pPr>
        <w:pStyle w:val="01PaperTitle"/>
        <w:numPr>
          <w:ilvl w:val="0"/>
          <w:numId w:val="13"/>
        </w:numPr>
        <w:jc w:val="both"/>
        <w:rPr>
          <w:rFonts w:asciiTheme="minorBidi" w:eastAsia="SimSun" w:hAnsiTheme="minorBidi" w:cstheme="minorBidi"/>
          <w:noProof w:val="0"/>
          <w:sz w:val="20"/>
          <w:szCs w:val="20"/>
        </w:rPr>
      </w:pPr>
      <w:r w:rsidRPr="004125FF">
        <w:rPr>
          <w:rFonts w:asciiTheme="minorBidi" w:eastAsia="SimSun" w:hAnsiTheme="minorBidi" w:cstheme="minorBidi"/>
          <w:noProof w:val="0"/>
          <w:sz w:val="20"/>
          <w:szCs w:val="20"/>
        </w:rPr>
        <w:t>Employee competence and readiness to implement digital transformation projects.</w:t>
      </w:r>
    </w:p>
    <w:p w14:paraId="408C4C97" w14:textId="77777777" w:rsidR="000D4D4C" w:rsidRPr="004125FF" w:rsidRDefault="000D4D4C" w:rsidP="00F044C5">
      <w:pPr>
        <w:pStyle w:val="01PaperTitle"/>
        <w:numPr>
          <w:ilvl w:val="0"/>
          <w:numId w:val="13"/>
        </w:numPr>
        <w:jc w:val="both"/>
        <w:rPr>
          <w:rFonts w:asciiTheme="minorBidi" w:eastAsia="SimSun" w:hAnsiTheme="minorBidi" w:cstheme="minorBidi"/>
          <w:noProof w:val="0"/>
          <w:sz w:val="20"/>
          <w:szCs w:val="20"/>
        </w:rPr>
      </w:pPr>
      <w:r w:rsidRPr="004125FF">
        <w:rPr>
          <w:rFonts w:asciiTheme="minorBidi" w:hAnsiTheme="minorBidi" w:cstheme="minorBidi"/>
          <w:sz w:val="20"/>
          <w:szCs w:val="20"/>
          <w:shd w:val="clear" w:color="auto" w:fill="FFFFFF"/>
        </w:rPr>
        <w:t>Which contemporary technology, including artificial intelligence, cloud computing, virtual reality, augmented reality, and the Internet of Things, do you expect will exert the most beneficial effects on your business? Does your organisation allocate resources to these technologies?</w:t>
      </w:r>
    </w:p>
    <w:p w14:paraId="42656DCD" w14:textId="0DD5C3BA" w:rsidR="006C784D" w:rsidRPr="004125FF" w:rsidRDefault="000D4D4C" w:rsidP="00F044C5">
      <w:pPr>
        <w:pStyle w:val="01PaperTitle"/>
        <w:numPr>
          <w:ilvl w:val="0"/>
          <w:numId w:val="13"/>
        </w:numPr>
        <w:jc w:val="both"/>
        <w:rPr>
          <w:rFonts w:asciiTheme="minorBidi" w:eastAsia="SimSun" w:hAnsiTheme="minorBidi" w:cstheme="minorBidi"/>
          <w:noProof w:val="0"/>
          <w:sz w:val="20"/>
          <w:szCs w:val="20"/>
        </w:rPr>
      </w:pPr>
      <w:r w:rsidRPr="004125FF">
        <w:rPr>
          <w:rFonts w:asciiTheme="minorBidi" w:hAnsiTheme="minorBidi" w:cstheme="minorBidi"/>
          <w:sz w:val="20"/>
          <w:szCs w:val="20"/>
          <w:shd w:val="clear" w:color="auto" w:fill="FFFFFF"/>
        </w:rPr>
        <w:t>The flexibility and capacity of Libyan laws to support digital transformation..</w:t>
      </w:r>
    </w:p>
    <w:p w14:paraId="335BC5F7" w14:textId="4CB2FF30" w:rsidR="000D4D4C" w:rsidRPr="00317F82" w:rsidRDefault="000D4D4C" w:rsidP="00F044C5">
      <w:pPr>
        <w:pStyle w:val="Heading2"/>
        <w:numPr>
          <w:ilvl w:val="1"/>
          <w:numId w:val="9"/>
        </w:numPr>
        <w:rPr>
          <w:rFonts w:asciiTheme="minorBidi" w:hAnsiTheme="minorBidi" w:cstheme="minorBidi"/>
          <w:b/>
          <w:bCs/>
          <w:i w:val="0"/>
          <w:iCs w:val="0"/>
          <w:sz w:val="22"/>
          <w:szCs w:val="22"/>
        </w:rPr>
      </w:pPr>
      <w:r w:rsidRPr="00317F82">
        <w:rPr>
          <w:rFonts w:asciiTheme="minorBidi" w:hAnsiTheme="minorBidi" w:cstheme="minorBidi"/>
          <w:b/>
          <w:bCs/>
          <w:i w:val="0"/>
          <w:iCs w:val="0"/>
          <w:sz w:val="22"/>
          <w:szCs w:val="22"/>
        </w:rPr>
        <w:t>Data Cleaning</w:t>
      </w:r>
    </w:p>
    <w:p w14:paraId="09F4B39A" w14:textId="77777777" w:rsidR="00317F82" w:rsidRPr="00317F82" w:rsidRDefault="00317F82" w:rsidP="00317F82"/>
    <w:p w14:paraId="4952AA27" w14:textId="4911C845" w:rsidR="006C784D" w:rsidRPr="004125FF" w:rsidRDefault="000D4D4C" w:rsidP="00FA55C8">
      <w:pPr>
        <w:jc w:val="both"/>
        <w:rPr>
          <w:rFonts w:asciiTheme="minorBidi" w:hAnsiTheme="minorBidi" w:cstheme="minorBidi"/>
          <w:lang w:eastAsia="en-GB"/>
        </w:rPr>
      </w:pPr>
      <w:r w:rsidRPr="004125FF">
        <w:rPr>
          <w:rFonts w:asciiTheme="minorBidi" w:hAnsiTheme="minorBidi" w:cstheme="minorBidi"/>
          <w:lang w:eastAsia="en-GB"/>
        </w:rPr>
        <w:t>Data quality is often characterised by attributes such as integrity, completeness, validity, and consistency. Evaluating the integrity of web-based survey data and executing a data cleaning procedure before analysis are essential tasks frequently neglected by researchers. To obtain coherent and valid responses from telecom consumers, the same question was presented in multiple formats to detect any inconsistencies in the individual's answers. All extraneous and irrational responses were subsequently rectified. This strategy aimed to assess the customer's understanding and awareness of technology usage. We examined the open-ended responses to identify any unclear or illogical patterns, as well as any repeating answers. The data cleaning process entails identifying and rectifying missing values, removing duplicate entries, standardising formats, detecting outliers, and verifying the quality of responses</w:t>
      </w:r>
      <w:r w:rsidR="008C7E5E">
        <w:rPr>
          <w:rFonts w:asciiTheme="minorBidi" w:hAnsiTheme="minorBidi" w:cstheme="minorBidi"/>
          <w:lang w:eastAsia="en-GB"/>
        </w:rPr>
        <w:t xml:space="preserve"> </w:t>
      </w:r>
      <w:r w:rsidR="008C7E5E">
        <w:rPr>
          <w:rFonts w:asciiTheme="minorBidi" w:hAnsiTheme="minorBidi" w:cstheme="minorBidi"/>
          <w:lang w:eastAsia="en-GB"/>
        </w:rPr>
        <w:fldChar w:fldCharType="begin" w:fldLock="1"/>
      </w:r>
      <w:r w:rsidR="004D74B5">
        <w:rPr>
          <w:rFonts w:asciiTheme="minorBidi" w:hAnsiTheme="minorBidi" w:cstheme="minorBidi"/>
          <w:lang w:eastAsia="en-GB"/>
        </w:rPr>
        <w:instrText>ADDIN CSL_CITATION {"citationItems":[{"id":"ITEM-1","itemData":{"DOI":"10.3390/encyclopedia2010032","abstract":"Data Quality is, in essence, understood as the degree to which the data of interest satisfies the requirements, is free of flaws, and is suited for the intended purpose. Data Quality is usually measured utilizing several criteria, which may differ in terms of assigned importance, depending on, e.g., the data at hand, stakeholders, or the intended use.","author":[{"dropping-particle":"","family":"Hassenstein","given":"Max J.","non-dropping-particle":"","parse-names":false,"suffix":""},{"dropping-particle":"","family":"Vanella","given":"Patrizio","non-dropping-particle":"","parse-names":false,"suffix":""}],"container-title":"Encyclopedia","id":"ITEM-1","issue":"1","issued":{"date-parts":[["2022"]]},"page":"498-510","title":"Data Quality—Concepts and Problems","type":"article-journal","volume":"2"},"uris":["http://www.mendeley.com/documents/?uuid=ccd81503-583b-4ea2-a55f-088812849e4d"]}],"mendeley":{"formattedCitation":"(Hassenstein &amp; Vanella, 2022)","plainTextFormattedCitation":"(Hassenstein &amp; Vanella, 2022)","previouslyFormattedCitation":"(Hassenstein &amp; Vanella, 2022)"},"properties":{"noteIndex":0},"schema":"https://github.com/citation-style-language/schema/raw/master/csl-citation.json"}</w:instrText>
      </w:r>
      <w:r w:rsidR="008C7E5E">
        <w:rPr>
          <w:rFonts w:asciiTheme="minorBidi" w:hAnsiTheme="minorBidi" w:cstheme="minorBidi"/>
          <w:lang w:eastAsia="en-GB"/>
        </w:rPr>
        <w:fldChar w:fldCharType="separate"/>
      </w:r>
      <w:r w:rsidR="00FA55C8" w:rsidRPr="00FA55C8">
        <w:rPr>
          <w:rFonts w:asciiTheme="minorBidi" w:hAnsiTheme="minorBidi" w:cstheme="minorBidi"/>
          <w:noProof/>
          <w:lang w:eastAsia="en-GB"/>
        </w:rPr>
        <w:t>(Hassenstein &amp; Vanella, 2022)</w:t>
      </w:r>
      <w:r w:rsidR="008C7E5E">
        <w:rPr>
          <w:rFonts w:asciiTheme="minorBidi" w:hAnsiTheme="minorBidi" w:cstheme="minorBidi"/>
          <w:lang w:eastAsia="en-GB"/>
        </w:rPr>
        <w:fldChar w:fldCharType="end"/>
      </w:r>
      <w:r w:rsidRPr="004125FF">
        <w:rPr>
          <w:rFonts w:asciiTheme="minorBidi" w:hAnsiTheme="minorBidi" w:cstheme="minorBidi"/>
          <w:lang w:eastAsia="en-GB"/>
        </w:rPr>
        <w:t>.</w:t>
      </w:r>
    </w:p>
    <w:p w14:paraId="3384477D" w14:textId="0D8B07FD" w:rsidR="00317F82" w:rsidRDefault="000D4D4C" w:rsidP="00F044C5">
      <w:pPr>
        <w:pStyle w:val="Heading2"/>
        <w:numPr>
          <w:ilvl w:val="1"/>
          <w:numId w:val="9"/>
        </w:numPr>
        <w:jc w:val="both"/>
        <w:rPr>
          <w:rFonts w:asciiTheme="minorBidi" w:hAnsiTheme="minorBidi" w:cstheme="minorBidi"/>
          <w:b/>
          <w:bCs/>
          <w:i w:val="0"/>
          <w:iCs w:val="0"/>
          <w:sz w:val="22"/>
          <w:szCs w:val="22"/>
        </w:rPr>
      </w:pPr>
      <w:r w:rsidRPr="00317F82">
        <w:rPr>
          <w:rFonts w:asciiTheme="minorBidi" w:hAnsiTheme="minorBidi" w:cstheme="minorBidi"/>
          <w:b/>
          <w:bCs/>
          <w:i w:val="0"/>
          <w:iCs w:val="0"/>
          <w:sz w:val="22"/>
          <w:szCs w:val="22"/>
        </w:rPr>
        <w:t>Data Description</w:t>
      </w:r>
    </w:p>
    <w:p w14:paraId="29BE210B" w14:textId="77777777" w:rsidR="00317F82" w:rsidRPr="00317F82" w:rsidRDefault="00317F82" w:rsidP="00317F82"/>
    <w:p w14:paraId="5A4CFEDA" w14:textId="2EDA2D9B" w:rsidR="000D4D4C" w:rsidRPr="004125FF" w:rsidRDefault="000D4D4C" w:rsidP="000D4D4C">
      <w:pPr>
        <w:pStyle w:val="BodyText"/>
        <w:ind w:firstLine="0"/>
        <w:rPr>
          <w:rFonts w:asciiTheme="minorBidi" w:hAnsiTheme="minorBidi" w:cstheme="minorBidi"/>
        </w:rPr>
      </w:pPr>
      <w:r w:rsidRPr="004125FF">
        <w:rPr>
          <w:rFonts w:asciiTheme="minorBidi" w:hAnsiTheme="minorBidi" w:cstheme="minorBidi"/>
        </w:rPr>
        <w:t xml:space="preserve">Data obtained via Google Forms surveys and interviews offered significant insights that immediately aided in evaluating the organization's digital maturity. As mentioned earlier, separate questionnaires are available for customers and workers of telecommunications companies, as well as interviews with decision-makers at these companies. The sample comprised customers from 24 cities located in the eastern, western, and southern regions of Libya. Their replies were almost indistinguishable in terms of quality and expense. The majority of telecom customers perceive that their daily usage predominantly centres on entertainment, with a minimal fraction allocated to academic pursuits. Feedback regarding speed was assessed as average to good. Survey respondents reported that they do not utilize technological methods for governmental operations and that paper-based systems continue to be the dominant method. Moreover, although electronic resources are occasionally accessible, they often experience interruptions or require a substantial amount of time to execute operations. Responses indicate that some customers lack the requisite expertise to utilize </w:t>
      </w:r>
      <w:r w:rsidRPr="004125FF">
        <w:rPr>
          <w:rFonts w:asciiTheme="minorBidi" w:hAnsiTheme="minorBidi" w:cstheme="minorBidi"/>
        </w:rPr>
        <w:lastRenderedPageBreak/>
        <w:t>digital services effectively and often seek assistance in doing so. Numerous individuals reported recurrent internet disruptions during standard phone calls, underscoring deficiencies in the telecommunications infrastructure.</w:t>
      </w:r>
    </w:p>
    <w:p w14:paraId="56D9E69B" w14:textId="77777777" w:rsidR="000D4D4C" w:rsidRPr="004125FF" w:rsidRDefault="000D4D4C" w:rsidP="000D4D4C">
      <w:pPr>
        <w:pStyle w:val="BodyText"/>
        <w:ind w:firstLine="0"/>
        <w:rPr>
          <w:rFonts w:asciiTheme="minorBidi" w:hAnsiTheme="minorBidi" w:cstheme="minorBidi"/>
          <w:shd w:val="clear" w:color="auto" w:fill="FFFFFF"/>
          <w:lang w:val="tr-TR"/>
        </w:rPr>
      </w:pPr>
      <w:r w:rsidRPr="004125FF">
        <w:rPr>
          <w:rFonts w:asciiTheme="minorBidi" w:hAnsiTheme="minorBidi" w:cstheme="minorBidi"/>
          <w:shd w:val="clear" w:color="auto" w:fill="FFFFFF"/>
        </w:rPr>
        <w:t>The second section of the study concentrated on questions directed to employees of telecommunications companies. The survey examined employees' preparedness to execute digital transformation efforts. It also examined the principal barriers that may impede service enhancement, along with technologies that are presently inaccessible but could propel digital projects forward. Upon examining the responses, it became apparent that a conclusive implementation strategy is lacking and that the digital infrastructure is insufficient, despite continuous development efforts. The comments indicate a distinct enthusiasm for developing digital projects; however, the absence of a clear vision and strategic plan represents a considerable barrier to implementing digital transformation.</w:t>
      </w:r>
      <w:r w:rsidRPr="004125FF">
        <w:rPr>
          <w:rFonts w:asciiTheme="minorBidi" w:hAnsiTheme="minorBidi" w:cstheme="minorBidi"/>
          <w:shd w:val="clear" w:color="auto" w:fill="FFFFFF"/>
          <w:lang w:val="tr-TR"/>
        </w:rPr>
        <w:t xml:space="preserve"> </w:t>
      </w:r>
    </w:p>
    <w:p w14:paraId="0070BA5B" w14:textId="77777777" w:rsidR="000D4D4C" w:rsidRPr="004125FF" w:rsidRDefault="000D4D4C" w:rsidP="000D4D4C">
      <w:pPr>
        <w:jc w:val="both"/>
        <w:rPr>
          <w:rFonts w:asciiTheme="minorBidi" w:hAnsiTheme="minorBidi" w:cstheme="minorBidi"/>
          <w:spacing w:val="-1"/>
          <w:shd w:val="clear" w:color="auto" w:fill="FFFFFF"/>
          <w:lang w:val="tr-TR"/>
        </w:rPr>
      </w:pPr>
      <w:r w:rsidRPr="004125FF">
        <w:rPr>
          <w:rFonts w:asciiTheme="minorBidi" w:hAnsiTheme="minorBidi" w:cstheme="minorBidi"/>
          <w:spacing w:val="-1"/>
          <w:shd w:val="clear" w:color="auto" w:fill="FFFFFF"/>
          <w:lang w:val="tr-TR"/>
        </w:rPr>
        <w:t>The last section of the survey includes direct interviews with several officials from telecommunications firms, including Hatif Libya, Al-Madar, Libyana, and Libya Telecom and Technology. All leaders emphasized the need to advance the telecommunications sector. A top management official announced that they are currently upgrading the telecommunications infrastructure through the Fibre to the Home (FTTH) initiative. He highlighted the financial challenges facing this project, noting that its practical implementation would have a positive impact on the progress of the telecom sector. In a different context, another official underscored the importance of fostering a suitable environment, which entails enforcing Libyan laws to prosecute cyber crimes, imposing penalties on those hindering digital project progress, augmenting cybersecurity measures, and legislating to streamline daily digital transactions. In response to inquiries about methods for the digital transformation initiative, another official indicated that the strategy requires joint efforts among Libyan telecom providers. He underscored the necessity of augmenting digital awareness among administrative and technical staff via specialised training initiatives. In conclusion, digital transformation necessitates ongoing commitment from all stakeholders and the development of strategic plans to advance in alignment with the global telecom sector.</w:t>
      </w:r>
    </w:p>
    <w:p w14:paraId="7FA9D3B3" w14:textId="77777777" w:rsidR="000D4D4C" w:rsidRPr="00317F82" w:rsidRDefault="000D4D4C" w:rsidP="000D4D4C">
      <w:pPr>
        <w:jc w:val="both"/>
        <w:rPr>
          <w:rFonts w:asciiTheme="minorBidi" w:hAnsiTheme="minorBidi" w:cstheme="minorBidi"/>
          <w:sz w:val="22"/>
          <w:szCs w:val="22"/>
          <w:lang w:val="tr-TR" w:eastAsia="en-GB"/>
        </w:rPr>
      </w:pPr>
    </w:p>
    <w:p w14:paraId="312B8565" w14:textId="77777777" w:rsidR="000D4D4C" w:rsidRPr="00317F82" w:rsidRDefault="000D4D4C" w:rsidP="000D4D4C">
      <w:pPr>
        <w:jc w:val="both"/>
        <w:rPr>
          <w:rFonts w:asciiTheme="minorBidi" w:eastAsia="Times New Roman" w:hAnsiTheme="minorBidi" w:cstheme="minorBidi"/>
          <w:b/>
          <w:bCs/>
          <w:sz w:val="22"/>
          <w:szCs w:val="22"/>
          <w:lang w:eastAsia="en-GB"/>
        </w:rPr>
      </w:pPr>
      <w:r w:rsidRPr="00317F82">
        <w:rPr>
          <w:rFonts w:asciiTheme="minorBidi" w:eastAsia="Times New Roman" w:hAnsiTheme="minorBidi" w:cstheme="minorBidi"/>
          <w:b/>
          <w:bCs/>
          <w:sz w:val="22"/>
          <w:szCs w:val="22"/>
          <w:lang w:eastAsia="en-GB"/>
        </w:rPr>
        <w:t>3.4 The Composite Index for Mixed-method Qualitative Survey (CIMAS)</w:t>
      </w:r>
    </w:p>
    <w:p w14:paraId="5A83D01D" w14:textId="77777777" w:rsidR="006C784D" w:rsidRPr="004125FF" w:rsidRDefault="006C784D" w:rsidP="000D4D4C">
      <w:pPr>
        <w:jc w:val="both"/>
        <w:rPr>
          <w:rFonts w:asciiTheme="minorBidi" w:eastAsia="Times New Roman" w:hAnsiTheme="minorBidi" w:cstheme="minorBidi"/>
          <w:lang w:eastAsia="en-GB"/>
        </w:rPr>
      </w:pPr>
    </w:p>
    <w:p w14:paraId="6DA9535F" w14:textId="59682E78" w:rsidR="000D4D4C" w:rsidRPr="004125FF" w:rsidRDefault="000D4D4C" w:rsidP="000D4D4C">
      <w:pPr>
        <w:jc w:val="both"/>
        <w:rPr>
          <w:rFonts w:asciiTheme="minorBidi" w:eastAsia="Times New Roman" w:hAnsiTheme="minorBidi" w:cstheme="minorBidi"/>
          <w:lang w:eastAsia="en-GB"/>
        </w:rPr>
      </w:pPr>
      <w:r w:rsidRPr="004125FF">
        <w:rPr>
          <w:rFonts w:asciiTheme="minorBidi" w:eastAsia="Times New Roman" w:hAnsiTheme="minorBidi" w:cstheme="minorBidi"/>
          <w:lang w:eastAsia="en-GB"/>
        </w:rPr>
        <w:t xml:space="preserve">In this phase, a specific dynamic model is used to </w:t>
      </w:r>
      <w:r w:rsidR="008C7E5E" w:rsidRPr="004125FF">
        <w:rPr>
          <w:rFonts w:asciiTheme="minorBidi" w:eastAsia="Times New Roman" w:hAnsiTheme="minorBidi" w:cstheme="minorBidi"/>
          <w:lang w:eastAsia="en-GB"/>
        </w:rPr>
        <w:t>analyse</w:t>
      </w:r>
      <w:r w:rsidRPr="004125FF">
        <w:rPr>
          <w:rFonts w:asciiTheme="minorBidi" w:eastAsia="Times New Roman" w:hAnsiTheme="minorBidi" w:cstheme="minorBidi"/>
          <w:lang w:eastAsia="en-GB"/>
        </w:rPr>
        <w:t xml:space="preserve"> the data gathered for the study. The primary reason for using this method is to gain a comprehensive view that enables companies to determine how to enhance their services through digital transformation, focusing on the most critical aspects. This picture represents the numerical value of each question and its corresponding weight within a thematic axis. There are three main steps of computation in the process:</w:t>
      </w:r>
    </w:p>
    <w:p w14:paraId="0955C192" w14:textId="77777777" w:rsidR="000D4D4C" w:rsidRPr="004125FF" w:rsidRDefault="000D4D4C" w:rsidP="000D4D4C">
      <w:pPr>
        <w:jc w:val="both"/>
        <w:rPr>
          <w:rFonts w:asciiTheme="minorBidi" w:eastAsia="Times New Roman" w:hAnsiTheme="minorBidi" w:cstheme="minorBidi"/>
          <w:lang w:eastAsia="en-GB"/>
        </w:rPr>
      </w:pPr>
    </w:p>
    <w:p w14:paraId="26560173" w14:textId="5A492238" w:rsidR="000D4D4C" w:rsidRPr="004125FF" w:rsidRDefault="000D4D4C" w:rsidP="00F044C5">
      <w:pPr>
        <w:pStyle w:val="ListParagraph"/>
        <w:numPr>
          <w:ilvl w:val="0"/>
          <w:numId w:val="14"/>
        </w:numPr>
        <w:spacing w:after="160" w:line="259" w:lineRule="auto"/>
        <w:jc w:val="both"/>
        <w:rPr>
          <w:rFonts w:asciiTheme="minorBidi" w:eastAsia="Times New Roman" w:hAnsiTheme="minorBidi"/>
          <w:sz w:val="20"/>
          <w:szCs w:val="20"/>
          <w:lang w:eastAsia="en-GB"/>
        </w:rPr>
      </w:pPr>
      <w:r w:rsidRPr="004125FF">
        <w:rPr>
          <w:rFonts w:asciiTheme="minorBidi" w:eastAsia="Times New Roman" w:hAnsiTheme="minorBidi"/>
          <w:sz w:val="20"/>
          <w:szCs w:val="20"/>
          <w:lang w:eastAsia="en-GB"/>
        </w:rPr>
        <w:t xml:space="preserve">Indicator Value Computation per Question </w:t>
      </w:r>
    </w:p>
    <w:p w14:paraId="07EC1821" w14:textId="695D2425" w:rsidR="000D4D4C" w:rsidRPr="004125FF" w:rsidRDefault="000D4D4C" w:rsidP="000D4D4C">
      <w:pPr>
        <w:jc w:val="both"/>
        <w:rPr>
          <w:rFonts w:asciiTheme="minorBidi" w:eastAsia="Times New Roman" w:hAnsiTheme="minorBidi" w:cstheme="minorBidi"/>
          <w:lang w:eastAsia="en-GB"/>
        </w:rPr>
      </w:pPr>
      <w:r w:rsidRPr="004125FF">
        <w:rPr>
          <w:rFonts w:asciiTheme="minorBidi" w:eastAsia="Times New Roman" w:hAnsiTheme="minorBidi" w:cstheme="minorBidi"/>
          <w:lang w:eastAsia="en-GB"/>
        </w:rPr>
        <w:t>The standardized Equation (1) was utilized for two primary categories of survey items: agreement-based questions employing ordinal response scales (e.g., "Disagree" to "Strongly Agree") and single-choice questions aimed at capturing participants' preferences or perceptions. Each option in these questions received a numeric value indicating its rank or intensity. The final indicator value for each question was computed using a formula that aggregates the weighted frequencies of participant selections. This process enabled the measurement of the significance of individual items based on participant engagement.</w:t>
      </w:r>
    </w:p>
    <w:p w14:paraId="3540983A" w14:textId="77777777" w:rsidR="000D4D4C" w:rsidRPr="004125FF" w:rsidRDefault="000D4D4C" w:rsidP="000D4D4C">
      <w:pPr>
        <w:jc w:val="both"/>
        <w:rPr>
          <w:rFonts w:asciiTheme="minorBidi" w:eastAsia="Times New Roman" w:hAnsiTheme="minorBidi" w:cstheme="minorBidi"/>
          <w:lang w:eastAsia="en-GB"/>
        </w:rPr>
      </w:pPr>
    </w:p>
    <w:p w14:paraId="07666F13" w14:textId="06318AFA" w:rsidR="000D4D4C" w:rsidRDefault="00000000" w:rsidP="000D4D4C">
      <w:pPr>
        <w:rPr>
          <w:rFonts w:asciiTheme="minorBidi" w:eastAsiaTheme="minorEastAsia" w:hAnsiTheme="minorBidi" w:cstheme="minorBidi"/>
        </w:rPr>
      </w:pPr>
      <m:oMath>
        <m:sSub>
          <m:sSubPr>
            <m:ctrlPr>
              <w:rPr>
                <w:rFonts w:ascii="Cambria Math" w:eastAsiaTheme="minorEastAsia" w:hAnsi="Cambria Math" w:cstheme="minorBidi"/>
                <w:i/>
              </w:rPr>
            </m:ctrlPr>
          </m:sSubPr>
          <m:e>
            <m:r>
              <w:rPr>
                <w:rFonts w:ascii="Cambria Math" w:eastAsiaTheme="minorEastAsia" w:hAnsi="Cambria Math" w:cstheme="minorBidi"/>
              </w:rPr>
              <m:t>Q</m:t>
            </m:r>
          </m:e>
          <m:sub>
            <m:r>
              <w:rPr>
                <w:rFonts w:ascii="Cambria Math" w:eastAsiaTheme="minorEastAsia" w:hAnsi="Cambria Math" w:cstheme="minorBidi"/>
              </w:rPr>
              <m:t>i</m:t>
            </m:r>
          </m:sub>
        </m:sSub>
        <m:r>
          <w:rPr>
            <w:rFonts w:ascii="Cambria Math" w:eastAsiaTheme="minorEastAsia" w:hAnsi="Cambria Math" w:cstheme="minorBidi"/>
          </w:rPr>
          <m:t>=</m:t>
        </m:r>
        <m:f>
          <m:fPr>
            <m:ctrlPr>
              <w:rPr>
                <w:rFonts w:ascii="Cambria Math" w:eastAsiaTheme="minorEastAsia" w:hAnsi="Cambria Math" w:cstheme="minorBidi"/>
                <w:i/>
              </w:rPr>
            </m:ctrlPr>
          </m:fPr>
          <m:num>
            <m:sSub>
              <m:sSubPr>
                <m:ctrlPr>
                  <w:rPr>
                    <w:rFonts w:ascii="Cambria Math" w:eastAsiaTheme="minorEastAsia" w:hAnsi="Cambria Math" w:cstheme="minorBidi"/>
                    <w:i/>
                  </w:rPr>
                </m:ctrlPr>
              </m:sSubPr>
              <m:e>
                <m:r>
                  <w:rPr>
                    <w:rFonts w:ascii="Cambria Math" w:eastAsiaTheme="minorEastAsia" w:hAnsi="Cambria Math" w:cstheme="minorBidi"/>
                  </w:rPr>
                  <m:t>(N</m:t>
                </m:r>
              </m:e>
              <m:sub>
                <m:r>
                  <w:rPr>
                    <w:rFonts w:ascii="Cambria Math" w:eastAsiaTheme="minorEastAsia" w:hAnsi="Cambria Math" w:cstheme="minorBidi"/>
                  </w:rPr>
                  <m:t>1</m:t>
                </m:r>
              </m:sub>
            </m:sSub>
            <m:r>
              <w:rPr>
                <w:rFonts w:ascii="Cambria Math" w:eastAsiaTheme="minorEastAsia" w:hAnsi="Cambria Math" w:cstheme="minorBidi"/>
              </w:rPr>
              <m:t>*1)+.....+(</m:t>
            </m:r>
            <m:sSub>
              <m:sSubPr>
                <m:ctrlPr>
                  <w:rPr>
                    <w:rFonts w:ascii="Cambria Math" w:eastAsiaTheme="minorEastAsia" w:hAnsi="Cambria Math" w:cstheme="minorBidi"/>
                    <w:i/>
                  </w:rPr>
                </m:ctrlPr>
              </m:sSubPr>
              <m:e>
                <m:r>
                  <w:rPr>
                    <w:rFonts w:ascii="Cambria Math" w:eastAsiaTheme="minorEastAsia" w:hAnsi="Cambria Math" w:cstheme="minorBidi"/>
                  </w:rPr>
                  <m:t>N</m:t>
                </m:r>
              </m:e>
              <m:sub>
                <m:r>
                  <w:rPr>
                    <w:rFonts w:ascii="Cambria Math" w:eastAsiaTheme="minorEastAsia" w:hAnsi="Cambria Math" w:cstheme="minorBidi"/>
                  </w:rPr>
                  <m:t>k</m:t>
                </m:r>
              </m:sub>
            </m:sSub>
            <m:r>
              <w:rPr>
                <w:rFonts w:ascii="Cambria Math" w:eastAsiaTheme="minorEastAsia" w:hAnsi="Cambria Math" w:cstheme="minorBidi"/>
              </w:rPr>
              <m:t>*k)</m:t>
            </m:r>
          </m:num>
          <m:den>
            <m:r>
              <w:rPr>
                <w:rFonts w:ascii="Cambria Math" w:eastAsiaTheme="minorEastAsia" w:hAnsi="Cambria Math" w:cstheme="minorBidi"/>
              </w:rPr>
              <m:t>T</m:t>
            </m:r>
          </m:den>
        </m:f>
      </m:oMath>
      <w:r w:rsidR="000D4D4C" w:rsidRPr="004125FF">
        <w:rPr>
          <w:rFonts w:asciiTheme="minorBidi" w:eastAsiaTheme="minorEastAsia" w:hAnsiTheme="minorBidi" w:cstheme="minorBidi"/>
        </w:rPr>
        <w:t xml:space="preserve">                      (1)</w:t>
      </w:r>
    </w:p>
    <w:p w14:paraId="35AD4268" w14:textId="77777777" w:rsidR="003D1D02" w:rsidRPr="004125FF" w:rsidRDefault="003D1D02" w:rsidP="000D4D4C">
      <w:pPr>
        <w:rPr>
          <w:rFonts w:asciiTheme="minorBidi" w:eastAsiaTheme="minorEastAsia" w:hAnsiTheme="minorBidi" w:cstheme="minorBidi"/>
        </w:rPr>
      </w:pPr>
    </w:p>
    <w:p w14:paraId="7FBFF182"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 xml:space="preserve">Where: </w:t>
      </w:r>
    </w:p>
    <w:p w14:paraId="01A0FE9E" w14:textId="77777777" w:rsidR="000D4D4C" w:rsidRPr="004125FF" w:rsidRDefault="00000000" w:rsidP="00F044C5">
      <w:pPr>
        <w:pStyle w:val="ListParagraph"/>
        <w:numPr>
          <w:ilvl w:val="0"/>
          <w:numId w:val="15"/>
        </w:numPr>
        <w:spacing w:after="160" w:line="259" w:lineRule="auto"/>
        <w:jc w:val="both"/>
        <w:rPr>
          <w:rFonts w:asciiTheme="minorBidi" w:hAnsiTheme="minorBidi"/>
          <w:sz w:val="20"/>
          <w:szCs w:val="20"/>
        </w:rPr>
      </w:pP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i</m:t>
            </m:r>
          </m:sub>
        </m:sSub>
      </m:oMath>
      <w:r w:rsidR="000D4D4C" w:rsidRPr="004125FF">
        <w:rPr>
          <w:rFonts w:asciiTheme="minorBidi" w:eastAsiaTheme="minorEastAsia" w:hAnsiTheme="minorBidi"/>
          <w:sz w:val="20"/>
          <w:szCs w:val="20"/>
        </w:rPr>
        <w:t xml:space="preserve"> Final indicator value for question </w:t>
      </w:r>
      <w:r w:rsidR="000D4D4C" w:rsidRPr="004125FF">
        <w:rPr>
          <w:rFonts w:asciiTheme="minorBidi" w:eastAsiaTheme="minorEastAsia" w:hAnsiTheme="minorBidi"/>
          <w:i/>
          <w:iCs/>
          <w:sz w:val="20"/>
          <w:szCs w:val="20"/>
        </w:rPr>
        <w:t>i.</w:t>
      </w:r>
    </w:p>
    <w:p w14:paraId="1854A694" w14:textId="77777777" w:rsidR="000D4D4C" w:rsidRPr="004125FF" w:rsidRDefault="00000000" w:rsidP="00F044C5">
      <w:pPr>
        <w:pStyle w:val="ListParagraph"/>
        <w:numPr>
          <w:ilvl w:val="0"/>
          <w:numId w:val="15"/>
        </w:numPr>
        <w:spacing w:after="160" w:line="259" w:lineRule="auto"/>
        <w:jc w:val="both"/>
        <w:rPr>
          <w:rFonts w:asciiTheme="minorBidi" w:hAnsiTheme="minorBidi"/>
          <w:sz w:val="20"/>
          <w:szCs w:val="20"/>
        </w:rPr>
      </w:pP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k</m:t>
            </m:r>
          </m:sub>
        </m:sSub>
      </m:oMath>
      <w:r w:rsidR="000D4D4C" w:rsidRPr="004125FF">
        <w:rPr>
          <w:rFonts w:asciiTheme="minorBidi" w:eastAsiaTheme="minorEastAsia" w:hAnsiTheme="minorBidi"/>
          <w:sz w:val="20"/>
          <w:szCs w:val="20"/>
        </w:rPr>
        <w:t xml:space="preserve">Number of respondents choosing option </w:t>
      </w:r>
      <w:r w:rsidR="000D4D4C" w:rsidRPr="004125FF">
        <w:rPr>
          <w:rFonts w:asciiTheme="minorBidi" w:eastAsiaTheme="minorEastAsia" w:hAnsiTheme="minorBidi"/>
          <w:i/>
          <w:iCs/>
          <w:sz w:val="20"/>
          <w:szCs w:val="20"/>
        </w:rPr>
        <w:t>k.</w:t>
      </w:r>
    </w:p>
    <w:p w14:paraId="02873192" w14:textId="77777777" w:rsidR="000D4D4C" w:rsidRPr="004125FF" w:rsidRDefault="000D4D4C" w:rsidP="00F044C5">
      <w:pPr>
        <w:pStyle w:val="ListParagraph"/>
        <w:numPr>
          <w:ilvl w:val="0"/>
          <w:numId w:val="15"/>
        </w:numPr>
        <w:spacing w:after="160" w:line="259" w:lineRule="auto"/>
        <w:jc w:val="both"/>
        <w:rPr>
          <w:rFonts w:asciiTheme="minorBidi" w:hAnsiTheme="minorBidi"/>
          <w:sz w:val="20"/>
          <w:szCs w:val="20"/>
        </w:rPr>
      </w:pPr>
      <m:oMath>
        <m:r>
          <w:rPr>
            <w:rFonts w:ascii="Cambria Math" w:hAnsi="Cambria Math"/>
            <w:sz w:val="20"/>
            <w:szCs w:val="20"/>
          </w:rPr>
          <m:t>n</m:t>
        </m:r>
      </m:oMath>
      <w:r w:rsidRPr="004125FF">
        <w:rPr>
          <w:rFonts w:asciiTheme="minorBidi" w:eastAsiaTheme="minorEastAsia" w:hAnsiTheme="minorBidi"/>
          <w:sz w:val="20"/>
          <w:szCs w:val="20"/>
        </w:rPr>
        <w:t xml:space="preserve"> : Total number of response options.</w:t>
      </w:r>
    </w:p>
    <w:p w14:paraId="178556B1" w14:textId="77777777" w:rsidR="000D4D4C" w:rsidRPr="004125FF" w:rsidRDefault="000D4D4C" w:rsidP="00F044C5">
      <w:pPr>
        <w:pStyle w:val="ListParagraph"/>
        <w:numPr>
          <w:ilvl w:val="0"/>
          <w:numId w:val="15"/>
        </w:numPr>
        <w:spacing w:after="160" w:line="259" w:lineRule="auto"/>
        <w:jc w:val="both"/>
        <w:rPr>
          <w:rFonts w:asciiTheme="minorBidi" w:hAnsiTheme="minorBidi"/>
          <w:sz w:val="20"/>
          <w:szCs w:val="20"/>
        </w:rPr>
      </w:pPr>
      <m:oMath>
        <m:r>
          <w:rPr>
            <w:rFonts w:ascii="Cambria Math" w:eastAsiaTheme="minorEastAsia" w:hAnsi="Cambria Math"/>
            <w:sz w:val="20"/>
            <w:szCs w:val="20"/>
          </w:rPr>
          <m:t>T</m:t>
        </m:r>
      </m:oMath>
      <w:r w:rsidRPr="004125FF">
        <w:rPr>
          <w:rFonts w:asciiTheme="minorBidi" w:eastAsiaTheme="minorEastAsia" w:hAnsiTheme="minorBidi"/>
          <w:sz w:val="20"/>
          <w:szCs w:val="20"/>
        </w:rPr>
        <w:t xml:space="preserve"> :</w:t>
      </w:r>
      <w:r w:rsidRPr="004125FF">
        <w:rPr>
          <w:rFonts w:asciiTheme="minorBidi" w:hAnsiTheme="minorBidi"/>
          <w:sz w:val="20"/>
          <w:szCs w:val="20"/>
        </w:rPr>
        <w:t xml:space="preserve"> Total number of respondents for the question.</w:t>
      </w:r>
    </w:p>
    <w:p w14:paraId="715B7950" w14:textId="6B4070E5" w:rsidR="000D4D4C" w:rsidRDefault="000D4D4C" w:rsidP="000D4D4C">
      <w:pPr>
        <w:jc w:val="both"/>
        <w:rPr>
          <w:rFonts w:asciiTheme="minorBidi" w:hAnsiTheme="minorBidi" w:cstheme="minorBidi"/>
        </w:rPr>
      </w:pPr>
      <w:r w:rsidRPr="004125FF">
        <w:rPr>
          <w:rFonts w:asciiTheme="minorBidi" w:hAnsiTheme="minorBidi" w:cstheme="minorBidi"/>
        </w:rPr>
        <w:t>To improve the operational efficiency of the survey instrument, a series of binary (Yes/No) questions was included. These items expedited data collection and diminished cognitive effort for participants. Equation (2) was used to determine the proportion of affirmative responses for each question, serving as a diagnostic measure of the existence or endorsement of a specific characteristic. The Equation is delineated as:</w:t>
      </w:r>
    </w:p>
    <w:p w14:paraId="2237E885" w14:textId="77777777" w:rsidR="003D1D02" w:rsidRPr="004125FF" w:rsidRDefault="003D1D02" w:rsidP="000D4D4C">
      <w:pPr>
        <w:jc w:val="both"/>
        <w:rPr>
          <w:rFonts w:asciiTheme="minorBidi" w:hAnsiTheme="minorBidi" w:cstheme="minorBidi"/>
        </w:rPr>
      </w:pPr>
    </w:p>
    <w:p w14:paraId="5D49E351" w14:textId="029D22EE" w:rsidR="000D4D4C" w:rsidRDefault="000D4D4C" w:rsidP="000D4D4C">
      <w:pPr>
        <w:rPr>
          <w:rFonts w:asciiTheme="minorBidi" w:eastAsiaTheme="minorEastAsia" w:hAnsiTheme="minorBidi" w:cstheme="minorBidi"/>
        </w:rPr>
      </w:pPr>
      <w:r w:rsidRPr="004125FF">
        <w:rPr>
          <w:rFonts w:asciiTheme="minorBidi" w:hAnsiTheme="minorBidi" w:cstheme="minorBidi"/>
        </w:rPr>
        <w:t xml:space="preserve">          </w:t>
      </w:r>
      <m:oMath>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i</m:t>
            </m:r>
          </m:sub>
        </m:sSub>
        <m:r>
          <w:rPr>
            <w:rFonts w:ascii="Cambria Math" w:eastAsiaTheme="minorEastAsia" w:hAnsi="Cambria Math" w:cstheme="minorBidi"/>
          </w:rPr>
          <m:t>=</m:t>
        </m:r>
        <m:f>
          <m:fPr>
            <m:ctrlPr>
              <w:rPr>
                <w:rFonts w:ascii="Cambria Math" w:eastAsiaTheme="minorEastAsia" w:hAnsi="Cambria Math" w:cstheme="minorBidi"/>
                <w:i/>
              </w:rPr>
            </m:ctrlPr>
          </m:fPr>
          <m:num>
            <m:r>
              <w:rPr>
                <w:rFonts w:ascii="Cambria Math" w:eastAsiaTheme="minorEastAsia" w:hAnsi="Cambria Math" w:cstheme="minorBidi"/>
              </w:rPr>
              <m:t>y</m:t>
            </m:r>
          </m:num>
          <m:den>
            <m:r>
              <w:rPr>
                <w:rFonts w:ascii="Cambria Math" w:eastAsiaTheme="minorEastAsia" w:hAnsi="Cambria Math" w:cstheme="minorBidi"/>
              </w:rPr>
              <m:t>T</m:t>
            </m:r>
          </m:den>
        </m:f>
      </m:oMath>
      <w:r w:rsidRPr="004125FF">
        <w:rPr>
          <w:rFonts w:asciiTheme="minorBidi" w:eastAsiaTheme="minorEastAsia" w:hAnsiTheme="minorBidi" w:cstheme="minorBidi"/>
        </w:rPr>
        <w:t xml:space="preserve">                                   (2)</w:t>
      </w:r>
    </w:p>
    <w:p w14:paraId="6151A521" w14:textId="77777777" w:rsidR="003D1D02" w:rsidRPr="004125FF" w:rsidRDefault="003D1D02" w:rsidP="000D4D4C">
      <w:pPr>
        <w:rPr>
          <w:rFonts w:asciiTheme="minorBidi" w:eastAsiaTheme="minorEastAsia" w:hAnsiTheme="minorBidi" w:cstheme="minorBidi"/>
        </w:rPr>
      </w:pPr>
    </w:p>
    <w:p w14:paraId="76A27636" w14:textId="76E20147" w:rsidR="000D4D4C" w:rsidRDefault="000D4D4C" w:rsidP="000D4D4C">
      <w:pPr>
        <w:jc w:val="both"/>
        <w:rPr>
          <w:rFonts w:asciiTheme="minorBidi" w:eastAsiaTheme="minorEastAsia" w:hAnsiTheme="minorBidi" w:cstheme="minorBidi"/>
        </w:rPr>
      </w:pPr>
      <w:r w:rsidRPr="004125FF">
        <w:rPr>
          <w:rFonts w:asciiTheme="minorBidi" w:eastAsiaTheme="minorEastAsia" w:hAnsiTheme="minorBidi" w:cstheme="minorBidi"/>
        </w:rPr>
        <w:t>Where (y) signifies the quantity of respondents who answered "Yes" to item (</w:t>
      </w:r>
      <w:proofErr w:type="spellStart"/>
      <w:r w:rsidRPr="004125FF">
        <w:rPr>
          <w:rFonts w:asciiTheme="minorBidi" w:eastAsiaTheme="minorEastAsia" w:hAnsiTheme="minorBidi" w:cstheme="minorBidi"/>
        </w:rPr>
        <w:t>i</w:t>
      </w:r>
      <w:proofErr w:type="spellEnd"/>
      <w:r w:rsidRPr="004125FF">
        <w:rPr>
          <w:rFonts w:asciiTheme="minorBidi" w:eastAsiaTheme="minorEastAsia" w:hAnsiTheme="minorBidi" w:cstheme="minorBidi"/>
        </w:rPr>
        <w:t>), and (T) is the total number of participants. This computational method guarantees consistent interpretation of binary measures across theme dimensions, facilitating their incorporation into weighted assessment models for digital transformation readiness.</w:t>
      </w:r>
    </w:p>
    <w:p w14:paraId="5757E6C5" w14:textId="77777777" w:rsidR="003D1D02" w:rsidRPr="004125FF" w:rsidRDefault="003D1D02" w:rsidP="000D4D4C">
      <w:pPr>
        <w:jc w:val="both"/>
        <w:rPr>
          <w:rFonts w:asciiTheme="minorBidi" w:eastAsiaTheme="minorEastAsia" w:hAnsiTheme="minorBidi" w:cstheme="minorBidi"/>
        </w:rPr>
      </w:pPr>
    </w:p>
    <w:p w14:paraId="519DE303" w14:textId="77777777" w:rsidR="000D4D4C" w:rsidRPr="004125FF" w:rsidRDefault="000D4D4C" w:rsidP="000D4D4C">
      <w:pPr>
        <w:jc w:val="both"/>
        <w:rPr>
          <w:rFonts w:asciiTheme="minorBidi" w:hAnsiTheme="minorBidi" w:cstheme="minorBidi"/>
        </w:rPr>
      </w:pPr>
    </w:p>
    <w:p w14:paraId="311ACB6C" w14:textId="77777777" w:rsidR="000D4D4C" w:rsidRPr="004125FF" w:rsidRDefault="000D4D4C" w:rsidP="00F044C5">
      <w:pPr>
        <w:pStyle w:val="ListParagraph"/>
        <w:numPr>
          <w:ilvl w:val="0"/>
          <w:numId w:val="14"/>
        </w:numPr>
        <w:spacing w:after="160" w:line="259" w:lineRule="auto"/>
        <w:jc w:val="both"/>
        <w:rPr>
          <w:rFonts w:asciiTheme="minorBidi" w:hAnsiTheme="minorBidi"/>
          <w:sz w:val="20"/>
          <w:szCs w:val="20"/>
        </w:rPr>
      </w:pPr>
      <w:r w:rsidRPr="004125FF">
        <w:rPr>
          <w:rFonts w:asciiTheme="minorBidi" w:hAnsiTheme="minorBidi"/>
          <w:sz w:val="20"/>
          <w:szCs w:val="20"/>
        </w:rPr>
        <w:t>Relative Weight Extraction within the Axis.</w:t>
      </w:r>
    </w:p>
    <w:p w14:paraId="6BFAC633"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To achieve accuracy and consistency in measuring digital maturity, a quantitative methodology was adopted consisting of two basic steps: first, determining the relative weights for each axis, and second, calculating the overall score for each dimension.</w:t>
      </w:r>
    </w:p>
    <w:p w14:paraId="0E9275D0" w14:textId="77777777" w:rsidR="000D4D4C" w:rsidRPr="004125FF" w:rsidRDefault="000D4D4C" w:rsidP="00F044C5">
      <w:pPr>
        <w:pStyle w:val="ListParagraph"/>
        <w:numPr>
          <w:ilvl w:val="0"/>
          <w:numId w:val="16"/>
        </w:numPr>
        <w:spacing w:after="160" w:line="256" w:lineRule="auto"/>
        <w:jc w:val="both"/>
        <w:rPr>
          <w:rFonts w:asciiTheme="minorBidi" w:hAnsiTheme="minorBidi"/>
          <w:sz w:val="20"/>
          <w:szCs w:val="20"/>
        </w:rPr>
      </w:pPr>
      <w:r w:rsidRPr="004125FF">
        <w:rPr>
          <w:rFonts w:asciiTheme="minorBidi" w:hAnsiTheme="minorBidi"/>
          <w:sz w:val="20"/>
          <w:szCs w:val="20"/>
        </w:rPr>
        <w:t>Determining the Relative Weights of the Axis</w:t>
      </w:r>
    </w:p>
    <w:p w14:paraId="23BE539A"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The relative weight for each axis was calculated based on the statistical value of its questions. This approach ensures that axes containing questions of greater importance or a greater number of questions contribute a greater proportion to the final score for the dimension. The following steps were followed:</w:t>
      </w:r>
    </w:p>
    <w:p w14:paraId="579A06C6" w14:textId="77777777" w:rsidR="000D4D4C" w:rsidRPr="004125FF" w:rsidRDefault="000D4D4C" w:rsidP="00F044C5">
      <w:pPr>
        <w:pStyle w:val="ListParagraph"/>
        <w:numPr>
          <w:ilvl w:val="0"/>
          <w:numId w:val="17"/>
        </w:numPr>
        <w:spacing w:after="160" w:line="256" w:lineRule="auto"/>
        <w:jc w:val="both"/>
        <w:rPr>
          <w:rFonts w:asciiTheme="minorBidi" w:hAnsiTheme="minorBidi"/>
          <w:sz w:val="20"/>
          <w:szCs w:val="20"/>
        </w:rPr>
      </w:pPr>
      <w:r w:rsidRPr="004125FF">
        <w:rPr>
          <w:rFonts w:asciiTheme="minorBidi" w:hAnsiTheme="minorBidi"/>
          <w:sz w:val="20"/>
          <w:szCs w:val="20"/>
        </w:rPr>
        <w:t>Calculating the sum of the question values ​​for each axis: The values ​​of all questions belonging to a single axis were summed.</w:t>
      </w:r>
    </w:p>
    <w:p w14:paraId="4B02ACE0" w14:textId="77777777" w:rsidR="000D4D4C" w:rsidRPr="004125FF" w:rsidRDefault="000D4D4C" w:rsidP="00F044C5">
      <w:pPr>
        <w:pStyle w:val="ListParagraph"/>
        <w:numPr>
          <w:ilvl w:val="0"/>
          <w:numId w:val="17"/>
        </w:numPr>
        <w:spacing w:after="160" w:line="256" w:lineRule="auto"/>
        <w:jc w:val="both"/>
        <w:rPr>
          <w:rFonts w:asciiTheme="minorBidi" w:hAnsiTheme="minorBidi"/>
          <w:sz w:val="20"/>
          <w:szCs w:val="20"/>
        </w:rPr>
      </w:pPr>
      <w:r w:rsidRPr="004125FF">
        <w:rPr>
          <w:rFonts w:asciiTheme="minorBidi" w:hAnsiTheme="minorBidi"/>
          <w:sz w:val="20"/>
          <w:szCs w:val="20"/>
        </w:rPr>
        <w:t>Calculating the total question values ​​for a dimension: The values ​​of all questions within a single dimension were summed (i.e., the sum of the question values ​​for all axes).</w:t>
      </w:r>
    </w:p>
    <w:p w14:paraId="40AEEA23" w14:textId="53E143A8" w:rsidR="000D4D4C" w:rsidRPr="004125FF" w:rsidRDefault="000D4D4C" w:rsidP="00F044C5">
      <w:pPr>
        <w:pStyle w:val="ListParagraph"/>
        <w:numPr>
          <w:ilvl w:val="0"/>
          <w:numId w:val="17"/>
        </w:numPr>
        <w:spacing w:after="160" w:line="256" w:lineRule="auto"/>
        <w:jc w:val="both"/>
        <w:rPr>
          <w:rFonts w:asciiTheme="minorBidi" w:hAnsiTheme="minorBidi"/>
          <w:sz w:val="20"/>
          <w:szCs w:val="20"/>
        </w:rPr>
      </w:pPr>
      <w:r w:rsidRPr="004125FF">
        <w:rPr>
          <w:rFonts w:asciiTheme="minorBidi" w:hAnsiTheme="minorBidi"/>
          <w:sz w:val="20"/>
          <w:szCs w:val="20"/>
        </w:rPr>
        <w:t>Determining the relative weight for each axis: The sum of the question values ​​for the axis was divided by the total question values ​​for the entire dimension.</w:t>
      </w:r>
    </w:p>
    <w:p w14:paraId="03ED5914" w14:textId="77777777" w:rsidR="0033741A" w:rsidRPr="004125FF" w:rsidRDefault="0033741A" w:rsidP="0033741A">
      <w:pPr>
        <w:pStyle w:val="ListParagraph"/>
        <w:spacing w:after="160" w:line="256" w:lineRule="auto"/>
        <w:jc w:val="both"/>
        <w:rPr>
          <w:rFonts w:asciiTheme="minorBidi" w:hAnsiTheme="minorBidi"/>
          <w:sz w:val="20"/>
          <w:szCs w:val="20"/>
        </w:rPr>
      </w:pPr>
    </w:p>
    <w:p w14:paraId="1159159D" w14:textId="170F88F5" w:rsidR="000D4D4C" w:rsidRPr="004125FF" w:rsidRDefault="00E46FB0" w:rsidP="000D4D4C">
      <w:pPr>
        <w:rPr>
          <w:rFonts w:asciiTheme="minorBidi" w:eastAsiaTheme="minorEastAsia" w:hAnsiTheme="minorBidi" w:cstheme="minorBidi"/>
          <w:lang w:val="tr-TR"/>
        </w:rPr>
      </w:pPr>
      <w:r>
        <w:rPr>
          <w:rFonts w:asciiTheme="minorBidi" w:eastAsiaTheme="minorEastAsia" w:hAnsiTheme="minorBidi" w:cstheme="minorBidi"/>
          <w:lang w:val="tr-TR"/>
        </w:rPr>
        <w:t xml:space="preserve">            </w:t>
      </w:r>
      <w:r w:rsidR="000D4D4C" w:rsidRPr="004125FF">
        <w:rPr>
          <w:rFonts w:asciiTheme="minorBidi" w:eastAsiaTheme="minorEastAsia" w:hAnsiTheme="minorBidi" w:cstheme="minorBidi"/>
          <w:lang w:val="tr-TR"/>
        </w:rPr>
        <w:t xml:space="preserve">         </w:t>
      </w:r>
      <m:oMath>
        <m:sSub>
          <m:sSubPr>
            <m:ctrlPr>
              <w:rPr>
                <w:rFonts w:ascii="Cambria Math" w:eastAsiaTheme="minorEastAsia" w:hAnsi="Cambria Math" w:cstheme="minorBidi"/>
                <w:i/>
              </w:rPr>
            </m:ctrlPr>
          </m:sSubPr>
          <m:e>
            <m:r>
              <w:rPr>
                <w:rFonts w:ascii="Cambria Math" w:eastAsiaTheme="minorEastAsia" w:hAnsi="Cambria Math" w:cstheme="minorBidi"/>
                <w:lang w:val="tr-TR"/>
              </w:rPr>
              <m:t>w_</m:t>
            </m:r>
          </m:e>
          <m:sub>
            <m:r>
              <w:rPr>
                <w:rFonts w:ascii="Cambria Math" w:eastAsiaTheme="minorEastAsia" w:hAnsi="Cambria Math" w:cstheme="minorBidi"/>
                <w:lang w:val="tr-TR"/>
              </w:rPr>
              <m:t>axis</m:t>
            </m:r>
          </m:sub>
        </m:sSub>
        <m:r>
          <w:rPr>
            <w:rFonts w:ascii="Cambria Math" w:eastAsiaTheme="minorEastAsia" w:hAnsi="Cambria Math" w:cstheme="minorBidi"/>
            <w:lang w:val="tr-TR"/>
          </w:rPr>
          <m:t>=</m:t>
        </m:r>
        <m:f>
          <m:fPr>
            <m:ctrlPr>
              <w:rPr>
                <w:rFonts w:ascii="Cambria Math" w:eastAsiaTheme="minorEastAsia" w:hAnsi="Cambria Math" w:cstheme="minorBidi"/>
                <w:i/>
              </w:rPr>
            </m:ctrlPr>
          </m:fPr>
          <m:num>
            <m:nary>
              <m:naryPr>
                <m:chr m:val="∑"/>
                <m:limLoc m:val="undOvr"/>
                <m:subHide m:val="1"/>
                <m:supHide m:val="1"/>
                <m:ctrlPr>
                  <w:rPr>
                    <w:rFonts w:ascii="Cambria Math" w:eastAsiaTheme="minorEastAsia" w:hAnsi="Cambria Math" w:cstheme="minorBidi"/>
                    <w:i/>
                  </w:rPr>
                </m:ctrlPr>
              </m:naryPr>
              <m:sub/>
              <m:sup/>
              <m:e>
                <m:r>
                  <m:rPr>
                    <m:sty m:val="p"/>
                  </m:rPr>
                  <w:rPr>
                    <w:rFonts w:ascii="Cambria Math" w:hAnsi="Cambria Math" w:cstheme="minorBidi"/>
                    <w:lang w:val="tr-TR"/>
                  </w:rPr>
                  <m:t>axis questions</m:t>
                </m:r>
              </m:e>
            </m:nary>
          </m:num>
          <m:den>
            <m:nary>
              <m:naryPr>
                <m:chr m:val="∑"/>
                <m:limLoc m:val="undOvr"/>
                <m:subHide m:val="1"/>
                <m:supHide m:val="1"/>
                <m:ctrlPr>
                  <w:rPr>
                    <w:rFonts w:ascii="Cambria Math" w:eastAsiaTheme="minorEastAsia" w:hAnsi="Cambria Math" w:cstheme="minorBidi"/>
                    <w:i/>
                  </w:rPr>
                </m:ctrlPr>
              </m:naryPr>
              <m:sub/>
              <m:sup/>
              <m:e>
                <m:r>
                  <m:rPr>
                    <m:sty m:val="p"/>
                  </m:rPr>
                  <w:rPr>
                    <w:rFonts w:ascii="Cambria Math" w:hAnsi="Cambria Math" w:cstheme="minorBidi"/>
                    <w:lang w:val="tr-TR"/>
                  </w:rPr>
                  <m:t>dimension questions</m:t>
                </m:r>
              </m:e>
            </m:nary>
          </m:den>
        </m:f>
      </m:oMath>
      <w:r w:rsidR="000D4D4C" w:rsidRPr="004125FF">
        <w:rPr>
          <w:rFonts w:asciiTheme="minorBidi" w:eastAsiaTheme="minorEastAsia" w:hAnsiTheme="minorBidi" w:cstheme="minorBidi"/>
          <w:lang w:val="tr-TR"/>
        </w:rPr>
        <w:t xml:space="preserve">       </w:t>
      </w:r>
      <w:r>
        <w:rPr>
          <w:rFonts w:asciiTheme="minorBidi" w:eastAsiaTheme="minorEastAsia" w:hAnsiTheme="minorBidi" w:cstheme="minorBidi"/>
          <w:lang w:val="tr-TR"/>
        </w:rPr>
        <w:t xml:space="preserve">                              </w:t>
      </w:r>
      <w:r w:rsidR="000D4D4C" w:rsidRPr="004125FF">
        <w:rPr>
          <w:rFonts w:asciiTheme="minorBidi" w:eastAsiaTheme="minorEastAsia" w:hAnsiTheme="minorBidi" w:cstheme="minorBidi"/>
          <w:lang w:val="tr-TR"/>
        </w:rPr>
        <w:t xml:space="preserve">  (3)</w:t>
      </w:r>
    </w:p>
    <w:p w14:paraId="181CED1C" w14:textId="77777777" w:rsidR="0033741A" w:rsidRPr="004125FF" w:rsidRDefault="0033741A" w:rsidP="000D4D4C">
      <w:pPr>
        <w:rPr>
          <w:rFonts w:asciiTheme="minorBidi" w:hAnsiTheme="minorBidi" w:cstheme="minorBidi"/>
          <w:lang w:val="tr-TR"/>
        </w:rPr>
      </w:pPr>
    </w:p>
    <w:p w14:paraId="219ED3CC"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Note: The sum of the relative weights for all axes within a single dimension must equal 1.0 (or 100%).</w:t>
      </w:r>
    </w:p>
    <w:p w14:paraId="652FEF95" w14:textId="77777777" w:rsidR="000D4D4C" w:rsidRPr="004125FF" w:rsidRDefault="000D4D4C" w:rsidP="00F044C5">
      <w:pPr>
        <w:pStyle w:val="ListParagraph"/>
        <w:numPr>
          <w:ilvl w:val="0"/>
          <w:numId w:val="16"/>
        </w:numPr>
        <w:spacing w:after="160" w:line="256" w:lineRule="auto"/>
        <w:jc w:val="both"/>
        <w:rPr>
          <w:rFonts w:asciiTheme="minorBidi" w:hAnsiTheme="minorBidi"/>
          <w:sz w:val="20"/>
          <w:szCs w:val="20"/>
        </w:rPr>
      </w:pPr>
      <w:r w:rsidRPr="004125FF">
        <w:rPr>
          <w:rFonts w:asciiTheme="minorBidi" w:hAnsiTheme="minorBidi"/>
          <w:sz w:val="20"/>
          <w:szCs w:val="20"/>
        </w:rPr>
        <w:t>Calculating the Total Score for the Dimension.</w:t>
      </w:r>
    </w:p>
    <w:p w14:paraId="7B0702FD" w14:textId="77777777" w:rsidR="000D4D4C" w:rsidRPr="004125FF" w:rsidRDefault="000D4D4C" w:rsidP="000D4D4C">
      <w:pPr>
        <w:jc w:val="both"/>
        <w:rPr>
          <w:rFonts w:asciiTheme="minorBidi" w:hAnsiTheme="minorBidi" w:cstheme="minorBidi"/>
          <w:lang w:val="tr-TR"/>
        </w:rPr>
      </w:pPr>
      <w:r w:rsidRPr="004125FF">
        <w:rPr>
          <w:rFonts w:asciiTheme="minorBidi" w:hAnsiTheme="minorBidi" w:cstheme="minorBidi"/>
        </w:rPr>
        <w:t>After determining the weights, the total score for each dimension was calculated using the weighted average formula. This step was implemented in two stages:</w:t>
      </w:r>
    </w:p>
    <w:p w14:paraId="4C8092B7" w14:textId="4A6C4A44" w:rsidR="000D4D4C" w:rsidRPr="004125FF" w:rsidRDefault="000D4D4C" w:rsidP="0033741A">
      <w:pPr>
        <w:jc w:val="both"/>
        <w:rPr>
          <w:rFonts w:asciiTheme="minorBidi" w:hAnsiTheme="minorBidi" w:cstheme="minorBidi"/>
        </w:rPr>
      </w:pPr>
      <w:r w:rsidRPr="004125FF">
        <w:rPr>
          <w:rFonts w:asciiTheme="minorBidi" w:hAnsiTheme="minorBidi" w:cstheme="minorBidi"/>
        </w:rPr>
        <w:t>Step A: Normalization of Scores:</w:t>
      </w:r>
      <w:r w:rsidR="0033741A" w:rsidRPr="004125FF">
        <w:rPr>
          <w:rFonts w:asciiTheme="minorBidi" w:hAnsiTheme="minorBidi" w:cstheme="minorBidi"/>
        </w:rPr>
        <w:t xml:space="preserve"> </w:t>
      </w:r>
      <w:r w:rsidRPr="004125FF">
        <w:rPr>
          <w:rFonts w:asciiTheme="minorBidi" w:hAnsiTheme="minorBidi" w:cstheme="minorBidi"/>
        </w:rPr>
        <w:t>To ensure that scores from different scales could be combined, all scores obtained from the questionnaire were converted to a standardized scale ranging from 0 to 1.</w:t>
      </w:r>
    </w:p>
    <w:p w14:paraId="3B8384A5" w14:textId="77777777" w:rsidR="0033741A" w:rsidRPr="004125FF" w:rsidRDefault="0033741A" w:rsidP="000D4D4C">
      <w:pPr>
        <w:jc w:val="both"/>
        <w:rPr>
          <w:rFonts w:asciiTheme="minorBidi" w:hAnsiTheme="minorBidi" w:cstheme="minorBidi"/>
          <w:rtl/>
        </w:rPr>
      </w:pPr>
    </w:p>
    <w:p w14:paraId="7B8955C9" w14:textId="2CD260F6" w:rsidR="000D4D4C" w:rsidRPr="004125FF" w:rsidRDefault="000D4D4C" w:rsidP="000D4D4C">
      <w:pPr>
        <w:rPr>
          <w:rFonts w:asciiTheme="minorBidi" w:eastAsiaTheme="minorEastAsia" w:hAnsiTheme="minorBidi" w:cstheme="minorBidi"/>
        </w:rPr>
      </w:pPr>
      <m:oMath>
        <m:r>
          <w:rPr>
            <w:rFonts w:ascii="Cambria Math" w:hAnsi="Cambria Math" w:cstheme="minorBidi"/>
          </w:rPr>
          <m:t>Normalized score =</m:t>
        </m:r>
        <m:f>
          <m:fPr>
            <m:ctrlPr>
              <w:rPr>
                <w:rFonts w:ascii="Cambria Math" w:hAnsi="Cambria Math" w:cstheme="minorBidi"/>
                <w:i/>
              </w:rPr>
            </m:ctrlPr>
          </m:fPr>
          <m:num>
            <m:r>
              <w:rPr>
                <w:rFonts w:ascii="Cambria Math" w:hAnsi="Cambria Math" w:cstheme="minorBidi"/>
              </w:rPr>
              <m:t>Original score - Minimum scale value</m:t>
            </m:r>
          </m:num>
          <m:den>
            <m:r>
              <w:rPr>
                <w:rFonts w:ascii="Cambria Math" w:hAnsi="Cambria Math" w:cstheme="minorBidi"/>
              </w:rPr>
              <m:t>Maximum scale value - Minimum scale value</m:t>
            </m:r>
          </m:den>
        </m:f>
      </m:oMath>
      <w:r w:rsidRPr="004125FF">
        <w:rPr>
          <w:rFonts w:asciiTheme="minorBidi" w:eastAsiaTheme="minorEastAsia" w:hAnsiTheme="minorBidi" w:cstheme="minorBidi"/>
        </w:rPr>
        <w:t xml:space="preserve">           </w:t>
      </w:r>
      <w:r w:rsidR="00E46FB0">
        <w:rPr>
          <w:rFonts w:asciiTheme="minorBidi" w:eastAsiaTheme="minorEastAsia" w:hAnsiTheme="minorBidi" w:cstheme="minorBidi"/>
        </w:rPr>
        <w:t xml:space="preserve"> </w:t>
      </w:r>
      <w:r w:rsidRPr="004125FF">
        <w:rPr>
          <w:rFonts w:asciiTheme="minorBidi" w:eastAsiaTheme="minorEastAsia" w:hAnsiTheme="minorBidi" w:cstheme="minorBidi"/>
        </w:rPr>
        <w:t xml:space="preserve">  (4)</w:t>
      </w:r>
    </w:p>
    <w:p w14:paraId="53DF54D1" w14:textId="77777777" w:rsidR="0033741A" w:rsidRPr="004125FF" w:rsidRDefault="0033741A" w:rsidP="000D4D4C">
      <w:pPr>
        <w:rPr>
          <w:rFonts w:asciiTheme="minorBidi" w:hAnsiTheme="minorBidi" w:cstheme="minorBidi"/>
        </w:rPr>
      </w:pPr>
    </w:p>
    <w:p w14:paraId="5EAD0205"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Step B: Calculating the weighted average of questions:</w:t>
      </w:r>
    </w:p>
    <w:p w14:paraId="2E33595A" w14:textId="5253314D" w:rsidR="000D4D4C" w:rsidRPr="004125FF" w:rsidRDefault="000D4D4C" w:rsidP="000D4D4C">
      <w:pPr>
        <w:jc w:val="both"/>
        <w:rPr>
          <w:rFonts w:asciiTheme="minorBidi" w:hAnsiTheme="minorBidi" w:cstheme="minorBidi"/>
        </w:rPr>
      </w:pPr>
      <w:r w:rsidRPr="004125FF">
        <w:rPr>
          <w:rFonts w:asciiTheme="minorBidi" w:hAnsiTheme="minorBidi" w:cstheme="minorBidi"/>
        </w:rPr>
        <w:t xml:space="preserve">The arithmetic average of the scores for the questions within each axis is calculated. </w:t>
      </w:r>
    </w:p>
    <w:p w14:paraId="5C9743FE" w14:textId="77777777" w:rsidR="0033741A" w:rsidRPr="004125FF" w:rsidRDefault="0033741A" w:rsidP="000D4D4C">
      <w:pPr>
        <w:jc w:val="both"/>
        <w:rPr>
          <w:rFonts w:asciiTheme="minorBidi" w:hAnsiTheme="minorBidi" w:cstheme="minorBidi"/>
        </w:rPr>
      </w:pPr>
    </w:p>
    <w:p w14:paraId="02F79BE1" w14:textId="57C2A66E" w:rsidR="000D4D4C" w:rsidRPr="004125FF" w:rsidRDefault="000D4D4C" w:rsidP="000D4D4C">
      <w:pPr>
        <w:jc w:val="both"/>
        <w:rPr>
          <w:rFonts w:asciiTheme="minorBidi" w:eastAsiaTheme="minorEastAsia" w:hAnsiTheme="minorBidi" w:cstheme="minorBidi"/>
        </w:rPr>
      </w:pPr>
      <w:r w:rsidRPr="004125FF">
        <w:rPr>
          <w:rFonts w:asciiTheme="minorBidi" w:hAnsiTheme="minorBidi" w:cstheme="minorBidi"/>
        </w:rPr>
        <w:t xml:space="preserve">                                                                                      </w:t>
      </w:r>
      <m:oMath>
        <m:acc>
          <m:accPr>
            <m:chr m:val="̅"/>
            <m:ctrlPr>
              <w:rPr>
                <w:rFonts w:ascii="Cambria Math" w:eastAsiaTheme="minorEastAsia" w:hAnsi="Cambria Math" w:cstheme="minorBidi"/>
                <w:i/>
              </w:rPr>
            </m:ctrlPr>
          </m:accPr>
          <m:e>
            <m:r>
              <w:rPr>
                <w:rFonts w:ascii="Cambria Math" w:eastAsiaTheme="minorEastAsia" w:hAnsi="Cambria Math" w:cstheme="minorBidi"/>
              </w:rPr>
              <m:t>S</m:t>
            </m:r>
          </m:e>
        </m:acc>
        <m:r>
          <w:rPr>
            <w:rFonts w:ascii="Cambria Math" w:eastAsiaTheme="minorEastAsia" w:hAnsi="Cambria Math" w:cstheme="minorBidi"/>
          </w:rPr>
          <m:t>=</m:t>
        </m:r>
        <m:f>
          <m:fPr>
            <m:ctrlPr>
              <w:rPr>
                <w:rFonts w:ascii="Cambria Math" w:eastAsiaTheme="minorEastAsia" w:hAnsi="Cambria Math" w:cstheme="minorBidi"/>
                <w:i/>
              </w:rPr>
            </m:ctrlPr>
          </m:fPr>
          <m:num>
            <m:nary>
              <m:naryPr>
                <m:chr m:val="∑"/>
                <m:limLoc m:val="subSup"/>
                <m:ctrlPr>
                  <w:rPr>
                    <w:rFonts w:ascii="Cambria Math" w:eastAsiaTheme="minorEastAsia" w:hAnsi="Cambria Math" w:cstheme="minorBidi"/>
                    <w:i/>
                  </w:rPr>
                </m:ctrlPr>
              </m:naryPr>
              <m:sub>
                <m:r>
                  <w:rPr>
                    <w:rFonts w:ascii="Cambria Math" w:eastAsiaTheme="minorEastAsia" w:hAnsi="Cambria Math" w:cstheme="minorBidi"/>
                  </w:rPr>
                  <m:t>i=1</m:t>
                </m:r>
              </m:sub>
              <m:sup>
                <m:r>
                  <w:rPr>
                    <w:rFonts w:ascii="Cambria Math" w:eastAsiaTheme="minorEastAsia" w:hAnsi="Cambria Math" w:cstheme="minorBidi"/>
                  </w:rPr>
                  <m:t>n</m:t>
                </m:r>
              </m:sup>
              <m:e>
                <m:sSub>
                  <m:sSubPr>
                    <m:ctrlPr>
                      <w:rPr>
                        <w:rFonts w:ascii="Cambria Math" w:eastAsiaTheme="minorEastAsia" w:hAnsi="Cambria Math" w:cstheme="minorBidi"/>
                        <w:i/>
                      </w:rPr>
                    </m:ctrlPr>
                  </m:sSubPr>
                  <m:e>
                    <m:r>
                      <w:rPr>
                        <w:rFonts w:ascii="Cambria Math" w:eastAsiaTheme="minorEastAsia" w:hAnsi="Cambria Math" w:cstheme="minorBidi"/>
                      </w:rPr>
                      <m:t>S</m:t>
                    </m:r>
                  </m:e>
                  <m:sub>
                    <m:r>
                      <w:rPr>
                        <w:rFonts w:ascii="Cambria Math" w:eastAsiaTheme="minorEastAsia" w:hAnsi="Cambria Math" w:cstheme="minorBidi"/>
                      </w:rPr>
                      <m:t>i</m:t>
                    </m:r>
                  </m:sub>
                </m:sSub>
              </m:e>
            </m:nary>
          </m:num>
          <m:den>
            <m:r>
              <w:rPr>
                <w:rFonts w:ascii="Cambria Math" w:eastAsiaTheme="minorEastAsia" w:hAnsi="Cambria Math" w:cstheme="minorBidi"/>
              </w:rPr>
              <m:t>n</m:t>
            </m:r>
          </m:den>
        </m:f>
      </m:oMath>
      <w:r w:rsidRPr="004125FF">
        <w:rPr>
          <w:rFonts w:asciiTheme="minorBidi" w:eastAsiaTheme="minorEastAsia" w:hAnsiTheme="minorBidi" w:cstheme="minorBidi"/>
        </w:rPr>
        <w:t xml:space="preserve">                  </w:t>
      </w:r>
      <w:r w:rsidR="00E46FB0">
        <w:rPr>
          <w:rFonts w:asciiTheme="minorBidi" w:eastAsiaTheme="minorEastAsia" w:hAnsiTheme="minorBidi" w:cstheme="minorBidi"/>
        </w:rPr>
        <w:t xml:space="preserve">                   </w:t>
      </w:r>
      <w:r w:rsidRPr="004125FF">
        <w:rPr>
          <w:rFonts w:asciiTheme="minorBidi" w:eastAsiaTheme="minorEastAsia" w:hAnsiTheme="minorBidi" w:cstheme="minorBidi"/>
        </w:rPr>
        <w:t xml:space="preserve">       (5)</w:t>
      </w:r>
    </w:p>
    <w:p w14:paraId="7023B378" w14:textId="77777777" w:rsidR="000D4D4C" w:rsidRPr="004125FF" w:rsidRDefault="00000000" w:rsidP="000D4D4C">
      <w:pPr>
        <w:jc w:val="both"/>
        <w:rPr>
          <w:rFonts w:asciiTheme="minorBidi" w:eastAsiaTheme="minorEastAsia" w:hAnsiTheme="minorBidi" w:cstheme="minorBidi"/>
        </w:rPr>
      </w:pPr>
      <m:oMath>
        <m:acc>
          <m:accPr>
            <m:chr m:val="̅"/>
            <m:ctrlPr>
              <w:rPr>
                <w:rFonts w:ascii="Cambria Math" w:eastAsiaTheme="minorEastAsia" w:hAnsi="Cambria Math" w:cstheme="minorBidi"/>
                <w:i/>
              </w:rPr>
            </m:ctrlPr>
          </m:accPr>
          <m:e>
            <m:r>
              <w:rPr>
                <w:rFonts w:ascii="Cambria Math" w:eastAsiaTheme="minorEastAsia" w:hAnsi="Cambria Math" w:cstheme="minorBidi"/>
              </w:rPr>
              <m:t>S</m:t>
            </m:r>
          </m:e>
        </m:acc>
      </m:oMath>
      <w:r w:rsidR="000D4D4C" w:rsidRPr="004125FF">
        <w:rPr>
          <w:rFonts w:asciiTheme="minorBidi" w:eastAsiaTheme="minorEastAsia" w:hAnsiTheme="minorBidi" w:cstheme="minorBidi"/>
        </w:rPr>
        <w:t>= average of axis score.</w:t>
      </w:r>
    </w:p>
    <w:p w14:paraId="24A8ED4C" w14:textId="77777777" w:rsidR="000D4D4C" w:rsidRPr="004125FF" w:rsidRDefault="00000000" w:rsidP="000D4D4C">
      <w:pPr>
        <w:jc w:val="both"/>
        <w:rPr>
          <w:rFonts w:asciiTheme="minorBidi" w:eastAsiaTheme="minorEastAsia" w:hAnsiTheme="minorBidi" w:cstheme="minorBidi"/>
        </w:rPr>
      </w:pPr>
      <m:oMath>
        <m:nary>
          <m:naryPr>
            <m:chr m:val="∑"/>
            <m:limLoc m:val="undOvr"/>
            <m:subHide m:val="1"/>
            <m:supHide m:val="1"/>
            <m:ctrlPr>
              <w:rPr>
                <w:rFonts w:ascii="Cambria Math" w:hAnsi="Cambria Math" w:cstheme="minorBidi"/>
                <w:i/>
              </w:rPr>
            </m:ctrlPr>
          </m:naryPr>
          <m:sub/>
          <m:sup/>
          <m:e>
            <m:sSub>
              <m:sSubPr>
                <m:ctrlPr>
                  <w:rPr>
                    <w:rFonts w:ascii="Cambria Math" w:hAnsi="Cambria Math" w:cstheme="minorBidi"/>
                    <w:i/>
                  </w:rPr>
                </m:ctrlPr>
              </m:sSubPr>
              <m:e>
                <m:r>
                  <w:rPr>
                    <w:rFonts w:ascii="Cambria Math" w:hAnsi="Cambria Math" w:cstheme="minorBidi"/>
                  </w:rPr>
                  <m:t>S</m:t>
                </m:r>
              </m:e>
              <m:sub>
                <m:r>
                  <w:rPr>
                    <w:rFonts w:ascii="Cambria Math" w:hAnsi="Cambria Math" w:cstheme="minorBidi"/>
                  </w:rPr>
                  <m:t>i=</m:t>
                </m:r>
              </m:sub>
            </m:sSub>
          </m:e>
        </m:nary>
      </m:oMath>
      <w:r w:rsidR="000D4D4C" w:rsidRPr="004125FF">
        <w:rPr>
          <w:rFonts w:asciiTheme="minorBidi" w:eastAsiaTheme="minorEastAsia" w:hAnsiTheme="minorBidi" w:cstheme="minorBidi"/>
        </w:rPr>
        <w:t xml:space="preserve"> Total question scores.</w:t>
      </w:r>
    </w:p>
    <w:p w14:paraId="7FA439F9"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i/>
          <w:iCs/>
        </w:rPr>
        <w:t>n</w:t>
      </w:r>
      <w:r w:rsidRPr="004125FF">
        <w:rPr>
          <w:rFonts w:asciiTheme="minorBidi" w:hAnsiTheme="minorBidi" w:cstheme="minorBidi"/>
        </w:rPr>
        <w:t xml:space="preserve"> = number of questions in the axis.</w:t>
      </w:r>
    </w:p>
    <w:p w14:paraId="5A50FC97"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After calculating the average for each axis, the relative weights were applied to calculate the final dimension score using the weighted average formula.</w:t>
      </w:r>
    </w:p>
    <w:p w14:paraId="6FF725DD" w14:textId="281CA829" w:rsidR="000D4D4C" w:rsidRPr="004125FF" w:rsidRDefault="000D4D4C" w:rsidP="000D4D4C">
      <w:pPr>
        <w:rPr>
          <w:rFonts w:asciiTheme="minorBidi" w:hAnsiTheme="minorBidi" w:cstheme="minorBidi"/>
        </w:rPr>
      </w:pPr>
      <w:r w:rsidRPr="004125FF">
        <w:rPr>
          <w:rFonts w:asciiTheme="minorBidi" w:hAnsiTheme="minorBidi" w:cstheme="minorBidi"/>
        </w:rPr>
        <w:t xml:space="preserve">                                  </w:t>
      </w:r>
      <m:oMath>
        <m:sSub>
          <m:sSubPr>
            <m:ctrlPr>
              <w:rPr>
                <w:rFonts w:ascii="Cambria Math" w:hAnsi="Cambria Math" w:cstheme="minorBidi"/>
              </w:rPr>
            </m:ctrlPr>
          </m:sSubPr>
          <m:e>
            <m:r>
              <m:rPr>
                <m:sty m:val="p"/>
              </m:rPr>
              <w:rPr>
                <w:rFonts w:ascii="Cambria Math" w:hAnsi="Cambria Math" w:cstheme="minorBidi"/>
              </w:rPr>
              <m:t>D</m:t>
            </m:r>
          </m:e>
          <m:sub>
            <m:r>
              <m:rPr>
                <m:sty m:val="p"/>
              </m:rPr>
              <w:rPr>
                <w:rFonts w:ascii="Cambria Math" w:hAnsi="Cambria Math" w:cstheme="minorBidi"/>
              </w:rPr>
              <m:t>Dimension</m:t>
            </m:r>
          </m:sub>
        </m:sSub>
        <m:r>
          <m:rPr>
            <m:sty m:val="p"/>
          </m:rPr>
          <w:rPr>
            <w:rFonts w:ascii="Cambria Math" w:hAnsi="Cambria Math" w:cstheme="minorBidi"/>
          </w:rPr>
          <m:t>=</m:t>
        </m:r>
        <m:nary>
          <m:naryPr>
            <m:chr m:val="∑"/>
            <m:limLoc m:val="undOvr"/>
            <m:subHide m:val="1"/>
            <m:supHide m:val="1"/>
            <m:ctrlPr>
              <w:rPr>
                <w:rFonts w:ascii="Cambria Math" w:hAnsi="Cambria Math" w:cstheme="minorBidi"/>
              </w:rPr>
            </m:ctrlPr>
          </m:naryPr>
          <m:sub/>
          <m:sup/>
          <m:e>
            <m:r>
              <w:rPr>
                <w:rFonts w:ascii="Cambria Math" w:hAnsi="Cambria Math" w:cstheme="minorBidi"/>
              </w:rPr>
              <m:t>(</m:t>
            </m:r>
            <m:acc>
              <m:accPr>
                <m:chr m:val="̅"/>
                <m:ctrlPr>
                  <w:rPr>
                    <w:rFonts w:ascii="Cambria Math" w:hAnsi="Cambria Math" w:cstheme="minorBidi"/>
                    <w:i/>
                  </w:rPr>
                </m:ctrlPr>
              </m:accPr>
              <m:e>
                <m:r>
                  <w:rPr>
                    <w:rFonts w:ascii="Cambria Math" w:hAnsi="Cambria Math" w:cstheme="minorBidi"/>
                  </w:rPr>
                  <m:t>S</m:t>
                </m:r>
              </m:e>
            </m:acc>
            <m:r>
              <w:rPr>
                <w:rFonts w:ascii="Cambria Math" w:hAnsi="Cambria Math" w:cstheme="minorBidi"/>
              </w:rPr>
              <m:t>×w)</m:t>
            </m:r>
          </m:e>
        </m:nary>
      </m:oMath>
      <w:r w:rsidRPr="004125FF">
        <w:rPr>
          <w:rFonts w:asciiTheme="minorBidi" w:eastAsiaTheme="minorEastAsia" w:hAnsiTheme="minorBidi" w:cstheme="minorBidi"/>
        </w:rPr>
        <w:t xml:space="preserve">        </w:t>
      </w:r>
      <w:r w:rsidR="00E46FB0">
        <w:rPr>
          <w:rFonts w:asciiTheme="minorBidi" w:eastAsiaTheme="minorEastAsia" w:hAnsiTheme="minorBidi" w:cstheme="minorBidi"/>
        </w:rPr>
        <w:t xml:space="preserve">                               </w:t>
      </w:r>
      <w:r w:rsidRPr="004125FF">
        <w:rPr>
          <w:rFonts w:asciiTheme="minorBidi" w:eastAsiaTheme="minorEastAsia" w:hAnsiTheme="minorBidi" w:cstheme="minorBidi"/>
        </w:rPr>
        <w:t>(6)</w:t>
      </w:r>
    </w:p>
    <w:p w14:paraId="77747689" w14:textId="35739AAF" w:rsidR="000D4D4C" w:rsidRPr="004125FF" w:rsidRDefault="000D4D4C" w:rsidP="000D4D4C">
      <w:pPr>
        <w:jc w:val="both"/>
        <w:rPr>
          <w:rFonts w:asciiTheme="minorBidi" w:hAnsiTheme="minorBidi" w:cstheme="minorBidi"/>
        </w:rPr>
      </w:pPr>
      <w:r w:rsidRPr="004125FF">
        <w:rPr>
          <w:rFonts w:asciiTheme="minorBidi" w:hAnsiTheme="minorBidi" w:cstheme="minorBidi"/>
        </w:rPr>
        <w:t xml:space="preserve">Where:   </w:t>
      </w:r>
    </w:p>
    <w:p w14:paraId="49F44B4C" w14:textId="77777777" w:rsidR="000D4D4C" w:rsidRPr="004125FF" w:rsidRDefault="000D4D4C" w:rsidP="000D4D4C">
      <w:pPr>
        <w:tabs>
          <w:tab w:val="left" w:pos="944"/>
        </w:tabs>
        <w:jc w:val="both"/>
        <w:rPr>
          <w:rFonts w:asciiTheme="minorBidi" w:hAnsiTheme="minorBidi" w:cstheme="minorBidi"/>
        </w:rPr>
      </w:pPr>
      <m:oMath>
        <m:r>
          <m:rPr>
            <m:sty m:val="p"/>
          </m:rPr>
          <w:rPr>
            <w:rFonts w:ascii="Cambria Math" w:hAnsi="Cambria Math" w:cstheme="minorBidi"/>
          </w:rPr>
          <m:t xml:space="preserve"> </m:t>
        </m:r>
        <m:sSub>
          <m:sSubPr>
            <m:ctrlPr>
              <w:rPr>
                <w:rFonts w:ascii="Cambria Math" w:hAnsi="Cambria Math" w:cstheme="minorBidi"/>
              </w:rPr>
            </m:ctrlPr>
          </m:sSubPr>
          <m:e>
            <m:r>
              <m:rPr>
                <m:sty m:val="p"/>
              </m:rPr>
              <w:rPr>
                <w:rFonts w:ascii="Cambria Math" w:hAnsi="Cambria Math" w:cstheme="minorBidi"/>
              </w:rPr>
              <m:t>D</m:t>
            </m:r>
          </m:e>
          <m:sub>
            <m:r>
              <m:rPr>
                <m:sty m:val="p"/>
              </m:rPr>
              <w:rPr>
                <w:rFonts w:ascii="Cambria Math" w:hAnsi="Cambria Math" w:cstheme="minorBidi"/>
              </w:rPr>
              <m:t>Dimension</m:t>
            </m:r>
          </m:sub>
        </m:sSub>
      </m:oMath>
      <w:r w:rsidRPr="004125FF">
        <w:rPr>
          <w:rFonts w:asciiTheme="minorBidi" w:hAnsiTheme="minorBidi" w:cstheme="minorBidi"/>
        </w:rPr>
        <w:t>: The overall score of the dimension.</w:t>
      </w:r>
    </w:p>
    <w:p w14:paraId="3BF9813F" w14:textId="77777777" w:rsidR="000D4D4C" w:rsidRPr="004125FF" w:rsidRDefault="00000000" w:rsidP="000D4D4C">
      <w:pPr>
        <w:jc w:val="both"/>
        <w:rPr>
          <w:rFonts w:asciiTheme="minorBidi" w:hAnsiTheme="minorBidi" w:cstheme="minorBidi"/>
        </w:rPr>
      </w:pPr>
      <m:oMath>
        <m:acc>
          <m:accPr>
            <m:chr m:val="̅"/>
            <m:ctrlPr>
              <w:rPr>
                <w:rFonts w:ascii="Cambria Math" w:hAnsi="Cambria Math" w:cstheme="minorBidi"/>
                <w:i/>
              </w:rPr>
            </m:ctrlPr>
          </m:accPr>
          <m:e>
            <m:r>
              <w:rPr>
                <w:rFonts w:ascii="Cambria Math" w:hAnsi="Cambria Math" w:cstheme="minorBidi"/>
              </w:rPr>
              <m:t>S:</m:t>
            </m:r>
          </m:e>
        </m:acc>
      </m:oMath>
      <w:r w:rsidR="000D4D4C" w:rsidRPr="004125FF">
        <w:rPr>
          <w:rFonts w:asciiTheme="minorBidi" w:hAnsiTheme="minorBidi" w:cstheme="minorBidi"/>
        </w:rPr>
        <w:t xml:space="preserve"> The average score of the axis after normalization.</w:t>
      </w:r>
    </w:p>
    <w:p w14:paraId="6DE0112B" w14:textId="77777777" w:rsidR="000D4D4C" w:rsidRPr="004125FF" w:rsidRDefault="000D4D4C" w:rsidP="000D4D4C">
      <w:pPr>
        <w:jc w:val="both"/>
        <w:rPr>
          <w:rFonts w:asciiTheme="minorBidi" w:hAnsiTheme="minorBidi" w:cstheme="minorBidi"/>
        </w:rPr>
      </w:pPr>
      <m:oMath>
        <m:r>
          <w:rPr>
            <w:rFonts w:ascii="Cambria Math" w:hAnsi="Cambria Math" w:cstheme="minorBidi"/>
          </w:rPr>
          <m:t>w:</m:t>
        </m:r>
      </m:oMath>
      <w:r w:rsidRPr="004125FF">
        <w:rPr>
          <w:rFonts w:asciiTheme="minorBidi" w:hAnsiTheme="minorBidi" w:cstheme="minorBidi"/>
        </w:rPr>
        <w:t xml:space="preserve"> The relative weight of the axis. </w:t>
      </w:r>
    </w:p>
    <w:p w14:paraId="47FFA32B"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Step C: Converting the Final Score to a Maturity Scale:</w:t>
      </w:r>
    </w:p>
    <w:p w14:paraId="35238EE6"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t>To convert the calculated score to a numerical maturity scale from 1 to 5, the following conversion equation (7) was applied:</w:t>
      </w:r>
    </w:p>
    <w:p w14:paraId="302DE512" w14:textId="0DDBBA3A" w:rsidR="000D4D4C" w:rsidRPr="004125FF" w:rsidRDefault="000D4D4C" w:rsidP="000D4D4C">
      <w:pPr>
        <w:jc w:val="both"/>
        <w:rPr>
          <w:rFonts w:asciiTheme="minorBidi" w:hAnsiTheme="minorBidi" w:cstheme="minorBidi"/>
        </w:rPr>
      </w:pPr>
      <w:r w:rsidRPr="004125FF">
        <w:rPr>
          <w:rFonts w:asciiTheme="minorBidi" w:hAnsiTheme="minorBidi" w:cstheme="minorBidi"/>
        </w:rPr>
        <w:t>Final Score (1-5) = Calculated Score (0-1) × (Scale Maximum - Scale Minimum) + Scale Minimum</w:t>
      </w:r>
    </w:p>
    <w:p w14:paraId="418407A1" w14:textId="77777777" w:rsidR="0033741A" w:rsidRPr="004125FF" w:rsidRDefault="0033741A" w:rsidP="000D4D4C">
      <w:pPr>
        <w:jc w:val="both"/>
        <w:rPr>
          <w:rFonts w:asciiTheme="minorBidi" w:hAnsiTheme="minorBidi" w:cstheme="minorBidi"/>
        </w:rPr>
      </w:pPr>
    </w:p>
    <w:p w14:paraId="6BB9C35F" w14:textId="3ECA1E3E" w:rsidR="000D4D4C" w:rsidRPr="004125FF" w:rsidRDefault="00E46FB0" w:rsidP="000D4D4C">
      <w:pPr>
        <w:rPr>
          <w:rFonts w:asciiTheme="minorBidi" w:eastAsiaTheme="minorEastAsia" w:hAnsiTheme="minorBidi" w:cstheme="minorBidi"/>
        </w:rPr>
      </w:pPr>
      <w:r>
        <w:rPr>
          <w:rFonts w:asciiTheme="minorBidi" w:hAnsiTheme="minorBidi" w:cstheme="minorBidi"/>
        </w:rPr>
        <w:t xml:space="preserve">          </w:t>
      </w:r>
      <m:oMath>
        <m:r>
          <m:rPr>
            <m:sty m:val="p"/>
          </m:rPr>
          <w:rPr>
            <w:rFonts w:ascii="Cambria Math" w:hAnsi="Cambria Math" w:cstheme="minorBidi"/>
          </w:rPr>
          <m:t>Final Score = Calculated Score × (5-1) + 1</m:t>
        </m:r>
      </m:oMath>
      <w:r w:rsidR="000D4D4C" w:rsidRPr="004125FF">
        <w:rPr>
          <w:rFonts w:asciiTheme="minorBidi" w:eastAsiaTheme="minorEastAsia" w:hAnsiTheme="minorBidi" w:cstheme="minorBidi"/>
        </w:rPr>
        <w:t xml:space="preserve">           </w:t>
      </w:r>
      <w:r>
        <w:rPr>
          <w:rFonts w:asciiTheme="minorBidi" w:eastAsiaTheme="minorEastAsia" w:hAnsiTheme="minorBidi" w:cstheme="minorBidi"/>
        </w:rPr>
        <w:t xml:space="preserve">             </w:t>
      </w:r>
      <w:r w:rsidR="000D4D4C" w:rsidRPr="004125FF">
        <w:rPr>
          <w:rFonts w:asciiTheme="minorBidi" w:eastAsiaTheme="minorEastAsia" w:hAnsiTheme="minorBidi" w:cstheme="minorBidi"/>
        </w:rPr>
        <w:t xml:space="preserve">   (7)</w:t>
      </w:r>
    </w:p>
    <w:p w14:paraId="5551C6B2" w14:textId="77777777" w:rsidR="0033741A" w:rsidRPr="004125FF" w:rsidRDefault="0033741A" w:rsidP="000D4D4C">
      <w:pPr>
        <w:rPr>
          <w:rFonts w:asciiTheme="minorBidi" w:hAnsiTheme="minorBidi" w:cstheme="minorBidi"/>
        </w:rPr>
      </w:pPr>
    </w:p>
    <w:p w14:paraId="5088F990" w14:textId="77777777" w:rsidR="000D4D4C" w:rsidRPr="004125FF" w:rsidRDefault="000D4D4C" w:rsidP="00F044C5">
      <w:pPr>
        <w:pStyle w:val="ListParagraph"/>
        <w:numPr>
          <w:ilvl w:val="0"/>
          <w:numId w:val="14"/>
        </w:numPr>
        <w:spacing w:after="160" w:line="259" w:lineRule="auto"/>
        <w:jc w:val="both"/>
        <w:rPr>
          <w:rFonts w:asciiTheme="minorBidi" w:hAnsiTheme="minorBidi"/>
          <w:sz w:val="20"/>
          <w:szCs w:val="20"/>
        </w:rPr>
      </w:pPr>
      <w:r w:rsidRPr="004125FF">
        <w:rPr>
          <w:rFonts w:asciiTheme="minorBidi" w:hAnsiTheme="minorBidi"/>
          <w:sz w:val="20"/>
          <w:szCs w:val="20"/>
        </w:rPr>
        <w:t>A Weighted Aggregation Model for Assessing Digital Maturity</w:t>
      </w:r>
      <w:r w:rsidRPr="004125FF">
        <w:rPr>
          <w:rFonts w:asciiTheme="minorBidi" w:hAnsiTheme="minorBidi"/>
          <w:sz w:val="20"/>
          <w:szCs w:val="20"/>
          <w:rtl/>
        </w:rPr>
        <w:t>:</w:t>
      </w:r>
    </w:p>
    <w:p w14:paraId="31DAF270" w14:textId="77777777" w:rsidR="000D4D4C" w:rsidRPr="004125FF" w:rsidRDefault="000D4D4C" w:rsidP="000D4D4C">
      <w:pPr>
        <w:jc w:val="both"/>
        <w:rPr>
          <w:rFonts w:asciiTheme="minorBidi" w:hAnsiTheme="minorBidi" w:cstheme="minorBidi"/>
        </w:rPr>
      </w:pPr>
      <w:r w:rsidRPr="004125FF">
        <w:rPr>
          <w:rFonts w:asciiTheme="minorBidi" w:hAnsiTheme="minorBidi" w:cstheme="minorBidi"/>
        </w:rPr>
        <w:lastRenderedPageBreak/>
        <w:t>The final scores for each maturity dimension are aggregated into a single score representing the organization's overall standing through a weighted average formula. This strategy ensures that the contribution of each dimension to the final score is proportional to its established relative significance.</w:t>
      </w:r>
    </w:p>
    <w:p w14:paraId="37938675" w14:textId="302C4D70" w:rsidR="000D4D4C" w:rsidRPr="004125FF" w:rsidRDefault="000D4D4C" w:rsidP="000D4D4C">
      <w:pPr>
        <w:shd w:val="clear" w:color="auto" w:fill="FFFFFF"/>
        <w:rPr>
          <w:rFonts w:asciiTheme="minorBidi" w:hAnsiTheme="minorBidi" w:cstheme="minorBidi"/>
        </w:rPr>
      </w:pPr>
      <w:r w:rsidRPr="004125FF">
        <w:rPr>
          <w:rFonts w:asciiTheme="minorBidi" w:hAnsiTheme="minorBidi" w:cstheme="minorBidi"/>
        </w:rPr>
        <w:t>The final aggregation was modelled using a weighted maturity equation (8) defined as:</w:t>
      </w:r>
    </w:p>
    <w:p w14:paraId="2EA3868C" w14:textId="77777777" w:rsidR="0033741A" w:rsidRPr="004125FF" w:rsidRDefault="0033741A" w:rsidP="000D4D4C">
      <w:pPr>
        <w:shd w:val="clear" w:color="auto" w:fill="FFFFFF"/>
        <w:rPr>
          <w:rFonts w:asciiTheme="minorBidi" w:hAnsiTheme="minorBidi" w:cstheme="minorBidi"/>
        </w:rPr>
      </w:pPr>
    </w:p>
    <w:p w14:paraId="319A1331" w14:textId="7D4B3E79" w:rsidR="000D4D4C" w:rsidRPr="004125FF" w:rsidRDefault="00E46FB0" w:rsidP="000D4D4C">
      <w:pPr>
        <w:shd w:val="clear" w:color="auto" w:fill="FFFFFF"/>
        <w:rPr>
          <w:rFonts w:asciiTheme="minorBidi" w:eastAsia="Times New Roman" w:hAnsiTheme="minorBidi" w:cstheme="minorBidi"/>
          <w:lang w:eastAsia="en-GB"/>
        </w:rPr>
      </w:pPr>
      <w:r>
        <w:rPr>
          <w:rFonts w:asciiTheme="minorBidi" w:hAnsiTheme="minorBidi" w:cstheme="minorBidi"/>
          <w:lang w:eastAsia="en-GB"/>
        </w:rPr>
        <w:t xml:space="preserve">       </w:t>
      </w:r>
      <w:r w:rsidR="000D4D4C" w:rsidRPr="004125FF">
        <w:rPr>
          <w:rFonts w:asciiTheme="minorBidi" w:hAnsiTheme="minorBidi" w:cstheme="minorBidi"/>
          <w:lang w:eastAsia="en-GB"/>
        </w:rPr>
        <w:t xml:space="preserve">                  </w:t>
      </w:r>
      <m:oMath>
        <m:r>
          <w:rPr>
            <w:rFonts w:ascii="Cambria Math" w:eastAsia="Times New Roman" w:hAnsi="Cambria Math" w:cstheme="minorBidi"/>
            <w:lang w:eastAsia="en-GB"/>
          </w:rPr>
          <m:t>DMI=</m:t>
        </m:r>
        <m:nary>
          <m:naryPr>
            <m:chr m:val="∑"/>
            <m:limLoc m:val="undOvr"/>
            <m:ctrlPr>
              <w:rPr>
                <w:rFonts w:ascii="Cambria Math" w:eastAsia="Times New Roman" w:hAnsi="Cambria Math" w:cstheme="minorBidi"/>
                <w:i/>
                <w:lang w:eastAsia="en-GB"/>
              </w:rPr>
            </m:ctrlPr>
          </m:naryPr>
          <m:sub>
            <m:r>
              <w:rPr>
                <w:rFonts w:ascii="Cambria Math" w:eastAsia="Times New Roman" w:hAnsi="Cambria Math" w:cstheme="minorBidi"/>
                <w:lang w:eastAsia="en-GB"/>
              </w:rPr>
              <m:t>i=1</m:t>
            </m:r>
          </m:sub>
          <m:sup>
            <m:r>
              <w:rPr>
                <w:rFonts w:ascii="Cambria Math" w:eastAsia="Times New Roman" w:hAnsi="Cambria Math" w:cstheme="minorBidi"/>
                <w:lang w:eastAsia="en-GB"/>
              </w:rPr>
              <m:t>j=1</m:t>
            </m:r>
          </m:sup>
          <m:e>
            <m:sSub>
              <m:sSubPr>
                <m:ctrlPr>
                  <w:rPr>
                    <w:rFonts w:ascii="Cambria Math" w:eastAsia="Times New Roman" w:hAnsi="Cambria Math" w:cstheme="minorBidi"/>
                    <w:i/>
                    <w:lang w:eastAsia="en-GB"/>
                  </w:rPr>
                </m:ctrlPr>
              </m:sSubPr>
              <m:e>
                <m:r>
                  <w:rPr>
                    <w:rFonts w:ascii="Cambria Math" w:eastAsia="Times New Roman" w:hAnsi="Cambria Math" w:cstheme="minorBidi"/>
                    <w:lang w:eastAsia="en-GB"/>
                  </w:rPr>
                  <m:t>S</m:t>
                </m:r>
              </m:e>
              <m:sub>
                <m:r>
                  <w:rPr>
                    <w:rFonts w:ascii="Cambria Math" w:eastAsia="Times New Roman" w:hAnsi="Cambria Math" w:cstheme="minorBidi"/>
                    <w:lang w:eastAsia="en-GB"/>
                  </w:rPr>
                  <m:t>i</m:t>
                </m:r>
              </m:sub>
            </m:sSub>
            <m:sSub>
              <m:sSubPr>
                <m:ctrlPr>
                  <w:rPr>
                    <w:rFonts w:ascii="Cambria Math" w:eastAsia="Times New Roman" w:hAnsi="Cambria Math" w:cstheme="minorBidi"/>
                    <w:i/>
                    <w:lang w:eastAsia="en-GB"/>
                  </w:rPr>
                </m:ctrlPr>
              </m:sSubPr>
              <m:e>
                <m:r>
                  <w:rPr>
                    <w:rFonts w:ascii="Cambria Math" w:eastAsia="Times New Roman" w:hAnsi="Cambria Math" w:cstheme="minorBidi"/>
                    <w:lang w:eastAsia="en-GB"/>
                  </w:rPr>
                  <m:t>W</m:t>
                </m:r>
              </m:e>
              <m:sub>
                <m:r>
                  <w:rPr>
                    <w:rFonts w:ascii="Cambria Math" w:eastAsia="Times New Roman" w:hAnsi="Cambria Math" w:cstheme="minorBidi"/>
                    <w:lang w:eastAsia="en-GB"/>
                  </w:rPr>
                  <m:t>j</m:t>
                </m:r>
              </m:sub>
            </m:sSub>
          </m:e>
        </m:nary>
      </m:oMath>
      <w:r w:rsidR="000D4D4C" w:rsidRPr="004125FF">
        <w:rPr>
          <w:rFonts w:asciiTheme="minorBidi" w:eastAsia="Times New Roman" w:hAnsiTheme="minorBidi" w:cstheme="minorBidi"/>
          <w:lang w:eastAsia="en-GB"/>
        </w:rPr>
        <w:t xml:space="preserve">                                      </w:t>
      </w:r>
      <w:r>
        <w:rPr>
          <w:rFonts w:asciiTheme="minorBidi" w:eastAsia="Times New Roman" w:hAnsiTheme="minorBidi" w:cstheme="minorBidi"/>
          <w:lang w:eastAsia="en-GB"/>
        </w:rPr>
        <w:t xml:space="preserve">    </w:t>
      </w:r>
      <w:r w:rsidR="000D4D4C" w:rsidRPr="004125FF">
        <w:rPr>
          <w:rFonts w:asciiTheme="minorBidi" w:eastAsia="Times New Roman" w:hAnsiTheme="minorBidi" w:cstheme="minorBidi"/>
          <w:lang w:eastAsia="en-GB"/>
        </w:rPr>
        <w:t xml:space="preserve">     (8)</w:t>
      </w:r>
    </w:p>
    <w:p w14:paraId="7EDF0CB9" w14:textId="2A3F198F" w:rsidR="000D4D4C" w:rsidRPr="004125FF" w:rsidRDefault="000D4D4C" w:rsidP="000D4D4C">
      <w:pPr>
        <w:jc w:val="both"/>
        <w:rPr>
          <w:rFonts w:asciiTheme="minorBidi" w:hAnsiTheme="minorBidi" w:cstheme="minorBidi"/>
        </w:rPr>
      </w:pPr>
      <w:r w:rsidRPr="004125FF">
        <w:rPr>
          <w:rFonts w:asciiTheme="minorBidi" w:hAnsiTheme="minorBidi" w:cstheme="minorBidi"/>
        </w:rPr>
        <w:t xml:space="preserve">Where:    </w:t>
      </w:r>
    </w:p>
    <w:p w14:paraId="4DF811D0" w14:textId="77777777" w:rsidR="000D4D4C" w:rsidRPr="004125FF" w:rsidRDefault="000D4D4C" w:rsidP="000D4D4C">
      <w:pPr>
        <w:jc w:val="both"/>
        <w:rPr>
          <w:rFonts w:asciiTheme="minorBidi" w:hAnsiTheme="minorBidi" w:cstheme="minorBidi"/>
          <w:rtl/>
        </w:rPr>
      </w:pPr>
      <m:oMath>
        <m:r>
          <w:rPr>
            <w:rFonts w:ascii="Cambria Math" w:hAnsi="Cambria Math" w:cstheme="minorBidi"/>
          </w:rPr>
          <m:t>DMI</m:t>
        </m:r>
      </m:oMath>
      <w:r w:rsidRPr="004125FF">
        <w:rPr>
          <w:rFonts w:asciiTheme="minorBidi" w:eastAsiaTheme="minorEastAsia" w:hAnsiTheme="minorBidi" w:cstheme="minorBidi"/>
        </w:rPr>
        <w:t xml:space="preserve"> : </w:t>
      </w:r>
      <w:r w:rsidRPr="004125FF">
        <w:rPr>
          <w:rFonts w:asciiTheme="minorBidi" w:hAnsiTheme="minorBidi" w:cstheme="minorBidi"/>
        </w:rPr>
        <w:t>Total composite score for the digital maturity model</w:t>
      </w:r>
    </w:p>
    <w:p w14:paraId="40D03519" w14:textId="77777777" w:rsidR="000D4D4C" w:rsidRPr="004125FF" w:rsidRDefault="00000000" w:rsidP="000D4D4C">
      <w:pPr>
        <w:jc w:val="both"/>
        <w:rPr>
          <w:rFonts w:asciiTheme="minorBidi" w:hAnsiTheme="minorBidi" w:cstheme="minorBidi"/>
        </w:rPr>
      </w:pPr>
      <m:oMath>
        <m:sSub>
          <m:sSubPr>
            <m:ctrlPr>
              <w:rPr>
                <w:rFonts w:ascii="Cambria Math" w:hAnsi="Cambria Math" w:cstheme="minorBidi"/>
                <w:i/>
              </w:rPr>
            </m:ctrlPr>
          </m:sSubPr>
          <m:e>
            <m:r>
              <w:rPr>
                <w:rFonts w:ascii="Cambria Math" w:hAnsi="Cambria Math" w:cstheme="minorBidi"/>
              </w:rPr>
              <m:t>S</m:t>
            </m:r>
          </m:e>
          <m:sub>
            <m:r>
              <w:rPr>
                <w:rFonts w:ascii="Cambria Math" w:hAnsi="Cambria Math" w:cstheme="minorBidi"/>
              </w:rPr>
              <m:t>i</m:t>
            </m:r>
          </m:sub>
        </m:sSub>
      </m:oMath>
      <w:r w:rsidR="000D4D4C" w:rsidRPr="004125FF">
        <w:rPr>
          <w:rFonts w:asciiTheme="minorBidi" w:eastAsiaTheme="minorEastAsia" w:hAnsiTheme="minorBidi" w:cstheme="minorBidi"/>
        </w:rPr>
        <w:t xml:space="preserve"> : </w:t>
      </w:r>
      <w:r w:rsidR="000D4D4C" w:rsidRPr="004125FF">
        <w:rPr>
          <w:rFonts w:asciiTheme="minorBidi" w:hAnsiTheme="minorBidi" w:cstheme="minorBidi"/>
        </w:rPr>
        <w:t xml:space="preserve">The final score for the Dimensions Response value for item </w:t>
      </w:r>
      <w:proofErr w:type="spellStart"/>
      <w:r w:rsidR="000D4D4C" w:rsidRPr="004125FF">
        <w:rPr>
          <w:rFonts w:asciiTheme="minorBidi" w:hAnsiTheme="minorBidi" w:cstheme="minorBidi"/>
        </w:rPr>
        <w:t>i</w:t>
      </w:r>
      <w:proofErr w:type="spellEnd"/>
      <w:r w:rsidR="000D4D4C" w:rsidRPr="004125FF">
        <w:rPr>
          <w:rFonts w:asciiTheme="minorBidi" w:hAnsiTheme="minorBidi" w:cstheme="minorBidi"/>
        </w:rPr>
        <w:t>.</w:t>
      </w:r>
    </w:p>
    <w:p w14:paraId="69F5507C" w14:textId="67018D9F" w:rsidR="00C50EA8" w:rsidRDefault="00000000" w:rsidP="0033741A">
      <w:pPr>
        <w:jc w:val="left"/>
        <w:rPr>
          <w:rFonts w:asciiTheme="minorBidi" w:hAnsiTheme="minorBidi" w:cstheme="minorBidi"/>
        </w:rPr>
      </w:pPr>
      <m:oMath>
        <m:sSub>
          <m:sSubPr>
            <m:ctrlPr>
              <w:rPr>
                <w:rFonts w:ascii="Cambria Math" w:hAnsi="Cambria Math" w:cstheme="minorBidi"/>
                <w:i/>
              </w:rPr>
            </m:ctrlPr>
          </m:sSubPr>
          <m:e>
            <m:r>
              <w:rPr>
                <w:rFonts w:ascii="Cambria Math" w:hAnsi="Cambria Math" w:cstheme="minorBidi"/>
              </w:rPr>
              <m:t>W</m:t>
            </m:r>
          </m:e>
          <m:sub>
            <m:r>
              <w:rPr>
                <w:rFonts w:ascii="Cambria Math" w:hAnsi="Cambria Math" w:cstheme="minorBidi"/>
              </w:rPr>
              <m:t>j</m:t>
            </m:r>
          </m:sub>
        </m:sSub>
      </m:oMath>
      <w:r w:rsidR="000D4D4C" w:rsidRPr="004125FF">
        <w:rPr>
          <w:rFonts w:asciiTheme="minorBidi" w:hAnsiTheme="minorBidi" w:cstheme="minorBidi"/>
        </w:rPr>
        <w:t xml:space="preserve"> : Relative weight of item j within its dimension.</w:t>
      </w:r>
    </w:p>
    <w:p w14:paraId="41A2FE81" w14:textId="77777777" w:rsidR="00317F82" w:rsidRPr="00A44AE2" w:rsidRDefault="00317F82" w:rsidP="0033741A">
      <w:pPr>
        <w:jc w:val="left"/>
        <w:rPr>
          <w:rFonts w:asciiTheme="minorBidi" w:hAnsiTheme="minorBidi" w:cstheme="minorBidi"/>
        </w:rPr>
      </w:pPr>
    </w:p>
    <w:p w14:paraId="0E420ED0" w14:textId="137683DE" w:rsidR="000D4D4C" w:rsidRPr="00A44AE2" w:rsidRDefault="00A44AE2" w:rsidP="00A44AE2">
      <w:pPr>
        <w:spacing w:after="160" w:line="256" w:lineRule="auto"/>
        <w:jc w:val="left"/>
        <w:rPr>
          <w:rFonts w:asciiTheme="minorBidi" w:hAnsiTheme="minorBidi"/>
          <w:b/>
          <w:bCs/>
        </w:rPr>
      </w:pPr>
      <w:r w:rsidRPr="00A44AE2">
        <w:rPr>
          <w:rFonts w:asciiTheme="minorBidi" w:hAnsiTheme="minorBidi"/>
          <w:b/>
          <w:bCs/>
        </w:rPr>
        <w:t xml:space="preserve">3.5 </w:t>
      </w:r>
      <w:r w:rsidR="000D4D4C" w:rsidRPr="00A44AE2">
        <w:rPr>
          <w:rFonts w:asciiTheme="minorBidi" w:hAnsiTheme="minorBidi"/>
          <w:b/>
          <w:bCs/>
        </w:rPr>
        <w:t>Digital Maturity Scale</w:t>
      </w:r>
    </w:p>
    <w:p w14:paraId="1F8071C2" w14:textId="3BCFBBC8" w:rsidR="008555F2" w:rsidRDefault="000D4D4C" w:rsidP="008555F2">
      <w:pPr>
        <w:jc w:val="both"/>
        <w:rPr>
          <w:rFonts w:asciiTheme="minorBidi" w:hAnsiTheme="minorBidi" w:cstheme="minorBidi"/>
        </w:rPr>
      </w:pPr>
      <w:r w:rsidRPr="004125FF">
        <w:rPr>
          <w:rFonts w:asciiTheme="minorBidi" w:hAnsiTheme="minorBidi" w:cstheme="minorBidi"/>
        </w:rPr>
        <w:t>Digital maturity models generally begin at a fundamental level, characterized by a low digital presence, and progress to the highest level, when digital technology is comprehensively integrated into all facets of the organization. The assessment tool is designed to measure digital maturity levels on a five-point scale, with each level representing a specific state of maturity, ranging from Level 1 (Initial /Ad Hoc) to Level 5 (</w:t>
      </w:r>
      <w:r w:rsidR="00AA4751" w:rsidRPr="004125FF">
        <w:rPr>
          <w:rFonts w:asciiTheme="minorBidi" w:hAnsiTheme="minorBidi" w:cstheme="minorBidi"/>
        </w:rPr>
        <w:t>Optimized</w:t>
      </w:r>
      <w:r w:rsidRPr="004125FF">
        <w:rPr>
          <w:rFonts w:asciiTheme="minorBidi" w:hAnsiTheme="minorBidi" w:cstheme="minorBidi"/>
        </w:rPr>
        <w:t>)</w:t>
      </w:r>
      <w:r w:rsidR="004D74B5">
        <w:rPr>
          <w:rFonts w:asciiTheme="minorBidi" w:hAnsiTheme="minorBidi" w:cstheme="minorBidi"/>
        </w:rPr>
        <w:t xml:space="preserve"> </w:t>
      </w:r>
      <w:r w:rsidR="004D74B5">
        <w:rPr>
          <w:rFonts w:asciiTheme="minorBidi" w:hAnsiTheme="minorBidi" w:cstheme="minorBidi"/>
        </w:rPr>
        <w:fldChar w:fldCharType="begin" w:fldLock="1"/>
      </w:r>
      <w:r w:rsidR="004D74B5">
        <w:rPr>
          <w:rFonts w:asciiTheme="minorBidi" w:hAnsiTheme="minorBidi" w:cstheme="minorBidi"/>
        </w:rPr>
        <w:instrText>ADDIN CSL_CITATION {"citationItems":[{"id":"ITEM-1","itemData":{"author":[{"dropping-particle":"","family":"Tubis","given":"Agnieszka A","non-dropping-particle":"","parse-names":false,"suffix":""}],"id":"ITEM-1","issued":{"date-parts":[["2023"]]},"title":"Digital Maturity Assessment Model for the Organizational and Process Dimensions","type":"article-journal"},"uris":["http://www.mendeley.com/documents/?uuid=7200b360-48da-475c-a1dd-6a892c132890"]}],"mendeley":{"formattedCitation":"(Tubis, 2023)","plainTextFormattedCitation":"(Tubis, 2023)","previouslyFormattedCitation":"(Tubis, 2023)"},"properties":{"noteIndex":0},"schema":"https://github.com/citation-style-language/schema/raw/master/csl-citation.json"}</w:instrText>
      </w:r>
      <w:r w:rsidR="004D74B5">
        <w:rPr>
          <w:rFonts w:asciiTheme="minorBidi" w:hAnsiTheme="minorBidi" w:cstheme="minorBidi"/>
        </w:rPr>
        <w:fldChar w:fldCharType="separate"/>
      </w:r>
      <w:r w:rsidR="004D74B5" w:rsidRPr="004D74B5">
        <w:rPr>
          <w:rFonts w:asciiTheme="minorBidi" w:hAnsiTheme="minorBidi" w:cstheme="minorBidi"/>
          <w:noProof/>
        </w:rPr>
        <w:t>(Tubis, 2023)</w:t>
      </w:r>
      <w:r w:rsidR="004D74B5">
        <w:rPr>
          <w:rFonts w:asciiTheme="minorBidi" w:hAnsiTheme="minorBidi" w:cstheme="minorBidi"/>
        </w:rPr>
        <w:fldChar w:fldCharType="end"/>
      </w:r>
      <w:r w:rsidRPr="004125FF">
        <w:rPr>
          <w:rFonts w:asciiTheme="minorBidi" w:hAnsiTheme="minorBidi" w:cstheme="minorBidi"/>
        </w:rPr>
        <w:t>. This methodology enables a precise and quantitative assessment of an organization's current position in relation to its ideal maturity stages. Table 1 presents the five levels of development.</w:t>
      </w:r>
    </w:p>
    <w:p w14:paraId="77806F08" w14:textId="77777777" w:rsidR="008555F2" w:rsidRPr="004125FF" w:rsidRDefault="008555F2" w:rsidP="008555F2">
      <w:pPr>
        <w:jc w:val="both"/>
        <w:rPr>
          <w:rFonts w:asciiTheme="minorBidi" w:hAnsiTheme="minorBidi" w:cstheme="minorBidi"/>
        </w:rPr>
      </w:pPr>
    </w:p>
    <w:p w14:paraId="65932F12" w14:textId="6E1F6CD5" w:rsidR="000D4D4C" w:rsidRDefault="008555F2" w:rsidP="000D4D4C">
      <w:pPr>
        <w:rPr>
          <w:rFonts w:asciiTheme="minorBidi" w:hAnsiTheme="minorBidi" w:cstheme="minorBidi"/>
        </w:rPr>
      </w:pPr>
      <w:r>
        <w:rPr>
          <w:rFonts w:ascii="Arial" w:hAnsi="Arial"/>
          <w:b/>
        </w:rPr>
        <w:t xml:space="preserve">Table </w:t>
      </w:r>
      <w:r w:rsidRPr="008555F2">
        <w:rPr>
          <w:rFonts w:ascii="Arial" w:hAnsi="Arial"/>
          <w:b/>
        </w:rPr>
        <w:t xml:space="preserve">1. </w:t>
      </w:r>
      <w:r w:rsidRPr="008555F2">
        <w:rPr>
          <w:rFonts w:asciiTheme="minorBidi" w:hAnsiTheme="minorBidi" w:cstheme="minorBidi"/>
          <w:b/>
        </w:rPr>
        <w:t>The Five Levels of Digital Maturity</w:t>
      </w:r>
    </w:p>
    <w:p w14:paraId="2F02A47B" w14:textId="77777777" w:rsidR="008555F2" w:rsidRPr="004125FF" w:rsidRDefault="008555F2" w:rsidP="000D4D4C">
      <w:pPr>
        <w:rPr>
          <w:rFonts w:asciiTheme="minorBidi" w:hAnsiTheme="minorBidi" w:cstheme="minorBidi"/>
        </w:rPr>
      </w:pPr>
    </w:p>
    <w:tbl>
      <w:tblPr>
        <w:tblStyle w:val="TableGrid"/>
        <w:tblW w:w="9759" w:type="dxa"/>
        <w:jc w:val="center"/>
        <w:tblInd w:w="0" w:type="dxa"/>
        <w:tblLook w:val="04A0" w:firstRow="1" w:lastRow="0" w:firstColumn="1" w:lastColumn="0" w:noHBand="0" w:noVBand="1"/>
      </w:tblPr>
      <w:tblGrid>
        <w:gridCol w:w="1510"/>
        <w:gridCol w:w="8249"/>
      </w:tblGrid>
      <w:tr w:rsidR="000D4D4C" w:rsidRPr="004125FF" w14:paraId="2B466A17" w14:textId="77777777" w:rsidTr="0002204D">
        <w:trPr>
          <w:trHeight w:val="245"/>
          <w:jc w:val="center"/>
        </w:trPr>
        <w:tc>
          <w:tcPr>
            <w:tcW w:w="1510" w:type="dxa"/>
          </w:tcPr>
          <w:p w14:paraId="5A81AAFE"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sz w:val="24"/>
                <w:szCs w:val="24"/>
                <w:lang w:val="tr-TR"/>
              </w:rPr>
              <w:t>Level</w:t>
            </w:r>
          </w:p>
        </w:tc>
        <w:tc>
          <w:tcPr>
            <w:tcW w:w="8249" w:type="dxa"/>
          </w:tcPr>
          <w:p w14:paraId="3B89A9DD" w14:textId="77777777" w:rsidR="000D4D4C" w:rsidRPr="004125FF" w:rsidRDefault="000D4D4C" w:rsidP="00BA6ADA">
            <w:pPr>
              <w:tabs>
                <w:tab w:val="left" w:pos="1630"/>
              </w:tabs>
              <w:rPr>
                <w:rFonts w:asciiTheme="minorBidi" w:hAnsiTheme="minorBidi" w:cstheme="minorBidi"/>
                <w:sz w:val="24"/>
                <w:szCs w:val="24"/>
                <w:lang w:val="tr-TR"/>
              </w:rPr>
            </w:pPr>
            <w:r w:rsidRPr="004125FF">
              <w:rPr>
                <w:rFonts w:asciiTheme="minorBidi" w:hAnsiTheme="minorBidi" w:cstheme="minorBidi"/>
                <w:sz w:val="24"/>
                <w:szCs w:val="24"/>
                <w:lang w:val="tr-TR"/>
              </w:rPr>
              <w:t>Meaning</w:t>
            </w:r>
          </w:p>
        </w:tc>
      </w:tr>
      <w:tr w:rsidR="000D4D4C" w:rsidRPr="004125FF" w14:paraId="72EFC0A8" w14:textId="77777777" w:rsidTr="0002204D">
        <w:trPr>
          <w:trHeight w:val="467"/>
          <w:jc w:val="center"/>
        </w:trPr>
        <w:tc>
          <w:tcPr>
            <w:tcW w:w="1510" w:type="dxa"/>
          </w:tcPr>
          <w:p w14:paraId="4760AFEC"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sz w:val="24"/>
                <w:szCs w:val="24"/>
                <w:lang w:val="tr-TR"/>
              </w:rPr>
              <w:t>1</w:t>
            </w:r>
          </w:p>
          <w:p w14:paraId="6349DA15"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rPr>
              <w:t>Initial /Ad Hoc</w:t>
            </w:r>
          </w:p>
        </w:tc>
        <w:tc>
          <w:tcPr>
            <w:tcW w:w="8249" w:type="dxa"/>
          </w:tcPr>
          <w:p w14:paraId="2340404E" w14:textId="3277A3F6" w:rsidR="000D4D4C" w:rsidRPr="004125FF" w:rsidRDefault="000D4D4C" w:rsidP="00BA6ADA">
            <w:pPr>
              <w:jc w:val="both"/>
              <w:rPr>
                <w:rFonts w:asciiTheme="minorBidi" w:hAnsiTheme="minorBidi" w:cstheme="minorBidi"/>
                <w:sz w:val="24"/>
                <w:szCs w:val="24"/>
                <w:lang w:val="tr-TR"/>
              </w:rPr>
            </w:pPr>
            <w:r w:rsidRPr="004125FF">
              <w:rPr>
                <w:rFonts w:asciiTheme="minorBidi" w:hAnsiTheme="minorBidi" w:cstheme="minorBidi"/>
              </w:rPr>
              <w:t>A lack of a unified digital strategy characterizes this initial stage. Digital efforts often operate in isolation, are reactive in nature, and are driven by specific departments or individual personnel. Investment in technology is scant, and data is neither routinely gathered nor utilised for decision-making. The processes are manual, and the organisation is not utilising digital tools to enhance efficiency or customer experience</w:t>
            </w:r>
            <w:r w:rsidR="004D74B5">
              <w:rPr>
                <w:rFonts w:asciiTheme="minorBidi" w:hAnsiTheme="minorBidi" w:cstheme="minorBidi"/>
              </w:rPr>
              <w:t xml:space="preserve"> </w:t>
            </w:r>
            <w:r w:rsidR="004D74B5">
              <w:rPr>
                <w:rFonts w:asciiTheme="minorBidi" w:hAnsiTheme="minorBidi" w:cstheme="minorBidi"/>
              </w:rPr>
              <w:fldChar w:fldCharType="begin" w:fldLock="1"/>
            </w:r>
            <w:r w:rsidR="004D74B5">
              <w:rPr>
                <w:rFonts w:asciiTheme="minorBidi" w:hAnsiTheme="minorBidi" w:cstheme="minorBidi"/>
              </w:rPr>
              <w:instrText>ADDIN CSL_CITATION {"citationItems":[{"id":"ITEM-1","itemData":{"author":[{"dropping-particle":"","family":"Tubis","given":"Agnieszka A","non-dropping-particle":"","parse-names":false,"suffix":""}],"id":"ITEM-1","issued":{"date-parts":[["2023"]]},"title":"Digital Maturity Assessment Model for the Organizational and Process Dimensions","type":"article-journal"},"uris":["http://www.mendeley.com/documents/?uuid=7200b360-48da-475c-a1dd-6a892c132890"]}],"mendeley":{"formattedCitation":"(Tubis, 2023)","plainTextFormattedCitation":"(Tubis, 2023)","previouslyFormattedCitation":"(Tubis, 2023)"},"properties":{"noteIndex":0},"schema":"https://github.com/citation-style-language/schema/raw/master/csl-citation.json"}</w:instrText>
            </w:r>
            <w:r w:rsidR="004D74B5">
              <w:rPr>
                <w:rFonts w:asciiTheme="minorBidi" w:hAnsiTheme="minorBidi" w:cstheme="minorBidi"/>
              </w:rPr>
              <w:fldChar w:fldCharType="separate"/>
            </w:r>
            <w:r w:rsidR="004D74B5" w:rsidRPr="004D74B5">
              <w:rPr>
                <w:rFonts w:asciiTheme="minorBidi" w:hAnsiTheme="minorBidi" w:cstheme="minorBidi"/>
                <w:noProof/>
              </w:rPr>
              <w:t>(Tubis, 2023)</w:t>
            </w:r>
            <w:r w:rsidR="004D74B5">
              <w:rPr>
                <w:rFonts w:asciiTheme="minorBidi" w:hAnsiTheme="minorBidi" w:cstheme="minorBidi"/>
              </w:rPr>
              <w:fldChar w:fldCharType="end"/>
            </w:r>
            <w:r w:rsidRPr="004125FF">
              <w:rPr>
                <w:rFonts w:asciiTheme="minorBidi" w:hAnsiTheme="minorBidi" w:cstheme="minorBidi"/>
              </w:rPr>
              <w:t>.</w:t>
            </w:r>
          </w:p>
        </w:tc>
      </w:tr>
      <w:tr w:rsidR="000D4D4C" w:rsidRPr="004125FF" w14:paraId="290EEA56" w14:textId="77777777" w:rsidTr="0002204D">
        <w:trPr>
          <w:trHeight w:val="467"/>
          <w:jc w:val="center"/>
        </w:trPr>
        <w:tc>
          <w:tcPr>
            <w:tcW w:w="1510" w:type="dxa"/>
          </w:tcPr>
          <w:p w14:paraId="72BEE271"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sz w:val="24"/>
                <w:szCs w:val="24"/>
                <w:lang w:val="tr-TR"/>
              </w:rPr>
              <w:t>2</w:t>
            </w:r>
          </w:p>
          <w:p w14:paraId="2001FB2B"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rPr>
              <w:t>Emerged:</w:t>
            </w:r>
          </w:p>
        </w:tc>
        <w:tc>
          <w:tcPr>
            <w:tcW w:w="8249" w:type="dxa"/>
          </w:tcPr>
          <w:p w14:paraId="070D6CAD" w14:textId="22CAD064" w:rsidR="000D4D4C" w:rsidRPr="004125FF" w:rsidRDefault="000D4D4C" w:rsidP="00BA6ADA">
            <w:pPr>
              <w:jc w:val="both"/>
              <w:rPr>
                <w:rFonts w:asciiTheme="minorBidi" w:hAnsiTheme="minorBidi" w:cstheme="minorBidi"/>
              </w:rPr>
            </w:pPr>
            <w:r w:rsidRPr="004125FF">
              <w:rPr>
                <w:rFonts w:asciiTheme="minorBidi" w:hAnsiTheme="minorBidi" w:cstheme="minorBidi"/>
              </w:rPr>
              <w:t>At this stage, organisations acknowledge the significance of digital technologies and begin implementing them in targeted domains. A few digital efforts, such as a rudimentary website or social media presence, may be in progress; however, they remain predominantly isolated. Data collection is inconsistent, and there is no cohesive methodology for its utilisation. The emphasis frequently lies on digitising current manual processes instead of altering them</w:t>
            </w:r>
            <w:r w:rsidR="004D74B5">
              <w:rPr>
                <w:rFonts w:asciiTheme="minorBidi" w:hAnsiTheme="minorBidi" w:cstheme="minorBidi"/>
              </w:rPr>
              <w:t xml:space="preserve"> </w:t>
            </w:r>
            <w:r w:rsidR="004D74B5">
              <w:rPr>
                <w:rFonts w:asciiTheme="minorBidi" w:hAnsiTheme="minorBidi" w:cstheme="minorBidi"/>
              </w:rPr>
              <w:fldChar w:fldCharType="begin" w:fldLock="1"/>
            </w:r>
            <w:r w:rsidR="004D74B5">
              <w:rPr>
                <w:rFonts w:asciiTheme="minorBidi" w:hAnsiTheme="minorBidi" w:cstheme="minorBidi"/>
              </w:rPr>
              <w:instrText>ADDIN CSL_CITATION {"citationItems":[{"id":"ITEM-1","itemData":{"DOI":"10.1016/j.jbusres.2019.09.022","ISSN":"01482963","abstract":"Digital transformation and resultant business model innovation have fundamentally altered consumers’ expectations and behaviors, putting immense pressure on traditional firms, and disrupting numerous markets. Drawing on extant literature, we identify three stages of digital transformation: digitization, digitalization, and digital transformation. We identify and delineate growth strategies for digital firms as well as the assets and capabilities required in order to successfully transform digitally. We posit that digital transformation requires specific organizational structures and bears consequences for the metrics used to calibrate performance. Finally, we provide a research agenda to stimulate and guide future research on digital transformation.","author":[{"dropping-particle":"","family":"Verhoef","given":"Peter C.","non-dropping-particle":"","parse-names":false,"suffix":""},{"dropping-particle":"","family":"Broekhuizen","given":"Thijs","non-dropping-particle":"","parse-names":false,"suffix":""},{"dropping-particle":"","family":"Bart","given":"Yakov","non-dropping-particle":"","parse-names":false,"suffix":""},{"dropping-particle":"","family":"Bhattacharya","given":"Abhi","non-dropping-particle":"","parse-names":false,"suffix":""},{"dropping-particle":"","family":"Qi Dong","given":"John","non-dropping-particle":"","parse-names":false,"suffix":""},{"dropping-particle":"","family":"Fabian","given":"Nicolai","non-dropping-particle":"","parse-names":false,"suffix":""},{"dropping-particle":"","family":"Haenlein","given":"Michael","non-dropping-particle":"","parse-names":false,"suffix":""}],"container-title":"Journal of Business Research","id":"ITEM-1","issue":"July 2018","issued":{"date-parts":[["2021"]]},"page":"889-901","title":"Digital transformation: A multidisciplinary reflection and research agenda","type":"article-journal","volume":"122"},"uris":["http://www.mendeley.com/documents/?uuid=38d6c5b7-7961-4f99-aa6a-82b925a2e921"]}],"mendeley":{"formattedCitation":"(Verhoef et al., 2021)","plainTextFormattedCitation":"(Verhoef et al., 2021)","previouslyFormattedCitation":"(Verhoef et al., 2021)"},"properties":{"noteIndex":0},"schema":"https://github.com/citation-style-language/schema/raw/master/csl-citation.json"}</w:instrText>
            </w:r>
            <w:r w:rsidR="004D74B5">
              <w:rPr>
                <w:rFonts w:asciiTheme="minorBidi" w:hAnsiTheme="minorBidi" w:cstheme="minorBidi"/>
              </w:rPr>
              <w:fldChar w:fldCharType="separate"/>
            </w:r>
            <w:r w:rsidR="004D74B5" w:rsidRPr="004D74B5">
              <w:rPr>
                <w:rFonts w:asciiTheme="minorBidi" w:hAnsiTheme="minorBidi" w:cstheme="minorBidi"/>
                <w:noProof/>
              </w:rPr>
              <w:t>(Verhoef et al., 2021)</w:t>
            </w:r>
            <w:r w:rsidR="004D74B5">
              <w:rPr>
                <w:rFonts w:asciiTheme="minorBidi" w:hAnsiTheme="minorBidi" w:cstheme="minorBidi"/>
              </w:rPr>
              <w:fldChar w:fldCharType="end"/>
            </w:r>
            <w:r w:rsidRPr="004125FF">
              <w:rPr>
                <w:rFonts w:asciiTheme="minorBidi" w:hAnsiTheme="minorBidi" w:cstheme="minorBidi"/>
              </w:rPr>
              <w:t>.</w:t>
            </w:r>
          </w:p>
        </w:tc>
      </w:tr>
      <w:tr w:rsidR="000D4D4C" w:rsidRPr="004125FF" w14:paraId="7378E575" w14:textId="77777777" w:rsidTr="0002204D">
        <w:trPr>
          <w:trHeight w:val="452"/>
          <w:jc w:val="center"/>
        </w:trPr>
        <w:tc>
          <w:tcPr>
            <w:tcW w:w="1510" w:type="dxa"/>
          </w:tcPr>
          <w:p w14:paraId="3C40B5A4"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sz w:val="24"/>
                <w:szCs w:val="24"/>
                <w:lang w:val="tr-TR"/>
              </w:rPr>
              <w:t>3</w:t>
            </w:r>
          </w:p>
          <w:p w14:paraId="19852A99"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rPr>
              <w:t>Defined</w:t>
            </w:r>
          </w:p>
        </w:tc>
        <w:tc>
          <w:tcPr>
            <w:tcW w:w="8249" w:type="dxa"/>
          </w:tcPr>
          <w:p w14:paraId="24BFF724" w14:textId="32711034" w:rsidR="000D4D4C" w:rsidRPr="004125FF" w:rsidRDefault="000D4D4C" w:rsidP="00FA55C8">
            <w:pPr>
              <w:jc w:val="both"/>
              <w:rPr>
                <w:rFonts w:asciiTheme="minorBidi" w:hAnsiTheme="minorBidi" w:cstheme="minorBidi"/>
                <w:sz w:val="24"/>
                <w:szCs w:val="24"/>
                <w:lang w:val="tr-TR"/>
              </w:rPr>
            </w:pPr>
            <w:r w:rsidRPr="004125FF">
              <w:rPr>
                <w:rFonts w:asciiTheme="minorBidi" w:hAnsiTheme="minorBidi" w:cstheme="minorBidi"/>
              </w:rPr>
              <w:t>This level represents a notable transition, as the organisation begins to formulate a coherent and coordinated digital strategy. Technology is now regarded as a fundamental component in achieving business objectives. Efforts are being made to integrate digital tools across departments and to collect and analyse data systematically. Decision-making increasingly relies on data, with an enhanced emphasis on optimising customer experience and operation</w:t>
            </w:r>
            <w:r w:rsidR="00C50EA8" w:rsidRPr="004125FF">
              <w:rPr>
                <w:rFonts w:asciiTheme="minorBidi" w:hAnsiTheme="minorBidi" w:cstheme="minorBidi"/>
              </w:rPr>
              <w:t>al efficiency via technology</w:t>
            </w:r>
            <w:r w:rsidR="0002204D">
              <w:rPr>
                <w:rFonts w:asciiTheme="minorBidi" w:hAnsiTheme="minorBidi" w:cstheme="minorBidi"/>
              </w:rPr>
              <w:t xml:space="preserve"> </w:t>
            </w:r>
            <w:r w:rsidR="0002204D">
              <w:rPr>
                <w:rFonts w:asciiTheme="minorBidi" w:hAnsiTheme="minorBidi" w:cstheme="minorBidi"/>
              </w:rPr>
              <w:fldChar w:fldCharType="begin" w:fldLock="1"/>
            </w:r>
            <w:r w:rsidR="004D74B5">
              <w:rPr>
                <w:rFonts w:asciiTheme="minorBidi" w:hAnsiTheme="minorBidi" w:cstheme="minorBidi"/>
              </w:rPr>
              <w:instrText>ADDIN CSL_CITATION {"citationItems":[{"id":"ITEM-1","itemData":{"DOI":"10.1080/00207543.2021.1991020","author":[{"dropping-particle":"","family":"Gökalp","given":"Ebru","non-dropping-particle":"","parse-names":false,"suffix":""},{"dropping-particle":"","family":"Martinez","given":"Veronica","non-dropping-particle":"","parse-names":false,"suffix":""}],"id":"ITEM-1","issue":"May","issued":{"date-parts":[["2025"]]},"title":"Digital transformation maturity assessment : development of the digital transformation capability maturity model","type":"article-journal"},"uris":["http://www.mendeley.com/documents/?uuid=f91d2dce-f11b-476e-80b9-557612067137"]}],"mendeley":{"formattedCitation":"(Gökalp &amp; Martinez, 2025)","plainTextFormattedCitation":"(Gökalp &amp; Martinez, 2025)","previouslyFormattedCitation":"(Gökalp &amp; Martinez, 2025)"},"properties":{"noteIndex":0},"schema":"https://github.com/citation-style-language/schema/raw/master/csl-citation.json"}</w:instrText>
            </w:r>
            <w:r w:rsidR="0002204D">
              <w:rPr>
                <w:rFonts w:asciiTheme="minorBidi" w:hAnsiTheme="minorBidi" w:cstheme="minorBidi"/>
              </w:rPr>
              <w:fldChar w:fldCharType="separate"/>
            </w:r>
            <w:r w:rsidR="00FA55C8" w:rsidRPr="00FA55C8">
              <w:rPr>
                <w:rFonts w:asciiTheme="minorBidi" w:hAnsiTheme="minorBidi" w:cstheme="minorBidi"/>
                <w:noProof/>
              </w:rPr>
              <w:t>(Gökalp &amp; Martinez, 2025)</w:t>
            </w:r>
            <w:r w:rsidR="0002204D">
              <w:rPr>
                <w:rFonts w:asciiTheme="minorBidi" w:hAnsiTheme="minorBidi" w:cstheme="minorBidi"/>
              </w:rPr>
              <w:fldChar w:fldCharType="end"/>
            </w:r>
            <w:r w:rsidRPr="004125FF">
              <w:rPr>
                <w:rFonts w:asciiTheme="minorBidi" w:hAnsiTheme="minorBidi" w:cstheme="minorBidi"/>
              </w:rPr>
              <w:t>.</w:t>
            </w:r>
          </w:p>
        </w:tc>
      </w:tr>
      <w:tr w:rsidR="000D4D4C" w:rsidRPr="004125FF" w14:paraId="74E806C4" w14:textId="77777777" w:rsidTr="0002204D">
        <w:trPr>
          <w:trHeight w:val="467"/>
          <w:jc w:val="center"/>
        </w:trPr>
        <w:tc>
          <w:tcPr>
            <w:tcW w:w="1510" w:type="dxa"/>
          </w:tcPr>
          <w:p w14:paraId="0007C15A"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sz w:val="24"/>
                <w:szCs w:val="24"/>
                <w:lang w:val="tr-TR"/>
              </w:rPr>
              <w:t>4</w:t>
            </w:r>
          </w:p>
          <w:p w14:paraId="171C0DB6" w14:textId="2887538B" w:rsidR="000D4D4C" w:rsidRPr="004125FF" w:rsidRDefault="00AA4751" w:rsidP="00BA6ADA">
            <w:pPr>
              <w:rPr>
                <w:rFonts w:asciiTheme="minorBidi" w:hAnsiTheme="minorBidi" w:cstheme="minorBidi"/>
                <w:sz w:val="24"/>
                <w:szCs w:val="24"/>
                <w:lang w:val="tr-TR"/>
              </w:rPr>
            </w:pPr>
            <w:r w:rsidRPr="004125FF">
              <w:rPr>
                <w:rFonts w:asciiTheme="minorBidi" w:hAnsiTheme="minorBidi" w:cstheme="minorBidi"/>
              </w:rPr>
              <w:t>Integrated</w:t>
            </w:r>
            <w:r w:rsidRPr="004125FF">
              <w:rPr>
                <w:rFonts w:asciiTheme="minorBidi" w:hAnsiTheme="minorBidi" w:cstheme="minorBidi"/>
                <w:sz w:val="24"/>
                <w:szCs w:val="24"/>
                <w:lang w:val="tr-TR"/>
              </w:rPr>
              <w:t xml:space="preserve"> </w:t>
            </w:r>
          </w:p>
        </w:tc>
        <w:tc>
          <w:tcPr>
            <w:tcW w:w="8249" w:type="dxa"/>
          </w:tcPr>
          <w:p w14:paraId="2A46B059" w14:textId="364F73EE" w:rsidR="000D4D4C" w:rsidRPr="004125FF" w:rsidRDefault="000D4D4C" w:rsidP="00BA6ADA">
            <w:pPr>
              <w:jc w:val="both"/>
              <w:rPr>
                <w:rFonts w:asciiTheme="minorBidi" w:hAnsiTheme="minorBidi" w:cstheme="minorBidi"/>
              </w:rPr>
            </w:pPr>
            <w:r w:rsidRPr="004125FF">
              <w:rPr>
                <w:rFonts w:asciiTheme="minorBidi" w:hAnsiTheme="minorBidi" w:cstheme="minorBidi"/>
              </w:rPr>
              <w:t>Organisations at this level possess a strong digital infrastructure and a clearly articulated strategy. Digital tools and data are thoroughly integrated into business operations and decision-making processes. The organisation continuously monitors its digital performance and utilises analytics to optimise processes, personalise customer interactions, and identify new business opportunities. Innovation is a central focus, characterised by a culture of experimentation and ongoing enhancement</w:t>
            </w:r>
            <w:r w:rsidR="004D74B5">
              <w:rPr>
                <w:rFonts w:asciiTheme="minorBidi" w:hAnsiTheme="minorBidi" w:cstheme="minorBidi"/>
              </w:rPr>
              <w:t xml:space="preserve"> </w:t>
            </w:r>
            <w:r w:rsidR="004D74B5">
              <w:rPr>
                <w:rFonts w:asciiTheme="minorBidi" w:hAnsiTheme="minorBidi" w:cstheme="minorBidi"/>
              </w:rPr>
              <w:fldChar w:fldCharType="begin" w:fldLock="1"/>
            </w:r>
            <w:r w:rsidR="004D74B5">
              <w:rPr>
                <w:rFonts w:asciiTheme="minorBidi" w:hAnsiTheme="minorBidi" w:cstheme="minorBidi"/>
              </w:rPr>
              <w:instrText>ADDIN CSL_CITATION {"citationItems":[{"id":"ITEM-1","itemData":{"DOI":"10.1142/S1363919622400126","author":[{"dropping-particle":"","family":"Flechsig","given":"Christian","non-dropping-particle":"","parse-names":false,"suffix":""},{"dropping-particle":"","family":"Hamann-lohmer","given":"Jacob","non-dropping-particle":"","parse-names":false,"suffix":""},{"dropping-particle":"","family":"Lasch","given":"Rainer","non-dropping-particle":"","parse-names":false,"suffix":""}],"id":"ITEM-1","issue":"August","issued":{"date-parts":[["2022"]]},"title":"BUSINESS PROCESS MATURITY MODEL FOR DIGITAL TRANSFORMATION : AN ACTION DESIGN RESEARCH STUDY ON THE INTEGRATION OF INFORMATION","type":"article-journal"},"uris":["http://www.mendeley.com/documents/?uuid=76a75a7a-ddc6-45cf-a9d5-b5a58d2151d7"]}],"mendeley":{"formattedCitation":"(Flechsig et al., 2022)","plainTextFormattedCitation":"(Flechsig et al., 2022)"},"properties":{"noteIndex":0},"schema":"https://github.com/citation-style-language/schema/raw/master/csl-citation.json"}</w:instrText>
            </w:r>
            <w:r w:rsidR="004D74B5">
              <w:rPr>
                <w:rFonts w:asciiTheme="minorBidi" w:hAnsiTheme="minorBidi" w:cstheme="minorBidi"/>
              </w:rPr>
              <w:fldChar w:fldCharType="separate"/>
            </w:r>
            <w:r w:rsidR="004D74B5" w:rsidRPr="004D74B5">
              <w:rPr>
                <w:rFonts w:asciiTheme="minorBidi" w:hAnsiTheme="minorBidi" w:cstheme="minorBidi"/>
                <w:noProof/>
              </w:rPr>
              <w:t>(Flechsig et al., 2022)</w:t>
            </w:r>
            <w:r w:rsidR="004D74B5">
              <w:rPr>
                <w:rFonts w:asciiTheme="minorBidi" w:hAnsiTheme="minorBidi" w:cstheme="minorBidi"/>
              </w:rPr>
              <w:fldChar w:fldCharType="end"/>
            </w:r>
            <w:r w:rsidRPr="004125FF">
              <w:rPr>
                <w:rFonts w:asciiTheme="minorBidi" w:hAnsiTheme="minorBidi" w:cstheme="minorBidi"/>
              </w:rPr>
              <w:t>.</w:t>
            </w:r>
          </w:p>
        </w:tc>
      </w:tr>
      <w:tr w:rsidR="000D4D4C" w:rsidRPr="004125FF" w14:paraId="3DABC4A9" w14:textId="77777777" w:rsidTr="0002204D">
        <w:trPr>
          <w:trHeight w:val="452"/>
          <w:jc w:val="center"/>
        </w:trPr>
        <w:tc>
          <w:tcPr>
            <w:tcW w:w="1510" w:type="dxa"/>
          </w:tcPr>
          <w:p w14:paraId="04589580" w14:textId="77777777" w:rsidR="000D4D4C" w:rsidRPr="004125FF" w:rsidRDefault="000D4D4C" w:rsidP="00BA6ADA">
            <w:pPr>
              <w:rPr>
                <w:rFonts w:asciiTheme="minorBidi" w:hAnsiTheme="minorBidi" w:cstheme="minorBidi"/>
                <w:sz w:val="24"/>
                <w:szCs w:val="24"/>
                <w:lang w:val="tr-TR"/>
              </w:rPr>
            </w:pPr>
            <w:r w:rsidRPr="004125FF">
              <w:rPr>
                <w:rFonts w:asciiTheme="minorBidi" w:hAnsiTheme="minorBidi" w:cstheme="minorBidi"/>
                <w:sz w:val="24"/>
                <w:szCs w:val="24"/>
                <w:lang w:val="tr-TR"/>
              </w:rPr>
              <w:t>5</w:t>
            </w:r>
          </w:p>
          <w:p w14:paraId="2E10E798" w14:textId="2AF7FC1B" w:rsidR="000D4D4C" w:rsidRPr="004125FF" w:rsidRDefault="00AA4751" w:rsidP="00BA6ADA">
            <w:pPr>
              <w:rPr>
                <w:rFonts w:asciiTheme="minorBidi" w:hAnsiTheme="minorBidi" w:cstheme="minorBidi"/>
                <w:sz w:val="24"/>
                <w:szCs w:val="24"/>
                <w:lang w:val="tr-TR"/>
              </w:rPr>
            </w:pPr>
            <w:r w:rsidRPr="004125FF">
              <w:rPr>
                <w:rFonts w:asciiTheme="minorBidi" w:hAnsiTheme="minorBidi" w:cstheme="minorBidi"/>
              </w:rPr>
              <w:t>Optimized</w:t>
            </w:r>
            <w:r w:rsidRPr="004125FF">
              <w:rPr>
                <w:rFonts w:asciiTheme="minorBidi" w:hAnsiTheme="minorBidi" w:cstheme="minorBidi"/>
                <w:sz w:val="24"/>
                <w:szCs w:val="24"/>
                <w:lang w:val="tr-TR"/>
              </w:rPr>
              <w:t xml:space="preserve"> </w:t>
            </w:r>
          </w:p>
        </w:tc>
        <w:tc>
          <w:tcPr>
            <w:tcW w:w="8249" w:type="dxa"/>
          </w:tcPr>
          <w:p w14:paraId="59917E6B" w14:textId="3E271423" w:rsidR="000D4D4C" w:rsidRPr="004125FF" w:rsidRDefault="000D4D4C" w:rsidP="00FA55C8">
            <w:pPr>
              <w:jc w:val="both"/>
              <w:rPr>
                <w:rFonts w:asciiTheme="minorBidi" w:hAnsiTheme="minorBidi" w:cstheme="minorBidi"/>
              </w:rPr>
            </w:pPr>
            <w:r w:rsidRPr="004125FF">
              <w:rPr>
                <w:rFonts w:asciiTheme="minorBidi" w:hAnsiTheme="minorBidi" w:cstheme="minorBidi"/>
              </w:rPr>
              <w:t>This level represents the most significant stage of digital maturity, where the company has fully transitioned to a digital environment. Digital technology underpins corporate model, culture, and strategy. The company is optimizing its processes and utiliz</w:t>
            </w:r>
            <w:r w:rsidR="001C7FEF">
              <w:rPr>
                <w:rFonts w:asciiTheme="minorBidi" w:hAnsiTheme="minorBidi" w:cstheme="minorBidi"/>
              </w:rPr>
              <w:t>ing AI, machine learning, and Io</w:t>
            </w:r>
            <w:r w:rsidRPr="004125FF">
              <w:rPr>
                <w:rFonts w:asciiTheme="minorBidi" w:hAnsiTheme="minorBidi" w:cstheme="minorBidi"/>
              </w:rPr>
              <w:t>T to develop new products, services, and business models. Agility, data, and disruptive innovation characterise these companies. They often lead their industry and define digital excellence</w:t>
            </w:r>
            <w:r w:rsidR="0002204D">
              <w:rPr>
                <w:rFonts w:asciiTheme="minorBidi" w:hAnsiTheme="minorBidi" w:cstheme="minorBidi"/>
              </w:rPr>
              <w:t xml:space="preserve"> </w:t>
            </w:r>
            <w:r w:rsidR="0002204D">
              <w:rPr>
                <w:rFonts w:asciiTheme="minorBidi" w:hAnsiTheme="minorBidi" w:cstheme="minorBidi"/>
              </w:rPr>
              <w:fldChar w:fldCharType="begin" w:fldLock="1"/>
            </w:r>
            <w:r w:rsidR="004D74B5">
              <w:rPr>
                <w:rFonts w:asciiTheme="minorBidi" w:hAnsiTheme="minorBidi" w:cstheme="minorBidi"/>
              </w:rPr>
              <w:instrText>ADDIN CSL_CITATION {"citationItems":[{"id":"ITEM-1","itemData":{"DOI":"10.1142/S1363919622400126","author":[{"dropping-particle":"","family":"Flechsig","given":"Christian","non-dropping-particle":"","parse-names":false,"suffix":""},{"dropping-particle":"","family":"Hamann-lohmer","given":"Jacob","non-dropping-particle":"","parse-names":false,"suffix":""},{"dropping-particle":"","family":"Lasch","given":"Rainer","non-dropping-particle":"","parse-names":false,"suffix":""}],"id":"ITEM-1","issue":"August","issued":{"date-parts":[["2022"]]},"title":"BUSINESS PROCESS MATURITY MODEL FOR DIGITAL TRANSFORMATION : AN ACTION DESIGN RESEARCH STUDY ON THE INTEGRATION OF INFORMATION","type":"article-journal"},"uris":["http://www.mendeley.com/documents/?uuid=76a75a7a-ddc6-45cf-a9d5-b5a58d2151d7"]}],"mendeley":{"formattedCitation":"(Flechsig et al., 2022)","plainTextFormattedCitation":"(Flechsig et al., 2022)","previouslyFormattedCitation":"(Flechsig et al., 2022)"},"properties":{"noteIndex":0},"schema":"https://github.com/citation-style-language/schema/raw/master/csl-citation.json"}</w:instrText>
            </w:r>
            <w:r w:rsidR="0002204D">
              <w:rPr>
                <w:rFonts w:asciiTheme="minorBidi" w:hAnsiTheme="minorBidi" w:cstheme="minorBidi"/>
              </w:rPr>
              <w:fldChar w:fldCharType="separate"/>
            </w:r>
            <w:r w:rsidR="00FA55C8" w:rsidRPr="00FA55C8">
              <w:rPr>
                <w:rFonts w:asciiTheme="minorBidi" w:hAnsiTheme="minorBidi" w:cstheme="minorBidi"/>
                <w:noProof/>
              </w:rPr>
              <w:t>(Flechsig et al., 2022)</w:t>
            </w:r>
            <w:r w:rsidR="0002204D">
              <w:rPr>
                <w:rFonts w:asciiTheme="minorBidi" w:hAnsiTheme="minorBidi" w:cstheme="minorBidi"/>
              </w:rPr>
              <w:fldChar w:fldCharType="end"/>
            </w:r>
            <w:r w:rsidRPr="004125FF">
              <w:rPr>
                <w:rFonts w:asciiTheme="minorBidi" w:hAnsiTheme="minorBidi" w:cstheme="minorBidi"/>
              </w:rPr>
              <w:t>.</w:t>
            </w:r>
          </w:p>
        </w:tc>
      </w:tr>
    </w:tbl>
    <w:p w14:paraId="08988660" w14:textId="64170143" w:rsidR="008555F2" w:rsidRDefault="008555F2" w:rsidP="008555F2">
      <w:pPr>
        <w:pStyle w:val="ListParagraph"/>
        <w:spacing w:after="160" w:line="256" w:lineRule="auto"/>
        <w:ind w:left="360"/>
        <w:rPr>
          <w:rFonts w:asciiTheme="minorBidi" w:hAnsiTheme="minorBidi"/>
          <w:b/>
          <w:bCs/>
        </w:rPr>
      </w:pPr>
    </w:p>
    <w:p w14:paraId="619856E8" w14:textId="77777777" w:rsidR="0002204D" w:rsidRDefault="0002204D" w:rsidP="008555F2">
      <w:pPr>
        <w:pStyle w:val="ListParagraph"/>
        <w:spacing w:after="160" w:line="256" w:lineRule="auto"/>
        <w:ind w:left="360"/>
        <w:rPr>
          <w:rFonts w:asciiTheme="minorBidi" w:hAnsiTheme="minorBidi"/>
          <w:b/>
          <w:bCs/>
        </w:rPr>
      </w:pPr>
    </w:p>
    <w:p w14:paraId="178CAAFE" w14:textId="16A70092" w:rsidR="000D4D4C" w:rsidRPr="00317F82" w:rsidRDefault="000D4D4C" w:rsidP="00F044C5">
      <w:pPr>
        <w:pStyle w:val="ListParagraph"/>
        <w:numPr>
          <w:ilvl w:val="1"/>
          <w:numId w:val="21"/>
        </w:numPr>
        <w:spacing w:after="160" w:line="257" w:lineRule="auto"/>
        <w:ind w:left="357" w:hanging="357"/>
        <w:rPr>
          <w:rFonts w:asciiTheme="minorBidi" w:hAnsiTheme="minorBidi"/>
          <w:b/>
          <w:bCs/>
        </w:rPr>
      </w:pPr>
      <w:r w:rsidRPr="00317F82">
        <w:rPr>
          <w:rFonts w:asciiTheme="minorBidi" w:hAnsiTheme="minorBidi"/>
          <w:b/>
          <w:bCs/>
        </w:rPr>
        <w:t>Five-Dimensional Digital Maturity Framework</w:t>
      </w:r>
    </w:p>
    <w:p w14:paraId="0A8892CB" w14:textId="226434AC" w:rsidR="000D4D4C" w:rsidRPr="004125FF" w:rsidRDefault="000D4D4C" w:rsidP="000D4D4C">
      <w:pPr>
        <w:jc w:val="both"/>
        <w:rPr>
          <w:rFonts w:asciiTheme="minorBidi" w:hAnsiTheme="minorBidi" w:cstheme="minorBidi"/>
        </w:rPr>
      </w:pPr>
      <w:r w:rsidRPr="004125FF">
        <w:rPr>
          <w:rFonts w:asciiTheme="minorBidi" w:hAnsiTheme="minorBidi" w:cstheme="minorBidi"/>
        </w:rPr>
        <w:lastRenderedPageBreak/>
        <w:t>This framework provides a comprehensive model for assessing an organization's digital maturity. The model comprises five principal dimensions: customer, strategy, technology, organisation, and culture. Each dimension indicates a collection of sub-indicators used to assess particular facets of an organization's competencies. This model aims to provide a clear and structured view of an organization's present status in its digital transformation process. Figure 1 illustrates the five dimensions that constitute the model. Figure 2 shows the framework of digital maturity.</w:t>
      </w:r>
    </w:p>
    <w:p w14:paraId="79457E2D" w14:textId="77777777" w:rsidR="0033741A" w:rsidRPr="004125FF" w:rsidRDefault="0033741A" w:rsidP="000D4D4C">
      <w:pPr>
        <w:jc w:val="both"/>
        <w:rPr>
          <w:rFonts w:asciiTheme="minorBidi" w:hAnsiTheme="minorBidi" w:cstheme="minorBidi"/>
        </w:rPr>
      </w:pPr>
    </w:p>
    <w:p w14:paraId="34741D6C" w14:textId="0155145E" w:rsidR="000D4D4C" w:rsidRPr="004125FF" w:rsidRDefault="000D4D4C" w:rsidP="000D4D4C">
      <w:pPr>
        <w:rPr>
          <w:rFonts w:asciiTheme="minorBidi" w:hAnsiTheme="minorBidi" w:cstheme="minorBidi"/>
          <w:sz w:val="24"/>
          <w:szCs w:val="24"/>
          <w:lang w:val="tr-TR"/>
        </w:rPr>
      </w:pPr>
      <w:r w:rsidRPr="004125FF">
        <w:rPr>
          <w:rFonts w:asciiTheme="minorBidi" w:hAnsiTheme="minorBidi" w:cstheme="minorBidi"/>
          <w:noProof/>
          <w:sz w:val="24"/>
          <w:szCs w:val="24"/>
          <w:lang w:eastAsia="en-GB"/>
        </w:rPr>
        <w:drawing>
          <wp:inline distT="0" distB="0" distL="0" distR="0" wp14:anchorId="76C62BEC" wp14:editId="48A069FA">
            <wp:extent cx="5731510" cy="24098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gital Maturit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409825"/>
                    </a:xfrm>
                    <a:prstGeom prst="rect">
                      <a:avLst/>
                    </a:prstGeom>
                  </pic:spPr>
                </pic:pic>
              </a:graphicData>
            </a:graphic>
          </wp:inline>
        </w:drawing>
      </w:r>
    </w:p>
    <w:p w14:paraId="37FB0755" w14:textId="77777777" w:rsidR="0033741A" w:rsidRPr="004125FF" w:rsidRDefault="0033741A" w:rsidP="000D4D4C">
      <w:pPr>
        <w:rPr>
          <w:rFonts w:asciiTheme="minorBidi" w:hAnsiTheme="minorBidi" w:cstheme="minorBidi"/>
          <w:sz w:val="24"/>
          <w:szCs w:val="24"/>
          <w:lang w:val="tr-TR"/>
        </w:rPr>
      </w:pPr>
    </w:p>
    <w:p w14:paraId="7B2E39BD" w14:textId="0A6663F9" w:rsidR="000D4D4C" w:rsidRDefault="00C40962" w:rsidP="00E60E46">
      <w:pPr>
        <w:ind w:left="720"/>
        <w:jc w:val="both"/>
        <w:rPr>
          <w:rFonts w:asciiTheme="minorBidi" w:hAnsiTheme="minorBidi" w:cstheme="minorBidi"/>
          <w:lang w:val="tr-TR"/>
        </w:rPr>
      </w:pPr>
      <w:r>
        <w:rPr>
          <w:rFonts w:ascii="Arial" w:hAnsi="Arial" w:cs="Arial"/>
          <w:b/>
          <w:bCs/>
          <w:szCs w:val="22"/>
        </w:rPr>
        <w:t>Fig. 2.</w:t>
      </w:r>
      <w:r w:rsidRPr="008247A6">
        <w:rPr>
          <w:rFonts w:ascii="Arial" w:hAnsi="Arial" w:cs="Arial"/>
          <w:b/>
          <w:bCs/>
          <w:szCs w:val="22"/>
        </w:rPr>
        <w:t xml:space="preserve"> </w:t>
      </w:r>
      <w:r w:rsidR="000D4D4C" w:rsidRPr="00C40962">
        <w:rPr>
          <w:rFonts w:asciiTheme="minorBidi" w:hAnsiTheme="minorBidi" w:cstheme="minorBidi"/>
          <w:b/>
          <w:bCs/>
          <w:lang w:val="tr-TR"/>
        </w:rPr>
        <w:t xml:space="preserve">The fundamental framework and five aspects of telecoms service providers' digital maturity </w:t>
      </w:r>
      <w:r w:rsidR="0033741A" w:rsidRPr="00C40962">
        <w:rPr>
          <w:rFonts w:asciiTheme="minorBidi" w:hAnsiTheme="minorBidi" w:cstheme="minorBidi"/>
          <w:b/>
          <w:bCs/>
          <w:lang w:val="tr-TR"/>
        </w:rPr>
        <w:t>model</w:t>
      </w:r>
      <w:r w:rsidR="0033741A" w:rsidRPr="004125FF">
        <w:rPr>
          <w:rFonts w:asciiTheme="minorBidi" w:hAnsiTheme="minorBidi" w:cstheme="minorBidi"/>
          <w:lang w:val="tr-TR"/>
        </w:rPr>
        <w:t>.</w:t>
      </w:r>
    </w:p>
    <w:p w14:paraId="70D271B0" w14:textId="77777777" w:rsidR="00317F82" w:rsidRPr="004125FF" w:rsidRDefault="00317F82" w:rsidP="00E60E46">
      <w:pPr>
        <w:ind w:left="720"/>
        <w:jc w:val="both"/>
        <w:rPr>
          <w:rFonts w:asciiTheme="minorBidi" w:hAnsiTheme="minorBidi" w:cstheme="minorBidi"/>
          <w:lang w:val="tr-TR"/>
        </w:rPr>
      </w:pPr>
    </w:p>
    <w:p w14:paraId="29904400" w14:textId="694E7F30" w:rsidR="006C784D" w:rsidRPr="00A44AE2" w:rsidRDefault="006C784D" w:rsidP="00F044C5">
      <w:pPr>
        <w:pStyle w:val="Heading4"/>
        <w:numPr>
          <w:ilvl w:val="2"/>
          <w:numId w:val="21"/>
        </w:numPr>
        <w:ind w:left="720"/>
        <w:rPr>
          <w:rFonts w:asciiTheme="minorBidi" w:hAnsiTheme="minorBidi" w:cstheme="minorBidi"/>
          <w:b/>
          <w:bCs/>
          <w:i w:val="0"/>
          <w:iCs w:val="0"/>
        </w:rPr>
      </w:pPr>
      <w:r w:rsidRPr="00A44AE2">
        <w:rPr>
          <w:rFonts w:asciiTheme="minorBidi" w:hAnsiTheme="minorBidi" w:cstheme="minorBidi"/>
          <w:b/>
          <w:bCs/>
          <w:i w:val="0"/>
          <w:iCs w:val="0"/>
        </w:rPr>
        <w:t>C</w:t>
      </w:r>
      <w:r w:rsidR="000D4D4C" w:rsidRPr="00A44AE2">
        <w:rPr>
          <w:rFonts w:asciiTheme="minorBidi" w:hAnsiTheme="minorBidi" w:cstheme="minorBidi"/>
          <w:b/>
          <w:bCs/>
          <w:i w:val="0"/>
          <w:iCs w:val="0"/>
        </w:rPr>
        <w:t>ustomer</w:t>
      </w:r>
    </w:p>
    <w:p w14:paraId="6515FA31" w14:textId="77777777" w:rsidR="00317F82" w:rsidRPr="00317F82" w:rsidRDefault="00317F82" w:rsidP="00317F82"/>
    <w:p w14:paraId="76DC9C23" w14:textId="562F3733" w:rsidR="000D4D4C" w:rsidRPr="004125FF" w:rsidRDefault="000D4D4C" w:rsidP="00FA55C8">
      <w:pPr>
        <w:pStyle w:val="Heading4"/>
        <w:numPr>
          <w:ilvl w:val="0"/>
          <w:numId w:val="0"/>
        </w:numPr>
        <w:rPr>
          <w:rFonts w:asciiTheme="minorBidi" w:hAnsiTheme="minorBidi" w:cstheme="minorBidi"/>
          <w:i w:val="0"/>
          <w:iCs w:val="0"/>
        </w:rPr>
      </w:pPr>
      <w:r w:rsidRPr="004125FF">
        <w:rPr>
          <w:rFonts w:asciiTheme="minorBidi" w:hAnsiTheme="minorBidi" w:cstheme="minorBidi"/>
          <w:i w:val="0"/>
          <w:iCs w:val="0"/>
        </w:rPr>
        <w:t>New Technologies enhance the customer experience by facilitating consumer engagement through the use of an intuitive user interface. Enhanced service reliability fosters client trust</w:t>
      </w:r>
      <w:r w:rsidR="00044C15">
        <w:rPr>
          <w:rFonts w:asciiTheme="minorBidi" w:hAnsiTheme="minorBidi" w:cstheme="minorBidi"/>
          <w:i w:val="0"/>
          <w:iCs w:val="0"/>
        </w:rPr>
        <w:t xml:space="preserve"> </w:t>
      </w:r>
      <w:r w:rsidR="00044C15">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author":[{"dropping-particle":"","family":"Ahmed","given":"Tauqeer","non-dropping-particle":"","parse-names":false,"suffix":""},{"dropping-particle":"","family":"Hussain","given":"Babar","non-dropping-particle":"","parse-names":false,"suffix":""}],"id":"ITEM-1","issue":"June","issued":{"date-parts":[["2023"]]},"title":"The Role of AI in Enhancing Customer Experience and Engagement in Digital Transformation","type":"article-journal"},"uris":["http://www.mendeley.com/documents/?uuid=0fa6bf55-d29e-4925-9b16-edbbe24ef57d"]}],"mendeley":{"formattedCitation":"(Ahmed &amp; Hussain, 2023)","plainTextFormattedCitation":"(Ahmed &amp; Hussain, 2023)","previouslyFormattedCitation":"(Ahmed &amp; Hussain, 2023)"},"properties":{"noteIndex":0},"schema":"https://github.com/citation-style-language/schema/raw/master/csl-citation.json"}</w:instrText>
      </w:r>
      <w:r w:rsidR="00044C15">
        <w:rPr>
          <w:rFonts w:asciiTheme="minorBidi" w:hAnsiTheme="minorBidi" w:cstheme="minorBidi"/>
          <w:i w:val="0"/>
          <w:iCs w:val="0"/>
        </w:rPr>
        <w:fldChar w:fldCharType="separate"/>
      </w:r>
      <w:r w:rsidR="00FA55C8" w:rsidRPr="00FA55C8">
        <w:rPr>
          <w:rFonts w:asciiTheme="minorBidi" w:hAnsiTheme="minorBidi" w:cstheme="minorBidi"/>
          <w:i w:val="0"/>
          <w:iCs w:val="0"/>
        </w:rPr>
        <w:t>(Ahmed &amp; Hussain, 2023)</w:t>
      </w:r>
      <w:r w:rsidR="00044C15">
        <w:rPr>
          <w:rFonts w:asciiTheme="minorBidi" w:hAnsiTheme="minorBidi" w:cstheme="minorBidi"/>
          <w:i w:val="0"/>
          <w:iCs w:val="0"/>
        </w:rPr>
        <w:fldChar w:fldCharType="end"/>
      </w:r>
      <w:r w:rsidRPr="004125FF">
        <w:rPr>
          <w:rFonts w:asciiTheme="minorBidi" w:hAnsiTheme="minorBidi" w:cstheme="minorBidi"/>
          <w:i w:val="0"/>
          <w:iCs w:val="0"/>
        </w:rPr>
        <w:t>. A customer-centric strategy for digital maturity encompasses more than just technology; it also encompasses a comprehensive approach to business operations. Organisations require collaborations to establish a digital ecosystem, including the digitisation of customer service delivery and communication</w:t>
      </w:r>
      <w:r w:rsidR="002D6625">
        <w:rPr>
          <w:rFonts w:asciiTheme="minorBidi" w:hAnsiTheme="minorBidi" w:cstheme="minorBidi"/>
          <w:i w:val="0"/>
          <w:iCs w:val="0"/>
        </w:rPr>
        <w:t xml:space="preserve"> </w:t>
      </w:r>
      <w:r w:rsidR="002D6625">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author":[{"dropping-particle":"","family":"Bandara","given":"Oshadhi","non-dropping-particle":"","parse-names":false,"suffix":""},{"dropping-particle":"","family":"Vidanagamachchi","given":"Kasuni","non-dropping-particle":"","parse-names":false,"suffix":""},{"dropping-particle":"","family":"Wickramarachchi","given":"Ruwan","non-dropping-particle":"","parse-names":false,"suffix":""}],"id":"ITEM-1","issue":"March","issued":{"date-parts":[["2019"]]},"title":"A Model for Assessing Maturity of Industry 4 . 0 in the Banking Sector","type":"article-journal"},"uris":["http://www.mendeley.com/documents/?uuid=6173ac42-e945-4ee5-92cb-15376837409a"]}],"mendeley":{"formattedCitation":"(Bandara et al., 2019)","plainTextFormattedCitation":"(Bandara et al., 2019)","previouslyFormattedCitation":"(Bandara et al., 2019)"},"properties":{"noteIndex":0},"schema":"https://github.com/citation-style-language/schema/raw/master/csl-citation.json"}</w:instrText>
      </w:r>
      <w:r w:rsidR="002D6625">
        <w:rPr>
          <w:rFonts w:asciiTheme="minorBidi" w:hAnsiTheme="minorBidi" w:cstheme="minorBidi"/>
          <w:i w:val="0"/>
          <w:iCs w:val="0"/>
        </w:rPr>
        <w:fldChar w:fldCharType="separate"/>
      </w:r>
      <w:r w:rsidR="00FA55C8" w:rsidRPr="00FA55C8">
        <w:rPr>
          <w:rFonts w:asciiTheme="minorBidi" w:hAnsiTheme="minorBidi" w:cstheme="minorBidi"/>
          <w:i w:val="0"/>
          <w:iCs w:val="0"/>
        </w:rPr>
        <w:t>(Bandara et al., 2019)</w:t>
      </w:r>
      <w:r w:rsidR="002D6625">
        <w:rPr>
          <w:rFonts w:asciiTheme="minorBidi" w:hAnsiTheme="minorBidi" w:cstheme="minorBidi"/>
          <w:i w:val="0"/>
          <w:iCs w:val="0"/>
        </w:rPr>
        <w:fldChar w:fldCharType="end"/>
      </w:r>
      <w:r w:rsidRPr="004125FF">
        <w:rPr>
          <w:rFonts w:asciiTheme="minorBidi" w:hAnsiTheme="minorBidi" w:cstheme="minorBidi"/>
          <w:i w:val="0"/>
          <w:iCs w:val="0"/>
        </w:rPr>
        <w:t xml:space="preserve">. The mobile </w:t>
      </w:r>
      <w:r w:rsidR="00B90543">
        <w:rPr>
          <w:rFonts w:asciiTheme="minorBidi" w:hAnsiTheme="minorBidi" w:cstheme="minorBidi"/>
          <w:i w:val="0"/>
          <w:iCs w:val="0"/>
        </w:rPr>
        <w:t>i</w:t>
      </w:r>
      <w:r w:rsidRPr="004125FF">
        <w:rPr>
          <w:rFonts w:asciiTheme="minorBidi" w:hAnsiTheme="minorBidi" w:cstheme="minorBidi"/>
          <w:i w:val="0"/>
          <w:iCs w:val="0"/>
        </w:rPr>
        <w:t>nternet facilitates direct access to customers, enabling transparency and a novel service model. Through customer business models, customer satisfaction and engagement can be assessed in a sustainable and scalable manner. In the era of technology, where data privacy and security are paramount, trust forms the foundation of enduring c</w:t>
      </w:r>
      <w:r w:rsidR="002D6625">
        <w:rPr>
          <w:rFonts w:asciiTheme="minorBidi" w:hAnsiTheme="minorBidi" w:cstheme="minorBidi"/>
          <w:i w:val="0"/>
          <w:iCs w:val="0"/>
        </w:rPr>
        <w:t xml:space="preserve">onsumer connections and loyalty </w:t>
      </w:r>
      <w:r w:rsidR="002D6625">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DOI":"10.1108/JEBDE-09-2023-0019","author":[{"dropping-particle":"","family":"Ashiq","given":"Rubab","non-dropping-particle":"","parse-names":false,"suffix":""}],"id":"ITEM-1","issue":"2","issued":{"date-parts":[["2025"]]},"page":"117-141","title":"Exploring the effects of e-service quality and e-trust on consumers ’ e-satisfaction and e-loyalty : insights from online shoppers in Pakistan","type":"article-journal","volume":"3"},"uris":["http://www.mendeley.com/documents/?uuid=229f4dc7-ee1e-40d7-9219-5299b92ea54f"]}],"mendeley":{"formattedCitation":"(Ashiq, 2025)","plainTextFormattedCitation":"(Ashiq, 2025)","previouslyFormattedCitation":"(Ashiq, 2025)"},"properties":{"noteIndex":0},"schema":"https://github.com/citation-style-language/schema/raw/master/csl-citation.json"}</w:instrText>
      </w:r>
      <w:r w:rsidR="002D6625">
        <w:rPr>
          <w:rFonts w:asciiTheme="minorBidi" w:hAnsiTheme="minorBidi" w:cstheme="minorBidi"/>
          <w:i w:val="0"/>
          <w:iCs w:val="0"/>
        </w:rPr>
        <w:fldChar w:fldCharType="separate"/>
      </w:r>
      <w:r w:rsidR="00FA55C8" w:rsidRPr="00FA55C8">
        <w:rPr>
          <w:rFonts w:asciiTheme="minorBidi" w:hAnsiTheme="minorBidi" w:cstheme="minorBidi"/>
          <w:i w:val="0"/>
          <w:iCs w:val="0"/>
        </w:rPr>
        <w:t>(Ashiq, 2025)</w:t>
      </w:r>
      <w:r w:rsidR="002D6625">
        <w:rPr>
          <w:rFonts w:asciiTheme="minorBidi" w:hAnsiTheme="minorBidi" w:cstheme="minorBidi"/>
          <w:i w:val="0"/>
          <w:iCs w:val="0"/>
        </w:rPr>
        <w:fldChar w:fldCharType="end"/>
      </w:r>
      <w:r w:rsidR="008E5368">
        <w:rPr>
          <w:rFonts w:asciiTheme="minorBidi" w:hAnsiTheme="minorBidi" w:cstheme="minorBidi"/>
          <w:i w:val="0"/>
          <w:iCs w:val="0"/>
        </w:rPr>
        <w:t xml:space="preserve">. </w:t>
      </w:r>
      <w:r w:rsidRPr="004125FF">
        <w:rPr>
          <w:rFonts w:asciiTheme="minorBidi" w:hAnsiTheme="minorBidi" w:cstheme="minorBidi"/>
          <w:i w:val="0"/>
          <w:iCs w:val="0"/>
        </w:rPr>
        <w:t>Customer dimensions can be extracted from attributes like (1) Customer Engagement, (2) Customer Satisfaction, and (3) Customer Trust.</w:t>
      </w:r>
    </w:p>
    <w:p w14:paraId="49D6DEE7" w14:textId="77777777" w:rsidR="006C784D" w:rsidRPr="004125FF" w:rsidRDefault="006C784D" w:rsidP="006C784D">
      <w:pPr>
        <w:rPr>
          <w:rFonts w:asciiTheme="minorBidi" w:hAnsiTheme="minorBidi" w:cstheme="minorBidi"/>
        </w:rPr>
      </w:pPr>
    </w:p>
    <w:p w14:paraId="085EDE42" w14:textId="17FD1AE0" w:rsidR="000D4D4C" w:rsidRPr="004125FF" w:rsidRDefault="00A44AE2" w:rsidP="000D4D4C">
      <w:pPr>
        <w:pStyle w:val="Heading4"/>
        <w:numPr>
          <w:ilvl w:val="0"/>
          <w:numId w:val="0"/>
        </w:numPr>
        <w:rPr>
          <w:rFonts w:asciiTheme="minorBidi" w:hAnsiTheme="minorBidi" w:cstheme="minorBidi"/>
          <w:b/>
          <w:bCs/>
          <w:i w:val="0"/>
          <w:iCs w:val="0"/>
        </w:rPr>
      </w:pPr>
      <w:r>
        <w:rPr>
          <w:rFonts w:asciiTheme="minorBidi" w:hAnsiTheme="minorBidi" w:cstheme="minorBidi"/>
          <w:b/>
          <w:bCs/>
          <w:i w:val="0"/>
          <w:iCs w:val="0"/>
        </w:rPr>
        <w:t>3.6</w:t>
      </w:r>
      <w:r w:rsidR="000D4D4C" w:rsidRPr="004125FF">
        <w:rPr>
          <w:rFonts w:asciiTheme="minorBidi" w:hAnsiTheme="minorBidi" w:cstheme="minorBidi"/>
          <w:b/>
          <w:bCs/>
          <w:i w:val="0"/>
          <w:iCs w:val="0"/>
        </w:rPr>
        <w:t>.2  Strategy</w:t>
      </w:r>
    </w:p>
    <w:p w14:paraId="64FBC0DE" w14:textId="77777777" w:rsidR="006C784D" w:rsidRPr="004125FF" w:rsidRDefault="006C784D" w:rsidP="000D4D4C">
      <w:pPr>
        <w:pStyle w:val="Heading4"/>
        <w:numPr>
          <w:ilvl w:val="0"/>
          <w:numId w:val="0"/>
        </w:numPr>
        <w:rPr>
          <w:rFonts w:asciiTheme="minorBidi" w:hAnsiTheme="minorBidi" w:cstheme="minorBidi"/>
          <w:i w:val="0"/>
          <w:iCs w:val="0"/>
        </w:rPr>
      </w:pPr>
    </w:p>
    <w:p w14:paraId="3A81410D" w14:textId="6DA2F459" w:rsidR="000D4D4C" w:rsidRPr="004125FF" w:rsidRDefault="000D4D4C" w:rsidP="00FA55C8">
      <w:pPr>
        <w:pStyle w:val="Heading4"/>
        <w:numPr>
          <w:ilvl w:val="0"/>
          <w:numId w:val="0"/>
        </w:numPr>
        <w:rPr>
          <w:rFonts w:asciiTheme="minorBidi" w:hAnsiTheme="minorBidi" w:cstheme="minorBidi"/>
          <w:i w:val="0"/>
          <w:iCs w:val="0"/>
        </w:rPr>
      </w:pPr>
      <w:r w:rsidRPr="004125FF">
        <w:rPr>
          <w:rFonts w:asciiTheme="minorBidi" w:hAnsiTheme="minorBidi" w:cstheme="minorBidi"/>
          <w:i w:val="0"/>
          <w:iCs w:val="0"/>
        </w:rPr>
        <w:t>A strategy can be characterized as an input from DX that influences the change of organizations and enterprises, and the incorporation of digital activities into the fundamental business plan to</w:t>
      </w:r>
      <w:r w:rsidR="002D6625">
        <w:rPr>
          <w:rFonts w:asciiTheme="minorBidi" w:hAnsiTheme="minorBidi" w:cstheme="minorBidi"/>
          <w:i w:val="0"/>
          <w:iCs w:val="0"/>
        </w:rPr>
        <w:t xml:space="preserve"> enhance competitive advantage </w:t>
      </w:r>
      <w:r w:rsidR="002D6625">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{"citationItems":[{"id":"ITEM-1","itemData":{"ISBN":"4072629952","ISSN":"2079-8954","abstract":"&lt;p&gt;In today’s competitive and globalized world, innovation is essential for organizational survival, offering a means for companies to address environmental impacts and social challenges. As innovation processes accelerate, managers need to rethink the entire value-creation chain, with digital transformation emerging as a continuous process of organizational adaptation to the evolving societal landscape. The research question focuses on how digital technologies—such as artificial intelligence, Big Data, cloud computing, industrial and service robots, and the Internet of Things—influence innovation-driven revenues among enterprises within the European Union (EU). The paper examines, using neural network analysis, the specific impact of each digital technology on innovation revenues while exploring how these technologies affect various types of social innovation within organizations. Through cluster analysis, the study identifies patterns among EU countries based on their digital technology adoption, innovation expenditures, and revenues and the proportion of enterprises engaged in innovation activities. The findings highlight the central role of digital technologies in enhancing innovation and competitiveness, with significant implications for managers and policymakers. These results underscore the necessity for companies to strategically integrate digital technologies to sustain long-term competitiveness in the rapidly evolving digital landscape of the EU.&lt;/p&gt;","author":[{"dropping-particle":"","family":"Vărzaru","given":"Anca Antoaneta","non-dropping-particle":"","parse-names":false,"suffix":""},{"dropping-particle":"","family":"Bocean","given":"Claudiu George","non-dropping-particle":"","parse-names":false,"suffix":""}],"container-title":"Systems","id":"ITEM-1","issue":"9","issued":{"date-parts":[["2024"]]},"page":"359","title":"Digital Transformation and Innovation: The Influence of Digital Technologies on Turnover from Innovation Activities and Types of Innovation","type":"article-journal","volume":"12"},"uris":["http://www.mendeley.com/documents/?uuid=6bbe01de-d1d3-4fcf-bfa0-133649edfbcc"]}],"mendeley":{"formattedCitation":"(Vărzaru &amp; Bocean, 2024)","plainTextFormattedCitation":"(Vărzaru &amp; Bocean, 2024)","previouslyFormattedCitation":"(Vărzaru &amp; Bocean, 2024)"},"properties":{"noteIndex":0},"schema":"https://github.com/citation-style-language/schema/raw/master/csl-citation.json"}</w:instrText>
      </w:r>
      <w:r w:rsidR="002D6625">
        <w:rPr>
          <w:rFonts w:asciiTheme="minorBidi" w:hAnsiTheme="minorBidi" w:cstheme="minorBidi"/>
          <w:i w:val="0"/>
          <w:iCs w:val="0"/>
        </w:rPr>
        <w:fldChar w:fldCharType="separate"/>
      </w:r>
      <w:r w:rsidR="00FA55C8" w:rsidRPr="00FA55C8">
        <w:rPr>
          <w:rFonts w:asciiTheme="minorBidi" w:hAnsiTheme="minorBidi" w:cstheme="minorBidi"/>
          <w:i w:val="0"/>
          <w:iCs w:val="0"/>
        </w:rPr>
        <w:t>(Vărzaru &amp; Bocean, 2024)</w:t>
      </w:r>
      <w:r w:rsidR="002D6625">
        <w:rPr>
          <w:rFonts w:asciiTheme="minorBidi" w:hAnsiTheme="minorBidi" w:cstheme="minorBidi"/>
          <w:i w:val="0"/>
          <w:iCs w:val="0"/>
        </w:rPr>
        <w:fldChar w:fldCharType="end"/>
      </w:r>
      <w:r w:rsidRPr="004125FF">
        <w:rPr>
          <w:rFonts w:asciiTheme="minorBidi" w:hAnsiTheme="minorBidi" w:cstheme="minorBidi"/>
          <w:i w:val="0"/>
          <w:iCs w:val="0"/>
        </w:rPr>
        <w:t>. DX's strategy establishes a robust vision and roadmap, motivating the utilisation of existing technology to foster a futu</w:t>
      </w:r>
      <w:r w:rsidR="00E2144B" w:rsidRPr="004125FF">
        <w:rPr>
          <w:rFonts w:asciiTheme="minorBidi" w:hAnsiTheme="minorBidi" w:cstheme="minorBidi"/>
          <w:i w:val="0"/>
          <w:iCs w:val="0"/>
        </w:rPr>
        <w:t>re grounded in shared values</w:t>
      </w:r>
      <w:r w:rsidR="002D6625">
        <w:rPr>
          <w:rFonts w:asciiTheme="minorBidi" w:hAnsiTheme="minorBidi" w:cstheme="minorBidi"/>
          <w:i w:val="0"/>
          <w:iCs w:val="0"/>
        </w:rPr>
        <w:t xml:space="preserve"> </w:t>
      </w:r>
      <w:r w:rsidR="002D6625">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{"citationItems":[{"id":"ITEM-1","itemData":{"author":[{"dropping-particle":"","family":"Sacavém","given":"António","non-dropping-particle":"","parse-names":false,"suffix":""},{"dropping-particle":"","family":"Machado","given":"Andreia De Bem","non-dropping-particle":"","parse-names":false,"suffix":""},{"dropping-particle":"","family":"Palma-moreira","given":"Ana","non-dropping-particle":"","parse-names":false,"suffix":""}],"id":"ITEM-1","issued":{"date-parts":[["2025"]]},"page":"1-21","title":"Leading in the Digital Age : The Role of Leadership in Organizational Digital Transformation","type":"article-journal"},"uris":["http://www.mendeley.com/documents/?uuid=89631891-6568-4fd2-8fd8-f9e1c446d785"]}],"mendeley":{"formattedCitation":"(Sacavém et al., 2025)","plainTextFormattedCitation":"(Sacavém et al., 2025)","previouslyFormattedCitation":"(Sacavém et al., 2025)"},"properties":{"noteIndex":0},"schema":"https://github.com/citation-style-language/schema/raw/master/csl-citation.json"}</w:instrText>
      </w:r>
      <w:r w:rsidR="002D6625">
        <w:rPr>
          <w:rFonts w:asciiTheme="minorBidi" w:hAnsiTheme="minorBidi" w:cstheme="minorBidi"/>
          <w:i w:val="0"/>
          <w:iCs w:val="0"/>
        </w:rPr>
        <w:fldChar w:fldCharType="separate"/>
      </w:r>
      <w:r w:rsidR="00FA55C8" w:rsidRPr="00FA55C8">
        <w:rPr>
          <w:rFonts w:asciiTheme="minorBidi" w:hAnsiTheme="minorBidi" w:cstheme="minorBidi"/>
          <w:i w:val="0"/>
          <w:iCs w:val="0"/>
        </w:rPr>
        <w:t>(Sacavém et al., 2025)</w:t>
      </w:r>
      <w:r w:rsidR="002D6625">
        <w:rPr>
          <w:rFonts w:asciiTheme="minorBidi" w:hAnsiTheme="minorBidi" w:cstheme="minorBidi"/>
          <w:i w:val="0"/>
          <w:iCs w:val="0"/>
        </w:rPr>
        <w:fldChar w:fldCharType="end"/>
      </w:r>
      <w:r w:rsidRPr="004125FF">
        <w:rPr>
          <w:rFonts w:asciiTheme="minorBidi" w:hAnsiTheme="minorBidi" w:cstheme="minorBidi"/>
          <w:i w:val="0"/>
          <w:iCs w:val="0"/>
        </w:rPr>
        <w:t>. The approach must consider future developments. The DX strategy must consider legal and tax rules, financial matters, sustainability guidelines, and governmental regulations</w:t>
      </w:r>
      <w:r w:rsidR="002D6625">
        <w:rPr>
          <w:rFonts w:asciiTheme="minorBidi" w:hAnsiTheme="minorBidi" w:cstheme="minorBidi"/>
          <w:i w:val="0"/>
          <w:iCs w:val="0"/>
        </w:rPr>
        <w:t xml:space="preserve"> </w:t>
      </w:r>
      <w:r w:rsidR="00E74147">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{"citationItems":[{"id":"ITEM-1","itemData":{"DOI":"10.3390/su152015156","abstract":"Digitalization has brought a significant improvement in process optimization and decision-making processes, in particular in pursuing the goal of sustainability. This study examines how digitalization has affected process optimization and decision-making towards sustainability, focusing on Pakistan’s manufacturing sector. This study also examines the moderating role of environmental regulations between digitalization and sustainable practices. This study is based on quantitative methodology. Purposive sampling was used to gather primary data from 554 managers and engineers working in manufacturing industries in Pakistan through a closed-ended questionnaire. Smart PLS was used for data analysis. The findings show digitalization’s positive and significant influence on process optimization and decision-making. The results also show that environmental regulations have a significant moderating effect on the digitalization of processes and decision-making towards sustainability practices. The findings provide a guideline for industries, decision-makers, and researchers for developing strategies that effectively use digitalization for sustainability and assist in achieving the Sustainable Development Goals (SGD-9, SGD-11, SGD-12, and SGD-13).","author":[{"dropping-particle":"","family":"Peng","given":"Yixuan","non-dropping-particle":"","parse-names":false,"suffix":""},{"dropping-particle":"","family":"Ahmad","given":"Sayed Fayaz","non-dropping-particle":"","parse-names":false,"suffix":""},{"dropping-particle":"","family":"Irshad","given":"Muhammad","non-dropping-particle":"","parse-names":false,"suffix":""},{"dropping-particle":"","family":"Al-Razgan","given":"Muna","non-dropping-particle":"","parse-names":false,"suffix":""},{"dropping-particle":"","family":"Ali","given":"Yasser A.","non-dropping-particle":"","parse-names":false,"suffix":""},{"dropping-particle":"","family":"Awwad","given":"Emad Marous","non-dropping-particle":"","parse-names":false,"suffix":""}],"container-title":"Sustainability","id":"ITEM-1","issue":"20","issued":{"date-parts":[["2023"]]},"page":"15156","title":"Impact of Digitalization on Process Optimization and Decision-Making towards Sustainability: The Moderating Role of Environmental Regulation","type":"article-journal","volume":"15"},"uris":["http://www.mendeley.com/documents/?uuid=72242d34-6639-41ce-b7e7-e30be506c3df"]}],"mendeley":{"formattedCitation":"(Peng et al., 2023)","plainTextFormattedCitation":"(Peng et al., 2023)","previouslyFormattedCitation":"(Peng et al., 2023)"},"properties":{"noteIndex":0},"schema":"https://github.com/citation-style-language/schema/raw/master/csl-citation.json"}</w:instrText>
      </w:r>
      <w:r w:rsidR="00E74147">
        <w:rPr>
          <w:rFonts w:asciiTheme="minorBidi" w:hAnsiTheme="minorBidi" w:cstheme="minorBidi"/>
          <w:i w:val="0"/>
          <w:iCs w:val="0"/>
        </w:rPr>
        <w:fldChar w:fldCharType="separate"/>
      </w:r>
      <w:r w:rsidR="00FA55C8" w:rsidRPr="00FA55C8">
        <w:rPr>
          <w:rFonts w:asciiTheme="minorBidi" w:hAnsiTheme="minorBidi" w:cstheme="minorBidi"/>
          <w:i w:val="0"/>
          <w:iCs w:val="0"/>
        </w:rPr>
        <w:t>(Peng et al., 2023)</w:t>
      </w:r>
      <w:r w:rsidR="00E74147">
        <w:rPr>
          <w:rFonts w:asciiTheme="minorBidi" w:hAnsiTheme="minorBidi" w:cstheme="minorBidi"/>
          <w:i w:val="0"/>
          <w:iCs w:val="0"/>
        </w:rPr>
        <w:fldChar w:fldCharType="end"/>
      </w:r>
      <w:r w:rsidRPr="004125FF">
        <w:rPr>
          <w:rFonts w:asciiTheme="minorBidi" w:hAnsiTheme="minorBidi" w:cstheme="minorBidi"/>
          <w:i w:val="0"/>
          <w:iCs w:val="0"/>
        </w:rPr>
        <w:t>. A clear strategy entails the existence of a digital transformation plan that is integrated into the organization's development strategy</w:t>
      </w:r>
      <w:r w:rsidR="00B90543">
        <w:rPr>
          <w:rFonts w:asciiTheme="minorBidi" w:hAnsiTheme="minorBidi" w:cstheme="minorBidi"/>
          <w:i w:val="0"/>
          <w:iCs w:val="0"/>
        </w:rPr>
        <w:t>, along with a comprehensive list of explicit behavio</w:t>
      </w:r>
      <w:r w:rsidRPr="004125FF">
        <w:rPr>
          <w:rFonts w:asciiTheme="minorBidi" w:hAnsiTheme="minorBidi" w:cstheme="minorBidi"/>
          <w:i w:val="0"/>
          <w:iCs w:val="0"/>
        </w:rPr>
        <w:t>rs required to attain a superior level of digital maturity. The digital transformation strategy should not disrupt the existing organisational strategy but rather integrate and enhance it, introducing essential changes, technologies, and resources to advance and improve the organization's performance metrics</w:t>
      </w:r>
      <w:r w:rsidR="00E74147">
        <w:rPr>
          <w:rFonts w:asciiTheme="minorBidi" w:hAnsiTheme="minorBidi" w:cstheme="minorBidi"/>
          <w:i w:val="0"/>
          <w:iCs w:val="0"/>
        </w:rPr>
        <w:t xml:space="preserve"> </w:t>
      </w:r>
      <w:r w:rsidR="00E74147">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DOI":"10.1007/s10961-024-10164-9","ISBN":"0123456789","ISSN":"1573-7047","author":[{"dropping-particle":"","family":"Rubio","given":"Mercedes","non-dropping-particle":"","parse-names":false,"suffix":""},{"dropping-particle":"","family":"Jorge","given":"Andrés","non-dropping-particle":"","parse-names":false,"suffix":""},{"dropping-particle":"","family":"Langreo","given":"Linuesa","non-dropping-particle":"","parse-names":false,"suffix":""},{"dropping-particle":"","family":"Gutiérrez","given":"Santiago","non-dropping-particle":"","parse-names":false,"suffix":""}],"container-title":"The Journal of Technology Transfer","id":"ITEM-1","issue":"5","issued":{"date-parts":[["2025"]]},"page":"1893-1918","publisher":"Springer US","title":"Tackling digital transformation strategy : how it affects firm innovation and organizational effectiveness","type":"article-journal","volume":"50"},"uris":["http://www.mendeley.com/documents/?uuid=6985b565-7203-42af-8f5a-388791910eb0"]}],"mendeley":{"formattedCitation":"(Rubio et al., 2025)","plainTextFormattedCitation":"(Rubio et al., 2025)","previouslyFormattedCitation":"(Rubio et al., 2025)"},"properties":{"noteIndex":0},"schema":"https://github.com/citation-style-language/schema/raw/master/csl-citation.json"}</w:instrText>
      </w:r>
      <w:r w:rsidR="00E74147">
        <w:rPr>
          <w:rFonts w:asciiTheme="minorBidi" w:hAnsiTheme="minorBidi" w:cstheme="minorBidi"/>
          <w:i w:val="0"/>
          <w:iCs w:val="0"/>
        </w:rPr>
        <w:fldChar w:fldCharType="separate"/>
      </w:r>
      <w:r w:rsidR="00FA55C8" w:rsidRPr="00FA55C8">
        <w:rPr>
          <w:rFonts w:asciiTheme="minorBidi" w:hAnsiTheme="minorBidi" w:cstheme="minorBidi"/>
          <w:i w:val="0"/>
          <w:iCs w:val="0"/>
        </w:rPr>
        <w:t>(Rubio et al., 2025)</w:t>
      </w:r>
      <w:r w:rsidR="00E74147">
        <w:rPr>
          <w:rFonts w:asciiTheme="minorBidi" w:hAnsiTheme="minorBidi" w:cstheme="minorBidi"/>
          <w:i w:val="0"/>
          <w:iCs w:val="0"/>
        </w:rPr>
        <w:fldChar w:fldCharType="end"/>
      </w:r>
      <w:r w:rsidR="004D74B5">
        <w:rPr>
          <w:rFonts w:asciiTheme="minorBidi" w:hAnsiTheme="minorBidi" w:cstheme="minorBidi"/>
          <w:i w:val="0"/>
          <w:iCs w:val="0"/>
        </w:rPr>
        <w:t xml:space="preserve">. </w:t>
      </w:r>
      <w:r w:rsidRPr="004125FF">
        <w:rPr>
          <w:rFonts w:asciiTheme="minorBidi" w:hAnsiTheme="minorBidi" w:cstheme="minorBidi"/>
          <w:i w:val="0"/>
          <w:iCs w:val="0"/>
        </w:rPr>
        <w:t>Consequently, the content derivatives of the strategic dimension encompass: (1) Vision, (2) Strategy Development, and (3) Finance and Investment.</w:t>
      </w:r>
    </w:p>
    <w:p w14:paraId="0DCFFF92" w14:textId="77777777" w:rsidR="006C784D" w:rsidRPr="004125FF" w:rsidRDefault="006C784D" w:rsidP="006C784D">
      <w:pPr>
        <w:rPr>
          <w:rFonts w:asciiTheme="minorBidi" w:hAnsiTheme="minorBidi" w:cstheme="minorBidi"/>
        </w:rPr>
      </w:pPr>
    </w:p>
    <w:p w14:paraId="0BA9569C" w14:textId="046D0F8A" w:rsidR="000D4D4C" w:rsidRPr="004125FF" w:rsidRDefault="00A44AE2" w:rsidP="000D4D4C">
      <w:pPr>
        <w:pStyle w:val="Heading4"/>
        <w:numPr>
          <w:ilvl w:val="0"/>
          <w:numId w:val="0"/>
        </w:numPr>
        <w:rPr>
          <w:rFonts w:asciiTheme="minorBidi" w:hAnsiTheme="minorBidi" w:cstheme="minorBidi"/>
          <w:b/>
          <w:bCs/>
          <w:i w:val="0"/>
          <w:iCs w:val="0"/>
        </w:rPr>
      </w:pPr>
      <w:r>
        <w:rPr>
          <w:rFonts w:asciiTheme="minorBidi" w:hAnsiTheme="minorBidi" w:cstheme="minorBidi"/>
          <w:b/>
          <w:bCs/>
          <w:i w:val="0"/>
          <w:iCs w:val="0"/>
        </w:rPr>
        <w:t>3.6</w:t>
      </w:r>
      <w:r w:rsidR="000D4D4C" w:rsidRPr="004125FF">
        <w:rPr>
          <w:rFonts w:asciiTheme="minorBidi" w:hAnsiTheme="minorBidi" w:cstheme="minorBidi"/>
          <w:b/>
          <w:bCs/>
          <w:i w:val="0"/>
          <w:iCs w:val="0"/>
        </w:rPr>
        <w:t>.3 Technology</w:t>
      </w:r>
    </w:p>
    <w:p w14:paraId="6CF0B3D7" w14:textId="77777777" w:rsidR="006C784D" w:rsidRPr="004125FF" w:rsidRDefault="006C784D" w:rsidP="000D4D4C">
      <w:pPr>
        <w:jc w:val="both"/>
        <w:rPr>
          <w:rFonts w:asciiTheme="minorBidi" w:hAnsiTheme="minorBidi" w:cstheme="minorBidi"/>
        </w:rPr>
      </w:pPr>
    </w:p>
    <w:p w14:paraId="4D7398EE" w14:textId="615189A6" w:rsidR="000D4D4C" w:rsidRPr="004125FF" w:rsidRDefault="000D4D4C" w:rsidP="00FA55C8">
      <w:pPr>
        <w:jc w:val="both"/>
        <w:rPr>
          <w:rFonts w:asciiTheme="minorBidi" w:hAnsiTheme="minorBidi" w:cstheme="minorBidi"/>
        </w:rPr>
      </w:pPr>
      <w:r w:rsidRPr="004125FF">
        <w:rPr>
          <w:rFonts w:asciiTheme="minorBidi" w:hAnsiTheme="minorBidi" w:cstheme="minorBidi"/>
        </w:rPr>
        <w:lastRenderedPageBreak/>
        <w:t>Technology is a crucial motivator for digital transformation. The shortage of technology renders the digitisation process difficult</w:t>
      </w:r>
      <w:r w:rsidR="00E74147">
        <w:rPr>
          <w:rFonts w:asciiTheme="minorBidi" w:hAnsiTheme="minorBidi" w:cstheme="minorBidi"/>
        </w:rPr>
        <w:t xml:space="preserve"> </w:t>
      </w:r>
      <w:r w:rsidR="00E74147">
        <w:rPr>
          <w:rFonts w:asciiTheme="minorBidi" w:hAnsiTheme="minorBidi" w:cstheme="minorBidi"/>
        </w:rPr>
        <w:fldChar w:fldCharType="begin" w:fldLock="1"/>
      </w:r>
      <w:r w:rsidR="004D74B5">
        <w:rPr>
          <w:rFonts w:asciiTheme="minorBidi" w:hAnsiTheme="minorBidi" w:cstheme="minorBidi"/>
        </w:rPr>
        <w:instrText>ADDIN CSL_CITATION {"citationItems":[{"id":"ITEM-1","itemData":{"DOI":"10.1016/j.im.2024.103996","author":[{"dropping-particle":"","family":"Westergren","given":"Ulrika H","non-dropping-particle":"","parse-names":false,"suffix":""},{"dropping-particle":"","family":"Viktor","given":"M","non-dropping-particle":"","parse-names":false,"suffix":""},{"dropping-particle":"","family":"Jadaan","given":"Taline","non-dropping-particle":"","parse-names":false,"suffix":""}],"id":"ITEM-1","issue":"February 2023","issued":{"date-parts":[["2024"]]},"title":"Information &amp; Management Enabling digital transformation : Organizational implementation of the internet of things","type":"article-journal","volume":"61"},"uris":["http://www.mendeley.com/documents/?uuid=a424b0f5-cb51-4212-968c-f13c297e2ee3"]}],"mendeley":{"formattedCitation":"(Westergren et al., 2024)","plainTextFormattedCitation":"(Westergren et al., 2024)","previouslyFormattedCitation":"(Westergren et al., 2024)"},"properties":{"noteIndex":0},"schema":"https://github.com/citation-style-language/schema/raw/master/csl-citation.json"}</w:instrText>
      </w:r>
      <w:r w:rsidR="00E74147">
        <w:rPr>
          <w:rFonts w:asciiTheme="minorBidi" w:hAnsiTheme="minorBidi" w:cstheme="minorBidi"/>
        </w:rPr>
        <w:fldChar w:fldCharType="separate"/>
      </w:r>
      <w:r w:rsidR="00FA55C8" w:rsidRPr="00FA55C8">
        <w:rPr>
          <w:rFonts w:asciiTheme="minorBidi" w:hAnsiTheme="minorBidi" w:cstheme="minorBidi"/>
          <w:noProof/>
        </w:rPr>
        <w:t>(Westergren et al., 2024)</w:t>
      </w:r>
      <w:r w:rsidR="00E74147">
        <w:rPr>
          <w:rFonts w:asciiTheme="minorBidi" w:hAnsiTheme="minorBidi" w:cstheme="minorBidi"/>
        </w:rPr>
        <w:fldChar w:fldCharType="end"/>
      </w:r>
      <w:r w:rsidRPr="004125FF">
        <w:rPr>
          <w:rFonts w:asciiTheme="minorBidi" w:hAnsiTheme="minorBidi" w:cstheme="minorBidi"/>
        </w:rPr>
        <w:t>. Digital maturity necessitates a corresponding level of digital competence among employees during the digital transformation process</w:t>
      </w:r>
      <w:r w:rsidR="00E74147">
        <w:rPr>
          <w:rFonts w:asciiTheme="minorBidi" w:hAnsiTheme="minorBidi" w:cstheme="minorBidi"/>
        </w:rPr>
        <w:t xml:space="preserve"> </w:t>
      </w:r>
      <w:r w:rsidR="00E74147">
        <w:rPr>
          <w:rFonts w:asciiTheme="minorBidi" w:hAnsiTheme="minorBidi" w:cstheme="minorBidi"/>
        </w:rPr>
        <w:fldChar w:fldCharType="begin" w:fldLock="1"/>
      </w:r>
      <w:r w:rsidR="004D74B5">
        <w:rPr>
          <w:rFonts w:asciiTheme="minorBidi" w:hAnsiTheme="minorBidi" w:cstheme="minorBidi"/>
        </w:rPr>
        <w:instrText>ADDIN CSL_CITATION {"citationItems":[{"id":"ITEM-1","itemData":{"DOI":"10.1016/j.iref.2025.103971","ISSN":"1059-0560","author":[{"dropping-particle":"","family":"Jie","given":"Honglan","non-dropping-particle":"","parse-names":false,"suffix":""},{"dropping-particle":"","family":"Mow","given":"Leong","non-dropping-particle":"","parse-names":false,"suffix":""},{"dropping-particle":"","family":"Lou","given":"Yanchun","non-dropping-particle":"","parse-names":false,"suffix":""}],"container-title":"International Review of Economics and Finance","id":"ITEM-1","issue":"November 2024","issued":{"date-parts":[["2025"]]},"page":"103971","publisher":"Elsevier Inc.","title":"Digital maturity , dynamic capabilities and innovation performance in high-tech SMEs","type":"article-journal","volume":"99"},"uris":["http://www.mendeley.com/documents/?uuid=c33ac940-e3df-4130-8605-c829b13cf771"]}],"mendeley":{"formattedCitation":"(Jie et al., 2025)","plainTextFormattedCitation":"(Jie et al., 2025)","previouslyFormattedCitation":"(Jie et al., 2025)"},"properties":{"noteIndex":0},"schema":"https://github.com/citation-style-language/schema/raw/master/csl-citation.json"}</w:instrText>
      </w:r>
      <w:r w:rsidR="00E74147">
        <w:rPr>
          <w:rFonts w:asciiTheme="minorBidi" w:hAnsiTheme="minorBidi" w:cstheme="minorBidi"/>
        </w:rPr>
        <w:fldChar w:fldCharType="separate"/>
      </w:r>
      <w:r w:rsidR="00FA55C8" w:rsidRPr="00FA55C8">
        <w:rPr>
          <w:rFonts w:asciiTheme="minorBidi" w:hAnsiTheme="minorBidi" w:cstheme="minorBidi"/>
          <w:noProof/>
        </w:rPr>
        <w:t>(Jie et al., 2025)</w:t>
      </w:r>
      <w:r w:rsidR="00E74147">
        <w:rPr>
          <w:rFonts w:asciiTheme="minorBidi" w:hAnsiTheme="minorBidi" w:cstheme="minorBidi"/>
        </w:rPr>
        <w:fldChar w:fldCharType="end"/>
      </w:r>
      <w:r w:rsidRPr="004125FF">
        <w:rPr>
          <w:rFonts w:asciiTheme="minorBidi" w:hAnsiTheme="minorBidi" w:cstheme="minorBidi"/>
        </w:rPr>
        <w:t>. To increase the likelihood of a successful digital transformation project, its technological needs must be specified. Infrastructure, business processes, development, and integration are among the technological necessities for digital transformation projects</w:t>
      </w:r>
      <w:r w:rsidR="00E74147">
        <w:rPr>
          <w:rFonts w:asciiTheme="minorBidi" w:hAnsiTheme="minorBidi" w:cstheme="minorBidi"/>
        </w:rPr>
        <w:t xml:space="preserve"> </w:t>
      </w:r>
      <w:r w:rsidR="00E74147">
        <w:rPr>
          <w:rFonts w:asciiTheme="minorBidi" w:hAnsiTheme="minorBidi" w:cstheme="minorBidi"/>
        </w:rPr>
        <w:fldChar w:fldCharType="begin" w:fldLock="1"/>
      </w:r>
      <w:r w:rsidR="004D74B5">
        <w:rPr>
          <w:rFonts w:asciiTheme="minorBidi" w:hAnsiTheme="minorBidi" w:cstheme="minorBidi"/>
        </w:rPr>
        <w:instrText>ADDIN CSL_CITATION {"citationItems":[{"id":"ITEM-1","itemData":{"DOI":"10.4018/978-1-7998-4882-0.ch001","ISBN":"9781799848820","author":[{"dropping-particle":"","family":"Pelser","given":"Theuns","non-dropping-particle":"","parse-names":false,"suffix":""},{"dropping-particle":"","family":"Gaffley","given":"Garth","non-dropping-particle":"","parse-names":false,"suffix":""}],"id":"ITEM-1","issue":"July","issued":{"date-parts":[["2021"]]},"title":"Promoting Inclusive Growth in the Fourth Industrial Revolution","type":"book"},"uris":["http://www.mendeley.com/documents/?uuid=ad14edff-33b1-4555-8537-c69b3d944a6d"]}],"mendeley":{"formattedCitation":"(Pelser &amp; Gaffley, 2021)","plainTextFormattedCitation":"(Pelser &amp; Gaffley, 2021)","previouslyFormattedCitation":"(Pelser &amp; Gaffley, 2021)"},"properties":{"noteIndex":0},"schema":"https://github.com/citation-style-language/schema/raw/master/csl-citation.json"}</w:instrText>
      </w:r>
      <w:r w:rsidR="00E74147">
        <w:rPr>
          <w:rFonts w:asciiTheme="minorBidi" w:hAnsiTheme="minorBidi" w:cstheme="minorBidi"/>
        </w:rPr>
        <w:fldChar w:fldCharType="separate"/>
      </w:r>
      <w:r w:rsidR="00FA55C8" w:rsidRPr="00FA55C8">
        <w:rPr>
          <w:rFonts w:asciiTheme="minorBidi" w:hAnsiTheme="minorBidi" w:cstheme="minorBidi"/>
          <w:noProof/>
        </w:rPr>
        <w:t>(Pelser &amp; Gaffley, 2021)</w:t>
      </w:r>
      <w:r w:rsidR="00E74147">
        <w:rPr>
          <w:rFonts w:asciiTheme="minorBidi" w:hAnsiTheme="minorBidi" w:cstheme="minorBidi"/>
        </w:rPr>
        <w:fldChar w:fldCharType="end"/>
      </w:r>
      <w:r w:rsidRPr="004125FF">
        <w:rPr>
          <w:rFonts w:asciiTheme="minorBidi" w:hAnsiTheme="minorBidi" w:cstheme="minorBidi"/>
        </w:rPr>
        <w:t>. Technology utilisation, including application development, must adhere to the principles of agile software development and IT security management. These processes are crucial to the organization's digital transformation path. Data processing and security systems are vital components of technology</w:t>
      </w:r>
      <w:r w:rsidR="00E74147">
        <w:rPr>
          <w:rFonts w:asciiTheme="minorBidi" w:hAnsiTheme="minorBidi" w:cstheme="minorBidi"/>
        </w:rPr>
        <w:t xml:space="preserve"> </w:t>
      </w:r>
      <w:r w:rsidR="00E74147">
        <w:rPr>
          <w:rFonts w:asciiTheme="minorBidi" w:hAnsiTheme="minorBidi" w:cstheme="minorBidi"/>
        </w:rPr>
        <w:fldChar w:fldCharType="begin" w:fldLock="1"/>
      </w:r>
      <w:r w:rsidR="004D74B5">
        <w:rPr>
          <w:rFonts w:asciiTheme="minorBidi" w:hAnsiTheme="minorBidi" w:cstheme="minorBidi"/>
        </w:rPr>
        <w:instrText>ADDIN CSL_CITATION {"citationItems":[{"id":"ITEM-1","itemData":{"DOI":"10.1016/j.jik.2024.100638","ISSN":"2444-569X","author":[{"dropping-particle":"","family":"Jiao","given":"Hao","non-dropping-particle":"","parse-names":false,"suffix":""},{"dropping-particle":"","family":"Wang","given":"Tang","non-dropping-particle":"","parse-names":false,"suffix":""},{"dropping-particle":"","family":"Libaers","given":"Dirk","non-dropping-particle":"","parse-names":false,"suffix":""},{"dropping-particle":"","family":"Yang","given":"Jifeng","non-dropping-particle":"","parse-names":false,"suffix":""},{"dropping-particle":"","family":"Hu","given":"Lingshu","non-dropping-particle":"","parse-names":false,"suffix":""}],"container-title":"Journal of Innovation &amp; Knowledge","id":"ITEM-1","issue":"1","issued":{"date-parts":[["2025"]]},"page":"100638","publisher":"Elsevier España, S.L.U.","title":"The relationship between digital technologies and innovation : A review , critique , and research agenda","type":"article-journal","volume":"10"},"uris":["http://www.mendeley.com/documents/?uuid=50cabfbc-1008-4053-8321-f1c6a1dbca13"]}],"mendeley":{"formattedCitation":"(Jiao et al., 2025)","plainTextFormattedCitation":"(Jiao et al., 2025)","previouslyFormattedCitation":"(Jiao et al., 2025)"},"properties":{"noteIndex":0},"schema":"https://github.com/citation-style-language/schema/raw/master/csl-citation.json"}</w:instrText>
      </w:r>
      <w:r w:rsidR="00E74147">
        <w:rPr>
          <w:rFonts w:asciiTheme="minorBidi" w:hAnsiTheme="minorBidi" w:cstheme="minorBidi"/>
        </w:rPr>
        <w:fldChar w:fldCharType="separate"/>
      </w:r>
      <w:r w:rsidR="00FA55C8" w:rsidRPr="00FA55C8">
        <w:rPr>
          <w:rFonts w:asciiTheme="minorBidi" w:hAnsiTheme="minorBidi" w:cstheme="minorBidi"/>
          <w:noProof/>
        </w:rPr>
        <w:t>(Jiao et al., 2025)</w:t>
      </w:r>
      <w:r w:rsidR="00E74147">
        <w:rPr>
          <w:rFonts w:asciiTheme="minorBidi" w:hAnsiTheme="minorBidi" w:cstheme="minorBidi"/>
        </w:rPr>
        <w:fldChar w:fldCharType="end"/>
      </w:r>
      <w:r w:rsidRPr="004125FF">
        <w:rPr>
          <w:rFonts w:asciiTheme="minorBidi" w:hAnsiTheme="minorBidi" w:cstheme="minorBidi"/>
        </w:rPr>
        <w:t>. The infrastructure of digital transformation features advanced IT technologies, emphasizing the utilization of computers and computer networks (both wired and wireless), as well as the nature and type of internet connectivity, including fixed and cellular broadband, or other permanent connections</w:t>
      </w:r>
      <w:r w:rsidR="00E74147">
        <w:rPr>
          <w:rFonts w:asciiTheme="minorBidi" w:hAnsiTheme="minorBidi" w:cstheme="minorBidi"/>
        </w:rPr>
        <w:t xml:space="preserve"> </w:t>
      </w:r>
      <w:r w:rsidR="00E74147">
        <w:rPr>
          <w:rFonts w:asciiTheme="minorBidi" w:hAnsiTheme="minorBidi" w:cstheme="minorBidi"/>
        </w:rPr>
        <w:fldChar w:fldCharType="begin" w:fldLock="1"/>
      </w:r>
      <w:r w:rsidR="004D74B5">
        <w:rPr>
          <w:rFonts w:asciiTheme="minorBidi" w:hAnsiTheme="minorBidi" w:cstheme="minorBidi"/>
        </w:rPr>
        <w:instrText>ADDIN CSL_CITATION {"citationItems":[{"id":"ITEM-1","itemData":{"author":[{"dropping-particle":"","family":"Moghaddam","given":"Shahriar Shirvani","non-dropping-particle":"","parse-names":false,"suffix":""}],"id":"ITEM-1","issued":{"date-parts":[["2024"]]},"title":"The Past , Present , and Future of the Internet : A Statistical , Technical , and Functional Comparison of Wired / Wireless Fixed / Mobile Internet","type":"article-journal"},"uris":["http://www.mendeley.com/documents/?uuid=26bf8dea-06bc-4b0f-b046-a096a8f09d53"]}],"mendeley":{"formattedCitation":"(Moghaddam, 2024)","plainTextFormattedCitation":"(Moghaddam, 2024)","previouslyFormattedCitation":"(Moghaddam, 2024)"},"properties":{"noteIndex":0},"schema":"https://github.com/citation-style-language/schema/raw/master/csl-citation.json"}</w:instrText>
      </w:r>
      <w:r w:rsidR="00E74147">
        <w:rPr>
          <w:rFonts w:asciiTheme="minorBidi" w:hAnsiTheme="minorBidi" w:cstheme="minorBidi"/>
        </w:rPr>
        <w:fldChar w:fldCharType="separate"/>
      </w:r>
      <w:r w:rsidR="00FA55C8" w:rsidRPr="00FA55C8">
        <w:rPr>
          <w:rFonts w:asciiTheme="minorBidi" w:hAnsiTheme="minorBidi" w:cstheme="minorBidi"/>
          <w:noProof/>
        </w:rPr>
        <w:t>(Moghaddam, 2024)</w:t>
      </w:r>
      <w:r w:rsidR="00E74147">
        <w:rPr>
          <w:rFonts w:asciiTheme="minorBidi" w:hAnsiTheme="minorBidi" w:cstheme="minorBidi"/>
        </w:rPr>
        <w:fldChar w:fldCharType="end"/>
      </w:r>
      <w:r w:rsidR="00FA55C8">
        <w:rPr>
          <w:rFonts w:asciiTheme="minorBidi" w:hAnsiTheme="minorBidi" w:cstheme="minorBidi"/>
        </w:rPr>
        <w:t>.</w:t>
      </w:r>
      <w:r w:rsidRPr="004125FF">
        <w:rPr>
          <w:rFonts w:asciiTheme="minorBidi" w:hAnsiTheme="minorBidi" w:cstheme="minorBidi"/>
        </w:rPr>
        <w:t xml:space="preserve"> Sustaining IT infrastructure improvement is the cornerstone of ensuring high-level digital maturity. Technology dimensions consist of (1) IT Infrastructure, (2) Integration and Automation, and (3) Security Management.</w:t>
      </w:r>
    </w:p>
    <w:p w14:paraId="0504431E" w14:textId="77777777" w:rsidR="006C784D" w:rsidRPr="004125FF" w:rsidRDefault="006C784D" w:rsidP="006C784D">
      <w:pPr>
        <w:jc w:val="both"/>
        <w:rPr>
          <w:rFonts w:asciiTheme="minorBidi" w:hAnsiTheme="minorBidi" w:cstheme="minorBidi"/>
          <w:sz w:val="24"/>
          <w:szCs w:val="24"/>
        </w:rPr>
      </w:pPr>
    </w:p>
    <w:p w14:paraId="27A1189A" w14:textId="0602682C" w:rsidR="000D4D4C" w:rsidRPr="004125FF" w:rsidRDefault="00A44AE2" w:rsidP="000D4D4C">
      <w:pPr>
        <w:pStyle w:val="Heading4"/>
        <w:numPr>
          <w:ilvl w:val="0"/>
          <w:numId w:val="0"/>
        </w:numPr>
        <w:rPr>
          <w:rFonts w:asciiTheme="minorBidi" w:hAnsiTheme="minorBidi" w:cstheme="minorBidi"/>
          <w:b/>
          <w:bCs/>
          <w:i w:val="0"/>
          <w:iCs w:val="0"/>
        </w:rPr>
      </w:pPr>
      <w:r>
        <w:rPr>
          <w:rFonts w:asciiTheme="minorBidi" w:hAnsiTheme="minorBidi" w:cstheme="minorBidi"/>
          <w:b/>
          <w:bCs/>
          <w:i w:val="0"/>
          <w:iCs w:val="0"/>
        </w:rPr>
        <w:t>3.6</w:t>
      </w:r>
      <w:r w:rsidR="000D4D4C" w:rsidRPr="004125FF">
        <w:rPr>
          <w:rFonts w:asciiTheme="minorBidi" w:hAnsiTheme="minorBidi" w:cstheme="minorBidi"/>
          <w:b/>
          <w:bCs/>
          <w:i w:val="0"/>
          <w:iCs w:val="0"/>
        </w:rPr>
        <w:t>.4 Organization</w:t>
      </w:r>
    </w:p>
    <w:p w14:paraId="5553264A" w14:textId="77777777" w:rsidR="006C784D" w:rsidRPr="004125FF" w:rsidRDefault="006C784D" w:rsidP="000D4D4C">
      <w:pPr>
        <w:jc w:val="both"/>
        <w:rPr>
          <w:rFonts w:asciiTheme="minorBidi" w:eastAsia="Times New Roman" w:hAnsiTheme="minorBidi" w:cstheme="minorBidi"/>
          <w:lang w:eastAsia="en-GB"/>
        </w:rPr>
      </w:pPr>
    </w:p>
    <w:p w14:paraId="6A39881C" w14:textId="47815A13" w:rsidR="000D4D4C" w:rsidRPr="004125FF" w:rsidRDefault="000D4D4C" w:rsidP="00FA55C8">
      <w:pPr>
        <w:jc w:val="both"/>
        <w:rPr>
          <w:rFonts w:asciiTheme="minorBidi" w:eastAsia="Times New Roman" w:hAnsiTheme="minorBidi" w:cstheme="minorBidi"/>
          <w:lang w:eastAsia="en-GB"/>
        </w:rPr>
      </w:pPr>
      <w:r w:rsidRPr="004125FF">
        <w:rPr>
          <w:rFonts w:asciiTheme="minorBidi" w:eastAsia="Times New Roman" w:hAnsiTheme="minorBidi" w:cstheme="minorBidi"/>
          <w:lang w:eastAsia="en-GB"/>
        </w:rPr>
        <w:t>The Enterprise Resilience Framework (ERF) refers to a company's ability to quickly and efficiently adapt to internal and external changes, such as market fluctuations, customer demands, or emerging technologies, to maintain a competitive advantage. This procedure encompasses adaptable strategies, frameworks, and processes, along with a culture of continuous development and experimentation, enabling organizations to capitalize on opportunities and bolster their resilience in the face of challenges</w:t>
      </w:r>
      <w:r w:rsidR="00E74147">
        <w:rPr>
          <w:rFonts w:asciiTheme="minorBidi" w:eastAsia="Times New Roman" w:hAnsiTheme="minorBidi" w:cstheme="minorBidi"/>
          <w:lang w:eastAsia="en-GB"/>
        </w:rPr>
        <w:t xml:space="preserve"> </w:t>
      </w:r>
      <w:r w:rsidR="00E74147">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DOI":"10.1007/978-3-031-29344-3","ISBN":"9783031293443","author":[{"dropping-particle":"","family":"Dindarian","given":"Khalil","non-dropping-particle":"","parse-names":false,"suffix":""}],"id":"ITEM-1","issue":"August","issued":{"date-parts":[["2023"]]},"title":"Exploring enterprise resilience through the theoretical lens of complexity : a case study situated in the high value- manufacturing sector","type":"book"},"uris":["http://www.mendeley.com/documents/?uuid=85d0c5af-5ff7-42b2-add7-eade5a14aaae"]}],"mendeley":{"formattedCitation":"(Dindarian, 2023)","plainTextFormattedCitation":"(Dindarian, 2023)","previouslyFormattedCitation":"(Dindarian, 2023)"},"properties":{"noteIndex":0},"schema":"https://github.com/citation-style-language/schema/raw/master/csl-citation.json"}</w:instrText>
      </w:r>
      <w:r w:rsidR="00E74147">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(Dindarian, 2023)</w:t>
      </w:r>
      <w:r w:rsidR="00E74147">
        <w:rPr>
          <w:rFonts w:asciiTheme="minorBidi" w:eastAsia="Times New Roman" w:hAnsiTheme="minorBidi" w:cstheme="minorBidi"/>
          <w:lang w:eastAsia="en-GB"/>
        </w:rPr>
        <w:fldChar w:fldCharType="end"/>
      </w:r>
      <w:r w:rsidRPr="004125FF">
        <w:rPr>
          <w:rFonts w:asciiTheme="minorBidi" w:eastAsia="Times New Roman" w:hAnsiTheme="minorBidi" w:cstheme="minorBidi"/>
          <w:lang w:eastAsia="en-GB"/>
        </w:rPr>
        <w:t>. An organization must have a sustainable learning management (SLM) approach coupled with digital maturity, which entails establishing a learning ecosystem that fosters continuous digital transformation and adheres to ethical and environmentally responsible practices throughout the organization's digital journey. Essential elements encompass the augmentation of digital literacy and competencies, the establishment of a targeted strategic vision for sustainable digital initiatives, the promotion of a nimble and adaptive corporate culture, and the application of digital tools to enhance collaboration and data-informed dec</w:t>
      </w:r>
      <w:r w:rsidR="00E74147">
        <w:rPr>
          <w:rFonts w:asciiTheme="minorBidi" w:eastAsia="Times New Roman" w:hAnsiTheme="minorBidi" w:cstheme="minorBidi"/>
          <w:lang w:eastAsia="en-GB"/>
        </w:rPr>
        <w:t xml:space="preserve">ision-making </w:t>
      </w:r>
      <w:r w:rsidR="00E74147">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author":[{"dropping-particle":"","family":"Marçal","given":"Marcela","non-dropping-particle":"","parse-names":false,"suffix":""},{"dropping-particle":"","family":"Pinto","given":"Alves","non-dropping-particle":"","parse-names":false,"suffix":""}],"id":"ITEM-1","issued":{"date-parts":[["2024"]]},"title":"Sustainable Digital Transformation Roadmaps for SMEs : A Systematic Literature Review","type":"article-journal"},"uris":["http://www.mendeley.com/documents/?uuid=2f7ff973-c201-460c-8c9d-fd824478941f"]}],"mendeley":{"formattedCitation":"(Marçal &amp; Pinto, 2024)","plainTextFormattedCitation":"(Marçal &amp; Pinto, 2024)","previouslyFormattedCitation":"(Marçal &amp; Pinto, 2024)"},"properties":{"noteIndex":0},"schema":"https://github.com/citation-style-language/schema/raw/master/csl-citation.json"}</w:instrText>
      </w:r>
      <w:r w:rsidR="00E74147">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(Marçal &amp; Pinto, 2024)</w:t>
      </w:r>
      <w:r w:rsidR="00E74147">
        <w:rPr>
          <w:rFonts w:asciiTheme="minorBidi" w:eastAsia="Times New Roman" w:hAnsiTheme="minorBidi" w:cstheme="minorBidi"/>
          <w:lang w:eastAsia="en-GB"/>
        </w:rPr>
        <w:fldChar w:fldCharType="end"/>
      </w:r>
      <w:r w:rsidR="00FA55C8">
        <w:rPr>
          <w:rFonts w:asciiTheme="minorBidi" w:eastAsia="Times New Roman" w:hAnsiTheme="minorBidi" w:cstheme="minorBidi"/>
          <w:lang w:eastAsia="en-GB"/>
        </w:rPr>
        <w:t xml:space="preserve">. </w:t>
      </w:r>
      <w:r w:rsidRPr="004125FF">
        <w:rPr>
          <w:rFonts w:asciiTheme="minorBidi" w:eastAsia="Times New Roman" w:hAnsiTheme="minorBidi" w:cstheme="minorBidi"/>
          <w:lang w:eastAsia="en-GB"/>
        </w:rPr>
        <w:t xml:space="preserve">In certain instances, laws and regulations may obstruct the implementation of modern technologies. Engagement with legislative entities is crucial </w:t>
      </w:r>
      <w:r w:rsidR="00B90543">
        <w:rPr>
          <w:rFonts w:asciiTheme="minorBidi" w:eastAsia="Times New Roman" w:hAnsiTheme="minorBidi" w:cstheme="minorBidi"/>
          <w:lang w:eastAsia="en-GB"/>
        </w:rPr>
        <w:t>for modifying legislation in alignment with technological progress, particular</w:t>
      </w:r>
      <w:r w:rsidRPr="004125FF">
        <w:rPr>
          <w:rFonts w:asciiTheme="minorBidi" w:eastAsia="Times New Roman" w:hAnsiTheme="minorBidi" w:cstheme="minorBidi"/>
          <w:lang w:eastAsia="en-GB"/>
        </w:rPr>
        <w:t>ly in domains such as data protection, e-commerce, and cybersecurity</w:t>
      </w:r>
      <w:r w:rsidR="00E74147">
        <w:rPr>
          <w:rFonts w:asciiTheme="minorBidi" w:eastAsia="Times New Roman" w:hAnsiTheme="minorBidi" w:cstheme="minorBidi"/>
          <w:lang w:eastAsia="en-GB"/>
        </w:rPr>
        <w:t xml:space="preserve"> </w:t>
      </w:r>
      <w:r w:rsidR="00E74147">
        <w:rPr>
          <w:rFonts w:asciiTheme="minorBidi" w:eastAsia="Times New Roman" w:hAnsiTheme="minorBidi" w:cstheme="minorBidi"/>
          <w:lang w:eastAsia="en-GB"/>
        </w:rPr>
        <w:fldChar w:fldCharType="begin" w:fldLock="1"/>
      </w:r>
      <w:r w:rsidR="004D74B5">
        <w:rPr>
          <w:rFonts w:asciiTheme="minorBidi" w:eastAsia="Times New Roman" w:hAnsiTheme="minorBidi" w:cstheme="minorBidi"/>
          <w:lang w:eastAsia="en-GB"/>
        </w:rPr>
        <w:instrText>ADDIN CSL_CITATION {"citationItems":[{"id":"ITEM-1","itemData":{"author":[{"dropping-particle":"","family":"Mori","given":"Zlatan","non-dropping-particle":"","parse-names":false,"suffix":""}],"id":"ITEM-1","issue":"September 2023","issued":{"date-parts":[["2024"]]},"page":"731-761","title":"Protection of Personal Data in the Context of E-Commerce","type":"article-journal"},"uris":["http://www.mendeley.com/documents/?uuid=0f9639e8-f1b8-4a4a-a35b-009c238816fa"]}],"mendeley":{"formattedCitation":"(Mori, 2024)","plainTextFormattedCitation":"(Mori, 2024)","previouslyFormattedCitation":"(Mori, 2024)"},"properties":{"noteIndex":0},"schema":"https://github.com/citation-style-language/schema/raw/master/csl-citation.json"}</w:instrText>
      </w:r>
      <w:r w:rsidR="00E74147">
        <w:rPr>
          <w:rFonts w:asciiTheme="minorBidi" w:eastAsia="Times New Roman" w:hAnsiTheme="minorBidi" w:cstheme="minorBidi"/>
          <w:lang w:eastAsia="en-GB"/>
        </w:rPr>
        <w:fldChar w:fldCharType="separate"/>
      </w:r>
      <w:r w:rsidR="00FA55C8" w:rsidRPr="00FA55C8">
        <w:rPr>
          <w:rFonts w:asciiTheme="minorBidi" w:eastAsia="Times New Roman" w:hAnsiTheme="minorBidi" w:cstheme="minorBidi"/>
          <w:noProof/>
          <w:lang w:eastAsia="en-GB"/>
        </w:rPr>
        <w:t>(Mori, 2024)</w:t>
      </w:r>
      <w:r w:rsidR="00E74147">
        <w:rPr>
          <w:rFonts w:asciiTheme="minorBidi" w:eastAsia="Times New Roman" w:hAnsiTheme="minorBidi" w:cstheme="minorBidi"/>
          <w:lang w:eastAsia="en-GB"/>
        </w:rPr>
        <w:fldChar w:fldCharType="end"/>
      </w:r>
      <w:r w:rsidRPr="004125FF">
        <w:rPr>
          <w:rFonts w:asciiTheme="minorBidi" w:eastAsia="Times New Roman" w:hAnsiTheme="minorBidi" w:cstheme="minorBidi"/>
          <w:lang w:eastAsia="en-GB"/>
        </w:rPr>
        <w:t>. The organisational and structural components encompass (1) Organization Agility, (2) Sustainable Learning Management, and (3) Law Restrictions.</w:t>
      </w:r>
    </w:p>
    <w:p w14:paraId="3F6FC34F" w14:textId="5D681E58" w:rsidR="006C784D" w:rsidRPr="004125FF" w:rsidRDefault="006C784D" w:rsidP="000D4D4C">
      <w:pPr>
        <w:jc w:val="both"/>
        <w:rPr>
          <w:rFonts w:asciiTheme="minorBidi" w:eastAsia="Times New Roman" w:hAnsiTheme="minorBidi" w:cstheme="minorBidi"/>
          <w:lang w:eastAsia="en-GB"/>
        </w:rPr>
      </w:pPr>
    </w:p>
    <w:p w14:paraId="7E610BFA" w14:textId="77777777" w:rsidR="006C784D" w:rsidRPr="004125FF" w:rsidRDefault="006C784D" w:rsidP="000D4D4C">
      <w:pPr>
        <w:jc w:val="both"/>
        <w:rPr>
          <w:rFonts w:asciiTheme="minorBidi" w:eastAsia="Times New Roman" w:hAnsiTheme="minorBidi" w:cstheme="minorBidi"/>
          <w:lang w:eastAsia="en-GB"/>
        </w:rPr>
      </w:pPr>
    </w:p>
    <w:p w14:paraId="3C2794E8" w14:textId="5229DAB2" w:rsidR="000D4D4C" w:rsidRPr="00C40962" w:rsidRDefault="00A44AE2" w:rsidP="00B06696">
      <w:pPr>
        <w:pStyle w:val="Heading4"/>
        <w:numPr>
          <w:ilvl w:val="0"/>
          <w:numId w:val="0"/>
        </w:numPr>
        <w:rPr>
          <w:rFonts w:asciiTheme="minorBidi" w:hAnsiTheme="minorBidi" w:cstheme="minorBidi"/>
          <w:b/>
          <w:bCs/>
          <w:i w:val="0"/>
          <w:iCs w:val="0"/>
        </w:rPr>
      </w:pPr>
      <w:r>
        <w:rPr>
          <w:rFonts w:asciiTheme="minorBidi" w:hAnsiTheme="minorBidi" w:cstheme="minorBidi"/>
          <w:b/>
          <w:bCs/>
          <w:i w:val="0"/>
          <w:iCs w:val="0"/>
        </w:rPr>
        <w:t>3.6</w:t>
      </w:r>
      <w:r w:rsidR="000D4D4C" w:rsidRPr="00C40962">
        <w:rPr>
          <w:rFonts w:asciiTheme="minorBidi" w:hAnsiTheme="minorBidi" w:cstheme="minorBidi"/>
          <w:b/>
          <w:bCs/>
          <w:i w:val="0"/>
          <w:iCs w:val="0"/>
        </w:rPr>
        <w:t xml:space="preserve">.5 </w:t>
      </w:r>
      <w:r w:rsidR="006C784D" w:rsidRPr="00C40962">
        <w:rPr>
          <w:rFonts w:asciiTheme="minorBidi" w:hAnsiTheme="minorBidi" w:cstheme="minorBidi"/>
          <w:b/>
          <w:bCs/>
          <w:i w:val="0"/>
          <w:iCs w:val="0"/>
        </w:rPr>
        <w:t>C</w:t>
      </w:r>
      <w:r w:rsidR="000D4D4C" w:rsidRPr="00C40962">
        <w:rPr>
          <w:rFonts w:asciiTheme="minorBidi" w:hAnsiTheme="minorBidi" w:cstheme="minorBidi"/>
          <w:b/>
          <w:bCs/>
          <w:i w:val="0"/>
          <w:iCs w:val="0"/>
        </w:rPr>
        <w:t>ulture</w:t>
      </w:r>
    </w:p>
    <w:p w14:paraId="53EE4889" w14:textId="77777777" w:rsidR="006C784D" w:rsidRPr="004125FF" w:rsidRDefault="006C784D" w:rsidP="00B06696">
      <w:pPr>
        <w:pStyle w:val="Heading4"/>
        <w:numPr>
          <w:ilvl w:val="0"/>
          <w:numId w:val="0"/>
        </w:numPr>
        <w:rPr>
          <w:rFonts w:asciiTheme="minorBidi" w:hAnsiTheme="minorBidi" w:cstheme="minorBidi"/>
          <w:i w:val="0"/>
          <w:iCs w:val="0"/>
        </w:rPr>
      </w:pPr>
    </w:p>
    <w:p w14:paraId="55884FFD" w14:textId="4BEB7E4D" w:rsidR="000D4D4C" w:rsidRPr="004125FF" w:rsidRDefault="000D4D4C" w:rsidP="00FA55C8">
      <w:pPr>
        <w:pStyle w:val="Heading4"/>
        <w:numPr>
          <w:ilvl w:val="0"/>
          <w:numId w:val="0"/>
        </w:numPr>
        <w:rPr>
          <w:rFonts w:asciiTheme="minorBidi" w:hAnsiTheme="minorBidi" w:cstheme="minorBidi"/>
          <w:b/>
          <w:bCs/>
          <w:i w:val="0"/>
          <w:iCs w:val="0"/>
        </w:rPr>
      </w:pPr>
      <w:r w:rsidRPr="004125FF">
        <w:rPr>
          <w:rFonts w:asciiTheme="minorBidi" w:hAnsiTheme="minorBidi" w:cstheme="minorBidi"/>
          <w:i w:val="0"/>
          <w:iCs w:val="0"/>
        </w:rPr>
        <w:t>Organisations will struggle to attain the necessary agility if they implement digital technology without also considering their corporate culture. An organisational culture that fosters support is essential for effective digital transformation, as it significantly influences an organization's capacity to adapt and innovate. Collaboration serves as the foundation, facilitating employee engagement and active involvement in strategic changes. Additionally, the actions that employees perform must be entirely knowledge-based and collaborative</w:t>
      </w:r>
      <w:r w:rsidR="00E74147">
        <w:rPr>
          <w:rFonts w:asciiTheme="minorBidi" w:hAnsiTheme="minorBidi" w:cstheme="minorBidi"/>
          <w:i w:val="0"/>
          <w:iCs w:val="0"/>
        </w:rPr>
        <w:t xml:space="preserve"> </w:t>
      </w:r>
      <w:r w:rsidR="00E74147">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{"citationItems":[{"id":"ITEM-1","itemData":{"author":[{"dropping-particle":"","family":"Deep","given":"Gagan","non-dropping-particle":"","parse-names":false,"suffix":""}],"id":"ITEM-1","issue":"October","issued":{"date-parts":[["2023"]]},"page":"396-401","title":"Digital transformation ' s impact on organizational culture","type":"article-journal","volume":"10"},"uris":["http://www.mendeley.com/documents/?uuid=742c8c04-3dfb-4bd6-8c29-8ecc893ed100"]}],"mendeley":{"formattedCitation":"(Deep, 2023)","plainTextFormattedCitation":"(Deep, 2023)","previouslyFormattedCitation":"(Deep, 2023)"},"properties":{"noteIndex":0},"schema":"https://github.com/citation-style-language/schema/raw/master/csl-citation.json"}</w:instrText>
      </w:r>
      <w:r w:rsidR="00E74147">
        <w:rPr>
          <w:rFonts w:asciiTheme="minorBidi" w:hAnsiTheme="minorBidi" w:cstheme="minorBidi"/>
          <w:i w:val="0"/>
          <w:iCs w:val="0"/>
        </w:rPr>
        <w:fldChar w:fldCharType="separate"/>
      </w:r>
      <w:r w:rsidR="00FA55C8" w:rsidRPr="00FA55C8">
        <w:rPr>
          <w:rFonts w:asciiTheme="minorBidi" w:hAnsiTheme="minorBidi" w:cstheme="minorBidi"/>
          <w:i w:val="0"/>
          <w:iCs w:val="0"/>
        </w:rPr>
        <w:t>(Deep, 2023)</w:t>
      </w:r>
      <w:r w:rsidR="00E74147">
        <w:rPr>
          <w:rFonts w:asciiTheme="minorBidi" w:hAnsiTheme="minorBidi" w:cstheme="minorBidi"/>
          <w:i w:val="0"/>
          <w:iCs w:val="0"/>
        </w:rPr>
        <w:fldChar w:fldCharType="end"/>
      </w:r>
      <w:r w:rsidRPr="004125FF">
        <w:rPr>
          <w:rFonts w:asciiTheme="minorBidi" w:hAnsiTheme="minorBidi" w:cstheme="minorBidi"/>
          <w:i w:val="0"/>
          <w:iCs w:val="0"/>
        </w:rPr>
        <w:t>, which facilitates the open exchange of ideas and ensures a coordinated approach to achieving digital objectives. Secondly, fostering a culture of practical data usage is essential, as it demonstrates the organization's capability to regard data as a strategic asset, which necessitates a dedication to ongoing education to develop the knowledge and expertise essential for making informed, data-driven decisions. Ultimately, Change Readiness signifies the organization's ability to adjust to various types of change</w:t>
      </w:r>
      <w:r w:rsidR="00E74147">
        <w:rPr>
          <w:rFonts w:asciiTheme="minorBidi" w:hAnsiTheme="minorBidi" w:cstheme="minorBidi"/>
          <w:i w:val="0"/>
          <w:iCs w:val="0"/>
        </w:rPr>
        <w:t xml:space="preserve"> </w:t>
      </w:r>
      <w:r w:rsidR="00E74147">
        <w:rPr>
          <w:rFonts w:asciiTheme="minorBidi" w:hAnsiTheme="minorBidi" w:cstheme="minorBidi"/>
          <w:i w:val="0"/>
          <w:iCs w:val="0"/>
        </w:rPr>
        <w:fldChar w:fldCharType="begin" w:fldLock="1"/>
      </w:r>
      <w:r w:rsidR="004D74B5">
        <w:rPr>
          <w:rFonts w:asciiTheme="minorBidi" w:hAnsiTheme="minorBidi" w:cstheme="minorBidi"/>
          <w:i w:val="0"/>
          <w:iCs w:val="0"/>
        </w:rPr>
        <w:instrText>ADDIN CSL_CITATION {"citationItems":[{"id":"ITEM-1","itemData":{"DOI":"10.1016/j.im.2025.104135","ISSN":"0378-7206","author":[{"dropping-particle":"","family":"Cao","given":"Guangming","non-dropping-particle":"","parse-names":false,"suffix":""},{"dropping-particle":"","family":"Duan","given":"Yanqing","non-dropping-particle":"","parse-names":false,"suffix":""},{"dropping-particle":"","family":"Edwards","given":"John S","non-dropping-particle":"","parse-names":false,"suffix":""}],"container-title":"Information &amp; Management","id":"ITEM-1","issue":"4","issued":{"date-parts":[["2025"]]},"page":"104135","publisher":"Elsevier B.V.","title":"Information &amp; Management Organizational culture , digital transformation , and product innovation","type":"article-journal","volume":"62"},"uris":["http://www.mendeley.com/documents/?uuid=34872600-de8a-4ee4-b216-fd93240655dd"]}],"mendeley":{"formattedCitation":"(Cao et al., 2025)","plainTextFormattedCitation":"(Cao et al., 2025)","previouslyFormattedCitation":"(Cao et al., 2025)"},"properties":{"noteIndex":0},"schema":"https://github.com/citation-style-language/schema/raw/master/csl-citation.json"}</w:instrText>
      </w:r>
      <w:r w:rsidR="00E74147">
        <w:rPr>
          <w:rFonts w:asciiTheme="minorBidi" w:hAnsiTheme="minorBidi" w:cstheme="minorBidi"/>
          <w:i w:val="0"/>
          <w:iCs w:val="0"/>
        </w:rPr>
        <w:fldChar w:fldCharType="separate"/>
      </w:r>
      <w:r w:rsidR="00FA55C8" w:rsidRPr="00FA55C8">
        <w:rPr>
          <w:rFonts w:asciiTheme="minorBidi" w:hAnsiTheme="minorBidi" w:cstheme="minorBidi"/>
          <w:i w:val="0"/>
          <w:iCs w:val="0"/>
        </w:rPr>
        <w:t>(Cao et al., 2025)</w:t>
      </w:r>
      <w:r w:rsidR="00E74147">
        <w:rPr>
          <w:rFonts w:asciiTheme="minorBidi" w:hAnsiTheme="minorBidi" w:cstheme="minorBidi"/>
          <w:i w:val="0"/>
          <w:iCs w:val="0"/>
        </w:rPr>
        <w:fldChar w:fldCharType="end"/>
      </w:r>
      <w:r w:rsidRPr="004125FF">
        <w:rPr>
          <w:rFonts w:asciiTheme="minorBidi" w:hAnsiTheme="minorBidi" w:cstheme="minorBidi"/>
          <w:i w:val="0"/>
          <w:iCs w:val="0"/>
        </w:rPr>
        <w:t>. The process requires a well-prepared workforce that possesses a strong understanding of technological advancements, along with a practical change management framework. The combination of these three elements establishes a culture that is adaptable, knowledgeable, and robust within a digital landscape. The dimension of culture can be explained through (1) collaboration, (2) Data Usage, and (3) Change Readiness.</w:t>
      </w:r>
    </w:p>
    <w:p w14:paraId="6971703A" w14:textId="77777777" w:rsidR="000D4D4C" w:rsidRPr="004125FF" w:rsidRDefault="000D4D4C" w:rsidP="000D4D4C">
      <w:pPr>
        <w:rPr>
          <w:rFonts w:asciiTheme="minorBidi" w:hAnsiTheme="minorBidi" w:cstheme="minorBidi"/>
        </w:rPr>
      </w:pPr>
    </w:p>
    <w:p w14:paraId="7267F72F" w14:textId="22CDC602" w:rsidR="003D1D02" w:rsidRPr="003D1D02" w:rsidRDefault="003D1D02" w:rsidP="00F044C5">
      <w:pPr>
        <w:pStyle w:val="ListParagraph"/>
        <w:numPr>
          <w:ilvl w:val="0"/>
          <w:numId w:val="14"/>
        </w:numPr>
        <w:spacing w:after="160" w:line="257" w:lineRule="auto"/>
        <w:ind w:left="357" w:hanging="357"/>
        <w:rPr>
          <w:rFonts w:asciiTheme="minorBidi" w:hAnsiTheme="minorBidi"/>
          <w:b/>
          <w:bCs/>
        </w:rPr>
      </w:pPr>
      <w:r w:rsidRPr="003D1D02">
        <w:rPr>
          <w:rFonts w:asciiTheme="minorBidi" w:hAnsiTheme="minorBidi"/>
          <w:b/>
          <w:bCs/>
        </w:rPr>
        <w:t>RESULTS AND DISCUSSION</w:t>
      </w:r>
    </w:p>
    <w:p w14:paraId="43E88D23" w14:textId="0408B1F3" w:rsidR="000D4D4C" w:rsidRPr="004125FF" w:rsidRDefault="000D4D4C" w:rsidP="00AA4751">
      <w:pPr>
        <w:jc w:val="both"/>
        <w:rPr>
          <w:rFonts w:asciiTheme="minorBidi" w:hAnsiTheme="minorBidi" w:cstheme="minorBidi"/>
          <w:sz w:val="24"/>
          <w:szCs w:val="24"/>
          <w:lang w:val="tr-TR"/>
        </w:rPr>
      </w:pPr>
      <w:r w:rsidRPr="004125FF">
        <w:rPr>
          <w:rStyle w:val="selected"/>
          <w:rFonts w:asciiTheme="minorBidi" w:hAnsiTheme="minorBidi" w:cstheme="minorBidi"/>
        </w:rPr>
        <w:t>This section summarizes the key findings derived from applying the Digital Maturity Methodology (DMM) proposed in this research across the Libyan Telecommunications Sector (LTS), encompassing major operators and regulatory bodies. The maturity of the sector was assessed across the five defined dimensions:</w:t>
      </w:r>
      <w:r w:rsidR="00251943" w:rsidRPr="004125FF">
        <w:rPr>
          <w:rStyle w:val="selected"/>
          <w:rFonts w:asciiTheme="minorBidi" w:hAnsiTheme="minorBidi" w:cstheme="minorBidi"/>
          <w:b/>
          <w:bCs/>
        </w:rPr>
        <w:t xml:space="preserve"> Customer Experience,</w:t>
      </w:r>
      <w:r w:rsidRPr="004125FF">
        <w:rPr>
          <w:rStyle w:val="selected"/>
          <w:rFonts w:asciiTheme="minorBidi" w:hAnsiTheme="minorBidi" w:cstheme="minorBidi"/>
        </w:rPr>
        <w:t xml:space="preserve"> </w:t>
      </w:r>
      <w:r w:rsidR="00251943" w:rsidRPr="004125FF">
        <w:rPr>
          <w:rStyle w:val="selected"/>
          <w:rFonts w:asciiTheme="minorBidi" w:hAnsiTheme="minorBidi" w:cstheme="minorBidi"/>
          <w:b/>
          <w:bCs/>
        </w:rPr>
        <w:t>Strategy &amp; Leadership</w:t>
      </w:r>
      <w:r w:rsidRPr="004125FF">
        <w:rPr>
          <w:rStyle w:val="selected"/>
          <w:rFonts w:asciiTheme="minorBidi" w:hAnsiTheme="minorBidi" w:cstheme="minorBidi"/>
          <w:b/>
          <w:bCs/>
        </w:rPr>
        <w:t>, Technology &amp; Data, Operations &amp; Process Automation, and Culture &amp; Skills</w:t>
      </w:r>
      <w:r w:rsidRPr="004125FF">
        <w:rPr>
          <w:rStyle w:val="selected"/>
          <w:rFonts w:asciiTheme="minorBidi" w:hAnsiTheme="minorBidi" w:cstheme="minorBidi"/>
        </w:rPr>
        <w:t xml:space="preserve">. The DMM utilizes a 5-stage scale, ranging from </w:t>
      </w:r>
      <w:r w:rsidRPr="004125FF">
        <w:rPr>
          <w:rStyle w:val="selected"/>
          <w:rFonts w:asciiTheme="minorBidi" w:hAnsiTheme="minorBidi" w:cstheme="minorBidi"/>
          <w:b/>
          <w:bCs/>
        </w:rPr>
        <w:t>Initial (1.0)</w:t>
      </w:r>
      <w:r w:rsidRPr="004125FF">
        <w:rPr>
          <w:rStyle w:val="selected"/>
          <w:rFonts w:asciiTheme="minorBidi" w:hAnsiTheme="minorBidi" w:cstheme="minorBidi"/>
        </w:rPr>
        <w:t xml:space="preserve"> to </w:t>
      </w:r>
      <w:r w:rsidR="00AA4751" w:rsidRPr="004125FF">
        <w:rPr>
          <w:rFonts w:asciiTheme="minorBidi" w:hAnsiTheme="minorBidi" w:cstheme="minorBidi"/>
          <w:b/>
          <w:bCs/>
        </w:rPr>
        <w:t>Optimizing</w:t>
      </w:r>
      <w:r w:rsidRPr="004125FF">
        <w:rPr>
          <w:rStyle w:val="selected"/>
          <w:rFonts w:asciiTheme="minorBidi" w:hAnsiTheme="minorBidi" w:cstheme="minorBidi"/>
          <w:b/>
          <w:bCs/>
        </w:rPr>
        <w:t xml:space="preserve"> (5.0)</w:t>
      </w:r>
      <w:r w:rsidRPr="004125FF">
        <w:rPr>
          <w:rStyle w:val="selected"/>
          <w:rFonts w:asciiTheme="minorBidi" w:hAnsiTheme="minorBidi" w:cstheme="minorBidi"/>
        </w:rPr>
        <w:t>. Figure 3 illustrates the results obtained in this research.</w:t>
      </w:r>
    </w:p>
    <w:p w14:paraId="4B7B4BB6" w14:textId="78CA66AC" w:rsidR="000D4D4C" w:rsidRPr="004125FF" w:rsidRDefault="000D4D4C" w:rsidP="00B06696">
      <w:pPr>
        <w:jc w:val="both"/>
        <w:rPr>
          <w:rFonts w:asciiTheme="minorBidi" w:hAnsiTheme="minorBidi" w:cstheme="minorBidi"/>
          <w:shd w:val="clear" w:color="auto" w:fill="FFFFFF"/>
        </w:rPr>
      </w:pPr>
      <w:r w:rsidRPr="004125FF">
        <w:rPr>
          <w:rFonts w:asciiTheme="minorBidi" w:hAnsiTheme="minorBidi" w:cstheme="minorBidi"/>
          <w:shd w:val="clear" w:color="auto" w:fill="FFFFFF"/>
        </w:rPr>
        <w:lastRenderedPageBreak/>
        <w:t xml:space="preserve">The findings indicate that the organisation possesses a digital maturity level of 2.88, corresponding to an overall Digital Maturity Index (DMI) score of 5 on a scale ranging from 1 to 5. This result suggests that the organisation has initiated its digital transformation journey; however, a notable discrepancy exists among its various dimensions. The dimension of culture received the highest score at 3.54, representing the organization's peak achievement. This result suggests that employees are prepared for change and that an internal culture exists that fosters innovation and collaboration, thereby aiding the transformation process. The Organisation score of 3.27 indicates that the organisational structure and internal processes are sufficiently flexible and suitable to facilitate digital transformation efforts. The customer score of 2.54 is relatively low, suggesting that the organisation may not be effectively utilising its digital tools to enhance customer engagement, or that substantial improvements are needed in the digital customer experience. The strategy </w:t>
      </w:r>
      <w:r w:rsidR="00962494" w:rsidRPr="004125FF">
        <w:rPr>
          <w:rFonts w:asciiTheme="minorBidi" w:hAnsiTheme="minorBidi" w:cstheme="minorBidi"/>
          <w:shd w:val="clear" w:color="auto" w:fill="FFFFFF"/>
        </w:rPr>
        <w:t>score</w:t>
      </w:r>
      <w:r w:rsidRPr="004125FF">
        <w:rPr>
          <w:rFonts w:asciiTheme="minorBidi" w:hAnsiTheme="minorBidi" w:cstheme="minorBidi"/>
          <w:shd w:val="clear" w:color="auto" w:fill="FFFFFF"/>
        </w:rPr>
        <w:t xml:space="preserve"> of</w:t>
      </w:r>
      <w:r w:rsidR="003473B1" w:rsidRPr="004125FF">
        <w:rPr>
          <w:rFonts w:asciiTheme="minorBidi" w:hAnsiTheme="minorBidi" w:cstheme="minorBidi"/>
          <w:shd w:val="clear" w:color="auto" w:fill="FFFFFF"/>
        </w:rPr>
        <w:t xml:space="preserve"> </w:t>
      </w:r>
      <w:r w:rsidRPr="004125FF">
        <w:rPr>
          <w:rFonts w:asciiTheme="minorBidi" w:hAnsiTheme="minorBidi" w:cstheme="minorBidi"/>
          <w:shd w:val="clear" w:color="auto" w:fill="FFFFFF"/>
        </w:rPr>
        <w:t>2.33 is the lowest, indicating a deficiency in formulating a clear vision for digital transformation and in providing the necessary resources and administrative support for its implementation. The technology score of 2.49 suggests that the organization's technology infrastructure may be outdated or inadequately integrated, thereby constraining its capacity to facilitate the transformation.</w:t>
      </w:r>
    </w:p>
    <w:p w14:paraId="54145058" w14:textId="3880AF62" w:rsidR="000D4D4C" w:rsidRDefault="000D4D4C" w:rsidP="00B06696">
      <w:pPr>
        <w:ind w:firstLine="480"/>
        <w:jc w:val="both"/>
        <w:rPr>
          <w:rFonts w:asciiTheme="minorBidi" w:hAnsiTheme="minorBidi" w:cstheme="minorBidi"/>
          <w:shd w:val="clear" w:color="auto" w:fill="FFFFFF"/>
        </w:rPr>
      </w:pPr>
      <w:r w:rsidRPr="004125FF">
        <w:rPr>
          <w:rFonts w:asciiTheme="minorBidi" w:hAnsiTheme="minorBidi" w:cstheme="minorBidi"/>
          <w:shd w:val="clear" w:color="auto" w:fill="FFFFFF"/>
        </w:rPr>
        <w:t>The results indicate that the organisation possesses considerable internal strengths in both cultural and organisational aspects, serving as a crucial basis for future development. The inadequate scores in the strategic, technical, and consumer aspects signify a difficulty that requires resolution. It is advised that the organisation capitalise on its favourable culture and adaptable environment to facilitate the modernisation of its technological architecture and the formulation of a more defined digital strategy, ultimately enhancing the customer experience.</w:t>
      </w:r>
    </w:p>
    <w:p w14:paraId="3BD50729" w14:textId="5BA94BE0" w:rsidR="008555F2" w:rsidRDefault="008555F2" w:rsidP="00B06696">
      <w:pPr>
        <w:ind w:firstLine="480"/>
        <w:jc w:val="both"/>
        <w:rPr>
          <w:rFonts w:asciiTheme="minorBidi" w:hAnsiTheme="minorBidi" w:cstheme="minorBidi"/>
          <w:shd w:val="clear" w:color="auto" w:fill="FFFFFF"/>
        </w:rPr>
      </w:pPr>
    </w:p>
    <w:p w14:paraId="08D0B30F" w14:textId="77777777" w:rsidR="008555F2" w:rsidRPr="004125FF" w:rsidRDefault="008555F2" w:rsidP="00B06696">
      <w:pPr>
        <w:ind w:firstLine="480"/>
        <w:jc w:val="both"/>
        <w:rPr>
          <w:rFonts w:asciiTheme="minorBidi" w:hAnsiTheme="minorBidi" w:cstheme="minorBidi"/>
          <w:shd w:val="clear" w:color="auto" w:fill="FFFFFF"/>
        </w:rPr>
      </w:pPr>
    </w:p>
    <w:p w14:paraId="0BA0D4F9" w14:textId="155A1A65" w:rsidR="006C784D" w:rsidRPr="00FE5436" w:rsidRDefault="00290D61" w:rsidP="006C784D">
      <w:pPr>
        <w:spacing w:after="100" w:afterAutospacing="1"/>
        <w:ind w:firstLine="480"/>
        <w:rPr>
          <w:rFonts w:ascii="Arial" w:hAnsi="Arial" w:cs="Arial"/>
          <w:shd w:val="clear" w:color="auto" w:fill="FFFFFF"/>
        </w:rPr>
      </w:pPr>
      <w:r>
        <w:rPr>
          <w:noProof/>
          <w:lang w:eastAsia="en-GB"/>
        </w:rPr>
        <w:drawing>
          <wp:inline distT="0" distB="0" distL="0" distR="0" wp14:anchorId="70C7BDCE" wp14:editId="501AD867">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165390" w14:textId="54C0C2E8" w:rsidR="000D4D4C" w:rsidRPr="004125FF" w:rsidRDefault="008555F2" w:rsidP="000D4D4C">
      <w:pPr>
        <w:ind w:firstLine="480"/>
        <w:rPr>
          <w:rFonts w:asciiTheme="minorBidi" w:hAnsiTheme="minorBidi" w:cstheme="minorBidi"/>
          <w:shd w:val="clear" w:color="auto" w:fill="FFFFFF"/>
        </w:rPr>
      </w:pPr>
      <w:r>
        <w:rPr>
          <w:rFonts w:ascii="Arial" w:hAnsi="Arial" w:cs="Arial"/>
          <w:b/>
          <w:bCs/>
          <w:szCs w:val="22"/>
        </w:rPr>
        <w:t>Fig. 3.</w:t>
      </w:r>
      <w:r w:rsidRPr="008555F2">
        <w:rPr>
          <w:rFonts w:ascii="Arial" w:hAnsi="Arial" w:cs="Arial"/>
          <w:b/>
          <w:bCs/>
          <w:szCs w:val="22"/>
        </w:rPr>
        <w:t xml:space="preserve"> </w:t>
      </w:r>
      <w:r w:rsidR="000D4D4C" w:rsidRPr="008555F2">
        <w:rPr>
          <w:rFonts w:asciiTheme="minorBidi" w:hAnsiTheme="minorBidi" w:cstheme="minorBidi"/>
          <w:b/>
          <w:bCs/>
          <w:shd w:val="clear" w:color="auto" w:fill="FFFFFF"/>
        </w:rPr>
        <w:t>The results of the Maturity Level for the Libyan Telecommunications</w:t>
      </w:r>
      <w:r w:rsidR="000D4D4C" w:rsidRPr="004125FF">
        <w:rPr>
          <w:rFonts w:asciiTheme="minorBidi" w:hAnsiTheme="minorBidi" w:cstheme="minorBidi"/>
          <w:shd w:val="clear" w:color="auto" w:fill="FFFFFF"/>
        </w:rPr>
        <w:t xml:space="preserve"> </w:t>
      </w:r>
      <w:r w:rsidR="000D4D4C" w:rsidRPr="008555F2">
        <w:rPr>
          <w:rFonts w:asciiTheme="minorBidi" w:hAnsiTheme="minorBidi" w:cstheme="minorBidi"/>
          <w:b/>
          <w:bCs/>
          <w:shd w:val="clear" w:color="auto" w:fill="FFFFFF"/>
        </w:rPr>
        <w:t xml:space="preserve">Sector </w:t>
      </w:r>
    </w:p>
    <w:p w14:paraId="219066D9" w14:textId="76335292" w:rsidR="000D4D4C" w:rsidRPr="00C40962" w:rsidRDefault="000D4D4C" w:rsidP="00C40962">
      <w:pPr>
        <w:spacing w:after="160" w:line="257" w:lineRule="auto"/>
        <w:jc w:val="both"/>
        <w:rPr>
          <w:rFonts w:asciiTheme="minorBidi" w:hAnsiTheme="minorBidi"/>
          <w:b/>
          <w:bCs/>
          <w:sz w:val="24"/>
          <w:szCs w:val="24"/>
          <w:shd w:val="clear" w:color="auto" w:fill="FFFFFF"/>
        </w:rPr>
      </w:pPr>
    </w:p>
    <w:p w14:paraId="1446A194" w14:textId="4E8E4E6E" w:rsidR="00C40962" w:rsidRPr="00C40962" w:rsidRDefault="00C40962" w:rsidP="00F044C5">
      <w:pPr>
        <w:pStyle w:val="ListParagraph"/>
        <w:numPr>
          <w:ilvl w:val="0"/>
          <w:numId w:val="14"/>
        </w:numPr>
        <w:spacing w:before="100" w:beforeAutospacing="1" w:after="100" w:afterAutospacing="1"/>
        <w:ind w:left="357" w:hanging="357"/>
        <w:jc w:val="both"/>
        <w:rPr>
          <w:rFonts w:asciiTheme="minorBidi" w:eastAsia="Times New Roman" w:hAnsiTheme="minorBidi"/>
          <w:b/>
          <w:bCs/>
          <w:lang w:val="en-US"/>
        </w:rPr>
      </w:pPr>
      <w:r w:rsidRPr="00C40962">
        <w:rPr>
          <w:rFonts w:asciiTheme="minorBidi" w:hAnsiTheme="minorBidi"/>
          <w:b/>
          <w:bCs/>
          <w:shd w:val="clear" w:color="auto" w:fill="FFFFFF"/>
        </w:rPr>
        <w:t xml:space="preserve">CONCLUSION </w:t>
      </w:r>
    </w:p>
    <w:p w14:paraId="43974337" w14:textId="77777777" w:rsidR="00C40962" w:rsidRDefault="00C40962" w:rsidP="00B06696">
      <w:pPr>
        <w:pStyle w:val="ListParagraph"/>
        <w:spacing w:before="100" w:beforeAutospacing="1" w:after="100" w:afterAutospacing="1" w:line="240" w:lineRule="auto"/>
        <w:ind w:left="0"/>
        <w:jc w:val="both"/>
        <w:rPr>
          <w:rFonts w:asciiTheme="minorBidi" w:eastAsia="Times New Roman" w:hAnsiTheme="minorBidi"/>
          <w:sz w:val="20"/>
          <w:szCs w:val="20"/>
          <w:lang w:val="en-US"/>
        </w:rPr>
      </w:pPr>
    </w:p>
    <w:p w14:paraId="3BC65AC4" w14:textId="7FAA4EA0" w:rsidR="000D4D4C" w:rsidRPr="004125FF" w:rsidRDefault="000D4D4C" w:rsidP="00B06696">
      <w:pPr>
        <w:pStyle w:val="ListParagraph"/>
        <w:spacing w:before="100" w:beforeAutospacing="1" w:after="100" w:afterAutospacing="1" w:line="240" w:lineRule="auto"/>
        <w:ind w:left="0"/>
        <w:jc w:val="both"/>
        <w:rPr>
          <w:rFonts w:asciiTheme="minorBidi" w:eastAsia="Times New Roman" w:hAnsiTheme="minorBidi"/>
          <w:sz w:val="20"/>
          <w:szCs w:val="20"/>
          <w:lang w:val="en-US"/>
        </w:rPr>
      </w:pPr>
      <w:r w:rsidRPr="004125FF">
        <w:rPr>
          <w:rFonts w:asciiTheme="minorBidi" w:eastAsia="Times New Roman" w:hAnsiTheme="minorBidi"/>
          <w:sz w:val="20"/>
          <w:szCs w:val="20"/>
          <w:lang w:val="en-US"/>
        </w:rPr>
        <w:t>This research developed and applied a structured methodology for assessing the digital maturity of the Libyan telecommunications sector. The methodology, which progresses through the stages of data collection, data cleaning, data description, and the use of the Composite Index for Mixed-method Qualitative Survey (CIMAS), has provided a systematic means to evaluate the sector's level of digital transformation. By integrating these stages into the Digital Maturity Scale and aligning them with the Five-Dimensional Digital Maturity Framework, the study has captured both the quantitative indicators and qualitative insights necessary for a holistic evaluation.</w:t>
      </w:r>
    </w:p>
    <w:p w14:paraId="4394D311" w14:textId="77777777" w:rsidR="000D4D4C" w:rsidRPr="004125FF" w:rsidRDefault="000D4D4C" w:rsidP="00B06696">
      <w:pPr>
        <w:pStyle w:val="ListParagraph"/>
        <w:spacing w:before="100" w:beforeAutospacing="1" w:after="100" w:afterAutospacing="1" w:line="240" w:lineRule="auto"/>
        <w:ind w:left="0"/>
        <w:jc w:val="both"/>
        <w:rPr>
          <w:rFonts w:asciiTheme="minorBidi" w:eastAsia="Times New Roman" w:hAnsiTheme="minorBidi"/>
          <w:sz w:val="20"/>
          <w:szCs w:val="20"/>
          <w:lang w:val="en-US"/>
        </w:rPr>
      </w:pPr>
      <w:r w:rsidRPr="004125FF">
        <w:rPr>
          <w:rFonts w:asciiTheme="minorBidi" w:eastAsia="Times New Roman" w:hAnsiTheme="minorBidi"/>
          <w:sz w:val="20"/>
          <w:szCs w:val="20"/>
          <w:lang w:val="en-US"/>
        </w:rPr>
        <w:t xml:space="preserve">The findings demonstrate that digital maturity is not a static measure but a dynamic process influenced by technological, organizational, human, and regulatory factors. The use of CIMAS has proven particularly effective in combining diverse data sources and perspectives, ensuring that the assessment reflects the realities of both internal capabilities and external challenges. </w:t>
      </w:r>
    </w:p>
    <w:p w14:paraId="3F72000D" w14:textId="4F2B9E63" w:rsidR="000D4D4C" w:rsidRDefault="000D4D4C" w:rsidP="00B06696">
      <w:pPr>
        <w:pStyle w:val="ListParagraph"/>
        <w:spacing w:before="100" w:beforeAutospacing="1" w:after="100" w:afterAutospacing="1" w:line="240" w:lineRule="auto"/>
        <w:ind w:left="0"/>
        <w:jc w:val="both"/>
        <w:rPr>
          <w:rFonts w:asciiTheme="minorBidi" w:eastAsia="Times New Roman" w:hAnsiTheme="minorBidi"/>
          <w:sz w:val="20"/>
          <w:szCs w:val="20"/>
          <w:lang w:val="en-US"/>
        </w:rPr>
      </w:pPr>
      <w:r w:rsidRPr="004125FF">
        <w:rPr>
          <w:rFonts w:asciiTheme="minorBidi" w:eastAsia="Times New Roman" w:hAnsiTheme="minorBidi"/>
          <w:sz w:val="20"/>
          <w:szCs w:val="20"/>
          <w:lang w:val="en-US"/>
        </w:rPr>
        <w:lastRenderedPageBreak/>
        <w:t>Overall, this research contributes both a conceptual and practical tool for policymakers and decision-makers to benchmark current capabilities, prioritize investment areas, and design strategies for sustainable digital transformation. Importantly, the methodology is adaptable and can be applied to other sectors in Libya and comparable contexts, thereby serving as a foundation for broader national and regional digital development initiatives.</w:t>
      </w:r>
    </w:p>
    <w:p w14:paraId="57681E1F" w14:textId="77777777" w:rsidR="000B0DEF" w:rsidRDefault="000B0DEF" w:rsidP="00B06696">
      <w:pPr>
        <w:pStyle w:val="ListParagraph"/>
        <w:spacing w:before="100" w:beforeAutospacing="1" w:after="100" w:afterAutospacing="1" w:line="240" w:lineRule="auto"/>
        <w:ind w:left="0"/>
        <w:jc w:val="both"/>
        <w:rPr>
          <w:rFonts w:asciiTheme="minorBidi" w:eastAsia="Times New Roman" w:hAnsiTheme="minorBidi"/>
          <w:sz w:val="20"/>
          <w:szCs w:val="20"/>
          <w:lang w:val="en-US"/>
        </w:rPr>
      </w:pPr>
    </w:p>
    <w:p w14:paraId="0B835FC8" w14:textId="77777777" w:rsidR="000B0DEF" w:rsidRPr="000B0DEF" w:rsidRDefault="000B0DEF" w:rsidP="000B0DEF">
      <w:pPr>
        <w:pStyle w:val="ListParagraph"/>
        <w:spacing w:before="100" w:beforeAutospacing="1" w:after="100" w:afterAutospacing="1"/>
        <w:ind w:left="0"/>
        <w:jc w:val="both"/>
        <w:rPr>
          <w:rFonts w:asciiTheme="minorBidi" w:eastAsia="Times New Roman" w:hAnsiTheme="minorBidi"/>
          <w:b/>
          <w:bCs/>
          <w:sz w:val="20"/>
          <w:szCs w:val="20"/>
          <w:lang w:val="en-US"/>
        </w:rPr>
      </w:pPr>
      <w:r w:rsidRPr="000B0DEF">
        <w:rPr>
          <w:rFonts w:asciiTheme="minorBidi" w:eastAsia="Times New Roman" w:hAnsiTheme="minorBidi"/>
          <w:b/>
          <w:bCs/>
          <w:sz w:val="20"/>
          <w:szCs w:val="20"/>
          <w:lang w:val="en-US"/>
        </w:rPr>
        <w:t>Disclaimer (Artificial Intelligence)</w:t>
      </w:r>
    </w:p>
    <w:p w14:paraId="49FE34C0" w14:textId="77777777" w:rsidR="000B0DEF" w:rsidRPr="000B0DEF" w:rsidRDefault="000B0DEF" w:rsidP="000B0DEF">
      <w:pPr>
        <w:pStyle w:val="ListParagraph"/>
        <w:spacing w:before="100" w:beforeAutospacing="1" w:after="100" w:afterAutospacing="1"/>
        <w:ind w:left="0"/>
        <w:jc w:val="both"/>
        <w:rPr>
          <w:rFonts w:asciiTheme="minorBidi" w:eastAsia="Times New Roman" w:hAnsiTheme="minorBidi"/>
          <w:sz w:val="20"/>
          <w:szCs w:val="20"/>
          <w:lang w:val="en-US"/>
        </w:rPr>
      </w:pPr>
      <w:r w:rsidRPr="000B0DEF">
        <w:rPr>
          <w:rFonts w:asciiTheme="minorBidi" w:eastAsia="Times New Roman" w:hAnsiTheme="minorBidi"/>
          <w:sz w:val="20"/>
          <w:szCs w:val="20"/>
          <w:lang w:val="en-US"/>
        </w:rPr>
        <w:t xml:space="preserve">Author(s) hereby declare that NO generative AI technologies such as Large Language Models (ChatGPT, COPILOT, </w:t>
      </w:r>
      <w:proofErr w:type="spellStart"/>
      <w:r w:rsidRPr="000B0DEF">
        <w:rPr>
          <w:rFonts w:asciiTheme="minorBidi" w:eastAsia="Times New Roman" w:hAnsiTheme="minorBidi"/>
          <w:sz w:val="20"/>
          <w:szCs w:val="20"/>
          <w:lang w:val="en-US"/>
        </w:rPr>
        <w:t>etc</w:t>
      </w:r>
      <w:proofErr w:type="spellEnd"/>
      <w:r w:rsidRPr="000B0DEF">
        <w:rPr>
          <w:rFonts w:asciiTheme="minorBidi" w:eastAsia="Times New Roman" w:hAnsiTheme="minorBidi"/>
          <w:sz w:val="20"/>
          <w:szCs w:val="20"/>
          <w:lang w:val="en-US"/>
        </w:rPr>
        <w:t>) and text-to-image generators have been used during writing or editing of this manuscript.</w:t>
      </w:r>
    </w:p>
    <w:p w14:paraId="38B796E7" w14:textId="45A90134" w:rsidR="006C4067" w:rsidRDefault="006C4067" w:rsidP="006C4067">
      <w:pPr>
        <w:pStyle w:val="ReferHead"/>
        <w:spacing w:after="0"/>
        <w:jc w:val="both"/>
        <w:rPr>
          <w:rFonts w:ascii="Arial" w:hAnsi="Arial" w:cs="Arial"/>
        </w:rPr>
      </w:pPr>
      <w:r w:rsidRPr="00FB3A86">
        <w:rPr>
          <w:rFonts w:ascii="Arial" w:hAnsi="Arial" w:cs="Arial"/>
        </w:rPr>
        <w:t>References</w:t>
      </w:r>
    </w:p>
    <w:p w14:paraId="7FA0064C" w14:textId="77777777" w:rsidR="006C4067" w:rsidRDefault="006C4067" w:rsidP="00FA55C8">
      <w:pPr>
        <w:pStyle w:val="ReferHead"/>
        <w:spacing w:after="0"/>
        <w:rPr>
          <w:rFonts w:ascii="Arial" w:hAnsi="Arial" w:cs="Arial"/>
        </w:rPr>
      </w:pPr>
    </w:p>
    <w:p w14:paraId="2505D499" w14:textId="1129C732" w:rsidR="004D74B5" w:rsidRPr="004D74B5" w:rsidRDefault="006C4067" w:rsidP="00B90543">
      <w:pPr>
        <w:widowControl w:val="0"/>
        <w:autoSpaceDE w:val="0"/>
        <w:autoSpaceDN w:val="0"/>
        <w:adjustRightInd w:val="0"/>
        <w:ind w:left="480" w:hanging="480"/>
        <w:jc w:val="left"/>
        <w:rPr>
          <w:rFonts w:ascii="Arial" w:hAnsi="Arial" w:cs="Arial"/>
          <w:noProof/>
          <w:szCs w:val="24"/>
        </w:rPr>
      </w:pPr>
      <w:r w:rsidRPr="00FA55C8">
        <w:rPr>
          <w:rFonts w:asciiTheme="minorBidi" w:hAnsiTheme="minorBidi" w:cstheme="minorBidi"/>
          <w:b/>
          <w:bCs/>
        </w:rPr>
        <w:fldChar w:fldCharType="begin" w:fldLock="1"/>
      </w:r>
      <w:r w:rsidRPr="00FA55C8">
        <w:rPr>
          <w:rFonts w:asciiTheme="minorBidi" w:hAnsiTheme="minorBidi" w:cstheme="minorBidi"/>
          <w:b/>
          <w:bCs/>
        </w:rPr>
        <w:instrText xml:space="preserve">ADDIN Mendeley Bibliography CSL_BIBLIOGRAPHY </w:instrText>
      </w:r>
      <w:r w:rsidRPr="00FA55C8">
        <w:rPr>
          <w:rFonts w:asciiTheme="minorBidi" w:hAnsiTheme="minorBidi" w:cstheme="minorBidi"/>
          <w:b/>
          <w:bCs/>
        </w:rPr>
        <w:fldChar w:fldCharType="separate"/>
      </w:r>
      <w:r w:rsidR="004D74B5" w:rsidRPr="004D74B5">
        <w:rPr>
          <w:rFonts w:ascii="Arial" w:hAnsi="Arial" w:cs="Arial"/>
          <w:noProof/>
          <w:szCs w:val="24"/>
        </w:rPr>
        <w:t xml:space="preserve">Aagaard, A., Presser, M., Collins, T., Beliatis, M., Jakobsen, E. M., &amp; Skou, A. K. (2021). </w:t>
      </w:r>
      <w:r w:rsidR="004D74B5" w:rsidRPr="004D74B5">
        <w:rPr>
          <w:rFonts w:ascii="Arial" w:hAnsi="Arial" w:cs="Arial"/>
          <w:i/>
          <w:iCs/>
          <w:noProof/>
          <w:szCs w:val="24"/>
        </w:rPr>
        <w:t>The Role of Digital Maturity Assessment in Technology Interventions with Industrial Internet Playground</w:t>
      </w:r>
      <w:r w:rsidR="004D74B5" w:rsidRPr="004D74B5">
        <w:rPr>
          <w:rFonts w:ascii="Arial" w:hAnsi="Arial" w:cs="Arial"/>
          <w:noProof/>
          <w:szCs w:val="24"/>
        </w:rPr>
        <w:t>.</w:t>
      </w:r>
    </w:p>
    <w:p w14:paraId="6BB9B2D8"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Ahmed, T., &amp; Hussain, B. (2023). </w:t>
      </w:r>
      <w:r w:rsidRPr="004D74B5">
        <w:rPr>
          <w:rFonts w:ascii="Arial" w:hAnsi="Arial" w:cs="Arial"/>
          <w:i/>
          <w:iCs/>
          <w:noProof/>
          <w:szCs w:val="24"/>
        </w:rPr>
        <w:t>The Role of AI in Enhancing Customer Experience and Engagement in Digital Transformation</w:t>
      </w:r>
      <w:r w:rsidRPr="004D74B5">
        <w:rPr>
          <w:rFonts w:ascii="Arial" w:hAnsi="Arial" w:cs="Arial"/>
          <w:noProof/>
          <w:szCs w:val="24"/>
        </w:rPr>
        <w:t xml:space="preserve">. </w:t>
      </w:r>
      <w:r w:rsidRPr="004D74B5">
        <w:rPr>
          <w:rFonts w:ascii="Arial" w:hAnsi="Arial" w:cs="Arial"/>
          <w:i/>
          <w:iCs/>
          <w:noProof/>
          <w:szCs w:val="24"/>
        </w:rPr>
        <w:t>June</w:t>
      </w:r>
      <w:r w:rsidRPr="004D74B5">
        <w:rPr>
          <w:rFonts w:ascii="Arial" w:hAnsi="Arial" w:cs="Arial"/>
          <w:noProof/>
          <w:szCs w:val="24"/>
        </w:rPr>
        <w:t>.</w:t>
      </w:r>
    </w:p>
    <w:p w14:paraId="4E0EEA53" w14:textId="0D61C92D" w:rsidR="004D74B5" w:rsidRPr="007A2EE8" w:rsidRDefault="004D74B5" w:rsidP="00B90543">
      <w:pPr>
        <w:widowControl w:val="0"/>
        <w:autoSpaceDE w:val="0"/>
        <w:autoSpaceDN w:val="0"/>
        <w:adjustRightInd w:val="0"/>
        <w:ind w:left="480" w:hanging="480"/>
        <w:jc w:val="left"/>
        <w:rPr>
          <w:rFonts w:ascii="Arial" w:hAnsi="Arial" w:cs="Arial"/>
          <w:noProof/>
          <w:szCs w:val="24"/>
          <w:lang w:val="nl-BE"/>
        </w:rPr>
      </w:pPr>
      <w:r w:rsidRPr="004D74B5">
        <w:rPr>
          <w:rFonts w:ascii="Arial" w:hAnsi="Arial" w:cs="Arial"/>
          <w:noProof/>
          <w:szCs w:val="24"/>
        </w:rPr>
        <w:t xml:space="preserve">Andres, O., Rodriguez, G., Yolima, D., &amp; Balbin, C. (2025). </w:t>
      </w:r>
      <w:r w:rsidRPr="004D74B5">
        <w:rPr>
          <w:rFonts w:ascii="Arial" w:hAnsi="Arial" w:cs="Arial"/>
          <w:i/>
          <w:iCs/>
          <w:noProof/>
          <w:szCs w:val="24"/>
        </w:rPr>
        <w:t>Digital Maturity Level, a Roadmap for Digital Transformation : Case Study DIGITAL MATURITY LEVEL, A ROADMAP FOR DIGITAL TRANSFORMATION : CASE STUDY</w:t>
      </w:r>
      <w:r w:rsidRPr="004D74B5">
        <w:rPr>
          <w:rFonts w:ascii="Arial" w:hAnsi="Arial" w:cs="Arial"/>
          <w:noProof/>
          <w:szCs w:val="24"/>
        </w:rPr>
        <w:t xml:space="preserve">. </w:t>
      </w:r>
      <w:r w:rsidRPr="007A2EE8">
        <w:rPr>
          <w:rFonts w:ascii="Arial" w:hAnsi="Arial" w:cs="Arial"/>
          <w:i/>
          <w:iCs/>
          <w:noProof/>
          <w:szCs w:val="24"/>
          <w:lang w:val="nl-BE"/>
        </w:rPr>
        <w:t>November 2024</w:t>
      </w:r>
      <w:r w:rsidRPr="007A2EE8">
        <w:rPr>
          <w:rFonts w:ascii="Arial" w:hAnsi="Arial" w:cs="Arial"/>
          <w:noProof/>
          <w:szCs w:val="24"/>
          <w:lang w:val="nl-BE"/>
        </w:rPr>
        <w:t>. https://doi.org/10.24857/rgsa.v18n11-256</w:t>
      </w:r>
    </w:p>
    <w:p w14:paraId="2D4054AF"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7A2EE8">
        <w:rPr>
          <w:rFonts w:ascii="Arial" w:hAnsi="Arial" w:cs="Arial"/>
          <w:noProof/>
          <w:szCs w:val="24"/>
          <w:lang w:val="nl-BE"/>
        </w:rPr>
        <w:t xml:space="preserve">Aras, A., &amp; Büyüközkan, G. (2023). </w:t>
      </w:r>
      <w:r w:rsidRPr="004D74B5">
        <w:rPr>
          <w:rFonts w:ascii="Arial" w:hAnsi="Arial" w:cs="Arial"/>
          <w:i/>
          <w:iCs/>
          <w:noProof/>
          <w:szCs w:val="24"/>
        </w:rPr>
        <w:t>Digital Transformation Journey Guidance : A Holistic Digital</w:t>
      </w:r>
      <w:r w:rsidRPr="004D74B5">
        <w:rPr>
          <w:rFonts w:ascii="Arial" w:hAnsi="Arial" w:cs="Arial"/>
          <w:noProof/>
          <w:szCs w:val="24"/>
        </w:rPr>
        <w:t>. 1–31.</w:t>
      </w:r>
    </w:p>
    <w:p w14:paraId="17FD91F2"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Arkhipova, L. I. (2025). </w:t>
      </w:r>
      <w:r w:rsidRPr="004D74B5">
        <w:rPr>
          <w:rFonts w:ascii="Arial" w:hAnsi="Arial" w:cs="Arial"/>
          <w:i/>
          <w:iCs/>
          <w:noProof/>
          <w:szCs w:val="24"/>
        </w:rPr>
        <w:t>Udc 330.33:004 digital maturity categories in business: integrating and assessment</w:t>
      </w:r>
      <w:r w:rsidRPr="004D74B5">
        <w:rPr>
          <w:rFonts w:ascii="Arial" w:hAnsi="Arial" w:cs="Arial"/>
          <w:noProof/>
          <w:szCs w:val="24"/>
        </w:rPr>
        <w:t>. 23–24.</w:t>
      </w:r>
    </w:p>
    <w:p w14:paraId="75D4B89E"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Ashiq, R. (2025). </w:t>
      </w:r>
      <w:r w:rsidRPr="004D74B5">
        <w:rPr>
          <w:rFonts w:ascii="Arial" w:hAnsi="Arial" w:cs="Arial"/>
          <w:i/>
          <w:iCs/>
          <w:noProof/>
          <w:szCs w:val="24"/>
        </w:rPr>
        <w:t>Exploring the effects of e-service quality and e-trust on consumers ’ e-satisfaction and e-loyalty : insights from online shoppers in Pakistan</w:t>
      </w:r>
      <w:r w:rsidRPr="004D74B5">
        <w:rPr>
          <w:rFonts w:ascii="Arial" w:hAnsi="Arial" w:cs="Arial"/>
          <w:noProof/>
          <w:szCs w:val="24"/>
        </w:rPr>
        <w:t xml:space="preserve">. </w:t>
      </w:r>
      <w:r w:rsidRPr="004D74B5">
        <w:rPr>
          <w:rFonts w:ascii="Arial" w:hAnsi="Arial" w:cs="Arial"/>
          <w:i/>
          <w:iCs/>
          <w:noProof/>
          <w:szCs w:val="24"/>
        </w:rPr>
        <w:t>3</w:t>
      </w:r>
      <w:r w:rsidRPr="004D74B5">
        <w:rPr>
          <w:rFonts w:ascii="Arial" w:hAnsi="Arial" w:cs="Arial"/>
          <w:noProof/>
          <w:szCs w:val="24"/>
        </w:rPr>
        <w:t>(2), 117–141. https://doi.org/10.1108/JEBDE-09-2023-0019</w:t>
      </w:r>
    </w:p>
    <w:p w14:paraId="7CBB7F14"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Backlund, F., Chronéer, D., &amp; Sundqvist, E. (2014). Project Management Maturity Models – A Critical Review A case study within Swedish engineering and construction organizations. </w:t>
      </w:r>
      <w:r w:rsidRPr="004D74B5">
        <w:rPr>
          <w:rFonts w:ascii="Arial" w:hAnsi="Arial" w:cs="Arial"/>
          <w:i/>
          <w:iCs/>
          <w:noProof/>
          <w:szCs w:val="24"/>
        </w:rPr>
        <w:t>Procedia - Social and Behavioral Sciences</w:t>
      </w:r>
      <w:r w:rsidRPr="004D74B5">
        <w:rPr>
          <w:rFonts w:ascii="Arial" w:hAnsi="Arial" w:cs="Arial"/>
          <w:noProof/>
          <w:szCs w:val="24"/>
        </w:rPr>
        <w:t xml:space="preserve">, </w:t>
      </w:r>
      <w:r w:rsidRPr="004D74B5">
        <w:rPr>
          <w:rFonts w:ascii="Arial" w:hAnsi="Arial" w:cs="Arial"/>
          <w:i/>
          <w:iCs/>
          <w:noProof/>
          <w:szCs w:val="24"/>
        </w:rPr>
        <w:t>119</w:t>
      </w:r>
      <w:r w:rsidRPr="004D74B5">
        <w:rPr>
          <w:rFonts w:ascii="Arial" w:hAnsi="Arial" w:cs="Arial"/>
          <w:noProof/>
          <w:szCs w:val="24"/>
        </w:rPr>
        <w:t>, 837–846. https://doi.org/10.1016/j.sbspro.2014.03.094</w:t>
      </w:r>
    </w:p>
    <w:p w14:paraId="400721DE"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Bandara, O., Vidanagamachchi, K., &amp; Wickramarachchi, R. (2019). </w:t>
      </w:r>
      <w:r w:rsidRPr="004D74B5">
        <w:rPr>
          <w:rFonts w:ascii="Arial" w:hAnsi="Arial" w:cs="Arial"/>
          <w:i/>
          <w:iCs/>
          <w:noProof/>
          <w:szCs w:val="24"/>
        </w:rPr>
        <w:t>A Model for Assessing Maturity of Industry 4 . 0 in the Banking Sector</w:t>
      </w:r>
      <w:r w:rsidRPr="004D74B5">
        <w:rPr>
          <w:rFonts w:ascii="Arial" w:hAnsi="Arial" w:cs="Arial"/>
          <w:noProof/>
          <w:szCs w:val="24"/>
        </w:rPr>
        <w:t xml:space="preserve">. </w:t>
      </w:r>
      <w:r w:rsidRPr="004D74B5">
        <w:rPr>
          <w:rFonts w:ascii="Arial" w:hAnsi="Arial" w:cs="Arial"/>
          <w:i/>
          <w:iCs/>
          <w:noProof/>
          <w:szCs w:val="24"/>
        </w:rPr>
        <w:t>March</w:t>
      </w:r>
      <w:r w:rsidRPr="004D74B5">
        <w:rPr>
          <w:rFonts w:ascii="Arial" w:hAnsi="Arial" w:cs="Arial"/>
          <w:noProof/>
          <w:szCs w:val="24"/>
        </w:rPr>
        <w:t>.</w:t>
      </w:r>
    </w:p>
    <w:p w14:paraId="6CAB285F"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Cao, G., Duan, Y., &amp; Edwards, J. S. (2025). Information &amp; Management Organizational culture , digital transformation , and product innovation. </w:t>
      </w:r>
      <w:r w:rsidRPr="004D74B5">
        <w:rPr>
          <w:rFonts w:ascii="Arial" w:hAnsi="Arial" w:cs="Arial"/>
          <w:i/>
          <w:iCs/>
          <w:noProof/>
          <w:szCs w:val="24"/>
        </w:rPr>
        <w:t>Information &amp; Management</w:t>
      </w:r>
      <w:r w:rsidRPr="004D74B5">
        <w:rPr>
          <w:rFonts w:ascii="Arial" w:hAnsi="Arial" w:cs="Arial"/>
          <w:noProof/>
          <w:szCs w:val="24"/>
        </w:rPr>
        <w:t xml:space="preserve">, </w:t>
      </w:r>
      <w:r w:rsidRPr="004D74B5">
        <w:rPr>
          <w:rFonts w:ascii="Arial" w:hAnsi="Arial" w:cs="Arial"/>
          <w:i/>
          <w:iCs/>
          <w:noProof/>
          <w:szCs w:val="24"/>
        </w:rPr>
        <w:t>62</w:t>
      </w:r>
      <w:r w:rsidRPr="004D74B5">
        <w:rPr>
          <w:rFonts w:ascii="Arial" w:hAnsi="Arial" w:cs="Arial"/>
          <w:noProof/>
          <w:szCs w:val="24"/>
        </w:rPr>
        <w:t>(4), 104135. https://doi.org/10.1016/j.im.2025.104135</w:t>
      </w:r>
    </w:p>
    <w:p w14:paraId="7D38C5D6"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Ciruskabiri, S. (2023). </w:t>
      </w:r>
      <w:r w:rsidRPr="004D74B5">
        <w:rPr>
          <w:rFonts w:ascii="Arial" w:hAnsi="Arial" w:cs="Arial"/>
          <w:i/>
          <w:iCs/>
          <w:noProof/>
          <w:szCs w:val="24"/>
        </w:rPr>
        <w:t>Digital Transformation Planning and Frameworks</w:t>
      </w:r>
      <w:r w:rsidRPr="004D74B5">
        <w:rPr>
          <w:rFonts w:ascii="Arial" w:hAnsi="Arial" w:cs="Arial"/>
          <w:noProof/>
          <w:szCs w:val="24"/>
        </w:rPr>
        <w:t xml:space="preserve">. </w:t>
      </w:r>
      <w:r w:rsidRPr="004D74B5">
        <w:rPr>
          <w:rFonts w:ascii="Arial" w:hAnsi="Arial" w:cs="Arial"/>
          <w:i/>
          <w:iCs/>
          <w:noProof/>
          <w:szCs w:val="24"/>
        </w:rPr>
        <w:t>4</w:t>
      </w:r>
      <w:r w:rsidRPr="004D74B5">
        <w:rPr>
          <w:rFonts w:ascii="Arial" w:hAnsi="Arial" w:cs="Arial"/>
          <w:noProof/>
          <w:szCs w:val="24"/>
        </w:rPr>
        <w:t>(7). https://doi.org/10.22054/dcm.2022.66880.1070</w:t>
      </w:r>
    </w:p>
    <w:p w14:paraId="060A905E"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Deep, G. (2023). </w:t>
      </w:r>
      <w:r w:rsidRPr="004D74B5">
        <w:rPr>
          <w:rFonts w:ascii="Arial" w:hAnsi="Arial" w:cs="Arial"/>
          <w:i/>
          <w:iCs/>
          <w:noProof/>
          <w:szCs w:val="24"/>
        </w:rPr>
        <w:t>Digital transformation ’ s impact on organizational culture</w:t>
      </w:r>
      <w:r w:rsidRPr="004D74B5">
        <w:rPr>
          <w:rFonts w:ascii="Arial" w:hAnsi="Arial" w:cs="Arial"/>
          <w:noProof/>
          <w:szCs w:val="24"/>
        </w:rPr>
        <w:t xml:space="preserve">. </w:t>
      </w:r>
      <w:r w:rsidRPr="004D74B5">
        <w:rPr>
          <w:rFonts w:ascii="Arial" w:hAnsi="Arial" w:cs="Arial"/>
          <w:i/>
          <w:iCs/>
          <w:noProof/>
          <w:szCs w:val="24"/>
        </w:rPr>
        <w:t>10</w:t>
      </w:r>
      <w:r w:rsidRPr="004D74B5">
        <w:rPr>
          <w:rFonts w:ascii="Arial" w:hAnsi="Arial" w:cs="Arial"/>
          <w:noProof/>
          <w:szCs w:val="24"/>
        </w:rPr>
        <w:t>(October), 396–401.</w:t>
      </w:r>
    </w:p>
    <w:p w14:paraId="5E510FBB"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Dindarian, K. (2023). </w:t>
      </w:r>
      <w:r w:rsidRPr="004D74B5">
        <w:rPr>
          <w:rFonts w:ascii="Arial" w:hAnsi="Arial" w:cs="Arial"/>
          <w:i/>
          <w:iCs/>
          <w:noProof/>
          <w:szCs w:val="24"/>
        </w:rPr>
        <w:t>Exploring enterprise resilience through the theoretical lens of complexity : a case study situated in the high value- manufacturing sector</w:t>
      </w:r>
      <w:r w:rsidRPr="004D74B5">
        <w:rPr>
          <w:rFonts w:ascii="Arial" w:hAnsi="Arial" w:cs="Arial"/>
          <w:noProof/>
          <w:szCs w:val="24"/>
        </w:rPr>
        <w:t xml:space="preserve"> (Issue August). https://doi.org/10.1007/978-3-031-29344-3</w:t>
      </w:r>
    </w:p>
    <w:p w14:paraId="66D571DE"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Felipe, L., Ramos, P., Freitas, E. De, Loures, R., Deschamps, F., Felipe, L., &amp; Deschamps, F. (2020). ScienceDirect ScienceDirect ScienceDirect An Analysis of Maturity Models and Current State Assessment of An Analysis of Maturity Models and Current State Assessment of Organizations for Industry 4 . 0 Implementation Organizations for Industry 4 . 0 Implementation. </w:t>
      </w:r>
      <w:r w:rsidRPr="004D74B5">
        <w:rPr>
          <w:rFonts w:ascii="Arial" w:hAnsi="Arial" w:cs="Arial"/>
          <w:i/>
          <w:iCs/>
          <w:noProof/>
          <w:szCs w:val="24"/>
        </w:rPr>
        <w:t>Procedia Manufacturing</w:t>
      </w:r>
      <w:r w:rsidRPr="004D74B5">
        <w:rPr>
          <w:rFonts w:ascii="Arial" w:hAnsi="Arial" w:cs="Arial"/>
          <w:noProof/>
          <w:szCs w:val="24"/>
        </w:rPr>
        <w:t xml:space="preserve">, </w:t>
      </w:r>
      <w:r w:rsidRPr="004D74B5">
        <w:rPr>
          <w:rFonts w:ascii="Arial" w:hAnsi="Arial" w:cs="Arial"/>
          <w:i/>
          <w:iCs/>
          <w:noProof/>
          <w:szCs w:val="24"/>
        </w:rPr>
        <w:t>51</w:t>
      </w:r>
      <w:r w:rsidRPr="004D74B5">
        <w:rPr>
          <w:rFonts w:ascii="Arial" w:hAnsi="Arial" w:cs="Arial"/>
          <w:noProof/>
          <w:szCs w:val="24"/>
        </w:rPr>
        <w:t>, 1098–1105. https://doi.org/10.1016/j.promfg.2020.10.154</w:t>
      </w:r>
    </w:p>
    <w:p w14:paraId="257E31EF"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Flechsig, C., Hamann-lohmer, J., &amp; Lasch, R. (2022). </w:t>
      </w:r>
      <w:r w:rsidRPr="004D74B5">
        <w:rPr>
          <w:rFonts w:ascii="Arial" w:hAnsi="Arial" w:cs="Arial"/>
          <w:i/>
          <w:iCs/>
          <w:noProof/>
          <w:szCs w:val="24"/>
        </w:rPr>
        <w:t>BUSINESS PROCESS MATURITY MODEL FOR DIGITAL TRANSFORMATION : AN ACTION DESIGN RESEARCH STUDY ON THE INTEGRATION OF INFORMATION</w:t>
      </w:r>
      <w:r w:rsidRPr="004D74B5">
        <w:rPr>
          <w:rFonts w:ascii="Arial" w:hAnsi="Arial" w:cs="Arial"/>
          <w:noProof/>
          <w:szCs w:val="24"/>
        </w:rPr>
        <w:t xml:space="preserve">. </w:t>
      </w:r>
      <w:r w:rsidRPr="004D74B5">
        <w:rPr>
          <w:rFonts w:ascii="Arial" w:hAnsi="Arial" w:cs="Arial"/>
          <w:i/>
          <w:iCs/>
          <w:noProof/>
          <w:szCs w:val="24"/>
        </w:rPr>
        <w:t>August</w:t>
      </w:r>
      <w:r w:rsidRPr="004D74B5">
        <w:rPr>
          <w:rFonts w:ascii="Arial" w:hAnsi="Arial" w:cs="Arial"/>
          <w:noProof/>
          <w:szCs w:val="24"/>
        </w:rPr>
        <w:t>. https://doi.org/10.1142/S1363919622400126</w:t>
      </w:r>
    </w:p>
    <w:p w14:paraId="754E60F5"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Gökalp, E., &amp; Martinez, V. (2025). </w:t>
      </w:r>
      <w:r w:rsidRPr="004D74B5">
        <w:rPr>
          <w:rFonts w:ascii="Arial" w:hAnsi="Arial" w:cs="Arial"/>
          <w:i/>
          <w:iCs/>
          <w:noProof/>
          <w:szCs w:val="24"/>
        </w:rPr>
        <w:t>Digital transformation maturity assessment : development of the digital transformation capability maturity model</w:t>
      </w:r>
      <w:r w:rsidRPr="004D74B5">
        <w:rPr>
          <w:rFonts w:ascii="Arial" w:hAnsi="Arial" w:cs="Arial"/>
          <w:noProof/>
          <w:szCs w:val="24"/>
        </w:rPr>
        <w:t xml:space="preserve">. </w:t>
      </w:r>
      <w:r w:rsidRPr="004D74B5">
        <w:rPr>
          <w:rFonts w:ascii="Arial" w:hAnsi="Arial" w:cs="Arial"/>
          <w:i/>
          <w:iCs/>
          <w:noProof/>
          <w:szCs w:val="24"/>
        </w:rPr>
        <w:t>May</w:t>
      </w:r>
      <w:r w:rsidRPr="004D74B5">
        <w:rPr>
          <w:rFonts w:ascii="Arial" w:hAnsi="Arial" w:cs="Arial"/>
          <w:noProof/>
          <w:szCs w:val="24"/>
        </w:rPr>
        <w:t>. https://doi.org/10.1080/00207543.2021.1991020</w:t>
      </w:r>
    </w:p>
    <w:p w14:paraId="5AEA8D9D"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Haryanti, T., Rakhmawati, N. A., &amp; Subriadi, A. P. (2023). </w:t>
      </w:r>
      <w:r w:rsidRPr="004D74B5">
        <w:rPr>
          <w:rFonts w:ascii="Arial" w:hAnsi="Arial" w:cs="Arial"/>
          <w:i/>
          <w:iCs/>
          <w:noProof/>
          <w:szCs w:val="24"/>
        </w:rPr>
        <w:t>The Extended Digital Maturity Model</w:t>
      </w:r>
      <w:r w:rsidRPr="004D74B5">
        <w:rPr>
          <w:rFonts w:ascii="Arial" w:hAnsi="Arial" w:cs="Arial"/>
          <w:noProof/>
          <w:szCs w:val="24"/>
        </w:rPr>
        <w:t>. 1–24.</w:t>
      </w:r>
    </w:p>
    <w:p w14:paraId="7347AE8D"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Hassenstein, M. J., &amp; Vanella, P. (2022). Data Quality—Concepts and Problems. </w:t>
      </w:r>
      <w:r w:rsidRPr="004D74B5">
        <w:rPr>
          <w:rFonts w:ascii="Arial" w:hAnsi="Arial" w:cs="Arial"/>
          <w:i/>
          <w:iCs/>
          <w:noProof/>
          <w:szCs w:val="24"/>
        </w:rPr>
        <w:t>Encyclopedia</w:t>
      </w:r>
      <w:r w:rsidRPr="004D74B5">
        <w:rPr>
          <w:rFonts w:ascii="Arial" w:hAnsi="Arial" w:cs="Arial"/>
          <w:noProof/>
          <w:szCs w:val="24"/>
        </w:rPr>
        <w:t xml:space="preserve">, </w:t>
      </w:r>
      <w:r w:rsidRPr="004D74B5">
        <w:rPr>
          <w:rFonts w:ascii="Arial" w:hAnsi="Arial" w:cs="Arial"/>
          <w:i/>
          <w:iCs/>
          <w:noProof/>
          <w:szCs w:val="24"/>
        </w:rPr>
        <w:t>2</w:t>
      </w:r>
      <w:r w:rsidRPr="004D74B5">
        <w:rPr>
          <w:rFonts w:ascii="Arial" w:hAnsi="Arial" w:cs="Arial"/>
          <w:noProof/>
          <w:szCs w:val="24"/>
        </w:rPr>
        <w:t>(1), 498–510. https://doi.org/10.3390/encyclopedia2010032</w:t>
      </w:r>
    </w:p>
    <w:p w14:paraId="2000545B"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Jiao, H., Wang, T., Libaers, D., Yang, J., &amp; Hu, L. (2025). The relationship between digital technologies and innovation : A review , critique , and research agenda. </w:t>
      </w:r>
      <w:r w:rsidRPr="004D74B5">
        <w:rPr>
          <w:rFonts w:ascii="Arial" w:hAnsi="Arial" w:cs="Arial"/>
          <w:i/>
          <w:iCs/>
          <w:noProof/>
          <w:szCs w:val="24"/>
        </w:rPr>
        <w:t>Journal of Innovation &amp; Knowledge</w:t>
      </w:r>
      <w:r w:rsidRPr="004D74B5">
        <w:rPr>
          <w:rFonts w:ascii="Arial" w:hAnsi="Arial" w:cs="Arial"/>
          <w:noProof/>
          <w:szCs w:val="24"/>
        </w:rPr>
        <w:t xml:space="preserve">, </w:t>
      </w:r>
      <w:r w:rsidRPr="004D74B5">
        <w:rPr>
          <w:rFonts w:ascii="Arial" w:hAnsi="Arial" w:cs="Arial"/>
          <w:i/>
          <w:iCs/>
          <w:noProof/>
          <w:szCs w:val="24"/>
        </w:rPr>
        <w:t>10</w:t>
      </w:r>
      <w:r w:rsidRPr="004D74B5">
        <w:rPr>
          <w:rFonts w:ascii="Arial" w:hAnsi="Arial" w:cs="Arial"/>
          <w:noProof/>
          <w:szCs w:val="24"/>
        </w:rPr>
        <w:t>(1), 100638. https://doi.org/10.1016/j.jik.2024.100638</w:t>
      </w:r>
    </w:p>
    <w:p w14:paraId="47B0E7B9"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Jie, H., Mow, L., &amp; Lou, Y. (2025). Digital maturity , dynamic capabilities and innovation performance in high-tech SMEs. </w:t>
      </w:r>
      <w:r w:rsidRPr="004D74B5">
        <w:rPr>
          <w:rFonts w:ascii="Arial" w:hAnsi="Arial" w:cs="Arial"/>
          <w:i/>
          <w:iCs/>
          <w:noProof/>
          <w:szCs w:val="24"/>
        </w:rPr>
        <w:t>International Review of Economics and Finance</w:t>
      </w:r>
      <w:r w:rsidRPr="004D74B5">
        <w:rPr>
          <w:rFonts w:ascii="Arial" w:hAnsi="Arial" w:cs="Arial"/>
          <w:noProof/>
          <w:szCs w:val="24"/>
        </w:rPr>
        <w:t xml:space="preserve">, </w:t>
      </w:r>
      <w:r w:rsidRPr="004D74B5">
        <w:rPr>
          <w:rFonts w:ascii="Arial" w:hAnsi="Arial" w:cs="Arial"/>
          <w:i/>
          <w:iCs/>
          <w:noProof/>
          <w:szCs w:val="24"/>
        </w:rPr>
        <w:t>99</w:t>
      </w:r>
      <w:r w:rsidRPr="004D74B5">
        <w:rPr>
          <w:rFonts w:ascii="Arial" w:hAnsi="Arial" w:cs="Arial"/>
          <w:noProof/>
          <w:szCs w:val="24"/>
        </w:rPr>
        <w:t>(November 2024), 103971. https://doi.org/10.1016/j.iref.2025.103971</w:t>
      </w:r>
    </w:p>
    <w:p w14:paraId="68B674AE"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Lee, K., Song, Y., Park, M., &amp; Yoon, B. (2024). </w:t>
      </w:r>
      <w:r w:rsidRPr="004D74B5">
        <w:rPr>
          <w:rFonts w:ascii="Arial" w:hAnsi="Arial" w:cs="Arial"/>
          <w:i/>
          <w:iCs/>
          <w:noProof/>
          <w:szCs w:val="24"/>
        </w:rPr>
        <w:t>Development of Digital Transformation Maturity Assessment Model for Collaborative Factory Involving Multiple Companies</w:t>
      </w:r>
      <w:r w:rsidRPr="004D74B5">
        <w:rPr>
          <w:rFonts w:ascii="Arial" w:hAnsi="Arial" w:cs="Arial"/>
          <w:noProof/>
          <w:szCs w:val="24"/>
        </w:rPr>
        <w:t>.</w:t>
      </w:r>
    </w:p>
    <w:p w14:paraId="3AA71433"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Marçal, M., &amp; Pinto, A. (2024). </w:t>
      </w:r>
      <w:r w:rsidRPr="004D74B5">
        <w:rPr>
          <w:rFonts w:ascii="Arial" w:hAnsi="Arial" w:cs="Arial"/>
          <w:i/>
          <w:iCs/>
          <w:noProof/>
          <w:szCs w:val="24"/>
        </w:rPr>
        <w:t xml:space="preserve">Sustainable Digital Transformation Roadmaps for SMEs : A Systematic Literature </w:t>
      </w:r>
      <w:r w:rsidRPr="004D74B5">
        <w:rPr>
          <w:rFonts w:ascii="Arial" w:hAnsi="Arial" w:cs="Arial"/>
          <w:i/>
          <w:iCs/>
          <w:noProof/>
          <w:szCs w:val="24"/>
        </w:rPr>
        <w:lastRenderedPageBreak/>
        <w:t>Review</w:t>
      </w:r>
      <w:r w:rsidRPr="004D74B5">
        <w:rPr>
          <w:rFonts w:ascii="Arial" w:hAnsi="Arial" w:cs="Arial"/>
          <w:noProof/>
          <w:szCs w:val="24"/>
        </w:rPr>
        <w:t>.</w:t>
      </w:r>
    </w:p>
    <w:p w14:paraId="36BEABF7"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Mettler, T., &amp; Ballester, O. (2021). </w:t>
      </w:r>
      <w:r w:rsidRPr="004D74B5">
        <w:rPr>
          <w:rFonts w:ascii="Arial" w:hAnsi="Arial" w:cs="Arial"/>
          <w:i/>
          <w:iCs/>
          <w:noProof/>
          <w:szCs w:val="24"/>
        </w:rPr>
        <w:t>Maturity Models in Information Systems : A Review and Extension of Existing Guidelines</w:t>
      </w:r>
      <w:r w:rsidRPr="004D74B5">
        <w:rPr>
          <w:rFonts w:ascii="Arial" w:hAnsi="Arial" w:cs="Arial"/>
          <w:noProof/>
          <w:szCs w:val="24"/>
        </w:rPr>
        <w:t xml:space="preserve">. </w:t>
      </w:r>
      <w:r w:rsidRPr="004D74B5">
        <w:rPr>
          <w:rFonts w:ascii="Arial" w:hAnsi="Arial" w:cs="Arial"/>
          <w:i/>
          <w:iCs/>
          <w:noProof/>
          <w:szCs w:val="24"/>
        </w:rPr>
        <w:t>2017</w:t>
      </w:r>
      <w:r w:rsidRPr="004D74B5">
        <w:rPr>
          <w:rFonts w:ascii="Arial" w:hAnsi="Arial" w:cs="Arial"/>
          <w:noProof/>
          <w:szCs w:val="24"/>
        </w:rPr>
        <w:t>, 1–16.</w:t>
      </w:r>
    </w:p>
    <w:p w14:paraId="4BD7E87D"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Moghaddam, S. S. (2024). </w:t>
      </w:r>
      <w:r w:rsidRPr="004D74B5">
        <w:rPr>
          <w:rFonts w:ascii="Arial" w:hAnsi="Arial" w:cs="Arial"/>
          <w:i/>
          <w:iCs/>
          <w:noProof/>
          <w:szCs w:val="24"/>
        </w:rPr>
        <w:t>The Past , Present , and Future of the Internet : A Statistical , Technical , and Functional Comparison of Wired / Wireless Fixed / Mobile Internet</w:t>
      </w:r>
      <w:r w:rsidRPr="004D74B5">
        <w:rPr>
          <w:rFonts w:ascii="Arial" w:hAnsi="Arial" w:cs="Arial"/>
          <w:noProof/>
          <w:szCs w:val="24"/>
        </w:rPr>
        <w:t>.</w:t>
      </w:r>
    </w:p>
    <w:p w14:paraId="34FEE15F"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Mori, Z. (2024). </w:t>
      </w:r>
      <w:r w:rsidRPr="004D74B5">
        <w:rPr>
          <w:rFonts w:ascii="Arial" w:hAnsi="Arial" w:cs="Arial"/>
          <w:i/>
          <w:iCs/>
          <w:noProof/>
          <w:szCs w:val="24"/>
        </w:rPr>
        <w:t>Protection of Personal Data in the Context of E-Commerce</w:t>
      </w:r>
      <w:r w:rsidRPr="004D74B5">
        <w:rPr>
          <w:rFonts w:ascii="Arial" w:hAnsi="Arial" w:cs="Arial"/>
          <w:noProof/>
          <w:szCs w:val="24"/>
        </w:rPr>
        <w:t xml:space="preserve">. </w:t>
      </w:r>
      <w:r w:rsidRPr="004D74B5">
        <w:rPr>
          <w:rFonts w:ascii="Arial" w:hAnsi="Arial" w:cs="Arial"/>
          <w:i/>
          <w:iCs/>
          <w:noProof/>
          <w:szCs w:val="24"/>
        </w:rPr>
        <w:t>September 2023</w:t>
      </w:r>
      <w:r w:rsidRPr="004D74B5">
        <w:rPr>
          <w:rFonts w:ascii="Arial" w:hAnsi="Arial" w:cs="Arial"/>
          <w:noProof/>
          <w:szCs w:val="24"/>
        </w:rPr>
        <w:t>, 731–761.</w:t>
      </w:r>
    </w:p>
    <w:p w14:paraId="3118CACF"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Nikita, N. A., Azim, K. S., Jafor, A. H. M., Shayed, A. U., Hossain, M. A., &amp; Khan, O. U. (2024). </w:t>
      </w:r>
      <w:r w:rsidRPr="004D74B5">
        <w:rPr>
          <w:rFonts w:ascii="Arial" w:hAnsi="Arial" w:cs="Arial"/>
          <w:i/>
          <w:iCs/>
          <w:noProof/>
          <w:szCs w:val="24"/>
        </w:rPr>
        <w:t>Digital Transformation in Non-Profit Organizations : Strategies , Challenges , and Successes</w:t>
      </w:r>
      <w:r w:rsidRPr="004D74B5">
        <w:rPr>
          <w:rFonts w:ascii="Arial" w:hAnsi="Arial" w:cs="Arial"/>
          <w:noProof/>
          <w:szCs w:val="24"/>
        </w:rPr>
        <w:t xml:space="preserve">. </w:t>
      </w:r>
      <w:r w:rsidRPr="004D74B5">
        <w:rPr>
          <w:rFonts w:ascii="Arial" w:hAnsi="Arial" w:cs="Arial"/>
          <w:i/>
          <w:iCs/>
          <w:noProof/>
          <w:szCs w:val="24"/>
        </w:rPr>
        <w:t>2</w:t>
      </w:r>
      <w:r w:rsidRPr="004D74B5">
        <w:rPr>
          <w:rFonts w:ascii="Arial" w:hAnsi="Arial" w:cs="Arial"/>
          <w:noProof/>
          <w:szCs w:val="24"/>
        </w:rPr>
        <w:t>(5), 1–21. https://doi.org/10.62127/aijmr.2024.v02i05.1097</w:t>
      </w:r>
    </w:p>
    <w:p w14:paraId="1F29441D"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Pelser, T., &amp; Gaffley, G. (2021). </w:t>
      </w:r>
      <w:r w:rsidRPr="004D74B5">
        <w:rPr>
          <w:rFonts w:ascii="Arial" w:hAnsi="Arial" w:cs="Arial"/>
          <w:i/>
          <w:iCs/>
          <w:noProof/>
          <w:szCs w:val="24"/>
        </w:rPr>
        <w:t>Promoting Inclusive Growth in the Fourth Industrial Revolution</w:t>
      </w:r>
      <w:r w:rsidRPr="004D74B5">
        <w:rPr>
          <w:rFonts w:ascii="Arial" w:hAnsi="Arial" w:cs="Arial"/>
          <w:noProof/>
          <w:szCs w:val="24"/>
        </w:rPr>
        <w:t xml:space="preserve"> (Issue July). https://doi.org/10.4018/978-1-7998-4882-0.ch001</w:t>
      </w:r>
    </w:p>
    <w:p w14:paraId="0D26C901"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Peng, Y., Ahmad, S. F., Irshad, M., Al-Razgan, M., Ali, Y. A., &amp; Awwad, E. M. (2023). Impact of Digitalization on Process Optimization and Decision-Making towards Sustainability: The Moderating Role of Environmental Regulation. </w:t>
      </w:r>
      <w:r w:rsidRPr="004D74B5">
        <w:rPr>
          <w:rFonts w:ascii="Arial" w:hAnsi="Arial" w:cs="Arial"/>
          <w:i/>
          <w:iCs/>
          <w:noProof/>
          <w:szCs w:val="24"/>
        </w:rPr>
        <w:t>Sustainability</w:t>
      </w:r>
      <w:r w:rsidRPr="004D74B5">
        <w:rPr>
          <w:rFonts w:ascii="Arial" w:hAnsi="Arial" w:cs="Arial"/>
          <w:noProof/>
          <w:szCs w:val="24"/>
        </w:rPr>
        <w:t xml:space="preserve">, </w:t>
      </w:r>
      <w:r w:rsidRPr="004D74B5">
        <w:rPr>
          <w:rFonts w:ascii="Arial" w:hAnsi="Arial" w:cs="Arial"/>
          <w:i/>
          <w:iCs/>
          <w:noProof/>
          <w:szCs w:val="24"/>
        </w:rPr>
        <w:t>15</w:t>
      </w:r>
      <w:r w:rsidRPr="004D74B5">
        <w:rPr>
          <w:rFonts w:ascii="Arial" w:hAnsi="Arial" w:cs="Arial"/>
          <w:noProof/>
          <w:szCs w:val="24"/>
        </w:rPr>
        <w:t>(20), 15156. https://doi.org/10.3390/su152015156</w:t>
      </w:r>
    </w:p>
    <w:p w14:paraId="23F9F53F"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Plekhanov, D., Franke, H., &amp; Netland, T. H. (2023). Digital transformation: A review and research agenda. </w:t>
      </w:r>
      <w:r w:rsidRPr="004D74B5">
        <w:rPr>
          <w:rFonts w:ascii="Arial" w:hAnsi="Arial" w:cs="Arial"/>
          <w:i/>
          <w:iCs/>
          <w:noProof/>
          <w:szCs w:val="24"/>
        </w:rPr>
        <w:t>European Management Journal</w:t>
      </w:r>
      <w:r w:rsidRPr="004D74B5">
        <w:rPr>
          <w:rFonts w:ascii="Arial" w:hAnsi="Arial" w:cs="Arial"/>
          <w:noProof/>
          <w:szCs w:val="24"/>
        </w:rPr>
        <w:t xml:space="preserve">, </w:t>
      </w:r>
      <w:r w:rsidRPr="004D74B5">
        <w:rPr>
          <w:rFonts w:ascii="Arial" w:hAnsi="Arial" w:cs="Arial"/>
          <w:i/>
          <w:iCs/>
          <w:noProof/>
          <w:szCs w:val="24"/>
        </w:rPr>
        <w:t>41</w:t>
      </w:r>
      <w:r w:rsidRPr="004D74B5">
        <w:rPr>
          <w:rFonts w:ascii="Arial" w:hAnsi="Arial" w:cs="Arial"/>
          <w:noProof/>
          <w:szCs w:val="24"/>
        </w:rPr>
        <w:t>(6), 821–844. https://doi.org/10.1016/j.emj.2022.09.007</w:t>
      </w:r>
    </w:p>
    <w:p w14:paraId="4742291C"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Röper, J., &amp; Röper, J. (2023). </w:t>
      </w:r>
      <w:r w:rsidRPr="004D74B5">
        <w:rPr>
          <w:rFonts w:ascii="Arial" w:hAnsi="Arial" w:cs="Arial"/>
          <w:i/>
          <w:iCs/>
          <w:noProof/>
          <w:szCs w:val="24"/>
        </w:rPr>
        <w:t>Boosting Outcome-Based Business Models – The Role of the Consulting Industry A case study at Capgemini Invent</w:t>
      </w:r>
      <w:r w:rsidRPr="004D74B5">
        <w:rPr>
          <w:rFonts w:ascii="Arial" w:hAnsi="Arial" w:cs="Arial"/>
          <w:noProof/>
          <w:szCs w:val="24"/>
        </w:rPr>
        <w:t>.</w:t>
      </w:r>
    </w:p>
    <w:p w14:paraId="502FEBFD"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Rossmann, A. (2020). </w:t>
      </w:r>
      <w:r w:rsidRPr="004D74B5">
        <w:rPr>
          <w:rFonts w:ascii="Arial" w:hAnsi="Arial" w:cs="Arial"/>
          <w:i/>
          <w:iCs/>
          <w:noProof/>
          <w:szCs w:val="24"/>
        </w:rPr>
        <w:t>Digital Maturity : Conceptualization and Measurement Model Digital Maturity : Conceptualization and Measurement Model</w:t>
      </w:r>
      <w:r w:rsidRPr="004D74B5">
        <w:rPr>
          <w:rFonts w:ascii="Arial" w:hAnsi="Arial" w:cs="Arial"/>
          <w:noProof/>
          <w:szCs w:val="24"/>
        </w:rPr>
        <w:t xml:space="preserve">. </w:t>
      </w:r>
      <w:r w:rsidRPr="004D74B5">
        <w:rPr>
          <w:rFonts w:ascii="Arial" w:hAnsi="Arial" w:cs="Arial"/>
          <w:i/>
          <w:iCs/>
          <w:noProof/>
          <w:szCs w:val="24"/>
        </w:rPr>
        <w:t>November</w:t>
      </w:r>
      <w:r w:rsidRPr="004D74B5">
        <w:rPr>
          <w:rFonts w:ascii="Arial" w:hAnsi="Arial" w:cs="Arial"/>
          <w:noProof/>
          <w:szCs w:val="24"/>
        </w:rPr>
        <w:t>.</w:t>
      </w:r>
    </w:p>
    <w:p w14:paraId="597D3A6D"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Rubio, M., Jorge, A., Langreo, L., &amp; Gutiérrez, S. (2025). Tackling digital transformation strategy : how it affects firm innovation and organizational effectiveness. </w:t>
      </w:r>
      <w:r w:rsidRPr="004D74B5">
        <w:rPr>
          <w:rFonts w:ascii="Arial" w:hAnsi="Arial" w:cs="Arial"/>
          <w:i/>
          <w:iCs/>
          <w:noProof/>
          <w:szCs w:val="24"/>
        </w:rPr>
        <w:t>The Journal of Technology Transfer</w:t>
      </w:r>
      <w:r w:rsidRPr="004D74B5">
        <w:rPr>
          <w:rFonts w:ascii="Arial" w:hAnsi="Arial" w:cs="Arial"/>
          <w:noProof/>
          <w:szCs w:val="24"/>
        </w:rPr>
        <w:t xml:space="preserve">, </w:t>
      </w:r>
      <w:r w:rsidRPr="004D74B5">
        <w:rPr>
          <w:rFonts w:ascii="Arial" w:hAnsi="Arial" w:cs="Arial"/>
          <w:i/>
          <w:iCs/>
          <w:noProof/>
          <w:szCs w:val="24"/>
        </w:rPr>
        <w:t>50</w:t>
      </w:r>
      <w:r w:rsidRPr="004D74B5">
        <w:rPr>
          <w:rFonts w:ascii="Arial" w:hAnsi="Arial" w:cs="Arial"/>
          <w:noProof/>
          <w:szCs w:val="24"/>
        </w:rPr>
        <w:t>(5), 1893–1918. https://doi.org/10.1007/s10961-024-10164-9</w:t>
      </w:r>
    </w:p>
    <w:p w14:paraId="3437488E"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Sacavém, A., Machado, A. D. B., &amp; Palma-moreira, A. (2025). </w:t>
      </w:r>
      <w:r w:rsidRPr="004D74B5">
        <w:rPr>
          <w:rFonts w:ascii="Arial" w:hAnsi="Arial" w:cs="Arial"/>
          <w:i/>
          <w:iCs/>
          <w:noProof/>
          <w:szCs w:val="24"/>
        </w:rPr>
        <w:t>Leading in the Digital Age : The Role of Leadership in Organizational Digital Transformation</w:t>
      </w:r>
      <w:r w:rsidRPr="004D74B5">
        <w:rPr>
          <w:rFonts w:ascii="Arial" w:hAnsi="Arial" w:cs="Arial"/>
          <w:noProof/>
          <w:szCs w:val="24"/>
        </w:rPr>
        <w:t>. 1–21.</w:t>
      </w:r>
    </w:p>
    <w:p w14:paraId="47E74B13"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Schilirò, D. (2024). </w:t>
      </w:r>
      <w:r w:rsidRPr="004D74B5">
        <w:rPr>
          <w:rFonts w:ascii="Arial" w:hAnsi="Arial" w:cs="Arial"/>
          <w:i/>
          <w:iCs/>
          <w:noProof/>
          <w:szCs w:val="24"/>
        </w:rPr>
        <w:t>Digital Transformation and its Impact on Organizations</w:t>
      </w:r>
      <w:r w:rsidRPr="004D74B5">
        <w:rPr>
          <w:rFonts w:ascii="Arial" w:hAnsi="Arial" w:cs="Arial"/>
          <w:noProof/>
          <w:szCs w:val="24"/>
        </w:rPr>
        <w:t xml:space="preserve">. </w:t>
      </w:r>
      <w:r w:rsidRPr="004D74B5">
        <w:rPr>
          <w:rFonts w:ascii="Arial" w:hAnsi="Arial" w:cs="Arial"/>
          <w:i/>
          <w:iCs/>
          <w:noProof/>
          <w:szCs w:val="24"/>
        </w:rPr>
        <w:t>19</w:t>
      </w:r>
      <w:r w:rsidRPr="004D74B5">
        <w:rPr>
          <w:rFonts w:ascii="Arial" w:hAnsi="Arial" w:cs="Arial"/>
          <w:noProof/>
          <w:szCs w:val="24"/>
        </w:rPr>
        <w:t>(6), 71–81. https://doi.org/10.5539/ijbm.v19n6p71</w:t>
      </w:r>
    </w:p>
    <w:p w14:paraId="0F37E96D"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Teichert, R. (2019). </w:t>
      </w:r>
      <w:r w:rsidRPr="004D74B5">
        <w:rPr>
          <w:rFonts w:ascii="Arial" w:hAnsi="Arial" w:cs="Arial"/>
          <w:i/>
          <w:iCs/>
          <w:noProof/>
          <w:szCs w:val="24"/>
        </w:rPr>
        <w:t>DIGITAL TRANSFORMATION MATURITY : A SYSTEMATIC REVIEW OF LITERATURE</w:t>
      </w:r>
      <w:r w:rsidRPr="004D74B5">
        <w:rPr>
          <w:rFonts w:ascii="Arial" w:hAnsi="Arial" w:cs="Arial"/>
          <w:noProof/>
          <w:szCs w:val="24"/>
        </w:rPr>
        <w:t xml:space="preserve">. </w:t>
      </w:r>
      <w:r w:rsidRPr="004D74B5">
        <w:rPr>
          <w:rFonts w:ascii="Arial" w:hAnsi="Arial" w:cs="Arial"/>
          <w:i/>
          <w:iCs/>
          <w:noProof/>
          <w:szCs w:val="24"/>
        </w:rPr>
        <w:t>67</w:t>
      </w:r>
      <w:r w:rsidRPr="004D74B5">
        <w:rPr>
          <w:rFonts w:ascii="Arial" w:hAnsi="Arial" w:cs="Arial"/>
          <w:noProof/>
          <w:szCs w:val="24"/>
        </w:rPr>
        <w:t>(6), 1673–1687.</w:t>
      </w:r>
    </w:p>
    <w:p w14:paraId="6F02C60C"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Tubis, A. A. (2023). </w:t>
      </w:r>
      <w:r w:rsidRPr="004D74B5">
        <w:rPr>
          <w:rFonts w:ascii="Arial" w:hAnsi="Arial" w:cs="Arial"/>
          <w:i/>
          <w:iCs/>
          <w:noProof/>
          <w:szCs w:val="24"/>
        </w:rPr>
        <w:t>Digital Maturity Assessment Model for the Organizational and Process Dimensions</w:t>
      </w:r>
      <w:r w:rsidRPr="004D74B5">
        <w:rPr>
          <w:rFonts w:ascii="Arial" w:hAnsi="Arial" w:cs="Arial"/>
          <w:noProof/>
          <w:szCs w:val="24"/>
        </w:rPr>
        <w:t>.</w:t>
      </w:r>
    </w:p>
    <w:p w14:paraId="5874B730"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Ustundag, A. (n.d.). </w:t>
      </w:r>
      <w:r w:rsidRPr="004D74B5">
        <w:rPr>
          <w:rFonts w:ascii="Arial" w:hAnsi="Arial" w:cs="Arial"/>
          <w:i/>
          <w:iCs/>
          <w:noProof/>
          <w:szCs w:val="24"/>
        </w:rPr>
        <w:t>Managing The Digital Transformation</w:t>
      </w:r>
      <w:r w:rsidRPr="004D74B5">
        <w:rPr>
          <w:rFonts w:ascii="Arial" w:hAnsi="Arial" w:cs="Arial"/>
          <w:noProof/>
          <w:szCs w:val="24"/>
        </w:rPr>
        <w:t>.</w:t>
      </w:r>
    </w:p>
    <w:p w14:paraId="10A49DF5"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Vărzaru, A. A., &amp; Bocean, C. G. (2024). Digital Transformation and Innovation: The Influence of Digital Technologies on Turnover from Innovation Activities and Types of Innovation. </w:t>
      </w:r>
      <w:r w:rsidRPr="004D74B5">
        <w:rPr>
          <w:rFonts w:ascii="Arial" w:hAnsi="Arial" w:cs="Arial"/>
          <w:i/>
          <w:iCs/>
          <w:noProof/>
          <w:szCs w:val="24"/>
        </w:rPr>
        <w:t>Systems</w:t>
      </w:r>
      <w:r w:rsidRPr="004D74B5">
        <w:rPr>
          <w:rFonts w:ascii="Arial" w:hAnsi="Arial" w:cs="Arial"/>
          <w:noProof/>
          <w:szCs w:val="24"/>
        </w:rPr>
        <w:t xml:space="preserve">, </w:t>
      </w:r>
      <w:r w:rsidRPr="004D74B5">
        <w:rPr>
          <w:rFonts w:ascii="Arial" w:hAnsi="Arial" w:cs="Arial"/>
          <w:i/>
          <w:iCs/>
          <w:noProof/>
          <w:szCs w:val="24"/>
        </w:rPr>
        <w:t>12</w:t>
      </w:r>
      <w:r w:rsidRPr="004D74B5">
        <w:rPr>
          <w:rFonts w:ascii="Arial" w:hAnsi="Arial" w:cs="Arial"/>
          <w:noProof/>
          <w:szCs w:val="24"/>
        </w:rPr>
        <w:t>(9), 359. https://www.mdpi.com/2079-8954/12/9/359</w:t>
      </w:r>
    </w:p>
    <w:p w14:paraId="164C7A9A" w14:textId="77777777" w:rsidR="004D74B5" w:rsidRPr="004D74B5" w:rsidRDefault="004D74B5" w:rsidP="00B90543">
      <w:pPr>
        <w:widowControl w:val="0"/>
        <w:autoSpaceDE w:val="0"/>
        <w:autoSpaceDN w:val="0"/>
        <w:adjustRightInd w:val="0"/>
        <w:ind w:left="480" w:hanging="480"/>
        <w:jc w:val="left"/>
        <w:rPr>
          <w:rFonts w:ascii="Arial" w:hAnsi="Arial" w:cs="Arial"/>
          <w:noProof/>
          <w:szCs w:val="24"/>
        </w:rPr>
      </w:pPr>
      <w:r w:rsidRPr="004D74B5">
        <w:rPr>
          <w:rFonts w:ascii="Arial" w:hAnsi="Arial" w:cs="Arial"/>
          <w:noProof/>
          <w:szCs w:val="24"/>
        </w:rPr>
        <w:t xml:space="preserve">Verhoef, P. C., Broekhuizen, T., Bart, Y., Bhattacharya, A., Qi Dong, J., Fabian, N., &amp; Haenlein, M. (2021). Digital transformation: A multidisciplinary reflection and research agenda. </w:t>
      </w:r>
      <w:r w:rsidRPr="004D74B5">
        <w:rPr>
          <w:rFonts w:ascii="Arial" w:hAnsi="Arial" w:cs="Arial"/>
          <w:i/>
          <w:iCs/>
          <w:noProof/>
          <w:szCs w:val="24"/>
        </w:rPr>
        <w:t>Journal of Business Research</w:t>
      </w:r>
      <w:r w:rsidRPr="004D74B5">
        <w:rPr>
          <w:rFonts w:ascii="Arial" w:hAnsi="Arial" w:cs="Arial"/>
          <w:noProof/>
          <w:szCs w:val="24"/>
        </w:rPr>
        <w:t xml:space="preserve">, </w:t>
      </w:r>
      <w:r w:rsidRPr="004D74B5">
        <w:rPr>
          <w:rFonts w:ascii="Arial" w:hAnsi="Arial" w:cs="Arial"/>
          <w:i/>
          <w:iCs/>
          <w:noProof/>
          <w:szCs w:val="24"/>
        </w:rPr>
        <w:t>122</w:t>
      </w:r>
      <w:r w:rsidRPr="004D74B5">
        <w:rPr>
          <w:rFonts w:ascii="Arial" w:hAnsi="Arial" w:cs="Arial"/>
          <w:noProof/>
          <w:szCs w:val="24"/>
        </w:rPr>
        <w:t>(July 2018), 889–901. https://doi.org/10.1016/j.jbusres.2019.09.022</w:t>
      </w:r>
    </w:p>
    <w:p w14:paraId="0F081B13" w14:textId="77777777" w:rsidR="004D74B5" w:rsidRPr="004D74B5" w:rsidRDefault="004D74B5" w:rsidP="00B90543">
      <w:pPr>
        <w:widowControl w:val="0"/>
        <w:autoSpaceDE w:val="0"/>
        <w:autoSpaceDN w:val="0"/>
        <w:adjustRightInd w:val="0"/>
        <w:ind w:left="480" w:hanging="480"/>
        <w:jc w:val="left"/>
        <w:rPr>
          <w:rFonts w:ascii="Arial" w:hAnsi="Arial" w:cs="Arial"/>
          <w:noProof/>
        </w:rPr>
      </w:pPr>
      <w:r w:rsidRPr="007A2EE8">
        <w:rPr>
          <w:rFonts w:ascii="Arial" w:hAnsi="Arial" w:cs="Arial"/>
          <w:noProof/>
          <w:szCs w:val="24"/>
          <w:lang w:val="nl-BE"/>
        </w:rPr>
        <w:t xml:space="preserve">Westergren, U. H., Viktor, M., &amp; Jadaan, T. (2024). </w:t>
      </w:r>
      <w:r w:rsidRPr="004D74B5">
        <w:rPr>
          <w:rFonts w:ascii="Arial" w:hAnsi="Arial" w:cs="Arial"/>
          <w:i/>
          <w:iCs/>
          <w:noProof/>
          <w:szCs w:val="24"/>
        </w:rPr>
        <w:t>Information &amp; Management Enabling digital transformation : Organizational implementation of the internet of things</w:t>
      </w:r>
      <w:r w:rsidRPr="004D74B5">
        <w:rPr>
          <w:rFonts w:ascii="Arial" w:hAnsi="Arial" w:cs="Arial"/>
          <w:noProof/>
          <w:szCs w:val="24"/>
        </w:rPr>
        <w:t xml:space="preserve">. </w:t>
      </w:r>
      <w:r w:rsidRPr="004D74B5">
        <w:rPr>
          <w:rFonts w:ascii="Arial" w:hAnsi="Arial" w:cs="Arial"/>
          <w:i/>
          <w:iCs/>
          <w:noProof/>
          <w:szCs w:val="24"/>
        </w:rPr>
        <w:t>61</w:t>
      </w:r>
      <w:r w:rsidRPr="004D74B5">
        <w:rPr>
          <w:rFonts w:ascii="Arial" w:hAnsi="Arial" w:cs="Arial"/>
          <w:noProof/>
          <w:szCs w:val="24"/>
        </w:rPr>
        <w:t>(February 2023). https://doi.org/10.1016/j.im.2024.103996</w:t>
      </w:r>
    </w:p>
    <w:p w14:paraId="7BCD60FC" w14:textId="1A55F529" w:rsidR="00425F31" w:rsidRPr="00425F31" w:rsidRDefault="006C4067" w:rsidP="00B90543">
      <w:pPr>
        <w:jc w:val="left"/>
        <w:rPr>
          <w:b/>
          <w:bCs/>
        </w:rPr>
      </w:pPr>
      <w:r w:rsidRPr="00FA55C8">
        <w:rPr>
          <w:rFonts w:asciiTheme="minorBidi" w:hAnsiTheme="minorBidi" w:cstheme="minorBidi"/>
          <w:b/>
          <w:bCs/>
        </w:rPr>
        <w:fldChar w:fldCharType="end"/>
      </w:r>
    </w:p>
    <w:sectPr w:rsidR="00425F31" w:rsidRPr="00425F31" w:rsidSect="00485C55">
      <w:headerReference w:type="even" r:id="rId11"/>
      <w:headerReference w:type="default" r:id="rId12"/>
      <w:footerReference w:type="even" r:id="rId13"/>
      <w:footerReference w:type="default" r:id="rId14"/>
      <w:headerReference w:type="first" r:id="rId15"/>
      <w:footerReference w:type="first" r:id="rId16"/>
      <w:pgSz w:w="12240" w:h="15840" w:code="1"/>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1D70E" w14:textId="77777777" w:rsidR="00D95AD2" w:rsidRDefault="00D95AD2">
      <w:r>
        <w:separator/>
      </w:r>
    </w:p>
  </w:endnote>
  <w:endnote w:type="continuationSeparator" w:id="0">
    <w:p w14:paraId="636EE122" w14:textId="77777777" w:rsidR="00D95AD2" w:rsidRDefault="00D95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CCFAD" w14:textId="77777777" w:rsidR="00BC5C8E" w:rsidRDefault="00BC5C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78E37" w14:textId="51069AFE" w:rsidR="009F58E1" w:rsidRDefault="009F58E1" w:rsidP="00C10BA5">
    <w:pPr>
      <w:pStyle w:val="Footer"/>
      <w:pBdr>
        <w:top w:val="single" w:sz="4" w:space="1" w:color="D9D9D9"/>
      </w:pBdr>
      <w:jc w:val="right"/>
    </w:pPr>
    <w:r>
      <w:fldChar w:fldCharType="begin"/>
    </w:r>
    <w:r>
      <w:instrText xml:space="preserve"> PAGE   \* MERGEFORMAT </w:instrText>
    </w:r>
    <w:r>
      <w:fldChar w:fldCharType="separate"/>
    </w:r>
    <w:r w:rsidR="00A44AE2">
      <w:rPr>
        <w:noProof/>
      </w:rPr>
      <w:t>9</w:t>
    </w:r>
    <w:r>
      <w:rPr>
        <w:noProof/>
      </w:rPr>
      <w:fldChar w:fldCharType="end"/>
    </w:r>
    <w:r>
      <w:t xml:space="preserve"> | </w:t>
    </w:r>
    <w:r w:rsidRPr="00C3386E">
      <w:rPr>
        <w:color w:val="808080"/>
        <w:spacing w:val="60"/>
      </w:rPr>
      <w:t>Page</w:t>
    </w:r>
  </w:p>
  <w:p w14:paraId="5EB7B4F9" w14:textId="2A7E7521" w:rsidR="009F58E1" w:rsidRDefault="009F58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2A5B2" w14:textId="77777777" w:rsidR="00BC5C8E" w:rsidRDefault="00BC5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006F3" w14:textId="77777777" w:rsidR="00D95AD2" w:rsidRDefault="00D95AD2">
      <w:r>
        <w:separator/>
      </w:r>
    </w:p>
  </w:footnote>
  <w:footnote w:type="continuationSeparator" w:id="0">
    <w:p w14:paraId="5DD4A6BE" w14:textId="77777777" w:rsidR="00D95AD2" w:rsidRDefault="00D95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602C8" w14:textId="7C441441" w:rsidR="00BC5C8E" w:rsidRDefault="00000000">
    <w:pPr>
      <w:pStyle w:val="Header"/>
    </w:pPr>
    <w:r>
      <w:rPr>
        <w:noProof/>
      </w:rPr>
      <w:pict w14:anchorId="06BF8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02454" o:spid="_x0000_s1026" type="#_x0000_t136" style="position:absolute;left:0;text-align:left;margin-left:0;margin-top:0;width:663.25pt;height:73.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7C251" w14:textId="7186D3ED" w:rsidR="009F58E1" w:rsidRPr="00B208C8" w:rsidRDefault="00000000" w:rsidP="00C10BA5">
    <w:pPr>
      <w:pStyle w:val="Header"/>
      <w:jc w:val="right"/>
      <w:rPr>
        <w:i/>
        <w:iCs/>
        <w:sz w:val="18"/>
        <w:szCs w:val="18"/>
      </w:rPr>
    </w:pPr>
    <w:r>
      <w:rPr>
        <w:noProof/>
      </w:rPr>
      <w:pict w14:anchorId="3EF5A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02455" o:spid="_x0000_s1027" type="#_x0000_t136" style="position:absolute;left:0;text-align:left;margin-left:0;margin-top:0;width:663.25pt;height:73.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04946" w14:textId="0D0AD8C4" w:rsidR="00BC5C8E" w:rsidRDefault="00000000">
    <w:pPr>
      <w:pStyle w:val="Header"/>
    </w:pPr>
    <w:r>
      <w:rPr>
        <w:noProof/>
      </w:rPr>
      <w:pict w14:anchorId="07F99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02453" o:spid="_x0000_s1025" type="#_x0000_t136" style="position:absolute;left:0;text-align:left;margin-left:0;margin-top:0;width:663.25pt;height:73.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165F"/>
    <w:multiLevelType w:val="hybridMultilevel"/>
    <w:tmpl w:val="E9668F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A063C27"/>
    <w:multiLevelType w:val="hybridMultilevel"/>
    <w:tmpl w:val="5A26C25C"/>
    <w:lvl w:ilvl="0" w:tplc="08090009">
      <w:start w:val="1"/>
      <w:numFmt w:val="bullet"/>
      <w:lvlText w:val=""/>
      <w:lvlJc w:val="left"/>
      <w:pPr>
        <w:ind w:left="781" w:hanging="360"/>
      </w:pPr>
      <w:rPr>
        <w:rFonts w:ascii="Wingdings" w:hAnsi="Wingdings" w:hint="default"/>
      </w:rPr>
    </w:lvl>
    <w:lvl w:ilvl="1" w:tplc="08090003">
      <w:start w:val="1"/>
      <w:numFmt w:val="bullet"/>
      <w:lvlText w:val="o"/>
      <w:lvlJc w:val="left"/>
      <w:pPr>
        <w:ind w:left="1501" w:hanging="360"/>
      </w:pPr>
      <w:rPr>
        <w:rFonts w:ascii="Courier New" w:hAnsi="Courier New" w:cs="Courier New" w:hint="default"/>
      </w:rPr>
    </w:lvl>
    <w:lvl w:ilvl="2" w:tplc="08090005">
      <w:start w:val="1"/>
      <w:numFmt w:val="bullet"/>
      <w:lvlText w:val=""/>
      <w:lvlJc w:val="left"/>
      <w:pPr>
        <w:ind w:left="2221" w:hanging="360"/>
      </w:pPr>
      <w:rPr>
        <w:rFonts w:ascii="Wingdings" w:hAnsi="Wingdings" w:hint="default"/>
      </w:rPr>
    </w:lvl>
    <w:lvl w:ilvl="3" w:tplc="08090001">
      <w:start w:val="1"/>
      <w:numFmt w:val="bullet"/>
      <w:lvlText w:val=""/>
      <w:lvlJc w:val="left"/>
      <w:pPr>
        <w:ind w:left="2941" w:hanging="360"/>
      </w:pPr>
      <w:rPr>
        <w:rFonts w:ascii="Symbol" w:hAnsi="Symbol" w:hint="default"/>
      </w:rPr>
    </w:lvl>
    <w:lvl w:ilvl="4" w:tplc="08090003">
      <w:start w:val="1"/>
      <w:numFmt w:val="bullet"/>
      <w:lvlText w:val="o"/>
      <w:lvlJc w:val="left"/>
      <w:pPr>
        <w:ind w:left="3661" w:hanging="360"/>
      </w:pPr>
      <w:rPr>
        <w:rFonts w:ascii="Courier New" w:hAnsi="Courier New" w:cs="Courier New" w:hint="default"/>
      </w:rPr>
    </w:lvl>
    <w:lvl w:ilvl="5" w:tplc="08090005">
      <w:start w:val="1"/>
      <w:numFmt w:val="bullet"/>
      <w:lvlText w:val=""/>
      <w:lvlJc w:val="left"/>
      <w:pPr>
        <w:ind w:left="4381" w:hanging="360"/>
      </w:pPr>
      <w:rPr>
        <w:rFonts w:ascii="Wingdings" w:hAnsi="Wingdings" w:hint="default"/>
      </w:rPr>
    </w:lvl>
    <w:lvl w:ilvl="6" w:tplc="08090001">
      <w:start w:val="1"/>
      <w:numFmt w:val="bullet"/>
      <w:lvlText w:val=""/>
      <w:lvlJc w:val="left"/>
      <w:pPr>
        <w:ind w:left="5101" w:hanging="360"/>
      </w:pPr>
      <w:rPr>
        <w:rFonts w:ascii="Symbol" w:hAnsi="Symbol" w:hint="default"/>
      </w:rPr>
    </w:lvl>
    <w:lvl w:ilvl="7" w:tplc="08090003">
      <w:start w:val="1"/>
      <w:numFmt w:val="bullet"/>
      <w:lvlText w:val="o"/>
      <w:lvlJc w:val="left"/>
      <w:pPr>
        <w:ind w:left="5821" w:hanging="360"/>
      </w:pPr>
      <w:rPr>
        <w:rFonts w:ascii="Courier New" w:hAnsi="Courier New" w:cs="Courier New" w:hint="default"/>
      </w:rPr>
    </w:lvl>
    <w:lvl w:ilvl="8" w:tplc="08090005">
      <w:start w:val="1"/>
      <w:numFmt w:val="bullet"/>
      <w:lvlText w:val=""/>
      <w:lvlJc w:val="left"/>
      <w:pPr>
        <w:ind w:left="6541" w:hanging="360"/>
      </w:pPr>
      <w:rPr>
        <w:rFonts w:ascii="Wingdings" w:hAnsi="Wingdings" w:hint="default"/>
      </w:rPr>
    </w:lvl>
  </w:abstractNum>
  <w:abstractNum w:abstractNumId="2" w15:restartNumberingAfterBreak="0">
    <w:nsid w:val="0B230257"/>
    <w:multiLevelType w:val="hybridMultilevel"/>
    <w:tmpl w:val="C0B0BCA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472A9F"/>
    <w:multiLevelType w:val="multilevel"/>
    <w:tmpl w:val="ACF47B8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6C415F2"/>
    <w:multiLevelType w:val="multilevel"/>
    <w:tmpl w:val="8A58C9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D0C123C"/>
    <w:multiLevelType w:val="multilevel"/>
    <w:tmpl w:val="56B833E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FCD2CA4"/>
    <w:multiLevelType w:val="multilevel"/>
    <w:tmpl w:val="982404E0"/>
    <w:lvl w:ilvl="0">
      <w:start w:val="3"/>
      <w:numFmt w:val="decimal"/>
      <w:lvlText w:val="%1"/>
      <w:lvlJc w:val="left"/>
      <w:pPr>
        <w:ind w:left="360" w:hanging="360"/>
      </w:pPr>
      <w:rPr>
        <w:rFonts w:hint="default"/>
      </w:rPr>
    </w:lvl>
    <w:lvl w:ilvl="1">
      <w:start w:val="6"/>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7" w15:restartNumberingAfterBreak="0">
    <w:nsid w:val="24BD118A"/>
    <w:multiLevelType w:val="hybridMultilevel"/>
    <w:tmpl w:val="479ED7A8"/>
    <w:lvl w:ilvl="0" w:tplc="FFFFFFFF">
      <w:start w:val="1"/>
      <w:numFmt w:val="bullet"/>
      <w:lvlText w:val=""/>
      <w:lvlJc w:val="left"/>
      <w:pPr>
        <w:tabs>
          <w:tab w:val="num" w:pos="648"/>
        </w:tabs>
        <w:ind w:left="648" w:hanging="360"/>
      </w:pPr>
      <w:rPr>
        <w:rFonts w:ascii="Symbol" w:hAnsi="Symbol" w:hint="default"/>
      </w:rPr>
    </w:lvl>
    <w:lvl w:ilvl="1" w:tplc="DDE67FFC">
      <w:numFmt w:val="bullet"/>
      <w:pStyle w:val="12ListParagrph2"/>
      <w:lvlText w:val="-"/>
      <w:lvlJc w:val="left"/>
      <w:pPr>
        <w:ind w:left="1440" w:hanging="360"/>
      </w:pPr>
      <w:rPr>
        <w:rFonts w:ascii="Calibri" w:eastAsiaTheme="minorHAnsi"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B6C168D"/>
    <w:multiLevelType w:val="hybridMultilevel"/>
    <w:tmpl w:val="9F2A9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5C92724"/>
    <w:multiLevelType w:val="hybridMultilevel"/>
    <w:tmpl w:val="8FE2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7660336"/>
    <w:multiLevelType w:val="hybridMultilevel"/>
    <w:tmpl w:val="81C61A36"/>
    <w:lvl w:ilvl="0" w:tplc="EA5459B2">
      <w:start w:val="1"/>
      <w:numFmt w:val="bullet"/>
      <w:pStyle w:val="11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3D56F0"/>
    <w:multiLevelType w:val="hybridMultilevel"/>
    <w:tmpl w:val="23C23E54"/>
    <w:lvl w:ilvl="0" w:tplc="08090001">
      <w:start w:val="1"/>
      <w:numFmt w:val="bullet"/>
      <w:lvlText w:val=""/>
      <w:lvlJc w:val="left"/>
      <w:pPr>
        <w:ind w:left="915" w:hanging="360"/>
      </w:pPr>
      <w:rPr>
        <w:rFonts w:ascii="Symbol" w:hAnsi="Symbol" w:hint="default"/>
      </w:rPr>
    </w:lvl>
    <w:lvl w:ilvl="1" w:tplc="08090003">
      <w:start w:val="1"/>
      <w:numFmt w:val="bullet"/>
      <w:lvlText w:val="o"/>
      <w:lvlJc w:val="left"/>
      <w:pPr>
        <w:ind w:left="1635" w:hanging="360"/>
      </w:pPr>
      <w:rPr>
        <w:rFonts w:ascii="Courier New" w:hAnsi="Courier New" w:cs="Courier New" w:hint="default"/>
      </w:rPr>
    </w:lvl>
    <w:lvl w:ilvl="2" w:tplc="08090005">
      <w:start w:val="1"/>
      <w:numFmt w:val="bullet"/>
      <w:lvlText w:val=""/>
      <w:lvlJc w:val="left"/>
      <w:pPr>
        <w:ind w:left="2355" w:hanging="360"/>
      </w:pPr>
      <w:rPr>
        <w:rFonts w:ascii="Wingdings" w:hAnsi="Wingdings" w:hint="default"/>
      </w:rPr>
    </w:lvl>
    <w:lvl w:ilvl="3" w:tplc="08090001">
      <w:start w:val="1"/>
      <w:numFmt w:val="bullet"/>
      <w:lvlText w:val=""/>
      <w:lvlJc w:val="left"/>
      <w:pPr>
        <w:ind w:left="3075" w:hanging="360"/>
      </w:pPr>
      <w:rPr>
        <w:rFonts w:ascii="Symbol" w:hAnsi="Symbol" w:hint="default"/>
      </w:rPr>
    </w:lvl>
    <w:lvl w:ilvl="4" w:tplc="08090003">
      <w:start w:val="1"/>
      <w:numFmt w:val="bullet"/>
      <w:lvlText w:val="o"/>
      <w:lvlJc w:val="left"/>
      <w:pPr>
        <w:ind w:left="3795" w:hanging="360"/>
      </w:pPr>
      <w:rPr>
        <w:rFonts w:ascii="Courier New" w:hAnsi="Courier New" w:cs="Courier New" w:hint="default"/>
      </w:rPr>
    </w:lvl>
    <w:lvl w:ilvl="5" w:tplc="08090005">
      <w:start w:val="1"/>
      <w:numFmt w:val="bullet"/>
      <w:lvlText w:val=""/>
      <w:lvlJc w:val="left"/>
      <w:pPr>
        <w:ind w:left="4515" w:hanging="360"/>
      </w:pPr>
      <w:rPr>
        <w:rFonts w:ascii="Wingdings" w:hAnsi="Wingdings" w:hint="default"/>
      </w:rPr>
    </w:lvl>
    <w:lvl w:ilvl="6" w:tplc="08090001">
      <w:start w:val="1"/>
      <w:numFmt w:val="bullet"/>
      <w:lvlText w:val=""/>
      <w:lvlJc w:val="left"/>
      <w:pPr>
        <w:ind w:left="5235" w:hanging="360"/>
      </w:pPr>
      <w:rPr>
        <w:rFonts w:ascii="Symbol" w:hAnsi="Symbol" w:hint="default"/>
      </w:rPr>
    </w:lvl>
    <w:lvl w:ilvl="7" w:tplc="08090003">
      <w:start w:val="1"/>
      <w:numFmt w:val="bullet"/>
      <w:lvlText w:val="o"/>
      <w:lvlJc w:val="left"/>
      <w:pPr>
        <w:ind w:left="5955" w:hanging="360"/>
      </w:pPr>
      <w:rPr>
        <w:rFonts w:ascii="Courier New" w:hAnsi="Courier New" w:cs="Courier New" w:hint="default"/>
      </w:rPr>
    </w:lvl>
    <w:lvl w:ilvl="8" w:tplc="08090005">
      <w:start w:val="1"/>
      <w:numFmt w:val="bullet"/>
      <w:lvlText w:val=""/>
      <w:lvlJc w:val="left"/>
      <w:pPr>
        <w:ind w:left="6675" w:hanging="360"/>
      </w:pPr>
      <w:rPr>
        <w:rFonts w:ascii="Wingdings" w:hAnsi="Wingdings" w:hint="default"/>
      </w:rPr>
    </w:lvl>
  </w:abstractNum>
  <w:abstractNum w:abstractNumId="13" w15:restartNumberingAfterBreak="0">
    <w:nsid w:val="4189603E"/>
    <w:multiLevelType w:val="multilevel"/>
    <w:tmpl w:val="672EC6A6"/>
    <w:lvl w:ilvl="0">
      <w:start w:val="1"/>
      <w:numFmt w:val="decimal"/>
      <w:pStyle w:val="Heading1"/>
      <w:lvlText w:val="%1."/>
      <w:lvlJc w:val="left"/>
      <w:pPr>
        <w:tabs>
          <w:tab w:val="num" w:pos="4613"/>
        </w:tabs>
        <w:ind w:firstLine="216"/>
      </w:pPr>
      <w:rPr>
        <w:rFonts w:hint="default"/>
        <w:caps w:val="0"/>
        <w:strike w:val="0"/>
        <w:dstrike w:val="0"/>
        <w:vanish w:val="0"/>
        <w:color w:val="auto"/>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CA544A"/>
    <w:multiLevelType w:val="singleLevel"/>
    <w:tmpl w:val="F7A07F7C"/>
    <w:lvl w:ilvl="0">
      <w:start w:val="1"/>
      <w:numFmt w:val="decimal"/>
      <w:pStyle w:val="16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15:restartNumberingAfterBreak="0">
    <w:nsid w:val="53BF7B99"/>
    <w:multiLevelType w:val="hybridMultilevel"/>
    <w:tmpl w:val="9A064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56651BA"/>
    <w:multiLevelType w:val="hybridMultilevel"/>
    <w:tmpl w:val="C77EDBF2"/>
    <w:lvl w:ilvl="0" w:tplc="08090001">
      <w:start w:val="1"/>
      <w:numFmt w:val="bullet"/>
      <w:lvlText w:val=""/>
      <w:lvlJc w:val="left"/>
      <w:pPr>
        <w:ind w:left="1008" w:hanging="360"/>
      </w:pPr>
      <w:rPr>
        <w:rFonts w:ascii="Symbol" w:hAnsi="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hint="default"/>
      </w:rPr>
    </w:lvl>
    <w:lvl w:ilvl="3" w:tplc="08090001">
      <w:start w:val="1"/>
      <w:numFmt w:val="bullet"/>
      <w:lvlText w:val=""/>
      <w:lvlJc w:val="left"/>
      <w:pPr>
        <w:ind w:left="3168" w:hanging="360"/>
      </w:pPr>
      <w:rPr>
        <w:rFonts w:ascii="Symbol" w:hAnsi="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hint="default"/>
      </w:rPr>
    </w:lvl>
    <w:lvl w:ilvl="6" w:tplc="08090001">
      <w:start w:val="1"/>
      <w:numFmt w:val="bullet"/>
      <w:lvlText w:val=""/>
      <w:lvlJc w:val="left"/>
      <w:pPr>
        <w:ind w:left="5328" w:hanging="360"/>
      </w:pPr>
      <w:rPr>
        <w:rFonts w:ascii="Symbol" w:hAnsi="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hint="default"/>
      </w:rPr>
    </w:lvl>
  </w:abstractNum>
  <w:abstractNum w:abstractNumId="18" w15:restartNumberingAfterBreak="0">
    <w:nsid w:val="6C402C58"/>
    <w:multiLevelType w:val="hybridMultilevel"/>
    <w:tmpl w:val="B49066DA"/>
    <w:lvl w:ilvl="0" w:tplc="17AA3A02">
      <w:start w:val="1"/>
      <w:numFmt w:val="decimal"/>
      <w:pStyle w:val="15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6CD32DA8"/>
    <w:multiLevelType w:val="singleLevel"/>
    <w:tmpl w:val="57664030"/>
    <w:lvl w:ilvl="0">
      <w:start w:val="1"/>
      <w:numFmt w:val="upperRoman"/>
      <w:pStyle w:val="14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0" w15:restartNumberingAfterBreak="0">
    <w:nsid w:val="6F1B3390"/>
    <w:multiLevelType w:val="hybridMultilevel"/>
    <w:tmpl w:val="C2C0D3A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6810046">
    <w:abstractNumId w:val="11"/>
  </w:num>
  <w:num w:numId="2" w16cid:durableId="255097192">
    <w:abstractNumId w:val="18"/>
  </w:num>
  <w:num w:numId="3" w16cid:durableId="462887632">
    <w:abstractNumId w:val="13"/>
  </w:num>
  <w:num w:numId="4" w16cid:durableId="2083332590">
    <w:abstractNumId w:val="15"/>
  </w:num>
  <w:num w:numId="5" w16cid:durableId="1004667575">
    <w:abstractNumId w:val="19"/>
  </w:num>
  <w:num w:numId="6" w16cid:durableId="1297293326">
    <w:abstractNumId w:val="14"/>
  </w:num>
  <w:num w:numId="7" w16cid:durableId="1077552264">
    <w:abstractNumId w:val="7"/>
  </w:num>
  <w:num w:numId="8" w16cid:durableId="614361335">
    <w:abstractNumId w:val="8"/>
  </w:num>
  <w:num w:numId="9" w16cid:durableId="141167632">
    <w:abstractNumId w:val="4"/>
  </w:num>
  <w:num w:numId="10" w16cid:durableId="1270772466">
    <w:abstractNumId w:val="9"/>
  </w:num>
  <w:num w:numId="11" w16cid:durableId="879589327">
    <w:abstractNumId w:val="16"/>
  </w:num>
  <w:num w:numId="12" w16cid:durableId="2056269029">
    <w:abstractNumId w:val="17"/>
  </w:num>
  <w:num w:numId="13" w16cid:durableId="1338728717">
    <w:abstractNumId w:val="12"/>
  </w:num>
  <w:num w:numId="14" w16cid:durableId="174079260">
    <w:abstractNumId w:val="0"/>
  </w:num>
  <w:num w:numId="15" w16cid:durableId="1633706427">
    <w:abstractNumId w:val="10"/>
  </w:num>
  <w:num w:numId="16" w16cid:durableId="2114352024">
    <w:abstractNumId w:val="1"/>
  </w:num>
  <w:num w:numId="17" w16cid:durableId="240608553">
    <w:abstractNumId w:val="2"/>
  </w:num>
  <w:num w:numId="18" w16cid:durableId="1227909698">
    <w:abstractNumId w:val="3"/>
  </w:num>
  <w:num w:numId="19" w16cid:durableId="1515416560">
    <w:abstractNumId w:val="20"/>
  </w:num>
  <w:num w:numId="20" w16cid:durableId="449132061">
    <w:abstractNumId w:val="5"/>
  </w:num>
  <w:num w:numId="21" w16cid:durableId="226845732">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LQ0Nbc0NDU1MLO0NDNS0lEKTi0uzszPAykwrgUACUTbDSwAAAA="/>
  </w:docVars>
  <w:rsids>
    <w:rsidRoot w:val="00037104"/>
    <w:rsid w:val="0000136D"/>
    <w:rsid w:val="0000536A"/>
    <w:rsid w:val="00010F1B"/>
    <w:rsid w:val="0002204D"/>
    <w:rsid w:val="00022142"/>
    <w:rsid w:val="00025B23"/>
    <w:rsid w:val="00026907"/>
    <w:rsid w:val="00026D48"/>
    <w:rsid w:val="00027A83"/>
    <w:rsid w:val="0003496E"/>
    <w:rsid w:val="00037104"/>
    <w:rsid w:val="000418E4"/>
    <w:rsid w:val="00044C15"/>
    <w:rsid w:val="0004729B"/>
    <w:rsid w:val="00047669"/>
    <w:rsid w:val="0005234E"/>
    <w:rsid w:val="00056365"/>
    <w:rsid w:val="0006172A"/>
    <w:rsid w:val="0006573A"/>
    <w:rsid w:val="0007775A"/>
    <w:rsid w:val="00082FDD"/>
    <w:rsid w:val="000847B0"/>
    <w:rsid w:val="000848E4"/>
    <w:rsid w:val="0008518D"/>
    <w:rsid w:val="000932AE"/>
    <w:rsid w:val="00094905"/>
    <w:rsid w:val="000A543D"/>
    <w:rsid w:val="000A5CBD"/>
    <w:rsid w:val="000A7300"/>
    <w:rsid w:val="000B0DEF"/>
    <w:rsid w:val="000D3963"/>
    <w:rsid w:val="000D4275"/>
    <w:rsid w:val="000D49FF"/>
    <w:rsid w:val="000D4D4C"/>
    <w:rsid w:val="000E7716"/>
    <w:rsid w:val="000F57A5"/>
    <w:rsid w:val="00102DA1"/>
    <w:rsid w:val="00104546"/>
    <w:rsid w:val="00115E9C"/>
    <w:rsid w:val="0012346E"/>
    <w:rsid w:val="001253AA"/>
    <w:rsid w:val="00135AA6"/>
    <w:rsid w:val="00157A77"/>
    <w:rsid w:val="00162E25"/>
    <w:rsid w:val="001667E0"/>
    <w:rsid w:val="00167B18"/>
    <w:rsid w:val="001747B4"/>
    <w:rsid w:val="00174928"/>
    <w:rsid w:val="00175A2A"/>
    <w:rsid w:val="00176438"/>
    <w:rsid w:val="001865A5"/>
    <w:rsid w:val="00187A28"/>
    <w:rsid w:val="001920A4"/>
    <w:rsid w:val="001958AA"/>
    <w:rsid w:val="001A1C76"/>
    <w:rsid w:val="001A3102"/>
    <w:rsid w:val="001A65F3"/>
    <w:rsid w:val="001B73D5"/>
    <w:rsid w:val="001C4475"/>
    <w:rsid w:val="001C59C0"/>
    <w:rsid w:val="001C7FEF"/>
    <w:rsid w:val="001D2A80"/>
    <w:rsid w:val="001D32BE"/>
    <w:rsid w:val="001F0D65"/>
    <w:rsid w:val="001F4A41"/>
    <w:rsid w:val="0020288B"/>
    <w:rsid w:val="002054BA"/>
    <w:rsid w:val="0020570E"/>
    <w:rsid w:val="0020607C"/>
    <w:rsid w:val="00212EA9"/>
    <w:rsid w:val="00232B28"/>
    <w:rsid w:val="00233FE7"/>
    <w:rsid w:val="002352AC"/>
    <w:rsid w:val="002356BF"/>
    <w:rsid w:val="00240E66"/>
    <w:rsid w:val="00243A09"/>
    <w:rsid w:val="0024453A"/>
    <w:rsid w:val="00247B8E"/>
    <w:rsid w:val="00251943"/>
    <w:rsid w:val="00256EF8"/>
    <w:rsid w:val="00256FAE"/>
    <w:rsid w:val="00257917"/>
    <w:rsid w:val="00260AAC"/>
    <w:rsid w:val="00260EAA"/>
    <w:rsid w:val="00261B2B"/>
    <w:rsid w:val="00262783"/>
    <w:rsid w:val="00275F16"/>
    <w:rsid w:val="0027630E"/>
    <w:rsid w:val="0027685D"/>
    <w:rsid w:val="00280421"/>
    <w:rsid w:val="0028045A"/>
    <w:rsid w:val="00282886"/>
    <w:rsid w:val="0028449C"/>
    <w:rsid w:val="002907AA"/>
    <w:rsid w:val="00290D61"/>
    <w:rsid w:val="002927C1"/>
    <w:rsid w:val="00296335"/>
    <w:rsid w:val="00297E61"/>
    <w:rsid w:val="002A047E"/>
    <w:rsid w:val="002A5DA9"/>
    <w:rsid w:val="002B4013"/>
    <w:rsid w:val="002C45FF"/>
    <w:rsid w:val="002C5AAB"/>
    <w:rsid w:val="002C7567"/>
    <w:rsid w:val="002D03A9"/>
    <w:rsid w:val="002D0731"/>
    <w:rsid w:val="002D6625"/>
    <w:rsid w:val="002E048B"/>
    <w:rsid w:val="002E1C4E"/>
    <w:rsid w:val="002E2412"/>
    <w:rsid w:val="002F34DC"/>
    <w:rsid w:val="002F389B"/>
    <w:rsid w:val="0030582A"/>
    <w:rsid w:val="00312026"/>
    <w:rsid w:val="00314235"/>
    <w:rsid w:val="0031580A"/>
    <w:rsid w:val="00317D4F"/>
    <w:rsid w:val="00317F82"/>
    <w:rsid w:val="00325411"/>
    <w:rsid w:val="0032737F"/>
    <w:rsid w:val="00331F7E"/>
    <w:rsid w:val="0033741A"/>
    <w:rsid w:val="003473B1"/>
    <w:rsid w:val="003514EE"/>
    <w:rsid w:val="003544F9"/>
    <w:rsid w:val="00366F38"/>
    <w:rsid w:val="003731A1"/>
    <w:rsid w:val="0038219C"/>
    <w:rsid w:val="00384117"/>
    <w:rsid w:val="00395FAE"/>
    <w:rsid w:val="0039687F"/>
    <w:rsid w:val="003A5219"/>
    <w:rsid w:val="003A52C8"/>
    <w:rsid w:val="003B5A27"/>
    <w:rsid w:val="003C0090"/>
    <w:rsid w:val="003D1D02"/>
    <w:rsid w:val="003D413A"/>
    <w:rsid w:val="003D4710"/>
    <w:rsid w:val="003E341F"/>
    <w:rsid w:val="003E6497"/>
    <w:rsid w:val="003F23D9"/>
    <w:rsid w:val="00402496"/>
    <w:rsid w:val="004125FF"/>
    <w:rsid w:val="00425F31"/>
    <w:rsid w:val="0042793A"/>
    <w:rsid w:val="00432926"/>
    <w:rsid w:val="0044445C"/>
    <w:rsid w:val="00454CEE"/>
    <w:rsid w:val="004558A1"/>
    <w:rsid w:val="00455FEB"/>
    <w:rsid w:val="0045738A"/>
    <w:rsid w:val="004615A3"/>
    <w:rsid w:val="00465DE9"/>
    <w:rsid w:val="00467DB1"/>
    <w:rsid w:val="00473585"/>
    <w:rsid w:val="00476D31"/>
    <w:rsid w:val="004816D5"/>
    <w:rsid w:val="00483179"/>
    <w:rsid w:val="00485C55"/>
    <w:rsid w:val="004903D6"/>
    <w:rsid w:val="00492607"/>
    <w:rsid w:val="00492E26"/>
    <w:rsid w:val="00493639"/>
    <w:rsid w:val="004A371E"/>
    <w:rsid w:val="004B2E7A"/>
    <w:rsid w:val="004B71C3"/>
    <w:rsid w:val="004C04CF"/>
    <w:rsid w:val="004C6D2B"/>
    <w:rsid w:val="004D4722"/>
    <w:rsid w:val="004D74B5"/>
    <w:rsid w:val="004E57D5"/>
    <w:rsid w:val="004F4D77"/>
    <w:rsid w:val="004F5EC5"/>
    <w:rsid w:val="00500A60"/>
    <w:rsid w:val="00505040"/>
    <w:rsid w:val="005072FD"/>
    <w:rsid w:val="00507804"/>
    <w:rsid w:val="005160A7"/>
    <w:rsid w:val="00520C61"/>
    <w:rsid w:val="00526FC9"/>
    <w:rsid w:val="00527BBC"/>
    <w:rsid w:val="00532E2F"/>
    <w:rsid w:val="0054063A"/>
    <w:rsid w:val="0054108C"/>
    <w:rsid w:val="005426CF"/>
    <w:rsid w:val="00570CDB"/>
    <w:rsid w:val="00572DC4"/>
    <w:rsid w:val="00576035"/>
    <w:rsid w:val="00577313"/>
    <w:rsid w:val="00591B0C"/>
    <w:rsid w:val="00593329"/>
    <w:rsid w:val="0059433D"/>
    <w:rsid w:val="005964CE"/>
    <w:rsid w:val="005A3E9A"/>
    <w:rsid w:val="005D0957"/>
    <w:rsid w:val="005E0722"/>
    <w:rsid w:val="005E3572"/>
    <w:rsid w:val="005E4664"/>
    <w:rsid w:val="005F4066"/>
    <w:rsid w:val="00612221"/>
    <w:rsid w:val="00615A3B"/>
    <w:rsid w:val="006161E6"/>
    <w:rsid w:val="00617BA7"/>
    <w:rsid w:val="00624B8E"/>
    <w:rsid w:val="00637DC3"/>
    <w:rsid w:val="00651E0D"/>
    <w:rsid w:val="00655948"/>
    <w:rsid w:val="006609CC"/>
    <w:rsid w:val="006640E9"/>
    <w:rsid w:val="0067639C"/>
    <w:rsid w:val="006777B9"/>
    <w:rsid w:val="0068080B"/>
    <w:rsid w:val="00691BD4"/>
    <w:rsid w:val="0069707B"/>
    <w:rsid w:val="006A6279"/>
    <w:rsid w:val="006B7F39"/>
    <w:rsid w:val="006C02C0"/>
    <w:rsid w:val="006C2D7D"/>
    <w:rsid w:val="006C4067"/>
    <w:rsid w:val="006C784D"/>
    <w:rsid w:val="006D5F56"/>
    <w:rsid w:val="006E1D80"/>
    <w:rsid w:val="006E2B9C"/>
    <w:rsid w:val="006E352D"/>
    <w:rsid w:val="006E37A3"/>
    <w:rsid w:val="006E4629"/>
    <w:rsid w:val="006F0CB3"/>
    <w:rsid w:val="00702CFF"/>
    <w:rsid w:val="007074C6"/>
    <w:rsid w:val="0071535B"/>
    <w:rsid w:val="00736206"/>
    <w:rsid w:val="00737053"/>
    <w:rsid w:val="007430D1"/>
    <w:rsid w:val="00744600"/>
    <w:rsid w:val="00761E81"/>
    <w:rsid w:val="00776617"/>
    <w:rsid w:val="00781434"/>
    <w:rsid w:val="00783FBC"/>
    <w:rsid w:val="007842EE"/>
    <w:rsid w:val="00791288"/>
    <w:rsid w:val="0079790E"/>
    <w:rsid w:val="007A2EE8"/>
    <w:rsid w:val="007B60D8"/>
    <w:rsid w:val="007C0952"/>
    <w:rsid w:val="007C5128"/>
    <w:rsid w:val="007C61CB"/>
    <w:rsid w:val="007D542F"/>
    <w:rsid w:val="007D571D"/>
    <w:rsid w:val="007D6A0F"/>
    <w:rsid w:val="007E61D4"/>
    <w:rsid w:val="007E7223"/>
    <w:rsid w:val="007F37B7"/>
    <w:rsid w:val="007F3FDF"/>
    <w:rsid w:val="0080466E"/>
    <w:rsid w:val="00814CFA"/>
    <w:rsid w:val="0082298B"/>
    <w:rsid w:val="008230C3"/>
    <w:rsid w:val="00823997"/>
    <w:rsid w:val="00835F25"/>
    <w:rsid w:val="00836DC3"/>
    <w:rsid w:val="00844846"/>
    <w:rsid w:val="00852B7B"/>
    <w:rsid w:val="008530C3"/>
    <w:rsid w:val="008555F2"/>
    <w:rsid w:val="0086324C"/>
    <w:rsid w:val="008666E1"/>
    <w:rsid w:val="00871F8C"/>
    <w:rsid w:val="00875D93"/>
    <w:rsid w:val="00876755"/>
    <w:rsid w:val="00882E3A"/>
    <w:rsid w:val="00883A23"/>
    <w:rsid w:val="00884AA5"/>
    <w:rsid w:val="00885488"/>
    <w:rsid w:val="00885590"/>
    <w:rsid w:val="008903B9"/>
    <w:rsid w:val="00896884"/>
    <w:rsid w:val="008A1EEE"/>
    <w:rsid w:val="008B2AD7"/>
    <w:rsid w:val="008B721D"/>
    <w:rsid w:val="008C2976"/>
    <w:rsid w:val="008C7E5E"/>
    <w:rsid w:val="008D0285"/>
    <w:rsid w:val="008D1339"/>
    <w:rsid w:val="008D1A37"/>
    <w:rsid w:val="008D4B97"/>
    <w:rsid w:val="008D509E"/>
    <w:rsid w:val="008D5C6C"/>
    <w:rsid w:val="008E162C"/>
    <w:rsid w:val="008E5368"/>
    <w:rsid w:val="008F165A"/>
    <w:rsid w:val="008F4DE0"/>
    <w:rsid w:val="008F6E10"/>
    <w:rsid w:val="00904EE3"/>
    <w:rsid w:val="00912BC5"/>
    <w:rsid w:val="00914032"/>
    <w:rsid w:val="00915170"/>
    <w:rsid w:val="00916484"/>
    <w:rsid w:val="009204E3"/>
    <w:rsid w:val="009227E0"/>
    <w:rsid w:val="009241CF"/>
    <w:rsid w:val="00932543"/>
    <w:rsid w:val="00942BAA"/>
    <w:rsid w:val="009441BB"/>
    <w:rsid w:val="00945980"/>
    <w:rsid w:val="00956F4A"/>
    <w:rsid w:val="00962494"/>
    <w:rsid w:val="0096280B"/>
    <w:rsid w:val="00985AE5"/>
    <w:rsid w:val="009862A6"/>
    <w:rsid w:val="00995D51"/>
    <w:rsid w:val="009A1F7F"/>
    <w:rsid w:val="009B3D58"/>
    <w:rsid w:val="009B57D2"/>
    <w:rsid w:val="009B6379"/>
    <w:rsid w:val="009C459E"/>
    <w:rsid w:val="009D5F91"/>
    <w:rsid w:val="009D7C1D"/>
    <w:rsid w:val="009E072E"/>
    <w:rsid w:val="009E1E6A"/>
    <w:rsid w:val="009F1D8A"/>
    <w:rsid w:val="009F58E1"/>
    <w:rsid w:val="009F647A"/>
    <w:rsid w:val="00A0294B"/>
    <w:rsid w:val="00A146F9"/>
    <w:rsid w:val="00A17292"/>
    <w:rsid w:val="00A2019D"/>
    <w:rsid w:val="00A24C5D"/>
    <w:rsid w:val="00A27C06"/>
    <w:rsid w:val="00A37082"/>
    <w:rsid w:val="00A42F23"/>
    <w:rsid w:val="00A44A76"/>
    <w:rsid w:val="00A44AE2"/>
    <w:rsid w:val="00A566AE"/>
    <w:rsid w:val="00A63A4D"/>
    <w:rsid w:val="00A73889"/>
    <w:rsid w:val="00A77B7E"/>
    <w:rsid w:val="00A927DD"/>
    <w:rsid w:val="00A97B30"/>
    <w:rsid w:val="00AA1DBD"/>
    <w:rsid w:val="00AA4751"/>
    <w:rsid w:val="00AA4964"/>
    <w:rsid w:val="00AA6B8D"/>
    <w:rsid w:val="00AA731C"/>
    <w:rsid w:val="00AB3906"/>
    <w:rsid w:val="00AB673C"/>
    <w:rsid w:val="00AC232D"/>
    <w:rsid w:val="00AC3CE0"/>
    <w:rsid w:val="00AC5282"/>
    <w:rsid w:val="00AC59F3"/>
    <w:rsid w:val="00AC7D0E"/>
    <w:rsid w:val="00AC7EDD"/>
    <w:rsid w:val="00AD060B"/>
    <w:rsid w:val="00AD3045"/>
    <w:rsid w:val="00AE5D2A"/>
    <w:rsid w:val="00AF36DB"/>
    <w:rsid w:val="00AF6C57"/>
    <w:rsid w:val="00B047EE"/>
    <w:rsid w:val="00B0621F"/>
    <w:rsid w:val="00B06696"/>
    <w:rsid w:val="00B06871"/>
    <w:rsid w:val="00B2053B"/>
    <w:rsid w:val="00B2117C"/>
    <w:rsid w:val="00B21AC9"/>
    <w:rsid w:val="00B2425D"/>
    <w:rsid w:val="00B45D13"/>
    <w:rsid w:val="00B5613F"/>
    <w:rsid w:val="00B571C2"/>
    <w:rsid w:val="00B5727F"/>
    <w:rsid w:val="00B6425F"/>
    <w:rsid w:val="00B7440B"/>
    <w:rsid w:val="00B83E9F"/>
    <w:rsid w:val="00B84290"/>
    <w:rsid w:val="00B85011"/>
    <w:rsid w:val="00B90543"/>
    <w:rsid w:val="00BA6ADA"/>
    <w:rsid w:val="00BB7D6A"/>
    <w:rsid w:val="00BC2E98"/>
    <w:rsid w:val="00BC43DE"/>
    <w:rsid w:val="00BC4D7D"/>
    <w:rsid w:val="00BC589E"/>
    <w:rsid w:val="00BC5C8E"/>
    <w:rsid w:val="00BC6C8C"/>
    <w:rsid w:val="00BD08A0"/>
    <w:rsid w:val="00BD1059"/>
    <w:rsid w:val="00BD41F4"/>
    <w:rsid w:val="00BD5A83"/>
    <w:rsid w:val="00BD712B"/>
    <w:rsid w:val="00BE2EC5"/>
    <w:rsid w:val="00BE467D"/>
    <w:rsid w:val="00BE7E0B"/>
    <w:rsid w:val="00BF7E01"/>
    <w:rsid w:val="00C05F3A"/>
    <w:rsid w:val="00C108CE"/>
    <w:rsid w:val="00C10BA5"/>
    <w:rsid w:val="00C13E78"/>
    <w:rsid w:val="00C20332"/>
    <w:rsid w:val="00C21168"/>
    <w:rsid w:val="00C2476A"/>
    <w:rsid w:val="00C260E7"/>
    <w:rsid w:val="00C27D25"/>
    <w:rsid w:val="00C30090"/>
    <w:rsid w:val="00C306C0"/>
    <w:rsid w:val="00C323DF"/>
    <w:rsid w:val="00C34FB7"/>
    <w:rsid w:val="00C3559E"/>
    <w:rsid w:val="00C400F2"/>
    <w:rsid w:val="00C40962"/>
    <w:rsid w:val="00C41989"/>
    <w:rsid w:val="00C45E9A"/>
    <w:rsid w:val="00C50EA8"/>
    <w:rsid w:val="00C56827"/>
    <w:rsid w:val="00C57AAB"/>
    <w:rsid w:val="00C63E87"/>
    <w:rsid w:val="00C66F5D"/>
    <w:rsid w:val="00C72A5C"/>
    <w:rsid w:val="00C75227"/>
    <w:rsid w:val="00C82927"/>
    <w:rsid w:val="00C846C5"/>
    <w:rsid w:val="00C958DF"/>
    <w:rsid w:val="00CB0054"/>
    <w:rsid w:val="00CB25A1"/>
    <w:rsid w:val="00CC3600"/>
    <w:rsid w:val="00CC7AF4"/>
    <w:rsid w:val="00CD78B0"/>
    <w:rsid w:val="00CD793C"/>
    <w:rsid w:val="00D0159D"/>
    <w:rsid w:val="00D13072"/>
    <w:rsid w:val="00D1446C"/>
    <w:rsid w:val="00D20443"/>
    <w:rsid w:val="00D23B16"/>
    <w:rsid w:val="00D24F56"/>
    <w:rsid w:val="00D25584"/>
    <w:rsid w:val="00D265F6"/>
    <w:rsid w:val="00D26B1D"/>
    <w:rsid w:val="00D271D5"/>
    <w:rsid w:val="00D31055"/>
    <w:rsid w:val="00D354D0"/>
    <w:rsid w:val="00D4150C"/>
    <w:rsid w:val="00D437A9"/>
    <w:rsid w:val="00D45B52"/>
    <w:rsid w:val="00D461E7"/>
    <w:rsid w:val="00D476B3"/>
    <w:rsid w:val="00D50869"/>
    <w:rsid w:val="00D6159E"/>
    <w:rsid w:val="00D7107F"/>
    <w:rsid w:val="00D81027"/>
    <w:rsid w:val="00D85E41"/>
    <w:rsid w:val="00D866E7"/>
    <w:rsid w:val="00D95AD2"/>
    <w:rsid w:val="00D97411"/>
    <w:rsid w:val="00DA3C8B"/>
    <w:rsid w:val="00DB7703"/>
    <w:rsid w:val="00DD67EC"/>
    <w:rsid w:val="00DE294A"/>
    <w:rsid w:val="00DE7664"/>
    <w:rsid w:val="00DF6D8A"/>
    <w:rsid w:val="00DF7BEA"/>
    <w:rsid w:val="00E035E2"/>
    <w:rsid w:val="00E074DA"/>
    <w:rsid w:val="00E11B51"/>
    <w:rsid w:val="00E1286B"/>
    <w:rsid w:val="00E15E53"/>
    <w:rsid w:val="00E20092"/>
    <w:rsid w:val="00E2144B"/>
    <w:rsid w:val="00E2548E"/>
    <w:rsid w:val="00E346C6"/>
    <w:rsid w:val="00E46FB0"/>
    <w:rsid w:val="00E5172F"/>
    <w:rsid w:val="00E60E46"/>
    <w:rsid w:val="00E61CF4"/>
    <w:rsid w:val="00E61DCB"/>
    <w:rsid w:val="00E6448B"/>
    <w:rsid w:val="00E66D57"/>
    <w:rsid w:val="00E722F0"/>
    <w:rsid w:val="00E72486"/>
    <w:rsid w:val="00E74147"/>
    <w:rsid w:val="00E75CFB"/>
    <w:rsid w:val="00E83129"/>
    <w:rsid w:val="00E84C08"/>
    <w:rsid w:val="00E9119A"/>
    <w:rsid w:val="00E919C7"/>
    <w:rsid w:val="00E94268"/>
    <w:rsid w:val="00E96642"/>
    <w:rsid w:val="00E96B59"/>
    <w:rsid w:val="00EA0990"/>
    <w:rsid w:val="00EA5F96"/>
    <w:rsid w:val="00EA61B8"/>
    <w:rsid w:val="00EA76BA"/>
    <w:rsid w:val="00EB7D85"/>
    <w:rsid w:val="00EC0906"/>
    <w:rsid w:val="00EC2E97"/>
    <w:rsid w:val="00ED69ED"/>
    <w:rsid w:val="00EE0107"/>
    <w:rsid w:val="00EE3EC4"/>
    <w:rsid w:val="00EF51C6"/>
    <w:rsid w:val="00F00B71"/>
    <w:rsid w:val="00F044C5"/>
    <w:rsid w:val="00F144D4"/>
    <w:rsid w:val="00F152C8"/>
    <w:rsid w:val="00F24FE8"/>
    <w:rsid w:val="00F25A17"/>
    <w:rsid w:val="00F2746E"/>
    <w:rsid w:val="00F51D82"/>
    <w:rsid w:val="00F63E1E"/>
    <w:rsid w:val="00F64A27"/>
    <w:rsid w:val="00F65399"/>
    <w:rsid w:val="00F83343"/>
    <w:rsid w:val="00F838C7"/>
    <w:rsid w:val="00F85D91"/>
    <w:rsid w:val="00F95298"/>
    <w:rsid w:val="00F9539F"/>
    <w:rsid w:val="00FA0588"/>
    <w:rsid w:val="00FA164A"/>
    <w:rsid w:val="00FA55C8"/>
    <w:rsid w:val="00FA59FB"/>
    <w:rsid w:val="00FA7D14"/>
    <w:rsid w:val="00FB0056"/>
    <w:rsid w:val="00FB5016"/>
    <w:rsid w:val="00FB6B41"/>
    <w:rsid w:val="00FE62D4"/>
    <w:rsid w:val="00FE63CD"/>
    <w:rsid w:val="00FF028F"/>
    <w:rsid w:val="00FF375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1B2AC"/>
  <w15:chartTrackingRefBased/>
  <w15:docId w15:val="{BFCE4B5A-BA2F-4EEA-9811-D0DCBE508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731A1"/>
    <w:pPr>
      <w:spacing w:after="0" w:line="240" w:lineRule="auto"/>
      <w:jc w:val="center"/>
    </w:pPr>
    <w:rPr>
      <w:rFonts w:ascii="Times New Roman" w:eastAsia="SimSun" w:hAnsi="Times New Roman" w:cs="Times New Roman"/>
      <w:sz w:val="20"/>
      <w:szCs w:val="20"/>
    </w:rPr>
  </w:style>
  <w:style w:type="paragraph" w:styleId="Heading1">
    <w:name w:val="heading 1"/>
    <w:aliases w:val="05_Heading 1"/>
    <w:basedOn w:val="Normal"/>
    <w:next w:val="Normal"/>
    <w:link w:val="Heading1Char"/>
    <w:qFormat/>
    <w:rsid w:val="003731A1"/>
    <w:pPr>
      <w:keepNext/>
      <w:keepLines/>
      <w:numPr>
        <w:numId w:val="3"/>
      </w:numPr>
      <w:tabs>
        <w:tab w:val="clear" w:pos="4613"/>
        <w:tab w:val="left" w:pos="216"/>
        <w:tab w:val="num" w:pos="576"/>
      </w:tabs>
      <w:spacing w:before="160" w:after="80"/>
      <w:outlineLvl w:val="0"/>
    </w:pPr>
    <w:rPr>
      <w:smallCaps/>
      <w:noProof/>
    </w:rPr>
  </w:style>
  <w:style w:type="paragraph" w:styleId="Heading2">
    <w:name w:val="heading 2"/>
    <w:aliases w:val="06_Heading 2"/>
    <w:basedOn w:val="Normal"/>
    <w:next w:val="Normal"/>
    <w:link w:val="Heading2Char"/>
    <w:qFormat/>
    <w:rsid w:val="003731A1"/>
    <w:pPr>
      <w:keepNext/>
      <w:keepLines/>
      <w:numPr>
        <w:ilvl w:val="1"/>
        <w:numId w:val="3"/>
      </w:numPr>
      <w:tabs>
        <w:tab w:val="clear" w:pos="360"/>
        <w:tab w:val="num" w:pos="288"/>
      </w:tabs>
      <w:spacing w:before="120" w:after="60"/>
      <w:jc w:val="left"/>
      <w:outlineLvl w:val="1"/>
    </w:pPr>
    <w:rPr>
      <w:i/>
      <w:iCs/>
      <w:noProof/>
    </w:rPr>
  </w:style>
  <w:style w:type="paragraph" w:styleId="Heading3">
    <w:name w:val="heading 3"/>
    <w:aliases w:val="07_Heading 3"/>
    <w:basedOn w:val="Normal"/>
    <w:next w:val="Normal"/>
    <w:link w:val="Heading3Char"/>
    <w:qFormat/>
    <w:rsid w:val="003731A1"/>
    <w:pPr>
      <w:numPr>
        <w:ilvl w:val="2"/>
        <w:numId w:val="3"/>
      </w:numPr>
      <w:spacing w:line="240" w:lineRule="exact"/>
      <w:ind w:firstLine="288"/>
      <w:jc w:val="both"/>
      <w:outlineLvl w:val="2"/>
    </w:pPr>
    <w:rPr>
      <w:i/>
      <w:iCs/>
      <w:noProof/>
    </w:rPr>
  </w:style>
  <w:style w:type="paragraph" w:styleId="Heading4">
    <w:name w:val="heading 4"/>
    <w:aliases w:val="08_Heading 4"/>
    <w:basedOn w:val="Normal"/>
    <w:next w:val="Normal"/>
    <w:link w:val="Heading4Char"/>
    <w:qFormat/>
    <w:rsid w:val="003731A1"/>
    <w:pPr>
      <w:numPr>
        <w:ilvl w:val="3"/>
        <w:numId w:val="3"/>
      </w:numPr>
      <w:tabs>
        <w:tab w:val="clear" w:pos="630"/>
        <w:tab w:val="left" w:pos="720"/>
      </w:tabs>
      <w:spacing w:before="40" w:after="40"/>
      <w:ind w:firstLine="504"/>
      <w:jc w:val="both"/>
      <w:outlineLvl w:val="3"/>
    </w:pPr>
    <w:rPr>
      <w:i/>
      <w:iCs/>
      <w:noProof/>
    </w:rPr>
  </w:style>
  <w:style w:type="paragraph" w:styleId="Heading5">
    <w:name w:val="heading 5"/>
    <w:aliases w:val="09_Heading 5"/>
    <w:basedOn w:val="Normal"/>
    <w:next w:val="Normal"/>
    <w:link w:val="Heading5Char"/>
    <w:qFormat/>
    <w:rsid w:val="003731A1"/>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5_Heading 1 Char"/>
    <w:basedOn w:val="DefaultParagraphFont"/>
    <w:link w:val="Heading1"/>
    <w:rsid w:val="003731A1"/>
    <w:rPr>
      <w:rFonts w:ascii="Times New Roman" w:eastAsia="SimSun" w:hAnsi="Times New Roman" w:cs="Times New Roman"/>
      <w:smallCaps/>
      <w:noProof/>
      <w:sz w:val="20"/>
      <w:szCs w:val="20"/>
    </w:rPr>
  </w:style>
  <w:style w:type="character" w:customStyle="1" w:styleId="Heading2Char">
    <w:name w:val="Heading 2 Char"/>
    <w:aliases w:val="06_Heading 2 Char"/>
    <w:basedOn w:val="DefaultParagraphFont"/>
    <w:link w:val="Heading2"/>
    <w:rsid w:val="003731A1"/>
    <w:rPr>
      <w:rFonts w:ascii="Times New Roman" w:eastAsia="SimSun" w:hAnsi="Times New Roman" w:cs="Times New Roman"/>
      <w:i/>
      <w:iCs/>
      <w:noProof/>
      <w:sz w:val="20"/>
      <w:szCs w:val="20"/>
    </w:rPr>
  </w:style>
  <w:style w:type="character" w:customStyle="1" w:styleId="Heading3Char">
    <w:name w:val="Heading 3 Char"/>
    <w:aliases w:val="07_Heading 3 Char"/>
    <w:basedOn w:val="DefaultParagraphFont"/>
    <w:link w:val="Heading3"/>
    <w:rsid w:val="003731A1"/>
    <w:rPr>
      <w:rFonts w:ascii="Times New Roman" w:eastAsia="SimSun" w:hAnsi="Times New Roman" w:cs="Times New Roman"/>
      <w:i/>
      <w:iCs/>
      <w:noProof/>
      <w:sz w:val="20"/>
      <w:szCs w:val="20"/>
    </w:rPr>
  </w:style>
  <w:style w:type="character" w:customStyle="1" w:styleId="Heading4Char">
    <w:name w:val="Heading 4 Char"/>
    <w:aliases w:val="08_Heading 4 Char"/>
    <w:basedOn w:val="DefaultParagraphFont"/>
    <w:link w:val="Heading4"/>
    <w:rsid w:val="003731A1"/>
    <w:rPr>
      <w:rFonts w:ascii="Times New Roman" w:eastAsia="SimSun" w:hAnsi="Times New Roman" w:cs="Times New Roman"/>
      <w:i/>
      <w:iCs/>
      <w:noProof/>
      <w:sz w:val="20"/>
      <w:szCs w:val="20"/>
    </w:rPr>
  </w:style>
  <w:style w:type="character" w:customStyle="1" w:styleId="Heading5Char">
    <w:name w:val="Heading 5 Char"/>
    <w:aliases w:val="09_Heading 5 Char"/>
    <w:basedOn w:val="DefaultParagraphFont"/>
    <w:link w:val="Heading5"/>
    <w:rsid w:val="003731A1"/>
    <w:rPr>
      <w:rFonts w:ascii="Times New Roman" w:eastAsia="SimSun" w:hAnsi="Times New Roman" w:cs="Times New Roman"/>
      <w:smallCaps/>
      <w:noProof/>
      <w:sz w:val="20"/>
      <w:szCs w:val="20"/>
      <w:lang w:val="en-US"/>
    </w:rPr>
  </w:style>
  <w:style w:type="paragraph" w:customStyle="1" w:styleId="03Abstract">
    <w:name w:val="03_Abstract"/>
    <w:qFormat/>
    <w:rsid w:val="003731A1"/>
    <w:pPr>
      <w:spacing w:after="200" w:line="240" w:lineRule="auto"/>
      <w:ind w:firstLine="272"/>
      <w:jc w:val="both"/>
    </w:pPr>
    <w:rPr>
      <w:rFonts w:ascii="Times New Roman" w:eastAsia="SimSun" w:hAnsi="Times New Roman" w:cs="Times New Roman"/>
      <w:b/>
      <w:bCs/>
      <w:sz w:val="18"/>
      <w:szCs w:val="18"/>
      <w:lang w:val="en-US"/>
    </w:rPr>
  </w:style>
  <w:style w:type="paragraph" w:customStyle="1" w:styleId="Affiliation">
    <w:name w:val="Affiliation"/>
    <w:rsid w:val="003731A1"/>
    <w:pPr>
      <w:spacing w:after="0" w:line="240" w:lineRule="auto"/>
      <w:jc w:val="center"/>
    </w:pPr>
    <w:rPr>
      <w:rFonts w:ascii="Times New Roman" w:eastAsia="SimSun" w:hAnsi="Times New Roman" w:cs="Times New Roman"/>
      <w:sz w:val="20"/>
      <w:szCs w:val="20"/>
      <w:lang w:val="en-US"/>
    </w:rPr>
  </w:style>
  <w:style w:type="paragraph" w:customStyle="1" w:styleId="Author">
    <w:name w:val="Author"/>
    <w:rsid w:val="003731A1"/>
    <w:pPr>
      <w:spacing w:before="360" w:after="40" w:line="240" w:lineRule="auto"/>
      <w:jc w:val="center"/>
    </w:pPr>
    <w:rPr>
      <w:rFonts w:ascii="Times New Roman" w:eastAsia="SimSun" w:hAnsi="Times New Roman" w:cs="Times New Roman"/>
      <w:noProof/>
      <w:lang w:val="en-US"/>
    </w:rPr>
  </w:style>
  <w:style w:type="paragraph" w:styleId="BodyText">
    <w:name w:val="Body Text"/>
    <w:aliases w:val="10_Body Text"/>
    <w:basedOn w:val="Normal"/>
    <w:next w:val="01PaperTitle"/>
    <w:link w:val="BodyTextChar"/>
    <w:qFormat/>
    <w:rsid w:val="003731A1"/>
    <w:pPr>
      <w:tabs>
        <w:tab w:val="left" w:pos="288"/>
      </w:tabs>
      <w:spacing w:after="120" w:line="228" w:lineRule="auto"/>
      <w:ind w:firstLine="288"/>
      <w:jc w:val="both"/>
    </w:pPr>
    <w:rPr>
      <w:spacing w:val="-1"/>
    </w:rPr>
  </w:style>
  <w:style w:type="character" w:customStyle="1" w:styleId="BodyTextChar">
    <w:name w:val="Body Text Char"/>
    <w:aliases w:val="10_Body Text Char"/>
    <w:basedOn w:val="DefaultParagraphFont"/>
    <w:link w:val="BodyText"/>
    <w:rsid w:val="003731A1"/>
    <w:rPr>
      <w:rFonts w:ascii="Times New Roman" w:eastAsia="SimSun" w:hAnsi="Times New Roman" w:cs="Times New Roman"/>
      <w:spacing w:val="-1"/>
      <w:sz w:val="20"/>
      <w:szCs w:val="20"/>
      <w:lang w:val="en-US"/>
    </w:rPr>
  </w:style>
  <w:style w:type="paragraph" w:customStyle="1" w:styleId="11BulletList">
    <w:name w:val="11_Bullet List"/>
    <w:basedOn w:val="BodyText"/>
    <w:qFormat/>
    <w:rsid w:val="003731A1"/>
    <w:pPr>
      <w:numPr>
        <w:numId w:val="1"/>
      </w:numPr>
      <w:tabs>
        <w:tab w:val="clear" w:pos="288"/>
        <w:tab w:val="clear" w:pos="648"/>
        <w:tab w:val="left" w:pos="567"/>
      </w:tabs>
      <w:ind w:left="576" w:hanging="288"/>
    </w:pPr>
  </w:style>
  <w:style w:type="paragraph" w:customStyle="1" w:styleId="13Equation">
    <w:name w:val="13_Equation"/>
    <w:basedOn w:val="Normal"/>
    <w:qFormat/>
    <w:rsid w:val="003731A1"/>
    <w:pPr>
      <w:tabs>
        <w:tab w:val="center" w:pos="2520"/>
        <w:tab w:val="right" w:pos="5040"/>
      </w:tabs>
      <w:spacing w:after="120"/>
      <w:jc w:val="right"/>
    </w:pPr>
    <w:rPr>
      <w:rFonts w:ascii="Symbol" w:hAnsi="Symbol" w:cs="Symbol"/>
    </w:rPr>
  </w:style>
  <w:style w:type="paragraph" w:customStyle="1" w:styleId="15FigureCaption">
    <w:name w:val="15_Figure Caption"/>
    <w:qFormat/>
    <w:rsid w:val="003731A1"/>
    <w:pPr>
      <w:numPr>
        <w:numId w:val="2"/>
      </w:numPr>
      <w:tabs>
        <w:tab w:val="left" w:pos="533"/>
      </w:tabs>
      <w:spacing w:before="80" w:after="200" w:line="240" w:lineRule="auto"/>
      <w:ind w:left="0" w:firstLine="0"/>
      <w:jc w:val="center"/>
    </w:pPr>
    <w:rPr>
      <w:rFonts w:ascii="Times New Roman" w:eastAsia="SimSun" w:hAnsi="Times New Roman" w:cs="Times New Roman"/>
      <w:noProof/>
      <w:sz w:val="16"/>
      <w:szCs w:val="16"/>
      <w:lang w:val="en-US"/>
    </w:rPr>
  </w:style>
  <w:style w:type="paragraph" w:customStyle="1" w:styleId="02PaperSubtitle">
    <w:name w:val="02_Paper Subtitle"/>
    <w:qFormat/>
    <w:rsid w:val="003731A1"/>
    <w:pPr>
      <w:spacing w:after="120" w:line="240" w:lineRule="auto"/>
      <w:jc w:val="center"/>
    </w:pPr>
    <w:rPr>
      <w:rFonts w:ascii="Times New Roman" w:eastAsia="MS Mincho" w:hAnsi="Times New Roman" w:cs="Times New Roman"/>
      <w:noProof/>
      <w:sz w:val="28"/>
      <w:szCs w:val="28"/>
      <w:lang w:val="en-US"/>
    </w:rPr>
  </w:style>
  <w:style w:type="paragraph" w:customStyle="1" w:styleId="01PaperTitle">
    <w:name w:val="01_Paper Title"/>
    <w:qFormat/>
    <w:rsid w:val="003731A1"/>
    <w:pPr>
      <w:spacing w:after="120" w:line="240" w:lineRule="auto"/>
      <w:jc w:val="center"/>
    </w:pPr>
    <w:rPr>
      <w:rFonts w:ascii="Times New Roman" w:eastAsia="MS Mincho" w:hAnsi="Times New Roman" w:cs="Times New Roman"/>
      <w:noProof/>
      <w:sz w:val="48"/>
      <w:szCs w:val="48"/>
      <w:lang w:val="en-US"/>
    </w:rPr>
  </w:style>
  <w:style w:type="paragraph" w:customStyle="1" w:styleId="16References">
    <w:name w:val="16_References"/>
    <w:qFormat/>
    <w:rsid w:val="003731A1"/>
    <w:pPr>
      <w:numPr>
        <w:numId w:val="4"/>
      </w:numPr>
      <w:spacing w:after="50" w:line="180" w:lineRule="exact"/>
      <w:ind w:left="354" w:hanging="354"/>
      <w:jc w:val="both"/>
    </w:pPr>
    <w:rPr>
      <w:rFonts w:ascii="Times New Roman" w:eastAsia="MS Mincho" w:hAnsi="Times New Roman" w:cs="Times New Roman"/>
      <w:noProof/>
      <w:sz w:val="16"/>
      <w:szCs w:val="16"/>
      <w:lang w:val="en-US"/>
    </w:rPr>
  </w:style>
  <w:style w:type="paragraph" w:customStyle="1" w:styleId="sponsors">
    <w:name w:val="sponsors"/>
    <w:rsid w:val="003731A1"/>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val="en-US"/>
    </w:rPr>
  </w:style>
  <w:style w:type="paragraph" w:customStyle="1" w:styleId="tablecolhead">
    <w:name w:val="table col head"/>
    <w:basedOn w:val="Normal"/>
    <w:rsid w:val="003731A1"/>
    <w:rPr>
      <w:b/>
      <w:bCs/>
      <w:sz w:val="16"/>
      <w:szCs w:val="16"/>
    </w:rPr>
  </w:style>
  <w:style w:type="paragraph" w:customStyle="1" w:styleId="tablecolsubhead">
    <w:name w:val="table col subhead"/>
    <w:basedOn w:val="tablecolhead"/>
    <w:rsid w:val="003731A1"/>
    <w:rPr>
      <w:i/>
      <w:iCs/>
      <w:sz w:val="15"/>
      <w:szCs w:val="15"/>
    </w:rPr>
  </w:style>
  <w:style w:type="paragraph" w:customStyle="1" w:styleId="tablecopy">
    <w:name w:val="table copy"/>
    <w:rsid w:val="003731A1"/>
    <w:pPr>
      <w:spacing w:after="0" w:line="240" w:lineRule="auto"/>
      <w:jc w:val="both"/>
    </w:pPr>
    <w:rPr>
      <w:rFonts w:ascii="Times New Roman" w:eastAsia="SimSun" w:hAnsi="Times New Roman" w:cs="Times New Roman"/>
      <w:noProof/>
      <w:sz w:val="16"/>
      <w:szCs w:val="16"/>
      <w:lang w:val="en-US"/>
    </w:rPr>
  </w:style>
  <w:style w:type="paragraph" w:customStyle="1" w:styleId="tablefootnote">
    <w:name w:val="table footnote"/>
    <w:rsid w:val="003731A1"/>
    <w:pPr>
      <w:numPr>
        <w:numId w:val="6"/>
      </w:numPr>
      <w:spacing w:before="60" w:after="30" w:line="240" w:lineRule="auto"/>
      <w:ind w:left="58" w:hanging="29"/>
      <w:jc w:val="right"/>
    </w:pPr>
    <w:rPr>
      <w:rFonts w:ascii="Times New Roman" w:eastAsia="SimSun" w:hAnsi="Times New Roman" w:cs="Times New Roman"/>
      <w:sz w:val="12"/>
      <w:szCs w:val="12"/>
      <w:lang w:val="en-US"/>
    </w:rPr>
  </w:style>
  <w:style w:type="paragraph" w:customStyle="1" w:styleId="14TableHead">
    <w:name w:val="14_Table Head"/>
    <w:qFormat/>
    <w:rsid w:val="003731A1"/>
    <w:pPr>
      <w:numPr>
        <w:numId w:val="5"/>
      </w:numPr>
      <w:tabs>
        <w:tab w:val="clear" w:pos="1080"/>
        <w:tab w:val="num" w:pos="993"/>
      </w:tabs>
      <w:spacing w:before="240" w:after="120" w:line="216" w:lineRule="auto"/>
      <w:jc w:val="center"/>
    </w:pPr>
    <w:rPr>
      <w:rFonts w:ascii="Times New Roman" w:eastAsia="SimSun" w:hAnsi="Times New Roman" w:cs="Times New Roman"/>
      <w:smallCaps/>
      <w:noProof/>
      <w:sz w:val="16"/>
      <w:szCs w:val="16"/>
      <w:lang w:val="en-US"/>
    </w:rPr>
  </w:style>
  <w:style w:type="paragraph" w:customStyle="1" w:styleId="04Keywords">
    <w:name w:val="04_Keywords"/>
    <w:basedOn w:val="03Abstract"/>
    <w:qFormat/>
    <w:rsid w:val="003731A1"/>
    <w:pPr>
      <w:spacing w:after="120"/>
      <w:ind w:firstLine="274"/>
    </w:pPr>
    <w:rPr>
      <w:i/>
    </w:rPr>
  </w:style>
  <w:style w:type="paragraph" w:styleId="Header">
    <w:name w:val="header"/>
    <w:basedOn w:val="Normal"/>
    <w:link w:val="HeaderChar"/>
    <w:rsid w:val="003731A1"/>
    <w:pPr>
      <w:tabs>
        <w:tab w:val="center" w:pos="4513"/>
        <w:tab w:val="right" w:pos="9026"/>
      </w:tabs>
    </w:pPr>
  </w:style>
  <w:style w:type="character" w:customStyle="1" w:styleId="HeaderChar">
    <w:name w:val="Header Char"/>
    <w:basedOn w:val="DefaultParagraphFont"/>
    <w:link w:val="Header"/>
    <w:rsid w:val="003731A1"/>
    <w:rPr>
      <w:rFonts w:ascii="Times New Roman" w:eastAsia="SimSun" w:hAnsi="Times New Roman" w:cs="Times New Roman"/>
      <w:sz w:val="20"/>
      <w:szCs w:val="20"/>
      <w:lang w:val="en-US"/>
    </w:rPr>
  </w:style>
  <w:style w:type="paragraph" w:styleId="Footer">
    <w:name w:val="footer"/>
    <w:basedOn w:val="Normal"/>
    <w:link w:val="FooterChar"/>
    <w:uiPriority w:val="99"/>
    <w:rsid w:val="003731A1"/>
    <w:pPr>
      <w:tabs>
        <w:tab w:val="center" w:pos="4513"/>
        <w:tab w:val="right" w:pos="9026"/>
      </w:tabs>
    </w:pPr>
  </w:style>
  <w:style w:type="character" w:customStyle="1" w:styleId="FooterChar">
    <w:name w:val="Footer Char"/>
    <w:basedOn w:val="DefaultParagraphFont"/>
    <w:link w:val="Footer"/>
    <w:uiPriority w:val="99"/>
    <w:rsid w:val="003731A1"/>
    <w:rPr>
      <w:rFonts w:ascii="Times New Roman" w:eastAsia="SimSun" w:hAnsi="Times New Roman" w:cs="Times New Roman"/>
      <w:sz w:val="20"/>
      <w:szCs w:val="20"/>
      <w:lang w:val="en-US"/>
    </w:rPr>
  </w:style>
  <w:style w:type="paragraph" w:customStyle="1" w:styleId="12ListParagrph2">
    <w:name w:val="12_List Paragrph 2"/>
    <w:basedOn w:val="Normal"/>
    <w:qFormat/>
    <w:rsid w:val="003731A1"/>
    <w:pPr>
      <w:numPr>
        <w:ilvl w:val="1"/>
        <w:numId w:val="7"/>
      </w:numPr>
      <w:spacing w:after="120"/>
      <w:ind w:left="867" w:hanging="357"/>
      <w:jc w:val="both"/>
    </w:pPr>
  </w:style>
  <w:style w:type="paragraph" w:styleId="ListParagraph">
    <w:name w:val="List Paragraph"/>
    <w:basedOn w:val="Normal"/>
    <w:uiPriority w:val="34"/>
    <w:qFormat/>
    <w:rsid w:val="003E341F"/>
    <w:pPr>
      <w:spacing w:after="200" w:line="360" w:lineRule="auto"/>
      <w:ind w:left="720"/>
      <w:contextualSpacing/>
      <w:jc w:val="left"/>
    </w:pPr>
    <w:rPr>
      <w:rFonts w:asciiTheme="minorHAnsi" w:eastAsiaTheme="minorHAnsi" w:hAnsiTheme="minorHAnsi" w:cstheme="minorBidi"/>
      <w:sz w:val="22"/>
      <w:szCs w:val="22"/>
      <w:lang w:val="tr-TR"/>
      <w14:ligatures w14:val="standardContextual"/>
    </w:rPr>
  </w:style>
  <w:style w:type="character" w:styleId="FootnoteReference">
    <w:name w:val="footnote reference"/>
    <w:basedOn w:val="DefaultParagraphFont"/>
    <w:uiPriority w:val="99"/>
    <w:semiHidden/>
    <w:unhideWhenUsed/>
    <w:rsid w:val="00EF51C6"/>
    <w:rPr>
      <w:vertAlign w:val="superscript"/>
    </w:rPr>
  </w:style>
  <w:style w:type="paragraph" w:customStyle="1" w:styleId="footnote">
    <w:name w:val="footnote"/>
    <w:rsid w:val="00BC4D7D"/>
    <w:pPr>
      <w:framePr w:hSpace="187" w:vSpace="187" w:wrap="notBeside" w:vAnchor="text" w:hAnchor="page" w:x="6121" w:y="577"/>
      <w:numPr>
        <w:numId w:val="8"/>
      </w:numPr>
      <w:spacing w:after="40" w:line="240" w:lineRule="auto"/>
    </w:pPr>
    <w:rPr>
      <w:rFonts w:ascii="Times New Roman" w:eastAsia="SimSun" w:hAnsi="Times New Roman" w:cs="Times New Roman"/>
      <w:sz w:val="16"/>
      <w:szCs w:val="16"/>
      <w:lang w:val="en-US"/>
    </w:rPr>
  </w:style>
  <w:style w:type="paragraph" w:styleId="HTMLPreformatted">
    <w:name w:val="HTML Preformatted"/>
    <w:basedOn w:val="Normal"/>
    <w:link w:val="HTMLPreformattedChar"/>
    <w:uiPriority w:val="99"/>
    <w:unhideWhenUsed/>
    <w:rsid w:val="00823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rsid w:val="00823997"/>
    <w:rPr>
      <w:rFonts w:ascii="Courier New" w:eastAsia="Times New Roman" w:hAnsi="Courier New" w:cs="Courier New"/>
      <w:sz w:val="20"/>
      <w:szCs w:val="20"/>
      <w:lang w:eastAsia="en-GB"/>
    </w:rPr>
  </w:style>
  <w:style w:type="character" w:customStyle="1" w:styleId="y2iqfc">
    <w:name w:val="y2iqfc"/>
    <w:basedOn w:val="DefaultParagraphFont"/>
    <w:rsid w:val="00823997"/>
  </w:style>
  <w:style w:type="paragraph" w:customStyle="1" w:styleId="muitypography-root">
    <w:name w:val="muitypography-root"/>
    <w:basedOn w:val="Normal"/>
    <w:rsid w:val="009D7C1D"/>
    <w:pPr>
      <w:spacing w:before="100" w:beforeAutospacing="1" w:after="100" w:afterAutospacing="1"/>
      <w:jc w:val="left"/>
    </w:pPr>
    <w:rPr>
      <w:rFonts w:eastAsia="Times New Roman"/>
      <w:sz w:val="24"/>
      <w:szCs w:val="24"/>
      <w:lang w:eastAsia="en-GB"/>
    </w:rPr>
  </w:style>
  <w:style w:type="paragraph" w:styleId="NormalWeb">
    <w:name w:val="Normal (Web)"/>
    <w:basedOn w:val="Normal"/>
    <w:uiPriority w:val="99"/>
    <w:unhideWhenUsed/>
    <w:rsid w:val="000D3963"/>
    <w:pPr>
      <w:spacing w:before="100" w:beforeAutospacing="1" w:after="100" w:afterAutospacing="1"/>
      <w:jc w:val="left"/>
    </w:pPr>
    <w:rPr>
      <w:rFonts w:eastAsia="Times New Roman"/>
      <w:sz w:val="24"/>
      <w:szCs w:val="24"/>
      <w:lang w:eastAsia="en-GB"/>
    </w:rPr>
  </w:style>
  <w:style w:type="paragraph" w:customStyle="1" w:styleId="Default">
    <w:name w:val="Default"/>
    <w:rsid w:val="006C02C0"/>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A77B7E"/>
    <w:rPr>
      <w:b/>
      <w:bCs/>
    </w:rPr>
  </w:style>
  <w:style w:type="character" w:styleId="Emphasis">
    <w:name w:val="Emphasis"/>
    <w:basedOn w:val="DefaultParagraphFont"/>
    <w:uiPriority w:val="20"/>
    <w:qFormat/>
    <w:rsid w:val="00A77B7E"/>
    <w:rPr>
      <w:i/>
      <w:iCs/>
    </w:rPr>
  </w:style>
  <w:style w:type="character" w:styleId="Hyperlink">
    <w:name w:val="Hyperlink"/>
    <w:basedOn w:val="DefaultParagraphFont"/>
    <w:uiPriority w:val="99"/>
    <w:unhideWhenUsed/>
    <w:rsid w:val="00280421"/>
    <w:rPr>
      <w:color w:val="0000FF"/>
      <w:u w:val="single"/>
    </w:rPr>
  </w:style>
  <w:style w:type="paragraph" w:styleId="FootnoteText">
    <w:name w:val="footnote text"/>
    <w:basedOn w:val="Normal"/>
    <w:link w:val="FootnoteTextChar"/>
    <w:uiPriority w:val="99"/>
    <w:semiHidden/>
    <w:unhideWhenUsed/>
    <w:rsid w:val="00D4150C"/>
  </w:style>
  <w:style w:type="character" w:customStyle="1" w:styleId="FootnoteTextChar">
    <w:name w:val="Footnote Text Char"/>
    <w:basedOn w:val="DefaultParagraphFont"/>
    <w:link w:val="FootnoteText"/>
    <w:uiPriority w:val="99"/>
    <w:semiHidden/>
    <w:rsid w:val="00D4150C"/>
    <w:rPr>
      <w:rFonts w:ascii="Times New Roman" w:eastAsia="SimSun" w:hAnsi="Times New Roman" w:cs="Times New Roman"/>
      <w:sz w:val="20"/>
      <w:szCs w:val="20"/>
    </w:rPr>
  </w:style>
  <w:style w:type="character" w:customStyle="1" w:styleId="html-italic">
    <w:name w:val="html-italic"/>
    <w:basedOn w:val="DefaultParagraphFont"/>
    <w:rsid w:val="00485C55"/>
  </w:style>
  <w:style w:type="table" w:styleId="TableGrid">
    <w:name w:val="Table Grid"/>
    <w:basedOn w:val="TableNormal"/>
    <w:uiPriority w:val="39"/>
    <w:rsid w:val="00485C5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ed">
    <w:name w:val="selected"/>
    <w:basedOn w:val="DefaultParagraphFont"/>
    <w:rsid w:val="000D4D4C"/>
  </w:style>
  <w:style w:type="paragraph" w:customStyle="1" w:styleId="ReferHead">
    <w:name w:val="Refer Head"/>
    <w:basedOn w:val="Normal"/>
    <w:rsid w:val="00A0294B"/>
    <w:pPr>
      <w:keepNext/>
      <w:spacing w:after="240"/>
      <w:jc w:val="left"/>
    </w:pPr>
    <w:rPr>
      <w:rFonts w:ascii="Helvetica" w:eastAsia="Times New Roman" w:hAnsi="Helvetica"/>
      <w:b/>
      <w:caps/>
      <w:sz w:val="22"/>
      <w:lang w:val="en-US"/>
    </w:rPr>
  </w:style>
  <w:style w:type="paragraph" w:customStyle="1" w:styleId="Body">
    <w:name w:val="Body"/>
    <w:basedOn w:val="Normal"/>
    <w:rsid w:val="00C82927"/>
    <w:pPr>
      <w:spacing w:after="240"/>
      <w:jc w:val="both"/>
    </w:pPr>
    <w:rPr>
      <w:rFonts w:ascii="Helvetica" w:eastAsia="Times New Roman" w:hAnsi="Helvetica"/>
      <w:lang w:val="en-US"/>
    </w:rPr>
  </w:style>
  <w:style w:type="character" w:customStyle="1" w:styleId="UnresolvedMention1">
    <w:name w:val="Unresolved Mention1"/>
    <w:basedOn w:val="DefaultParagraphFont"/>
    <w:uiPriority w:val="99"/>
    <w:semiHidden/>
    <w:unhideWhenUsed/>
    <w:rsid w:val="008903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879">
      <w:bodyDiv w:val="1"/>
      <w:marLeft w:val="0"/>
      <w:marRight w:val="0"/>
      <w:marTop w:val="0"/>
      <w:marBottom w:val="0"/>
      <w:divBdr>
        <w:top w:val="none" w:sz="0" w:space="0" w:color="auto"/>
        <w:left w:val="none" w:sz="0" w:space="0" w:color="auto"/>
        <w:bottom w:val="none" w:sz="0" w:space="0" w:color="auto"/>
        <w:right w:val="none" w:sz="0" w:space="0" w:color="auto"/>
      </w:divBdr>
    </w:div>
    <w:div w:id="20789311">
      <w:bodyDiv w:val="1"/>
      <w:marLeft w:val="0"/>
      <w:marRight w:val="0"/>
      <w:marTop w:val="0"/>
      <w:marBottom w:val="0"/>
      <w:divBdr>
        <w:top w:val="none" w:sz="0" w:space="0" w:color="auto"/>
        <w:left w:val="none" w:sz="0" w:space="0" w:color="auto"/>
        <w:bottom w:val="none" w:sz="0" w:space="0" w:color="auto"/>
        <w:right w:val="none" w:sz="0" w:space="0" w:color="auto"/>
      </w:divBdr>
    </w:div>
    <w:div w:id="66535866">
      <w:bodyDiv w:val="1"/>
      <w:marLeft w:val="0"/>
      <w:marRight w:val="0"/>
      <w:marTop w:val="0"/>
      <w:marBottom w:val="0"/>
      <w:divBdr>
        <w:top w:val="none" w:sz="0" w:space="0" w:color="auto"/>
        <w:left w:val="none" w:sz="0" w:space="0" w:color="auto"/>
        <w:bottom w:val="none" w:sz="0" w:space="0" w:color="auto"/>
        <w:right w:val="none" w:sz="0" w:space="0" w:color="auto"/>
      </w:divBdr>
    </w:div>
    <w:div w:id="71513809">
      <w:bodyDiv w:val="1"/>
      <w:marLeft w:val="0"/>
      <w:marRight w:val="0"/>
      <w:marTop w:val="0"/>
      <w:marBottom w:val="0"/>
      <w:divBdr>
        <w:top w:val="none" w:sz="0" w:space="0" w:color="auto"/>
        <w:left w:val="none" w:sz="0" w:space="0" w:color="auto"/>
        <w:bottom w:val="none" w:sz="0" w:space="0" w:color="auto"/>
        <w:right w:val="none" w:sz="0" w:space="0" w:color="auto"/>
      </w:divBdr>
    </w:div>
    <w:div w:id="104429083">
      <w:bodyDiv w:val="1"/>
      <w:marLeft w:val="0"/>
      <w:marRight w:val="0"/>
      <w:marTop w:val="0"/>
      <w:marBottom w:val="0"/>
      <w:divBdr>
        <w:top w:val="none" w:sz="0" w:space="0" w:color="auto"/>
        <w:left w:val="none" w:sz="0" w:space="0" w:color="auto"/>
        <w:bottom w:val="none" w:sz="0" w:space="0" w:color="auto"/>
        <w:right w:val="none" w:sz="0" w:space="0" w:color="auto"/>
      </w:divBdr>
    </w:div>
    <w:div w:id="170216620">
      <w:bodyDiv w:val="1"/>
      <w:marLeft w:val="0"/>
      <w:marRight w:val="0"/>
      <w:marTop w:val="0"/>
      <w:marBottom w:val="0"/>
      <w:divBdr>
        <w:top w:val="none" w:sz="0" w:space="0" w:color="auto"/>
        <w:left w:val="none" w:sz="0" w:space="0" w:color="auto"/>
        <w:bottom w:val="none" w:sz="0" w:space="0" w:color="auto"/>
        <w:right w:val="none" w:sz="0" w:space="0" w:color="auto"/>
      </w:divBdr>
    </w:div>
    <w:div w:id="246426153">
      <w:bodyDiv w:val="1"/>
      <w:marLeft w:val="0"/>
      <w:marRight w:val="0"/>
      <w:marTop w:val="0"/>
      <w:marBottom w:val="0"/>
      <w:divBdr>
        <w:top w:val="none" w:sz="0" w:space="0" w:color="auto"/>
        <w:left w:val="none" w:sz="0" w:space="0" w:color="auto"/>
        <w:bottom w:val="none" w:sz="0" w:space="0" w:color="auto"/>
        <w:right w:val="none" w:sz="0" w:space="0" w:color="auto"/>
      </w:divBdr>
    </w:div>
    <w:div w:id="301812634">
      <w:bodyDiv w:val="1"/>
      <w:marLeft w:val="0"/>
      <w:marRight w:val="0"/>
      <w:marTop w:val="0"/>
      <w:marBottom w:val="0"/>
      <w:divBdr>
        <w:top w:val="none" w:sz="0" w:space="0" w:color="auto"/>
        <w:left w:val="none" w:sz="0" w:space="0" w:color="auto"/>
        <w:bottom w:val="none" w:sz="0" w:space="0" w:color="auto"/>
        <w:right w:val="none" w:sz="0" w:space="0" w:color="auto"/>
      </w:divBdr>
    </w:div>
    <w:div w:id="323244036">
      <w:bodyDiv w:val="1"/>
      <w:marLeft w:val="0"/>
      <w:marRight w:val="0"/>
      <w:marTop w:val="0"/>
      <w:marBottom w:val="0"/>
      <w:divBdr>
        <w:top w:val="none" w:sz="0" w:space="0" w:color="auto"/>
        <w:left w:val="none" w:sz="0" w:space="0" w:color="auto"/>
        <w:bottom w:val="none" w:sz="0" w:space="0" w:color="auto"/>
        <w:right w:val="none" w:sz="0" w:space="0" w:color="auto"/>
      </w:divBdr>
    </w:div>
    <w:div w:id="329985557">
      <w:bodyDiv w:val="1"/>
      <w:marLeft w:val="0"/>
      <w:marRight w:val="0"/>
      <w:marTop w:val="0"/>
      <w:marBottom w:val="0"/>
      <w:divBdr>
        <w:top w:val="none" w:sz="0" w:space="0" w:color="auto"/>
        <w:left w:val="none" w:sz="0" w:space="0" w:color="auto"/>
        <w:bottom w:val="none" w:sz="0" w:space="0" w:color="auto"/>
        <w:right w:val="none" w:sz="0" w:space="0" w:color="auto"/>
      </w:divBdr>
    </w:div>
    <w:div w:id="385422940">
      <w:bodyDiv w:val="1"/>
      <w:marLeft w:val="0"/>
      <w:marRight w:val="0"/>
      <w:marTop w:val="0"/>
      <w:marBottom w:val="0"/>
      <w:divBdr>
        <w:top w:val="none" w:sz="0" w:space="0" w:color="auto"/>
        <w:left w:val="none" w:sz="0" w:space="0" w:color="auto"/>
        <w:bottom w:val="none" w:sz="0" w:space="0" w:color="auto"/>
        <w:right w:val="none" w:sz="0" w:space="0" w:color="auto"/>
      </w:divBdr>
    </w:div>
    <w:div w:id="393478548">
      <w:bodyDiv w:val="1"/>
      <w:marLeft w:val="0"/>
      <w:marRight w:val="0"/>
      <w:marTop w:val="0"/>
      <w:marBottom w:val="0"/>
      <w:divBdr>
        <w:top w:val="none" w:sz="0" w:space="0" w:color="auto"/>
        <w:left w:val="none" w:sz="0" w:space="0" w:color="auto"/>
        <w:bottom w:val="none" w:sz="0" w:space="0" w:color="auto"/>
        <w:right w:val="none" w:sz="0" w:space="0" w:color="auto"/>
      </w:divBdr>
    </w:div>
    <w:div w:id="421295288">
      <w:bodyDiv w:val="1"/>
      <w:marLeft w:val="0"/>
      <w:marRight w:val="0"/>
      <w:marTop w:val="0"/>
      <w:marBottom w:val="0"/>
      <w:divBdr>
        <w:top w:val="none" w:sz="0" w:space="0" w:color="auto"/>
        <w:left w:val="none" w:sz="0" w:space="0" w:color="auto"/>
        <w:bottom w:val="none" w:sz="0" w:space="0" w:color="auto"/>
        <w:right w:val="none" w:sz="0" w:space="0" w:color="auto"/>
      </w:divBdr>
    </w:div>
    <w:div w:id="490634434">
      <w:bodyDiv w:val="1"/>
      <w:marLeft w:val="0"/>
      <w:marRight w:val="0"/>
      <w:marTop w:val="0"/>
      <w:marBottom w:val="0"/>
      <w:divBdr>
        <w:top w:val="none" w:sz="0" w:space="0" w:color="auto"/>
        <w:left w:val="none" w:sz="0" w:space="0" w:color="auto"/>
        <w:bottom w:val="none" w:sz="0" w:space="0" w:color="auto"/>
        <w:right w:val="none" w:sz="0" w:space="0" w:color="auto"/>
      </w:divBdr>
    </w:div>
    <w:div w:id="516390492">
      <w:bodyDiv w:val="1"/>
      <w:marLeft w:val="0"/>
      <w:marRight w:val="0"/>
      <w:marTop w:val="0"/>
      <w:marBottom w:val="0"/>
      <w:divBdr>
        <w:top w:val="none" w:sz="0" w:space="0" w:color="auto"/>
        <w:left w:val="none" w:sz="0" w:space="0" w:color="auto"/>
        <w:bottom w:val="none" w:sz="0" w:space="0" w:color="auto"/>
        <w:right w:val="none" w:sz="0" w:space="0" w:color="auto"/>
      </w:divBdr>
    </w:div>
    <w:div w:id="637879971">
      <w:bodyDiv w:val="1"/>
      <w:marLeft w:val="0"/>
      <w:marRight w:val="0"/>
      <w:marTop w:val="0"/>
      <w:marBottom w:val="0"/>
      <w:divBdr>
        <w:top w:val="none" w:sz="0" w:space="0" w:color="auto"/>
        <w:left w:val="none" w:sz="0" w:space="0" w:color="auto"/>
        <w:bottom w:val="none" w:sz="0" w:space="0" w:color="auto"/>
        <w:right w:val="none" w:sz="0" w:space="0" w:color="auto"/>
      </w:divBdr>
    </w:div>
    <w:div w:id="670059088">
      <w:bodyDiv w:val="1"/>
      <w:marLeft w:val="0"/>
      <w:marRight w:val="0"/>
      <w:marTop w:val="0"/>
      <w:marBottom w:val="0"/>
      <w:divBdr>
        <w:top w:val="none" w:sz="0" w:space="0" w:color="auto"/>
        <w:left w:val="none" w:sz="0" w:space="0" w:color="auto"/>
        <w:bottom w:val="none" w:sz="0" w:space="0" w:color="auto"/>
        <w:right w:val="none" w:sz="0" w:space="0" w:color="auto"/>
      </w:divBdr>
    </w:div>
    <w:div w:id="763651518">
      <w:bodyDiv w:val="1"/>
      <w:marLeft w:val="0"/>
      <w:marRight w:val="0"/>
      <w:marTop w:val="0"/>
      <w:marBottom w:val="0"/>
      <w:divBdr>
        <w:top w:val="none" w:sz="0" w:space="0" w:color="auto"/>
        <w:left w:val="none" w:sz="0" w:space="0" w:color="auto"/>
        <w:bottom w:val="none" w:sz="0" w:space="0" w:color="auto"/>
        <w:right w:val="none" w:sz="0" w:space="0" w:color="auto"/>
      </w:divBdr>
    </w:div>
    <w:div w:id="822357736">
      <w:bodyDiv w:val="1"/>
      <w:marLeft w:val="0"/>
      <w:marRight w:val="0"/>
      <w:marTop w:val="0"/>
      <w:marBottom w:val="0"/>
      <w:divBdr>
        <w:top w:val="none" w:sz="0" w:space="0" w:color="auto"/>
        <w:left w:val="none" w:sz="0" w:space="0" w:color="auto"/>
        <w:bottom w:val="none" w:sz="0" w:space="0" w:color="auto"/>
        <w:right w:val="none" w:sz="0" w:space="0" w:color="auto"/>
      </w:divBdr>
    </w:div>
    <w:div w:id="832070687">
      <w:bodyDiv w:val="1"/>
      <w:marLeft w:val="0"/>
      <w:marRight w:val="0"/>
      <w:marTop w:val="0"/>
      <w:marBottom w:val="0"/>
      <w:divBdr>
        <w:top w:val="none" w:sz="0" w:space="0" w:color="auto"/>
        <w:left w:val="none" w:sz="0" w:space="0" w:color="auto"/>
        <w:bottom w:val="none" w:sz="0" w:space="0" w:color="auto"/>
        <w:right w:val="none" w:sz="0" w:space="0" w:color="auto"/>
      </w:divBdr>
      <w:divsChild>
        <w:div w:id="1202400689">
          <w:marLeft w:val="0"/>
          <w:marRight w:val="0"/>
          <w:marTop w:val="15"/>
          <w:marBottom w:val="0"/>
          <w:divBdr>
            <w:top w:val="single" w:sz="48" w:space="0" w:color="auto"/>
            <w:left w:val="single" w:sz="48" w:space="0" w:color="auto"/>
            <w:bottom w:val="single" w:sz="48" w:space="0" w:color="auto"/>
            <w:right w:val="single" w:sz="48" w:space="0" w:color="auto"/>
          </w:divBdr>
          <w:divsChild>
            <w:div w:id="97382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267453">
      <w:bodyDiv w:val="1"/>
      <w:marLeft w:val="0"/>
      <w:marRight w:val="0"/>
      <w:marTop w:val="0"/>
      <w:marBottom w:val="0"/>
      <w:divBdr>
        <w:top w:val="none" w:sz="0" w:space="0" w:color="auto"/>
        <w:left w:val="none" w:sz="0" w:space="0" w:color="auto"/>
        <w:bottom w:val="none" w:sz="0" w:space="0" w:color="auto"/>
        <w:right w:val="none" w:sz="0" w:space="0" w:color="auto"/>
      </w:divBdr>
    </w:div>
    <w:div w:id="883716851">
      <w:bodyDiv w:val="1"/>
      <w:marLeft w:val="0"/>
      <w:marRight w:val="0"/>
      <w:marTop w:val="0"/>
      <w:marBottom w:val="0"/>
      <w:divBdr>
        <w:top w:val="none" w:sz="0" w:space="0" w:color="auto"/>
        <w:left w:val="none" w:sz="0" w:space="0" w:color="auto"/>
        <w:bottom w:val="none" w:sz="0" w:space="0" w:color="auto"/>
        <w:right w:val="none" w:sz="0" w:space="0" w:color="auto"/>
      </w:divBdr>
    </w:div>
    <w:div w:id="885334169">
      <w:bodyDiv w:val="1"/>
      <w:marLeft w:val="0"/>
      <w:marRight w:val="0"/>
      <w:marTop w:val="0"/>
      <w:marBottom w:val="0"/>
      <w:divBdr>
        <w:top w:val="none" w:sz="0" w:space="0" w:color="auto"/>
        <w:left w:val="none" w:sz="0" w:space="0" w:color="auto"/>
        <w:bottom w:val="none" w:sz="0" w:space="0" w:color="auto"/>
        <w:right w:val="none" w:sz="0" w:space="0" w:color="auto"/>
      </w:divBdr>
    </w:div>
    <w:div w:id="893126066">
      <w:bodyDiv w:val="1"/>
      <w:marLeft w:val="0"/>
      <w:marRight w:val="0"/>
      <w:marTop w:val="0"/>
      <w:marBottom w:val="0"/>
      <w:divBdr>
        <w:top w:val="none" w:sz="0" w:space="0" w:color="auto"/>
        <w:left w:val="none" w:sz="0" w:space="0" w:color="auto"/>
        <w:bottom w:val="none" w:sz="0" w:space="0" w:color="auto"/>
        <w:right w:val="none" w:sz="0" w:space="0" w:color="auto"/>
      </w:divBdr>
      <w:divsChild>
        <w:div w:id="214776832">
          <w:marLeft w:val="0"/>
          <w:marRight w:val="0"/>
          <w:marTop w:val="0"/>
          <w:marBottom w:val="0"/>
          <w:divBdr>
            <w:top w:val="none" w:sz="0" w:space="0" w:color="auto"/>
            <w:left w:val="none" w:sz="0" w:space="0" w:color="auto"/>
            <w:bottom w:val="none" w:sz="0" w:space="0" w:color="auto"/>
            <w:right w:val="none" w:sz="0" w:space="0" w:color="auto"/>
          </w:divBdr>
          <w:divsChild>
            <w:div w:id="1630434633">
              <w:marLeft w:val="0"/>
              <w:marRight w:val="0"/>
              <w:marTop w:val="0"/>
              <w:marBottom w:val="0"/>
              <w:divBdr>
                <w:top w:val="none" w:sz="0" w:space="0" w:color="auto"/>
                <w:left w:val="none" w:sz="0" w:space="0" w:color="auto"/>
                <w:bottom w:val="single" w:sz="6" w:space="0" w:color="DCDFE4"/>
                <w:right w:val="none" w:sz="0" w:space="0" w:color="auto"/>
              </w:divBdr>
              <w:divsChild>
                <w:div w:id="1121270160">
                  <w:marLeft w:val="0"/>
                  <w:marRight w:val="0"/>
                  <w:marTop w:val="0"/>
                  <w:marBottom w:val="0"/>
                  <w:divBdr>
                    <w:top w:val="none" w:sz="0" w:space="0" w:color="auto"/>
                    <w:left w:val="none" w:sz="0" w:space="0" w:color="auto"/>
                    <w:bottom w:val="none" w:sz="0" w:space="0" w:color="auto"/>
                    <w:right w:val="none" w:sz="0" w:space="0" w:color="auto"/>
                  </w:divBdr>
                  <w:divsChild>
                    <w:div w:id="154779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91541">
          <w:marLeft w:val="0"/>
          <w:marRight w:val="0"/>
          <w:marTop w:val="0"/>
          <w:marBottom w:val="0"/>
          <w:divBdr>
            <w:top w:val="none" w:sz="0" w:space="0" w:color="auto"/>
            <w:left w:val="none" w:sz="0" w:space="0" w:color="auto"/>
            <w:bottom w:val="none" w:sz="0" w:space="0" w:color="auto"/>
            <w:right w:val="none" w:sz="0" w:space="0" w:color="auto"/>
          </w:divBdr>
          <w:divsChild>
            <w:div w:id="186924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79962">
      <w:bodyDiv w:val="1"/>
      <w:marLeft w:val="0"/>
      <w:marRight w:val="0"/>
      <w:marTop w:val="0"/>
      <w:marBottom w:val="0"/>
      <w:divBdr>
        <w:top w:val="none" w:sz="0" w:space="0" w:color="auto"/>
        <w:left w:val="none" w:sz="0" w:space="0" w:color="auto"/>
        <w:bottom w:val="none" w:sz="0" w:space="0" w:color="auto"/>
        <w:right w:val="none" w:sz="0" w:space="0" w:color="auto"/>
      </w:divBdr>
    </w:div>
    <w:div w:id="962879702">
      <w:bodyDiv w:val="1"/>
      <w:marLeft w:val="0"/>
      <w:marRight w:val="0"/>
      <w:marTop w:val="0"/>
      <w:marBottom w:val="0"/>
      <w:divBdr>
        <w:top w:val="none" w:sz="0" w:space="0" w:color="auto"/>
        <w:left w:val="none" w:sz="0" w:space="0" w:color="auto"/>
        <w:bottom w:val="none" w:sz="0" w:space="0" w:color="auto"/>
        <w:right w:val="none" w:sz="0" w:space="0" w:color="auto"/>
      </w:divBdr>
      <w:divsChild>
        <w:div w:id="557933237">
          <w:marLeft w:val="0"/>
          <w:marRight w:val="0"/>
          <w:marTop w:val="0"/>
          <w:marBottom w:val="0"/>
          <w:divBdr>
            <w:top w:val="none" w:sz="0" w:space="0" w:color="auto"/>
            <w:left w:val="none" w:sz="0" w:space="0" w:color="auto"/>
            <w:bottom w:val="none" w:sz="0" w:space="0" w:color="auto"/>
            <w:right w:val="none" w:sz="0" w:space="0" w:color="auto"/>
          </w:divBdr>
          <w:divsChild>
            <w:div w:id="47153095">
              <w:marLeft w:val="0"/>
              <w:marRight w:val="0"/>
              <w:marTop w:val="0"/>
              <w:marBottom w:val="0"/>
              <w:divBdr>
                <w:top w:val="none" w:sz="0" w:space="0" w:color="auto"/>
                <w:left w:val="none" w:sz="0" w:space="0" w:color="auto"/>
                <w:bottom w:val="single" w:sz="6" w:space="0" w:color="DCDFE4"/>
                <w:right w:val="none" w:sz="0" w:space="0" w:color="auto"/>
              </w:divBdr>
              <w:divsChild>
                <w:div w:id="900677680">
                  <w:marLeft w:val="0"/>
                  <w:marRight w:val="0"/>
                  <w:marTop w:val="0"/>
                  <w:marBottom w:val="0"/>
                  <w:divBdr>
                    <w:top w:val="none" w:sz="0" w:space="0" w:color="auto"/>
                    <w:left w:val="none" w:sz="0" w:space="0" w:color="auto"/>
                    <w:bottom w:val="none" w:sz="0" w:space="0" w:color="auto"/>
                    <w:right w:val="none" w:sz="0" w:space="0" w:color="auto"/>
                  </w:divBdr>
                  <w:divsChild>
                    <w:div w:id="16020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02344">
          <w:marLeft w:val="0"/>
          <w:marRight w:val="0"/>
          <w:marTop w:val="0"/>
          <w:marBottom w:val="0"/>
          <w:divBdr>
            <w:top w:val="none" w:sz="0" w:space="0" w:color="auto"/>
            <w:left w:val="none" w:sz="0" w:space="0" w:color="auto"/>
            <w:bottom w:val="none" w:sz="0" w:space="0" w:color="auto"/>
            <w:right w:val="none" w:sz="0" w:space="0" w:color="auto"/>
          </w:divBdr>
          <w:divsChild>
            <w:div w:id="17652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660">
      <w:bodyDiv w:val="1"/>
      <w:marLeft w:val="0"/>
      <w:marRight w:val="0"/>
      <w:marTop w:val="0"/>
      <w:marBottom w:val="0"/>
      <w:divBdr>
        <w:top w:val="none" w:sz="0" w:space="0" w:color="auto"/>
        <w:left w:val="none" w:sz="0" w:space="0" w:color="auto"/>
        <w:bottom w:val="none" w:sz="0" w:space="0" w:color="auto"/>
        <w:right w:val="none" w:sz="0" w:space="0" w:color="auto"/>
      </w:divBdr>
    </w:div>
    <w:div w:id="1081215136">
      <w:bodyDiv w:val="1"/>
      <w:marLeft w:val="0"/>
      <w:marRight w:val="0"/>
      <w:marTop w:val="0"/>
      <w:marBottom w:val="0"/>
      <w:divBdr>
        <w:top w:val="none" w:sz="0" w:space="0" w:color="auto"/>
        <w:left w:val="none" w:sz="0" w:space="0" w:color="auto"/>
        <w:bottom w:val="none" w:sz="0" w:space="0" w:color="auto"/>
        <w:right w:val="none" w:sz="0" w:space="0" w:color="auto"/>
      </w:divBdr>
    </w:div>
    <w:div w:id="1178156366">
      <w:bodyDiv w:val="1"/>
      <w:marLeft w:val="0"/>
      <w:marRight w:val="0"/>
      <w:marTop w:val="0"/>
      <w:marBottom w:val="0"/>
      <w:divBdr>
        <w:top w:val="none" w:sz="0" w:space="0" w:color="auto"/>
        <w:left w:val="none" w:sz="0" w:space="0" w:color="auto"/>
        <w:bottom w:val="none" w:sz="0" w:space="0" w:color="auto"/>
        <w:right w:val="none" w:sz="0" w:space="0" w:color="auto"/>
      </w:divBdr>
    </w:div>
    <w:div w:id="1250886863">
      <w:bodyDiv w:val="1"/>
      <w:marLeft w:val="0"/>
      <w:marRight w:val="0"/>
      <w:marTop w:val="0"/>
      <w:marBottom w:val="0"/>
      <w:divBdr>
        <w:top w:val="none" w:sz="0" w:space="0" w:color="auto"/>
        <w:left w:val="none" w:sz="0" w:space="0" w:color="auto"/>
        <w:bottom w:val="none" w:sz="0" w:space="0" w:color="auto"/>
        <w:right w:val="none" w:sz="0" w:space="0" w:color="auto"/>
      </w:divBdr>
    </w:div>
    <w:div w:id="1256859752">
      <w:bodyDiv w:val="1"/>
      <w:marLeft w:val="0"/>
      <w:marRight w:val="0"/>
      <w:marTop w:val="0"/>
      <w:marBottom w:val="0"/>
      <w:divBdr>
        <w:top w:val="none" w:sz="0" w:space="0" w:color="auto"/>
        <w:left w:val="none" w:sz="0" w:space="0" w:color="auto"/>
        <w:bottom w:val="none" w:sz="0" w:space="0" w:color="auto"/>
        <w:right w:val="none" w:sz="0" w:space="0" w:color="auto"/>
      </w:divBdr>
    </w:div>
    <w:div w:id="1369527877">
      <w:bodyDiv w:val="1"/>
      <w:marLeft w:val="0"/>
      <w:marRight w:val="0"/>
      <w:marTop w:val="0"/>
      <w:marBottom w:val="0"/>
      <w:divBdr>
        <w:top w:val="none" w:sz="0" w:space="0" w:color="auto"/>
        <w:left w:val="none" w:sz="0" w:space="0" w:color="auto"/>
        <w:bottom w:val="none" w:sz="0" w:space="0" w:color="auto"/>
        <w:right w:val="none" w:sz="0" w:space="0" w:color="auto"/>
      </w:divBdr>
    </w:div>
    <w:div w:id="1499881996">
      <w:bodyDiv w:val="1"/>
      <w:marLeft w:val="0"/>
      <w:marRight w:val="0"/>
      <w:marTop w:val="0"/>
      <w:marBottom w:val="0"/>
      <w:divBdr>
        <w:top w:val="none" w:sz="0" w:space="0" w:color="auto"/>
        <w:left w:val="none" w:sz="0" w:space="0" w:color="auto"/>
        <w:bottom w:val="none" w:sz="0" w:space="0" w:color="auto"/>
        <w:right w:val="none" w:sz="0" w:space="0" w:color="auto"/>
      </w:divBdr>
    </w:div>
    <w:div w:id="1577666470">
      <w:bodyDiv w:val="1"/>
      <w:marLeft w:val="0"/>
      <w:marRight w:val="0"/>
      <w:marTop w:val="0"/>
      <w:marBottom w:val="0"/>
      <w:divBdr>
        <w:top w:val="none" w:sz="0" w:space="0" w:color="auto"/>
        <w:left w:val="none" w:sz="0" w:space="0" w:color="auto"/>
        <w:bottom w:val="none" w:sz="0" w:space="0" w:color="auto"/>
        <w:right w:val="none" w:sz="0" w:space="0" w:color="auto"/>
      </w:divBdr>
    </w:div>
    <w:div w:id="1611817495">
      <w:bodyDiv w:val="1"/>
      <w:marLeft w:val="0"/>
      <w:marRight w:val="0"/>
      <w:marTop w:val="0"/>
      <w:marBottom w:val="0"/>
      <w:divBdr>
        <w:top w:val="none" w:sz="0" w:space="0" w:color="auto"/>
        <w:left w:val="none" w:sz="0" w:space="0" w:color="auto"/>
        <w:bottom w:val="none" w:sz="0" w:space="0" w:color="auto"/>
        <w:right w:val="none" w:sz="0" w:space="0" w:color="auto"/>
      </w:divBdr>
    </w:div>
    <w:div w:id="1618753926">
      <w:bodyDiv w:val="1"/>
      <w:marLeft w:val="0"/>
      <w:marRight w:val="0"/>
      <w:marTop w:val="0"/>
      <w:marBottom w:val="0"/>
      <w:divBdr>
        <w:top w:val="none" w:sz="0" w:space="0" w:color="auto"/>
        <w:left w:val="none" w:sz="0" w:space="0" w:color="auto"/>
        <w:bottom w:val="none" w:sz="0" w:space="0" w:color="auto"/>
        <w:right w:val="none" w:sz="0" w:space="0" w:color="auto"/>
      </w:divBdr>
    </w:div>
    <w:div w:id="1623070742">
      <w:bodyDiv w:val="1"/>
      <w:marLeft w:val="0"/>
      <w:marRight w:val="0"/>
      <w:marTop w:val="0"/>
      <w:marBottom w:val="0"/>
      <w:divBdr>
        <w:top w:val="none" w:sz="0" w:space="0" w:color="auto"/>
        <w:left w:val="none" w:sz="0" w:space="0" w:color="auto"/>
        <w:bottom w:val="none" w:sz="0" w:space="0" w:color="auto"/>
        <w:right w:val="none" w:sz="0" w:space="0" w:color="auto"/>
      </w:divBdr>
    </w:div>
    <w:div w:id="1628900135">
      <w:bodyDiv w:val="1"/>
      <w:marLeft w:val="0"/>
      <w:marRight w:val="0"/>
      <w:marTop w:val="0"/>
      <w:marBottom w:val="0"/>
      <w:divBdr>
        <w:top w:val="none" w:sz="0" w:space="0" w:color="auto"/>
        <w:left w:val="none" w:sz="0" w:space="0" w:color="auto"/>
        <w:bottom w:val="none" w:sz="0" w:space="0" w:color="auto"/>
        <w:right w:val="none" w:sz="0" w:space="0" w:color="auto"/>
      </w:divBdr>
    </w:div>
    <w:div w:id="1662732727">
      <w:bodyDiv w:val="1"/>
      <w:marLeft w:val="0"/>
      <w:marRight w:val="0"/>
      <w:marTop w:val="0"/>
      <w:marBottom w:val="0"/>
      <w:divBdr>
        <w:top w:val="none" w:sz="0" w:space="0" w:color="auto"/>
        <w:left w:val="none" w:sz="0" w:space="0" w:color="auto"/>
        <w:bottom w:val="none" w:sz="0" w:space="0" w:color="auto"/>
        <w:right w:val="none" w:sz="0" w:space="0" w:color="auto"/>
      </w:divBdr>
    </w:div>
    <w:div w:id="1665813763">
      <w:bodyDiv w:val="1"/>
      <w:marLeft w:val="0"/>
      <w:marRight w:val="0"/>
      <w:marTop w:val="0"/>
      <w:marBottom w:val="0"/>
      <w:divBdr>
        <w:top w:val="none" w:sz="0" w:space="0" w:color="auto"/>
        <w:left w:val="none" w:sz="0" w:space="0" w:color="auto"/>
        <w:bottom w:val="none" w:sz="0" w:space="0" w:color="auto"/>
        <w:right w:val="none" w:sz="0" w:space="0" w:color="auto"/>
      </w:divBdr>
    </w:div>
    <w:div w:id="1685324520">
      <w:bodyDiv w:val="1"/>
      <w:marLeft w:val="0"/>
      <w:marRight w:val="0"/>
      <w:marTop w:val="0"/>
      <w:marBottom w:val="0"/>
      <w:divBdr>
        <w:top w:val="none" w:sz="0" w:space="0" w:color="auto"/>
        <w:left w:val="none" w:sz="0" w:space="0" w:color="auto"/>
        <w:bottom w:val="none" w:sz="0" w:space="0" w:color="auto"/>
        <w:right w:val="none" w:sz="0" w:space="0" w:color="auto"/>
      </w:divBdr>
    </w:div>
    <w:div w:id="1725130472">
      <w:bodyDiv w:val="1"/>
      <w:marLeft w:val="0"/>
      <w:marRight w:val="0"/>
      <w:marTop w:val="0"/>
      <w:marBottom w:val="0"/>
      <w:divBdr>
        <w:top w:val="none" w:sz="0" w:space="0" w:color="auto"/>
        <w:left w:val="none" w:sz="0" w:space="0" w:color="auto"/>
        <w:bottom w:val="none" w:sz="0" w:space="0" w:color="auto"/>
        <w:right w:val="none" w:sz="0" w:space="0" w:color="auto"/>
      </w:divBdr>
    </w:div>
    <w:div w:id="1759717926">
      <w:bodyDiv w:val="1"/>
      <w:marLeft w:val="0"/>
      <w:marRight w:val="0"/>
      <w:marTop w:val="0"/>
      <w:marBottom w:val="0"/>
      <w:divBdr>
        <w:top w:val="none" w:sz="0" w:space="0" w:color="auto"/>
        <w:left w:val="none" w:sz="0" w:space="0" w:color="auto"/>
        <w:bottom w:val="none" w:sz="0" w:space="0" w:color="auto"/>
        <w:right w:val="none" w:sz="0" w:space="0" w:color="auto"/>
      </w:divBdr>
    </w:div>
    <w:div w:id="1767925796">
      <w:bodyDiv w:val="1"/>
      <w:marLeft w:val="0"/>
      <w:marRight w:val="0"/>
      <w:marTop w:val="0"/>
      <w:marBottom w:val="0"/>
      <w:divBdr>
        <w:top w:val="none" w:sz="0" w:space="0" w:color="auto"/>
        <w:left w:val="none" w:sz="0" w:space="0" w:color="auto"/>
        <w:bottom w:val="none" w:sz="0" w:space="0" w:color="auto"/>
        <w:right w:val="none" w:sz="0" w:space="0" w:color="auto"/>
      </w:divBdr>
    </w:div>
    <w:div w:id="1938252044">
      <w:bodyDiv w:val="1"/>
      <w:marLeft w:val="0"/>
      <w:marRight w:val="0"/>
      <w:marTop w:val="0"/>
      <w:marBottom w:val="0"/>
      <w:divBdr>
        <w:top w:val="none" w:sz="0" w:space="0" w:color="auto"/>
        <w:left w:val="none" w:sz="0" w:space="0" w:color="auto"/>
        <w:bottom w:val="none" w:sz="0" w:space="0" w:color="auto"/>
        <w:right w:val="none" w:sz="0" w:space="0" w:color="auto"/>
      </w:divBdr>
    </w:div>
    <w:div w:id="1959943270">
      <w:bodyDiv w:val="1"/>
      <w:marLeft w:val="0"/>
      <w:marRight w:val="0"/>
      <w:marTop w:val="0"/>
      <w:marBottom w:val="0"/>
      <w:divBdr>
        <w:top w:val="none" w:sz="0" w:space="0" w:color="auto"/>
        <w:left w:val="none" w:sz="0" w:space="0" w:color="auto"/>
        <w:bottom w:val="none" w:sz="0" w:space="0" w:color="auto"/>
        <w:right w:val="none" w:sz="0" w:space="0" w:color="auto"/>
      </w:divBdr>
    </w:div>
    <w:div w:id="214692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EW\Desktop\employee%20engene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Sheet22!$T$4</c:f>
              <c:strCache>
                <c:ptCount val="1"/>
                <c:pt idx="0">
                  <c:v>Target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Lit>
              <c:ptCount val="1"/>
              <c:pt idx="0">
                <c:v>Custumer</c:v>
              </c:pt>
            </c:strLit>
          </c:cat>
          <c:val>
            <c:numRef>
              <c:f>Sheet22!$T$5:$T$9</c:f>
              <c:numCache>
                <c:formatCode>General</c:formatCode>
                <c:ptCount val="5"/>
                <c:pt idx="0">
                  <c:v>5</c:v>
                </c:pt>
                <c:pt idx="1">
                  <c:v>5</c:v>
                </c:pt>
                <c:pt idx="2">
                  <c:v>5</c:v>
                </c:pt>
                <c:pt idx="3">
                  <c:v>5</c:v>
                </c:pt>
                <c:pt idx="4">
                  <c:v>5</c:v>
                </c:pt>
              </c:numCache>
            </c:numRef>
          </c:val>
          <c:extLst>
            <c:ext xmlns:c16="http://schemas.microsoft.com/office/drawing/2014/chart" uri="{C3380CC4-5D6E-409C-BE32-E72D297353CC}">
              <c16:uniqueId val="{00000000-2B98-4BAB-93AB-262293134FC7}"/>
            </c:ext>
          </c:extLst>
        </c:ser>
        <c:ser>
          <c:idx val="1"/>
          <c:order val="1"/>
          <c:tx>
            <c:v>Current State</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22222222222222213"/>
                  <c:y val="-3.703703703703703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98-4BAB-93AB-262293134FC7}"/>
                </c:ext>
              </c:extLst>
            </c:dLbl>
            <c:dLbl>
              <c:idx val="1"/>
              <c:layout>
                <c:manualLayout>
                  <c:x val="0.22638888888888897"/>
                  <c:y val="3.4722222222222217E-2"/>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fld id="{ACBDB48F-FB7C-4EF2-8D58-10708F7E9A5A}" type="CATEGORYNAME">
                      <a:rPr lang="en-US"/>
                      <a:pPr>
                        <a:defRPr/>
                      </a:pPr>
                      <a:t>[CATEGORY NAME]</a:t>
                    </a:fld>
                    <a:r>
                      <a:rPr lang="en-US"/>
                      <a:t>Strategy</a:t>
                    </a:r>
                    <a:r>
                      <a:rPr lang="en-US" baseline="0"/>
                      <a:t>; </a:t>
                    </a:r>
                    <a:fld id="{3D5A9476-1990-4F81-837A-B251983B02E1}" type="VALUE">
                      <a:rPr lang="en-US" baseline="0"/>
                      <a:pPr>
                        <a:defRPr/>
                      </a:pPr>
                      <a:t>[VALUE]</a:t>
                    </a:fld>
                    <a:endParaRPr lang="en-US" baseline="0"/>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846741032370952"/>
                      <c:h val="0.1255628463108778"/>
                    </c:manualLayout>
                  </c15:layout>
                  <c15:dlblFieldTable/>
                  <c15:showDataLabelsRange val="0"/>
                </c:ext>
                <c:ext xmlns:c16="http://schemas.microsoft.com/office/drawing/2014/chart" uri="{C3380CC4-5D6E-409C-BE32-E72D297353CC}">
                  <c16:uniqueId val="{00000002-2B98-4BAB-93AB-262293134FC7}"/>
                </c:ext>
              </c:extLst>
            </c:dLbl>
            <c:dLbl>
              <c:idx val="2"/>
              <c:layout>
                <c:manualLayout>
                  <c:x val="0.16944444444444443"/>
                  <c:y val="1.6203703703703699E-2"/>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fld id="{FB32FA7D-BA66-49E5-AE07-7D61C878D7BA}" type="CATEGORYNAME">
                      <a:rPr lang="en-US"/>
                      <a:pPr>
                        <a:defRPr/>
                      </a:pPr>
                      <a:t>[CATEGORY NAME]</a:t>
                    </a:fld>
                    <a:r>
                      <a:rPr lang="en-US"/>
                      <a:t>Technology</a:t>
                    </a:r>
                    <a:r>
                      <a:rPr lang="en-US" baseline="0"/>
                      <a:t>; </a:t>
                    </a:r>
                    <a:fld id="{648CFCDA-17C0-486F-834F-043FE64B8DDA}" type="VALUE">
                      <a:rPr lang="en-US" baseline="0"/>
                      <a:pPr>
                        <a:defRPr/>
                      </a:pPr>
                      <a:t>[VALUE]</a:t>
                    </a:fld>
                    <a:fld id="{6A9C4615-6213-4CA3-8678-43450FEF56D0}" type="CATEGORYNAME">
                      <a:rPr lang="en-US" baseline="0"/>
                      <a:pPr>
                        <a:defRPr/>
                      </a:pPr>
                      <a:t>[CATEGORY NAME]</a:t>
                    </a:fld>
                    <a:endParaRPr lang="en-US" baseline="0"/>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625787401574803"/>
                      <c:h val="9.7785068533100025E-2"/>
                    </c:manualLayout>
                  </c15:layout>
                  <c15:dlblFieldTable/>
                  <c15:showDataLabelsRange val="0"/>
                </c:ext>
                <c:ext xmlns:c16="http://schemas.microsoft.com/office/drawing/2014/chart" uri="{C3380CC4-5D6E-409C-BE32-E72D297353CC}">
                  <c16:uniqueId val="{00000003-2B98-4BAB-93AB-262293134FC7}"/>
                </c:ext>
              </c:extLst>
            </c:dLbl>
            <c:dLbl>
              <c:idx val="3"/>
              <c:layout>
                <c:manualLayout>
                  <c:x val="-0.16388888888888895"/>
                  <c:y val="2.7777777777777776E-2"/>
                </c:manualLayout>
              </c:layout>
              <c:tx>
                <c:rich>
                  <a:bodyPr/>
                  <a:lstStyle/>
                  <a:p>
                    <a:fld id="{52E5524A-CDB3-41AE-B637-5DB84A1DBAF1}" type="CATEGORYNAME">
                      <a:rPr lang="en-US"/>
                      <a:pPr/>
                      <a:t>[CATEGORY NAME]</a:t>
                    </a:fld>
                    <a:r>
                      <a:rPr lang="en-US"/>
                      <a:t>Organization</a:t>
                    </a:r>
                    <a:r>
                      <a:rPr lang="en-US" baseline="0"/>
                      <a:t>; </a:t>
                    </a:r>
                    <a:fld id="{9771F1AC-774E-4868-AC54-2BEEBB49E2B2}"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B98-4BAB-93AB-262293134FC7}"/>
                </c:ext>
              </c:extLst>
            </c:dLbl>
            <c:dLbl>
              <c:idx val="4"/>
              <c:layout>
                <c:manualLayout>
                  <c:x val="-0.13333333333333336"/>
                  <c:y val="-5.3240740740740748E-2"/>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fld id="{B96DB581-7C59-44F0-A282-9C467F1D73CD}" type="CATEGORYNAME">
                      <a:rPr lang="en-US"/>
                      <a:pPr>
                        <a:defRPr/>
                      </a:pPr>
                      <a:t>[CATEGORY NAME]</a:t>
                    </a:fld>
                    <a:r>
                      <a:rPr lang="en-US"/>
                      <a:t>Culture</a:t>
                    </a:r>
                    <a:r>
                      <a:rPr lang="en-US" baseline="0"/>
                      <a:t>; </a:t>
                    </a:r>
                    <a:fld id="{71546CDA-5E9F-4D22-9C49-CA3436343CD1}" type="VALUE">
                      <a:rPr lang="en-US" baseline="0"/>
                      <a:pPr>
                        <a:defRPr/>
                      </a:pPr>
                      <a:t>[VALUE]</a:t>
                    </a:fld>
                    <a:endParaRPr lang="en-US" baseline="0"/>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965573053368328"/>
                      <c:h val="9.7785068533100025E-2"/>
                    </c:manualLayout>
                  </c15:layout>
                  <c15:dlblFieldTable/>
                  <c15:showDataLabelsRange val="0"/>
                </c:ext>
                <c:ext xmlns:c16="http://schemas.microsoft.com/office/drawing/2014/chart" uri="{C3380CC4-5D6E-409C-BE32-E72D297353CC}">
                  <c16:uniqueId val="{00000005-2B98-4BAB-93AB-262293134FC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ln>
                      <a:noFill/>
                    </a:ln>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Lit>
              <c:ptCount val="1"/>
              <c:pt idx="0">
                <c:v>Custumer</c:v>
              </c:pt>
            </c:strLit>
          </c:cat>
          <c:val>
            <c:numRef>
              <c:f>Sheet22!$U$5:$U$9</c:f>
              <c:numCache>
                <c:formatCode>General</c:formatCode>
                <c:ptCount val="5"/>
                <c:pt idx="0">
                  <c:v>2.54</c:v>
                </c:pt>
                <c:pt idx="1">
                  <c:v>2.33</c:v>
                </c:pt>
                <c:pt idx="2">
                  <c:v>2.4900000000000002</c:v>
                </c:pt>
                <c:pt idx="3">
                  <c:v>3.4</c:v>
                </c:pt>
                <c:pt idx="4">
                  <c:v>3.72</c:v>
                </c:pt>
              </c:numCache>
            </c:numRef>
          </c:val>
          <c:extLst>
            <c:ext xmlns:c16="http://schemas.microsoft.com/office/drawing/2014/chart" uri="{C3380CC4-5D6E-409C-BE32-E72D297353CC}">
              <c16:uniqueId val="{00000006-2B98-4BAB-93AB-262293134FC7}"/>
            </c:ext>
          </c:extLst>
        </c:ser>
        <c:dLbls>
          <c:showLegendKey val="0"/>
          <c:showVal val="0"/>
          <c:showCatName val="0"/>
          <c:showSerName val="0"/>
          <c:showPercent val="0"/>
          <c:showBubbleSize val="0"/>
        </c:dLbls>
        <c:axId val="225409584"/>
        <c:axId val="225407920"/>
      </c:radarChart>
      <c:catAx>
        <c:axId val="225409584"/>
        <c:scaling>
          <c:orientation val="minMax"/>
        </c:scaling>
        <c:delete val="1"/>
        <c:axPos val="b"/>
        <c:numFmt formatCode="General" sourceLinked="1"/>
        <c:majorTickMark val="none"/>
        <c:minorTickMark val="none"/>
        <c:tickLblPos val="nextTo"/>
        <c:crossAx val="225407920"/>
        <c:crosses val="autoZero"/>
        <c:auto val="1"/>
        <c:lblAlgn val="ctr"/>
        <c:lblOffset val="100"/>
        <c:noMultiLvlLbl val="0"/>
      </c:catAx>
      <c:valAx>
        <c:axId val="22540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2254095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A75DD-5C08-4249-B0B0-9FED93D07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2930</TotalTime>
  <Pages>13</Pages>
  <Words>15819</Words>
  <Characters>90169</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Editor-90</cp:lastModifiedBy>
  <cp:revision>91</cp:revision>
  <dcterms:created xsi:type="dcterms:W3CDTF">2025-06-10T09:33:00Z</dcterms:created>
  <dcterms:modified xsi:type="dcterms:W3CDTF">2025-10-11T11:09:00Z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eaa50099-71cd-3c2f-8948-f2e127dc4bf6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4th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