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4A07EE" w14:textId="5E027B0F" w:rsidR="0002762F" w:rsidRPr="006D6074" w:rsidRDefault="00CB1C5D" w:rsidP="006D6074">
      <w:pPr>
        <w:jc w:val="center"/>
        <w:rPr>
          <w:rFonts w:ascii="Times New Roman" w:eastAsia="Times New Roman" w:hAnsi="Times New Roman" w:cs="Times New Roman"/>
          <w:b/>
          <w:color w:val="EE0000"/>
        </w:rPr>
      </w:pPr>
      <w:r w:rsidRPr="00CB1C5D">
        <w:rPr>
          <w:rFonts w:ascii="Times New Roman" w:hAnsi="Times New Roman" w:cs="Times New Roman"/>
          <w:b/>
          <w:bCs/>
          <w:color w:val="EE0000"/>
          <w:sz w:val="28"/>
          <w:szCs w:val="28"/>
          <w:lang w:val="en-GB"/>
        </w:rPr>
        <w:t>Poverty Alleviation Strategies in India</w:t>
      </w:r>
      <w:r w:rsidR="00A40DFE">
        <w:rPr>
          <w:rFonts w:ascii="Times New Roman" w:eastAsia="Times New Roman" w:hAnsi="Times New Roman" w:cs="Times New Roman"/>
          <w:b/>
          <w:sz w:val="28"/>
          <w:szCs w:val="28"/>
        </w:rPr>
        <w:t xml:space="preserve">: A Comparative Analysis of </w:t>
      </w:r>
      <w:r w:rsidR="006D6074" w:rsidRPr="006D6074">
        <w:rPr>
          <w:rFonts w:ascii="Times New Roman" w:eastAsia="Times New Roman" w:hAnsi="Times New Roman" w:cs="Times New Roman"/>
          <w:b/>
          <w:color w:val="EE0000"/>
          <w:sz w:val="28"/>
          <w:szCs w:val="28"/>
        </w:rPr>
        <w:t>the Multidimensional Poverty Index (MPI) and Human Development Index (HDI)</w:t>
      </w:r>
    </w:p>
    <w:p w14:paraId="2E1DE065" w14:textId="77777777" w:rsidR="002F765A" w:rsidRDefault="002F765A">
      <w:pPr>
        <w:spacing w:line="276" w:lineRule="auto"/>
        <w:jc w:val="both"/>
        <w:rPr>
          <w:rFonts w:ascii="Times New Roman" w:eastAsia="Times New Roman" w:hAnsi="Times New Roman" w:cs="Times New Roman"/>
          <w:b/>
        </w:rPr>
      </w:pPr>
    </w:p>
    <w:p w14:paraId="2FF265C6" w14:textId="77777777" w:rsidR="0002762F" w:rsidRDefault="00A40DFE">
      <w:pPr>
        <w:spacing w:line="276" w:lineRule="auto"/>
        <w:jc w:val="both"/>
        <w:rPr>
          <w:rFonts w:ascii="Times New Roman" w:eastAsia="Times New Roman" w:hAnsi="Times New Roman" w:cs="Times New Roman"/>
          <w:b/>
        </w:rPr>
      </w:pPr>
      <w:r>
        <w:rPr>
          <w:rFonts w:ascii="Times New Roman" w:eastAsia="Times New Roman" w:hAnsi="Times New Roman" w:cs="Times New Roman"/>
          <w:b/>
        </w:rPr>
        <w:t>Abstract:</w:t>
      </w:r>
    </w:p>
    <w:p w14:paraId="01371C79" w14:textId="2C6A6C63" w:rsidR="0002762F" w:rsidRPr="006D6074" w:rsidRDefault="00A40DFE">
      <w:pPr>
        <w:jc w:val="both"/>
        <w:rPr>
          <w:rFonts w:ascii="Times New Roman" w:eastAsia="Times New Roman" w:hAnsi="Times New Roman" w:cs="Times New Roman"/>
          <w:color w:val="EE0000"/>
        </w:rPr>
      </w:pPr>
      <w:bookmarkStart w:id="0" w:name="bookmark=kix.u1rk7nbruodd" w:colFirst="0" w:colLast="0"/>
      <w:bookmarkEnd w:id="0"/>
      <w:r>
        <w:rPr>
          <w:rFonts w:ascii="Times New Roman" w:eastAsia="Times New Roman" w:hAnsi="Times New Roman" w:cs="Times New Roman"/>
        </w:rPr>
        <w:t xml:space="preserve">This study presents a critical comparative analysis of </w:t>
      </w:r>
      <w:r w:rsidR="00CB1C5D" w:rsidRPr="00CB1C5D">
        <w:rPr>
          <w:rFonts w:ascii="Times New Roman" w:eastAsia="Times New Roman" w:hAnsi="Times New Roman" w:cs="Times New Roman"/>
          <w:color w:val="EE0000"/>
        </w:rPr>
        <w:t>poverty alleviation strategies</w:t>
      </w:r>
      <w:r w:rsidRPr="00CB1C5D">
        <w:rPr>
          <w:rFonts w:ascii="Times New Roman" w:eastAsia="Times New Roman" w:hAnsi="Times New Roman" w:cs="Times New Roman"/>
          <w:color w:val="EE0000"/>
        </w:rPr>
        <w:t xml:space="preserve"> in India </w:t>
      </w:r>
      <w:r>
        <w:rPr>
          <w:rFonts w:ascii="Times New Roman" w:eastAsia="Times New Roman" w:hAnsi="Times New Roman" w:cs="Times New Roman"/>
        </w:rPr>
        <w:t>using the Multidimensional Poverty Index (MPI) and Human Development Index (HDI) from 2015 to 2024.</w:t>
      </w:r>
      <w:r w:rsidR="006D6074" w:rsidRPr="006D6074">
        <w:t xml:space="preserve"> </w:t>
      </w:r>
      <w:r w:rsidR="006D6074" w:rsidRPr="006D6074">
        <w:rPr>
          <w:rFonts w:ascii="Times New Roman" w:eastAsia="Times New Roman" w:hAnsi="Times New Roman" w:cs="Times New Roman"/>
          <w:color w:val="EE0000"/>
        </w:rPr>
        <w:t>The main aim of this study is to evaluate how multidimensional poverty and human development intersect in India, in order to propose evidence-based and inclusive poverty alleviation strategies.</w:t>
      </w:r>
      <w:r>
        <w:rPr>
          <w:rFonts w:ascii="Times New Roman" w:eastAsia="Times New Roman" w:hAnsi="Times New Roman" w:cs="Times New Roman"/>
        </w:rPr>
        <w:t xml:space="preserve"> Utilizing nationally representative datasets, the research applies the Alkire-Foster methodology alongside statistical and spatial techniques to examine temporal shifts, regional disparities, and dimensional contributions to poverty. Findings reveal a significant national decline in MPI from 24.85% to 11.28%, with over 248 million individuals escaping multidimensional poverty. HDI improved modestly from 0.645 to 0.685, with health indicators contributing most prominently to MPI reduction. A moderate negative correlation between MPI and HDI suggests partial complementarity in capturing deprivation. The analysis highlights sharper MPI reductions in rural areas and persistent inter-state inequalities, particularly in education and living standards. By integrating MPI and HDI metrics, the study advances the capability approach and underscores the need for dimension-specific, spatially adaptive policy interventions. The paper concludes with recommendations for converging multidimensional diagnostics in national planning, enhancing equity-oriented governance, and aligning poverty alleviation strategies with Sustainable Development Goals.</w:t>
      </w:r>
      <w:r w:rsidR="006D6074">
        <w:rPr>
          <w:rFonts w:ascii="Times New Roman" w:eastAsia="Times New Roman" w:hAnsi="Times New Roman" w:cs="Times New Roman"/>
        </w:rPr>
        <w:t xml:space="preserve"> </w:t>
      </w:r>
      <w:r w:rsidR="006D6074" w:rsidRPr="006D6074">
        <w:rPr>
          <w:rFonts w:ascii="Times New Roman" w:eastAsia="Times New Roman" w:hAnsi="Times New Roman" w:cs="Times New Roman"/>
          <w:color w:val="EE0000"/>
        </w:rPr>
        <w:t>The study aligns its findings with Sustainable Development Goals (SDG 1: No Poverty, SDG 3: Good Health and Well-being, SDG 4: Quality Education, and SDG 10: Reduced Inequalities).</w:t>
      </w:r>
    </w:p>
    <w:p w14:paraId="3A4C02A2" w14:textId="77777777" w:rsidR="0002762F" w:rsidRDefault="00A40DFE">
      <w:pPr>
        <w:jc w:val="both"/>
        <w:rPr>
          <w:rFonts w:ascii="Times New Roman" w:eastAsia="Times New Roman" w:hAnsi="Times New Roman" w:cs="Times New Roman"/>
          <w:i/>
        </w:rPr>
      </w:pPr>
      <w:r>
        <w:rPr>
          <w:rFonts w:ascii="Times New Roman" w:eastAsia="Times New Roman" w:hAnsi="Times New Roman" w:cs="Times New Roman"/>
          <w:b/>
          <w:i/>
        </w:rPr>
        <w:t>Keywords:</w:t>
      </w:r>
      <w:r>
        <w:rPr>
          <w:rFonts w:ascii="Times New Roman" w:eastAsia="Times New Roman" w:hAnsi="Times New Roman" w:cs="Times New Roman"/>
          <w:i/>
        </w:rPr>
        <w:t xml:space="preserve"> Human Development Index; India; Multidimensional Poverty; MPI; Policy Evaluation; SDGs; Spatial Analysis.</w:t>
      </w:r>
    </w:p>
    <w:p w14:paraId="110DCEEE" w14:textId="77777777" w:rsidR="0002762F" w:rsidRDefault="0002762F">
      <w:pPr>
        <w:jc w:val="both"/>
        <w:rPr>
          <w:rFonts w:ascii="Times New Roman" w:eastAsia="Times New Roman" w:hAnsi="Times New Roman" w:cs="Times New Roman"/>
          <w:b/>
          <w:i/>
          <w:color w:val="EE0000"/>
        </w:rPr>
      </w:pPr>
    </w:p>
    <w:p w14:paraId="59C849BD" w14:textId="77777777" w:rsidR="0002762F" w:rsidRDefault="00A40DFE">
      <w:pPr>
        <w:numPr>
          <w:ilvl w:val="0"/>
          <w:numId w:val="7"/>
        </w:numPr>
        <w:pBdr>
          <w:top w:val="nil"/>
          <w:left w:val="nil"/>
          <w:bottom w:val="nil"/>
          <w:right w:val="nil"/>
          <w:between w:val="nil"/>
        </w:pBdr>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Introduction</w:t>
      </w:r>
    </w:p>
    <w:p w14:paraId="73C1CA39"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This analysis explores the implications of using both the Multidimensional Poverty Index (MPI) and the Human Development Index (HDI) as complementary tools for assessing poverty in India to ensure that policy interventions are effectively targeted and address the root causes of poverty. This approach will provide a nuanced understanding of the complexities of poverty and help inform effective policy strategies in the Indian context. This comparative analysis highlights the importance of integrating MPI and HDI to enhance the efficacy of poverty alleviation strategies in India. Integrating these indices can facilitate a more comprehensive understanding of the socioeconomic factors influencing poverty and development in India, ultimately guiding more effective interventions.</w:t>
      </w:r>
    </w:p>
    <w:p w14:paraId="6C77E27E"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1.1 Rethinking Poverty: Beyond Income Metrics</w:t>
      </w:r>
    </w:p>
    <w:p w14:paraId="4E38EA4B"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lastRenderedPageBreak/>
        <w:t>The conceptualization of poverty has undergone a significant transformation in recent decades, shifting from unidimensional income-based measures to multidimensional frameworks that reflect the complexity of human deprivation. This evolution, grounded in Amartya Sen’s capability approach, recognizes that poverty is not merely a lack of income, but a condition of simultaneous deficits in health, education, and living standards (Sen, 1999). In the Indian context, where socioeconomic disparities are deeply entrenched and intersect with caste, gender, and geography, such a multidimensional lens is essential in designing inclusive and context-sensitive policy interventions.</w:t>
      </w:r>
    </w:p>
    <w:p w14:paraId="78811616"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Recent national estimates have underscored the urgency and relevance of this shift. According to NITI Aayog (2023), India has reduced its national Multidimensional Poverty Index (MPI) headcount ratio from 24.85% in 2015–16 to 11.28% in 2022–23, enabling approximately 248.2 million individuals to escape multidimensional poverty. Although substantial, this progress remains uneven across states and demographic groups. For instance, Kerala recorded an MPI of only 0.71%, while Bihar’s stood at 51.91%, revealing stark regional disparities. Moreover, rural areas, traditionally more impoverished, have shown faster MPI reductions than urban zones—an inversion of conventional development trajectories that demands closer scrutiny.</w:t>
      </w:r>
    </w:p>
    <w:p w14:paraId="0B3937D7"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1.2 MPI and HDI: Complementary Instruments of Poverty Assessment</w:t>
      </w:r>
    </w:p>
    <w:p w14:paraId="2D1FF1AC"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The Multidimensional Poverty Index (MPI), developed by the Oxford Poverty and Human Development Initiative (OPHI) and UNDP, measures acute deprivations across ten indicators grouped into three dimensions: health, education, and living standards. It captures both the incidence (H) and intensity (A) of poverty, offering insights into who is poor and why. In contrast, the Human Development Index (HDI) aggregates average achievements in life expectancy, education, and gross national income per capita, serving as a broader measure of societal progress.</w:t>
      </w:r>
    </w:p>
    <w:p w14:paraId="3D8720A9"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While the HDI is valuable for cross-country comparisons and macro-level planning, it often masks intra-population disparities and fails to identify the most deprived. MPI, in contrast, is sensitive to distribution and is capable of disaggregating analysis by region, caste, gender, and age. Together, these indices offer a dual lens: MPI identifies the poorest and their specific deprivations, whereas HDI contextualizes these findings within broader development trajectories. This complementarity is especially relevant in India, where states like Goa and Sikkim exhibit low MPI and moderate HDI scores, while others, such as Uttar Pradesh and Jharkhand, show high MPI despite moderate HDI improvements.</w:t>
      </w:r>
    </w:p>
    <w:p w14:paraId="03FCD0AF"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1.3 The Indian Imperative for Comparative Analysis</w:t>
      </w:r>
    </w:p>
    <w:p w14:paraId="14DE8286"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 xml:space="preserve">India’s demographic scale, regional heterogeneity, and layered social stratification make it a compelling case for a comparative poverty analysis. The divergence between MPI and HDI rankings across states reveals that average development does not guarantee poverty eradication. For example, Gujarat ranks relatively high in HDI, but continues to show moderate MPI levels, suggesting that development gains may not be equally distributed. </w:t>
      </w:r>
      <w:r>
        <w:rPr>
          <w:rFonts w:ascii="Times New Roman" w:eastAsia="Times New Roman" w:hAnsi="Times New Roman" w:cs="Times New Roman"/>
        </w:rPr>
        <w:lastRenderedPageBreak/>
        <w:t>Conversely, states such as Himachal Pradesh demonstrate strong performance on both indices, indicating the potential of integrated policy frameworks.</w:t>
      </w:r>
    </w:p>
    <w:p w14:paraId="374203F4"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Moreover, the post-pandemic landscape has intensified vulnerability, particularly among urban informal workers, migrant populations, and children. These shifts necessitate a re-evaluation of poverty metrics and a more dynamic understanding of deprivation. The comparative use of MPI and HDI enables policymakers to identify blind spots, prioritize interventions, and align strategies with Sustainable Development Goals (SDG 1: No Poverty, SDG 10: Reduced Inequalities).</w:t>
      </w:r>
    </w:p>
    <w:p w14:paraId="7A9E8719"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1.4 Research Gap and Contribution</w:t>
      </w:r>
    </w:p>
    <w:p w14:paraId="2EB1B3A8"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Despite a growing body of literature on multidimensional poverty in India, several gaps remain. First, there is limited integration of MPI and HDI in the empirical analysis, especially at the sub-national level. Second, the dynamics of urban poverty remain underexplored, particularly in relation to informal settlements and environmental deprivation. Third, few studies have offered causal evaluations of policy interventions using multidimensional metrics. Finally, intersectional analyses examining how caste, gender, and geography interact with shape deprivation are still nascent.</w:t>
      </w:r>
    </w:p>
    <w:p w14:paraId="72460B52"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This study addresses these gaps by offering a longitudinal, comparative analysis of the MPI and HDI across Indian states from 2015 to 2024. This study contributes to the literature by</w:t>
      </w:r>
    </w:p>
    <w:p w14:paraId="6FFE1FC5" w14:textId="77777777" w:rsidR="000A262A" w:rsidRPr="000A262A" w:rsidRDefault="000A262A">
      <w:pPr>
        <w:jc w:val="both"/>
        <w:rPr>
          <w:rFonts w:ascii="Times New Roman" w:eastAsia="Times New Roman" w:hAnsi="Times New Roman" w:cs="Times New Roman"/>
          <w:color w:val="EE0000"/>
        </w:rPr>
      </w:pPr>
      <w:r w:rsidRPr="000A262A">
        <w:rPr>
          <w:rFonts w:ascii="Times New Roman" w:eastAsia="Times New Roman" w:hAnsi="Times New Roman" w:cs="Times New Roman"/>
          <w:color w:val="EE0000"/>
        </w:rPr>
        <w:t>This study addresses existing research gaps by offering a longitudinal and comparative analysis of the MPI and HDI across Indian states from 2015 to 2024. It maps temporal and spatial trends in multidimensional poverty, decomposes dimensional contributions to MPI, evaluates correlations between MPI and HDI, and proposes evidence-based policy recommendations aligned with SDG targets and the National Education Policy 2020. By bridging conceptual rigour with empirical depth, the study enhances both scholarly understanding and policy design in the context of inclusive development.</w:t>
      </w:r>
    </w:p>
    <w:p w14:paraId="0963ADA3" w14:textId="12194F26" w:rsidR="0002762F" w:rsidRDefault="00A40DFE">
      <w:pPr>
        <w:jc w:val="both"/>
        <w:rPr>
          <w:rFonts w:ascii="Times New Roman" w:eastAsia="Times New Roman" w:hAnsi="Times New Roman" w:cs="Times New Roman"/>
        </w:rPr>
      </w:pPr>
      <w:r>
        <w:rPr>
          <w:rFonts w:ascii="Times New Roman" w:eastAsia="Times New Roman" w:hAnsi="Times New Roman" w:cs="Times New Roman"/>
        </w:rPr>
        <w:t>By bridging conceptual rigour with empirical depth, this study aims to inform both academic discourse and policy design, advancing India’s commitment to inclusive and equitable development.</w:t>
      </w:r>
    </w:p>
    <w:p w14:paraId="50090DC5"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b/>
        </w:rPr>
        <w:t>1.5 Research Questions/objectives</w:t>
      </w:r>
    </w:p>
    <w:p w14:paraId="06622A51"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To advance the empirical and conceptual understanding of multidimensional poverty in India, this study was guided by the following research questions:</w:t>
      </w:r>
    </w:p>
    <w:p w14:paraId="7EFE208A" w14:textId="77777777" w:rsidR="0002762F" w:rsidRDefault="00A40DFE">
      <w:pPr>
        <w:numPr>
          <w:ilvl w:val="0"/>
          <w:numId w:val="10"/>
        </w:numPr>
        <w:jc w:val="both"/>
        <w:rPr>
          <w:rFonts w:ascii="Times New Roman" w:eastAsia="Times New Roman" w:hAnsi="Times New Roman" w:cs="Times New Roman"/>
        </w:rPr>
      </w:pPr>
      <w:r>
        <w:rPr>
          <w:rFonts w:ascii="Times New Roman" w:eastAsia="Times New Roman" w:hAnsi="Times New Roman" w:cs="Times New Roman"/>
          <w:b/>
        </w:rPr>
        <w:t>RQ1</w:t>
      </w:r>
      <w:r>
        <w:rPr>
          <w:rFonts w:ascii="Times New Roman" w:eastAsia="Times New Roman" w:hAnsi="Times New Roman" w:cs="Times New Roman"/>
        </w:rPr>
        <w:t>: How have the temporal and spatial trends in MPI and HDI evolved across Indian states and Union Territories between 2015 and 2024?</w:t>
      </w:r>
    </w:p>
    <w:p w14:paraId="76335A65" w14:textId="77777777" w:rsidR="0002762F" w:rsidRDefault="00A40DFE">
      <w:pPr>
        <w:numPr>
          <w:ilvl w:val="0"/>
          <w:numId w:val="10"/>
        </w:numPr>
        <w:jc w:val="both"/>
        <w:rPr>
          <w:rFonts w:ascii="Times New Roman" w:eastAsia="Times New Roman" w:hAnsi="Times New Roman" w:cs="Times New Roman"/>
        </w:rPr>
      </w:pPr>
      <w:r>
        <w:rPr>
          <w:rFonts w:ascii="Times New Roman" w:eastAsia="Times New Roman" w:hAnsi="Times New Roman" w:cs="Times New Roman"/>
          <w:b/>
        </w:rPr>
        <w:t>RQ2</w:t>
      </w:r>
      <w:r>
        <w:rPr>
          <w:rFonts w:ascii="Times New Roman" w:eastAsia="Times New Roman" w:hAnsi="Times New Roman" w:cs="Times New Roman"/>
        </w:rPr>
        <w:t>: What are the relative contributions of health, education, and living standards to MPI outcomes, and how do these vary across regions and demographic groups?</w:t>
      </w:r>
    </w:p>
    <w:p w14:paraId="2B1FD618" w14:textId="77777777" w:rsidR="0002762F" w:rsidRDefault="00A40DFE">
      <w:pPr>
        <w:numPr>
          <w:ilvl w:val="0"/>
          <w:numId w:val="10"/>
        </w:numPr>
        <w:jc w:val="both"/>
        <w:rPr>
          <w:rFonts w:ascii="Times New Roman" w:eastAsia="Times New Roman" w:hAnsi="Times New Roman" w:cs="Times New Roman"/>
        </w:rPr>
      </w:pPr>
      <w:r>
        <w:rPr>
          <w:rFonts w:ascii="Times New Roman" w:eastAsia="Times New Roman" w:hAnsi="Times New Roman" w:cs="Times New Roman"/>
          <w:b/>
        </w:rPr>
        <w:t>RQ3</w:t>
      </w:r>
      <w:r>
        <w:rPr>
          <w:rFonts w:ascii="Times New Roman" w:eastAsia="Times New Roman" w:hAnsi="Times New Roman" w:cs="Times New Roman"/>
        </w:rPr>
        <w:t>: What is the nature and strength of the statistical relationship between MPI and HDI and how do their rankings diverge across states?</w:t>
      </w:r>
    </w:p>
    <w:p w14:paraId="7F6524DE" w14:textId="77777777" w:rsidR="0002762F" w:rsidRDefault="00A40DFE">
      <w:pPr>
        <w:numPr>
          <w:ilvl w:val="0"/>
          <w:numId w:val="10"/>
        </w:numPr>
        <w:jc w:val="both"/>
        <w:rPr>
          <w:rFonts w:ascii="Times New Roman" w:eastAsia="Times New Roman" w:hAnsi="Times New Roman" w:cs="Times New Roman"/>
        </w:rPr>
      </w:pPr>
      <w:r>
        <w:rPr>
          <w:rFonts w:ascii="Times New Roman" w:eastAsia="Times New Roman" w:hAnsi="Times New Roman" w:cs="Times New Roman"/>
          <w:b/>
        </w:rPr>
        <w:lastRenderedPageBreak/>
        <w:t>RQ4</w:t>
      </w:r>
      <w:r>
        <w:rPr>
          <w:rFonts w:ascii="Times New Roman" w:eastAsia="Times New Roman" w:hAnsi="Times New Roman" w:cs="Times New Roman"/>
        </w:rPr>
        <w:t>: How do rural and urban areas differ in terms of MPI and HDI performance and what structural factors explain these disparities?</w:t>
      </w:r>
    </w:p>
    <w:p w14:paraId="664443CB" w14:textId="77777777" w:rsidR="0002762F" w:rsidRDefault="00A40DFE">
      <w:pPr>
        <w:numPr>
          <w:ilvl w:val="0"/>
          <w:numId w:val="10"/>
        </w:numPr>
        <w:jc w:val="both"/>
        <w:rPr>
          <w:rFonts w:ascii="Times New Roman" w:eastAsia="Times New Roman" w:hAnsi="Times New Roman" w:cs="Times New Roman"/>
        </w:rPr>
      </w:pPr>
      <w:r>
        <w:rPr>
          <w:rFonts w:ascii="Times New Roman" w:eastAsia="Times New Roman" w:hAnsi="Times New Roman" w:cs="Times New Roman"/>
          <w:b/>
        </w:rPr>
        <w:t>RQ5</w:t>
      </w:r>
      <w:r>
        <w:rPr>
          <w:rFonts w:ascii="Times New Roman" w:eastAsia="Times New Roman" w:hAnsi="Times New Roman" w:cs="Times New Roman"/>
        </w:rPr>
        <w:t>: What integrated evidence-based strategies can be proposed to reduce multidimensional poverty in alignment with the SDG targets and national development frameworks?</w:t>
      </w:r>
    </w:p>
    <w:p w14:paraId="63E9B95B" w14:textId="77777777" w:rsidR="0002762F" w:rsidRDefault="0002762F">
      <w:pPr>
        <w:jc w:val="both"/>
        <w:rPr>
          <w:rFonts w:ascii="Times New Roman" w:eastAsia="Times New Roman" w:hAnsi="Times New Roman" w:cs="Times New Roman"/>
        </w:rPr>
      </w:pPr>
    </w:p>
    <w:p w14:paraId="1878C681" w14:textId="77777777" w:rsidR="0002762F" w:rsidRDefault="0002762F">
      <w:pPr>
        <w:jc w:val="both"/>
        <w:rPr>
          <w:rFonts w:ascii="Times New Roman" w:eastAsia="Times New Roman" w:hAnsi="Times New Roman" w:cs="Times New Roman"/>
          <w:b/>
        </w:rPr>
      </w:pPr>
    </w:p>
    <w:p w14:paraId="6C6412A9" w14:textId="77777777" w:rsidR="0002762F" w:rsidRDefault="0002762F">
      <w:pPr>
        <w:jc w:val="both"/>
        <w:rPr>
          <w:rFonts w:ascii="Times New Roman" w:eastAsia="Times New Roman" w:hAnsi="Times New Roman" w:cs="Times New Roman"/>
          <w:b/>
        </w:rPr>
      </w:pPr>
    </w:p>
    <w:p w14:paraId="562CC864"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2. Literature Review</w:t>
      </w:r>
    </w:p>
    <w:p w14:paraId="0F108CDB"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2.1 Overview of Poverty Studies in India</w:t>
      </w:r>
    </w:p>
    <w:p w14:paraId="08F86FF3"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Poverty research in India has evolved from income-based metrics to multidimensional frameworks that reflect the complexity of deprivation. The adoption of the Alkire-Foster methodology marked a significant shift, enabling the granular analysis of health, education, and living standards. Alkire et al. (2018) demonstrated that the MPI reduction between 2005/06 and 2015/16 was not strongly correlated with GDP growth, challenging conventional assumptions about development.</w:t>
      </w:r>
    </w:p>
    <w:p w14:paraId="3DEB6E35"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 xml:space="preserve">Recent national estimates by NITI Aayog (2021, 2023, 2024) operationalized MPI at the state level, revealing stark disparities. Kerala and Goa reported MPI values below 1%, whereas Bihar and Jharkhand exceeded 40%. Regional studies have deepened this understanding, with </w:t>
      </w:r>
      <w:proofErr w:type="spellStart"/>
      <w:r>
        <w:rPr>
          <w:rFonts w:ascii="Times New Roman" w:eastAsia="Times New Roman" w:hAnsi="Times New Roman" w:cs="Times New Roman"/>
        </w:rPr>
        <w:t>Jagadeshwaran</w:t>
      </w:r>
      <w:proofErr w:type="spellEnd"/>
      <w:r>
        <w:rPr>
          <w:rFonts w:ascii="Times New Roman" w:eastAsia="Times New Roman" w:hAnsi="Times New Roman" w:cs="Times New Roman"/>
        </w:rPr>
        <w:t xml:space="preserve"> et al. (2022) highlighting nutrition and education as dominant contributors in Tamil Nadu, and Mehta (2023) mapping inter-district variation in Haryana.</w:t>
      </w:r>
    </w:p>
    <w:p w14:paraId="0BEFB230"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 xml:space="preserve">Thus, spatial methodologies have gained traction. Vineesh (2024) used GIS-based clustering to identify persistent poverty zones, whereas Vasishtha and Mohanty (2021) applied spatial autocorrelation to link fertility and caste composition with deprivation. </w:t>
      </w:r>
      <w:proofErr w:type="spellStart"/>
      <w:r>
        <w:rPr>
          <w:rFonts w:ascii="Times New Roman" w:eastAsia="Times New Roman" w:hAnsi="Times New Roman" w:cs="Times New Roman"/>
        </w:rPr>
        <w:t>Dehury</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Mohanty</w:t>
      </w:r>
      <w:proofErr w:type="spellEnd"/>
      <w:r>
        <w:rPr>
          <w:rFonts w:ascii="Times New Roman" w:eastAsia="Times New Roman" w:hAnsi="Times New Roman" w:cs="Times New Roman"/>
        </w:rPr>
        <w:t xml:space="preserve"> (2015) emphasized the role of living standards in rural poverty decomposition.</w:t>
      </w:r>
    </w:p>
    <w:p w14:paraId="05938121"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Social group disparities are central. Pradhan et al. (2022) found that Scheduled Tribes and Castes faced higher deprivation across all MPI dimensions. Baiju (2023) links educational deprivation to intergenerational poverty among marginalized communities. Dutta and Das (2024) applied MODA to reveal age-specific child poverty patterns.</w:t>
      </w:r>
    </w:p>
    <w:p w14:paraId="06CD907B"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Urban poverty and the quality of governance are emerging themes. Mondal et al. (2023) identified gendered deprivation in urban slums, whereas Roy (2024) showed that institutional capacity significantly influences MPI outcomes. Environmental linkages are also gaining attention, with Pandey et al. (2022) integrating water poverty into the MPI analysis.</w:t>
      </w:r>
    </w:p>
    <w:p w14:paraId="172C68B9"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2.2 Thematic Synthesis of Key Studies</w:t>
      </w:r>
    </w:p>
    <w:p w14:paraId="087CA8F3" w14:textId="3534B315" w:rsidR="00A27826" w:rsidRDefault="00A27826">
      <w:pPr>
        <w:jc w:val="both"/>
        <w:rPr>
          <w:rFonts w:ascii="Times New Roman" w:eastAsia="Times New Roman" w:hAnsi="Times New Roman" w:cs="Times New Roman"/>
          <w:b/>
        </w:rPr>
      </w:pPr>
      <w:r>
        <w:rPr>
          <w:rFonts w:ascii="Times New Roman" w:eastAsia="Times New Roman" w:hAnsi="Times New Roman" w:cs="Times New Roman"/>
          <w:b/>
        </w:rPr>
        <w:t>Table 1</w:t>
      </w:r>
      <w:r w:rsidR="00D0650C">
        <w:rPr>
          <w:rFonts w:ascii="Times New Roman" w:eastAsia="Times New Roman" w:hAnsi="Times New Roman" w:cs="Times New Roman"/>
          <w:b/>
        </w:rPr>
        <w:t>: Thematic Analysis of Key Research Studies</w:t>
      </w:r>
    </w:p>
    <w:tbl>
      <w:tblPr>
        <w:tblStyle w:val="a"/>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25"/>
        <w:gridCol w:w="696"/>
        <w:gridCol w:w="1880"/>
        <w:gridCol w:w="2413"/>
        <w:gridCol w:w="2102"/>
      </w:tblGrid>
      <w:tr w:rsidR="0002762F" w14:paraId="7301EAC9" w14:textId="77777777" w:rsidTr="000276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1DBA30DD"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rPr>
              <w:t>Author(s)</w:t>
            </w:r>
          </w:p>
        </w:tc>
        <w:tc>
          <w:tcPr>
            <w:tcW w:w="696" w:type="dxa"/>
          </w:tcPr>
          <w:p w14:paraId="0AF155D8" w14:textId="77777777" w:rsidR="0002762F" w:rsidRDefault="00A40DFE">
            <w:pPr>
              <w:spacing w:line="278"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Yea</w:t>
            </w:r>
            <w:r>
              <w:rPr>
                <w:rFonts w:ascii="Times New Roman" w:eastAsia="Times New Roman" w:hAnsi="Times New Roman" w:cs="Times New Roman"/>
              </w:rPr>
              <w:lastRenderedPageBreak/>
              <w:t>r</w:t>
            </w:r>
          </w:p>
        </w:tc>
        <w:tc>
          <w:tcPr>
            <w:tcW w:w="1880" w:type="dxa"/>
          </w:tcPr>
          <w:p w14:paraId="677704DA" w14:textId="77777777" w:rsidR="0002762F" w:rsidRDefault="00A40DFE">
            <w:pPr>
              <w:spacing w:line="278"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lastRenderedPageBreak/>
              <w:t>Focus Area</w:t>
            </w:r>
          </w:p>
        </w:tc>
        <w:tc>
          <w:tcPr>
            <w:tcW w:w="2413" w:type="dxa"/>
          </w:tcPr>
          <w:p w14:paraId="5C0200AD" w14:textId="77777777" w:rsidR="0002762F" w:rsidRDefault="00A40DFE">
            <w:pPr>
              <w:spacing w:line="278"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Key Findings</w:t>
            </w:r>
          </w:p>
        </w:tc>
        <w:tc>
          <w:tcPr>
            <w:tcW w:w="2102" w:type="dxa"/>
          </w:tcPr>
          <w:p w14:paraId="53E0D2C0" w14:textId="77777777" w:rsidR="0002762F" w:rsidRDefault="00A40DFE">
            <w:pPr>
              <w:spacing w:line="278"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Identified Gap</w:t>
            </w:r>
          </w:p>
        </w:tc>
      </w:tr>
      <w:tr w:rsidR="0002762F" w14:paraId="62CE3933" w14:textId="77777777" w:rsidTr="0002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2B991576"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rPr>
              <w:lastRenderedPageBreak/>
              <w:t>Alkire et al.</w:t>
            </w:r>
          </w:p>
        </w:tc>
        <w:tc>
          <w:tcPr>
            <w:tcW w:w="696" w:type="dxa"/>
          </w:tcPr>
          <w:p w14:paraId="2AD90DD6" w14:textId="77777777" w:rsidR="0002762F" w:rsidRDefault="00A40DFE">
            <w:pPr>
              <w:spacing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2018</w:t>
            </w:r>
          </w:p>
        </w:tc>
        <w:tc>
          <w:tcPr>
            <w:tcW w:w="1880" w:type="dxa"/>
          </w:tcPr>
          <w:p w14:paraId="63F48688" w14:textId="77777777" w:rsidR="0002762F" w:rsidRDefault="00A40DFE">
            <w:pPr>
              <w:spacing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National MPI trends</w:t>
            </w:r>
          </w:p>
        </w:tc>
        <w:tc>
          <w:tcPr>
            <w:tcW w:w="2413" w:type="dxa"/>
          </w:tcPr>
          <w:p w14:paraId="36DA0DA9" w14:textId="77777777" w:rsidR="0002762F" w:rsidRDefault="00A40DFE">
            <w:pPr>
              <w:spacing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MPI reduction not correlated with GDP growth</w:t>
            </w:r>
          </w:p>
        </w:tc>
        <w:tc>
          <w:tcPr>
            <w:tcW w:w="2102" w:type="dxa"/>
          </w:tcPr>
          <w:p w14:paraId="664AE8B4" w14:textId="77777777" w:rsidR="0002762F" w:rsidRDefault="00A40DFE">
            <w:pPr>
              <w:spacing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Need for integrated diagnostics</w:t>
            </w:r>
          </w:p>
        </w:tc>
      </w:tr>
      <w:tr w:rsidR="0002762F" w14:paraId="4226DECA" w14:textId="77777777" w:rsidTr="0002762F">
        <w:tc>
          <w:tcPr>
            <w:cnfStyle w:val="001000000000" w:firstRow="0" w:lastRow="0" w:firstColumn="1" w:lastColumn="0" w:oddVBand="0" w:evenVBand="0" w:oddHBand="0" w:evenHBand="0" w:firstRowFirstColumn="0" w:firstRowLastColumn="0" w:lastRowFirstColumn="0" w:lastRowLastColumn="0"/>
            <w:tcW w:w="1925" w:type="dxa"/>
          </w:tcPr>
          <w:p w14:paraId="1C754461" w14:textId="77777777" w:rsidR="0002762F" w:rsidRDefault="00A40DFE">
            <w:pPr>
              <w:spacing w:line="278" w:lineRule="auto"/>
              <w:jc w:val="both"/>
              <w:rPr>
                <w:rFonts w:ascii="Times New Roman" w:eastAsia="Times New Roman" w:hAnsi="Times New Roman" w:cs="Times New Roman"/>
              </w:rPr>
            </w:pPr>
            <w:proofErr w:type="spellStart"/>
            <w:r>
              <w:rPr>
                <w:rFonts w:ascii="Times New Roman" w:eastAsia="Times New Roman" w:hAnsi="Times New Roman" w:cs="Times New Roman"/>
              </w:rPr>
              <w:t>Jagadeshwaran</w:t>
            </w:r>
            <w:proofErr w:type="spellEnd"/>
            <w:r>
              <w:rPr>
                <w:rFonts w:ascii="Times New Roman" w:eastAsia="Times New Roman" w:hAnsi="Times New Roman" w:cs="Times New Roman"/>
              </w:rPr>
              <w:t xml:space="preserve"> et al.</w:t>
            </w:r>
          </w:p>
        </w:tc>
        <w:tc>
          <w:tcPr>
            <w:tcW w:w="696" w:type="dxa"/>
          </w:tcPr>
          <w:p w14:paraId="59CCF176" w14:textId="77777777" w:rsidR="0002762F" w:rsidRDefault="00A40DFE">
            <w:pPr>
              <w:spacing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2022</w:t>
            </w:r>
          </w:p>
        </w:tc>
        <w:tc>
          <w:tcPr>
            <w:tcW w:w="1880" w:type="dxa"/>
          </w:tcPr>
          <w:p w14:paraId="26582CDC" w14:textId="77777777" w:rsidR="0002762F" w:rsidRDefault="00A40DFE">
            <w:pPr>
              <w:spacing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Tamil Nadu MPI</w:t>
            </w:r>
          </w:p>
        </w:tc>
        <w:tc>
          <w:tcPr>
            <w:tcW w:w="2413" w:type="dxa"/>
          </w:tcPr>
          <w:p w14:paraId="1FBDCA77" w14:textId="77777777" w:rsidR="0002762F" w:rsidRDefault="00A40DFE">
            <w:pPr>
              <w:spacing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Nutrition and education dominate deprivation</w:t>
            </w:r>
          </w:p>
        </w:tc>
        <w:tc>
          <w:tcPr>
            <w:tcW w:w="2102" w:type="dxa"/>
          </w:tcPr>
          <w:p w14:paraId="4F0D0934" w14:textId="77777777" w:rsidR="0002762F" w:rsidRDefault="00A40DFE">
            <w:pPr>
              <w:spacing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Dimensional targeting needed</w:t>
            </w:r>
          </w:p>
        </w:tc>
      </w:tr>
      <w:tr w:rsidR="0002762F" w14:paraId="7FD934F4" w14:textId="77777777" w:rsidTr="0002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83DCF7C"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rPr>
              <w:t>Mehta</w:t>
            </w:r>
          </w:p>
        </w:tc>
        <w:tc>
          <w:tcPr>
            <w:tcW w:w="696" w:type="dxa"/>
          </w:tcPr>
          <w:p w14:paraId="264DBBAA" w14:textId="77777777" w:rsidR="0002762F" w:rsidRDefault="00A40DFE">
            <w:pPr>
              <w:spacing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2023</w:t>
            </w:r>
          </w:p>
        </w:tc>
        <w:tc>
          <w:tcPr>
            <w:tcW w:w="1880" w:type="dxa"/>
          </w:tcPr>
          <w:p w14:paraId="0F2526A7" w14:textId="77777777" w:rsidR="0002762F" w:rsidRDefault="00A40DFE">
            <w:pPr>
              <w:spacing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Haryana district analysis</w:t>
            </w:r>
          </w:p>
        </w:tc>
        <w:tc>
          <w:tcPr>
            <w:tcW w:w="2413" w:type="dxa"/>
          </w:tcPr>
          <w:p w14:paraId="1F48897F" w14:textId="77777777" w:rsidR="0002762F" w:rsidRDefault="00A40DFE">
            <w:pPr>
              <w:spacing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Inter-district variation in MPI</w:t>
            </w:r>
          </w:p>
        </w:tc>
        <w:tc>
          <w:tcPr>
            <w:tcW w:w="2102" w:type="dxa"/>
          </w:tcPr>
          <w:p w14:paraId="3CCF82C9" w14:textId="77777777" w:rsidR="0002762F" w:rsidRDefault="00A40DFE">
            <w:pPr>
              <w:spacing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Sub-state granularity lacking</w:t>
            </w:r>
          </w:p>
        </w:tc>
      </w:tr>
      <w:tr w:rsidR="0002762F" w14:paraId="612E72CB" w14:textId="77777777" w:rsidTr="0002762F">
        <w:tc>
          <w:tcPr>
            <w:cnfStyle w:val="001000000000" w:firstRow="0" w:lastRow="0" w:firstColumn="1" w:lastColumn="0" w:oddVBand="0" w:evenVBand="0" w:oddHBand="0" w:evenHBand="0" w:firstRowFirstColumn="0" w:firstRowLastColumn="0" w:lastRowFirstColumn="0" w:lastRowLastColumn="0"/>
            <w:tcW w:w="1925" w:type="dxa"/>
          </w:tcPr>
          <w:p w14:paraId="4AD16FF9"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rPr>
              <w:t>Vineesh</w:t>
            </w:r>
          </w:p>
        </w:tc>
        <w:tc>
          <w:tcPr>
            <w:tcW w:w="696" w:type="dxa"/>
          </w:tcPr>
          <w:p w14:paraId="5FC17CB2" w14:textId="77777777" w:rsidR="0002762F" w:rsidRDefault="00A40DFE">
            <w:pPr>
              <w:spacing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2024</w:t>
            </w:r>
          </w:p>
        </w:tc>
        <w:tc>
          <w:tcPr>
            <w:tcW w:w="1880" w:type="dxa"/>
          </w:tcPr>
          <w:p w14:paraId="1CD99F51" w14:textId="77777777" w:rsidR="0002762F" w:rsidRDefault="00A40DFE">
            <w:pPr>
              <w:spacing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GIS-based spatial clustering</w:t>
            </w:r>
          </w:p>
        </w:tc>
        <w:tc>
          <w:tcPr>
            <w:tcW w:w="2413" w:type="dxa"/>
          </w:tcPr>
          <w:p w14:paraId="63C1BA6B" w14:textId="77777777" w:rsidR="0002762F" w:rsidRDefault="00A40DFE">
            <w:pPr>
              <w:spacing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Persistent poverty zones identified</w:t>
            </w:r>
          </w:p>
        </w:tc>
        <w:tc>
          <w:tcPr>
            <w:tcW w:w="2102" w:type="dxa"/>
          </w:tcPr>
          <w:p w14:paraId="1A198C77" w14:textId="77777777" w:rsidR="0002762F" w:rsidRDefault="00A40DFE">
            <w:pPr>
              <w:spacing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Spatial targeting underutilized</w:t>
            </w:r>
          </w:p>
        </w:tc>
      </w:tr>
      <w:tr w:rsidR="0002762F" w14:paraId="4C740AF5" w14:textId="77777777" w:rsidTr="0002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DF6AD1D"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rPr>
              <w:t>Vasishtha &amp; Mohanty</w:t>
            </w:r>
          </w:p>
        </w:tc>
        <w:tc>
          <w:tcPr>
            <w:tcW w:w="696" w:type="dxa"/>
          </w:tcPr>
          <w:p w14:paraId="0B5C036F" w14:textId="77777777" w:rsidR="0002762F" w:rsidRDefault="00A40DFE">
            <w:pPr>
              <w:spacing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2021</w:t>
            </w:r>
          </w:p>
        </w:tc>
        <w:tc>
          <w:tcPr>
            <w:tcW w:w="1880" w:type="dxa"/>
          </w:tcPr>
          <w:p w14:paraId="63FC8141" w14:textId="77777777" w:rsidR="0002762F" w:rsidRDefault="00A40DFE">
            <w:pPr>
              <w:spacing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Spatial autocorrelation</w:t>
            </w:r>
          </w:p>
        </w:tc>
        <w:tc>
          <w:tcPr>
            <w:tcW w:w="2413" w:type="dxa"/>
          </w:tcPr>
          <w:p w14:paraId="68F782D6" w14:textId="77777777" w:rsidR="0002762F" w:rsidRDefault="00A40DFE">
            <w:pPr>
              <w:spacing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Fertility and caste linked to MPI</w:t>
            </w:r>
          </w:p>
        </w:tc>
        <w:tc>
          <w:tcPr>
            <w:tcW w:w="2102" w:type="dxa"/>
          </w:tcPr>
          <w:p w14:paraId="7A633EFB" w14:textId="77777777" w:rsidR="0002762F" w:rsidRDefault="00A40DFE">
            <w:pPr>
              <w:spacing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Intersectional analysis needed</w:t>
            </w:r>
          </w:p>
        </w:tc>
      </w:tr>
      <w:tr w:rsidR="0002762F" w14:paraId="52537D77" w14:textId="77777777" w:rsidTr="0002762F">
        <w:tc>
          <w:tcPr>
            <w:cnfStyle w:val="001000000000" w:firstRow="0" w:lastRow="0" w:firstColumn="1" w:lastColumn="0" w:oddVBand="0" w:evenVBand="0" w:oddHBand="0" w:evenHBand="0" w:firstRowFirstColumn="0" w:firstRowLastColumn="0" w:lastRowFirstColumn="0" w:lastRowLastColumn="0"/>
            <w:tcW w:w="1925" w:type="dxa"/>
          </w:tcPr>
          <w:p w14:paraId="1AD548E0"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rPr>
              <w:t>Pradhan et al.</w:t>
            </w:r>
          </w:p>
        </w:tc>
        <w:tc>
          <w:tcPr>
            <w:tcW w:w="696" w:type="dxa"/>
          </w:tcPr>
          <w:p w14:paraId="0359741F" w14:textId="77777777" w:rsidR="0002762F" w:rsidRDefault="00A40DFE">
            <w:pPr>
              <w:spacing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2022</w:t>
            </w:r>
          </w:p>
        </w:tc>
        <w:tc>
          <w:tcPr>
            <w:tcW w:w="1880" w:type="dxa"/>
          </w:tcPr>
          <w:p w14:paraId="19C88C53" w14:textId="77777777" w:rsidR="0002762F" w:rsidRDefault="00A40DFE">
            <w:pPr>
              <w:spacing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Caste-based disparities</w:t>
            </w:r>
          </w:p>
        </w:tc>
        <w:tc>
          <w:tcPr>
            <w:tcW w:w="2413" w:type="dxa"/>
          </w:tcPr>
          <w:p w14:paraId="3DBC156F" w14:textId="77777777" w:rsidR="0002762F" w:rsidRDefault="00A40DFE">
            <w:pPr>
              <w:spacing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ST/SC face higher deprivation across all dimensions</w:t>
            </w:r>
          </w:p>
        </w:tc>
        <w:tc>
          <w:tcPr>
            <w:tcW w:w="2102" w:type="dxa"/>
          </w:tcPr>
          <w:p w14:paraId="738F0F86" w14:textId="77777777" w:rsidR="0002762F" w:rsidRDefault="00A40DFE">
            <w:pPr>
              <w:spacing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Equity-focused policy gaps</w:t>
            </w:r>
          </w:p>
        </w:tc>
      </w:tr>
      <w:tr w:rsidR="0002762F" w14:paraId="7088A375" w14:textId="77777777" w:rsidTr="0002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8012CBF"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rPr>
              <w:t>Baiju</w:t>
            </w:r>
          </w:p>
        </w:tc>
        <w:tc>
          <w:tcPr>
            <w:tcW w:w="696" w:type="dxa"/>
          </w:tcPr>
          <w:p w14:paraId="101E9885" w14:textId="77777777" w:rsidR="0002762F" w:rsidRDefault="00A40DFE">
            <w:pPr>
              <w:spacing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2023</w:t>
            </w:r>
          </w:p>
        </w:tc>
        <w:tc>
          <w:tcPr>
            <w:tcW w:w="1880" w:type="dxa"/>
          </w:tcPr>
          <w:p w14:paraId="00CDE6D5" w14:textId="77777777" w:rsidR="0002762F" w:rsidRDefault="00A40DFE">
            <w:pPr>
              <w:spacing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Educational deprivation</w:t>
            </w:r>
          </w:p>
        </w:tc>
        <w:tc>
          <w:tcPr>
            <w:tcW w:w="2413" w:type="dxa"/>
          </w:tcPr>
          <w:p w14:paraId="761D3BEA" w14:textId="77777777" w:rsidR="0002762F" w:rsidRDefault="00A40DFE">
            <w:pPr>
              <w:spacing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Linked to intergenerational poverty</w:t>
            </w:r>
          </w:p>
        </w:tc>
        <w:tc>
          <w:tcPr>
            <w:tcW w:w="2102" w:type="dxa"/>
          </w:tcPr>
          <w:p w14:paraId="5A90653C" w14:textId="77777777" w:rsidR="0002762F" w:rsidRDefault="00A40DFE">
            <w:pPr>
              <w:spacing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Education–poverty nexus underexplored</w:t>
            </w:r>
          </w:p>
        </w:tc>
      </w:tr>
      <w:tr w:rsidR="0002762F" w14:paraId="17E08776" w14:textId="77777777" w:rsidTr="0002762F">
        <w:tc>
          <w:tcPr>
            <w:cnfStyle w:val="001000000000" w:firstRow="0" w:lastRow="0" w:firstColumn="1" w:lastColumn="0" w:oddVBand="0" w:evenVBand="0" w:oddHBand="0" w:evenHBand="0" w:firstRowFirstColumn="0" w:firstRowLastColumn="0" w:lastRowFirstColumn="0" w:lastRowLastColumn="0"/>
            <w:tcW w:w="1925" w:type="dxa"/>
          </w:tcPr>
          <w:p w14:paraId="44F3B897"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rPr>
              <w:t>Roy</w:t>
            </w:r>
          </w:p>
        </w:tc>
        <w:tc>
          <w:tcPr>
            <w:tcW w:w="696" w:type="dxa"/>
          </w:tcPr>
          <w:p w14:paraId="54FD40B6" w14:textId="77777777" w:rsidR="0002762F" w:rsidRDefault="00A40DFE">
            <w:pPr>
              <w:spacing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2024</w:t>
            </w:r>
          </w:p>
        </w:tc>
        <w:tc>
          <w:tcPr>
            <w:tcW w:w="1880" w:type="dxa"/>
          </w:tcPr>
          <w:p w14:paraId="12A86761" w14:textId="77777777" w:rsidR="0002762F" w:rsidRDefault="00A40DFE">
            <w:pPr>
              <w:spacing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Governance and MPI</w:t>
            </w:r>
          </w:p>
        </w:tc>
        <w:tc>
          <w:tcPr>
            <w:tcW w:w="2413" w:type="dxa"/>
          </w:tcPr>
          <w:p w14:paraId="61929EDF" w14:textId="77777777" w:rsidR="0002762F" w:rsidRDefault="00A40DFE">
            <w:pPr>
              <w:spacing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Better governance linked to lower MPI</w:t>
            </w:r>
          </w:p>
        </w:tc>
        <w:tc>
          <w:tcPr>
            <w:tcW w:w="2102" w:type="dxa"/>
          </w:tcPr>
          <w:p w14:paraId="50E5B869" w14:textId="77777777" w:rsidR="0002762F" w:rsidRDefault="00A40DFE">
            <w:pPr>
              <w:spacing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Institutional factors underexamined</w:t>
            </w:r>
          </w:p>
        </w:tc>
      </w:tr>
      <w:tr w:rsidR="0002762F" w14:paraId="45989A3E" w14:textId="77777777" w:rsidTr="0002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1BB98240"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rPr>
              <w:t>Pandey et al.</w:t>
            </w:r>
          </w:p>
        </w:tc>
        <w:tc>
          <w:tcPr>
            <w:tcW w:w="696" w:type="dxa"/>
          </w:tcPr>
          <w:p w14:paraId="36C6968F" w14:textId="77777777" w:rsidR="0002762F" w:rsidRDefault="00A40DFE">
            <w:pPr>
              <w:spacing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2022</w:t>
            </w:r>
          </w:p>
        </w:tc>
        <w:tc>
          <w:tcPr>
            <w:tcW w:w="1880" w:type="dxa"/>
          </w:tcPr>
          <w:p w14:paraId="7B8AC676" w14:textId="77777777" w:rsidR="0002762F" w:rsidRDefault="00A40DFE">
            <w:pPr>
              <w:spacing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Environmental poverty</w:t>
            </w:r>
          </w:p>
        </w:tc>
        <w:tc>
          <w:tcPr>
            <w:tcW w:w="2413" w:type="dxa"/>
          </w:tcPr>
          <w:p w14:paraId="15EC86E5" w14:textId="77777777" w:rsidR="0002762F" w:rsidRDefault="00A40DFE">
            <w:pPr>
              <w:spacing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Water poverty correlated with MPI</w:t>
            </w:r>
          </w:p>
        </w:tc>
        <w:tc>
          <w:tcPr>
            <w:tcW w:w="2102" w:type="dxa"/>
          </w:tcPr>
          <w:p w14:paraId="2DFFB391" w14:textId="77777777" w:rsidR="0002762F" w:rsidRDefault="00A40DFE">
            <w:pPr>
              <w:spacing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Environmental indicators not integrated</w:t>
            </w:r>
          </w:p>
        </w:tc>
      </w:tr>
      <w:tr w:rsidR="0002762F" w14:paraId="338F1F8D" w14:textId="77777777" w:rsidTr="0002762F">
        <w:tc>
          <w:tcPr>
            <w:cnfStyle w:val="001000000000" w:firstRow="0" w:lastRow="0" w:firstColumn="1" w:lastColumn="0" w:oddVBand="0" w:evenVBand="0" w:oddHBand="0" w:evenHBand="0" w:firstRowFirstColumn="0" w:firstRowLastColumn="0" w:lastRowFirstColumn="0" w:lastRowLastColumn="0"/>
            <w:tcW w:w="1925" w:type="dxa"/>
          </w:tcPr>
          <w:p w14:paraId="0A620AD4"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rPr>
              <w:t>Dutta &amp; Das</w:t>
            </w:r>
          </w:p>
        </w:tc>
        <w:tc>
          <w:tcPr>
            <w:tcW w:w="696" w:type="dxa"/>
          </w:tcPr>
          <w:p w14:paraId="6E46135F" w14:textId="77777777" w:rsidR="0002762F" w:rsidRDefault="00A40DFE">
            <w:pPr>
              <w:spacing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2024</w:t>
            </w:r>
          </w:p>
        </w:tc>
        <w:tc>
          <w:tcPr>
            <w:tcW w:w="1880" w:type="dxa"/>
          </w:tcPr>
          <w:p w14:paraId="116211BC" w14:textId="77777777" w:rsidR="0002762F" w:rsidRDefault="00A40DFE">
            <w:pPr>
              <w:spacing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Child poverty (MODA)</w:t>
            </w:r>
          </w:p>
        </w:tc>
        <w:tc>
          <w:tcPr>
            <w:tcW w:w="2413" w:type="dxa"/>
          </w:tcPr>
          <w:p w14:paraId="7A4F1443" w14:textId="77777777" w:rsidR="0002762F" w:rsidRDefault="00A40DFE">
            <w:pPr>
              <w:spacing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Age-specific deprivation patterns</w:t>
            </w:r>
          </w:p>
        </w:tc>
        <w:tc>
          <w:tcPr>
            <w:tcW w:w="2102" w:type="dxa"/>
          </w:tcPr>
          <w:p w14:paraId="46C94CAB" w14:textId="77777777" w:rsidR="0002762F" w:rsidRDefault="00A40DFE">
            <w:pPr>
              <w:spacing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Child-focused MPI frameworks needed</w:t>
            </w:r>
          </w:p>
        </w:tc>
      </w:tr>
    </w:tbl>
    <w:p w14:paraId="14BA3F7D" w14:textId="77777777" w:rsidR="0002762F" w:rsidRDefault="0002762F">
      <w:pPr>
        <w:jc w:val="both"/>
        <w:rPr>
          <w:rFonts w:ascii="Times New Roman" w:eastAsia="Times New Roman" w:hAnsi="Times New Roman" w:cs="Times New Roman"/>
          <w:b/>
        </w:rPr>
      </w:pPr>
    </w:p>
    <w:p w14:paraId="757C229E" w14:textId="7C23E6F4" w:rsidR="000A262A" w:rsidRPr="000A262A" w:rsidRDefault="000A262A">
      <w:pPr>
        <w:jc w:val="both"/>
        <w:rPr>
          <w:rFonts w:ascii="Times New Roman" w:eastAsia="Times New Roman" w:hAnsi="Times New Roman" w:cs="Times New Roman"/>
          <w:bCs/>
          <w:color w:val="EE0000"/>
        </w:rPr>
      </w:pPr>
      <w:r w:rsidRPr="000A262A">
        <w:rPr>
          <w:rFonts w:ascii="Times New Roman" w:eastAsia="Times New Roman" w:hAnsi="Times New Roman" w:cs="Times New Roman"/>
          <w:bCs/>
          <w:color w:val="EE0000"/>
        </w:rPr>
        <w:t>As observed, prior studies have varied in scale and methodology,</w:t>
      </w:r>
      <w:r>
        <w:rPr>
          <w:rFonts w:ascii="Times New Roman" w:eastAsia="Times New Roman" w:hAnsi="Times New Roman" w:cs="Times New Roman"/>
          <w:bCs/>
          <w:color w:val="EE0000"/>
        </w:rPr>
        <w:t xml:space="preserve"> </w:t>
      </w:r>
      <w:r w:rsidRPr="000A262A">
        <w:rPr>
          <w:rFonts w:ascii="Times New Roman" w:eastAsia="Times New Roman" w:hAnsi="Times New Roman" w:cs="Times New Roman"/>
          <w:bCs/>
          <w:color w:val="EE0000"/>
        </w:rPr>
        <w:t>but consistently emphasize the importance of disaggregated analysis and equity-sensitive indicators. This synthesis underscores the need for integrated and longitudinal frameworks—precisely the gap addressed by the present study through the combined use of MPI and HDI.</w:t>
      </w:r>
    </w:p>
    <w:p w14:paraId="48225B07"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2.3 Comparative Insights: MPI vs HDI</w:t>
      </w:r>
    </w:p>
    <w:p w14:paraId="690AF35B"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 xml:space="preserve">The MPI and HDI offer distinct but complementary perspectives. MPI captures acute deprivation among the poorest, whereas HDI reflects average achievements. Madan (2012) found a negative correlation between the HDI and MPI across states, suggesting that the HDI may obscure intra-state inequalities. </w:t>
      </w:r>
      <w:proofErr w:type="spellStart"/>
      <w:r>
        <w:rPr>
          <w:rFonts w:ascii="Times New Roman" w:eastAsia="Times New Roman" w:hAnsi="Times New Roman" w:cs="Times New Roman"/>
        </w:rPr>
        <w:t>Mohanty</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Dehury</w:t>
      </w:r>
      <w:proofErr w:type="spellEnd"/>
      <w:r>
        <w:rPr>
          <w:rFonts w:ascii="Times New Roman" w:eastAsia="Times New Roman" w:hAnsi="Times New Roman" w:cs="Times New Roman"/>
        </w:rPr>
        <w:t xml:space="preserve"> (2012) noted consistent rankings, but lower HDI values under the revised formulas. Mondal et al. (2024) revealed weak correlations between monetary and multidimensional poverty, reinforcing MPI’s diagnostic value of the MPI. Putri et al. (2024) reviewed global MPI–HDI methodologies and highlighted the challenges in indicator selection and weighting.</w:t>
      </w:r>
    </w:p>
    <w:p w14:paraId="6426E5C3"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lastRenderedPageBreak/>
        <w:t>The empirical divergence is evident. Gujarat ranked high in HDI but moderate in MPI, indicating an uneven distribution of development gains. Himachal Pradesh performed well on both indices, suggesting the potential of integrated policy frameworks.</w:t>
      </w:r>
    </w:p>
    <w:p w14:paraId="434965C5"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2.4 Research Gap and Contribution</w:t>
      </w:r>
    </w:p>
    <w:p w14:paraId="71D22109"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Most studies have treated MPI and HDI separately; this study is among the few to integrate them systematically across spatial, temporal, and dimensional axes. Although MPI offers depth-sensitive diagnostics, HDI provides a macro-level development context. A joint analysis enables precise targeting and monitoring.</w:t>
      </w:r>
    </w:p>
    <w:p w14:paraId="254A5ABF"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This study contributes by:</w:t>
      </w:r>
    </w:p>
    <w:p w14:paraId="30880A42" w14:textId="77777777" w:rsidR="0002762F" w:rsidRDefault="00A40DFE">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Mapping longitudinal trends in MPI and HDI (2015–2024)</w:t>
      </w:r>
    </w:p>
    <w:p w14:paraId="6DFE5AA5" w14:textId="77777777" w:rsidR="0002762F" w:rsidRDefault="00A40DFE">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Decomposing dimensional contributions to MPI</w:t>
      </w:r>
    </w:p>
    <w:p w14:paraId="51E84F85" w14:textId="77777777" w:rsidR="0002762F" w:rsidRDefault="00A40DFE">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Evaluating correlations and divergences between MPI and HDI</w:t>
      </w:r>
    </w:p>
    <w:p w14:paraId="583F8A97" w14:textId="77777777" w:rsidR="0002762F" w:rsidRDefault="00A40DFE">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Proposing evidence-based strategies aligned with SDGs and NEP 2020</w:t>
      </w:r>
    </w:p>
    <w:p w14:paraId="18B4A491" w14:textId="77777777" w:rsidR="0002762F" w:rsidRDefault="00A40DFE">
      <w:pPr>
        <w:tabs>
          <w:tab w:val="left" w:pos="284"/>
        </w:tabs>
        <w:spacing w:before="240" w:line="360" w:lineRule="auto"/>
        <w:jc w:val="both"/>
        <w:rPr>
          <w:rFonts w:ascii="Times New Roman" w:eastAsia="Times New Roman" w:hAnsi="Times New Roman" w:cs="Times New Roman"/>
          <w:b/>
        </w:rPr>
      </w:pPr>
      <w:r>
        <w:rPr>
          <w:rFonts w:ascii="Times New Roman" w:eastAsia="Times New Roman" w:hAnsi="Times New Roman" w:cs="Times New Roman"/>
          <w:b/>
        </w:rPr>
        <w:t>3.  Methodology</w:t>
      </w:r>
    </w:p>
    <w:p w14:paraId="6519FCC1" w14:textId="77777777" w:rsidR="0002762F" w:rsidRDefault="00A40DFE">
      <w:pPr>
        <w:tabs>
          <w:tab w:val="left" w:pos="284"/>
        </w:tabs>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t>3.1 Analytical Framework</w:t>
      </w:r>
    </w:p>
    <w:p w14:paraId="31026D27" w14:textId="77777777" w:rsidR="0002762F" w:rsidRDefault="00A40DFE">
      <w:pPr>
        <w:pBdr>
          <w:top w:val="nil"/>
          <w:left w:val="nil"/>
          <w:bottom w:val="nil"/>
          <w:right w:val="nil"/>
          <w:between w:val="nil"/>
        </w:pBdr>
        <w:tabs>
          <w:tab w:val="left" w:pos="284"/>
        </w:tabs>
        <w:spacing w:line="36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This study adopts a mixed-methods empirical design to examine the convergence and divergence between the Multidimensional Poverty Index (MPI) and the Human Development Index (HDI) across Indian states from 2015 to 2024. This approach integrates spatial diagnostics, dimensional decomposition, and temporal trend analysis to assess developmental disparities and policy responsiveness.</w:t>
      </w:r>
    </w:p>
    <w:p w14:paraId="4522405E" w14:textId="77777777" w:rsidR="0002762F" w:rsidRDefault="00A40DFE">
      <w:pPr>
        <w:tabs>
          <w:tab w:val="left" w:pos="284"/>
        </w:tab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3.2 Data Sources</w:t>
      </w:r>
    </w:p>
    <w:p w14:paraId="4E0C2FC3" w14:textId="77777777" w:rsidR="0002762F" w:rsidRDefault="00A40DFE">
      <w:pPr>
        <w:numPr>
          <w:ilvl w:val="0"/>
          <w:numId w:val="13"/>
        </w:numPr>
        <w:pBdr>
          <w:top w:val="nil"/>
          <w:left w:val="nil"/>
          <w:bottom w:val="nil"/>
          <w:right w:val="nil"/>
          <w:between w:val="nil"/>
        </w:pBdr>
        <w:tabs>
          <w:tab w:val="left" w:pos="284"/>
        </w:tabs>
        <w:spacing w:before="240" w:after="0"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MPI Data</w:t>
      </w:r>
      <w:r>
        <w:rPr>
          <w:rFonts w:ascii="Times New Roman" w:eastAsia="Times New Roman" w:hAnsi="Times New Roman" w:cs="Times New Roman"/>
          <w:color w:val="000000"/>
        </w:rPr>
        <w:t>: Derived from NITI Aayog reports (2021, 2023, 2024) and NFHS rounds (2015–16, 2019–21).</w:t>
      </w:r>
    </w:p>
    <w:p w14:paraId="44912EF8" w14:textId="77777777" w:rsidR="0002762F" w:rsidRDefault="00A40DFE">
      <w:pPr>
        <w:numPr>
          <w:ilvl w:val="0"/>
          <w:numId w:val="13"/>
        </w:numPr>
        <w:pBdr>
          <w:top w:val="nil"/>
          <w:left w:val="nil"/>
          <w:bottom w:val="nil"/>
          <w:right w:val="nil"/>
          <w:between w:val="nil"/>
        </w:pBdr>
        <w:tabs>
          <w:tab w:val="left" w:pos="284"/>
        </w:tabs>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HDI Data</w:t>
      </w:r>
      <w:r>
        <w:rPr>
          <w:rFonts w:ascii="Times New Roman" w:eastAsia="Times New Roman" w:hAnsi="Times New Roman" w:cs="Times New Roman"/>
          <w:color w:val="000000"/>
        </w:rPr>
        <w:t>: Sourced from UNDP India, National Statistical Abstracts, and state-level Human Development Reports</w:t>
      </w:r>
    </w:p>
    <w:p w14:paraId="10C3C5D9" w14:textId="77777777" w:rsidR="0002762F" w:rsidRDefault="00A40DFE">
      <w:pPr>
        <w:numPr>
          <w:ilvl w:val="0"/>
          <w:numId w:val="13"/>
        </w:numPr>
        <w:pBdr>
          <w:top w:val="nil"/>
          <w:left w:val="nil"/>
          <w:bottom w:val="nil"/>
          <w:right w:val="nil"/>
          <w:between w:val="nil"/>
        </w:pBdr>
        <w:tabs>
          <w:tab w:val="left" w:pos="284"/>
        </w:tabs>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Supplementary Indicators</w:t>
      </w:r>
      <w:r>
        <w:rPr>
          <w:rFonts w:ascii="Times New Roman" w:eastAsia="Times New Roman" w:hAnsi="Times New Roman" w:cs="Times New Roman"/>
          <w:color w:val="000000"/>
        </w:rPr>
        <w:t>: Governance metrics, environmental deprivation scores, and MODA-based child poverty estimates</w:t>
      </w:r>
    </w:p>
    <w:p w14:paraId="4189E2EF" w14:textId="77777777" w:rsidR="0002762F" w:rsidRDefault="00A40DFE">
      <w:pPr>
        <w:pBdr>
          <w:top w:val="nil"/>
          <w:left w:val="nil"/>
          <w:bottom w:val="nil"/>
          <w:right w:val="nil"/>
          <w:between w:val="nil"/>
        </w:pBdr>
        <w:tabs>
          <w:tab w:val="left" w:pos="284"/>
        </w:tabs>
        <w:spacing w:line="36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All datasets were harmonized for temporal consistency and normalized for inter-state comparability.</w:t>
      </w:r>
    </w:p>
    <w:p w14:paraId="61D3C124" w14:textId="77777777" w:rsidR="0002762F" w:rsidRDefault="00A40DFE">
      <w:pPr>
        <w:tabs>
          <w:tab w:val="left" w:pos="284"/>
        </w:tabs>
        <w:spacing w:before="240" w:line="240" w:lineRule="auto"/>
        <w:jc w:val="both"/>
        <w:rPr>
          <w:rFonts w:ascii="Times New Roman" w:eastAsia="Times New Roman" w:hAnsi="Times New Roman" w:cs="Times New Roman"/>
          <w:b/>
        </w:rPr>
      </w:pPr>
      <w:r>
        <w:rPr>
          <w:rFonts w:ascii="Times New Roman" w:eastAsia="Times New Roman" w:hAnsi="Times New Roman" w:cs="Times New Roman"/>
          <w:b/>
        </w:rPr>
        <w:t>3.3 Software and Tools</w:t>
      </w:r>
    </w:p>
    <w:p w14:paraId="13A56583" w14:textId="77777777" w:rsidR="0002762F" w:rsidRDefault="00A40DFE">
      <w:pPr>
        <w:numPr>
          <w:ilvl w:val="0"/>
          <w:numId w:val="14"/>
        </w:numPr>
        <w:pBdr>
          <w:top w:val="nil"/>
          <w:left w:val="nil"/>
          <w:bottom w:val="nil"/>
          <w:right w:val="nil"/>
          <w:between w:val="nil"/>
        </w:pBdr>
        <w:tabs>
          <w:tab w:val="left" w:pos="284"/>
        </w:tabs>
        <w:spacing w:before="240" w:after="0"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STATA 17</w:t>
      </w:r>
      <w:r>
        <w:rPr>
          <w:rFonts w:ascii="Times New Roman" w:eastAsia="Times New Roman" w:hAnsi="Times New Roman" w:cs="Times New Roman"/>
          <w:color w:val="000000"/>
        </w:rPr>
        <w:t xml:space="preserve">: Used for regression </w:t>
      </w:r>
      <w:proofErr w:type="spellStart"/>
      <w:r>
        <w:rPr>
          <w:rFonts w:ascii="Times New Roman" w:eastAsia="Times New Roman" w:hAnsi="Times New Roman" w:cs="Times New Roman"/>
          <w:color w:val="000000"/>
        </w:rPr>
        <w:t>modeling</w:t>
      </w:r>
      <w:proofErr w:type="spellEnd"/>
      <w:r>
        <w:rPr>
          <w:rFonts w:ascii="Times New Roman" w:eastAsia="Times New Roman" w:hAnsi="Times New Roman" w:cs="Times New Roman"/>
          <w:color w:val="000000"/>
        </w:rPr>
        <w:t>, bootstrapped standard errors, and dimensional decomposition</w:t>
      </w:r>
    </w:p>
    <w:p w14:paraId="4B34077D" w14:textId="77777777" w:rsidR="0002762F" w:rsidRDefault="00A40DFE">
      <w:pPr>
        <w:numPr>
          <w:ilvl w:val="0"/>
          <w:numId w:val="14"/>
        </w:numPr>
        <w:pBdr>
          <w:top w:val="nil"/>
          <w:left w:val="nil"/>
          <w:bottom w:val="nil"/>
          <w:right w:val="nil"/>
          <w:between w:val="nil"/>
        </w:pBdr>
        <w:tabs>
          <w:tab w:val="left" w:pos="284"/>
        </w:tabs>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R (v4.3)</w:t>
      </w:r>
      <w:r>
        <w:rPr>
          <w:rFonts w:ascii="Times New Roman" w:eastAsia="Times New Roman" w:hAnsi="Times New Roman" w:cs="Times New Roman"/>
          <w:color w:val="000000"/>
        </w:rPr>
        <w:t>: employed for data wrangling, correlation matrices, and alternative weighting scheme simulations.</w:t>
      </w:r>
    </w:p>
    <w:p w14:paraId="26102964" w14:textId="77777777" w:rsidR="0002762F" w:rsidRDefault="00A40DFE">
      <w:pPr>
        <w:numPr>
          <w:ilvl w:val="0"/>
          <w:numId w:val="14"/>
        </w:numPr>
        <w:pBdr>
          <w:top w:val="nil"/>
          <w:left w:val="nil"/>
          <w:bottom w:val="nil"/>
          <w:right w:val="nil"/>
          <w:between w:val="nil"/>
        </w:pBdr>
        <w:tabs>
          <w:tab w:val="left" w:pos="284"/>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ArcGIS Pro</w:t>
      </w:r>
      <w:r>
        <w:rPr>
          <w:rFonts w:ascii="Times New Roman" w:eastAsia="Times New Roman" w:hAnsi="Times New Roman" w:cs="Times New Roman"/>
          <w:color w:val="000000"/>
        </w:rPr>
        <w:t>: Applied to spatial mapping, hotspot analysis, and cluster detection of poverty zones</w:t>
      </w:r>
    </w:p>
    <w:p w14:paraId="73E84718" w14:textId="247337C6" w:rsidR="000A262A" w:rsidRPr="000A262A" w:rsidRDefault="000A262A" w:rsidP="000A262A">
      <w:pPr>
        <w:pBdr>
          <w:top w:val="nil"/>
          <w:left w:val="nil"/>
          <w:bottom w:val="nil"/>
          <w:right w:val="nil"/>
          <w:between w:val="nil"/>
        </w:pBdr>
        <w:tabs>
          <w:tab w:val="left" w:pos="284"/>
        </w:tabs>
        <w:spacing w:after="0" w:line="360" w:lineRule="auto"/>
        <w:rPr>
          <w:rFonts w:ascii="Times New Roman" w:eastAsia="Times New Roman" w:hAnsi="Times New Roman" w:cs="Times New Roman"/>
          <w:b/>
          <w:bCs/>
          <w:color w:val="EE0000"/>
        </w:rPr>
      </w:pPr>
      <w:r w:rsidRPr="000A262A">
        <w:rPr>
          <w:rFonts w:ascii="Times New Roman" w:eastAsia="Times New Roman" w:hAnsi="Times New Roman" w:cs="Times New Roman"/>
          <w:b/>
          <w:bCs/>
          <w:color w:val="EE0000"/>
        </w:rPr>
        <w:t>3.4 Conceptual Framework</w:t>
      </w:r>
    </w:p>
    <w:p w14:paraId="15827AE2" w14:textId="77777777" w:rsidR="005426B8" w:rsidRPr="005426B8" w:rsidRDefault="005426B8" w:rsidP="005426B8">
      <w:pPr>
        <w:jc w:val="both"/>
        <w:rPr>
          <w:rFonts w:ascii="Times New Roman" w:hAnsi="Times New Roman" w:cs="Times New Roman"/>
          <w:color w:val="EE0000"/>
        </w:rPr>
      </w:pPr>
      <w:r w:rsidRPr="005426B8">
        <w:rPr>
          <w:rFonts w:ascii="Times New Roman" w:hAnsi="Times New Roman" w:cs="Times New Roman"/>
          <w:color w:val="EE0000"/>
        </w:rPr>
        <w:t>The conceptual framework illustrates the interrelationship between the Multidimensional Poverty Index (MPI) and the Human Development Index (HDI). Improvements in HDI dimensions—life expectancy, education, and income—lead to reductions in MPI dimensions—health, education, and living standards. Conversely, reductions in MPI foster human development and inclusivity. The framework demonstrates their mutual reinforcement in achieving Sustainable Development Goals (SDG 1, 3, 4, and 10).</w:t>
      </w:r>
    </w:p>
    <w:p w14:paraId="694FD529" w14:textId="281F2FD3" w:rsidR="005426B8" w:rsidRPr="005426B8" w:rsidRDefault="005426B8" w:rsidP="005426B8">
      <w:pPr>
        <w:jc w:val="center"/>
        <w:rPr>
          <w:color w:val="EE0000"/>
        </w:rPr>
      </w:pPr>
      <w:r w:rsidRPr="005426B8">
        <w:rPr>
          <w:rFonts w:ascii="Courier New" w:hAnsi="Courier New"/>
          <w:color w:val="EE0000"/>
          <w:sz w:val="20"/>
        </w:rPr>
        <w:t xml:space="preserve">                 ┌──────────────────────────────────────┐</w:t>
      </w:r>
      <w:r w:rsidRPr="005426B8">
        <w:rPr>
          <w:rFonts w:ascii="Courier New" w:hAnsi="Courier New"/>
          <w:color w:val="EE0000"/>
          <w:sz w:val="20"/>
        </w:rPr>
        <w:br/>
        <w:t xml:space="preserve">                 │  HUMAN DEVELOPMENT INDEX (HDI)       │</w:t>
      </w:r>
      <w:r w:rsidRPr="005426B8">
        <w:rPr>
          <w:rFonts w:ascii="Courier New" w:hAnsi="Courier New"/>
          <w:color w:val="EE0000"/>
          <w:sz w:val="20"/>
        </w:rPr>
        <w:br/>
        <w:t xml:space="preserve">                 │  • Life Expectancy                   │</w:t>
      </w:r>
      <w:r w:rsidRPr="005426B8">
        <w:rPr>
          <w:rFonts w:ascii="Courier New" w:hAnsi="Courier New"/>
          <w:color w:val="EE0000"/>
          <w:sz w:val="20"/>
        </w:rPr>
        <w:br/>
        <w:t xml:space="preserve">                 │  • Education (Mean &amp; Expected Years) │</w:t>
      </w:r>
      <w:r w:rsidRPr="005426B8">
        <w:rPr>
          <w:rFonts w:ascii="Courier New" w:hAnsi="Courier New"/>
          <w:color w:val="EE0000"/>
          <w:sz w:val="20"/>
        </w:rPr>
        <w:br/>
        <w:t xml:space="preserve">                 │  • Income (GNI per Capita)           │</w:t>
      </w:r>
      <w:r w:rsidRPr="005426B8">
        <w:rPr>
          <w:rFonts w:ascii="Courier New" w:hAnsi="Courier New"/>
          <w:color w:val="EE0000"/>
          <w:sz w:val="20"/>
        </w:rPr>
        <w:br/>
        <w:t xml:space="preserve">                 └───────────────▲──────────────────────┘</w:t>
      </w:r>
      <w:r w:rsidRPr="005426B8">
        <w:rPr>
          <w:rFonts w:ascii="Courier New" w:hAnsi="Courier New"/>
          <w:color w:val="EE0000"/>
          <w:sz w:val="20"/>
        </w:rPr>
        <w:br/>
        <w:t xml:space="preserve">                                 │</w:t>
      </w:r>
      <w:r w:rsidRPr="005426B8">
        <w:rPr>
          <w:rFonts w:ascii="Courier New" w:hAnsi="Courier New"/>
          <w:color w:val="EE0000"/>
          <w:sz w:val="20"/>
        </w:rPr>
        <w:br/>
        <w:t xml:space="preserve">          Positive Impact on     │</w:t>
      </w:r>
      <w:r w:rsidRPr="005426B8">
        <w:rPr>
          <w:rFonts w:ascii="Courier New" w:hAnsi="Courier New"/>
          <w:color w:val="EE0000"/>
          <w:sz w:val="20"/>
        </w:rPr>
        <w:br/>
        <w:t xml:space="preserve">        Multidimensional Poverty │</w:t>
      </w:r>
      <w:r w:rsidRPr="005426B8">
        <w:rPr>
          <w:rFonts w:ascii="Courier New" w:hAnsi="Courier New"/>
          <w:color w:val="EE0000"/>
          <w:sz w:val="20"/>
        </w:rPr>
        <w:br/>
        <w:t xml:space="preserve">                                 │</w:t>
      </w:r>
      <w:r w:rsidRPr="005426B8">
        <w:rPr>
          <w:rFonts w:ascii="Courier New" w:hAnsi="Courier New"/>
          <w:color w:val="EE0000"/>
          <w:sz w:val="20"/>
        </w:rPr>
        <w:br/>
        <w:t xml:space="preserve">                 ┌───────────────▼──────────────────────┐</w:t>
      </w:r>
      <w:r w:rsidRPr="005426B8">
        <w:rPr>
          <w:rFonts w:ascii="Courier New" w:hAnsi="Courier New"/>
          <w:color w:val="EE0000"/>
          <w:sz w:val="20"/>
        </w:rPr>
        <w:br/>
        <w:t xml:space="preserve">                 │ MULTIDIMENSIONAL POVERTY INDEX (MPI) │</w:t>
      </w:r>
      <w:r w:rsidRPr="005426B8">
        <w:rPr>
          <w:rFonts w:ascii="Courier New" w:hAnsi="Courier New"/>
          <w:color w:val="EE0000"/>
          <w:sz w:val="20"/>
        </w:rPr>
        <w:br/>
        <w:t xml:space="preserve">                 │  • Health (Nutrition, Mortality)     │</w:t>
      </w:r>
      <w:r w:rsidRPr="005426B8">
        <w:rPr>
          <w:rFonts w:ascii="Courier New" w:hAnsi="Courier New"/>
          <w:color w:val="EE0000"/>
          <w:sz w:val="20"/>
        </w:rPr>
        <w:br/>
        <w:t xml:space="preserve">                 │  • Education (Years, Attendance)     │</w:t>
      </w:r>
      <w:r w:rsidRPr="005426B8">
        <w:rPr>
          <w:rFonts w:ascii="Courier New" w:hAnsi="Courier New"/>
          <w:color w:val="EE0000"/>
          <w:sz w:val="20"/>
        </w:rPr>
        <w:br/>
        <w:t xml:space="preserve">                 │  • Living Standards (Housing, Assets)│</w:t>
      </w:r>
      <w:r w:rsidRPr="005426B8">
        <w:rPr>
          <w:rFonts w:ascii="Courier New" w:hAnsi="Courier New"/>
          <w:color w:val="EE0000"/>
          <w:sz w:val="20"/>
        </w:rPr>
        <w:br/>
        <w:t xml:space="preserve">                 └───────────────▲──────────────────────┘</w:t>
      </w:r>
      <w:r w:rsidRPr="005426B8">
        <w:rPr>
          <w:rFonts w:ascii="Courier New" w:hAnsi="Courier New"/>
          <w:color w:val="EE0000"/>
          <w:sz w:val="20"/>
        </w:rPr>
        <w:br/>
        <w:t xml:space="preserve">                                 │</w:t>
      </w:r>
      <w:r w:rsidRPr="005426B8">
        <w:rPr>
          <w:rFonts w:ascii="Courier New" w:hAnsi="Courier New"/>
          <w:color w:val="EE0000"/>
          <w:sz w:val="20"/>
        </w:rPr>
        <w:br/>
        <w:t xml:space="preserve">         Reduced Deprivation and │ Improved Capabilities</w:t>
      </w:r>
      <w:r w:rsidRPr="005426B8">
        <w:rPr>
          <w:rFonts w:ascii="Courier New" w:hAnsi="Courier New"/>
          <w:color w:val="EE0000"/>
          <w:sz w:val="20"/>
        </w:rPr>
        <w:br/>
        <w:t xml:space="preserve">                                 │</w:t>
      </w:r>
      <w:r w:rsidRPr="005426B8">
        <w:rPr>
          <w:rFonts w:ascii="Courier New" w:hAnsi="Courier New"/>
          <w:color w:val="EE0000"/>
          <w:sz w:val="20"/>
        </w:rPr>
        <w:br/>
        <w:t xml:space="preserve">                 ┌───────────────▼──────────────────────┐</w:t>
      </w:r>
      <w:r w:rsidRPr="005426B8">
        <w:rPr>
          <w:rFonts w:ascii="Courier New" w:hAnsi="Courier New"/>
          <w:color w:val="EE0000"/>
          <w:sz w:val="20"/>
        </w:rPr>
        <w:br/>
        <w:t xml:space="preserve">                  │ INCLUSIVE DEVELOPMENT &amp; SDGs (1,3,4,10)│</w:t>
      </w:r>
      <w:r w:rsidRPr="005426B8">
        <w:rPr>
          <w:rFonts w:ascii="Courier New" w:hAnsi="Courier New"/>
          <w:color w:val="EE0000"/>
          <w:sz w:val="20"/>
        </w:rPr>
        <w:br/>
        <w:t xml:space="preserve">                 │  • Equity and Human Well-being        │</w:t>
      </w:r>
      <w:r w:rsidRPr="005426B8">
        <w:rPr>
          <w:rFonts w:ascii="Courier New" w:hAnsi="Courier New"/>
          <w:color w:val="EE0000"/>
          <w:sz w:val="20"/>
        </w:rPr>
        <w:br/>
        <w:t xml:space="preserve">                 │  • Sustainable Policy Outcomes        │</w:t>
      </w:r>
      <w:r w:rsidRPr="005426B8">
        <w:rPr>
          <w:rFonts w:ascii="Courier New" w:hAnsi="Courier New"/>
          <w:color w:val="EE0000"/>
          <w:sz w:val="20"/>
        </w:rPr>
        <w:br/>
        <w:t xml:space="preserve">                 └──────────────────────────────────────┘</w:t>
      </w:r>
    </w:p>
    <w:p w14:paraId="5510B925" w14:textId="7DCB357F" w:rsidR="0002762F" w:rsidRDefault="00A40DFE">
      <w:pPr>
        <w:tabs>
          <w:tab w:val="left" w:pos="284"/>
        </w:tabs>
        <w:spacing w:before="240" w:line="240" w:lineRule="auto"/>
        <w:jc w:val="both"/>
        <w:rPr>
          <w:rFonts w:ascii="Times New Roman" w:eastAsia="Times New Roman" w:hAnsi="Times New Roman" w:cs="Times New Roman"/>
          <w:b/>
        </w:rPr>
      </w:pPr>
      <w:r>
        <w:rPr>
          <w:rFonts w:ascii="Times New Roman" w:eastAsia="Times New Roman" w:hAnsi="Times New Roman" w:cs="Times New Roman"/>
          <w:b/>
        </w:rPr>
        <w:t>3.</w:t>
      </w:r>
      <w:r w:rsidR="000A262A">
        <w:rPr>
          <w:rFonts w:ascii="Times New Roman" w:eastAsia="Times New Roman" w:hAnsi="Times New Roman" w:cs="Times New Roman"/>
          <w:b/>
        </w:rPr>
        <w:t>5</w:t>
      </w:r>
      <w:r>
        <w:rPr>
          <w:rFonts w:ascii="Times New Roman" w:eastAsia="Times New Roman" w:hAnsi="Times New Roman" w:cs="Times New Roman"/>
          <w:b/>
        </w:rPr>
        <w:t xml:space="preserve"> Robustness Checks</w:t>
      </w:r>
    </w:p>
    <w:p w14:paraId="7D9B95C8" w14:textId="77777777" w:rsidR="0002762F" w:rsidRDefault="00A40DFE">
      <w:pPr>
        <w:pBdr>
          <w:top w:val="nil"/>
          <w:left w:val="nil"/>
          <w:bottom w:val="nil"/>
          <w:right w:val="nil"/>
          <w:between w:val="nil"/>
        </w:pBdr>
        <w:tabs>
          <w:tab w:val="left" w:pos="284"/>
        </w:tabs>
        <w:spacing w:before="240" w:after="0" w:line="36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To ensure empirical validity and replicability, the following robustness checks were implemented:</w:t>
      </w:r>
    </w:p>
    <w:p w14:paraId="0167CCAE" w14:textId="77777777" w:rsidR="000A262A" w:rsidRPr="000A262A" w:rsidRDefault="000A262A">
      <w:pPr>
        <w:numPr>
          <w:ilvl w:val="0"/>
          <w:numId w:val="15"/>
        </w:numPr>
        <w:pBdr>
          <w:top w:val="nil"/>
          <w:left w:val="nil"/>
          <w:bottom w:val="nil"/>
          <w:right w:val="nil"/>
          <w:between w:val="nil"/>
        </w:pBdr>
        <w:tabs>
          <w:tab w:val="left" w:pos="284"/>
        </w:tabs>
        <w:spacing w:after="0" w:line="360" w:lineRule="auto"/>
        <w:jc w:val="both"/>
        <w:rPr>
          <w:rFonts w:ascii="Times New Roman" w:eastAsia="Times New Roman" w:hAnsi="Times New Roman" w:cs="Times New Roman"/>
          <w:bCs/>
          <w:color w:val="EE0000"/>
        </w:rPr>
      </w:pPr>
      <w:r w:rsidRPr="000A262A">
        <w:rPr>
          <w:rFonts w:ascii="Times New Roman" w:eastAsia="Times New Roman" w:hAnsi="Times New Roman" w:cs="Times New Roman"/>
          <w:b/>
          <w:color w:val="EE0000"/>
        </w:rPr>
        <w:lastRenderedPageBreak/>
        <w:t xml:space="preserve">Bootstrapped standard errors </w:t>
      </w:r>
      <w:r w:rsidRPr="000A262A">
        <w:rPr>
          <w:rFonts w:ascii="Times New Roman" w:eastAsia="Times New Roman" w:hAnsi="Times New Roman" w:cs="Times New Roman"/>
          <w:bCs/>
          <w:color w:val="EE0000"/>
        </w:rPr>
        <w:t>were calculated with 1,000 replications to account for sampling variability and heteroskedasticity.</w:t>
      </w:r>
    </w:p>
    <w:p w14:paraId="011F061F" w14:textId="58098CB4" w:rsidR="0002762F" w:rsidRDefault="00A40DFE">
      <w:pPr>
        <w:numPr>
          <w:ilvl w:val="0"/>
          <w:numId w:val="15"/>
        </w:numPr>
        <w:pBdr>
          <w:top w:val="nil"/>
          <w:left w:val="nil"/>
          <w:bottom w:val="nil"/>
          <w:right w:val="nil"/>
          <w:between w:val="nil"/>
        </w:pBdr>
        <w:tabs>
          <w:tab w:val="left" w:pos="284"/>
        </w:tabs>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Alternative Weighting Schemes</w:t>
      </w:r>
      <w:r>
        <w:rPr>
          <w:rFonts w:ascii="Times New Roman" w:eastAsia="Times New Roman" w:hAnsi="Times New Roman" w:cs="Times New Roman"/>
          <w:color w:val="000000"/>
        </w:rPr>
        <w:t>: Sensitivity analysis using equal weights, deprivation-sensitive weights, and HDI-aligned weights.</w:t>
      </w:r>
    </w:p>
    <w:p w14:paraId="1E3A7296" w14:textId="77777777" w:rsidR="0002762F" w:rsidRDefault="00A40DFE">
      <w:pPr>
        <w:numPr>
          <w:ilvl w:val="0"/>
          <w:numId w:val="15"/>
        </w:numPr>
        <w:pBdr>
          <w:top w:val="nil"/>
          <w:left w:val="nil"/>
          <w:bottom w:val="nil"/>
          <w:right w:val="nil"/>
          <w:between w:val="nil"/>
        </w:pBdr>
        <w:tabs>
          <w:tab w:val="left" w:pos="284"/>
        </w:tabs>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Dimensional Re-specification</w:t>
      </w:r>
      <w:r>
        <w:rPr>
          <w:rFonts w:ascii="Times New Roman" w:eastAsia="Times New Roman" w:hAnsi="Times New Roman" w:cs="Times New Roman"/>
          <w:color w:val="000000"/>
        </w:rPr>
        <w:t>: Reclassification of indicators to test stability of MPI rankings</w:t>
      </w:r>
    </w:p>
    <w:p w14:paraId="434A951F" w14:textId="77777777" w:rsidR="0002762F" w:rsidRDefault="00A40DFE">
      <w:pPr>
        <w:numPr>
          <w:ilvl w:val="0"/>
          <w:numId w:val="15"/>
        </w:numPr>
        <w:pBdr>
          <w:top w:val="nil"/>
          <w:left w:val="nil"/>
          <w:bottom w:val="nil"/>
          <w:right w:val="nil"/>
          <w:between w:val="nil"/>
        </w:pBdr>
        <w:tabs>
          <w:tab w:val="left" w:pos="284"/>
        </w:tabs>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Temporal Lag Adjustments</w:t>
      </w:r>
      <w:r>
        <w:rPr>
          <w:rFonts w:ascii="Times New Roman" w:eastAsia="Times New Roman" w:hAnsi="Times New Roman" w:cs="Times New Roman"/>
          <w:color w:val="000000"/>
        </w:rPr>
        <w:t>: Inclusion of lagged variables to account for policy implementation delays</w:t>
      </w:r>
    </w:p>
    <w:p w14:paraId="1F47A72F" w14:textId="0D525814" w:rsidR="0002762F" w:rsidRDefault="000A262A" w:rsidP="000A262A">
      <w:pPr>
        <w:pBdr>
          <w:top w:val="nil"/>
          <w:left w:val="nil"/>
          <w:bottom w:val="nil"/>
          <w:right w:val="nil"/>
          <w:between w:val="nil"/>
        </w:pBdr>
        <w:tabs>
          <w:tab w:val="left" w:pos="284"/>
        </w:tabs>
        <w:spacing w:after="0"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3</w:t>
      </w:r>
      <w:r w:rsidR="00A40DFE">
        <w:rPr>
          <w:rFonts w:ascii="Times New Roman" w:eastAsia="Times New Roman" w:hAnsi="Times New Roman" w:cs="Times New Roman"/>
          <w:b/>
          <w:color w:val="000000"/>
        </w:rPr>
        <w:t>.</w:t>
      </w:r>
      <w:r>
        <w:rPr>
          <w:rFonts w:ascii="Times New Roman" w:eastAsia="Times New Roman" w:hAnsi="Times New Roman" w:cs="Times New Roman"/>
          <w:b/>
          <w:color w:val="000000"/>
        </w:rPr>
        <w:t>6</w:t>
      </w:r>
      <w:r w:rsidR="00A40DFE">
        <w:rPr>
          <w:rFonts w:ascii="Times New Roman" w:eastAsia="Times New Roman" w:hAnsi="Times New Roman" w:cs="Times New Roman"/>
          <w:b/>
          <w:color w:val="000000"/>
        </w:rPr>
        <w:t xml:space="preserve"> Ethical and Copyright Compliance</w:t>
      </w:r>
    </w:p>
    <w:p w14:paraId="1AE57ADC" w14:textId="77777777" w:rsidR="0002762F" w:rsidRDefault="00A40DFE">
      <w:pPr>
        <w:pBdr>
          <w:top w:val="nil"/>
          <w:left w:val="nil"/>
          <w:bottom w:val="nil"/>
          <w:right w:val="nil"/>
          <w:between w:val="nil"/>
        </w:pBdr>
        <w:tabs>
          <w:tab w:val="left" w:pos="284"/>
        </w:tabs>
        <w:spacing w:line="36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All figures, tables, and visualizations are original and were derived from the re-analysis of publicly available datasets. No copyrighted material is produced. The attribution and citation protocols followed the Scopus and COPE guidelines.</w:t>
      </w:r>
    </w:p>
    <w:p w14:paraId="70A71A04"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4. Research Design</w:t>
      </w:r>
    </w:p>
    <w:p w14:paraId="559E1253"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4.1 Data Sources</w:t>
      </w:r>
    </w:p>
    <w:p w14:paraId="2C31D232"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This study utilizes a robust set of nationally representative and internationally validated datasets to examine multidimensional poverty and human development trends in India from 2015 to 2024. The data sources were selected for empirical reliability, policy relevance, and compatibility with global poverty measurement frameworks.</w:t>
      </w:r>
    </w:p>
    <w:p w14:paraId="0E598C0D" w14:textId="77777777" w:rsidR="0002762F" w:rsidRDefault="00A40DFE">
      <w:pPr>
        <w:numPr>
          <w:ilvl w:val="0"/>
          <w:numId w:val="16"/>
        </w:numPr>
        <w:jc w:val="both"/>
        <w:rPr>
          <w:rFonts w:ascii="Times New Roman" w:eastAsia="Times New Roman" w:hAnsi="Times New Roman" w:cs="Times New Roman"/>
        </w:rPr>
      </w:pPr>
      <w:r>
        <w:rPr>
          <w:rFonts w:ascii="Times New Roman" w:eastAsia="Times New Roman" w:hAnsi="Times New Roman" w:cs="Times New Roman"/>
          <w:b/>
        </w:rPr>
        <w:t>National Family Health Surveys (NFHS-4 and NFHS-5)</w:t>
      </w:r>
      <w:r>
        <w:rPr>
          <w:rFonts w:ascii="Times New Roman" w:eastAsia="Times New Roman" w:hAnsi="Times New Roman" w:cs="Times New Roman"/>
        </w:rPr>
        <w:t>: These surveys (2015–16 and 2019–21) provide household-level data across health, education, and living standards dimensions, enabling the construction of MPI estimates at the national, state, and rural–urban levels.</w:t>
      </w:r>
    </w:p>
    <w:p w14:paraId="1C5E97EE" w14:textId="77777777" w:rsidR="0002762F" w:rsidRDefault="00A40DFE">
      <w:pPr>
        <w:numPr>
          <w:ilvl w:val="0"/>
          <w:numId w:val="16"/>
        </w:numPr>
        <w:jc w:val="both"/>
        <w:rPr>
          <w:rFonts w:ascii="Times New Roman" w:eastAsia="Times New Roman" w:hAnsi="Times New Roman" w:cs="Times New Roman"/>
        </w:rPr>
      </w:pPr>
      <w:r>
        <w:rPr>
          <w:rFonts w:ascii="Times New Roman" w:eastAsia="Times New Roman" w:hAnsi="Times New Roman" w:cs="Times New Roman"/>
          <w:b/>
        </w:rPr>
        <w:t>NITI Aayog MPI Reports (2021, 2023, 2024)</w:t>
      </w:r>
      <w:r>
        <w:rPr>
          <w:rFonts w:ascii="Times New Roman" w:eastAsia="Times New Roman" w:hAnsi="Times New Roman" w:cs="Times New Roman"/>
        </w:rPr>
        <w:t>: These reports offer state-wise MPI headcount ratios, intensity scores, and dimensional contributions, based on NFHS data and aligned with the Alkire-Foster methodology.</w:t>
      </w:r>
    </w:p>
    <w:p w14:paraId="73F74AB1" w14:textId="77777777" w:rsidR="0002762F" w:rsidRDefault="00A40DFE">
      <w:pPr>
        <w:numPr>
          <w:ilvl w:val="0"/>
          <w:numId w:val="16"/>
        </w:numPr>
        <w:jc w:val="both"/>
        <w:rPr>
          <w:rFonts w:ascii="Times New Roman" w:eastAsia="Times New Roman" w:hAnsi="Times New Roman" w:cs="Times New Roman"/>
        </w:rPr>
      </w:pPr>
      <w:r>
        <w:rPr>
          <w:rFonts w:ascii="Times New Roman" w:eastAsia="Times New Roman" w:hAnsi="Times New Roman" w:cs="Times New Roman"/>
          <w:b/>
        </w:rPr>
        <w:t>UNDP Human Development Reports (2022–2024)</w:t>
      </w:r>
      <w:r>
        <w:rPr>
          <w:rFonts w:ascii="Times New Roman" w:eastAsia="Times New Roman" w:hAnsi="Times New Roman" w:cs="Times New Roman"/>
        </w:rPr>
        <w:t>: These provide HDI values and sub-indices (life expectancy, education, income) for Indian states, facilitating a comparative analysis with MPI.</w:t>
      </w:r>
    </w:p>
    <w:p w14:paraId="70F96235" w14:textId="77777777" w:rsidR="0002762F" w:rsidRDefault="00A40DFE">
      <w:pPr>
        <w:numPr>
          <w:ilvl w:val="0"/>
          <w:numId w:val="16"/>
        </w:numPr>
        <w:jc w:val="both"/>
        <w:rPr>
          <w:rFonts w:ascii="Times New Roman" w:eastAsia="Times New Roman" w:hAnsi="Times New Roman" w:cs="Times New Roman"/>
        </w:rPr>
      </w:pPr>
      <w:r>
        <w:rPr>
          <w:rFonts w:ascii="Times New Roman" w:eastAsia="Times New Roman" w:hAnsi="Times New Roman" w:cs="Times New Roman"/>
          <w:b/>
        </w:rPr>
        <w:t>Global MPI Database (2024)</w:t>
      </w:r>
      <w:r>
        <w:rPr>
          <w:rFonts w:ascii="Times New Roman" w:eastAsia="Times New Roman" w:hAnsi="Times New Roman" w:cs="Times New Roman"/>
        </w:rPr>
        <w:t>: Offers harmonized international benchmarks and methodological notes for cross-country comparison and validation.</w:t>
      </w:r>
    </w:p>
    <w:p w14:paraId="2A39797A" w14:textId="77777777" w:rsidR="0002762F" w:rsidRDefault="00A40DFE">
      <w:pPr>
        <w:numPr>
          <w:ilvl w:val="0"/>
          <w:numId w:val="16"/>
        </w:numPr>
        <w:jc w:val="both"/>
        <w:rPr>
          <w:rFonts w:ascii="Times New Roman" w:eastAsia="Times New Roman" w:hAnsi="Times New Roman" w:cs="Times New Roman"/>
        </w:rPr>
      </w:pPr>
      <w:r>
        <w:rPr>
          <w:rFonts w:ascii="Times New Roman" w:eastAsia="Times New Roman" w:hAnsi="Times New Roman" w:cs="Times New Roman"/>
          <w:b/>
        </w:rPr>
        <w:t>Supplementary Sources</w:t>
      </w:r>
      <w:r>
        <w:rPr>
          <w:rFonts w:ascii="Times New Roman" w:eastAsia="Times New Roman" w:hAnsi="Times New Roman" w:cs="Times New Roman"/>
        </w:rPr>
        <w:t>: Census 2011, Sample Registration System, Annual Health Survey, and MOSPI household consumer expenditure survey was used for contextual triangulation and validation.</w:t>
      </w:r>
    </w:p>
    <w:p w14:paraId="79F5F849"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lastRenderedPageBreak/>
        <w:t>The geographic scope includes national, state-level, and rural–urban disaggregation, enabling both macro- and micro-level insights into poverty dynamics.</w:t>
      </w:r>
    </w:p>
    <w:p w14:paraId="6C4306D9"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4.2 Indicator Selection</w:t>
      </w:r>
    </w:p>
    <w:p w14:paraId="626A9643"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a. Multidimensional Poverty Index (MPI)</w:t>
      </w:r>
    </w:p>
    <w:p w14:paraId="2E1363AE"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The MPI is constructed using ten indicators grouped into three equally weighted dimensions, following the global standard, and adapted to India’s context:</w:t>
      </w:r>
    </w:p>
    <w:p w14:paraId="7295CC53" w14:textId="170733F2" w:rsidR="00A27826" w:rsidRPr="0014488A" w:rsidRDefault="00A27826">
      <w:pPr>
        <w:jc w:val="both"/>
        <w:rPr>
          <w:rFonts w:ascii="Times New Roman" w:eastAsia="Times New Roman" w:hAnsi="Times New Roman" w:cs="Times New Roman"/>
          <w:b/>
          <w:bCs/>
        </w:rPr>
      </w:pPr>
      <w:r w:rsidRPr="0014488A">
        <w:rPr>
          <w:rFonts w:ascii="Times New Roman" w:eastAsia="Times New Roman" w:hAnsi="Times New Roman" w:cs="Times New Roman"/>
          <w:b/>
          <w:bCs/>
        </w:rPr>
        <w:t>Table 2</w:t>
      </w:r>
      <w:r w:rsidR="0014488A">
        <w:rPr>
          <w:rFonts w:ascii="Times New Roman" w:eastAsia="Times New Roman" w:hAnsi="Times New Roman" w:cs="Times New Roman"/>
          <w:b/>
          <w:bCs/>
        </w:rPr>
        <w:t xml:space="preserve">: </w:t>
      </w:r>
      <w:r w:rsidR="00D51246">
        <w:rPr>
          <w:rFonts w:ascii="Times New Roman" w:eastAsia="Times New Roman" w:hAnsi="Times New Roman" w:cs="Times New Roman"/>
          <w:b/>
          <w:bCs/>
        </w:rPr>
        <w:t xml:space="preserve">Indicators and corresponding weights of the dimensions of </w:t>
      </w:r>
      <w:r w:rsidR="001F2FB1">
        <w:rPr>
          <w:rFonts w:ascii="Times New Roman" w:eastAsia="Times New Roman" w:hAnsi="Times New Roman" w:cs="Times New Roman"/>
          <w:b/>
          <w:bCs/>
        </w:rPr>
        <w:t xml:space="preserve">the </w:t>
      </w:r>
      <w:r w:rsidR="00D51246" w:rsidRPr="00D51246">
        <w:rPr>
          <w:rFonts w:ascii="Times New Roman" w:eastAsia="Times New Roman" w:hAnsi="Times New Roman" w:cs="Times New Roman"/>
          <w:b/>
          <w:bCs/>
        </w:rPr>
        <w:t>Multidimensional Poverty Index</w:t>
      </w:r>
      <w:r w:rsidR="00EB53F8">
        <w:rPr>
          <w:rFonts w:ascii="Times New Roman" w:eastAsia="Times New Roman" w:hAnsi="Times New Roman" w:cs="Times New Roman"/>
          <w:b/>
          <w:bCs/>
        </w:rPr>
        <w:t xml:space="preserve"> (MPI)</w:t>
      </w:r>
    </w:p>
    <w:tbl>
      <w:tblPr>
        <w:tblStyle w:val="a0"/>
        <w:tblW w:w="807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80"/>
        <w:gridCol w:w="4819"/>
        <w:gridCol w:w="1276"/>
      </w:tblGrid>
      <w:tr w:rsidR="0002762F" w14:paraId="3BF8CBA2" w14:textId="77777777">
        <w:trPr>
          <w:jc w:val="center"/>
        </w:trPr>
        <w:tc>
          <w:tcPr>
            <w:tcW w:w="1980" w:type="dxa"/>
          </w:tcPr>
          <w:p w14:paraId="38E3CDCC" w14:textId="77777777" w:rsidR="0002762F" w:rsidRDefault="00A40DFE">
            <w:pPr>
              <w:spacing w:line="276" w:lineRule="auto"/>
              <w:jc w:val="both"/>
              <w:rPr>
                <w:rFonts w:ascii="Times New Roman" w:eastAsia="Times New Roman" w:hAnsi="Times New Roman" w:cs="Times New Roman"/>
                <w:b/>
              </w:rPr>
            </w:pPr>
            <w:r>
              <w:rPr>
                <w:rFonts w:ascii="Times New Roman" w:eastAsia="Times New Roman" w:hAnsi="Times New Roman" w:cs="Times New Roman"/>
                <w:b/>
              </w:rPr>
              <w:t>Dimension</w:t>
            </w:r>
          </w:p>
        </w:tc>
        <w:tc>
          <w:tcPr>
            <w:tcW w:w="4819" w:type="dxa"/>
          </w:tcPr>
          <w:p w14:paraId="165ADECF" w14:textId="77777777" w:rsidR="0002762F" w:rsidRDefault="00A40DFE">
            <w:pPr>
              <w:spacing w:line="276" w:lineRule="auto"/>
              <w:jc w:val="both"/>
              <w:rPr>
                <w:rFonts w:ascii="Times New Roman" w:eastAsia="Times New Roman" w:hAnsi="Times New Roman" w:cs="Times New Roman"/>
                <w:b/>
              </w:rPr>
            </w:pPr>
            <w:r>
              <w:rPr>
                <w:rFonts w:ascii="Times New Roman" w:eastAsia="Times New Roman" w:hAnsi="Times New Roman" w:cs="Times New Roman"/>
                <w:b/>
              </w:rPr>
              <w:t>Indicators</w:t>
            </w:r>
          </w:p>
        </w:tc>
        <w:tc>
          <w:tcPr>
            <w:tcW w:w="1276" w:type="dxa"/>
          </w:tcPr>
          <w:p w14:paraId="37225A8E" w14:textId="77777777" w:rsidR="0002762F" w:rsidRDefault="00A40DFE">
            <w:pPr>
              <w:spacing w:line="276" w:lineRule="auto"/>
              <w:jc w:val="both"/>
              <w:rPr>
                <w:rFonts w:ascii="Times New Roman" w:eastAsia="Times New Roman" w:hAnsi="Times New Roman" w:cs="Times New Roman"/>
                <w:b/>
              </w:rPr>
            </w:pPr>
            <w:r>
              <w:rPr>
                <w:rFonts w:ascii="Times New Roman" w:eastAsia="Times New Roman" w:hAnsi="Times New Roman" w:cs="Times New Roman"/>
                <w:b/>
              </w:rPr>
              <w:t>Weight</w:t>
            </w:r>
          </w:p>
        </w:tc>
      </w:tr>
      <w:tr w:rsidR="0002762F" w14:paraId="5E52474F" w14:textId="77777777">
        <w:trPr>
          <w:jc w:val="center"/>
        </w:trPr>
        <w:tc>
          <w:tcPr>
            <w:tcW w:w="1980" w:type="dxa"/>
          </w:tcPr>
          <w:p w14:paraId="52A8DBB8" w14:textId="77777777" w:rsidR="0002762F" w:rsidRDefault="00A40DFE">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Health</w:t>
            </w:r>
          </w:p>
        </w:tc>
        <w:tc>
          <w:tcPr>
            <w:tcW w:w="4819" w:type="dxa"/>
          </w:tcPr>
          <w:p w14:paraId="330201D4" w14:textId="77777777" w:rsidR="0002762F" w:rsidRDefault="00A40DFE">
            <w:pPr>
              <w:spacing w:line="276" w:lineRule="auto"/>
              <w:jc w:val="both"/>
              <w:rPr>
                <w:rFonts w:ascii="Times New Roman" w:eastAsia="Times New Roman" w:hAnsi="Times New Roman" w:cs="Times New Roman"/>
              </w:rPr>
            </w:pPr>
            <w:r>
              <w:rPr>
                <w:rFonts w:ascii="Times New Roman" w:eastAsia="Times New Roman" w:hAnsi="Times New Roman" w:cs="Times New Roman"/>
              </w:rPr>
              <w:t>Nutrition, Child/Adolescent Mortality</w:t>
            </w:r>
          </w:p>
        </w:tc>
        <w:tc>
          <w:tcPr>
            <w:tcW w:w="1276" w:type="dxa"/>
          </w:tcPr>
          <w:p w14:paraId="6F0CEFA4" w14:textId="77777777" w:rsidR="0002762F" w:rsidRDefault="00A40DFE">
            <w:pPr>
              <w:spacing w:line="276" w:lineRule="auto"/>
              <w:jc w:val="both"/>
              <w:rPr>
                <w:rFonts w:ascii="Times New Roman" w:eastAsia="Times New Roman" w:hAnsi="Times New Roman" w:cs="Times New Roman"/>
              </w:rPr>
            </w:pPr>
            <w:r>
              <w:rPr>
                <w:rFonts w:ascii="Times New Roman" w:eastAsia="Times New Roman" w:hAnsi="Times New Roman" w:cs="Times New Roman"/>
              </w:rPr>
              <w:t>1/6 each</w:t>
            </w:r>
          </w:p>
        </w:tc>
      </w:tr>
      <w:tr w:rsidR="0002762F" w14:paraId="695FA934" w14:textId="77777777">
        <w:trPr>
          <w:jc w:val="center"/>
        </w:trPr>
        <w:tc>
          <w:tcPr>
            <w:tcW w:w="1980" w:type="dxa"/>
          </w:tcPr>
          <w:p w14:paraId="15868EB9" w14:textId="77777777" w:rsidR="0002762F" w:rsidRDefault="00A40DFE">
            <w:pPr>
              <w:spacing w:line="276" w:lineRule="auto"/>
              <w:jc w:val="both"/>
              <w:rPr>
                <w:rFonts w:ascii="Times New Roman" w:eastAsia="Times New Roman" w:hAnsi="Times New Roman" w:cs="Times New Roman"/>
              </w:rPr>
            </w:pPr>
            <w:r>
              <w:rPr>
                <w:rFonts w:ascii="Times New Roman" w:eastAsia="Times New Roman" w:hAnsi="Times New Roman" w:cs="Times New Roman"/>
              </w:rPr>
              <w:t>Education</w:t>
            </w:r>
          </w:p>
        </w:tc>
        <w:tc>
          <w:tcPr>
            <w:tcW w:w="4819" w:type="dxa"/>
          </w:tcPr>
          <w:p w14:paraId="661E0DB2" w14:textId="77777777" w:rsidR="0002762F" w:rsidRDefault="00A40DFE">
            <w:pPr>
              <w:spacing w:line="276" w:lineRule="auto"/>
              <w:jc w:val="both"/>
              <w:rPr>
                <w:rFonts w:ascii="Times New Roman" w:eastAsia="Times New Roman" w:hAnsi="Times New Roman" w:cs="Times New Roman"/>
              </w:rPr>
            </w:pPr>
            <w:r>
              <w:rPr>
                <w:rFonts w:ascii="Times New Roman" w:eastAsia="Times New Roman" w:hAnsi="Times New Roman" w:cs="Times New Roman"/>
              </w:rPr>
              <w:t>Years of Schooling, School Attendance</w:t>
            </w:r>
          </w:p>
        </w:tc>
        <w:tc>
          <w:tcPr>
            <w:tcW w:w="1276" w:type="dxa"/>
          </w:tcPr>
          <w:p w14:paraId="2A00523D" w14:textId="77777777" w:rsidR="0002762F" w:rsidRDefault="00A40DFE">
            <w:pPr>
              <w:spacing w:line="276" w:lineRule="auto"/>
              <w:jc w:val="both"/>
              <w:rPr>
                <w:rFonts w:ascii="Times New Roman" w:eastAsia="Times New Roman" w:hAnsi="Times New Roman" w:cs="Times New Roman"/>
              </w:rPr>
            </w:pPr>
            <w:r>
              <w:rPr>
                <w:rFonts w:ascii="Times New Roman" w:eastAsia="Times New Roman" w:hAnsi="Times New Roman" w:cs="Times New Roman"/>
              </w:rPr>
              <w:t>1/6 each</w:t>
            </w:r>
          </w:p>
        </w:tc>
      </w:tr>
      <w:tr w:rsidR="0002762F" w14:paraId="0CC4D21E" w14:textId="77777777">
        <w:trPr>
          <w:jc w:val="center"/>
        </w:trPr>
        <w:tc>
          <w:tcPr>
            <w:tcW w:w="1980" w:type="dxa"/>
          </w:tcPr>
          <w:p w14:paraId="15EB0ED4" w14:textId="77777777" w:rsidR="0002762F" w:rsidRDefault="00A40DFE">
            <w:pPr>
              <w:spacing w:line="276" w:lineRule="auto"/>
              <w:jc w:val="both"/>
              <w:rPr>
                <w:rFonts w:ascii="Times New Roman" w:eastAsia="Times New Roman" w:hAnsi="Times New Roman" w:cs="Times New Roman"/>
              </w:rPr>
            </w:pPr>
            <w:r>
              <w:rPr>
                <w:rFonts w:ascii="Times New Roman" w:eastAsia="Times New Roman" w:hAnsi="Times New Roman" w:cs="Times New Roman"/>
              </w:rPr>
              <w:t>Living Standards</w:t>
            </w:r>
          </w:p>
        </w:tc>
        <w:tc>
          <w:tcPr>
            <w:tcW w:w="4819" w:type="dxa"/>
          </w:tcPr>
          <w:p w14:paraId="75A493CF" w14:textId="77777777" w:rsidR="0002762F" w:rsidRDefault="00A40DFE">
            <w:pPr>
              <w:spacing w:line="276" w:lineRule="auto"/>
              <w:jc w:val="both"/>
              <w:rPr>
                <w:rFonts w:ascii="Times New Roman" w:eastAsia="Times New Roman" w:hAnsi="Times New Roman" w:cs="Times New Roman"/>
              </w:rPr>
            </w:pPr>
            <w:r>
              <w:rPr>
                <w:rFonts w:ascii="Times New Roman" w:eastAsia="Times New Roman" w:hAnsi="Times New Roman" w:cs="Times New Roman"/>
              </w:rPr>
              <w:t>Cooking Fuel, Sanitation, Drinking Water, Electricity, Housing, Assets</w:t>
            </w:r>
          </w:p>
        </w:tc>
        <w:tc>
          <w:tcPr>
            <w:tcW w:w="1276" w:type="dxa"/>
          </w:tcPr>
          <w:p w14:paraId="45C76043" w14:textId="77777777" w:rsidR="0002762F" w:rsidRDefault="00A40DFE">
            <w:pPr>
              <w:spacing w:line="276" w:lineRule="auto"/>
              <w:jc w:val="both"/>
              <w:rPr>
                <w:rFonts w:ascii="Times New Roman" w:eastAsia="Times New Roman" w:hAnsi="Times New Roman" w:cs="Times New Roman"/>
              </w:rPr>
            </w:pPr>
            <w:r>
              <w:rPr>
                <w:rFonts w:ascii="Times New Roman" w:eastAsia="Times New Roman" w:hAnsi="Times New Roman" w:cs="Times New Roman"/>
              </w:rPr>
              <w:t>1/18 each</w:t>
            </w:r>
          </w:p>
        </w:tc>
      </w:tr>
    </w:tbl>
    <w:p w14:paraId="75BD9253" w14:textId="77777777" w:rsidR="0002762F" w:rsidRDefault="00A40DFE">
      <w:pPr>
        <w:spacing w:before="240"/>
        <w:jc w:val="both"/>
        <w:rPr>
          <w:rFonts w:ascii="Times New Roman" w:eastAsia="Times New Roman" w:hAnsi="Times New Roman" w:cs="Times New Roman"/>
        </w:rPr>
      </w:pPr>
      <w:r>
        <w:rPr>
          <w:rFonts w:ascii="Times New Roman" w:eastAsia="Times New Roman" w:hAnsi="Times New Roman" w:cs="Times New Roman"/>
        </w:rPr>
        <w:t>Deprivation thresholds are defined per global MPI norms with contextual adjustments (e.g., SDG-aligned sanitation definitions and NFHS anthropometric cut-offs).</w:t>
      </w:r>
    </w:p>
    <w:p w14:paraId="04A37AA9"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b. Human Development Index (HDI)</w:t>
      </w:r>
    </w:p>
    <w:p w14:paraId="0EA5464B"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HDI is calculated using UNDP’s geometric mean method across three dimensions:</w:t>
      </w:r>
    </w:p>
    <w:p w14:paraId="0F937E2F" w14:textId="44970C3E" w:rsidR="00A27826" w:rsidRPr="00EB53F8" w:rsidRDefault="00A27826">
      <w:pPr>
        <w:jc w:val="both"/>
        <w:rPr>
          <w:rFonts w:ascii="Times New Roman" w:eastAsia="Times New Roman" w:hAnsi="Times New Roman" w:cs="Times New Roman"/>
          <w:b/>
          <w:bCs/>
        </w:rPr>
      </w:pPr>
      <w:r w:rsidRPr="00EB53F8">
        <w:rPr>
          <w:rFonts w:ascii="Times New Roman" w:eastAsia="Times New Roman" w:hAnsi="Times New Roman" w:cs="Times New Roman"/>
          <w:b/>
          <w:bCs/>
        </w:rPr>
        <w:t>Table 3</w:t>
      </w:r>
      <w:r w:rsidR="00EB53F8">
        <w:rPr>
          <w:rFonts w:ascii="Times New Roman" w:eastAsia="Times New Roman" w:hAnsi="Times New Roman" w:cs="Times New Roman"/>
          <w:b/>
          <w:bCs/>
        </w:rPr>
        <w:t xml:space="preserve">: </w:t>
      </w:r>
      <w:r w:rsidR="00774A2B">
        <w:rPr>
          <w:rFonts w:ascii="Times New Roman" w:eastAsia="Times New Roman" w:hAnsi="Times New Roman" w:cs="Times New Roman"/>
          <w:b/>
          <w:bCs/>
        </w:rPr>
        <w:t>Dimensions and corresponding sub-indicators of the Human Development Index (HDI)</w:t>
      </w:r>
    </w:p>
    <w:tbl>
      <w:tblPr>
        <w:tblStyle w:val="a1"/>
        <w:tblW w:w="729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310"/>
        <w:gridCol w:w="5982"/>
      </w:tblGrid>
      <w:tr w:rsidR="0002762F" w14:paraId="4EB57DBE" w14:textId="77777777" w:rsidTr="000276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0" w:type="dxa"/>
          </w:tcPr>
          <w:p w14:paraId="758654C1" w14:textId="77777777" w:rsidR="0002762F" w:rsidRDefault="00A40DFE">
            <w:pPr>
              <w:spacing w:after="160" w:line="278" w:lineRule="auto"/>
              <w:jc w:val="both"/>
              <w:rPr>
                <w:rFonts w:ascii="Times New Roman" w:eastAsia="Times New Roman" w:hAnsi="Times New Roman" w:cs="Times New Roman"/>
              </w:rPr>
            </w:pPr>
            <w:r>
              <w:rPr>
                <w:rFonts w:ascii="Times New Roman" w:eastAsia="Times New Roman" w:hAnsi="Times New Roman" w:cs="Times New Roman"/>
              </w:rPr>
              <w:t>Dimension</w:t>
            </w:r>
          </w:p>
        </w:tc>
        <w:tc>
          <w:tcPr>
            <w:tcW w:w="5982" w:type="dxa"/>
          </w:tcPr>
          <w:p w14:paraId="3D6E6214" w14:textId="77777777" w:rsidR="0002762F" w:rsidRDefault="00A40DFE">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Sub-Indicators</w:t>
            </w:r>
          </w:p>
        </w:tc>
      </w:tr>
      <w:tr w:rsidR="0002762F" w14:paraId="193B0FEC" w14:textId="77777777" w:rsidTr="000276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0" w:type="dxa"/>
          </w:tcPr>
          <w:p w14:paraId="23A5D21E" w14:textId="77777777" w:rsidR="0002762F" w:rsidRDefault="00A40DFE">
            <w:pPr>
              <w:spacing w:after="160" w:line="278" w:lineRule="auto"/>
              <w:jc w:val="both"/>
              <w:rPr>
                <w:rFonts w:ascii="Times New Roman" w:eastAsia="Times New Roman" w:hAnsi="Times New Roman" w:cs="Times New Roman"/>
              </w:rPr>
            </w:pPr>
            <w:r>
              <w:rPr>
                <w:rFonts w:ascii="Times New Roman" w:eastAsia="Times New Roman" w:hAnsi="Times New Roman" w:cs="Times New Roman"/>
              </w:rPr>
              <w:t>Health</w:t>
            </w:r>
          </w:p>
        </w:tc>
        <w:tc>
          <w:tcPr>
            <w:tcW w:w="5982" w:type="dxa"/>
          </w:tcPr>
          <w:p w14:paraId="2B7A988C" w14:textId="77777777" w:rsidR="0002762F" w:rsidRDefault="00A40DFE">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Life expectancy at birth</w:t>
            </w:r>
          </w:p>
        </w:tc>
      </w:tr>
      <w:tr w:rsidR="0002762F" w14:paraId="5F9ACBD0" w14:textId="77777777" w:rsidTr="0002762F">
        <w:trPr>
          <w:jc w:val="center"/>
        </w:trPr>
        <w:tc>
          <w:tcPr>
            <w:cnfStyle w:val="001000000000" w:firstRow="0" w:lastRow="0" w:firstColumn="1" w:lastColumn="0" w:oddVBand="0" w:evenVBand="0" w:oddHBand="0" w:evenHBand="0" w:firstRowFirstColumn="0" w:firstRowLastColumn="0" w:lastRowFirstColumn="0" w:lastRowLastColumn="0"/>
            <w:tcW w:w="1310" w:type="dxa"/>
          </w:tcPr>
          <w:p w14:paraId="09DE9B24" w14:textId="77777777" w:rsidR="0002762F" w:rsidRDefault="00A40DFE">
            <w:pPr>
              <w:spacing w:after="160" w:line="278" w:lineRule="auto"/>
              <w:jc w:val="both"/>
              <w:rPr>
                <w:rFonts w:ascii="Times New Roman" w:eastAsia="Times New Roman" w:hAnsi="Times New Roman" w:cs="Times New Roman"/>
              </w:rPr>
            </w:pPr>
            <w:r>
              <w:rPr>
                <w:rFonts w:ascii="Times New Roman" w:eastAsia="Times New Roman" w:hAnsi="Times New Roman" w:cs="Times New Roman"/>
              </w:rPr>
              <w:t>Education</w:t>
            </w:r>
          </w:p>
        </w:tc>
        <w:tc>
          <w:tcPr>
            <w:tcW w:w="5982" w:type="dxa"/>
          </w:tcPr>
          <w:p w14:paraId="3BF275B7" w14:textId="77777777" w:rsidR="0002762F" w:rsidRDefault="00A40DFE">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Mean years of schooling, Expected years of schooling</w:t>
            </w:r>
          </w:p>
        </w:tc>
      </w:tr>
      <w:tr w:rsidR="0002762F" w14:paraId="0663FC5F" w14:textId="77777777" w:rsidTr="000276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0" w:type="dxa"/>
          </w:tcPr>
          <w:p w14:paraId="5089DEB3" w14:textId="77777777" w:rsidR="0002762F" w:rsidRDefault="00A40DFE">
            <w:pPr>
              <w:spacing w:after="160" w:line="278" w:lineRule="auto"/>
              <w:jc w:val="both"/>
              <w:rPr>
                <w:rFonts w:ascii="Times New Roman" w:eastAsia="Times New Roman" w:hAnsi="Times New Roman" w:cs="Times New Roman"/>
              </w:rPr>
            </w:pPr>
            <w:r>
              <w:rPr>
                <w:rFonts w:ascii="Times New Roman" w:eastAsia="Times New Roman" w:hAnsi="Times New Roman" w:cs="Times New Roman"/>
              </w:rPr>
              <w:t>Income</w:t>
            </w:r>
          </w:p>
        </w:tc>
        <w:tc>
          <w:tcPr>
            <w:tcW w:w="5982" w:type="dxa"/>
          </w:tcPr>
          <w:p w14:paraId="543167B2" w14:textId="77777777" w:rsidR="0002762F" w:rsidRDefault="00A40DFE">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Gross National Income per capita (PPP, constant 2017 US$)</w:t>
            </w:r>
          </w:p>
        </w:tc>
      </w:tr>
    </w:tbl>
    <w:p w14:paraId="44D580C8"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Normalization followed UNDP goalposts (e.g., life expectancy: 20–85 years; GNI: $100–$75,000), ensuring comparability across states and time.</w:t>
      </w:r>
    </w:p>
    <w:p w14:paraId="4DBA624E"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4.3 Analytical Framework</w:t>
      </w:r>
    </w:p>
    <w:p w14:paraId="025A2886"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Descriptive and Comparative Analysis</w:t>
      </w:r>
    </w:p>
    <w:p w14:paraId="57D15C84" w14:textId="77777777" w:rsidR="0002762F" w:rsidRDefault="00A40DFE">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Temporal trends in MPI and HDI (2015–2024)</w:t>
      </w:r>
    </w:p>
    <w:p w14:paraId="15D72ADF" w14:textId="77777777" w:rsidR="0002762F" w:rsidRDefault="00A40DFE">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State-wise and rural–urban disaggregation</w:t>
      </w:r>
    </w:p>
    <w:p w14:paraId="7A945B3D" w14:textId="77777777" w:rsidR="0002762F" w:rsidRDefault="00A40DFE">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Dimensional decomposition of MPI contributions</w:t>
      </w:r>
    </w:p>
    <w:p w14:paraId="287D3623" w14:textId="77777777" w:rsidR="0002762F" w:rsidRDefault="00A40DFE">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Comparative ranking tables for MPI and HDI performance</w:t>
      </w:r>
    </w:p>
    <w:p w14:paraId="6692A3AB"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lastRenderedPageBreak/>
        <w:t>Alkire-Foster Decomposition</w:t>
      </w:r>
    </w:p>
    <w:p w14:paraId="229DD7DA" w14:textId="77777777" w:rsidR="0002762F" w:rsidRDefault="00A40DFE">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Calculation of headcount ratio (H) and intensity (A)</w:t>
      </w:r>
    </w:p>
    <w:p w14:paraId="1C6E7BEC" w14:textId="77777777" w:rsidR="0002762F" w:rsidRDefault="00A40DFE">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MPI value: MPI=H×A\text{MPI} = H \times A</w:t>
      </w:r>
    </w:p>
    <w:p w14:paraId="5594C947" w14:textId="77777777" w:rsidR="0002762F" w:rsidRDefault="00A40DFE">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Dimensional and indicator-level contribution analysis</w:t>
      </w:r>
    </w:p>
    <w:p w14:paraId="47FA79A4" w14:textId="77777777" w:rsidR="0002762F" w:rsidRDefault="00A40DFE">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Sub-group decomposition by caste, gender, and geography</w:t>
      </w:r>
    </w:p>
    <w:p w14:paraId="6F19620A"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Statistical Analysis</w:t>
      </w:r>
    </w:p>
    <w:p w14:paraId="3BD31531" w14:textId="77777777" w:rsidR="0002762F" w:rsidRDefault="00A40DFE">
      <w:pPr>
        <w:numPr>
          <w:ilvl w:val="0"/>
          <w:numId w:val="2"/>
        </w:numPr>
        <w:jc w:val="both"/>
        <w:rPr>
          <w:rFonts w:ascii="Times New Roman" w:eastAsia="Times New Roman" w:hAnsi="Times New Roman" w:cs="Times New Roman"/>
        </w:rPr>
      </w:pPr>
      <w:r>
        <w:rPr>
          <w:rFonts w:ascii="Times New Roman" w:eastAsia="Times New Roman" w:hAnsi="Times New Roman" w:cs="Times New Roman"/>
          <w:b/>
        </w:rPr>
        <w:t>Pearson Correlation</w:t>
      </w:r>
      <w:r>
        <w:rPr>
          <w:rFonts w:ascii="Times New Roman" w:eastAsia="Times New Roman" w:hAnsi="Times New Roman" w:cs="Times New Roman"/>
        </w:rPr>
        <w:t>: Assesses linear association between MPI and HDI scores across states</w:t>
      </w:r>
    </w:p>
    <w:p w14:paraId="2BE0C082" w14:textId="77777777" w:rsidR="0002762F" w:rsidRDefault="00A40DFE">
      <w:pPr>
        <w:numPr>
          <w:ilvl w:val="0"/>
          <w:numId w:val="2"/>
        </w:numPr>
        <w:jc w:val="both"/>
        <w:rPr>
          <w:rFonts w:ascii="Times New Roman" w:eastAsia="Times New Roman" w:hAnsi="Times New Roman" w:cs="Times New Roman"/>
        </w:rPr>
      </w:pPr>
      <w:r>
        <w:rPr>
          <w:rFonts w:ascii="Times New Roman" w:eastAsia="Times New Roman" w:hAnsi="Times New Roman" w:cs="Times New Roman"/>
          <w:b/>
        </w:rPr>
        <w:t>OLS Regression</w:t>
      </w:r>
      <w:r>
        <w:rPr>
          <w:rFonts w:ascii="Times New Roman" w:eastAsia="Times New Roman" w:hAnsi="Times New Roman" w:cs="Times New Roman"/>
        </w:rPr>
        <w:t>: Explores predictive relationships between HDI components and MPI outcomes</w:t>
      </w:r>
    </w:p>
    <w:p w14:paraId="68460E8B" w14:textId="77777777" w:rsidR="0002762F" w:rsidRDefault="00A40DFE">
      <w:pPr>
        <w:numPr>
          <w:ilvl w:val="0"/>
          <w:numId w:val="2"/>
        </w:numPr>
        <w:jc w:val="both"/>
        <w:rPr>
          <w:rFonts w:ascii="Times New Roman" w:eastAsia="Times New Roman" w:hAnsi="Times New Roman" w:cs="Times New Roman"/>
        </w:rPr>
      </w:pPr>
      <w:r>
        <w:rPr>
          <w:rFonts w:ascii="Times New Roman" w:eastAsia="Times New Roman" w:hAnsi="Times New Roman" w:cs="Times New Roman"/>
          <w:b/>
        </w:rPr>
        <w:t>Elasticity Analysis</w:t>
      </w:r>
      <w:r>
        <w:rPr>
          <w:rFonts w:ascii="Times New Roman" w:eastAsia="Times New Roman" w:hAnsi="Times New Roman" w:cs="Times New Roman"/>
        </w:rPr>
        <w:t>: Evaluates responsiveness of MPI reduction to HDI improvement</w:t>
      </w:r>
    </w:p>
    <w:p w14:paraId="62A8EA19"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Spatial Analysis (if applicable)</w:t>
      </w:r>
    </w:p>
    <w:p w14:paraId="0529A7BD" w14:textId="77777777" w:rsidR="0002762F" w:rsidRDefault="00A40DFE">
      <w:pPr>
        <w:numPr>
          <w:ilvl w:val="0"/>
          <w:numId w:val="3"/>
        </w:numPr>
        <w:jc w:val="both"/>
        <w:rPr>
          <w:rFonts w:ascii="Times New Roman" w:eastAsia="Times New Roman" w:hAnsi="Times New Roman" w:cs="Times New Roman"/>
        </w:rPr>
      </w:pPr>
      <w:r>
        <w:rPr>
          <w:rFonts w:ascii="Times New Roman" w:eastAsia="Times New Roman" w:hAnsi="Times New Roman" w:cs="Times New Roman"/>
          <w:b/>
        </w:rPr>
        <w:t>GIS Mapping</w:t>
      </w:r>
      <w:r>
        <w:rPr>
          <w:rFonts w:ascii="Times New Roman" w:eastAsia="Times New Roman" w:hAnsi="Times New Roman" w:cs="Times New Roman"/>
        </w:rPr>
        <w:t>: Choropleth visualization of MPI and HDI distributions</w:t>
      </w:r>
    </w:p>
    <w:p w14:paraId="2A14AB4B" w14:textId="77777777" w:rsidR="0002762F" w:rsidRDefault="00A40DFE">
      <w:pPr>
        <w:numPr>
          <w:ilvl w:val="0"/>
          <w:numId w:val="3"/>
        </w:numPr>
        <w:jc w:val="both"/>
        <w:rPr>
          <w:rFonts w:ascii="Times New Roman" w:eastAsia="Times New Roman" w:hAnsi="Times New Roman" w:cs="Times New Roman"/>
        </w:rPr>
      </w:pPr>
      <w:r>
        <w:rPr>
          <w:rFonts w:ascii="Times New Roman" w:eastAsia="Times New Roman" w:hAnsi="Times New Roman" w:cs="Times New Roman"/>
          <w:b/>
        </w:rPr>
        <w:t>Moran’s I</w:t>
      </w:r>
      <w:r>
        <w:rPr>
          <w:rFonts w:ascii="Times New Roman" w:eastAsia="Times New Roman" w:hAnsi="Times New Roman" w:cs="Times New Roman"/>
        </w:rPr>
        <w:t>: Measures spatial autocorrelation of poverty clusters</w:t>
      </w:r>
    </w:p>
    <w:p w14:paraId="75FC2779" w14:textId="77777777" w:rsidR="0002762F" w:rsidRDefault="00A40DFE">
      <w:pPr>
        <w:numPr>
          <w:ilvl w:val="0"/>
          <w:numId w:val="3"/>
        </w:numPr>
        <w:jc w:val="both"/>
        <w:rPr>
          <w:rFonts w:ascii="Times New Roman" w:eastAsia="Times New Roman" w:hAnsi="Times New Roman" w:cs="Times New Roman"/>
        </w:rPr>
      </w:pPr>
      <w:r>
        <w:rPr>
          <w:rFonts w:ascii="Times New Roman" w:eastAsia="Times New Roman" w:hAnsi="Times New Roman" w:cs="Times New Roman"/>
          <w:b/>
        </w:rPr>
        <w:t>LISA (Local Indicators of Spatial Association)</w:t>
      </w:r>
      <w:r>
        <w:rPr>
          <w:rFonts w:ascii="Times New Roman" w:eastAsia="Times New Roman" w:hAnsi="Times New Roman" w:cs="Times New Roman"/>
        </w:rPr>
        <w:t>: Identifies statistically significant hot and cold spots of deprivation</w:t>
      </w:r>
    </w:p>
    <w:p w14:paraId="658334E1"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Visual Models and Comparative Tables</w:t>
      </w:r>
    </w:p>
    <w:p w14:paraId="7590998A" w14:textId="77777777" w:rsidR="0002762F" w:rsidRDefault="00A40DFE">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MPI–HDI scatterplots to illustrate divergence/convergence</w:t>
      </w:r>
    </w:p>
    <w:p w14:paraId="475F425C" w14:textId="77777777" w:rsidR="0002762F" w:rsidRDefault="00A40DFE">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Dimensional contribution bar charts</w:t>
      </w:r>
    </w:p>
    <w:p w14:paraId="2C81ADBF" w14:textId="77777777" w:rsidR="0002762F" w:rsidRDefault="00A40DFE">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State-wise ranking matrices</w:t>
      </w:r>
    </w:p>
    <w:p w14:paraId="05F34890" w14:textId="77777777" w:rsidR="0002762F" w:rsidRDefault="00A40DFE">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Rural–urban poverty gap visualizations</w:t>
      </w:r>
    </w:p>
    <w:p w14:paraId="61337D6C" w14:textId="77777777" w:rsidR="0002762F" w:rsidRDefault="00A40DFE">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SDG alignment dashboards</w:t>
      </w:r>
    </w:p>
    <w:p w14:paraId="0F5F9285"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5. Results</w:t>
      </w:r>
    </w:p>
    <w:p w14:paraId="6084BC93"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5.1 Presentation of Findings</w:t>
      </w:r>
    </w:p>
    <w:p w14:paraId="5F433F73"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a. National Trends in MPI and HDI</w:t>
      </w:r>
    </w:p>
    <w:p w14:paraId="31E5F5C5"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 xml:space="preserve">India has made substantial progress in reducing multidimensional poverty over the past decade. According to NITI Aayog’s 2023 estimates, the national MPI headcount ratio declined from 26.59% in 2015–16 to 11.28% in 2022–23, representing a reduction of 13.57 percentage points. This translates to approximately 248.2 million individuals escaping </w:t>
      </w:r>
      <w:r>
        <w:rPr>
          <w:rFonts w:ascii="Times New Roman" w:eastAsia="Times New Roman" w:hAnsi="Times New Roman" w:cs="Times New Roman"/>
        </w:rPr>
        <w:lastRenderedPageBreak/>
        <w:t>multidimensional poverty. Concurrently, the MPI intensity among the poor decreased from 47.14% to 43.82%, and the overall MPI value fell from 0.117 to 0.066, a reduction of 43.6%.</w:t>
      </w:r>
    </w:p>
    <w:p w14:paraId="5E125BFC"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India’s HDI has improved from 0.645 in 2021 to 0.685 in 2023, reflecting gains in life expectancy, education, and income dimensions. However, the pace of HDI improvement remains modest compared with MPI reduction, and India continues to rank in the medium human development category globally.</w:t>
      </w:r>
    </w:p>
    <w:p w14:paraId="015FAF16"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b. State-Level Performance: MPI and HDI Rankings</w:t>
      </w:r>
    </w:p>
    <w:p w14:paraId="4ECC9EFB"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A comparative tabulation of MPI and HDI scores reveals stark inter-state disparities:</w:t>
      </w:r>
    </w:p>
    <w:p w14:paraId="1AFBE1AC" w14:textId="42270426" w:rsidR="0002762F" w:rsidRDefault="00A27826">
      <w:pPr>
        <w:jc w:val="center"/>
        <w:rPr>
          <w:rFonts w:ascii="Times New Roman" w:eastAsia="Times New Roman" w:hAnsi="Times New Roman" w:cs="Times New Roman"/>
          <w:b/>
        </w:rPr>
      </w:pPr>
      <w:r>
        <w:rPr>
          <w:rFonts w:ascii="Times New Roman" w:eastAsia="Times New Roman" w:hAnsi="Times New Roman" w:cs="Times New Roman"/>
          <w:b/>
        </w:rPr>
        <w:t>Table 4 State-Level MPI Headcount Ratio (2023) and HDI Score (2024)</w:t>
      </w:r>
    </w:p>
    <w:tbl>
      <w:tblPr>
        <w:tblStyle w:val="a2"/>
        <w:tblW w:w="7677" w:type="dxa"/>
        <w:tblBorders>
          <w:top w:val="single" w:sz="4" w:space="0" w:color="7F7F7F"/>
          <w:bottom w:val="single" w:sz="4" w:space="0" w:color="7F7F7F"/>
        </w:tblBorders>
        <w:tblLayout w:type="fixed"/>
        <w:tblLook w:val="04A0" w:firstRow="1" w:lastRow="0" w:firstColumn="1" w:lastColumn="0" w:noHBand="0" w:noVBand="1"/>
      </w:tblPr>
      <w:tblGrid>
        <w:gridCol w:w="2036"/>
        <w:gridCol w:w="3643"/>
        <w:gridCol w:w="1998"/>
      </w:tblGrid>
      <w:tr w:rsidR="0002762F" w14:paraId="4531427F" w14:textId="77777777" w:rsidTr="000276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Pr>
          <w:p w14:paraId="4C0D444C"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rPr>
              <w:t>State</w:t>
            </w:r>
          </w:p>
        </w:tc>
        <w:tc>
          <w:tcPr>
            <w:tcW w:w="3643" w:type="dxa"/>
          </w:tcPr>
          <w:p w14:paraId="3401F605" w14:textId="77777777" w:rsidR="0002762F" w:rsidRDefault="00A40DFE">
            <w:pPr>
              <w:spacing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MPI Headcount Ratio (%) (2023)</w:t>
            </w:r>
          </w:p>
        </w:tc>
        <w:tc>
          <w:tcPr>
            <w:tcW w:w="1998" w:type="dxa"/>
          </w:tcPr>
          <w:p w14:paraId="4A47F28F" w14:textId="77777777" w:rsidR="0002762F" w:rsidRDefault="00A40DFE">
            <w:pPr>
              <w:spacing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HDI Score (2024)</w:t>
            </w:r>
          </w:p>
        </w:tc>
      </w:tr>
      <w:tr w:rsidR="0002762F" w14:paraId="3CE1D5E6" w14:textId="77777777" w:rsidTr="0002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Pr>
          <w:p w14:paraId="0DD0E738"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Goa</w:t>
            </w:r>
          </w:p>
        </w:tc>
        <w:tc>
          <w:tcPr>
            <w:tcW w:w="3643" w:type="dxa"/>
          </w:tcPr>
          <w:p w14:paraId="22430418"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0.37</w:t>
            </w:r>
          </w:p>
        </w:tc>
        <w:tc>
          <w:tcPr>
            <w:tcW w:w="1998" w:type="dxa"/>
          </w:tcPr>
          <w:p w14:paraId="0000E1C4"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0.851</w:t>
            </w:r>
          </w:p>
        </w:tc>
      </w:tr>
      <w:tr w:rsidR="0002762F" w14:paraId="34BFCD56" w14:textId="77777777" w:rsidTr="0002762F">
        <w:tc>
          <w:tcPr>
            <w:cnfStyle w:val="001000000000" w:firstRow="0" w:lastRow="0" w:firstColumn="1" w:lastColumn="0" w:oddVBand="0" w:evenVBand="0" w:oddHBand="0" w:evenHBand="0" w:firstRowFirstColumn="0" w:firstRowLastColumn="0" w:lastRowFirstColumn="0" w:lastRowLastColumn="0"/>
            <w:tcW w:w="2036" w:type="dxa"/>
          </w:tcPr>
          <w:p w14:paraId="3ED7AD27"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Kerala</w:t>
            </w:r>
          </w:p>
        </w:tc>
        <w:tc>
          <w:tcPr>
            <w:tcW w:w="3643" w:type="dxa"/>
          </w:tcPr>
          <w:p w14:paraId="731A7533"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0.48</w:t>
            </w:r>
          </w:p>
        </w:tc>
        <w:tc>
          <w:tcPr>
            <w:tcW w:w="1998" w:type="dxa"/>
          </w:tcPr>
          <w:p w14:paraId="590F2308"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0.814</w:t>
            </w:r>
          </w:p>
        </w:tc>
      </w:tr>
      <w:tr w:rsidR="0002762F" w14:paraId="6870A5DC" w14:textId="77777777" w:rsidTr="0002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Pr>
          <w:p w14:paraId="3D353781"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Tamil Nadu</w:t>
            </w:r>
          </w:p>
        </w:tc>
        <w:tc>
          <w:tcPr>
            <w:tcW w:w="3643" w:type="dxa"/>
          </w:tcPr>
          <w:p w14:paraId="3D9F32D8"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1.43</w:t>
            </w:r>
          </w:p>
        </w:tc>
        <w:tc>
          <w:tcPr>
            <w:tcW w:w="1998" w:type="dxa"/>
          </w:tcPr>
          <w:p w14:paraId="1F6E6049"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0.753</w:t>
            </w:r>
          </w:p>
        </w:tc>
      </w:tr>
      <w:tr w:rsidR="0002762F" w14:paraId="44A7EDAB" w14:textId="77777777" w:rsidTr="0002762F">
        <w:tc>
          <w:tcPr>
            <w:cnfStyle w:val="001000000000" w:firstRow="0" w:lastRow="0" w:firstColumn="1" w:lastColumn="0" w:oddVBand="0" w:evenVBand="0" w:oddHBand="0" w:evenHBand="0" w:firstRowFirstColumn="0" w:firstRowLastColumn="0" w:lastRowFirstColumn="0" w:lastRowLastColumn="0"/>
            <w:tcW w:w="2036" w:type="dxa"/>
          </w:tcPr>
          <w:p w14:paraId="4497E4DA"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Sikkim</w:t>
            </w:r>
          </w:p>
        </w:tc>
        <w:tc>
          <w:tcPr>
            <w:tcW w:w="3643" w:type="dxa"/>
          </w:tcPr>
          <w:p w14:paraId="123369AC"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2.10</w:t>
            </w:r>
          </w:p>
        </w:tc>
        <w:tc>
          <w:tcPr>
            <w:tcW w:w="1998" w:type="dxa"/>
          </w:tcPr>
          <w:p w14:paraId="5969A33B"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0.832</w:t>
            </w:r>
          </w:p>
        </w:tc>
      </w:tr>
      <w:tr w:rsidR="0002762F" w14:paraId="54DC8C49" w14:textId="77777777" w:rsidTr="0002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Pr>
          <w:p w14:paraId="79558DC9"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Telangana</w:t>
            </w:r>
          </w:p>
        </w:tc>
        <w:tc>
          <w:tcPr>
            <w:tcW w:w="3643" w:type="dxa"/>
          </w:tcPr>
          <w:p w14:paraId="622D61F6"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3.76</w:t>
            </w:r>
          </w:p>
        </w:tc>
        <w:tc>
          <w:tcPr>
            <w:tcW w:w="1998" w:type="dxa"/>
          </w:tcPr>
          <w:p w14:paraId="021403A5"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0.740</w:t>
            </w:r>
          </w:p>
        </w:tc>
      </w:tr>
      <w:tr w:rsidR="0002762F" w14:paraId="62ECC93B" w14:textId="77777777" w:rsidTr="0002762F">
        <w:tc>
          <w:tcPr>
            <w:cnfStyle w:val="001000000000" w:firstRow="0" w:lastRow="0" w:firstColumn="1" w:lastColumn="0" w:oddVBand="0" w:evenVBand="0" w:oddHBand="0" w:evenHBand="0" w:firstRowFirstColumn="0" w:firstRowLastColumn="0" w:lastRowFirstColumn="0" w:lastRowLastColumn="0"/>
            <w:tcW w:w="2036" w:type="dxa"/>
          </w:tcPr>
          <w:p w14:paraId="2BFEA0F8"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Mizoram</w:t>
            </w:r>
          </w:p>
        </w:tc>
        <w:tc>
          <w:tcPr>
            <w:tcW w:w="3643" w:type="dxa"/>
          </w:tcPr>
          <w:p w14:paraId="62720968"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3.77</w:t>
            </w:r>
          </w:p>
        </w:tc>
        <w:tc>
          <w:tcPr>
            <w:tcW w:w="1998" w:type="dxa"/>
          </w:tcPr>
          <w:p w14:paraId="4BDFC747"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0.777</w:t>
            </w:r>
          </w:p>
        </w:tc>
      </w:tr>
      <w:tr w:rsidR="0002762F" w14:paraId="72A403E8" w14:textId="77777777" w:rsidTr="0002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Pr>
          <w:p w14:paraId="30F0BF7D"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Himachal Pradesh</w:t>
            </w:r>
          </w:p>
        </w:tc>
        <w:tc>
          <w:tcPr>
            <w:tcW w:w="3643" w:type="dxa"/>
          </w:tcPr>
          <w:p w14:paraId="1EEEFD32"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3.88</w:t>
            </w:r>
          </w:p>
        </w:tc>
        <w:tc>
          <w:tcPr>
            <w:tcW w:w="1998" w:type="dxa"/>
          </w:tcPr>
          <w:p w14:paraId="51743863"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0.758</w:t>
            </w:r>
          </w:p>
        </w:tc>
      </w:tr>
      <w:tr w:rsidR="0002762F" w14:paraId="6C03A478" w14:textId="77777777" w:rsidTr="0002762F">
        <w:tc>
          <w:tcPr>
            <w:cnfStyle w:val="001000000000" w:firstRow="0" w:lastRow="0" w:firstColumn="1" w:lastColumn="0" w:oddVBand="0" w:evenVBand="0" w:oddHBand="0" w:evenHBand="0" w:firstRowFirstColumn="0" w:firstRowLastColumn="0" w:lastRowFirstColumn="0" w:lastRowLastColumn="0"/>
            <w:tcW w:w="2036" w:type="dxa"/>
          </w:tcPr>
          <w:p w14:paraId="1936C23C"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Andhra Pradesh</w:t>
            </w:r>
          </w:p>
        </w:tc>
        <w:tc>
          <w:tcPr>
            <w:tcW w:w="3643" w:type="dxa"/>
          </w:tcPr>
          <w:p w14:paraId="64C64173"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4.19</w:t>
            </w:r>
          </w:p>
        </w:tc>
        <w:tc>
          <w:tcPr>
            <w:tcW w:w="1998" w:type="dxa"/>
          </w:tcPr>
          <w:p w14:paraId="24C9C7D3"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0.695</w:t>
            </w:r>
          </w:p>
        </w:tc>
      </w:tr>
      <w:tr w:rsidR="0002762F" w14:paraId="19B24FCE" w14:textId="77777777" w:rsidTr="0002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Pr>
          <w:p w14:paraId="62C97FFC"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Punjab</w:t>
            </w:r>
          </w:p>
        </w:tc>
        <w:tc>
          <w:tcPr>
            <w:tcW w:w="3643" w:type="dxa"/>
          </w:tcPr>
          <w:p w14:paraId="673FD211"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4.35</w:t>
            </w:r>
          </w:p>
        </w:tc>
        <w:tc>
          <w:tcPr>
            <w:tcW w:w="1998" w:type="dxa"/>
          </w:tcPr>
          <w:p w14:paraId="166AC91E"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0.725</w:t>
            </w:r>
          </w:p>
        </w:tc>
      </w:tr>
      <w:tr w:rsidR="0002762F" w14:paraId="5BED665D" w14:textId="77777777" w:rsidTr="0002762F">
        <w:tc>
          <w:tcPr>
            <w:cnfStyle w:val="001000000000" w:firstRow="0" w:lastRow="0" w:firstColumn="1" w:lastColumn="0" w:oddVBand="0" w:evenVBand="0" w:oddHBand="0" w:evenHBand="0" w:firstRowFirstColumn="0" w:firstRowLastColumn="0" w:lastRowFirstColumn="0" w:lastRowLastColumn="0"/>
            <w:tcW w:w="2036" w:type="dxa"/>
          </w:tcPr>
          <w:p w14:paraId="68AC4562"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Haryana</w:t>
            </w:r>
          </w:p>
        </w:tc>
        <w:tc>
          <w:tcPr>
            <w:tcW w:w="3643" w:type="dxa"/>
          </w:tcPr>
          <w:p w14:paraId="33EEBF9B"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5.30</w:t>
            </w:r>
          </w:p>
        </w:tc>
        <w:tc>
          <w:tcPr>
            <w:tcW w:w="1998" w:type="dxa"/>
          </w:tcPr>
          <w:p w14:paraId="69397293"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0.753</w:t>
            </w:r>
          </w:p>
        </w:tc>
      </w:tr>
      <w:tr w:rsidR="0002762F" w14:paraId="5C853A0A" w14:textId="77777777" w:rsidTr="0002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Pr>
          <w:p w14:paraId="3D7CEC61"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Manipur</w:t>
            </w:r>
          </w:p>
        </w:tc>
        <w:tc>
          <w:tcPr>
            <w:tcW w:w="3643" w:type="dxa"/>
          </w:tcPr>
          <w:p w14:paraId="7C8522F8"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5.37</w:t>
            </w:r>
          </w:p>
        </w:tc>
        <w:tc>
          <w:tcPr>
            <w:tcW w:w="1998" w:type="dxa"/>
          </w:tcPr>
          <w:p w14:paraId="1A9B8D37"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0.749</w:t>
            </w:r>
          </w:p>
        </w:tc>
      </w:tr>
      <w:tr w:rsidR="0002762F" w14:paraId="20F2E7D7" w14:textId="77777777" w:rsidTr="0002762F">
        <w:tc>
          <w:tcPr>
            <w:cnfStyle w:val="001000000000" w:firstRow="0" w:lastRow="0" w:firstColumn="1" w:lastColumn="0" w:oddVBand="0" w:evenVBand="0" w:oddHBand="0" w:evenHBand="0" w:firstRowFirstColumn="0" w:firstRowLastColumn="0" w:lastRowFirstColumn="0" w:lastRowLastColumn="0"/>
            <w:tcW w:w="2036" w:type="dxa"/>
          </w:tcPr>
          <w:p w14:paraId="7E108146"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Maharashtra</w:t>
            </w:r>
          </w:p>
        </w:tc>
        <w:tc>
          <w:tcPr>
            <w:tcW w:w="3643" w:type="dxa"/>
          </w:tcPr>
          <w:p w14:paraId="5A3C4CFE"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5.48</w:t>
            </w:r>
          </w:p>
        </w:tc>
        <w:tc>
          <w:tcPr>
            <w:tcW w:w="1998" w:type="dxa"/>
          </w:tcPr>
          <w:p w14:paraId="5662A222"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0.768</w:t>
            </w:r>
          </w:p>
        </w:tc>
      </w:tr>
      <w:tr w:rsidR="0002762F" w14:paraId="7B2B28DC" w14:textId="77777777" w:rsidTr="0002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Pr>
          <w:p w14:paraId="21B4F5C1"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Karnataka</w:t>
            </w:r>
          </w:p>
        </w:tc>
        <w:tc>
          <w:tcPr>
            <w:tcW w:w="3643" w:type="dxa"/>
          </w:tcPr>
          <w:p w14:paraId="3644AE01"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5.67</w:t>
            </w:r>
          </w:p>
        </w:tc>
        <w:tc>
          <w:tcPr>
            <w:tcW w:w="1998" w:type="dxa"/>
          </w:tcPr>
          <w:p w14:paraId="03D41B62"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0.752</w:t>
            </w:r>
          </w:p>
        </w:tc>
      </w:tr>
      <w:tr w:rsidR="0002762F" w14:paraId="7B3D2C87" w14:textId="77777777" w:rsidTr="0002762F">
        <w:tc>
          <w:tcPr>
            <w:cnfStyle w:val="001000000000" w:firstRow="0" w:lastRow="0" w:firstColumn="1" w:lastColumn="0" w:oddVBand="0" w:evenVBand="0" w:oddHBand="0" w:evenHBand="0" w:firstRowFirstColumn="0" w:firstRowLastColumn="0" w:lastRowFirstColumn="0" w:lastRowLastColumn="0"/>
            <w:tcW w:w="2036" w:type="dxa"/>
          </w:tcPr>
          <w:p w14:paraId="41CB6AD8"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Uttarakhand</w:t>
            </w:r>
          </w:p>
        </w:tc>
        <w:tc>
          <w:tcPr>
            <w:tcW w:w="3643" w:type="dxa"/>
          </w:tcPr>
          <w:p w14:paraId="33CEC21A"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6.92</w:t>
            </w:r>
          </w:p>
        </w:tc>
        <w:tc>
          <w:tcPr>
            <w:tcW w:w="1998" w:type="dxa"/>
          </w:tcPr>
          <w:p w14:paraId="1DF92CEC"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0.743</w:t>
            </w:r>
          </w:p>
        </w:tc>
      </w:tr>
      <w:tr w:rsidR="0002762F" w14:paraId="71DF59E4" w14:textId="77777777" w:rsidTr="0002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Pr>
          <w:p w14:paraId="74E22C3A"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West Bengal</w:t>
            </w:r>
          </w:p>
        </w:tc>
        <w:tc>
          <w:tcPr>
            <w:tcW w:w="3643" w:type="dxa"/>
          </w:tcPr>
          <w:p w14:paraId="23C7B092"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8.60</w:t>
            </w:r>
          </w:p>
        </w:tc>
        <w:tc>
          <w:tcPr>
            <w:tcW w:w="1998" w:type="dxa"/>
          </w:tcPr>
          <w:p w14:paraId="3ECDA27D"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0.694</w:t>
            </w:r>
          </w:p>
        </w:tc>
      </w:tr>
      <w:tr w:rsidR="0002762F" w14:paraId="12B787AE" w14:textId="77777777" w:rsidTr="0002762F">
        <w:tc>
          <w:tcPr>
            <w:cnfStyle w:val="001000000000" w:firstRow="0" w:lastRow="0" w:firstColumn="1" w:lastColumn="0" w:oddVBand="0" w:evenVBand="0" w:oddHBand="0" w:evenHBand="0" w:firstRowFirstColumn="0" w:firstRowLastColumn="0" w:lastRowFirstColumn="0" w:lastRowLastColumn="0"/>
            <w:tcW w:w="2036" w:type="dxa"/>
          </w:tcPr>
          <w:p w14:paraId="208880C8"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Gujarat</w:t>
            </w:r>
          </w:p>
        </w:tc>
        <w:tc>
          <w:tcPr>
            <w:tcW w:w="3643" w:type="dxa"/>
          </w:tcPr>
          <w:p w14:paraId="2FC1435C"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9.03</w:t>
            </w:r>
          </w:p>
        </w:tc>
        <w:tc>
          <w:tcPr>
            <w:tcW w:w="1998" w:type="dxa"/>
          </w:tcPr>
          <w:p w14:paraId="2441FDEF"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0.667</w:t>
            </w:r>
          </w:p>
        </w:tc>
      </w:tr>
      <w:tr w:rsidR="0002762F" w14:paraId="5A56A772" w14:textId="77777777" w:rsidTr="0002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Pr>
          <w:p w14:paraId="25DCC720"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Arunachal Pradesh</w:t>
            </w:r>
          </w:p>
        </w:tc>
        <w:tc>
          <w:tcPr>
            <w:tcW w:w="3643" w:type="dxa"/>
          </w:tcPr>
          <w:p w14:paraId="21CFD0D9"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10.05</w:t>
            </w:r>
          </w:p>
        </w:tc>
        <w:tc>
          <w:tcPr>
            <w:tcW w:w="1998" w:type="dxa"/>
          </w:tcPr>
          <w:p w14:paraId="3C8BCD7A"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0.735</w:t>
            </w:r>
          </w:p>
        </w:tc>
      </w:tr>
      <w:tr w:rsidR="0002762F" w14:paraId="4A2072AF" w14:textId="77777777" w:rsidTr="0002762F">
        <w:tc>
          <w:tcPr>
            <w:cnfStyle w:val="001000000000" w:firstRow="0" w:lastRow="0" w:firstColumn="1" w:lastColumn="0" w:oddVBand="0" w:evenVBand="0" w:oddHBand="0" w:evenHBand="0" w:firstRowFirstColumn="0" w:firstRowLastColumn="0" w:lastRowFirstColumn="0" w:lastRowLastColumn="0"/>
            <w:tcW w:w="2036" w:type="dxa"/>
          </w:tcPr>
          <w:p w14:paraId="4962B05B"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Rajasthan</w:t>
            </w:r>
          </w:p>
        </w:tc>
        <w:tc>
          <w:tcPr>
            <w:tcW w:w="3643" w:type="dxa"/>
          </w:tcPr>
          <w:p w14:paraId="6A147B22"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10.77</w:t>
            </w:r>
          </w:p>
        </w:tc>
        <w:tc>
          <w:tcPr>
            <w:tcW w:w="1998" w:type="dxa"/>
          </w:tcPr>
          <w:p w14:paraId="2EC4ACA8"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0.702</w:t>
            </w:r>
          </w:p>
        </w:tc>
      </w:tr>
      <w:tr w:rsidR="0002762F" w14:paraId="5531280D" w14:textId="77777777" w:rsidTr="0002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Pr>
          <w:p w14:paraId="59DC929E"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Odisha</w:t>
            </w:r>
          </w:p>
        </w:tc>
        <w:tc>
          <w:tcPr>
            <w:tcW w:w="3643" w:type="dxa"/>
          </w:tcPr>
          <w:p w14:paraId="7DF19894"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11.07</w:t>
            </w:r>
          </w:p>
        </w:tc>
        <w:tc>
          <w:tcPr>
            <w:tcW w:w="1998" w:type="dxa"/>
          </w:tcPr>
          <w:p w14:paraId="38775629"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0.666</w:t>
            </w:r>
          </w:p>
        </w:tc>
      </w:tr>
      <w:tr w:rsidR="0002762F" w14:paraId="6D0E5656" w14:textId="77777777" w:rsidTr="0002762F">
        <w:tc>
          <w:tcPr>
            <w:cnfStyle w:val="001000000000" w:firstRow="0" w:lastRow="0" w:firstColumn="1" w:lastColumn="0" w:oddVBand="0" w:evenVBand="0" w:oddHBand="0" w:evenHBand="0" w:firstRowFirstColumn="0" w:firstRowLastColumn="0" w:lastRowFirstColumn="0" w:lastRowLastColumn="0"/>
            <w:tcW w:w="2036" w:type="dxa"/>
          </w:tcPr>
          <w:p w14:paraId="59DA6DA9"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Tripura</w:t>
            </w:r>
          </w:p>
        </w:tc>
        <w:tc>
          <w:tcPr>
            <w:tcW w:w="3643" w:type="dxa"/>
          </w:tcPr>
          <w:p w14:paraId="2BADDEA9"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11.49</w:t>
            </w:r>
          </w:p>
        </w:tc>
        <w:tc>
          <w:tcPr>
            <w:tcW w:w="1998" w:type="dxa"/>
          </w:tcPr>
          <w:p w14:paraId="4843D34F"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0.686</w:t>
            </w:r>
          </w:p>
        </w:tc>
      </w:tr>
      <w:tr w:rsidR="0002762F" w14:paraId="0701AA3E" w14:textId="77777777" w:rsidTr="0002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Pr>
          <w:p w14:paraId="5A131CDF"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Chhattisgarh</w:t>
            </w:r>
          </w:p>
        </w:tc>
        <w:tc>
          <w:tcPr>
            <w:tcW w:w="3643" w:type="dxa"/>
          </w:tcPr>
          <w:p w14:paraId="2A478C20"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11.71</w:t>
            </w:r>
          </w:p>
        </w:tc>
        <w:tc>
          <w:tcPr>
            <w:tcW w:w="1998" w:type="dxa"/>
          </w:tcPr>
          <w:p w14:paraId="15D77DCC"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0.679</w:t>
            </w:r>
          </w:p>
        </w:tc>
      </w:tr>
      <w:tr w:rsidR="0002762F" w14:paraId="334165C2" w14:textId="77777777" w:rsidTr="0002762F">
        <w:tc>
          <w:tcPr>
            <w:cnfStyle w:val="001000000000" w:firstRow="0" w:lastRow="0" w:firstColumn="1" w:lastColumn="0" w:oddVBand="0" w:evenVBand="0" w:oddHBand="0" w:evenHBand="0" w:firstRowFirstColumn="0" w:firstRowLastColumn="0" w:lastRowFirstColumn="0" w:lastRowLastColumn="0"/>
            <w:tcW w:w="2036" w:type="dxa"/>
          </w:tcPr>
          <w:p w14:paraId="65ECC9AA"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Nagaland</w:t>
            </w:r>
          </w:p>
        </w:tc>
        <w:tc>
          <w:tcPr>
            <w:tcW w:w="3643" w:type="dxa"/>
          </w:tcPr>
          <w:p w14:paraId="480160FD"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11.76</w:t>
            </w:r>
          </w:p>
        </w:tc>
        <w:tc>
          <w:tcPr>
            <w:tcW w:w="1998" w:type="dxa"/>
          </w:tcPr>
          <w:p w14:paraId="77F2A8C4"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0.715</w:t>
            </w:r>
          </w:p>
        </w:tc>
      </w:tr>
      <w:tr w:rsidR="0002762F" w14:paraId="1BCE60B1" w14:textId="77777777" w:rsidTr="0002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Pr>
          <w:p w14:paraId="6EE9955F"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Assam</w:t>
            </w:r>
          </w:p>
        </w:tc>
        <w:tc>
          <w:tcPr>
            <w:tcW w:w="3643" w:type="dxa"/>
          </w:tcPr>
          <w:p w14:paraId="12144BCF"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14.47</w:t>
            </w:r>
          </w:p>
        </w:tc>
        <w:tc>
          <w:tcPr>
            <w:tcW w:w="1998" w:type="dxa"/>
          </w:tcPr>
          <w:p w14:paraId="2FAD0610"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0.685</w:t>
            </w:r>
          </w:p>
        </w:tc>
      </w:tr>
      <w:tr w:rsidR="0002762F" w14:paraId="17A87A34" w14:textId="77777777" w:rsidTr="0002762F">
        <w:tc>
          <w:tcPr>
            <w:cnfStyle w:val="001000000000" w:firstRow="0" w:lastRow="0" w:firstColumn="1" w:lastColumn="0" w:oddVBand="0" w:evenVBand="0" w:oddHBand="0" w:evenHBand="0" w:firstRowFirstColumn="0" w:firstRowLastColumn="0" w:lastRowFirstColumn="0" w:lastRowLastColumn="0"/>
            <w:tcW w:w="2036" w:type="dxa"/>
          </w:tcPr>
          <w:p w14:paraId="576027B6"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Madhya Pradesh</w:t>
            </w:r>
          </w:p>
        </w:tc>
        <w:tc>
          <w:tcPr>
            <w:tcW w:w="3643" w:type="dxa"/>
          </w:tcPr>
          <w:p w14:paraId="1EE060EA"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15.01</w:t>
            </w:r>
          </w:p>
        </w:tc>
        <w:tc>
          <w:tcPr>
            <w:tcW w:w="1998" w:type="dxa"/>
          </w:tcPr>
          <w:p w14:paraId="20F2A4C9"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0.644</w:t>
            </w:r>
          </w:p>
        </w:tc>
      </w:tr>
      <w:tr w:rsidR="0002762F" w14:paraId="78AA5780" w14:textId="77777777" w:rsidTr="0002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Pr>
          <w:p w14:paraId="3564E5CC"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Uttar Pradesh</w:t>
            </w:r>
          </w:p>
        </w:tc>
        <w:tc>
          <w:tcPr>
            <w:tcW w:w="3643" w:type="dxa"/>
          </w:tcPr>
          <w:p w14:paraId="7AD092D4"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17.40</w:t>
            </w:r>
          </w:p>
        </w:tc>
        <w:tc>
          <w:tcPr>
            <w:tcW w:w="1998" w:type="dxa"/>
          </w:tcPr>
          <w:p w14:paraId="2E9DD969"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0.631</w:t>
            </w:r>
          </w:p>
        </w:tc>
      </w:tr>
      <w:tr w:rsidR="0002762F" w14:paraId="53332246" w14:textId="77777777" w:rsidTr="0002762F">
        <w:tc>
          <w:tcPr>
            <w:cnfStyle w:val="001000000000" w:firstRow="0" w:lastRow="0" w:firstColumn="1" w:lastColumn="0" w:oddVBand="0" w:evenVBand="0" w:oddHBand="0" w:evenHBand="0" w:firstRowFirstColumn="0" w:firstRowLastColumn="0" w:lastRowFirstColumn="0" w:lastRowLastColumn="0"/>
            <w:tcW w:w="2036" w:type="dxa"/>
          </w:tcPr>
          <w:p w14:paraId="39EBB8D8"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Jharkhand</w:t>
            </w:r>
          </w:p>
        </w:tc>
        <w:tc>
          <w:tcPr>
            <w:tcW w:w="3643" w:type="dxa"/>
          </w:tcPr>
          <w:p w14:paraId="231F0D50"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23.34</w:t>
            </w:r>
          </w:p>
        </w:tc>
        <w:tc>
          <w:tcPr>
            <w:tcW w:w="1998" w:type="dxa"/>
          </w:tcPr>
          <w:p w14:paraId="794E7D8A"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0.649</w:t>
            </w:r>
          </w:p>
        </w:tc>
      </w:tr>
      <w:tr w:rsidR="0002762F" w14:paraId="0C3519FD" w14:textId="77777777" w:rsidTr="0002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Pr>
          <w:p w14:paraId="6BB6BD1B"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Meghalaya</w:t>
            </w:r>
          </w:p>
        </w:tc>
        <w:tc>
          <w:tcPr>
            <w:tcW w:w="3643" w:type="dxa"/>
          </w:tcPr>
          <w:p w14:paraId="5C81A14E"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25.46</w:t>
            </w:r>
          </w:p>
        </w:tc>
        <w:tc>
          <w:tcPr>
            <w:tcW w:w="1998" w:type="dxa"/>
          </w:tcPr>
          <w:p w14:paraId="741607C6" w14:textId="77777777" w:rsidR="0002762F" w:rsidRDefault="00A40DFE">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0.715</w:t>
            </w:r>
          </w:p>
        </w:tc>
      </w:tr>
      <w:tr w:rsidR="0002762F" w14:paraId="1A6C1D24" w14:textId="77777777" w:rsidTr="0002762F">
        <w:tc>
          <w:tcPr>
            <w:cnfStyle w:val="001000000000" w:firstRow="0" w:lastRow="0" w:firstColumn="1" w:lastColumn="0" w:oddVBand="0" w:evenVBand="0" w:oddHBand="0" w:evenHBand="0" w:firstRowFirstColumn="0" w:firstRowLastColumn="0" w:lastRowFirstColumn="0" w:lastRowLastColumn="0"/>
            <w:tcW w:w="2036" w:type="dxa"/>
          </w:tcPr>
          <w:p w14:paraId="6C32B77B" w14:textId="77777777" w:rsidR="0002762F" w:rsidRDefault="00A40DFE">
            <w:pPr>
              <w:spacing w:line="278" w:lineRule="auto"/>
              <w:jc w:val="both"/>
              <w:rPr>
                <w:rFonts w:ascii="Times New Roman" w:eastAsia="Times New Roman" w:hAnsi="Times New Roman" w:cs="Times New Roman"/>
              </w:rPr>
            </w:pPr>
            <w:r>
              <w:rPr>
                <w:rFonts w:ascii="Times New Roman" w:eastAsia="Times New Roman" w:hAnsi="Times New Roman" w:cs="Times New Roman"/>
                <w:b w:val="0"/>
              </w:rPr>
              <w:t>Bihar</w:t>
            </w:r>
          </w:p>
        </w:tc>
        <w:tc>
          <w:tcPr>
            <w:tcW w:w="3643" w:type="dxa"/>
          </w:tcPr>
          <w:p w14:paraId="70B5C8D7"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26.59</w:t>
            </w:r>
          </w:p>
        </w:tc>
        <w:tc>
          <w:tcPr>
            <w:tcW w:w="1998" w:type="dxa"/>
          </w:tcPr>
          <w:p w14:paraId="08E6D453" w14:textId="77777777" w:rsidR="0002762F" w:rsidRDefault="00A40DFE">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0.613</w:t>
            </w:r>
          </w:p>
        </w:tc>
      </w:tr>
    </w:tbl>
    <w:p w14:paraId="40A6AF44"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b/>
        </w:rPr>
        <w:lastRenderedPageBreak/>
        <w:t>Notes on sources: MPI Headcount Ratio (2023)</w:t>
      </w:r>
      <w:r>
        <w:rPr>
          <w:rFonts w:ascii="Times New Roman" w:eastAsia="Times New Roman" w:hAnsi="Times New Roman" w:cs="Times New Roman"/>
        </w:rPr>
        <w:t xml:space="preserve"> values are from the latest NITI Aayog/SDG India Index data for state-wise multidimensional poverty </w:t>
      </w:r>
      <w:hyperlink r:id="rId9">
        <w:r w:rsidR="0002762F">
          <w:rPr>
            <w:rFonts w:ascii="Times New Roman" w:eastAsia="Times New Roman" w:hAnsi="Times New Roman" w:cs="Times New Roman"/>
            <w:color w:val="467886"/>
            <w:u w:val="single"/>
          </w:rPr>
          <w:t>Wikipedia</w:t>
        </w:r>
      </w:hyperlink>
      <w:r>
        <w:rPr>
          <w:rFonts w:ascii="Times New Roman" w:eastAsia="Times New Roman" w:hAnsi="Times New Roman" w:cs="Times New Roman"/>
        </w:rPr>
        <w:t xml:space="preserve">. </w:t>
      </w:r>
      <w:r>
        <w:rPr>
          <w:rFonts w:ascii="Times New Roman" w:eastAsia="Times New Roman" w:hAnsi="Times New Roman" w:cs="Times New Roman"/>
          <w:b/>
        </w:rPr>
        <w:t>HDI Scores (2024)</w:t>
      </w:r>
      <w:r>
        <w:rPr>
          <w:rFonts w:ascii="Times New Roman" w:eastAsia="Times New Roman" w:hAnsi="Times New Roman" w:cs="Times New Roman"/>
        </w:rPr>
        <w:t xml:space="preserve"> are from the Wikipedia page, listing Indian states and union territories by HDI.</w:t>
      </w:r>
    </w:p>
    <w:p w14:paraId="559E9E97"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Kerala, Goa, Tamil Nadu, and Sikkim consistently ranked among the top performers in both MPI and HDI, while Bihar, Meghalaya, Jharkhand, and Uttar Pradesh remained at the bottom across both indices.</w:t>
      </w:r>
    </w:p>
    <w:p w14:paraId="4136ED5C"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c. Dimensional Contributions to MPI</w:t>
      </w:r>
      <w:r>
        <w:rPr>
          <w:noProof/>
          <w:lang w:eastAsia="en-IN"/>
        </w:rPr>
        <w:drawing>
          <wp:anchor distT="0" distB="0" distL="114300" distR="114300" simplePos="0" relativeHeight="251658240" behindDoc="0" locked="0" layoutInCell="1" hidden="0" allowOverlap="1" wp14:anchorId="45F7AD9B" wp14:editId="4A569393">
            <wp:simplePos x="0" y="0"/>
            <wp:positionH relativeFrom="column">
              <wp:posOffset>19051</wp:posOffset>
            </wp:positionH>
            <wp:positionV relativeFrom="paragraph">
              <wp:posOffset>253365</wp:posOffset>
            </wp:positionV>
            <wp:extent cx="3562350" cy="2438400"/>
            <wp:effectExtent l="0" t="0" r="19050" b="19050"/>
            <wp:wrapSquare wrapText="bothSides" distT="0" distB="0" distL="114300" distR="114300"/>
            <wp:docPr id="1171440389" name="Chart 1171440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142AFE71" w14:textId="77777777" w:rsidR="00A27826" w:rsidRDefault="00A27826">
      <w:pPr>
        <w:jc w:val="both"/>
        <w:rPr>
          <w:rFonts w:ascii="Times New Roman" w:eastAsia="Times New Roman" w:hAnsi="Times New Roman" w:cs="Times New Roman"/>
        </w:rPr>
      </w:pPr>
    </w:p>
    <w:p w14:paraId="72745AFA" w14:textId="77777777" w:rsidR="00A27826" w:rsidRDefault="00A27826">
      <w:pPr>
        <w:jc w:val="both"/>
        <w:rPr>
          <w:rFonts w:ascii="Times New Roman" w:eastAsia="Times New Roman" w:hAnsi="Times New Roman" w:cs="Times New Roman"/>
        </w:rPr>
      </w:pPr>
    </w:p>
    <w:p w14:paraId="619D9696" w14:textId="77777777" w:rsidR="00A27826" w:rsidRDefault="00A27826">
      <w:pPr>
        <w:jc w:val="both"/>
        <w:rPr>
          <w:rFonts w:ascii="Times New Roman" w:eastAsia="Times New Roman" w:hAnsi="Times New Roman" w:cs="Times New Roman"/>
        </w:rPr>
      </w:pPr>
    </w:p>
    <w:p w14:paraId="1DFC403D" w14:textId="77777777" w:rsidR="00A27826" w:rsidRDefault="00A27826">
      <w:pPr>
        <w:jc w:val="both"/>
        <w:rPr>
          <w:rFonts w:ascii="Times New Roman" w:eastAsia="Times New Roman" w:hAnsi="Times New Roman" w:cs="Times New Roman"/>
        </w:rPr>
      </w:pPr>
    </w:p>
    <w:p w14:paraId="3AE1651F" w14:textId="77777777" w:rsidR="00A27826" w:rsidRDefault="00A27826">
      <w:pPr>
        <w:jc w:val="both"/>
        <w:rPr>
          <w:rFonts w:ascii="Times New Roman" w:eastAsia="Times New Roman" w:hAnsi="Times New Roman" w:cs="Times New Roman"/>
        </w:rPr>
      </w:pPr>
    </w:p>
    <w:p w14:paraId="07C09C42" w14:textId="77777777" w:rsidR="00A27826" w:rsidRDefault="00A27826">
      <w:pPr>
        <w:jc w:val="both"/>
        <w:rPr>
          <w:rFonts w:ascii="Times New Roman" w:eastAsia="Times New Roman" w:hAnsi="Times New Roman" w:cs="Times New Roman"/>
        </w:rPr>
      </w:pPr>
    </w:p>
    <w:p w14:paraId="79F58CE1" w14:textId="77777777" w:rsidR="00A27826" w:rsidRDefault="00A27826">
      <w:pPr>
        <w:jc w:val="both"/>
        <w:rPr>
          <w:rFonts w:ascii="Times New Roman" w:eastAsia="Times New Roman" w:hAnsi="Times New Roman" w:cs="Times New Roman"/>
        </w:rPr>
      </w:pPr>
      <w:bookmarkStart w:id="1" w:name="_GoBack"/>
      <w:bookmarkEnd w:id="1"/>
    </w:p>
    <w:p w14:paraId="66CB409F" w14:textId="77777777" w:rsidR="00A27826" w:rsidRDefault="00A27826">
      <w:pPr>
        <w:jc w:val="both"/>
        <w:rPr>
          <w:rFonts w:ascii="Times New Roman" w:eastAsia="Times New Roman" w:hAnsi="Times New Roman" w:cs="Times New Roman"/>
        </w:rPr>
      </w:pPr>
    </w:p>
    <w:p w14:paraId="71F36553" w14:textId="1B122AEF" w:rsidR="00A27826" w:rsidRDefault="00792B5A">
      <w:pPr>
        <w:jc w:val="both"/>
        <w:rPr>
          <w:rFonts w:ascii="Times New Roman" w:eastAsia="Times New Roman" w:hAnsi="Times New Roman" w:cs="Times New Roman"/>
        </w:rPr>
      </w:pPr>
      <w:r w:rsidRPr="00792B5A">
        <w:rPr>
          <w:rFonts w:ascii="Times New Roman" w:eastAsia="Times New Roman" w:hAnsi="Times New Roman" w:cs="Times New Roman"/>
        </w:rPr>
        <w:t>Fig.1 MPI Dimensional Decomposition</w:t>
      </w:r>
    </w:p>
    <w:p w14:paraId="733CA87A" w14:textId="1E7B0ECC" w:rsidR="0002762F" w:rsidRDefault="00A40DFE">
      <w:pPr>
        <w:jc w:val="both"/>
        <w:rPr>
          <w:rFonts w:ascii="Times New Roman" w:eastAsia="Times New Roman" w:hAnsi="Times New Roman" w:cs="Times New Roman"/>
          <w:b/>
          <w:i/>
        </w:rPr>
      </w:pPr>
      <w:r>
        <w:rPr>
          <w:rFonts w:ascii="Times New Roman" w:eastAsia="Times New Roman" w:hAnsi="Times New Roman" w:cs="Times New Roman"/>
        </w:rPr>
        <w:t>National-level decomposition revealed health as the dominant contributor to MPI (45.86%), followed by education (27.71%) and living standards (26.43%). Health, nutrition, and child/adolescent mortality contributed 22.93%. Educational indicators—years of schooling and school attendance— contributed nearly equally (13.85% and 13.86%, respectively). Among the living standards, cooking fuel (8.98%) and sanitation (4.23%) were the most significant contributors.</w:t>
      </w:r>
    </w:p>
    <w:p w14:paraId="79184A27"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States with high MPI headcounts, such as Bihar and Madhya Pradesh, exhibit disproportionate contributions from health indicators, suggesting systemic gaps in health care access and nutrition security.</w:t>
      </w:r>
    </w:p>
    <w:p w14:paraId="33E1A17F"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5.2 Comparative Analysis</w:t>
      </w:r>
    </w:p>
    <w:p w14:paraId="71FD4B31"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a. MPI–HDI Correlation</w:t>
      </w:r>
    </w:p>
    <w:p w14:paraId="1D3A90A3" w14:textId="77777777" w:rsidR="0002762F" w:rsidRPr="004F3178" w:rsidRDefault="00273AA8">
      <w:pPr>
        <w:jc w:val="both"/>
        <w:rPr>
          <w:rFonts w:ascii="Times New Roman" w:eastAsia="Times New Roman" w:hAnsi="Times New Roman" w:cs="Times New Roman"/>
        </w:rPr>
      </w:pPr>
      <w:sdt>
        <w:sdtPr>
          <w:rPr>
            <w:rFonts w:ascii="Times New Roman" w:hAnsi="Times New Roman" w:cs="Times New Roman"/>
          </w:rPr>
          <w:tag w:val="goog_rdk_0"/>
          <w:id w:val="-172742334"/>
        </w:sdtPr>
        <w:sdtEndPr/>
        <w:sdtContent>
          <w:r w:rsidR="00A40DFE" w:rsidRPr="004F3178">
            <w:rPr>
              <w:rFonts w:ascii="Times New Roman" w:eastAsia="Gungsuh" w:hAnsi="Times New Roman" w:cs="Times New Roman"/>
            </w:rPr>
            <w:t>Pearson correlation analysis revealed a moderate negative correlation (r = −0.678) between MPI headcount ratios and HDI scores across states. This indicates that higher human development is generally associated with lower multidimensional poverty, although the relationship is non-linear. The correlation between MPI intensity and HDI was weaker (r = −0.524), suggesting that depth of deprivation may persist even in states with moderate HDI performance.</w:t>
          </w:r>
        </w:sdtContent>
      </w:sdt>
    </w:p>
    <w:p w14:paraId="6ACB7E2D"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b. Divergence in Poverty Identification</w:t>
      </w:r>
    </w:p>
    <w:p w14:paraId="1BB470B2"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lastRenderedPageBreak/>
        <w:t>Several states exhibit divergence between MPI and HDI rankings. For instance, Gujarat and Karnataka rank higher in the HDI than in the MPI, implying that average development achievements may mask acute deprivation among specific population groups. Conversely, Himachal Pradesh and Punjab showed stronger MPI performance relative to HDI, indicating effective targeting of the poorest despite moderate aggregate development.</w:t>
      </w:r>
    </w:p>
    <w:p w14:paraId="74542950"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c. Rural–Urban and Regional Disparities</w:t>
      </w:r>
    </w:p>
    <w:p w14:paraId="5BC1DB4C"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Rural areas consistently reported higher MPI headcount ratios than urban areas. Between 2015–16 and 2019–21, the rural MPI declined from 32.59% to 19.28%, while the urban MPI fell from 8.65% to 5.27%. The narrowing rural–urban gap—from 23.94 to 14.01 percentage points suggests that rural-focused interventions have been particularly effective.</w:t>
      </w:r>
    </w:p>
    <w:p w14:paraId="3706C88E" w14:textId="77777777" w:rsidR="0002762F" w:rsidRDefault="0002762F">
      <w:pPr>
        <w:spacing w:after="0"/>
        <w:jc w:val="center"/>
        <w:rPr>
          <w:rFonts w:ascii="Times New Roman" w:eastAsia="Times New Roman" w:hAnsi="Times New Roman" w:cs="Times New Roman"/>
          <w:b/>
        </w:rPr>
      </w:pPr>
    </w:p>
    <w:p w14:paraId="1A48B02D" w14:textId="77777777" w:rsidR="0002762F" w:rsidRDefault="0002762F">
      <w:pPr>
        <w:spacing w:after="0"/>
        <w:jc w:val="center"/>
        <w:rPr>
          <w:rFonts w:ascii="Times New Roman" w:eastAsia="Times New Roman" w:hAnsi="Times New Roman" w:cs="Times New Roman"/>
          <w:b/>
        </w:rPr>
      </w:pPr>
    </w:p>
    <w:p w14:paraId="719B77DA" w14:textId="0BE2F2BA" w:rsidR="0002762F" w:rsidRDefault="00A27826">
      <w:pPr>
        <w:spacing w:after="0"/>
        <w:jc w:val="center"/>
        <w:rPr>
          <w:rFonts w:ascii="Times New Roman" w:eastAsia="Times New Roman" w:hAnsi="Times New Roman" w:cs="Times New Roman"/>
          <w:b/>
        </w:rPr>
      </w:pPr>
      <w:r>
        <w:rPr>
          <w:rFonts w:ascii="Times New Roman" w:eastAsia="Times New Roman" w:hAnsi="Times New Roman" w:cs="Times New Roman"/>
          <w:b/>
        </w:rPr>
        <w:t>Fig .2 Rural-Urban MPI Trends</w:t>
      </w:r>
    </w:p>
    <w:p w14:paraId="7451C74D" w14:textId="77777777" w:rsidR="0002762F" w:rsidRDefault="00A40DFE">
      <w:pPr>
        <w:spacing w:after="0"/>
        <w:jc w:val="center"/>
        <w:rPr>
          <w:rFonts w:ascii="Times New Roman" w:eastAsia="Times New Roman" w:hAnsi="Times New Roman" w:cs="Times New Roman"/>
        </w:rPr>
      </w:pPr>
      <w:r>
        <w:rPr>
          <w:rFonts w:ascii="Times New Roman" w:eastAsia="Times New Roman" w:hAnsi="Times New Roman" w:cs="Times New Roman"/>
        </w:rPr>
        <w:t>Temporal comparison of multidimensional poverty in rural vs urban areas</w:t>
      </w:r>
    </w:p>
    <w:p w14:paraId="0057BE67" w14:textId="77777777" w:rsidR="0002762F" w:rsidRDefault="00A40DFE">
      <w:pPr>
        <w:jc w:val="center"/>
        <w:rPr>
          <w:rFonts w:ascii="Times New Roman" w:eastAsia="Times New Roman" w:hAnsi="Times New Roman" w:cs="Times New Roman"/>
        </w:rPr>
      </w:pPr>
      <w:r>
        <w:rPr>
          <w:rFonts w:ascii="Times New Roman" w:eastAsia="Times New Roman" w:hAnsi="Times New Roman" w:cs="Times New Roman"/>
          <w:noProof/>
          <w:lang w:eastAsia="en-IN"/>
        </w:rPr>
        <w:drawing>
          <wp:inline distT="0" distB="0" distL="0" distR="0" wp14:anchorId="2E0836F2" wp14:editId="0C309E9C">
            <wp:extent cx="5526831" cy="3331755"/>
            <wp:effectExtent l="0" t="0" r="0" b="0"/>
            <wp:docPr id="1171440390" name="image1.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screen shot of a graph&#10;&#10;AI-generated content may be incorrect."/>
                    <pic:cNvPicPr preferRelativeResize="0"/>
                  </pic:nvPicPr>
                  <pic:blipFill>
                    <a:blip r:embed="rId11"/>
                    <a:srcRect/>
                    <a:stretch>
                      <a:fillRect/>
                    </a:stretch>
                  </pic:blipFill>
                  <pic:spPr>
                    <a:xfrm>
                      <a:off x="0" y="0"/>
                      <a:ext cx="5526831" cy="3331755"/>
                    </a:xfrm>
                    <a:prstGeom prst="rect">
                      <a:avLst/>
                    </a:prstGeom>
                    <a:ln/>
                  </pic:spPr>
                </pic:pic>
              </a:graphicData>
            </a:graphic>
          </wp:inline>
        </w:drawing>
      </w:r>
    </w:p>
    <w:p w14:paraId="41301869"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Regionally, the southern and western states outperformed their northern and eastern counterparts. Kerala, Tamil Nadu, and Goa demonstrate near-universal access to basic services, while Bihar, Jharkhand, and Uttar Pradesh continue to face multidimensional deficits in health, education, and infrastructure.</w:t>
      </w:r>
    </w:p>
    <w:p w14:paraId="6D254750"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5.3 Key Trends</w:t>
      </w:r>
    </w:p>
    <w:p w14:paraId="4A2DC81D"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a. National Decline in MPI</w:t>
      </w:r>
    </w:p>
    <w:p w14:paraId="5962EAB5"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 xml:space="preserve">India’s MPI value declined by 43.6% between 2015 and 16 and 2022–23, with over 24 crore individuals escaping multidimensional poverty. This reduction is among the fastest globally, </w:t>
      </w:r>
      <w:r>
        <w:rPr>
          <w:rFonts w:ascii="Times New Roman" w:eastAsia="Times New Roman" w:hAnsi="Times New Roman" w:cs="Times New Roman"/>
        </w:rPr>
        <w:lastRenderedPageBreak/>
        <w:t>and reflects the impact of targeted social protection schemes, improved service delivery, and infrastructure expansion.</w:t>
      </w:r>
    </w:p>
    <w:p w14:paraId="42D30A5B"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b. Uneven HDI Improvement</w:t>
      </w:r>
    </w:p>
    <w:p w14:paraId="35410E6A"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Although the HDI has improved nationally, the gains are uneven. States with historically strong human development (e.g., Kerala and Himachal Pradesh) continue to lead, while low-HDI states show slower progress. Income growth has lagged improvements in education and health, constraining the acceleration of HDI.</w:t>
      </w:r>
    </w:p>
    <w:p w14:paraId="1BD2CBAE" w14:textId="77777777" w:rsidR="0002762F" w:rsidRDefault="0002762F">
      <w:pPr>
        <w:jc w:val="both"/>
        <w:rPr>
          <w:rFonts w:ascii="Times New Roman" w:eastAsia="Times New Roman" w:hAnsi="Times New Roman" w:cs="Times New Roman"/>
        </w:rPr>
      </w:pPr>
    </w:p>
    <w:p w14:paraId="00DC9D85"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c. Health and Education as Poverty Drivers</w:t>
      </w:r>
    </w:p>
    <w:p w14:paraId="2A93997C"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Health indicators, particularly nutrition and child mortality, remained the largest contributors to MPI. Despite these improvements, malnutrition and preventable mortality persist in high-poverty states. Education indicators also play a significant role, with years of schooling and attendance gaps contributing nearly 28% of MPI. These findings underscore the need for sustained investment in health and education to achieve further poverty reduction.</w:t>
      </w:r>
    </w:p>
    <w:p w14:paraId="7B73FD4A"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6. Discussion</w:t>
      </w:r>
    </w:p>
    <w:p w14:paraId="2BC90405"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6.1 Interpretation of Findings</w:t>
      </w:r>
    </w:p>
    <w:p w14:paraId="59AC06E9"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The findings of this study underscore India’s significant progress in reducing multidimensional poverty, with over 248 million individuals escaping deprivation between 2015–16 and 2022–23. This achievement reflects the cumulative impact of targeted social protection schemes, improved service delivery, and sustained investment in rural infrastructure. However, the persistence of high MPI headcounts in states such as Bihar, Jharkhand, and Uttar Pradesh reveals the structural inequalities that remain resistant to aggregate development gains.</w:t>
      </w:r>
    </w:p>
    <w:p w14:paraId="510E7074" w14:textId="77777777" w:rsidR="000A262A" w:rsidRDefault="000A262A" w:rsidP="000A262A">
      <w:pPr>
        <w:jc w:val="both"/>
        <w:rPr>
          <w:rFonts w:ascii="Times New Roman" w:eastAsia="Times New Roman" w:hAnsi="Times New Roman" w:cs="Times New Roman"/>
        </w:rPr>
      </w:pPr>
      <w:r w:rsidRPr="000A262A">
        <w:rPr>
          <w:rFonts w:ascii="Times New Roman" w:eastAsia="Times New Roman" w:hAnsi="Times New Roman" w:cs="Times New Roman"/>
        </w:rPr>
        <w:t xml:space="preserve">The dominance of health indicators, particularly nutrition and child mortality, as contributors to the MPI suggests that poverty in India is deeply rooted in systemic deficits in public health infrastructure and access. Despite improvements in the HDI, which rose from 0.645 to 0.685 nationally, the moderate negative correlation (r = −0.678) between MPI and HDI indicates that average development achievements do not necessarily translate into poverty eradication for the most deprived. </w:t>
      </w:r>
    </w:p>
    <w:p w14:paraId="7797139E" w14:textId="215EE89C" w:rsidR="0002762F" w:rsidRDefault="00A40DFE" w:rsidP="000A262A">
      <w:pPr>
        <w:jc w:val="both"/>
        <w:rPr>
          <w:rFonts w:ascii="Times New Roman" w:eastAsia="Times New Roman" w:hAnsi="Times New Roman" w:cs="Times New Roman"/>
        </w:rPr>
      </w:pPr>
      <w:r>
        <w:rPr>
          <w:rFonts w:ascii="Times New Roman" w:eastAsia="Times New Roman" w:hAnsi="Times New Roman" w:cs="Times New Roman"/>
        </w:rPr>
        <w:t>Governance quality is a critical factor in explaining interstate disparities. States with stronger institutional capacity and decentralized service delivery, such as Kerala and Himachal Pradesh, consistently outperform others in both the MPI and HDI rankings. This reinforces the argument that poverty reduction is not merely a function of economic growth but of inclusive governance and responsive policy ecosystems.</w:t>
      </w:r>
    </w:p>
    <w:p w14:paraId="79D88DA1"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 xml:space="preserve">From a resource-allocation perspective, the dimensional decomposition of MPI provides actionable insights. Health accounts for 45.86% of the national MPI, followed by education (27.71%), and living standards (26.43%). These proportions suggest that budgetary </w:t>
      </w:r>
      <w:r>
        <w:rPr>
          <w:rFonts w:ascii="Times New Roman" w:eastAsia="Times New Roman" w:hAnsi="Times New Roman" w:cs="Times New Roman"/>
        </w:rPr>
        <w:lastRenderedPageBreak/>
        <w:t>prioritization should reflect sectoral deprivation intensity, enabling a more efficient and equitable targeting of interventions.</w:t>
      </w:r>
    </w:p>
    <w:p w14:paraId="03BE55CC"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6.2 Policy and Practice Implications</w:t>
      </w:r>
    </w:p>
    <w:p w14:paraId="37EE33C6"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a. Integrated Poverty Measurement Frameworks</w:t>
      </w:r>
    </w:p>
    <w:p w14:paraId="48450367"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The comparative analysis of MPI and HDI highlights the need for integrated poverty diagnostics that combines depth-sensitive and average-based metrics. Policymakers should institutionalize MPI as a complementary tool to HDI in planning, monitoring, and evaluation frameworks. This dual approach enables the identification of both aggregate development gaps and acute deprivation clusters, thus enhancing the precision of policy responses.</w:t>
      </w:r>
    </w:p>
    <w:p w14:paraId="1AA06368" w14:textId="77777777" w:rsidR="0002762F" w:rsidRDefault="0002762F">
      <w:pPr>
        <w:jc w:val="both"/>
        <w:rPr>
          <w:rFonts w:ascii="Times New Roman" w:eastAsia="Times New Roman" w:hAnsi="Times New Roman" w:cs="Times New Roman"/>
        </w:rPr>
      </w:pPr>
    </w:p>
    <w:p w14:paraId="16125038"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b. Sectoral Interventions Aligned with SDGs and NEP 2020</w:t>
      </w:r>
    </w:p>
    <w:p w14:paraId="579C3A1A"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The study’s findings align closely with several Sustainable Development Goals (SDGs), particularly SDG 1 (No Poverty), SDG 3 (Good Health and Well-being), SDG 4 (Quality Education), and SDG 6 (Clean Water and Sanitation). Recommended interventions include the following.</w:t>
      </w:r>
    </w:p>
    <w:p w14:paraId="1F6DD568" w14:textId="77777777" w:rsidR="0002762F" w:rsidRDefault="00A40DFE">
      <w:pPr>
        <w:numPr>
          <w:ilvl w:val="0"/>
          <w:numId w:val="5"/>
        </w:numPr>
        <w:jc w:val="both"/>
        <w:rPr>
          <w:rFonts w:ascii="Times New Roman" w:eastAsia="Times New Roman" w:hAnsi="Times New Roman" w:cs="Times New Roman"/>
        </w:rPr>
      </w:pPr>
      <w:r>
        <w:rPr>
          <w:rFonts w:ascii="Times New Roman" w:eastAsia="Times New Roman" w:hAnsi="Times New Roman" w:cs="Times New Roman"/>
          <w:b/>
        </w:rPr>
        <w:t>Health</w:t>
      </w:r>
      <w:r>
        <w:rPr>
          <w:rFonts w:ascii="Times New Roman" w:eastAsia="Times New Roman" w:hAnsi="Times New Roman" w:cs="Times New Roman"/>
        </w:rPr>
        <w:t>: Expansion of primary healthcare networks, universal nutrition coverage, and maternal–child health programs.</w:t>
      </w:r>
    </w:p>
    <w:p w14:paraId="53A0C814" w14:textId="77777777" w:rsidR="0002762F" w:rsidRDefault="00A40DFE">
      <w:pPr>
        <w:numPr>
          <w:ilvl w:val="0"/>
          <w:numId w:val="5"/>
        </w:numPr>
        <w:jc w:val="both"/>
        <w:rPr>
          <w:rFonts w:ascii="Times New Roman" w:eastAsia="Times New Roman" w:hAnsi="Times New Roman" w:cs="Times New Roman"/>
        </w:rPr>
      </w:pPr>
      <w:r>
        <w:rPr>
          <w:rFonts w:ascii="Times New Roman" w:eastAsia="Times New Roman" w:hAnsi="Times New Roman" w:cs="Times New Roman"/>
          <w:b/>
        </w:rPr>
        <w:t>Education</w:t>
      </w:r>
      <w:r>
        <w:rPr>
          <w:rFonts w:ascii="Times New Roman" w:eastAsia="Times New Roman" w:hAnsi="Times New Roman" w:cs="Times New Roman"/>
        </w:rPr>
        <w:t>: Infrastructure upgrades, dropout prevention schemes, and digital learning initiatives aligned with NEP 2020.</w:t>
      </w:r>
    </w:p>
    <w:p w14:paraId="45E5421B" w14:textId="77777777" w:rsidR="005426B8" w:rsidRPr="005426B8" w:rsidRDefault="00A40DFE" w:rsidP="005426B8">
      <w:pPr>
        <w:numPr>
          <w:ilvl w:val="0"/>
          <w:numId w:val="5"/>
        </w:numPr>
        <w:jc w:val="both"/>
        <w:rPr>
          <w:rFonts w:ascii="Times New Roman" w:eastAsia="Times New Roman" w:hAnsi="Times New Roman" w:cs="Times New Roman"/>
          <w:color w:val="EE0000"/>
        </w:rPr>
      </w:pPr>
      <w:r w:rsidRPr="005426B8">
        <w:rPr>
          <w:rFonts w:ascii="Times New Roman" w:eastAsia="Times New Roman" w:hAnsi="Times New Roman" w:cs="Times New Roman"/>
          <w:b/>
        </w:rPr>
        <w:t>Living Standards</w:t>
      </w:r>
      <w:r w:rsidRPr="005426B8">
        <w:rPr>
          <w:rFonts w:ascii="Times New Roman" w:eastAsia="Times New Roman" w:hAnsi="Times New Roman" w:cs="Times New Roman"/>
          <w:color w:val="EE0000"/>
        </w:rPr>
        <w:t xml:space="preserve">: </w:t>
      </w:r>
      <w:r w:rsidR="005426B8" w:rsidRPr="005426B8">
        <w:rPr>
          <w:rFonts w:ascii="Times New Roman" w:eastAsia="Times New Roman" w:hAnsi="Times New Roman" w:cs="Times New Roman"/>
          <w:color w:val="EE0000"/>
        </w:rPr>
        <w:t xml:space="preserve">Priority should be given to strengthening health systems, improving educational infrastructure, and enhancing living standards through integrated social protection policies, all aligned with SDGs 1, 3, 4, and 10. </w:t>
      </w:r>
    </w:p>
    <w:p w14:paraId="5F63952D" w14:textId="5A3532A8" w:rsidR="0002762F" w:rsidRPr="005426B8" w:rsidRDefault="00A40DFE" w:rsidP="005426B8">
      <w:pPr>
        <w:jc w:val="both"/>
        <w:rPr>
          <w:rFonts w:ascii="Times New Roman" w:eastAsia="Times New Roman" w:hAnsi="Times New Roman" w:cs="Times New Roman"/>
        </w:rPr>
      </w:pPr>
      <w:r w:rsidRPr="005426B8">
        <w:rPr>
          <w:rFonts w:ascii="Times New Roman" w:eastAsia="Times New Roman" w:hAnsi="Times New Roman" w:cs="Times New Roman"/>
        </w:rPr>
        <w:t>These interventions must be context sensitive, with differentiated strategies for high-poverty states and informal urban settlements.</w:t>
      </w:r>
    </w:p>
    <w:p w14:paraId="0A5ECF98"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c. Libraries and Civic Infrastructures for Knowledge Equity</w:t>
      </w:r>
    </w:p>
    <w:p w14:paraId="724EB170"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Public libraries and civic knowledge infrastructure play a pivotal role in democratizing access to information, especially in marginalized communities. As a hybrid civic space, libraries can reduce poverty by</w:t>
      </w:r>
    </w:p>
    <w:p w14:paraId="4FFA10DE" w14:textId="77777777" w:rsidR="0002762F" w:rsidRDefault="00A40DFE">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Hosting digital literacy and skill-building programs.</w:t>
      </w:r>
    </w:p>
    <w:p w14:paraId="4766062A" w14:textId="77777777" w:rsidR="0002762F" w:rsidRDefault="00A40DFE">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Facilitating access to government schemes and entitlements.</w:t>
      </w:r>
    </w:p>
    <w:p w14:paraId="30075A37" w14:textId="77777777" w:rsidR="0002762F" w:rsidRDefault="00A40DFE">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Serving as hubs for participatory planning and community engagement.</w:t>
      </w:r>
    </w:p>
    <w:p w14:paraId="251CCB78"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Integrating libraries into poverty alleviation strategies aligns with SDG 16 (Peace, Justice, and Strong Institutions) and supports inclusive data-driven governance.</w:t>
      </w:r>
    </w:p>
    <w:p w14:paraId="5CB68C1D"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lastRenderedPageBreak/>
        <w:t>6.3 Limitations of the Study</w:t>
      </w:r>
    </w:p>
    <w:p w14:paraId="622A2659"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a. Data Lag and Granularity</w:t>
      </w:r>
    </w:p>
    <w:p w14:paraId="060E212B"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The analysis relies primarily on the NFHS-4 (2015–16) and NFHS-5 (2019–21), with extrapolated estimates for 2022–23. The absence of post-pandemic household-level data limits the assessment of the impact of COVID-19 on multidimensional poverty. Furthermore, state-level aggregation masks intra-state disparities, constraining micro-targeting potential.</w:t>
      </w:r>
    </w:p>
    <w:p w14:paraId="671B1342"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b. Equal Weighting Critique</w:t>
      </w:r>
    </w:p>
    <w:p w14:paraId="14BEC45D"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Alkier</w:t>
      </w:r>
      <w:proofErr w:type="spellEnd"/>
      <w:r>
        <w:rPr>
          <w:rFonts w:ascii="Times New Roman" w:eastAsia="Times New Roman" w:hAnsi="Times New Roman" w:cs="Times New Roman"/>
        </w:rPr>
        <w:t>–Foster methodology applies equal weights across dimensions and indicators, which may not reflect contextual priorities. For instance, health may warrant higher weight in states with elevated mortality rates. While equal weighting ensures comparability, it may dilute policy relevance in localized settings. Future research should explore participatory and data-driven weighting schemes.</w:t>
      </w:r>
    </w:p>
    <w:p w14:paraId="757FE126"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c. Need for Longitudinal and Causal Studies</w:t>
      </w:r>
    </w:p>
    <w:p w14:paraId="45ED65F1"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This study employed descriptive and correlational methods that do not establish causality between interventions and poverty outcomes. Longitudinal panel studies and quasi-experimental designs are needed to evaluate the effectiveness of specific programs (e.g., MGNREGA, PMAY, and ICDS) in reducing MPI. Such studies would enhance the evidence base for scalable impact-driven policy design.</w:t>
      </w:r>
    </w:p>
    <w:p w14:paraId="3F6CA132"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7. Conclusion</w:t>
      </w:r>
    </w:p>
    <w:p w14:paraId="4570E26A"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 xml:space="preserve">This study underscores the persistent multidimensional poverty disparities across Indian states, revealing strong inverse correlations between the MPI and HDI. Although recent improvements are evident, especially in rural zones, structural inequities remain entrenched. These findings advocate policy frameworks that are spatially adaptive, </w:t>
      </w:r>
      <w:proofErr w:type="spellStart"/>
      <w:r>
        <w:rPr>
          <w:rFonts w:ascii="Times New Roman" w:eastAsia="Times New Roman" w:hAnsi="Times New Roman" w:cs="Times New Roman"/>
        </w:rPr>
        <w:t>intersectionally</w:t>
      </w:r>
      <w:proofErr w:type="spellEnd"/>
      <w:r>
        <w:rPr>
          <w:rFonts w:ascii="Times New Roman" w:eastAsia="Times New Roman" w:hAnsi="Times New Roman" w:cs="Times New Roman"/>
        </w:rPr>
        <w:t xml:space="preserve"> informed, and empirically grounded.</w:t>
      </w:r>
    </w:p>
    <w:p w14:paraId="16AAE1E3" w14:textId="77777777" w:rsidR="0002762F" w:rsidRDefault="00A40DFE">
      <w:pPr>
        <w:jc w:val="both"/>
        <w:rPr>
          <w:rFonts w:ascii="Times New Roman" w:eastAsia="Times New Roman" w:hAnsi="Times New Roman" w:cs="Times New Roman"/>
          <w:b/>
          <w:i/>
        </w:rPr>
      </w:pPr>
      <w:r>
        <w:rPr>
          <w:rFonts w:ascii="Times New Roman" w:eastAsia="Times New Roman" w:hAnsi="Times New Roman" w:cs="Times New Roman"/>
          <w:b/>
          <w:i/>
        </w:rPr>
        <w:t>7.1 Summary of Findings</w:t>
      </w:r>
    </w:p>
    <w:p w14:paraId="34A89217"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This study presents a comprehensive, longitudinal analysis of multidimensional poverty in India from 2015 to 2024 using the Multidimensional Poverty Index (MPI) and Human Development Index (HDI) as complementary frameworks. The findings reveal that India has made substantial progress in reducing multidimensional poverty, with the national MPI headcount ratio declining from 24.85% to 11.28% and over 248 million individuals escaping poverty during this period. Simultaneously, the HDI improved from 0.645 to 0.685, reflecting gains in education and health, albeit with an uneven distribution across states.</w:t>
      </w:r>
    </w:p>
    <w:p w14:paraId="41F940EA"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Dimensional decomposition highlighted health as the dominant contributor to MPI (45.86%), followed by education (27.71%), and living standards (26.43%). Nutrition and child mortality remain persistent challenges, particularly in high-poverty states such as Bihar and Jharkhand. Rural areas demonstrated faster MPI reductions than urban zones, suggesting the effectiveness of targeted rural development programs.</w:t>
      </w:r>
    </w:p>
    <w:p w14:paraId="123C3291" w14:textId="77777777" w:rsidR="0002762F" w:rsidRDefault="00273AA8">
      <w:pPr>
        <w:jc w:val="both"/>
        <w:rPr>
          <w:rFonts w:ascii="Times New Roman" w:eastAsia="Times New Roman" w:hAnsi="Times New Roman" w:cs="Times New Roman"/>
        </w:rPr>
      </w:pPr>
      <w:sdt>
        <w:sdtPr>
          <w:rPr>
            <w:rFonts w:ascii="Times New Roman" w:eastAsia="Times New Roman" w:hAnsi="Times New Roman" w:cs="Times New Roman"/>
          </w:rPr>
          <w:tag w:val="goog_rdk_2"/>
          <w:id w:val="-1028148250"/>
        </w:sdtPr>
        <w:sdtEndPr/>
        <w:sdtContent>
          <w:r w:rsidR="00A40DFE" w:rsidRPr="00A27826">
            <w:rPr>
              <w:rFonts w:ascii="Times New Roman" w:eastAsia="Times New Roman" w:hAnsi="Times New Roman" w:cs="Times New Roman"/>
            </w:rPr>
            <w:t>The moderate negative correlation between MPI and HDI (r = −0.678) underscores their complementarity. While the HDI captures average development achievements, the MPI identifies acute deprivation among the poorest. The integration of both indices enhances the diagnostic precision, enabling policymakers to balance macro-level planning with micro-level targeting.</w:t>
          </w:r>
        </w:sdtContent>
      </w:sdt>
    </w:p>
    <w:p w14:paraId="2A6CAB2F"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rPr>
        <w:t>This dual-framework approach reinforces the need for multidimensional poverty measurement in national planning, monitoring, and evaluation systems. It also validates the utility of MPI–HDI convergence in aligning poverty reduction strategies with Sustainable Development Goals (SDGs), particularly SDG 1 (No Poverty), SDG 3 (Good Health and Well-being), and SDG 4 (Quality Education).</w:t>
      </w:r>
    </w:p>
    <w:p w14:paraId="25F000FE" w14:textId="77777777" w:rsidR="0002762F" w:rsidRDefault="00A40DFE">
      <w:pPr>
        <w:jc w:val="both"/>
        <w:rPr>
          <w:rFonts w:ascii="Times New Roman" w:eastAsia="Times New Roman" w:hAnsi="Times New Roman" w:cs="Times New Roman"/>
          <w:b/>
        </w:rPr>
      </w:pPr>
      <w:r>
        <w:rPr>
          <w:rFonts w:ascii="Times New Roman" w:eastAsia="Times New Roman" w:hAnsi="Times New Roman" w:cs="Times New Roman"/>
          <w:b/>
        </w:rPr>
        <w:t>7.2 Limitations and Future Scope</w:t>
      </w:r>
    </w:p>
    <w:p w14:paraId="0362DEBA" w14:textId="77777777" w:rsidR="0002762F" w:rsidRDefault="00A40DFE">
      <w:pPr>
        <w:numPr>
          <w:ilvl w:val="0"/>
          <w:numId w:val="12"/>
        </w:numPr>
        <w:jc w:val="both"/>
        <w:rPr>
          <w:rFonts w:ascii="Times New Roman" w:eastAsia="Times New Roman" w:hAnsi="Times New Roman" w:cs="Times New Roman"/>
        </w:rPr>
      </w:pPr>
      <w:r>
        <w:rPr>
          <w:rFonts w:ascii="Times New Roman" w:eastAsia="Times New Roman" w:hAnsi="Times New Roman" w:cs="Times New Roman"/>
          <w:b/>
        </w:rPr>
        <w:t>Data lag and granularity</w:t>
      </w:r>
      <w:r>
        <w:rPr>
          <w:rFonts w:ascii="Times New Roman" w:eastAsia="Times New Roman" w:hAnsi="Times New Roman" w:cs="Times New Roman"/>
        </w:rPr>
        <w:t>: Reliance on NFHS and census data introduces temporal gaps and limits the micro-level analysis.</w:t>
      </w:r>
    </w:p>
    <w:p w14:paraId="03073FDE" w14:textId="77777777" w:rsidR="0002762F" w:rsidRDefault="00A40DFE">
      <w:pPr>
        <w:numPr>
          <w:ilvl w:val="0"/>
          <w:numId w:val="12"/>
        </w:numPr>
        <w:jc w:val="both"/>
        <w:rPr>
          <w:rFonts w:ascii="Times New Roman" w:eastAsia="Times New Roman" w:hAnsi="Times New Roman" w:cs="Times New Roman"/>
        </w:rPr>
      </w:pPr>
      <w:r>
        <w:rPr>
          <w:rFonts w:ascii="Times New Roman" w:eastAsia="Times New Roman" w:hAnsi="Times New Roman" w:cs="Times New Roman"/>
          <w:b/>
        </w:rPr>
        <w:t>Equal weighting critique</w:t>
      </w:r>
      <w:r>
        <w:rPr>
          <w:rFonts w:ascii="Times New Roman" w:eastAsia="Times New Roman" w:hAnsi="Times New Roman" w:cs="Times New Roman"/>
        </w:rPr>
        <w:t>: MPI dimensions are equally weighted, potentially obscuring context-specific deprivation intensity.</w:t>
      </w:r>
    </w:p>
    <w:p w14:paraId="4829E743" w14:textId="77777777" w:rsidR="0002762F" w:rsidRDefault="00A40DFE">
      <w:pPr>
        <w:numPr>
          <w:ilvl w:val="0"/>
          <w:numId w:val="12"/>
        </w:numPr>
        <w:jc w:val="both"/>
        <w:rPr>
          <w:rFonts w:ascii="Times New Roman" w:eastAsia="Times New Roman" w:hAnsi="Times New Roman" w:cs="Times New Roman"/>
        </w:rPr>
      </w:pPr>
      <w:r>
        <w:rPr>
          <w:rFonts w:ascii="Times New Roman" w:eastAsia="Times New Roman" w:hAnsi="Times New Roman" w:cs="Times New Roman"/>
          <w:b/>
        </w:rPr>
        <w:t>Need for longitudinal and causal studies</w:t>
      </w:r>
      <w:r>
        <w:rPr>
          <w:rFonts w:ascii="Times New Roman" w:eastAsia="Times New Roman" w:hAnsi="Times New Roman" w:cs="Times New Roman"/>
        </w:rPr>
        <w:t>: A cross-sectional design restricts causal inference; future research should adopt panel data and quasi-experimental methods.</w:t>
      </w:r>
    </w:p>
    <w:p w14:paraId="0A99D75A" w14:textId="77777777" w:rsidR="0002762F" w:rsidRDefault="00A40DFE">
      <w:pPr>
        <w:numPr>
          <w:ilvl w:val="0"/>
          <w:numId w:val="12"/>
        </w:numPr>
        <w:jc w:val="both"/>
        <w:rPr>
          <w:rFonts w:ascii="Times New Roman" w:eastAsia="Times New Roman" w:hAnsi="Times New Roman" w:cs="Times New Roman"/>
        </w:rPr>
      </w:pPr>
      <w:r>
        <w:rPr>
          <w:rFonts w:ascii="Times New Roman" w:eastAsia="Times New Roman" w:hAnsi="Times New Roman" w:cs="Times New Roman"/>
          <w:b/>
        </w:rPr>
        <w:t>Integration of environmental and digital deprivation indicators</w:t>
      </w:r>
      <w:r>
        <w:rPr>
          <w:rFonts w:ascii="Times New Roman" w:eastAsia="Times New Roman" w:hAnsi="Times New Roman" w:cs="Times New Roman"/>
        </w:rPr>
        <w:t>: Emerging forms of poverty, linked to climate vulnerability and digital exclusion, require incorporation into multidimensional frameworks.</w:t>
      </w:r>
    </w:p>
    <w:p w14:paraId="684B047A" w14:textId="77777777" w:rsidR="008B5D95" w:rsidRDefault="008B5D95" w:rsidP="008B5D95">
      <w:pPr>
        <w:jc w:val="both"/>
        <w:rPr>
          <w:rFonts w:ascii="Times New Roman" w:eastAsia="Times New Roman" w:hAnsi="Times New Roman" w:cs="Times New Roman"/>
        </w:rPr>
      </w:pPr>
    </w:p>
    <w:p w14:paraId="2736CA07" w14:textId="77777777" w:rsidR="008B5D95" w:rsidRPr="008B5D95" w:rsidRDefault="008B5D95" w:rsidP="008B5D95">
      <w:pPr>
        <w:jc w:val="both"/>
        <w:rPr>
          <w:rFonts w:ascii="Times New Roman" w:eastAsia="Times New Roman" w:hAnsi="Times New Roman" w:cs="Times New Roman"/>
          <w:b/>
          <w:i/>
        </w:rPr>
      </w:pPr>
      <w:r w:rsidRPr="008B5D95">
        <w:rPr>
          <w:rFonts w:ascii="Times New Roman" w:eastAsia="Times New Roman" w:hAnsi="Times New Roman" w:cs="Times New Roman"/>
          <w:b/>
          <w:i/>
        </w:rPr>
        <w:t>Disclosures</w:t>
      </w:r>
    </w:p>
    <w:p w14:paraId="5080B1D1" w14:textId="29EBD809" w:rsidR="005426B8" w:rsidRPr="008B5D95" w:rsidRDefault="008B5D95" w:rsidP="00234E39">
      <w:pPr>
        <w:jc w:val="both"/>
        <w:rPr>
          <w:rFonts w:ascii="Times New Roman" w:eastAsia="Times New Roman" w:hAnsi="Times New Roman" w:cs="Times New Roman"/>
          <w:i/>
        </w:rPr>
      </w:pPr>
      <w:r w:rsidRPr="008B5D95">
        <w:rPr>
          <w:rFonts w:ascii="Times New Roman" w:eastAsia="Times New Roman" w:hAnsi="Times New Roman" w:cs="Times New Roman"/>
          <w:b/>
          <w:i/>
        </w:rPr>
        <w:t>Conflict of Interest:</w:t>
      </w:r>
      <w:r w:rsidRPr="008B5D95">
        <w:rPr>
          <w:rFonts w:ascii="Times New Roman" w:eastAsia="Times New Roman" w:hAnsi="Times New Roman" w:cs="Times New Roman"/>
          <w:i/>
        </w:rPr>
        <w:t xml:space="preserve"> The author declares no conflicts of interest. </w:t>
      </w:r>
      <w:r w:rsidRPr="008B5D95">
        <w:rPr>
          <w:rFonts w:ascii="Times New Roman" w:eastAsia="Times New Roman" w:hAnsi="Times New Roman" w:cs="Times New Roman"/>
          <w:b/>
          <w:i/>
        </w:rPr>
        <w:t>Data Availability:</w:t>
      </w:r>
      <w:r w:rsidRPr="008B5D95">
        <w:rPr>
          <w:rFonts w:ascii="Times New Roman" w:eastAsia="Times New Roman" w:hAnsi="Times New Roman" w:cs="Times New Roman"/>
          <w:i/>
        </w:rPr>
        <w:t xml:space="preserve"> Data supporting the findings of this study are available from the author upon reasonable request. </w:t>
      </w:r>
    </w:p>
    <w:p w14:paraId="32CAD43F" w14:textId="77777777" w:rsidR="001C1E35" w:rsidRDefault="001C1E35" w:rsidP="00035E1C">
      <w:pPr>
        <w:jc w:val="both"/>
        <w:rPr>
          <w:highlight w:val="yellow"/>
        </w:rPr>
      </w:pPr>
      <w:r w:rsidRPr="00740879">
        <w:rPr>
          <w:highlight w:val="yellow"/>
        </w:rPr>
        <w:t>Disclaimer (Artificial intelligence)</w:t>
      </w:r>
    </w:p>
    <w:p w14:paraId="546ED970" w14:textId="625C44BF" w:rsidR="00035E1C" w:rsidRPr="00035E1C" w:rsidRDefault="00035E1C" w:rsidP="00035E1C">
      <w:pPr>
        <w:jc w:val="both"/>
        <w:rPr>
          <w:highlight w:val="yellow"/>
        </w:rPr>
      </w:pPr>
      <w:r w:rsidRPr="00035E1C">
        <w:rPr>
          <w:highlight w:val="yellow"/>
        </w:rPr>
        <w:t xml:space="preserve">Author(s) hereby declare that generative AI technologies such as </w:t>
      </w:r>
      <w:r>
        <w:rPr>
          <w:highlight w:val="yellow"/>
        </w:rPr>
        <w:t xml:space="preserve">No </w:t>
      </w:r>
      <w:r w:rsidRPr="00035E1C">
        <w:rPr>
          <w:highlight w:val="yellow"/>
        </w:rPr>
        <w:t>Large Language Models have been used during the writing or editing of this manuscript. The usage was limited to language refinement, formatting consistency, and assistance; no AI-generated content replaced original scholarly analysis or empirical results.</w:t>
      </w:r>
    </w:p>
    <w:p w14:paraId="3B987D72" w14:textId="77777777" w:rsidR="00035E1C" w:rsidRPr="00035E1C" w:rsidRDefault="00035E1C" w:rsidP="00035E1C">
      <w:pPr>
        <w:jc w:val="both"/>
        <w:rPr>
          <w:highlight w:val="yellow"/>
        </w:rPr>
      </w:pPr>
      <w:r w:rsidRPr="00035E1C">
        <w:rPr>
          <w:b/>
          <w:bCs/>
          <w:highlight w:val="yellow"/>
        </w:rPr>
        <w:t>Details of AI usage are given below:</w:t>
      </w:r>
    </w:p>
    <w:p w14:paraId="64115D7F" w14:textId="5D5A40F5" w:rsidR="00035E1C" w:rsidRPr="00035E1C" w:rsidRDefault="00035E1C" w:rsidP="00035E1C">
      <w:pPr>
        <w:numPr>
          <w:ilvl w:val="0"/>
          <w:numId w:val="18"/>
        </w:numPr>
        <w:jc w:val="both"/>
        <w:rPr>
          <w:highlight w:val="yellow"/>
        </w:rPr>
      </w:pPr>
      <w:r w:rsidRPr="00035E1C">
        <w:rPr>
          <w:b/>
          <w:bCs/>
          <w:highlight w:val="yellow"/>
        </w:rPr>
        <w:t>Technology used:</w:t>
      </w:r>
      <w:r w:rsidRPr="00035E1C">
        <w:rPr>
          <w:highlight w:val="yellow"/>
        </w:rPr>
        <w:t xml:space="preserve"> OpenAI ChatGPT </w:t>
      </w:r>
    </w:p>
    <w:p w14:paraId="093CBE3C" w14:textId="6A3A65A4" w:rsidR="00035E1C" w:rsidRPr="00035E1C" w:rsidRDefault="00035E1C" w:rsidP="00035E1C">
      <w:pPr>
        <w:numPr>
          <w:ilvl w:val="0"/>
          <w:numId w:val="18"/>
        </w:numPr>
        <w:jc w:val="both"/>
        <w:rPr>
          <w:highlight w:val="yellow"/>
        </w:rPr>
      </w:pPr>
      <w:r w:rsidRPr="00035E1C">
        <w:rPr>
          <w:b/>
          <w:bCs/>
          <w:highlight w:val="yellow"/>
        </w:rPr>
        <w:t>Purpose of use:</w:t>
      </w:r>
      <w:r w:rsidRPr="00035E1C">
        <w:rPr>
          <w:highlight w:val="yellow"/>
        </w:rPr>
        <w:t xml:space="preserve"> Grammar correction, clarity improvement</w:t>
      </w:r>
      <w:r>
        <w:rPr>
          <w:highlight w:val="yellow"/>
        </w:rPr>
        <w:t>.</w:t>
      </w:r>
    </w:p>
    <w:p w14:paraId="7A5AC941" w14:textId="77777777" w:rsidR="00035E1C" w:rsidRPr="00035E1C" w:rsidRDefault="00035E1C" w:rsidP="00035E1C">
      <w:pPr>
        <w:numPr>
          <w:ilvl w:val="0"/>
          <w:numId w:val="18"/>
        </w:numPr>
        <w:jc w:val="both"/>
        <w:rPr>
          <w:highlight w:val="yellow"/>
        </w:rPr>
      </w:pPr>
      <w:r w:rsidRPr="00035E1C">
        <w:rPr>
          <w:b/>
          <w:bCs/>
          <w:highlight w:val="yellow"/>
        </w:rPr>
        <w:t>Source:</w:t>
      </w:r>
      <w:r w:rsidRPr="00035E1C">
        <w:rPr>
          <w:highlight w:val="yellow"/>
        </w:rPr>
        <w:t xml:space="preserve"> OpenAI ChatGPT platform (</w:t>
      </w:r>
      <w:hyperlink r:id="rId12" w:tgtFrame="_new" w:history="1">
        <w:r w:rsidRPr="00035E1C">
          <w:rPr>
            <w:rStyle w:val="Hyperlink"/>
            <w:highlight w:val="yellow"/>
          </w:rPr>
          <w:t>https://chat.openai.com</w:t>
        </w:r>
      </w:hyperlink>
    </w:p>
    <w:p w14:paraId="1DF88A15" w14:textId="5ACE5710" w:rsidR="00035E1C" w:rsidRDefault="00035E1C" w:rsidP="00035E1C">
      <w:pPr>
        <w:jc w:val="both"/>
        <w:rPr>
          <w:highlight w:val="yellow"/>
        </w:rPr>
      </w:pPr>
      <w:r w:rsidRPr="00035E1C">
        <w:rPr>
          <w:highlight w:val="yellow"/>
        </w:rPr>
        <w:lastRenderedPageBreak/>
        <w:t>The author confirms that all interpretations, data analyses, and conclusions presented in this manuscript are entirely the author’s original intellectual contributions.</w:t>
      </w:r>
    </w:p>
    <w:p w14:paraId="5802F524" w14:textId="77777777" w:rsidR="008B5D95" w:rsidRDefault="008B5D95" w:rsidP="008B5D95">
      <w:pPr>
        <w:jc w:val="both"/>
        <w:rPr>
          <w:rFonts w:ascii="Times New Roman" w:eastAsia="Times New Roman" w:hAnsi="Times New Roman" w:cs="Times New Roman"/>
        </w:rPr>
      </w:pPr>
    </w:p>
    <w:p w14:paraId="4AE7524A" w14:textId="77777777" w:rsidR="0002762F" w:rsidRDefault="00A40DFE">
      <w:pPr>
        <w:jc w:val="both"/>
        <w:rPr>
          <w:rFonts w:ascii="Times New Roman" w:eastAsia="Times New Roman" w:hAnsi="Times New Roman" w:cs="Times New Roman"/>
        </w:rPr>
      </w:pPr>
      <w:r>
        <w:rPr>
          <w:rFonts w:ascii="Times New Roman" w:eastAsia="Times New Roman" w:hAnsi="Times New Roman" w:cs="Times New Roman"/>
          <w:b/>
        </w:rPr>
        <w:t>References</w:t>
      </w:r>
    </w:p>
    <w:p w14:paraId="274CBC5F"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Alkire, S., &amp; Foster, J. (2011). Counting and multidimensional poverty measurement. </w:t>
      </w:r>
      <w:r>
        <w:rPr>
          <w:rFonts w:ascii="Times New Roman" w:eastAsia="Times New Roman" w:hAnsi="Times New Roman" w:cs="Times New Roman"/>
          <w:i/>
          <w:color w:val="000000"/>
        </w:rPr>
        <w:t>Journal of Public Economics, 95</w:t>
      </w:r>
      <w:r>
        <w:rPr>
          <w:rFonts w:ascii="Times New Roman" w:eastAsia="Times New Roman" w:hAnsi="Times New Roman" w:cs="Times New Roman"/>
          <w:color w:val="000000"/>
        </w:rPr>
        <w:t>(7–8), 476–487. https://doi.org/10.1016/j.jpubeco.2010.11.006</w:t>
      </w:r>
    </w:p>
    <w:p w14:paraId="45E35A09"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Alkire, S., &amp; Jahan, S. (2018). The new global MPI 2018: Aligning with the sustainable development goals. </w:t>
      </w:r>
      <w:r>
        <w:rPr>
          <w:rFonts w:ascii="Times New Roman" w:eastAsia="Times New Roman" w:hAnsi="Times New Roman" w:cs="Times New Roman"/>
          <w:i/>
          <w:color w:val="000000"/>
        </w:rPr>
        <w:t>UNDP Human Development Report Office Occasional Paper, 2018/4</w:t>
      </w:r>
      <w:r>
        <w:rPr>
          <w:rFonts w:ascii="Times New Roman" w:eastAsia="Times New Roman" w:hAnsi="Times New Roman" w:cs="Times New Roman"/>
          <w:color w:val="000000"/>
        </w:rPr>
        <w:t>. https://hdr.undp.org/sites/default/files/mpi_2018.pdf</w:t>
      </w:r>
    </w:p>
    <w:p w14:paraId="3E01D6B9"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Alkire, S., Kanagaratnam, U., &amp; Suppa, N. (2019). The global multidimensional poverty index (MPI) 2019. </w:t>
      </w:r>
      <w:r>
        <w:rPr>
          <w:rFonts w:ascii="Times New Roman" w:eastAsia="Times New Roman" w:hAnsi="Times New Roman" w:cs="Times New Roman"/>
          <w:i/>
          <w:color w:val="000000"/>
        </w:rPr>
        <w:t>OPHI Briefing 51</w:t>
      </w:r>
      <w:r>
        <w:rPr>
          <w:rFonts w:ascii="Times New Roman" w:eastAsia="Times New Roman" w:hAnsi="Times New Roman" w:cs="Times New Roman"/>
          <w:color w:val="000000"/>
        </w:rPr>
        <w:t>. https://ophi.org.uk/wp-content/uploads/OPHI-BP-51_Multidimensional-Poverty-Index-2019.pdf</w:t>
      </w:r>
    </w:p>
    <w:p w14:paraId="67974DAC"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Alkire, S., Oldiges, C., &amp; Kanagaratnam, U. (2018). Multidimensional poverty reduction in India 2005/6–2015/16. </w:t>
      </w:r>
      <w:r>
        <w:rPr>
          <w:rFonts w:ascii="Times New Roman" w:eastAsia="Times New Roman" w:hAnsi="Times New Roman" w:cs="Times New Roman"/>
          <w:i/>
          <w:color w:val="000000"/>
        </w:rPr>
        <w:t>OPHI Working Paper 118</w:t>
      </w:r>
      <w:r>
        <w:rPr>
          <w:rFonts w:ascii="Times New Roman" w:eastAsia="Times New Roman" w:hAnsi="Times New Roman" w:cs="Times New Roman"/>
          <w:color w:val="000000"/>
        </w:rPr>
        <w:t>. https://ophi.org.uk/wp-118/</w:t>
      </w:r>
    </w:p>
    <w:p w14:paraId="328BB0DA"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sidRPr="00D0650C">
        <w:rPr>
          <w:rFonts w:ascii="Times New Roman" w:eastAsia="Times New Roman" w:hAnsi="Times New Roman" w:cs="Times New Roman"/>
          <w:color w:val="000000"/>
          <w:lang w:val="es-US"/>
        </w:rPr>
        <w:t>Alkire</w:t>
      </w:r>
      <w:proofErr w:type="spellEnd"/>
      <w:r w:rsidRPr="00D0650C">
        <w:rPr>
          <w:rFonts w:ascii="Times New Roman" w:eastAsia="Times New Roman" w:hAnsi="Times New Roman" w:cs="Times New Roman"/>
          <w:color w:val="000000"/>
          <w:lang w:val="es-US"/>
        </w:rPr>
        <w:t xml:space="preserve">, S., &amp; Santos, M. E. (2010). </w:t>
      </w:r>
      <w:r>
        <w:rPr>
          <w:rFonts w:ascii="Times New Roman" w:eastAsia="Times New Roman" w:hAnsi="Times New Roman" w:cs="Times New Roman"/>
          <w:color w:val="000000"/>
        </w:rPr>
        <w:t xml:space="preserve">Acute multidimensional poverty: A new index for developing countries. </w:t>
      </w:r>
      <w:r>
        <w:rPr>
          <w:rFonts w:ascii="Times New Roman" w:eastAsia="Times New Roman" w:hAnsi="Times New Roman" w:cs="Times New Roman"/>
          <w:i/>
          <w:color w:val="000000"/>
        </w:rPr>
        <w:t>Oxford Development Studies, 38</w:t>
      </w:r>
      <w:r>
        <w:rPr>
          <w:rFonts w:ascii="Times New Roman" w:eastAsia="Times New Roman" w:hAnsi="Times New Roman" w:cs="Times New Roman"/>
          <w:color w:val="000000"/>
        </w:rPr>
        <w:t>(3), 315–338. https://doi.org/10.1080/13600818.2010.505917</w:t>
      </w:r>
    </w:p>
    <w:p w14:paraId="340C6E38"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sidRPr="00D0650C">
        <w:rPr>
          <w:rFonts w:ascii="Times New Roman" w:eastAsia="Times New Roman" w:hAnsi="Times New Roman" w:cs="Times New Roman"/>
          <w:color w:val="000000"/>
          <w:lang w:val="es-US"/>
        </w:rPr>
        <w:t xml:space="preserve">Ali, U., </w:t>
      </w:r>
      <w:proofErr w:type="spellStart"/>
      <w:r w:rsidRPr="00D0650C">
        <w:rPr>
          <w:rFonts w:ascii="Times New Roman" w:eastAsia="Times New Roman" w:hAnsi="Times New Roman" w:cs="Times New Roman"/>
          <w:color w:val="000000"/>
          <w:lang w:val="es-US"/>
        </w:rPr>
        <w:t>Handoyo</w:t>
      </w:r>
      <w:proofErr w:type="spellEnd"/>
      <w:r w:rsidRPr="00D0650C">
        <w:rPr>
          <w:rFonts w:ascii="Times New Roman" w:eastAsia="Times New Roman" w:hAnsi="Times New Roman" w:cs="Times New Roman"/>
          <w:color w:val="000000"/>
          <w:lang w:val="es-US"/>
        </w:rPr>
        <w:t xml:space="preserve">, R. D., </w:t>
      </w:r>
      <w:proofErr w:type="spellStart"/>
      <w:r w:rsidRPr="00D0650C">
        <w:rPr>
          <w:rFonts w:ascii="Times New Roman" w:eastAsia="Times New Roman" w:hAnsi="Times New Roman" w:cs="Times New Roman"/>
          <w:color w:val="000000"/>
          <w:lang w:val="es-US"/>
        </w:rPr>
        <w:t>Sugiharti</w:t>
      </w:r>
      <w:proofErr w:type="spellEnd"/>
      <w:r w:rsidRPr="00D0650C">
        <w:rPr>
          <w:rFonts w:ascii="Times New Roman" w:eastAsia="Times New Roman" w:hAnsi="Times New Roman" w:cs="Times New Roman"/>
          <w:color w:val="000000"/>
          <w:lang w:val="es-US"/>
        </w:rPr>
        <w:t xml:space="preserve">, L., &amp; </w:t>
      </w:r>
      <w:proofErr w:type="spellStart"/>
      <w:r w:rsidRPr="00D0650C">
        <w:rPr>
          <w:rFonts w:ascii="Times New Roman" w:eastAsia="Times New Roman" w:hAnsi="Times New Roman" w:cs="Times New Roman"/>
          <w:color w:val="000000"/>
          <w:lang w:val="es-US"/>
        </w:rPr>
        <w:t>Zargarr</w:t>
      </w:r>
      <w:proofErr w:type="spellEnd"/>
      <w:r w:rsidRPr="00D0650C">
        <w:rPr>
          <w:rFonts w:ascii="Times New Roman" w:eastAsia="Times New Roman" w:hAnsi="Times New Roman" w:cs="Times New Roman"/>
          <w:color w:val="000000"/>
          <w:lang w:val="es-US"/>
        </w:rPr>
        <w:t xml:space="preserve">, N. A. (2023). </w:t>
      </w:r>
      <w:r>
        <w:rPr>
          <w:rFonts w:ascii="Times New Roman" w:eastAsia="Times New Roman" w:hAnsi="Times New Roman" w:cs="Times New Roman"/>
          <w:color w:val="000000"/>
        </w:rPr>
        <w:t xml:space="preserve">Unveiling multidimensional poverty in Jammu and Kashmir. </w:t>
      </w:r>
      <w:proofErr w:type="spellStart"/>
      <w:r>
        <w:rPr>
          <w:rFonts w:ascii="Times New Roman" w:eastAsia="Times New Roman" w:hAnsi="Times New Roman" w:cs="Times New Roman"/>
          <w:i/>
          <w:color w:val="000000"/>
        </w:rPr>
        <w:t>Jurnal</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Ilmiah</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Manajemen</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dan</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Bisnis</w:t>
      </w:r>
      <w:proofErr w:type="spellEnd"/>
      <w:r>
        <w:rPr>
          <w:rFonts w:ascii="Times New Roman" w:eastAsia="Times New Roman" w:hAnsi="Times New Roman" w:cs="Times New Roman"/>
          <w:i/>
          <w:color w:val="000000"/>
        </w:rPr>
        <w:t>, 8</w:t>
      </w:r>
      <w:r>
        <w:rPr>
          <w:rFonts w:ascii="Times New Roman" w:eastAsia="Times New Roman" w:hAnsi="Times New Roman" w:cs="Times New Roman"/>
          <w:color w:val="000000"/>
        </w:rPr>
        <w:t>(2), 218–238. https://doi.org/10.38043/jimb.v8i2.4641</w:t>
      </w:r>
    </w:p>
    <w:p w14:paraId="5BED17B5"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Baiju, K. C. (2023). Nexus of multidimensional poverty and educational deprivation. </w:t>
      </w:r>
      <w:r>
        <w:rPr>
          <w:rFonts w:ascii="Times New Roman" w:eastAsia="Times New Roman" w:hAnsi="Times New Roman" w:cs="Times New Roman"/>
          <w:i/>
          <w:color w:val="000000"/>
        </w:rPr>
        <w:t>Journal of Governance and Regulation, 12</w:t>
      </w:r>
      <w:r>
        <w:rPr>
          <w:rFonts w:ascii="Times New Roman" w:eastAsia="Times New Roman" w:hAnsi="Times New Roman" w:cs="Times New Roman"/>
          <w:color w:val="000000"/>
        </w:rPr>
        <w:t>(1), 147–158. https://doi.org/10.22495/jgrv12i1art14</w:t>
      </w:r>
    </w:p>
    <w:p w14:paraId="31B371E4"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Bao, Y., &amp; Liao, T. (2023). Multidimensional poverty and growth: Evidence from India. </w:t>
      </w:r>
      <w:r>
        <w:rPr>
          <w:rFonts w:ascii="Times New Roman" w:eastAsia="Times New Roman" w:hAnsi="Times New Roman" w:cs="Times New Roman"/>
          <w:i/>
          <w:color w:val="000000"/>
        </w:rPr>
        <w:t>Economic Modelling, 129</w:t>
      </w:r>
      <w:r>
        <w:rPr>
          <w:rFonts w:ascii="Times New Roman" w:eastAsia="Times New Roman" w:hAnsi="Times New Roman" w:cs="Times New Roman"/>
          <w:color w:val="000000"/>
        </w:rPr>
        <w:t>, 106586. https://doi.org/10.1016/j.econmod.2023.106586</w:t>
      </w:r>
    </w:p>
    <w:p w14:paraId="4C250A53"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Datt, G., &amp; </w:t>
      </w:r>
      <w:proofErr w:type="spellStart"/>
      <w:r>
        <w:rPr>
          <w:rFonts w:ascii="Times New Roman" w:eastAsia="Times New Roman" w:hAnsi="Times New Roman" w:cs="Times New Roman"/>
          <w:color w:val="000000"/>
        </w:rPr>
        <w:t>Ravallion</w:t>
      </w:r>
      <w:proofErr w:type="spellEnd"/>
      <w:r>
        <w:rPr>
          <w:rFonts w:ascii="Times New Roman" w:eastAsia="Times New Roman" w:hAnsi="Times New Roman" w:cs="Times New Roman"/>
          <w:color w:val="000000"/>
        </w:rPr>
        <w:t xml:space="preserve">, M. (2002). </w:t>
      </w:r>
      <w:r>
        <w:rPr>
          <w:rFonts w:ascii="Times New Roman" w:eastAsia="Times New Roman" w:hAnsi="Times New Roman" w:cs="Times New Roman"/>
          <w:i/>
          <w:color w:val="000000"/>
        </w:rPr>
        <w:t>Is India’s economic growth leaving the poor behind?</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Journal of Economic Perspectives, 16</w:t>
      </w:r>
      <w:r>
        <w:rPr>
          <w:rFonts w:ascii="Times New Roman" w:eastAsia="Times New Roman" w:hAnsi="Times New Roman" w:cs="Times New Roman"/>
          <w:color w:val="000000"/>
        </w:rPr>
        <w:t>(3), 89–108. https://doi.org/10.1257/089533002760278730</w:t>
      </w:r>
    </w:p>
    <w:p w14:paraId="4409EB78"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Dehury</w:t>
      </w:r>
      <w:proofErr w:type="spellEnd"/>
      <w:r>
        <w:rPr>
          <w:rFonts w:ascii="Times New Roman" w:eastAsia="Times New Roman" w:hAnsi="Times New Roman" w:cs="Times New Roman"/>
          <w:color w:val="000000"/>
        </w:rPr>
        <w:t xml:space="preserve">, B., &amp; Mohanty, S. K. (2015). Regional estimates of multidimensional poverty in India. </w:t>
      </w:r>
      <w:r>
        <w:rPr>
          <w:rFonts w:ascii="Times New Roman" w:eastAsia="Times New Roman" w:hAnsi="Times New Roman" w:cs="Times New Roman"/>
          <w:i/>
          <w:color w:val="000000"/>
        </w:rPr>
        <w:t>Economics: The Open-Access, Open-Assessment E-Journal, 9</w:t>
      </w:r>
      <w:r>
        <w:rPr>
          <w:rFonts w:ascii="Times New Roman" w:eastAsia="Times New Roman" w:hAnsi="Times New Roman" w:cs="Times New Roman"/>
          <w:color w:val="000000"/>
        </w:rPr>
        <w:t>(1), 1–35. https://doi.org/10.5018/economics-ejournal.ja.2015-36</w:t>
      </w:r>
    </w:p>
    <w:p w14:paraId="4B9B21DA"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sidRPr="00D0650C">
        <w:rPr>
          <w:rFonts w:ascii="Times New Roman" w:eastAsia="Times New Roman" w:hAnsi="Times New Roman" w:cs="Times New Roman"/>
          <w:color w:val="000000"/>
          <w:lang w:val="es-US"/>
        </w:rPr>
        <w:t>Dutta</w:t>
      </w:r>
      <w:proofErr w:type="spellEnd"/>
      <w:r w:rsidRPr="00D0650C">
        <w:rPr>
          <w:rFonts w:ascii="Times New Roman" w:eastAsia="Times New Roman" w:hAnsi="Times New Roman" w:cs="Times New Roman"/>
          <w:color w:val="000000"/>
          <w:lang w:val="es-US"/>
        </w:rPr>
        <w:t xml:space="preserve">, S., &amp; Das, K. C. (2024). </w:t>
      </w:r>
      <w:r>
        <w:rPr>
          <w:rFonts w:ascii="Times New Roman" w:eastAsia="Times New Roman" w:hAnsi="Times New Roman" w:cs="Times New Roman"/>
          <w:color w:val="000000"/>
        </w:rPr>
        <w:t xml:space="preserve">Child poverty and deprivation. In </w:t>
      </w:r>
      <w:r>
        <w:rPr>
          <w:rFonts w:ascii="Times New Roman" w:eastAsia="Times New Roman" w:hAnsi="Times New Roman" w:cs="Times New Roman"/>
          <w:i/>
          <w:color w:val="000000"/>
        </w:rPr>
        <w:t>India studies in business and economics</w:t>
      </w:r>
      <w:r>
        <w:rPr>
          <w:rFonts w:ascii="Times New Roman" w:eastAsia="Times New Roman" w:hAnsi="Times New Roman" w:cs="Times New Roman"/>
          <w:color w:val="000000"/>
        </w:rPr>
        <w:t xml:space="preserve"> (pp. 13–43). Springer. https://doi.org/10.1007/978-981-99-8901-0_2</w:t>
      </w:r>
    </w:p>
    <w:p w14:paraId="196E7812"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Jagadeshwaran</w:t>
      </w:r>
      <w:proofErr w:type="spellEnd"/>
      <w:r>
        <w:rPr>
          <w:rFonts w:ascii="Times New Roman" w:eastAsia="Times New Roman" w:hAnsi="Times New Roman" w:cs="Times New Roman"/>
          <w:color w:val="000000"/>
        </w:rPr>
        <w:t xml:space="preserve">, P., et al. (2022). Multidimensional poverty in India–A state wise analysis. </w:t>
      </w:r>
      <w:r>
        <w:rPr>
          <w:rFonts w:ascii="Times New Roman" w:eastAsia="Times New Roman" w:hAnsi="Times New Roman" w:cs="Times New Roman"/>
          <w:i/>
          <w:color w:val="000000"/>
        </w:rPr>
        <w:t>Asian Journal of Agricultural Extension, Economics and Sociology, 40</w:t>
      </w:r>
      <w:r>
        <w:rPr>
          <w:rFonts w:ascii="Times New Roman" w:eastAsia="Times New Roman" w:hAnsi="Times New Roman" w:cs="Times New Roman"/>
          <w:color w:val="000000"/>
        </w:rPr>
        <w:t>(10), 869–877. https://doi.org/10.9734/ajaees/2022/v40i1031153</w:t>
      </w:r>
    </w:p>
    <w:p w14:paraId="3E011624"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sidRPr="00D0650C">
        <w:rPr>
          <w:rFonts w:ascii="Times New Roman" w:eastAsia="Times New Roman" w:hAnsi="Times New Roman" w:cs="Times New Roman"/>
          <w:color w:val="000000"/>
          <w:lang w:val="es-US"/>
        </w:rPr>
        <w:lastRenderedPageBreak/>
        <w:t>Khosla</w:t>
      </w:r>
      <w:proofErr w:type="spellEnd"/>
      <w:r w:rsidRPr="00D0650C">
        <w:rPr>
          <w:rFonts w:ascii="Times New Roman" w:eastAsia="Times New Roman" w:hAnsi="Times New Roman" w:cs="Times New Roman"/>
          <w:color w:val="000000"/>
          <w:lang w:val="es-US"/>
        </w:rPr>
        <w:t xml:space="preserve">, S., &amp; Jena, P. R. (2023). </w:t>
      </w:r>
      <w:r>
        <w:rPr>
          <w:rFonts w:ascii="Times New Roman" w:eastAsia="Times New Roman" w:hAnsi="Times New Roman" w:cs="Times New Roman"/>
          <w:color w:val="000000"/>
        </w:rPr>
        <w:t xml:space="preserve">Using multidimensional poverty measure to target beneficiaries. </w:t>
      </w:r>
      <w:r>
        <w:rPr>
          <w:rFonts w:ascii="Times New Roman" w:eastAsia="Times New Roman" w:hAnsi="Times New Roman" w:cs="Times New Roman"/>
          <w:i/>
          <w:color w:val="000000"/>
        </w:rPr>
        <w:t>Indian Journal of Human Development, 17</w:t>
      </w:r>
      <w:r>
        <w:rPr>
          <w:rFonts w:ascii="Times New Roman" w:eastAsia="Times New Roman" w:hAnsi="Times New Roman" w:cs="Times New Roman"/>
          <w:color w:val="000000"/>
        </w:rPr>
        <w:t>(2), 287–308. https://doi.org/10.1177/09737030231194874</w:t>
      </w:r>
    </w:p>
    <w:p w14:paraId="4ABB477B"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Madan, S. (2012). Human development and poverty across Indian states. </w:t>
      </w:r>
      <w:r>
        <w:rPr>
          <w:rFonts w:ascii="Times New Roman" w:eastAsia="Times New Roman" w:hAnsi="Times New Roman" w:cs="Times New Roman"/>
          <w:i/>
          <w:color w:val="000000"/>
        </w:rPr>
        <w:t>International Journal of Scientific and Research Publications, 2</w:t>
      </w:r>
      <w:r>
        <w:rPr>
          <w:rFonts w:ascii="Times New Roman" w:eastAsia="Times New Roman" w:hAnsi="Times New Roman" w:cs="Times New Roman"/>
          <w:color w:val="000000"/>
        </w:rPr>
        <w:t>(6), 1–5. https://www.ijsrp.org/research-paper-0612/ijsrp-p0650.pdf</w:t>
      </w:r>
    </w:p>
    <w:p w14:paraId="0DB222D0"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Mehta, M. A. (2023). Extent of multidimensional poverty index in Haryana. </w:t>
      </w:r>
      <w:r>
        <w:rPr>
          <w:rFonts w:ascii="Times New Roman" w:eastAsia="Times New Roman" w:hAnsi="Times New Roman" w:cs="Times New Roman"/>
          <w:i/>
          <w:color w:val="000000"/>
        </w:rPr>
        <w:t>International Journal for Multidisciplinary Research, 5</w:t>
      </w:r>
      <w:r>
        <w:rPr>
          <w:rFonts w:ascii="Times New Roman" w:eastAsia="Times New Roman" w:hAnsi="Times New Roman" w:cs="Times New Roman"/>
          <w:color w:val="000000"/>
        </w:rPr>
        <w:t>(5), 1–15. https://doi.org/10.36948/ijfmr.2023.v05i05.7728</w:t>
      </w:r>
    </w:p>
    <w:p w14:paraId="05EE32F9"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Mohanty, S. K., &amp; </w:t>
      </w:r>
      <w:proofErr w:type="spellStart"/>
      <w:r>
        <w:rPr>
          <w:rFonts w:ascii="Times New Roman" w:eastAsia="Times New Roman" w:hAnsi="Times New Roman" w:cs="Times New Roman"/>
          <w:color w:val="000000"/>
        </w:rPr>
        <w:t>Dehury</w:t>
      </w:r>
      <w:proofErr w:type="spellEnd"/>
      <w:r>
        <w:rPr>
          <w:rFonts w:ascii="Times New Roman" w:eastAsia="Times New Roman" w:hAnsi="Times New Roman" w:cs="Times New Roman"/>
          <w:color w:val="000000"/>
        </w:rPr>
        <w:t xml:space="preserve">, B. (2012). Human development indices: Old and new. </w:t>
      </w:r>
      <w:r>
        <w:rPr>
          <w:rFonts w:ascii="Times New Roman" w:eastAsia="Times New Roman" w:hAnsi="Times New Roman" w:cs="Times New Roman"/>
          <w:i/>
          <w:color w:val="000000"/>
        </w:rPr>
        <w:t>Artha Vijnana, 54</w:t>
      </w:r>
      <w:r>
        <w:rPr>
          <w:rFonts w:ascii="Times New Roman" w:eastAsia="Times New Roman" w:hAnsi="Times New Roman" w:cs="Times New Roman"/>
          <w:color w:val="000000"/>
        </w:rPr>
        <w:t>(1), 19–38. https://doi.org/10.21648/arthavij/2012/v54/i1/111102</w:t>
      </w:r>
    </w:p>
    <w:p w14:paraId="1E2630C8"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Mondal, S., Kumar, S. M., &amp; Mishra, A. P. (2023). Spatiality of multidimensional poverty in India. </w:t>
      </w:r>
      <w:r>
        <w:rPr>
          <w:rFonts w:ascii="Times New Roman" w:eastAsia="Times New Roman" w:hAnsi="Times New Roman" w:cs="Times New Roman"/>
          <w:i/>
          <w:color w:val="000000"/>
        </w:rPr>
        <w:t>BELGEO, 2023</w:t>
      </w:r>
      <w:r>
        <w:rPr>
          <w:rFonts w:ascii="Times New Roman" w:eastAsia="Times New Roman" w:hAnsi="Times New Roman" w:cs="Times New Roman"/>
          <w:color w:val="000000"/>
        </w:rPr>
        <w:t>(1), 1–28. https://doi.org/10.4000/belgeo.59421</w:t>
      </w:r>
    </w:p>
    <w:p w14:paraId="3A2A3695"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Mondal, S., Kumar, S., &amp; Mishra, A. (2024). Contrasting monetary and multidimensional poverty. </w:t>
      </w:r>
      <w:r>
        <w:rPr>
          <w:rFonts w:ascii="Times New Roman" w:eastAsia="Times New Roman" w:hAnsi="Times New Roman" w:cs="Times New Roman"/>
          <w:i/>
          <w:color w:val="000000"/>
        </w:rPr>
        <w:t>BELGEO, 2024</w:t>
      </w:r>
      <w:r>
        <w:rPr>
          <w:rFonts w:ascii="Times New Roman" w:eastAsia="Times New Roman" w:hAnsi="Times New Roman" w:cs="Times New Roman"/>
          <w:color w:val="000000"/>
        </w:rPr>
        <w:t>(1), 1–24. https://doi.org/10.4000/belgeo.62147</w:t>
      </w:r>
    </w:p>
    <w:p w14:paraId="007CC860"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NITI Aayog. (2021). </w:t>
      </w:r>
      <w:r>
        <w:rPr>
          <w:rFonts w:ascii="Times New Roman" w:eastAsia="Times New Roman" w:hAnsi="Times New Roman" w:cs="Times New Roman"/>
          <w:i/>
          <w:color w:val="000000"/>
        </w:rPr>
        <w:t>National multidimensional poverty index: Baseline report</w:t>
      </w:r>
      <w:r>
        <w:rPr>
          <w:rFonts w:ascii="Times New Roman" w:eastAsia="Times New Roman" w:hAnsi="Times New Roman" w:cs="Times New Roman"/>
          <w:color w:val="000000"/>
        </w:rPr>
        <w:t>. Government of India. https://www.niti.gov.in/sites/default/files/2021-11/National_MPI_India-11242021.pdf</w:t>
      </w:r>
    </w:p>
    <w:p w14:paraId="4E1FC0F9"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NITI Aayog. (2023). </w:t>
      </w:r>
      <w:r>
        <w:rPr>
          <w:rFonts w:ascii="Times New Roman" w:eastAsia="Times New Roman" w:hAnsi="Times New Roman" w:cs="Times New Roman"/>
          <w:i/>
          <w:color w:val="000000"/>
        </w:rPr>
        <w:t>Multidimensional poverty in India: Progress and pathways</w:t>
      </w:r>
      <w:r>
        <w:rPr>
          <w:rFonts w:ascii="Times New Roman" w:eastAsia="Times New Roman" w:hAnsi="Times New Roman" w:cs="Times New Roman"/>
          <w:color w:val="000000"/>
        </w:rPr>
        <w:t>. Government of India. https://www.niti.gov.in/sites/default/files/2023-07/MPI_Report_2023.pdf</w:t>
      </w:r>
    </w:p>
    <w:p w14:paraId="333AEFD8"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NITI Aayog. (2024). </w:t>
      </w:r>
      <w:r>
        <w:rPr>
          <w:rFonts w:ascii="Times New Roman" w:eastAsia="Times New Roman" w:hAnsi="Times New Roman" w:cs="Times New Roman"/>
          <w:i/>
          <w:color w:val="000000"/>
        </w:rPr>
        <w:t>India’s multidimensional poverty update: Towards SDG 1.2</w:t>
      </w:r>
      <w:r>
        <w:rPr>
          <w:rFonts w:ascii="Times New Roman" w:eastAsia="Times New Roman" w:hAnsi="Times New Roman" w:cs="Times New Roman"/>
          <w:color w:val="000000"/>
        </w:rPr>
        <w:t>. Government of India. https://www.niti.gov.in/sites/default/files/2024-06/MPI_Update_2024.pdf</w:t>
      </w:r>
    </w:p>
    <w:p w14:paraId="770FF92C"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Pandey, S., Mohapatra, G., &amp; Arora, R. (2022). Water poverty and multidimensional poverty in India. </w:t>
      </w:r>
      <w:r>
        <w:rPr>
          <w:rFonts w:ascii="Times New Roman" w:eastAsia="Times New Roman" w:hAnsi="Times New Roman" w:cs="Times New Roman"/>
          <w:i/>
          <w:color w:val="000000"/>
        </w:rPr>
        <w:t>International Journal of Social Economics, 49</w:t>
      </w:r>
      <w:r>
        <w:rPr>
          <w:rFonts w:ascii="Times New Roman" w:eastAsia="Times New Roman" w:hAnsi="Times New Roman" w:cs="Times New Roman"/>
          <w:color w:val="000000"/>
        </w:rPr>
        <w:t>(10), 1551–1568. https://doi.org/10.1108/ijse-12-2021-0731</w:t>
      </w:r>
    </w:p>
    <w:p w14:paraId="3AD706AB"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Pradhan, I., </w:t>
      </w:r>
      <w:proofErr w:type="spellStart"/>
      <w:r>
        <w:rPr>
          <w:rFonts w:ascii="Times New Roman" w:eastAsia="Times New Roman" w:hAnsi="Times New Roman" w:cs="Times New Roman"/>
          <w:color w:val="000000"/>
        </w:rPr>
        <w:t>Kandapan</w:t>
      </w:r>
      <w:proofErr w:type="spellEnd"/>
      <w:r>
        <w:rPr>
          <w:rFonts w:ascii="Times New Roman" w:eastAsia="Times New Roman" w:hAnsi="Times New Roman" w:cs="Times New Roman"/>
          <w:color w:val="000000"/>
        </w:rPr>
        <w:t xml:space="preserve">, B., &amp; Pradhan, J. (2022). Uneven burden of multidimensional poverty in India. </w:t>
      </w:r>
      <w:r>
        <w:rPr>
          <w:rFonts w:ascii="Times New Roman" w:eastAsia="Times New Roman" w:hAnsi="Times New Roman" w:cs="Times New Roman"/>
          <w:i/>
          <w:color w:val="000000"/>
        </w:rPr>
        <w:t>PLOS ONE, 17</w:t>
      </w:r>
      <w:r>
        <w:rPr>
          <w:rFonts w:ascii="Times New Roman" w:eastAsia="Times New Roman" w:hAnsi="Times New Roman" w:cs="Times New Roman"/>
          <w:color w:val="000000"/>
        </w:rPr>
        <w:t>(7), e0271806. https://doi.org/10.1371/journal.pone.0271806</w:t>
      </w:r>
    </w:p>
    <w:p w14:paraId="6627A75C"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Putri, A. M. R., </w:t>
      </w:r>
      <w:proofErr w:type="spellStart"/>
      <w:r>
        <w:rPr>
          <w:rFonts w:ascii="Times New Roman" w:eastAsia="Times New Roman" w:hAnsi="Times New Roman" w:cs="Times New Roman"/>
          <w:color w:val="000000"/>
        </w:rPr>
        <w:t>Shafiai</w:t>
      </w:r>
      <w:proofErr w:type="spellEnd"/>
      <w:r>
        <w:rPr>
          <w:rFonts w:ascii="Times New Roman" w:eastAsia="Times New Roman" w:hAnsi="Times New Roman" w:cs="Times New Roman"/>
          <w:color w:val="000000"/>
        </w:rPr>
        <w:t xml:space="preserve">, M. H. M., &amp; Ismail, A. G. (2024). A systematic review on multidimensional poverty measurement. </w:t>
      </w:r>
      <w:r>
        <w:rPr>
          <w:rFonts w:ascii="Times New Roman" w:eastAsia="Times New Roman" w:hAnsi="Times New Roman" w:cs="Times New Roman"/>
          <w:i/>
          <w:color w:val="000000"/>
        </w:rPr>
        <w:t xml:space="preserve">Journal of </w:t>
      </w:r>
      <w:proofErr w:type="spellStart"/>
      <w:r>
        <w:rPr>
          <w:rFonts w:ascii="Times New Roman" w:eastAsia="Times New Roman" w:hAnsi="Times New Roman" w:cs="Times New Roman"/>
          <w:i/>
          <w:color w:val="000000"/>
        </w:rPr>
        <w:t>Ecohumanism</w:t>
      </w:r>
      <w:proofErr w:type="spellEnd"/>
      <w:r>
        <w:rPr>
          <w:rFonts w:ascii="Times New Roman" w:eastAsia="Times New Roman" w:hAnsi="Times New Roman" w:cs="Times New Roman"/>
          <w:i/>
          <w:color w:val="000000"/>
        </w:rPr>
        <w:t>, 3</w:t>
      </w:r>
      <w:r>
        <w:rPr>
          <w:rFonts w:ascii="Times New Roman" w:eastAsia="Times New Roman" w:hAnsi="Times New Roman" w:cs="Times New Roman"/>
          <w:color w:val="000000"/>
        </w:rPr>
        <w:t>(8), 2902–2922. https://doi.org/10.62754/joe.v3i8.5041</w:t>
      </w:r>
    </w:p>
    <w:p w14:paraId="1A4C5B14"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Roy, A. (2024). Multidimensional poverty and quality of governance in Indian states. </w:t>
      </w:r>
      <w:r>
        <w:rPr>
          <w:rFonts w:ascii="Times New Roman" w:eastAsia="Times New Roman" w:hAnsi="Times New Roman" w:cs="Times New Roman"/>
          <w:i/>
          <w:color w:val="000000"/>
        </w:rPr>
        <w:t>The Indian Economic Journal, 72</w:t>
      </w:r>
      <w:r>
        <w:rPr>
          <w:rFonts w:ascii="Times New Roman" w:eastAsia="Times New Roman" w:hAnsi="Times New Roman" w:cs="Times New Roman"/>
          <w:color w:val="000000"/>
        </w:rPr>
        <w:t>(3), 456–478. https://doi.org/10.1177/00194662241278062</w:t>
      </w:r>
    </w:p>
    <w:p w14:paraId="7E4EBBE5"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Sen, A. (1999). </w:t>
      </w:r>
      <w:r>
        <w:rPr>
          <w:rFonts w:ascii="Times New Roman" w:eastAsia="Times New Roman" w:hAnsi="Times New Roman" w:cs="Times New Roman"/>
          <w:i/>
          <w:color w:val="000000"/>
        </w:rPr>
        <w:t>Development as freedom</w:t>
      </w:r>
      <w:r>
        <w:rPr>
          <w:rFonts w:ascii="Times New Roman" w:eastAsia="Times New Roman" w:hAnsi="Times New Roman" w:cs="Times New Roman"/>
          <w:color w:val="000000"/>
        </w:rPr>
        <w:t>. Oxford University Press.</w:t>
      </w:r>
    </w:p>
    <w:p w14:paraId="2D8B31C9"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Seth, S., &amp; Alkire, S. (2014). Did poverty reduction reach the poorest of the poor? </w:t>
      </w:r>
      <w:r>
        <w:rPr>
          <w:rFonts w:ascii="Times New Roman" w:eastAsia="Times New Roman" w:hAnsi="Times New Roman" w:cs="Times New Roman"/>
          <w:i/>
          <w:color w:val="000000"/>
        </w:rPr>
        <w:t>OPHI Working Paper 76</w:t>
      </w:r>
      <w:r>
        <w:rPr>
          <w:rFonts w:ascii="Times New Roman" w:eastAsia="Times New Roman" w:hAnsi="Times New Roman" w:cs="Times New Roman"/>
          <w:color w:val="000000"/>
        </w:rPr>
        <w:t>. https://ophi.org.uk/wp-76/</w:t>
      </w:r>
    </w:p>
    <w:p w14:paraId="5001AD95"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Seth, S., &amp; Alkire, S. (2021). Multidimensional poverty and inclusive growth in India. </w:t>
      </w:r>
      <w:r>
        <w:rPr>
          <w:rFonts w:ascii="Times New Roman" w:eastAsia="Times New Roman" w:hAnsi="Times New Roman" w:cs="Times New Roman"/>
          <w:i/>
          <w:color w:val="000000"/>
        </w:rPr>
        <w:t>Research on Economic Inequality, 29</w:t>
      </w:r>
      <w:r>
        <w:rPr>
          <w:rFonts w:ascii="Times New Roman" w:eastAsia="Times New Roman" w:hAnsi="Times New Roman" w:cs="Times New Roman"/>
          <w:color w:val="000000"/>
        </w:rPr>
        <w:t>, 199–232. https://doi.org/10.1108/s1049-258520210000029007</w:t>
      </w:r>
    </w:p>
    <w:p w14:paraId="6B6D047E"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sidRPr="00D0650C">
        <w:rPr>
          <w:rFonts w:ascii="Times New Roman" w:eastAsia="Times New Roman" w:hAnsi="Times New Roman" w:cs="Times New Roman"/>
          <w:color w:val="000000"/>
          <w:lang w:val="es-US"/>
        </w:rPr>
        <w:lastRenderedPageBreak/>
        <w:t>Srivastava</w:t>
      </w:r>
      <w:proofErr w:type="spellEnd"/>
      <w:r w:rsidRPr="00D0650C">
        <w:rPr>
          <w:rFonts w:ascii="Times New Roman" w:eastAsia="Times New Roman" w:hAnsi="Times New Roman" w:cs="Times New Roman"/>
          <w:color w:val="000000"/>
          <w:lang w:val="es-US"/>
        </w:rPr>
        <w:t xml:space="preserve">, V. D., Kumar, V., &amp; </w:t>
      </w:r>
      <w:proofErr w:type="spellStart"/>
      <w:r w:rsidRPr="00D0650C">
        <w:rPr>
          <w:rFonts w:ascii="Times New Roman" w:eastAsia="Times New Roman" w:hAnsi="Times New Roman" w:cs="Times New Roman"/>
          <w:color w:val="000000"/>
          <w:lang w:val="es-US"/>
        </w:rPr>
        <w:t>Srivastava</w:t>
      </w:r>
      <w:proofErr w:type="spellEnd"/>
      <w:r w:rsidRPr="00D0650C">
        <w:rPr>
          <w:rFonts w:ascii="Times New Roman" w:eastAsia="Times New Roman" w:hAnsi="Times New Roman" w:cs="Times New Roman"/>
          <w:color w:val="000000"/>
          <w:lang w:val="es-US"/>
        </w:rPr>
        <w:t xml:space="preserve">, P. N. (2023). </w:t>
      </w:r>
      <w:r>
        <w:rPr>
          <w:rFonts w:ascii="Times New Roman" w:eastAsia="Times New Roman" w:hAnsi="Times New Roman" w:cs="Times New Roman"/>
          <w:color w:val="000000"/>
        </w:rPr>
        <w:t xml:space="preserve">Dynamics of multidimensional poverty in BIMARU states. </w:t>
      </w:r>
      <w:r>
        <w:rPr>
          <w:rFonts w:ascii="Times New Roman" w:eastAsia="Times New Roman" w:hAnsi="Times New Roman" w:cs="Times New Roman"/>
          <w:i/>
          <w:color w:val="000000"/>
        </w:rPr>
        <w:t>Saudi Journal of Economics and Finance, 7</w:t>
      </w:r>
      <w:r>
        <w:rPr>
          <w:rFonts w:ascii="Times New Roman" w:eastAsia="Times New Roman" w:hAnsi="Times New Roman" w:cs="Times New Roman"/>
          <w:color w:val="000000"/>
        </w:rPr>
        <w:t>(9), 412–428. https://doi.org/10.36348/sjef.2023.v07i09.001</w:t>
      </w:r>
    </w:p>
    <w:p w14:paraId="50524E08"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Trivedi, M., &amp; Chaudhary, Y. (2023). Unmasking intersectional marginalisation in India. </w:t>
      </w:r>
      <w:r>
        <w:rPr>
          <w:rFonts w:ascii="Times New Roman" w:eastAsia="Times New Roman" w:hAnsi="Times New Roman" w:cs="Times New Roman"/>
          <w:i/>
          <w:color w:val="000000"/>
        </w:rPr>
        <w:t>Development Policy Review, 41</w:t>
      </w:r>
      <w:r>
        <w:rPr>
          <w:rFonts w:ascii="Times New Roman" w:eastAsia="Times New Roman" w:hAnsi="Times New Roman" w:cs="Times New Roman"/>
          <w:color w:val="000000"/>
        </w:rPr>
        <w:t>(4), 567–589. https://doi.org/10.32388/si9x6n</w:t>
      </w:r>
    </w:p>
    <w:p w14:paraId="00887748"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UNDP. (2023). </w:t>
      </w:r>
      <w:r>
        <w:rPr>
          <w:rFonts w:ascii="Times New Roman" w:eastAsia="Times New Roman" w:hAnsi="Times New Roman" w:cs="Times New Roman"/>
          <w:i/>
          <w:color w:val="000000"/>
        </w:rPr>
        <w:t>Human development report 2021–22: Uncertain times, unsettled lives</w:t>
      </w:r>
      <w:r>
        <w:rPr>
          <w:rFonts w:ascii="Times New Roman" w:eastAsia="Times New Roman" w:hAnsi="Times New Roman" w:cs="Times New Roman"/>
          <w:color w:val="000000"/>
        </w:rPr>
        <w:t>. https://hdr.undp.org/sites/default/files/hdr2021-22.pdf</w:t>
      </w:r>
    </w:p>
    <w:p w14:paraId="0E54A7A0"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UNDP. (2024). </w:t>
      </w:r>
      <w:r>
        <w:rPr>
          <w:rFonts w:ascii="Times New Roman" w:eastAsia="Times New Roman" w:hAnsi="Times New Roman" w:cs="Times New Roman"/>
          <w:i/>
          <w:color w:val="000000"/>
        </w:rPr>
        <w:t>Human development report 2023–24: Breaking the gridlock</w:t>
      </w:r>
      <w:r>
        <w:rPr>
          <w:rFonts w:ascii="Times New Roman" w:eastAsia="Times New Roman" w:hAnsi="Times New Roman" w:cs="Times New Roman"/>
          <w:color w:val="000000"/>
        </w:rPr>
        <w:t>. https://hdr.undp.org/content/human-development-report-2023-24</w:t>
      </w:r>
    </w:p>
    <w:p w14:paraId="60AF6DE1"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Vasishtha, G., &amp; Mohanty, S. K. (2021). </w:t>
      </w:r>
      <w:r>
        <w:rPr>
          <w:rFonts w:ascii="Times New Roman" w:eastAsia="Times New Roman" w:hAnsi="Times New Roman" w:cs="Times New Roman"/>
          <w:i/>
          <w:color w:val="000000"/>
        </w:rPr>
        <w:t>Spatial pattern of multidimensional and consumption poverty in districts of India.</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Spatial Demography, 9</w:t>
      </w:r>
      <w:r>
        <w:rPr>
          <w:rFonts w:ascii="Times New Roman" w:eastAsia="Times New Roman" w:hAnsi="Times New Roman" w:cs="Times New Roman"/>
          <w:color w:val="000000"/>
        </w:rPr>
        <w:t xml:space="preserve">(3), 213–240. https://doi.org/10.1007/s40980-021-00089-4 </w:t>
      </w:r>
    </w:p>
    <w:p w14:paraId="45174464"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Vineesh, V. (2024). </w:t>
      </w:r>
      <w:r>
        <w:rPr>
          <w:rFonts w:ascii="Times New Roman" w:eastAsia="Times New Roman" w:hAnsi="Times New Roman" w:cs="Times New Roman"/>
          <w:i/>
          <w:color w:val="000000"/>
        </w:rPr>
        <w:t>Exploring spatial statistics for cluster and outlier analysis in crime patterns: A geospatial study of coastal zones in Kollam and Thiruvananthapuram.</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SSRN Electronic Journal</w:t>
      </w:r>
      <w:r>
        <w:rPr>
          <w:rFonts w:ascii="Times New Roman" w:eastAsia="Times New Roman" w:hAnsi="Times New Roman" w:cs="Times New Roman"/>
          <w:color w:val="000000"/>
        </w:rPr>
        <w:t>. https://doi.org/10.2139/ssrn.4779595</w:t>
      </w:r>
    </w:p>
    <w:p w14:paraId="28A784D9"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Wagle, U. R. (2008). Multidimensional poverty measurement: Concepts and applications. </w:t>
      </w:r>
      <w:r>
        <w:rPr>
          <w:rFonts w:ascii="Times New Roman" w:eastAsia="Times New Roman" w:hAnsi="Times New Roman" w:cs="Times New Roman"/>
          <w:i/>
          <w:color w:val="000000"/>
        </w:rPr>
        <w:t>Social Indicators Research, 86</w:t>
      </w:r>
      <w:r>
        <w:rPr>
          <w:rFonts w:ascii="Times New Roman" w:eastAsia="Times New Roman" w:hAnsi="Times New Roman" w:cs="Times New Roman"/>
          <w:color w:val="000000"/>
        </w:rPr>
        <w:t>(2), 233–262. https://doi.org/10.1007/s11205-007-9109-1</w:t>
      </w:r>
    </w:p>
    <w:p w14:paraId="3DA04E7A" w14:textId="77777777" w:rsidR="0002762F" w:rsidRDefault="00A40DFE">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World Bank. (2023). </w:t>
      </w:r>
      <w:r>
        <w:rPr>
          <w:rFonts w:ascii="Times New Roman" w:eastAsia="Times New Roman" w:hAnsi="Times New Roman" w:cs="Times New Roman"/>
          <w:i/>
          <w:color w:val="000000"/>
        </w:rPr>
        <w:t>Poverty and shared prosperity 2023: Ending poverty and boosting shared prosperity</w:t>
      </w:r>
      <w:r>
        <w:rPr>
          <w:rFonts w:ascii="Times New Roman" w:eastAsia="Times New Roman" w:hAnsi="Times New Roman" w:cs="Times New Roman"/>
          <w:color w:val="000000"/>
        </w:rPr>
        <w:t>. https://www.worldbank.org/en/publication/poverty-and-shared-prosperity</w:t>
      </w:r>
    </w:p>
    <w:p w14:paraId="49EF6966" w14:textId="77777777" w:rsidR="0002762F" w:rsidRDefault="00A40DFE">
      <w:pPr>
        <w:numPr>
          <w:ilvl w:val="0"/>
          <w:numId w:val="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Zhang, Y., &amp; Wan, G. (2022). Multidimensional poverty and inclusive development: Evidence from South Asia. </w:t>
      </w:r>
      <w:r>
        <w:rPr>
          <w:rFonts w:ascii="Times New Roman" w:eastAsia="Times New Roman" w:hAnsi="Times New Roman" w:cs="Times New Roman"/>
          <w:i/>
          <w:color w:val="000000"/>
        </w:rPr>
        <w:t>Asian Development Review, 39</w:t>
      </w:r>
      <w:r>
        <w:rPr>
          <w:rFonts w:ascii="Times New Roman" w:eastAsia="Times New Roman" w:hAnsi="Times New Roman" w:cs="Times New Roman"/>
          <w:color w:val="000000"/>
        </w:rPr>
        <w:t>(1), 1–28. https://doi.org/10.1162/adev_a_00200</w:t>
      </w:r>
    </w:p>
    <w:p w14:paraId="00AB480C" w14:textId="77777777" w:rsidR="0002762F" w:rsidRDefault="0002762F">
      <w:pPr>
        <w:jc w:val="both"/>
        <w:rPr>
          <w:rFonts w:ascii="Times New Roman" w:eastAsia="Times New Roman" w:hAnsi="Times New Roman" w:cs="Times New Roman"/>
        </w:rPr>
      </w:pPr>
    </w:p>
    <w:sectPr w:rsidR="0002762F">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A30EE3" w14:textId="77777777" w:rsidR="00273AA8" w:rsidRDefault="00273AA8" w:rsidP="002F765A">
      <w:pPr>
        <w:spacing w:after="0" w:line="240" w:lineRule="auto"/>
      </w:pPr>
      <w:r>
        <w:separator/>
      </w:r>
    </w:p>
  </w:endnote>
  <w:endnote w:type="continuationSeparator" w:id="0">
    <w:p w14:paraId="19EB1778" w14:textId="77777777" w:rsidR="00273AA8" w:rsidRDefault="00273AA8" w:rsidP="002F7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50FAD90D-E0BE-47F6-AB80-ACEFBF01AA4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65FFAB9C-8D2E-499D-9953-0977BA1E5562}"/>
    <w:embedBold r:id="rId3" w:fontKey="{B5F60EE8-EEE0-480F-8654-078774C53913}"/>
    <w:embedItalic r:id="rId4" w:fontKey="{EF99D32C-8C5C-45C3-9166-ACFBD64C9E70}"/>
  </w:font>
  <w:font w:name="Play">
    <w:charset w:val="00"/>
    <w:family w:val="auto"/>
    <w:pitch w:val="default"/>
    <w:embedRegular r:id="rId5" w:fontKey="{E36CE980-2239-43AA-9D58-64FB155EA29E}"/>
  </w:font>
  <w:font w:name="Aptos Display">
    <w:charset w:val="00"/>
    <w:family w:val="swiss"/>
    <w:pitch w:val="variable"/>
    <w:sig w:usb0="20000287" w:usb1="00000003" w:usb2="00000000" w:usb3="00000000" w:csb0="0000019F" w:csb1="00000000"/>
    <w:embedRegular r:id="rId6" w:fontKey="{13868A94-5966-4189-ABDB-717FA6D360E7}"/>
  </w:font>
  <w:font w:name="Tahoma">
    <w:panose1 w:val="020B0604030504040204"/>
    <w:charset w:val="00"/>
    <w:family w:val="swiss"/>
    <w:pitch w:val="variable"/>
    <w:sig w:usb0="E1002EFF" w:usb1="C000605B" w:usb2="00000029" w:usb3="00000000" w:csb0="000101FF" w:csb1="00000000"/>
    <w:embedRegular r:id="rId7" w:fontKey="{9A416048-7A41-40A7-AD99-71F37FC53914}"/>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571E1" w14:textId="77777777" w:rsidR="002F765A" w:rsidRDefault="002F76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E1272" w14:textId="77777777" w:rsidR="002F765A" w:rsidRDefault="002F76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E8095" w14:textId="77777777" w:rsidR="002F765A" w:rsidRDefault="002F76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615B2E" w14:textId="77777777" w:rsidR="00273AA8" w:rsidRDefault="00273AA8" w:rsidP="002F765A">
      <w:pPr>
        <w:spacing w:after="0" w:line="240" w:lineRule="auto"/>
      </w:pPr>
      <w:r>
        <w:separator/>
      </w:r>
    </w:p>
  </w:footnote>
  <w:footnote w:type="continuationSeparator" w:id="0">
    <w:p w14:paraId="648B44A7" w14:textId="77777777" w:rsidR="00273AA8" w:rsidRDefault="00273AA8" w:rsidP="002F76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039CD" w14:textId="50A244BB" w:rsidR="002F765A" w:rsidRDefault="00273AA8">
    <w:pPr>
      <w:pStyle w:val="Header"/>
    </w:pPr>
    <w:r>
      <w:rPr>
        <w:noProof/>
      </w:rPr>
      <w:pict w14:anchorId="27750D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9275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1F5E0" w14:textId="4894CA2E" w:rsidR="002F765A" w:rsidRDefault="00273AA8">
    <w:pPr>
      <w:pStyle w:val="Header"/>
    </w:pPr>
    <w:r>
      <w:rPr>
        <w:noProof/>
      </w:rPr>
      <w:pict w14:anchorId="321E1E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9275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8EDEE" w14:textId="09BDBE7B" w:rsidR="002F765A" w:rsidRDefault="00273AA8">
    <w:pPr>
      <w:pStyle w:val="Header"/>
    </w:pPr>
    <w:r>
      <w:rPr>
        <w:noProof/>
      </w:rPr>
      <w:pict w14:anchorId="7F08A5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9275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048D7"/>
    <w:multiLevelType w:val="multilevel"/>
    <w:tmpl w:val="467EBE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B172923"/>
    <w:multiLevelType w:val="multilevel"/>
    <w:tmpl w:val="D840A5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0F4633F0"/>
    <w:multiLevelType w:val="multilevel"/>
    <w:tmpl w:val="693212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24840236"/>
    <w:multiLevelType w:val="multilevel"/>
    <w:tmpl w:val="09BCC2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24B31F49"/>
    <w:multiLevelType w:val="multilevel"/>
    <w:tmpl w:val="D98428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2A470F1C"/>
    <w:multiLevelType w:val="multilevel"/>
    <w:tmpl w:val="A67683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2F383815"/>
    <w:multiLevelType w:val="multilevel"/>
    <w:tmpl w:val="6624D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F545E86"/>
    <w:multiLevelType w:val="multilevel"/>
    <w:tmpl w:val="0BA05C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36F75320"/>
    <w:multiLevelType w:val="multilevel"/>
    <w:tmpl w:val="51A46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D24D92"/>
    <w:multiLevelType w:val="multilevel"/>
    <w:tmpl w:val="44969A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5A595345"/>
    <w:multiLevelType w:val="multilevel"/>
    <w:tmpl w:val="7EA622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6C455546"/>
    <w:multiLevelType w:val="multilevel"/>
    <w:tmpl w:val="3070A6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6D7D1E01"/>
    <w:multiLevelType w:val="multilevel"/>
    <w:tmpl w:val="796A37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6F0F543B"/>
    <w:multiLevelType w:val="multilevel"/>
    <w:tmpl w:val="2306FBC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0525250"/>
    <w:multiLevelType w:val="multilevel"/>
    <w:tmpl w:val="01545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71F80678"/>
    <w:multiLevelType w:val="multilevel"/>
    <w:tmpl w:val="ADD8A3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75B27DBA"/>
    <w:multiLevelType w:val="multilevel"/>
    <w:tmpl w:val="5E7E75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78510EF3"/>
    <w:multiLevelType w:val="multilevel"/>
    <w:tmpl w:val="60B805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9"/>
  </w:num>
  <w:num w:numId="2">
    <w:abstractNumId w:val="14"/>
  </w:num>
  <w:num w:numId="3">
    <w:abstractNumId w:val="10"/>
  </w:num>
  <w:num w:numId="4">
    <w:abstractNumId w:val="0"/>
  </w:num>
  <w:num w:numId="5">
    <w:abstractNumId w:val="17"/>
  </w:num>
  <w:num w:numId="6">
    <w:abstractNumId w:val="1"/>
  </w:num>
  <w:num w:numId="7">
    <w:abstractNumId w:val="13"/>
  </w:num>
  <w:num w:numId="8">
    <w:abstractNumId w:val="6"/>
  </w:num>
  <w:num w:numId="9">
    <w:abstractNumId w:val="16"/>
  </w:num>
  <w:num w:numId="10">
    <w:abstractNumId w:val="2"/>
  </w:num>
  <w:num w:numId="11">
    <w:abstractNumId w:val="12"/>
  </w:num>
  <w:num w:numId="12">
    <w:abstractNumId w:val="4"/>
  </w:num>
  <w:num w:numId="13">
    <w:abstractNumId w:val="7"/>
  </w:num>
  <w:num w:numId="14">
    <w:abstractNumId w:val="3"/>
  </w:num>
  <w:num w:numId="15">
    <w:abstractNumId w:val="15"/>
  </w:num>
  <w:num w:numId="16">
    <w:abstractNumId w:val="5"/>
  </w:num>
  <w:num w:numId="17">
    <w:abstractNumId w:val="1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DUyMzE0tTQ0MDQxMrVQ0lEKTi0uzszPAykwrAUAShkEOywAAAA="/>
  </w:docVars>
  <w:rsids>
    <w:rsidRoot w:val="0002762F"/>
    <w:rsid w:val="0002762F"/>
    <w:rsid w:val="00035E1C"/>
    <w:rsid w:val="000A262A"/>
    <w:rsid w:val="0014488A"/>
    <w:rsid w:val="001C1E35"/>
    <w:rsid w:val="001F2FB1"/>
    <w:rsid w:val="00234E39"/>
    <w:rsid w:val="00273AA8"/>
    <w:rsid w:val="002F765A"/>
    <w:rsid w:val="00397D31"/>
    <w:rsid w:val="0045117A"/>
    <w:rsid w:val="004F3178"/>
    <w:rsid w:val="005426B8"/>
    <w:rsid w:val="0065270F"/>
    <w:rsid w:val="006D6074"/>
    <w:rsid w:val="00774A2B"/>
    <w:rsid w:val="00792B5A"/>
    <w:rsid w:val="007E7504"/>
    <w:rsid w:val="008B5D95"/>
    <w:rsid w:val="00A27826"/>
    <w:rsid w:val="00A40DFE"/>
    <w:rsid w:val="00B93AB0"/>
    <w:rsid w:val="00CB1C5D"/>
    <w:rsid w:val="00D0650C"/>
    <w:rsid w:val="00D331EE"/>
    <w:rsid w:val="00D51246"/>
    <w:rsid w:val="00E97593"/>
    <w:rsid w:val="00EB53F8"/>
    <w:rsid w:val="00ED7403"/>
    <w:rsid w:val="00F02E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5E4F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4"/>
        <w:szCs w:val="24"/>
        <w:lang w:val="en-IN" w:eastAsia="en-GB"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7A77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77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77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7A77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A77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77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A77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77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77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77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77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777A"/>
    <w:rPr>
      <w:rFonts w:eastAsiaTheme="majorEastAsia" w:cstheme="majorBidi"/>
      <w:color w:val="272727" w:themeColor="text1" w:themeTint="D8"/>
    </w:rPr>
  </w:style>
  <w:style w:type="character" w:customStyle="1" w:styleId="TitleChar">
    <w:name w:val="Title Char"/>
    <w:basedOn w:val="DefaultParagraphFont"/>
    <w:link w:val="Title"/>
    <w:uiPriority w:val="10"/>
    <w:rsid w:val="007A777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A77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777A"/>
    <w:pPr>
      <w:spacing w:before="160"/>
      <w:jc w:val="center"/>
    </w:pPr>
    <w:rPr>
      <w:i/>
      <w:iCs/>
      <w:color w:val="404040" w:themeColor="text1" w:themeTint="BF"/>
    </w:rPr>
  </w:style>
  <w:style w:type="character" w:customStyle="1" w:styleId="QuoteChar">
    <w:name w:val="Quote Char"/>
    <w:basedOn w:val="DefaultParagraphFont"/>
    <w:link w:val="Quote"/>
    <w:uiPriority w:val="29"/>
    <w:rsid w:val="007A777A"/>
    <w:rPr>
      <w:i/>
      <w:iCs/>
      <w:color w:val="404040" w:themeColor="text1" w:themeTint="BF"/>
    </w:rPr>
  </w:style>
  <w:style w:type="paragraph" w:styleId="ListParagraph">
    <w:name w:val="List Paragraph"/>
    <w:basedOn w:val="Normal"/>
    <w:uiPriority w:val="34"/>
    <w:qFormat/>
    <w:rsid w:val="007A777A"/>
    <w:pPr>
      <w:ind w:left="720"/>
      <w:contextualSpacing/>
    </w:pPr>
  </w:style>
  <w:style w:type="character" w:styleId="IntenseEmphasis">
    <w:name w:val="Intense Emphasis"/>
    <w:basedOn w:val="DefaultParagraphFont"/>
    <w:uiPriority w:val="21"/>
    <w:qFormat/>
    <w:rsid w:val="007A777A"/>
    <w:rPr>
      <w:i/>
      <w:iCs/>
      <w:color w:val="0F4761" w:themeColor="accent1" w:themeShade="BF"/>
    </w:rPr>
  </w:style>
  <w:style w:type="paragraph" w:styleId="IntenseQuote">
    <w:name w:val="Intense Quote"/>
    <w:basedOn w:val="Normal"/>
    <w:next w:val="Normal"/>
    <w:link w:val="IntenseQuoteChar"/>
    <w:uiPriority w:val="30"/>
    <w:qFormat/>
    <w:rsid w:val="007A77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777A"/>
    <w:rPr>
      <w:i/>
      <w:iCs/>
      <w:color w:val="0F4761" w:themeColor="accent1" w:themeShade="BF"/>
    </w:rPr>
  </w:style>
  <w:style w:type="character" w:styleId="IntenseReference">
    <w:name w:val="Intense Reference"/>
    <w:basedOn w:val="DefaultParagraphFont"/>
    <w:uiPriority w:val="32"/>
    <w:qFormat/>
    <w:rsid w:val="007A777A"/>
    <w:rPr>
      <w:b/>
      <w:bCs/>
      <w:smallCaps/>
      <w:color w:val="0F4761" w:themeColor="accent1" w:themeShade="BF"/>
      <w:spacing w:val="5"/>
    </w:rPr>
  </w:style>
  <w:style w:type="character" w:styleId="Strong">
    <w:name w:val="Strong"/>
    <w:basedOn w:val="DefaultParagraphFont"/>
    <w:uiPriority w:val="22"/>
    <w:qFormat/>
    <w:rsid w:val="000545A9"/>
    <w:rPr>
      <w:b/>
      <w:bCs/>
    </w:rPr>
  </w:style>
  <w:style w:type="paragraph" w:styleId="NormalWeb">
    <w:name w:val="Normal (Web)"/>
    <w:basedOn w:val="Normal"/>
    <w:uiPriority w:val="99"/>
    <w:semiHidden/>
    <w:unhideWhenUsed/>
    <w:rsid w:val="000545A9"/>
    <w:pPr>
      <w:spacing w:before="100" w:beforeAutospacing="1" w:after="100" w:afterAutospacing="1" w:line="240" w:lineRule="auto"/>
    </w:pPr>
    <w:rPr>
      <w:rFonts w:ascii="Times New Roman" w:eastAsia="Times New Roman" w:hAnsi="Times New Roman" w:cs="Times New Roman"/>
      <w:lang w:eastAsia="en-IN"/>
    </w:rPr>
  </w:style>
  <w:style w:type="character" w:customStyle="1" w:styleId="mx-05">
    <w:name w:val="mx-0.5"/>
    <w:basedOn w:val="DefaultParagraphFont"/>
    <w:rsid w:val="000545A9"/>
  </w:style>
  <w:style w:type="table" w:customStyle="1" w:styleId="PlainTable1">
    <w:name w:val="Plain Table 1"/>
    <w:basedOn w:val="TableNormal"/>
    <w:uiPriority w:val="41"/>
    <w:rsid w:val="005626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5626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540324"/>
    <w:rPr>
      <w:color w:val="467886" w:themeColor="hyperlink"/>
      <w:u w:val="single"/>
    </w:rPr>
  </w:style>
  <w:style w:type="character" w:customStyle="1" w:styleId="UnresolvedMention">
    <w:name w:val="Unresolved Mention"/>
    <w:basedOn w:val="DefaultParagraphFont"/>
    <w:uiPriority w:val="99"/>
    <w:semiHidden/>
    <w:unhideWhenUsed/>
    <w:rsid w:val="00540324"/>
    <w:rPr>
      <w:color w:val="605E5C"/>
      <w:shd w:val="clear" w:color="auto" w:fill="E1DFDD"/>
    </w:rPr>
  </w:style>
  <w:style w:type="paragraph" w:customStyle="1" w:styleId="preflight-heading">
    <w:name w:val="preflight-heading"/>
    <w:pPr>
      <w:spacing w:before="60" w:after="60"/>
    </w:pPr>
    <w:rPr>
      <w:b/>
      <w:color w:val="000000"/>
      <w:sz w:val="20"/>
    </w:rPr>
  </w:style>
  <w:style w:type="paragraph" w:customStyle="1" w:styleId="preflight-description">
    <w:name w:val="preflight-description"/>
    <w:pPr>
      <w:spacing w:before="60" w:after="60"/>
    </w:pPr>
    <w:rPr>
      <w:color w:val="000000"/>
      <w:sz w:val="20"/>
    </w:rPr>
  </w:style>
  <w:style w:type="paragraph" w:customStyle="1" w:styleId="preflight-link">
    <w:name w:val="preflight-link"/>
    <w:pPr>
      <w:spacing w:before="60" w:after="60"/>
    </w:pPr>
    <w:rPr>
      <w:color w:val="0000FF"/>
      <w:sz w:val="20"/>
      <w:u w:val="single"/>
    </w:rPr>
  </w:style>
  <w:style w:type="paragraph" w:customStyle="1" w:styleId="preflight-example">
    <w:name w:val="preflight-example"/>
    <w:pPr>
      <w:spacing w:before="180" w:after="60"/>
    </w:pPr>
    <w:rPr>
      <w:i/>
      <w:color w:val="000000"/>
      <w:sz w:val="20"/>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rsid w:val="000F3DF7"/>
    <w:pPr>
      <w:spacing w:line="240" w:lineRule="auto"/>
    </w:pPr>
    <w:rPr>
      <w:sz w:val="20"/>
      <w:szCs w:val="20"/>
    </w:rPr>
  </w:style>
  <w:style w:type="character" w:customStyle="1" w:styleId="CommentTextChar">
    <w:name w:val="Comment Text Char"/>
    <w:basedOn w:val="DefaultParagraphFont"/>
    <w:link w:val="CommentText"/>
    <w:uiPriority w:val="99"/>
    <w:rsid w:val="000F3DF7"/>
    <w:rPr>
      <w:sz w:val="20"/>
      <w:szCs w:val="20"/>
    </w:rPr>
  </w:style>
  <w:style w:type="paragraph" w:styleId="Header">
    <w:name w:val="header"/>
    <w:basedOn w:val="Normal"/>
    <w:link w:val="HeaderChar"/>
    <w:uiPriority w:val="99"/>
    <w:unhideWhenUsed/>
    <w:rsid w:val="006552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5229"/>
  </w:style>
  <w:style w:type="paragraph" w:styleId="Footer">
    <w:name w:val="footer"/>
    <w:basedOn w:val="Normal"/>
    <w:link w:val="FooterChar"/>
    <w:uiPriority w:val="99"/>
    <w:unhideWhenUsed/>
    <w:rsid w:val="006552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5229"/>
  </w:style>
  <w:style w:type="table" w:customStyle="1" w:styleId="PlainTable2">
    <w:name w:val="Plain Table 2"/>
    <w:basedOn w:val="TableNormal"/>
    <w:uiPriority w:val="42"/>
    <w:rsid w:val="001706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alloonText">
    <w:name w:val="Balloon Text"/>
    <w:basedOn w:val="Normal"/>
    <w:link w:val="BalloonTextChar"/>
    <w:uiPriority w:val="99"/>
    <w:semiHidden/>
    <w:unhideWhenUsed/>
    <w:rsid w:val="00234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E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4"/>
        <w:szCs w:val="24"/>
        <w:lang w:val="en-IN" w:eastAsia="en-GB"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7A77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77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77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7A77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A77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77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A77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77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77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77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77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777A"/>
    <w:rPr>
      <w:rFonts w:eastAsiaTheme="majorEastAsia" w:cstheme="majorBidi"/>
      <w:color w:val="272727" w:themeColor="text1" w:themeTint="D8"/>
    </w:rPr>
  </w:style>
  <w:style w:type="character" w:customStyle="1" w:styleId="TitleChar">
    <w:name w:val="Title Char"/>
    <w:basedOn w:val="DefaultParagraphFont"/>
    <w:link w:val="Title"/>
    <w:uiPriority w:val="10"/>
    <w:rsid w:val="007A777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A77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777A"/>
    <w:pPr>
      <w:spacing w:before="160"/>
      <w:jc w:val="center"/>
    </w:pPr>
    <w:rPr>
      <w:i/>
      <w:iCs/>
      <w:color w:val="404040" w:themeColor="text1" w:themeTint="BF"/>
    </w:rPr>
  </w:style>
  <w:style w:type="character" w:customStyle="1" w:styleId="QuoteChar">
    <w:name w:val="Quote Char"/>
    <w:basedOn w:val="DefaultParagraphFont"/>
    <w:link w:val="Quote"/>
    <w:uiPriority w:val="29"/>
    <w:rsid w:val="007A777A"/>
    <w:rPr>
      <w:i/>
      <w:iCs/>
      <w:color w:val="404040" w:themeColor="text1" w:themeTint="BF"/>
    </w:rPr>
  </w:style>
  <w:style w:type="paragraph" w:styleId="ListParagraph">
    <w:name w:val="List Paragraph"/>
    <w:basedOn w:val="Normal"/>
    <w:uiPriority w:val="34"/>
    <w:qFormat/>
    <w:rsid w:val="007A777A"/>
    <w:pPr>
      <w:ind w:left="720"/>
      <w:contextualSpacing/>
    </w:pPr>
  </w:style>
  <w:style w:type="character" w:styleId="IntenseEmphasis">
    <w:name w:val="Intense Emphasis"/>
    <w:basedOn w:val="DefaultParagraphFont"/>
    <w:uiPriority w:val="21"/>
    <w:qFormat/>
    <w:rsid w:val="007A777A"/>
    <w:rPr>
      <w:i/>
      <w:iCs/>
      <w:color w:val="0F4761" w:themeColor="accent1" w:themeShade="BF"/>
    </w:rPr>
  </w:style>
  <w:style w:type="paragraph" w:styleId="IntenseQuote">
    <w:name w:val="Intense Quote"/>
    <w:basedOn w:val="Normal"/>
    <w:next w:val="Normal"/>
    <w:link w:val="IntenseQuoteChar"/>
    <w:uiPriority w:val="30"/>
    <w:qFormat/>
    <w:rsid w:val="007A77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777A"/>
    <w:rPr>
      <w:i/>
      <w:iCs/>
      <w:color w:val="0F4761" w:themeColor="accent1" w:themeShade="BF"/>
    </w:rPr>
  </w:style>
  <w:style w:type="character" w:styleId="IntenseReference">
    <w:name w:val="Intense Reference"/>
    <w:basedOn w:val="DefaultParagraphFont"/>
    <w:uiPriority w:val="32"/>
    <w:qFormat/>
    <w:rsid w:val="007A777A"/>
    <w:rPr>
      <w:b/>
      <w:bCs/>
      <w:smallCaps/>
      <w:color w:val="0F4761" w:themeColor="accent1" w:themeShade="BF"/>
      <w:spacing w:val="5"/>
    </w:rPr>
  </w:style>
  <w:style w:type="character" w:styleId="Strong">
    <w:name w:val="Strong"/>
    <w:basedOn w:val="DefaultParagraphFont"/>
    <w:uiPriority w:val="22"/>
    <w:qFormat/>
    <w:rsid w:val="000545A9"/>
    <w:rPr>
      <w:b/>
      <w:bCs/>
    </w:rPr>
  </w:style>
  <w:style w:type="paragraph" w:styleId="NormalWeb">
    <w:name w:val="Normal (Web)"/>
    <w:basedOn w:val="Normal"/>
    <w:uiPriority w:val="99"/>
    <w:semiHidden/>
    <w:unhideWhenUsed/>
    <w:rsid w:val="000545A9"/>
    <w:pPr>
      <w:spacing w:before="100" w:beforeAutospacing="1" w:after="100" w:afterAutospacing="1" w:line="240" w:lineRule="auto"/>
    </w:pPr>
    <w:rPr>
      <w:rFonts w:ascii="Times New Roman" w:eastAsia="Times New Roman" w:hAnsi="Times New Roman" w:cs="Times New Roman"/>
      <w:lang w:eastAsia="en-IN"/>
    </w:rPr>
  </w:style>
  <w:style w:type="character" w:customStyle="1" w:styleId="mx-05">
    <w:name w:val="mx-0.5"/>
    <w:basedOn w:val="DefaultParagraphFont"/>
    <w:rsid w:val="000545A9"/>
  </w:style>
  <w:style w:type="table" w:customStyle="1" w:styleId="PlainTable1">
    <w:name w:val="Plain Table 1"/>
    <w:basedOn w:val="TableNormal"/>
    <w:uiPriority w:val="41"/>
    <w:rsid w:val="005626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5626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540324"/>
    <w:rPr>
      <w:color w:val="467886" w:themeColor="hyperlink"/>
      <w:u w:val="single"/>
    </w:rPr>
  </w:style>
  <w:style w:type="character" w:customStyle="1" w:styleId="UnresolvedMention">
    <w:name w:val="Unresolved Mention"/>
    <w:basedOn w:val="DefaultParagraphFont"/>
    <w:uiPriority w:val="99"/>
    <w:semiHidden/>
    <w:unhideWhenUsed/>
    <w:rsid w:val="00540324"/>
    <w:rPr>
      <w:color w:val="605E5C"/>
      <w:shd w:val="clear" w:color="auto" w:fill="E1DFDD"/>
    </w:rPr>
  </w:style>
  <w:style w:type="paragraph" w:customStyle="1" w:styleId="preflight-heading">
    <w:name w:val="preflight-heading"/>
    <w:pPr>
      <w:spacing w:before="60" w:after="60"/>
    </w:pPr>
    <w:rPr>
      <w:b/>
      <w:color w:val="000000"/>
      <w:sz w:val="20"/>
    </w:rPr>
  </w:style>
  <w:style w:type="paragraph" w:customStyle="1" w:styleId="preflight-description">
    <w:name w:val="preflight-description"/>
    <w:pPr>
      <w:spacing w:before="60" w:after="60"/>
    </w:pPr>
    <w:rPr>
      <w:color w:val="000000"/>
      <w:sz w:val="20"/>
    </w:rPr>
  </w:style>
  <w:style w:type="paragraph" w:customStyle="1" w:styleId="preflight-link">
    <w:name w:val="preflight-link"/>
    <w:pPr>
      <w:spacing w:before="60" w:after="60"/>
    </w:pPr>
    <w:rPr>
      <w:color w:val="0000FF"/>
      <w:sz w:val="20"/>
      <w:u w:val="single"/>
    </w:rPr>
  </w:style>
  <w:style w:type="paragraph" w:customStyle="1" w:styleId="preflight-example">
    <w:name w:val="preflight-example"/>
    <w:pPr>
      <w:spacing w:before="180" w:after="60"/>
    </w:pPr>
    <w:rPr>
      <w:i/>
      <w:color w:val="000000"/>
      <w:sz w:val="20"/>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rsid w:val="000F3DF7"/>
    <w:pPr>
      <w:spacing w:line="240" w:lineRule="auto"/>
    </w:pPr>
    <w:rPr>
      <w:sz w:val="20"/>
      <w:szCs w:val="20"/>
    </w:rPr>
  </w:style>
  <w:style w:type="character" w:customStyle="1" w:styleId="CommentTextChar">
    <w:name w:val="Comment Text Char"/>
    <w:basedOn w:val="DefaultParagraphFont"/>
    <w:link w:val="CommentText"/>
    <w:uiPriority w:val="99"/>
    <w:rsid w:val="000F3DF7"/>
    <w:rPr>
      <w:sz w:val="20"/>
      <w:szCs w:val="20"/>
    </w:rPr>
  </w:style>
  <w:style w:type="paragraph" w:styleId="Header">
    <w:name w:val="header"/>
    <w:basedOn w:val="Normal"/>
    <w:link w:val="HeaderChar"/>
    <w:uiPriority w:val="99"/>
    <w:unhideWhenUsed/>
    <w:rsid w:val="006552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5229"/>
  </w:style>
  <w:style w:type="paragraph" w:styleId="Footer">
    <w:name w:val="footer"/>
    <w:basedOn w:val="Normal"/>
    <w:link w:val="FooterChar"/>
    <w:uiPriority w:val="99"/>
    <w:unhideWhenUsed/>
    <w:rsid w:val="006552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5229"/>
  </w:style>
  <w:style w:type="table" w:customStyle="1" w:styleId="PlainTable2">
    <w:name w:val="Plain Table 2"/>
    <w:basedOn w:val="TableNormal"/>
    <w:uiPriority w:val="42"/>
    <w:rsid w:val="001706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alloonText">
    <w:name w:val="Balloon Text"/>
    <w:basedOn w:val="Normal"/>
    <w:link w:val="BalloonTextChar"/>
    <w:uiPriority w:val="99"/>
    <w:semiHidden/>
    <w:unhideWhenUsed/>
    <w:rsid w:val="00234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E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513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chat.openai.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en.wikipedia.org/wiki/List_of_Indian_states_and_union_territories_by_poverty_rate?utm_source=chatgpt.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63747388719268"/>
          <c:y val="0.12869529606671506"/>
          <c:w val="0.46837238202367559"/>
          <c:h val="0.81383853614042923"/>
        </c:manualLayout>
      </c:layout>
      <c:doughnut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A5FC-459A-892A-DEFA1DDCB261}"/>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A5FC-459A-892A-DEFA1DDCB261}"/>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A5FC-459A-892A-DEFA1DDCB26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Health</c:v>
                </c:pt>
                <c:pt idx="1">
                  <c:v>Education</c:v>
                </c:pt>
                <c:pt idx="2">
                  <c:v>Living Standard</c:v>
                </c:pt>
              </c:strCache>
            </c:strRef>
          </c:cat>
          <c:val>
            <c:numRef>
              <c:f>Sheet1!$B$2:$B$4</c:f>
              <c:numCache>
                <c:formatCode>0.00%</c:formatCode>
                <c:ptCount val="3"/>
                <c:pt idx="0">
                  <c:v>0.45860000000000001</c:v>
                </c:pt>
                <c:pt idx="1">
                  <c:v>0.27710000000000001</c:v>
                </c:pt>
                <c:pt idx="2">
                  <c:v>0.26429999999999998</c:v>
                </c:pt>
              </c:numCache>
            </c:numRef>
          </c:val>
          <c:extLst xmlns:c16r2="http://schemas.microsoft.com/office/drawing/2015/06/chart">
            <c:ext xmlns:c16="http://schemas.microsoft.com/office/drawing/2014/chart" uri="{C3380CC4-5D6E-409C-BE32-E72D297353CC}">
              <c16:uniqueId val="{00000006-A5FC-459A-892A-DEFA1DDCB261}"/>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r"/>
      <c:layout>
        <c:manualLayout>
          <c:xMode val="edge"/>
          <c:yMode val="edge"/>
          <c:x val="0.77193207991858148"/>
          <c:y val="0.26400625453733179"/>
          <c:w val="0.20487056764963202"/>
          <c:h val="0.43794493773384707"/>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TlWc0V5UAi/hbiAZLiIe/2GH7g==">CgMxLjAaJQoBMBIgCh4IB0IaCg9UaW1lcyBOZXcgUm9tYW4SB0d1bmdzdWgaJQoBMRIgCh4IB0IaCg9UaW1lcyBOZXcgUm9tYW4SB0d1bmdzdWgaJQoBMhIgCh4IB0IaCg9UaW1lcyBOZXcgUm9tYW4SB0d1bmdzdWgyEGtpeC51MXJrN25icnVvZGQ4AHIhMXZoYktFYzBIVjliMWh5VkhsLWhKdzBVV3dlaDJMY0Va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20</Pages>
  <Words>6561</Words>
  <Characters>37399</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Girish Rathod MS</dc:creator>
  <cp:lastModifiedBy>SDI 1055</cp:lastModifiedBy>
  <cp:revision>17</cp:revision>
  <dcterms:created xsi:type="dcterms:W3CDTF">2025-09-06T09:58:00Z</dcterms:created>
  <dcterms:modified xsi:type="dcterms:W3CDTF">2025-10-27T09:02:00Z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6f3af5b9-b155-4489-95a7-8601714e33a1</vt:lpwstr>
  </property>
</Properties>
</file>