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6B61" w:rsidRDefault="00E26663">
      <w:pPr>
        <w:pStyle w:val="Author"/>
        <w:spacing w:line="240" w:lineRule="auto"/>
        <w:jc w:val="left"/>
        <w:rPr>
          <w:rFonts w:ascii="Arial" w:hAnsi="Arial" w:cs="Arial"/>
          <w:bCs/>
          <w:iCs/>
          <w:kern w:val="28"/>
          <w:szCs w:val="24"/>
        </w:rPr>
      </w:pPr>
      <w:r>
        <w:rPr>
          <w:rFonts w:ascii="Arial" w:hAnsi="Arial" w:cs="Arial"/>
          <w:bCs/>
          <w:iCs/>
          <w:kern w:val="28"/>
          <w:szCs w:val="24"/>
        </w:rPr>
        <w:t>Original Research Article</w:t>
      </w:r>
    </w:p>
    <w:p w:rsidR="00FC6B61" w:rsidRDefault="00FC6B61">
      <w:pPr>
        <w:pStyle w:val="Author"/>
        <w:spacing w:line="240" w:lineRule="auto"/>
        <w:jc w:val="left"/>
        <w:rPr>
          <w:rFonts w:ascii="Arial" w:hAnsi="Arial" w:cs="Arial"/>
          <w:bCs/>
          <w:iCs/>
          <w:kern w:val="28"/>
          <w:szCs w:val="24"/>
        </w:rPr>
      </w:pPr>
    </w:p>
    <w:p w:rsidR="00FC6B61" w:rsidRDefault="00E26663">
      <w:pPr>
        <w:jc w:val="right"/>
        <w:rPr>
          <w:rFonts w:ascii="Arial" w:hAnsi="Arial" w:cs="Arial"/>
          <w:b/>
          <w:noProof/>
          <w:sz w:val="28"/>
          <w:szCs w:val="28"/>
          <w:lang w:eastAsia="en-PH"/>
        </w:rPr>
      </w:pPr>
      <w:r>
        <w:rPr>
          <w:rFonts w:ascii="Arial" w:hAnsi="Arial" w:cs="Arial"/>
          <w:b/>
          <w:noProof/>
          <w:sz w:val="28"/>
          <w:szCs w:val="28"/>
          <w:lang w:eastAsia="en-PH"/>
        </w:rPr>
        <w:t>SCHOOL GREENING IN INSTRUCTION AND ERUDITION PROCESS IN PUBLIC ELEMENTARY SCHOOLS</w:t>
      </w:r>
    </w:p>
    <w:p w:rsidR="00FC6B61" w:rsidRDefault="00FC6B61">
      <w:pPr>
        <w:jc w:val="right"/>
        <w:rPr>
          <w:rFonts w:ascii="Arial" w:hAnsi="Arial" w:cs="Arial"/>
          <w:b/>
          <w:noProof/>
          <w:sz w:val="28"/>
          <w:szCs w:val="28"/>
          <w:lang w:eastAsia="en-PH"/>
        </w:rPr>
      </w:pPr>
    </w:p>
    <w:p w:rsidR="00FC6B61" w:rsidRDefault="00E26663">
      <w:pPr>
        <w:pStyle w:val="AbstHead"/>
        <w:spacing w:after="0"/>
        <w:jc w:val="both"/>
        <w:rPr>
          <w:rFonts w:ascii="Arial" w:hAnsi="Arial" w:cs="Arial"/>
          <w:sz w:val="20"/>
        </w:rPr>
      </w:pPr>
      <w:r>
        <w:rPr>
          <w:rFonts w:ascii="Arial" w:hAnsi="Arial" w:cs="Arial"/>
          <w:sz w:val="20"/>
        </w:rPr>
        <w:t xml:space="preserve">ABSTRACT </w:t>
      </w:r>
    </w:p>
    <w:p w:rsidR="00FC6B61" w:rsidRDefault="00FC6B61">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FC6B61" w:rsidTr="00512B0F">
        <w:trPr>
          <w:trHeight w:val="4400"/>
        </w:trPr>
        <w:tc>
          <w:tcPr>
            <w:tcW w:w="9576" w:type="dxa"/>
            <w:shd w:val="clear" w:color="auto" w:fill="F2F2F2"/>
          </w:tcPr>
          <w:p w:rsidR="00FC6B61" w:rsidRDefault="00267D94" w:rsidP="00267D94">
            <w:pPr>
              <w:jc w:val="both"/>
              <w:rPr>
                <w:rFonts w:ascii="Arial" w:hAnsi="Arial" w:cs="Arial"/>
                <w:iCs/>
                <w:sz w:val="20"/>
                <w:szCs w:val="20"/>
              </w:rPr>
            </w:pPr>
            <w:r w:rsidRPr="00267D94">
              <w:rPr>
                <w:rFonts w:ascii="Arial" w:hAnsi="Arial" w:cs="Arial"/>
                <w:iCs/>
                <w:sz w:val="20"/>
                <w:szCs w:val="20"/>
                <w:highlight w:val="yellow"/>
              </w:rPr>
              <w:t>Globalization has also influenced the landscape of education, making high-quality instruction more accessible. It has facilitated the rapid adoption of modern learning modalities such as e-learning and blended learning, encouraged</w:t>
            </w:r>
            <w:bookmarkStart w:id="0" w:name="_GoBack"/>
            <w:bookmarkEnd w:id="0"/>
            <w:r w:rsidRPr="00267D94">
              <w:rPr>
                <w:rFonts w:ascii="Arial" w:hAnsi="Arial" w:cs="Arial"/>
                <w:iCs/>
                <w:sz w:val="20"/>
                <w:szCs w:val="20"/>
                <w:highlight w:val="yellow"/>
              </w:rPr>
              <w:t xml:space="preserve"> the establishment of foreign institutions in developing countries, and promoted knowledge exchange across borders.</w:t>
            </w:r>
            <w:r>
              <w:rPr>
                <w:rFonts w:ascii="Arial" w:hAnsi="Arial" w:cs="Arial"/>
                <w:iCs/>
                <w:sz w:val="20"/>
                <w:szCs w:val="20"/>
              </w:rPr>
              <w:t xml:space="preserve"> </w:t>
            </w:r>
            <w:r w:rsidR="00E26663">
              <w:rPr>
                <w:rFonts w:ascii="Arial" w:hAnsi="Arial" w:cs="Arial"/>
                <w:iCs/>
                <w:sz w:val="20"/>
                <w:szCs w:val="20"/>
              </w:rPr>
              <w:t xml:space="preserve">This study </w:t>
            </w:r>
            <w:r w:rsidR="003E1107">
              <w:rPr>
                <w:rFonts w:ascii="Arial" w:hAnsi="Arial" w:cs="Arial"/>
                <w:iCs/>
                <w:sz w:val="20"/>
                <w:szCs w:val="20"/>
              </w:rPr>
              <w:t xml:space="preserve">aimed </w:t>
            </w:r>
            <w:r w:rsidR="00E26663">
              <w:rPr>
                <w:rFonts w:ascii="Arial" w:hAnsi="Arial" w:cs="Arial"/>
                <w:iCs/>
                <w:sz w:val="20"/>
                <w:szCs w:val="20"/>
              </w:rPr>
              <w:t xml:space="preserve">to determine the extent of school greening in instruction and </w:t>
            </w:r>
            <w:r w:rsidR="006B0FE0">
              <w:rPr>
                <w:rFonts w:ascii="Arial" w:hAnsi="Arial" w:cs="Arial"/>
                <w:iCs/>
                <w:sz w:val="20"/>
                <w:szCs w:val="20"/>
              </w:rPr>
              <w:t xml:space="preserve">the </w:t>
            </w:r>
            <w:r w:rsidR="00E26663">
              <w:rPr>
                <w:rFonts w:ascii="Arial" w:hAnsi="Arial" w:cs="Arial"/>
                <w:iCs/>
                <w:sz w:val="20"/>
                <w:szCs w:val="20"/>
              </w:rPr>
              <w:t xml:space="preserve">erudition process in public elementary schools. A non-experimental quantitative research design was </w:t>
            </w:r>
            <w:proofErr w:type="spellStart"/>
            <w:r w:rsidR="006B0FE0" w:rsidRPr="00FE5B7E">
              <w:rPr>
                <w:rFonts w:ascii="Arial" w:hAnsi="Arial" w:cs="Arial"/>
                <w:iCs/>
                <w:sz w:val="20"/>
                <w:szCs w:val="20"/>
                <w:highlight w:val="yellow"/>
              </w:rPr>
              <w:t>utili</w:t>
            </w:r>
            <w:r w:rsidR="006B0FE0" w:rsidRPr="00FE5B7E">
              <w:rPr>
                <w:rFonts w:ascii="Arial" w:hAnsi="Arial" w:cs="Arial"/>
                <w:iCs/>
                <w:sz w:val="20"/>
                <w:szCs w:val="20"/>
                <w:highlight w:val="yellow"/>
              </w:rPr>
              <w:t>s</w:t>
            </w:r>
            <w:r w:rsidR="006B0FE0" w:rsidRPr="00FE5B7E">
              <w:rPr>
                <w:rFonts w:ascii="Arial" w:hAnsi="Arial" w:cs="Arial"/>
                <w:iCs/>
                <w:sz w:val="20"/>
                <w:szCs w:val="20"/>
                <w:highlight w:val="yellow"/>
              </w:rPr>
              <w:t>ed</w:t>
            </w:r>
            <w:proofErr w:type="spellEnd"/>
            <w:r w:rsidR="00E26663" w:rsidRPr="00FE5B7E">
              <w:rPr>
                <w:rFonts w:ascii="Arial" w:hAnsi="Arial" w:cs="Arial"/>
                <w:iCs/>
                <w:sz w:val="20"/>
                <w:szCs w:val="20"/>
                <w:highlight w:val="yellow"/>
              </w:rPr>
              <w:t>, specifically</w:t>
            </w:r>
            <w:r w:rsidR="00E26663">
              <w:rPr>
                <w:rFonts w:ascii="Arial" w:hAnsi="Arial" w:cs="Arial"/>
                <w:iCs/>
                <w:sz w:val="20"/>
                <w:szCs w:val="20"/>
              </w:rPr>
              <w:t xml:space="preserve"> employing the correlational method. The respondents consisted of 131 public elementary school teachers selected through universal sampling. Data were analyzed using mean, Pearson r, and regression analysis. Findings revealed that the level of school greening in instruction and the erudition process were high and moderate, respectively. A significant relationship was found between school greening and the instruction and erudition process in public elementary schools. Furthermore, it was established that the domains of school greening significantly influence instruction and the erudition process. Based on these findings, it is recommended that school heads enhance school greening practices, particularly in areas with </w:t>
            </w:r>
            <w:r w:rsidR="00E26663" w:rsidRPr="00FE5B7E">
              <w:rPr>
                <w:rFonts w:ascii="Arial" w:hAnsi="Arial" w:cs="Arial"/>
                <w:iCs/>
                <w:sz w:val="20"/>
                <w:szCs w:val="20"/>
                <w:highlight w:val="yellow"/>
              </w:rPr>
              <w:t>low results</w:t>
            </w:r>
            <w:r w:rsidR="006B0FE0" w:rsidRPr="00FE5B7E">
              <w:rPr>
                <w:rFonts w:ascii="Arial" w:hAnsi="Arial" w:cs="Arial"/>
                <w:iCs/>
                <w:sz w:val="20"/>
                <w:szCs w:val="20"/>
                <w:highlight w:val="yellow"/>
              </w:rPr>
              <w:t>,</w:t>
            </w:r>
            <w:r w:rsidR="00E26663" w:rsidRPr="00FE5B7E">
              <w:rPr>
                <w:rFonts w:ascii="Arial" w:hAnsi="Arial" w:cs="Arial"/>
                <w:iCs/>
                <w:sz w:val="20"/>
                <w:szCs w:val="20"/>
                <w:highlight w:val="yellow"/>
              </w:rPr>
              <w:t xml:space="preserve"> such</w:t>
            </w:r>
            <w:r w:rsidR="00E26663">
              <w:rPr>
                <w:rFonts w:ascii="Arial" w:hAnsi="Arial" w:cs="Arial"/>
                <w:iCs/>
                <w:sz w:val="20"/>
                <w:szCs w:val="20"/>
              </w:rPr>
              <w:t xml:space="preserve"> as evaluating academic journals, pedagogy, and inclusive practices. These measures are vital to improving instructional effectiveness within the standard education setting amidst global challenges.</w:t>
            </w:r>
            <w:r w:rsidR="00512B0F">
              <w:t xml:space="preserve"> </w:t>
            </w:r>
            <w:r w:rsidR="00512B0F" w:rsidRPr="00512B0F">
              <w:rPr>
                <w:highlight w:val="yellow"/>
              </w:rPr>
              <w:t>F</w:t>
            </w:r>
            <w:r w:rsidR="00512B0F" w:rsidRPr="00512B0F">
              <w:rPr>
                <w:rFonts w:ascii="Arial" w:hAnsi="Arial" w:cs="Arial"/>
                <w:iCs/>
                <w:sz w:val="20"/>
                <w:szCs w:val="20"/>
                <w:highlight w:val="yellow"/>
              </w:rPr>
              <w:t>uture research should explore other variables that may influence the relationship between school greening and the erudition process, such as teacher attitudes, administrative support, and student participation in green initiatives. Researchers are encouraged to employ qualitative or mixed-method approaches to gain deeper insights into the contextual factors affecting the success of greening education programs.</w:t>
            </w:r>
          </w:p>
        </w:tc>
      </w:tr>
    </w:tbl>
    <w:p w:rsidR="00FC6B61" w:rsidRDefault="00FC6B61">
      <w:pPr>
        <w:pStyle w:val="Body"/>
        <w:spacing w:after="0"/>
        <w:rPr>
          <w:rFonts w:ascii="Arial" w:hAnsi="Arial" w:cs="Arial"/>
          <w:i/>
        </w:rPr>
      </w:pPr>
    </w:p>
    <w:p w:rsidR="00FC6B61" w:rsidRDefault="00E26663">
      <w:pPr>
        <w:jc w:val="both"/>
        <w:rPr>
          <w:rFonts w:ascii="Arial" w:hAnsi="Arial" w:cs="Arial"/>
          <w:iCs/>
          <w:sz w:val="20"/>
          <w:szCs w:val="20"/>
        </w:rPr>
      </w:pPr>
      <w:r>
        <w:rPr>
          <w:rFonts w:ascii="Arial" w:hAnsi="Arial" w:cs="Arial"/>
          <w:i/>
          <w:iCs/>
          <w:sz w:val="20"/>
          <w:szCs w:val="20"/>
        </w:rPr>
        <w:t>Keywords</w:t>
      </w:r>
      <w:r>
        <w:rPr>
          <w:rFonts w:ascii="Arial" w:hAnsi="Arial" w:cs="Arial"/>
          <w:sz w:val="20"/>
          <w:szCs w:val="20"/>
        </w:rPr>
        <w:t xml:space="preserve">: </w:t>
      </w:r>
      <w:r>
        <w:rPr>
          <w:rFonts w:ascii="Arial" w:hAnsi="Arial" w:cs="Arial"/>
          <w:iCs/>
          <w:sz w:val="20"/>
          <w:szCs w:val="20"/>
        </w:rPr>
        <w:t>School Greening in Instruction, Erudition Process, Public Elementary Schools, Education</w:t>
      </w:r>
    </w:p>
    <w:p w:rsidR="00FC6B61" w:rsidRDefault="00FC6B61">
      <w:pPr>
        <w:jc w:val="both"/>
        <w:rPr>
          <w:rFonts w:ascii="Arial" w:hAnsi="Arial" w:cs="Arial"/>
          <w:iCs/>
          <w:sz w:val="20"/>
          <w:szCs w:val="20"/>
        </w:rPr>
      </w:pPr>
    </w:p>
    <w:p w:rsidR="00FC6B61" w:rsidRDefault="00E26663">
      <w:pPr>
        <w:pStyle w:val="AbstHead"/>
        <w:spacing w:after="0"/>
        <w:jc w:val="both"/>
        <w:rPr>
          <w:rFonts w:ascii="Arial" w:hAnsi="Arial" w:cs="Arial"/>
          <w:sz w:val="20"/>
        </w:rPr>
      </w:pPr>
      <w:r>
        <w:rPr>
          <w:rFonts w:ascii="Arial" w:hAnsi="Arial" w:cs="Arial"/>
          <w:sz w:val="20"/>
        </w:rPr>
        <w:t>1. INTRODUCTION</w:t>
      </w:r>
    </w:p>
    <w:p w:rsidR="00FC6B61" w:rsidRDefault="00FC6B61">
      <w:pPr>
        <w:pStyle w:val="AbstHead"/>
        <w:spacing w:after="0"/>
        <w:jc w:val="both"/>
        <w:rPr>
          <w:rFonts w:ascii="Arial" w:hAnsi="Arial" w:cs="Arial"/>
          <w:sz w:val="20"/>
        </w:rPr>
      </w:pPr>
    </w:p>
    <w:p w:rsidR="00FC6B61" w:rsidRDefault="006615BF">
      <w:pPr>
        <w:jc w:val="both"/>
        <w:rPr>
          <w:rFonts w:ascii="Arial" w:hAnsi="Arial"/>
          <w:sz w:val="20"/>
          <w:szCs w:val="20"/>
        </w:rPr>
      </w:pPr>
      <w:r w:rsidRPr="00FE5B7E">
        <w:rPr>
          <w:rFonts w:ascii="Arial" w:hAnsi="Arial"/>
          <w:sz w:val="20"/>
          <w:szCs w:val="20"/>
          <w:highlight w:val="yellow"/>
        </w:rPr>
        <w:t>Sustainable development has become a core part of all day-to-day activities and considerations because of the critical role it plays in determining the future. Green education also plays a critical role in cultivating environmentally literate and responsible citizens capable of tackling present and future environmental challenges. It empowers individuals to contribute actively to the creation of a sustainable and resilient world</w:t>
      </w:r>
      <w:r w:rsidRPr="0050499F">
        <w:rPr>
          <w:rFonts w:ascii="Arial" w:hAnsi="Arial"/>
          <w:sz w:val="20"/>
          <w:szCs w:val="20"/>
          <w:highlight w:val="yellow"/>
        </w:rPr>
        <w:t xml:space="preserve"> (</w:t>
      </w:r>
      <w:proofErr w:type="spellStart"/>
      <w:r w:rsidRPr="00FE5B7E">
        <w:rPr>
          <w:rFonts w:ascii="Arial" w:hAnsi="Arial"/>
          <w:sz w:val="20"/>
          <w:szCs w:val="20"/>
          <w:highlight w:val="yellow"/>
        </w:rPr>
        <w:t>Abagissa</w:t>
      </w:r>
      <w:proofErr w:type="spellEnd"/>
      <w:r w:rsidRPr="00FE5B7E">
        <w:rPr>
          <w:rFonts w:ascii="Arial" w:hAnsi="Arial"/>
          <w:sz w:val="20"/>
          <w:szCs w:val="20"/>
          <w:highlight w:val="yellow"/>
        </w:rPr>
        <w:t xml:space="preserve"> et al., 2021</w:t>
      </w:r>
      <w:r>
        <w:rPr>
          <w:rFonts w:ascii="Arial" w:hAnsi="Arial"/>
          <w:sz w:val="20"/>
          <w:szCs w:val="20"/>
          <w:highlight w:val="yellow"/>
        </w:rPr>
        <w:t>)</w:t>
      </w:r>
      <w:r w:rsidRPr="00FE5B7E">
        <w:rPr>
          <w:rFonts w:ascii="Arial" w:hAnsi="Arial"/>
          <w:sz w:val="20"/>
          <w:szCs w:val="20"/>
          <w:highlight w:val="yellow"/>
        </w:rPr>
        <w:t>.</w:t>
      </w:r>
      <w:r>
        <w:rPr>
          <w:rFonts w:ascii="Arial" w:hAnsi="Arial"/>
          <w:sz w:val="20"/>
          <w:szCs w:val="20"/>
        </w:rPr>
        <w:t xml:space="preserve"> </w:t>
      </w:r>
      <w:r w:rsidR="00E26663">
        <w:rPr>
          <w:rFonts w:ascii="Arial" w:hAnsi="Arial"/>
          <w:sz w:val="20"/>
          <w:szCs w:val="20"/>
        </w:rPr>
        <w:t xml:space="preserve">A green school fosters a healthy, </w:t>
      </w:r>
      <w:r w:rsidR="00E26663" w:rsidRPr="00FE5B7E">
        <w:rPr>
          <w:rFonts w:ascii="Arial" w:hAnsi="Arial"/>
          <w:sz w:val="20"/>
          <w:szCs w:val="20"/>
          <w:highlight w:val="yellow"/>
        </w:rPr>
        <w:t>learner-</w:t>
      </w:r>
      <w:proofErr w:type="spellStart"/>
      <w:r w:rsidR="00E26663" w:rsidRPr="00FE5B7E">
        <w:rPr>
          <w:rFonts w:ascii="Arial" w:hAnsi="Arial"/>
          <w:sz w:val="20"/>
          <w:szCs w:val="20"/>
          <w:highlight w:val="yellow"/>
        </w:rPr>
        <w:t>centred</w:t>
      </w:r>
      <w:proofErr w:type="spellEnd"/>
      <w:r w:rsidR="00E26663" w:rsidRPr="00FE5B7E">
        <w:rPr>
          <w:rFonts w:ascii="Arial" w:hAnsi="Arial"/>
          <w:sz w:val="20"/>
          <w:szCs w:val="20"/>
          <w:highlight w:val="yellow"/>
        </w:rPr>
        <w:t xml:space="preserve"> environment</w:t>
      </w:r>
      <w:r w:rsidR="00E26663">
        <w:rPr>
          <w:rFonts w:ascii="Arial" w:hAnsi="Arial"/>
          <w:sz w:val="20"/>
          <w:szCs w:val="20"/>
        </w:rPr>
        <w:t xml:space="preserve"> </w:t>
      </w:r>
      <w:r w:rsidR="00E26663" w:rsidRPr="00FE5B7E">
        <w:rPr>
          <w:rFonts w:ascii="Arial" w:hAnsi="Arial"/>
          <w:sz w:val="20"/>
          <w:szCs w:val="20"/>
          <w:highlight w:val="yellow"/>
        </w:rPr>
        <w:t xml:space="preserve">while </w:t>
      </w:r>
      <w:proofErr w:type="spellStart"/>
      <w:r w:rsidR="006B0FE0" w:rsidRPr="00FE5B7E">
        <w:rPr>
          <w:rFonts w:ascii="Arial" w:hAnsi="Arial"/>
          <w:sz w:val="20"/>
          <w:szCs w:val="20"/>
          <w:highlight w:val="yellow"/>
        </w:rPr>
        <w:t>minimi</w:t>
      </w:r>
      <w:r w:rsidR="006B0FE0" w:rsidRPr="00FE5B7E">
        <w:rPr>
          <w:rFonts w:ascii="Arial" w:hAnsi="Arial"/>
          <w:sz w:val="20"/>
          <w:szCs w:val="20"/>
          <w:highlight w:val="yellow"/>
        </w:rPr>
        <w:t>s</w:t>
      </w:r>
      <w:r w:rsidR="006B0FE0" w:rsidRPr="00FE5B7E">
        <w:rPr>
          <w:rFonts w:ascii="Arial" w:hAnsi="Arial"/>
          <w:sz w:val="20"/>
          <w:szCs w:val="20"/>
          <w:highlight w:val="yellow"/>
        </w:rPr>
        <w:t>ing</w:t>
      </w:r>
      <w:proofErr w:type="spellEnd"/>
      <w:r w:rsidR="006B0FE0">
        <w:rPr>
          <w:rFonts w:ascii="Arial" w:hAnsi="Arial"/>
          <w:sz w:val="20"/>
          <w:szCs w:val="20"/>
        </w:rPr>
        <w:t xml:space="preserve"> </w:t>
      </w:r>
      <w:r w:rsidR="00E26663">
        <w:rPr>
          <w:rFonts w:ascii="Arial" w:hAnsi="Arial"/>
          <w:sz w:val="20"/>
          <w:szCs w:val="20"/>
        </w:rPr>
        <w:t>environmental impact, conserving resources, and reducing operational costs. More than just infrastructure or curriculum, a green school is a holistic learning space where the entire community collaborates to promote global sustainability and climate action. It equips students with the knowledge and skills needed to lead a healthier, more sustainable future. Research and real-world applications have consistently shown that successful green schools benefit students, educators, and communities alike (Coyle, 2020).</w:t>
      </w:r>
    </w:p>
    <w:p w:rsidR="00FC6B61" w:rsidRDefault="00FC6B61">
      <w:pPr>
        <w:jc w:val="both"/>
        <w:rPr>
          <w:rFonts w:ascii="Arial" w:hAnsi="Arial"/>
          <w:sz w:val="20"/>
          <w:szCs w:val="20"/>
        </w:rPr>
      </w:pPr>
    </w:p>
    <w:p w:rsidR="00FC6B61" w:rsidRDefault="0050499F">
      <w:pPr>
        <w:jc w:val="both"/>
        <w:rPr>
          <w:rFonts w:ascii="Arial" w:hAnsi="Arial"/>
          <w:sz w:val="20"/>
          <w:szCs w:val="20"/>
        </w:rPr>
      </w:pPr>
      <w:r w:rsidRPr="00FE5B7E">
        <w:rPr>
          <w:rFonts w:ascii="Arial" w:hAnsi="Arial"/>
          <w:sz w:val="20"/>
          <w:szCs w:val="20"/>
          <w:highlight w:val="yellow"/>
        </w:rPr>
        <w:t xml:space="preserve">Greening schools and surrounding neighborhoods also </w:t>
      </w:r>
      <w:proofErr w:type="gramStart"/>
      <w:r w:rsidRPr="00FE5B7E">
        <w:rPr>
          <w:rFonts w:ascii="Arial" w:hAnsi="Arial"/>
          <w:sz w:val="20"/>
          <w:szCs w:val="20"/>
          <w:highlight w:val="yellow"/>
        </w:rPr>
        <w:t>has</w:t>
      </w:r>
      <w:proofErr w:type="gramEnd"/>
      <w:r w:rsidRPr="00FE5B7E">
        <w:rPr>
          <w:rFonts w:ascii="Arial" w:hAnsi="Arial"/>
          <w:sz w:val="20"/>
          <w:szCs w:val="20"/>
          <w:highlight w:val="yellow"/>
        </w:rPr>
        <w:t xml:space="preserve"> the potential to boost academic achievement by improving students’ ability to concentrate. Mastery of subject matter content and related skills requires efficient learning day after day. Learning improves when the learner </w:t>
      </w:r>
      <w:r w:rsidRPr="00FE5B7E">
        <w:rPr>
          <w:rFonts w:ascii="Arial" w:hAnsi="Arial"/>
          <w:sz w:val="20"/>
          <w:szCs w:val="20"/>
          <w:highlight w:val="yellow"/>
        </w:rPr>
        <w:lastRenderedPageBreak/>
        <w:t>is able to focus attention in the classroom; inattention in the classroom reduces academic achievement</w:t>
      </w:r>
      <w:r w:rsidR="00915516">
        <w:rPr>
          <w:rFonts w:ascii="Arial" w:hAnsi="Arial"/>
          <w:sz w:val="20"/>
          <w:szCs w:val="20"/>
          <w:highlight w:val="yellow"/>
        </w:rPr>
        <w:t xml:space="preserve"> (</w:t>
      </w:r>
      <w:proofErr w:type="spellStart"/>
      <w:r w:rsidR="00915516" w:rsidRPr="00FE5B7E">
        <w:rPr>
          <w:rFonts w:ascii="Arial" w:hAnsi="Arial"/>
          <w:sz w:val="20"/>
          <w:szCs w:val="20"/>
          <w:highlight w:val="yellow"/>
        </w:rPr>
        <w:t>Kuo</w:t>
      </w:r>
      <w:proofErr w:type="spellEnd"/>
      <w:r w:rsidR="00915516" w:rsidRPr="00FE5B7E">
        <w:rPr>
          <w:rFonts w:ascii="Arial" w:hAnsi="Arial"/>
          <w:sz w:val="20"/>
          <w:szCs w:val="20"/>
          <w:highlight w:val="yellow"/>
        </w:rPr>
        <w:t xml:space="preserve"> et al., 2021</w:t>
      </w:r>
      <w:r w:rsidR="00915516">
        <w:rPr>
          <w:rFonts w:ascii="Arial" w:hAnsi="Arial"/>
          <w:sz w:val="20"/>
          <w:szCs w:val="20"/>
          <w:highlight w:val="yellow"/>
        </w:rPr>
        <w:t>)</w:t>
      </w:r>
      <w:r w:rsidRPr="00FE5B7E">
        <w:rPr>
          <w:rFonts w:ascii="Arial" w:hAnsi="Arial"/>
          <w:sz w:val="20"/>
          <w:szCs w:val="20"/>
          <w:highlight w:val="yellow"/>
        </w:rPr>
        <w:t xml:space="preserve">. </w:t>
      </w:r>
      <w:r w:rsidR="00E26663" w:rsidRPr="00FE5B7E">
        <w:rPr>
          <w:rFonts w:ascii="Arial" w:hAnsi="Arial"/>
          <w:sz w:val="20"/>
          <w:szCs w:val="20"/>
          <w:highlight w:val="yellow"/>
        </w:rPr>
        <w:t>The Whole School Sustainability framework illustrates that green schools integrate sustainability</w:t>
      </w:r>
      <w:r w:rsidR="00E26663">
        <w:rPr>
          <w:rFonts w:ascii="Arial" w:hAnsi="Arial"/>
          <w:sz w:val="20"/>
          <w:szCs w:val="20"/>
        </w:rPr>
        <w:t xml:space="preserve"> across three core components: the educational program, the physical environment, and the </w:t>
      </w:r>
      <w:proofErr w:type="spellStart"/>
      <w:r w:rsidR="006B0FE0" w:rsidRPr="00FE5B7E">
        <w:rPr>
          <w:rFonts w:ascii="Arial" w:hAnsi="Arial"/>
          <w:sz w:val="20"/>
          <w:szCs w:val="20"/>
          <w:highlight w:val="yellow"/>
        </w:rPr>
        <w:t>organi</w:t>
      </w:r>
      <w:r w:rsidR="006B0FE0" w:rsidRPr="00FE5B7E">
        <w:rPr>
          <w:rFonts w:ascii="Arial" w:hAnsi="Arial"/>
          <w:sz w:val="20"/>
          <w:szCs w:val="20"/>
          <w:highlight w:val="yellow"/>
        </w:rPr>
        <w:t>s</w:t>
      </w:r>
      <w:r w:rsidR="006B0FE0" w:rsidRPr="00FE5B7E">
        <w:rPr>
          <w:rFonts w:ascii="Arial" w:hAnsi="Arial"/>
          <w:sz w:val="20"/>
          <w:szCs w:val="20"/>
          <w:highlight w:val="yellow"/>
        </w:rPr>
        <w:t>ational</w:t>
      </w:r>
      <w:proofErr w:type="spellEnd"/>
      <w:r w:rsidR="006B0FE0" w:rsidRPr="00FE5B7E">
        <w:rPr>
          <w:rFonts w:ascii="Arial" w:hAnsi="Arial"/>
          <w:sz w:val="20"/>
          <w:szCs w:val="20"/>
          <w:highlight w:val="yellow"/>
        </w:rPr>
        <w:t xml:space="preserve"> </w:t>
      </w:r>
      <w:r w:rsidR="00E26663" w:rsidRPr="00FE5B7E">
        <w:rPr>
          <w:rFonts w:ascii="Arial" w:hAnsi="Arial"/>
          <w:sz w:val="20"/>
          <w:szCs w:val="20"/>
          <w:highlight w:val="yellow"/>
        </w:rPr>
        <w:t>culture. These</w:t>
      </w:r>
      <w:r w:rsidR="00E26663">
        <w:rPr>
          <w:rFonts w:ascii="Arial" w:hAnsi="Arial"/>
          <w:sz w:val="20"/>
          <w:szCs w:val="20"/>
        </w:rPr>
        <w:t xml:space="preserve"> elements work together to form a cohesive strategy that supports environmental responsibility. Complementing this framework are the three pillars of green schools—reducing environmental impact and costs, improving occupant health and wellness, and enhancing environmental and sustainability literacy. These pillars, first introduced through the U.S. Department of Education’s ED-Green Ribbon Schools initiative in 2011, have since become a global standard for measuring sustainable school performance (</w:t>
      </w:r>
      <w:proofErr w:type="spellStart"/>
      <w:r w:rsidR="00E26663">
        <w:rPr>
          <w:rFonts w:ascii="Arial" w:hAnsi="Arial"/>
          <w:sz w:val="20"/>
          <w:szCs w:val="20"/>
        </w:rPr>
        <w:t>Duclairoir</w:t>
      </w:r>
      <w:proofErr w:type="spellEnd"/>
      <w:r w:rsidR="00E26663">
        <w:rPr>
          <w:rFonts w:ascii="Arial" w:hAnsi="Arial"/>
          <w:sz w:val="20"/>
          <w:szCs w:val="20"/>
        </w:rPr>
        <w:t>, 2020).</w:t>
      </w:r>
    </w:p>
    <w:p w:rsidR="00FC6B61" w:rsidRDefault="00FC6B61">
      <w:pPr>
        <w:jc w:val="both"/>
        <w:rPr>
          <w:rFonts w:ascii="Arial" w:hAnsi="Arial"/>
          <w:sz w:val="20"/>
          <w:szCs w:val="20"/>
        </w:rPr>
      </w:pPr>
    </w:p>
    <w:p w:rsidR="00FC6B61" w:rsidRDefault="006B0FE0">
      <w:pPr>
        <w:jc w:val="both"/>
        <w:rPr>
          <w:rFonts w:ascii="Arial" w:hAnsi="Arial"/>
          <w:sz w:val="20"/>
          <w:szCs w:val="20"/>
        </w:rPr>
      </w:pPr>
      <w:proofErr w:type="spellStart"/>
      <w:r w:rsidRPr="00FE5B7E">
        <w:rPr>
          <w:rFonts w:ascii="Arial" w:hAnsi="Arial"/>
          <w:sz w:val="20"/>
          <w:szCs w:val="20"/>
          <w:highlight w:val="yellow"/>
        </w:rPr>
        <w:t>Globali</w:t>
      </w:r>
      <w:r w:rsidRPr="00FE5B7E">
        <w:rPr>
          <w:rFonts w:ascii="Arial" w:hAnsi="Arial"/>
          <w:sz w:val="20"/>
          <w:szCs w:val="20"/>
          <w:highlight w:val="yellow"/>
        </w:rPr>
        <w:t>s</w:t>
      </w:r>
      <w:r w:rsidRPr="00FE5B7E">
        <w:rPr>
          <w:rFonts w:ascii="Arial" w:hAnsi="Arial"/>
          <w:sz w:val="20"/>
          <w:szCs w:val="20"/>
          <w:highlight w:val="yellow"/>
        </w:rPr>
        <w:t>ation</w:t>
      </w:r>
      <w:proofErr w:type="spellEnd"/>
      <w:r w:rsidRPr="00FE5B7E">
        <w:rPr>
          <w:rFonts w:ascii="Arial" w:hAnsi="Arial"/>
          <w:sz w:val="20"/>
          <w:szCs w:val="20"/>
          <w:highlight w:val="yellow"/>
        </w:rPr>
        <w:t xml:space="preserve"> </w:t>
      </w:r>
      <w:r w:rsidR="00E26663" w:rsidRPr="00FE5B7E">
        <w:rPr>
          <w:rFonts w:ascii="Arial" w:hAnsi="Arial"/>
          <w:sz w:val="20"/>
          <w:szCs w:val="20"/>
          <w:highlight w:val="yellow"/>
        </w:rPr>
        <w:t>has also influenced</w:t>
      </w:r>
      <w:r w:rsidR="00E26663">
        <w:rPr>
          <w:rFonts w:ascii="Arial" w:hAnsi="Arial"/>
          <w:sz w:val="20"/>
          <w:szCs w:val="20"/>
        </w:rPr>
        <w:t xml:space="preserve"> the landscape of education, making high-quality instruction more accessible. It has facilitated the rapid adoption of modern learning modalities such as e-learning and blended learning, encouraged the establishment of foreign institutions in developing countries, and promoted knowledge exchange across borders. These developments have enriched educational infrastructure and broadened students’ global understanding, empathy, and civic awareness (Coyle, 2021; Chiba et al., 2021; </w:t>
      </w:r>
      <w:proofErr w:type="spellStart"/>
      <w:r w:rsidR="00E26663">
        <w:rPr>
          <w:rFonts w:ascii="Arial" w:hAnsi="Arial"/>
          <w:sz w:val="20"/>
          <w:szCs w:val="20"/>
        </w:rPr>
        <w:t>Duclairoir</w:t>
      </w:r>
      <w:proofErr w:type="spellEnd"/>
      <w:r w:rsidR="00E26663">
        <w:rPr>
          <w:rFonts w:ascii="Arial" w:hAnsi="Arial"/>
          <w:sz w:val="20"/>
          <w:szCs w:val="20"/>
        </w:rPr>
        <w:t>, 2020). Practical education has gained prominence through internships, distance learning, and multilingual instruction, contributing to improved literacy rates and more socially aware learners worldwide.</w:t>
      </w:r>
    </w:p>
    <w:p w:rsidR="00FC6B61" w:rsidRDefault="00FC6B61">
      <w:pPr>
        <w:jc w:val="both"/>
        <w:rPr>
          <w:rFonts w:ascii="Arial" w:hAnsi="Arial"/>
          <w:sz w:val="20"/>
          <w:szCs w:val="20"/>
        </w:rPr>
      </w:pPr>
    </w:p>
    <w:p w:rsidR="00FC6B61" w:rsidRDefault="00E26663">
      <w:pPr>
        <w:jc w:val="both"/>
        <w:rPr>
          <w:rFonts w:ascii="Arial" w:hAnsi="Arial"/>
          <w:sz w:val="20"/>
          <w:szCs w:val="20"/>
        </w:rPr>
      </w:pPr>
      <w:r>
        <w:rPr>
          <w:rFonts w:ascii="Arial" w:hAnsi="Arial"/>
          <w:sz w:val="20"/>
          <w:szCs w:val="20"/>
        </w:rPr>
        <w:t xml:space="preserve">In the Philippine context, the Department of Education in </w:t>
      </w:r>
      <w:proofErr w:type="spellStart"/>
      <w:r>
        <w:rPr>
          <w:rFonts w:ascii="Arial" w:hAnsi="Arial"/>
          <w:sz w:val="20"/>
          <w:szCs w:val="20"/>
        </w:rPr>
        <w:t>Digos</w:t>
      </w:r>
      <w:proofErr w:type="spellEnd"/>
      <w:r>
        <w:rPr>
          <w:rFonts w:ascii="Arial" w:hAnsi="Arial"/>
          <w:sz w:val="20"/>
          <w:szCs w:val="20"/>
        </w:rPr>
        <w:t xml:space="preserve"> City launched the Greening Education initiative, aligned with the Basic Education Learning Continuity Plan. This project incorporates agile development principles and corporate tools such as Kanban boards to improve instructional and learning processes (</w:t>
      </w:r>
      <w:proofErr w:type="spellStart"/>
      <w:r>
        <w:rPr>
          <w:rFonts w:ascii="Arial" w:hAnsi="Arial"/>
          <w:sz w:val="20"/>
          <w:szCs w:val="20"/>
        </w:rPr>
        <w:t>Denzon</w:t>
      </w:r>
      <w:proofErr w:type="spellEnd"/>
      <w:r>
        <w:rPr>
          <w:rFonts w:ascii="Arial" w:hAnsi="Arial"/>
          <w:sz w:val="20"/>
          <w:szCs w:val="20"/>
        </w:rPr>
        <w:t xml:space="preserve"> et al., 2023).</w:t>
      </w:r>
    </w:p>
    <w:p w:rsidR="00FC6B61" w:rsidRDefault="00FC6B61">
      <w:pPr>
        <w:jc w:val="both"/>
        <w:rPr>
          <w:rFonts w:ascii="Arial" w:hAnsi="Arial"/>
          <w:sz w:val="20"/>
          <w:szCs w:val="20"/>
        </w:rPr>
      </w:pPr>
    </w:p>
    <w:p w:rsidR="00FC6B61" w:rsidRDefault="00E26663">
      <w:pPr>
        <w:jc w:val="both"/>
        <w:rPr>
          <w:rFonts w:ascii="Arial" w:hAnsi="Arial"/>
          <w:sz w:val="20"/>
          <w:szCs w:val="20"/>
        </w:rPr>
      </w:pPr>
      <w:r>
        <w:rPr>
          <w:rFonts w:ascii="Arial" w:hAnsi="Arial"/>
          <w:sz w:val="20"/>
          <w:szCs w:val="20"/>
        </w:rPr>
        <w:t>Against the backdrop of global crises, this study explored the role of greening education programs in enhancing instruction and the erudition process in public elementary schools. Understanding the interaction between these variables is essential in determining how sustainability practices can support effective teaching and learning. Conducted in Davao City, this research aims to strengthen existing knowledge and inform future instructional interventions. It is expected to raise teacher awareness of sustainable strategies that promote academic engagement and literacy. Ultimately, this study may contribute to the educational system’s embrace of blended, technology-driven, and environmentally responsive learning models, enhancing its social relevance and impact.</w:t>
      </w:r>
    </w:p>
    <w:p w:rsidR="00FC6B61" w:rsidRDefault="00FC6B61">
      <w:pPr>
        <w:rPr>
          <w:rFonts w:ascii="Arial" w:eastAsia="MS Mincho" w:hAnsi="Arial" w:cs="Arial"/>
          <w:b/>
          <w:sz w:val="20"/>
          <w:szCs w:val="20"/>
          <w:lang w:eastAsia="ja-JP"/>
        </w:rPr>
      </w:pPr>
    </w:p>
    <w:p w:rsidR="00FC6B61" w:rsidRDefault="00E26663">
      <w:pPr>
        <w:rPr>
          <w:rFonts w:ascii="Arial" w:eastAsia="MS Mincho" w:hAnsi="Arial" w:cs="Arial"/>
          <w:b/>
          <w:sz w:val="20"/>
          <w:szCs w:val="20"/>
          <w:lang w:eastAsia="ja-JP"/>
        </w:rPr>
      </w:pPr>
      <w:r w:rsidRPr="00BA203B">
        <w:rPr>
          <w:rFonts w:ascii="Arial" w:eastAsia="MS Mincho" w:hAnsi="Arial" w:cs="Arial"/>
          <w:b/>
          <w:sz w:val="20"/>
          <w:szCs w:val="20"/>
          <w:highlight w:val="yellow"/>
          <w:lang w:eastAsia="ja-JP"/>
        </w:rPr>
        <w:t xml:space="preserve">1.1 </w:t>
      </w:r>
      <w:r w:rsidR="00BA203B" w:rsidRPr="00BA203B">
        <w:rPr>
          <w:rFonts w:ascii="Arial" w:eastAsia="MS Mincho" w:hAnsi="Arial" w:cs="Arial"/>
          <w:b/>
          <w:sz w:val="20"/>
          <w:szCs w:val="20"/>
          <w:highlight w:val="yellow"/>
          <w:lang w:eastAsia="ja-JP"/>
        </w:rPr>
        <w:t>Research Questions</w:t>
      </w:r>
    </w:p>
    <w:p w:rsidR="00FC6B61" w:rsidRDefault="00FC6B61">
      <w:pPr>
        <w:rPr>
          <w:rFonts w:ascii="Arial" w:eastAsia="MS Mincho" w:hAnsi="Arial" w:cs="Arial"/>
          <w:sz w:val="20"/>
          <w:szCs w:val="20"/>
          <w:lang w:eastAsia="ja-JP"/>
        </w:rPr>
      </w:pPr>
    </w:p>
    <w:p w:rsidR="00FC6B61" w:rsidRDefault="00E26663">
      <w:pPr>
        <w:jc w:val="both"/>
        <w:rPr>
          <w:rFonts w:ascii="Arial" w:eastAsia="MS Mincho" w:hAnsi="Arial" w:cs="Arial"/>
          <w:sz w:val="20"/>
          <w:szCs w:val="20"/>
          <w:lang w:eastAsia="ja-JP"/>
        </w:rPr>
      </w:pPr>
      <w:r>
        <w:rPr>
          <w:rFonts w:ascii="Arial" w:eastAsia="MS Mincho" w:hAnsi="Arial" w:cs="Arial"/>
          <w:sz w:val="20"/>
          <w:szCs w:val="20"/>
          <w:lang w:eastAsia="ja-JP"/>
        </w:rPr>
        <w:t>This study aimed to determine the relationship between the school greening in instruction and erudition process amidst global crisis in public elementary schools. Specifically, it sought to answers the following questions:</w:t>
      </w:r>
    </w:p>
    <w:p w:rsidR="00FC6B61" w:rsidRDefault="00FC6B61">
      <w:pPr>
        <w:rPr>
          <w:rFonts w:ascii="Arial" w:eastAsia="MS Mincho" w:hAnsi="Arial" w:cs="Arial"/>
          <w:sz w:val="20"/>
          <w:szCs w:val="20"/>
          <w:lang w:eastAsia="ja-JP"/>
        </w:rPr>
      </w:pPr>
    </w:p>
    <w:p w:rsidR="00FC6B61" w:rsidRDefault="00E26663">
      <w:pPr>
        <w:jc w:val="both"/>
        <w:rPr>
          <w:rFonts w:ascii="Arial" w:eastAsia="MS Mincho" w:hAnsi="Arial" w:cs="Arial"/>
          <w:sz w:val="20"/>
          <w:szCs w:val="20"/>
          <w:lang w:eastAsia="ja-JP"/>
        </w:rPr>
      </w:pPr>
      <w:r>
        <w:rPr>
          <w:rFonts w:ascii="Arial" w:eastAsia="MS Mincho" w:hAnsi="Arial" w:cs="Arial"/>
          <w:sz w:val="20"/>
          <w:szCs w:val="20"/>
          <w:lang w:eastAsia="ja-JP"/>
        </w:rPr>
        <w:t xml:space="preserve">1. What is the level of school </w:t>
      </w:r>
      <w:r w:rsidRPr="00FE5B7E">
        <w:rPr>
          <w:rFonts w:ascii="Arial" w:eastAsia="MS Mincho" w:hAnsi="Arial" w:cs="Arial"/>
          <w:sz w:val="20"/>
          <w:szCs w:val="20"/>
          <w:highlight w:val="yellow"/>
          <w:lang w:eastAsia="ja-JP"/>
        </w:rPr>
        <w:t>gree</w:t>
      </w:r>
      <w:r w:rsidR="006B0FE0" w:rsidRPr="00FE5B7E">
        <w:rPr>
          <w:rFonts w:ascii="Arial" w:eastAsia="MS Mincho" w:hAnsi="Arial" w:cs="Arial"/>
          <w:sz w:val="20"/>
          <w:szCs w:val="20"/>
          <w:highlight w:val="yellow"/>
          <w:lang w:eastAsia="ja-JP"/>
        </w:rPr>
        <w:t>n</w:t>
      </w:r>
      <w:r w:rsidRPr="00FE5B7E">
        <w:rPr>
          <w:rFonts w:ascii="Arial" w:eastAsia="MS Mincho" w:hAnsi="Arial" w:cs="Arial"/>
          <w:sz w:val="20"/>
          <w:szCs w:val="20"/>
          <w:highlight w:val="yellow"/>
          <w:lang w:eastAsia="ja-JP"/>
        </w:rPr>
        <w:t>ing in ins</w:t>
      </w:r>
      <w:r>
        <w:rPr>
          <w:rFonts w:ascii="Arial" w:eastAsia="MS Mincho" w:hAnsi="Arial" w:cs="Arial"/>
          <w:sz w:val="20"/>
          <w:szCs w:val="20"/>
          <w:lang w:eastAsia="ja-JP"/>
        </w:rPr>
        <w:t xml:space="preserve">truction </w:t>
      </w:r>
      <w:r w:rsidRPr="00FE5B7E">
        <w:rPr>
          <w:rFonts w:ascii="Arial" w:eastAsia="MS Mincho" w:hAnsi="Arial" w:cs="Arial"/>
          <w:sz w:val="20"/>
          <w:szCs w:val="20"/>
          <w:highlight w:val="yellow"/>
          <w:lang w:eastAsia="ja-JP"/>
        </w:rPr>
        <w:t xml:space="preserve">amidst </w:t>
      </w:r>
      <w:r w:rsidR="006B0FE0" w:rsidRPr="00FE5B7E">
        <w:rPr>
          <w:rFonts w:ascii="Arial" w:eastAsia="MS Mincho" w:hAnsi="Arial" w:cs="Arial"/>
          <w:sz w:val="20"/>
          <w:szCs w:val="20"/>
          <w:highlight w:val="yellow"/>
          <w:lang w:eastAsia="ja-JP"/>
        </w:rPr>
        <w:t xml:space="preserve">the </w:t>
      </w:r>
      <w:r w:rsidRPr="00FE5B7E">
        <w:rPr>
          <w:rFonts w:ascii="Arial" w:eastAsia="MS Mincho" w:hAnsi="Arial" w:cs="Arial"/>
          <w:sz w:val="20"/>
          <w:szCs w:val="20"/>
          <w:highlight w:val="yellow"/>
          <w:lang w:eastAsia="ja-JP"/>
        </w:rPr>
        <w:t>global</w:t>
      </w:r>
      <w:r>
        <w:rPr>
          <w:rFonts w:ascii="Arial" w:eastAsia="MS Mincho" w:hAnsi="Arial" w:cs="Arial"/>
          <w:sz w:val="20"/>
          <w:szCs w:val="20"/>
          <w:lang w:eastAsia="ja-JP"/>
        </w:rPr>
        <w:t xml:space="preserve"> crisis in public elementary schools in terms of:  </w:t>
      </w:r>
    </w:p>
    <w:p w:rsidR="00FC6B61" w:rsidRDefault="00E26663">
      <w:pPr>
        <w:jc w:val="both"/>
        <w:rPr>
          <w:rFonts w:ascii="Arial" w:eastAsia="MS Mincho" w:hAnsi="Arial" w:cs="Arial"/>
          <w:sz w:val="20"/>
          <w:szCs w:val="20"/>
          <w:lang w:eastAsia="ja-JP"/>
        </w:rPr>
      </w:pPr>
      <w:r>
        <w:rPr>
          <w:rFonts w:ascii="Arial" w:eastAsia="MS Mincho" w:hAnsi="Arial" w:cs="Arial"/>
          <w:sz w:val="20"/>
          <w:szCs w:val="20"/>
          <w:lang w:eastAsia="ja-JP"/>
        </w:rPr>
        <w:t>1.1 technological growth,</w:t>
      </w:r>
    </w:p>
    <w:p w:rsidR="00FC6B61" w:rsidRDefault="00E26663">
      <w:pPr>
        <w:jc w:val="both"/>
        <w:rPr>
          <w:rFonts w:ascii="Arial" w:eastAsia="MS Mincho" w:hAnsi="Arial" w:cs="Arial"/>
          <w:sz w:val="20"/>
          <w:szCs w:val="20"/>
          <w:lang w:eastAsia="ja-JP"/>
        </w:rPr>
      </w:pPr>
      <w:r>
        <w:rPr>
          <w:rFonts w:ascii="Arial" w:eastAsia="MS Mincho" w:hAnsi="Arial" w:cs="Arial"/>
          <w:sz w:val="20"/>
          <w:szCs w:val="20"/>
          <w:lang w:eastAsia="ja-JP"/>
        </w:rPr>
        <w:t>1.2 instruction capacity,</w:t>
      </w:r>
    </w:p>
    <w:p w:rsidR="00FC6B61" w:rsidRDefault="00E26663">
      <w:pPr>
        <w:jc w:val="both"/>
        <w:rPr>
          <w:rFonts w:ascii="Arial" w:eastAsia="MS Mincho" w:hAnsi="Arial" w:cs="Arial"/>
          <w:sz w:val="20"/>
          <w:szCs w:val="20"/>
          <w:lang w:eastAsia="ja-JP"/>
        </w:rPr>
      </w:pPr>
      <w:r>
        <w:rPr>
          <w:rFonts w:ascii="Arial" w:eastAsia="MS Mincho" w:hAnsi="Arial" w:cs="Arial"/>
          <w:sz w:val="20"/>
          <w:szCs w:val="20"/>
          <w:lang w:eastAsia="ja-JP"/>
        </w:rPr>
        <w:t>1.3 instruction interaction?</w:t>
      </w:r>
    </w:p>
    <w:p w:rsidR="00FC6B61" w:rsidRDefault="00E26663">
      <w:pPr>
        <w:jc w:val="both"/>
        <w:rPr>
          <w:rFonts w:ascii="Arial" w:eastAsia="MS Mincho" w:hAnsi="Arial" w:cs="Arial"/>
          <w:sz w:val="20"/>
          <w:szCs w:val="20"/>
          <w:lang w:eastAsia="ja-JP"/>
        </w:rPr>
      </w:pPr>
      <w:r>
        <w:rPr>
          <w:rFonts w:ascii="Arial" w:eastAsia="MS Mincho" w:hAnsi="Arial" w:cs="Arial"/>
          <w:sz w:val="20"/>
          <w:szCs w:val="20"/>
          <w:lang w:eastAsia="ja-JP"/>
        </w:rPr>
        <w:t xml:space="preserve"> </w:t>
      </w:r>
    </w:p>
    <w:p w:rsidR="00FC6B61" w:rsidRDefault="00E26663">
      <w:pPr>
        <w:jc w:val="both"/>
        <w:rPr>
          <w:rFonts w:ascii="Arial" w:eastAsia="MS Mincho" w:hAnsi="Arial" w:cs="Arial"/>
          <w:sz w:val="20"/>
          <w:szCs w:val="20"/>
          <w:lang w:eastAsia="ja-JP"/>
        </w:rPr>
      </w:pPr>
      <w:r>
        <w:rPr>
          <w:rFonts w:ascii="Arial" w:eastAsia="MS Mincho" w:hAnsi="Arial" w:cs="Arial"/>
          <w:sz w:val="20"/>
          <w:szCs w:val="20"/>
          <w:lang w:eastAsia="ja-JP"/>
        </w:rPr>
        <w:t>2. What is the level of erudition process amidst global crisis in public elementary schools in terms of:</w:t>
      </w:r>
    </w:p>
    <w:p w:rsidR="00FC6B61" w:rsidRDefault="00E26663">
      <w:pPr>
        <w:jc w:val="both"/>
        <w:rPr>
          <w:rFonts w:ascii="Arial" w:eastAsia="MS Mincho" w:hAnsi="Arial" w:cs="Arial"/>
          <w:sz w:val="20"/>
          <w:szCs w:val="20"/>
          <w:lang w:eastAsia="ja-JP"/>
        </w:rPr>
      </w:pPr>
      <w:r>
        <w:rPr>
          <w:rFonts w:ascii="Arial" w:eastAsia="MS Mincho" w:hAnsi="Arial" w:cs="Arial"/>
          <w:sz w:val="20"/>
          <w:szCs w:val="20"/>
          <w:lang w:eastAsia="ja-JP"/>
        </w:rPr>
        <w:t xml:space="preserve">1.1 </w:t>
      </w:r>
      <w:r w:rsidR="006B0FE0" w:rsidRPr="00FE5B7E">
        <w:rPr>
          <w:rFonts w:ascii="Arial" w:eastAsia="MS Mincho" w:hAnsi="Arial" w:cs="Arial"/>
          <w:sz w:val="20"/>
          <w:szCs w:val="20"/>
          <w:highlight w:val="yellow"/>
          <w:lang w:eastAsia="ja-JP"/>
        </w:rPr>
        <w:t>Digital C</w:t>
      </w:r>
      <w:r w:rsidRPr="00FE5B7E">
        <w:rPr>
          <w:rFonts w:ascii="Arial" w:eastAsia="MS Mincho" w:hAnsi="Arial" w:cs="Arial"/>
          <w:sz w:val="20"/>
          <w:szCs w:val="20"/>
          <w:highlight w:val="yellow"/>
          <w:lang w:eastAsia="ja-JP"/>
        </w:rPr>
        <w:t>ompetency</w:t>
      </w:r>
      <w:r>
        <w:rPr>
          <w:rFonts w:ascii="Arial" w:eastAsia="MS Mincho" w:hAnsi="Arial" w:cs="Arial"/>
          <w:sz w:val="20"/>
          <w:szCs w:val="20"/>
          <w:lang w:eastAsia="ja-JP"/>
        </w:rPr>
        <w:t>,</w:t>
      </w:r>
    </w:p>
    <w:p w:rsidR="00FC6B61" w:rsidRDefault="00E26663">
      <w:pPr>
        <w:jc w:val="both"/>
        <w:rPr>
          <w:rFonts w:ascii="Arial" w:eastAsia="MS Mincho" w:hAnsi="Arial" w:cs="Arial"/>
          <w:sz w:val="20"/>
          <w:szCs w:val="20"/>
          <w:lang w:eastAsia="ja-JP"/>
        </w:rPr>
      </w:pPr>
      <w:r>
        <w:rPr>
          <w:rFonts w:ascii="Arial" w:eastAsia="MS Mincho" w:hAnsi="Arial" w:cs="Arial"/>
          <w:sz w:val="20"/>
          <w:szCs w:val="20"/>
          <w:lang w:eastAsia="ja-JP"/>
        </w:rPr>
        <w:t>1.2 instruction digital literacy,</w:t>
      </w:r>
    </w:p>
    <w:p w:rsidR="00FC6B61" w:rsidRDefault="00E26663">
      <w:pPr>
        <w:jc w:val="both"/>
        <w:rPr>
          <w:rFonts w:ascii="Arial" w:eastAsia="MS Mincho" w:hAnsi="Arial" w:cs="Arial"/>
          <w:sz w:val="20"/>
          <w:szCs w:val="20"/>
          <w:lang w:eastAsia="ja-JP"/>
        </w:rPr>
      </w:pPr>
      <w:r>
        <w:rPr>
          <w:rFonts w:ascii="Arial" w:eastAsia="MS Mincho" w:hAnsi="Arial" w:cs="Arial"/>
          <w:sz w:val="20"/>
          <w:szCs w:val="20"/>
          <w:lang w:eastAsia="ja-JP"/>
        </w:rPr>
        <w:t>1.3 instruction strategies</w:t>
      </w:r>
    </w:p>
    <w:p w:rsidR="00FC6B61" w:rsidRDefault="00E26663">
      <w:pPr>
        <w:jc w:val="both"/>
        <w:rPr>
          <w:rFonts w:ascii="Arial" w:eastAsia="MS Mincho" w:hAnsi="Arial" w:cs="Arial"/>
          <w:sz w:val="20"/>
          <w:szCs w:val="20"/>
          <w:lang w:eastAsia="ja-JP"/>
        </w:rPr>
      </w:pPr>
      <w:r>
        <w:rPr>
          <w:rFonts w:ascii="Arial" w:eastAsia="MS Mincho" w:hAnsi="Arial" w:cs="Arial"/>
          <w:sz w:val="20"/>
          <w:szCs w:val="20"/>
          <w:lang w:eastAsia="ja-JP"/>
        </w:rPr>
        <w:lastRenderedPageBreak/>
        <w:t>1.4 willingness and</w:t>
      </w:r>
    </w:p>
    <w:p w:rsidR="00FC6B61" w:rsidRDefault="00E26663">
      <w:pPr>
        <w:jc w:val="both"/>
        <w:rPr>
          <w:rFonts w:ascii="Arial" w:eastAsia="MS Mincho" w:hAnsi="Arial" w:cs="Arial"/>
          <w:sz w:val="20"/>
          <w:szCs w:val="20"/>
          <w:lang w:eastAsia="ja-JP"/>
        </w:rPr>
      </w:pPr>
      <w:r>
        <w:rPr>
          <w:rFonts w:ascii="Arial" w:eastAsia="MS Mincho" w:hAnsi="Arial" w:cs="Arial"/>
          <w:sz w:val="20"/>
          <w:szCs w:val="20"/>
          <w:lang w:eastAsia="ja-JP"/>
        </w:rPr>
        <w:t>1.5 commitment?</w:t>
      </w:r>
    </w:p>
    <w:p w:rsidR="00FC6B61" w:rsidRDefault="00FC6B61">
      <w:pPr>
        <w:jc w:val="both"/>
        <w:rPr>
          <w:rFonts w:ascii="Arial" w:eastAsia="MS Mincho" w:hAnsi="Arial" w:cs="Arial"/>
          <w:sz w:val="20"/>
          <w:szCs w:val="20"/>
          <w:lang w:eastAsia="ja-JP"/>
        </w:rPr>
      </w:pPr>
    </w:p>
    <w:p w:rsidR="00FC6B61" w:rsidRDefault="00E26663">
      <w:pPr>
        <w:jc w:val="both"/>
        <w:rPr>
          <w:rFonts w:ascii="Arial" w:eastAsia="MS Mincho" w:hAnsi="Arial" w:cs="Arial"/>
          <w:sz w:val="20"/>
          <w:szCs w:val="20"/>
          <w:lang w:eastAsia="ja-JP"/>
        </w:rPr>
      </w:pPr>
      <w:r>
        <w:rPr>
          <w:rFonts w:ascii="Arial" w:eastAsia="MS Mincho" w:hAnsi="Arial" w:cs="Arial"/>
          <w:sz w:val="20"/>
          <w:szCs w:val="20"/>
          <w:lang w:eastAsia="ja-JP"/>
        </w:rPr>
        <w:t>3. Is there a significant relationship between school greening in instruction and erudition process in public elementary schools?</w:t>
      </w:r>
    </w:p>
    <w:p w:rsidR="00FC6B61" w:rsidRDefault="00FC6B61">
      <w:pPr>
        <w:jc w:val="both"/>
        <w:rPr>
          <w:rFonts w:ascii="Arial" w:eastAsia="MS Mincho" w:hAnsi="Arial" w:cs="Arial"/>
          <w:sz w:val="20"/>
          <w:szCs w:val="20"/>
          <w:lang w:eastAsia="ja-JP"/>
        </w:rPr>
      </w:pPr>
    </w:p>
    <w:p w:rsidR="00FC6B61" w:rsidRDefault="00E26663">
      <w:pPr>
        <w:jc w:val="both"/>
        <w:rPr>
          <w:rFonts w:ascii="Arial" w:eastAsia="MS Mincho" w:hAnsi="Arial" w:cs="Arial"/>
          <w:sz w:val="20"/>
          <w:szCs w:val="20"/>
          <w:lang w:eastAsia="ja-JP"/>
        </w:rPr>
      </w:pPr>
      <w:r>
        <w:rPr>
          <w:rFonts w:ascii="Arial" w:eastAsia="MS Mincho" w:hAnsi="Arial" w:cs="Arial"/>
          <w:sz w:val="20"/>
          <w:szCs w:val="20"/>
          <w:lang w:eastAsia="ja-JP"/>
        </w:rPr>
        <w:t>4. Which domains of school greening significantly influence in instruction and erudition process amidst global crisis in public elementary schools?</w:t>
      </w:r>
    </w:p>
    <w:p w:rsidR="00FC6B61" w:rsidRDefault="00FC6B61">
      <w:pPr>
        <w:rPr>
          <w:rFonts w:ascii="Arial" w:eastAsia="MS Mincho" w:hAnsi="Arial" w:cs="Arial"/>
          <w:sz w:val="20"/>
          <w:szCs w:val="20"/>
          <w:lang w:eastAsia="ja-JP"/>
        </w:rPr>
      </w:pPr>
    </w:p>
    <w:p w:rsidR="00FC6B61" w:rsidRDefault="00E26663">
      <w:pPr>
        <w:rPr>
          <w:rFonts w:ascii="Arial" w:eastAsia="MS Mincho" w:hAnsi="Arial" w:cs="Arial"/>
          <w:b/>
          <w:sz w:val="20"/>
          <w:szCs w:val="20"/>
          <w:lang w:eastAsia="ja-JP"/>
        </w:rPr>
      </w:pPr>
      <w:r>
        <w:rPr>
          <w:rFonts w:ascii="Arial" w:eastAsia="MS Mincho" w:hAnsi="Arial" w:cs="Arial"/>
          <w:b/>
          <w:sz w:val="20"/>
          <w:szCs w:val="20"/>
          <w:lang w:eastAsia="ja-JP"/>
        </w:rPr>
        <w:t>1.2 Hypotheses</w:t>
      </w:r>
    </w:p>
    <w:p w:rsidR="00FC6B61" w:rsidRDefault="00FC6B61">
      <w:pPr>
        <w:rPr>
          <w:rFonts w:ascii="Arial" w:eastAsia="MS Mincho" w:hAnsi="Arial" w:cs="Arial"/>
          <w:sz w:val="20"/>
          <w:szCs w:val="20"/>
          <w:lang w:eastAsia="ja-JP"/>
        </w:rPr>
      </w:pPr>
    </w:p>
    <w:p w:rsidR="00FC6B61" w:rsidRDefault="00E26663">
      <w:pPr>
        <w:pStyle w:val="AbstHead"/>
        <w:jc w:val="both"/>
        <w:rPr>
          <w:rFonts w:ascii="Arial" w:hAnsi="Arial" w:cs="Arial"/>
          <w:b w:val="0"/>
          <w:caps w:val="0"/>
          <w:sz w:val="20"/>
        </w:rPr>
      </w:pPr>
      <w:r>
        <w:rPr>
          <w:rFonts w:ascii="Arial" w:hAnsi="Arial" w:cs="Arial"/>
          <w:b w:val="0"/>
          <w:caps w:val="0"/>
          <w:sz w:val="20"/>
        </w:rPr>
        <w:t>The null hypotheses were tested in this study at 0.05 level of significance.</w:t>
      </w:r>
    </w:p>
    <w:p w:rsidR="00FC6B61" w:rsidRDefault="00E26663">
      <w:pPr>
        <w:pStyle w:val="AbstHead"/>
        <w:jc w:val="both"/>
        <w:rPr>
          <w:rFonts w:ascii="Arial" w:hAnsi="Arial" w:cs="Arial"/>
          <w:b w:val="0"/>
          <w:caps w:val="0"/>
          <w:sz w:val="20"/>
        </w:rPr>
      </w:pPr>
      <w:r>
        <w:rPr>
          <w:rFonts w:ascii="Arial" w:hAnsi="Arial" w:cs="Arial"/>
          <w:b w:val="0"/>
          <w:caps w:val="0"/>
          <w:sz w:val="20"/>
        </w:rPr>
        <w:t>Ho1. There is a significant relationship between school greening in instruction and erudition process amidst global crisis in public elementary schools.</w:t>
      </w:r>
    </w:p>
    <w:p w:rsidR="00FC6B61" w:rsidRDefault="00E26663">
      <w:pPr>
        <w:pStyle w:val="AbstHead"/>
        <w:spacing w:after="0"/>
        <w:jc w:val="both"/>
        <w:rPr>
          <w:rFonts w:ascii="Arial" w:hAnsi="Arial" w:cs="Arial"/>
          <w:b w:val="0"/>
          <w:caps w:val="0"/>
          <w:sz w:val="20"/>
        </w:rPr>
      </w:pPr>
      <w:r>
        <w:rPr>
          <w:rFonts w:ascii="Arial" w:hAnsi="Arial" w:cs="Arial"/>
          <w:b w:val="0"/>
          <w:caps w:val="0"/>
          <w:sz w:val="20"/>
        </w:rPr>
        <w:t>Ho2. The domains of school greening in instruction significantly influence in erudition process in public elementary schools.</w:t>
      </w:r>
    </w:p>
    <w:p w:rsidR="00FC6B61" w:rsidRDefault="00FC6B61">
      <w:pPr>
        <w:pStyle w:val="AbstHead"/>
        <w:spacing w:after="0"/>
        <w:jc w:val="both"/>
        <w:rPr>
          <w:rFonts w:ascii="Arial" w:hAnsi="Arial" w:cs="Arial"/>
          <w:sz w:val="20"/>
        </w:rPr>
      </w:pPr>
    </w:p>
    <w:p w:rsidR="00FC6B61" w:rsidRDefault="00E26663">
      <w:pPr>
        <w:pStyle w:val="AbstHead"/>
        <w:spacing w:after="0"/>
        <w:jc w:val="both"/>
        <w:rPr>
          <w:rFonts w:ascii="Arial" w:hAnsi="Arial" w:cs="Arial"/>
          <w:sz w:val="20"/>
        </w:rPr>
      </w:pPr>
      <w:r>
        <w:rPr>
          <w:rFonts w:ascii="Arial" w:hAnsi="Arial" w:cs="Arial"/>
          <w:sz w:val="20"/>
        </w:rPr>
        <w:t>2. methodology</w:t>
      </w:r>
    </w:p>
    <w:p w:rsidR="00FC6B61" w:rsidRDefault="00FC6B61">
      <w:pPr>
        <w:pStyle w:val="Body"/>
        <w:spacing w:after="0"/>
        <w:rPr>
          <w:rFonts w:ascii="Arial" w:hAnsi="Arial" w:cs="Arial"/>
        </w:rPr>
      </w:pPr>
    </w:p>
    <w:p w:rsidR="00FC6B61" w:rsidRDefault="00E26663">
      <w:pPr>
        <w:rPr>
          <w:rFonts w:ascii="Arial" w:hAnsi="Arial" w:cs="Arial"/>
          <w:b/>
          <w:bCs/>
          <w:sz w:val="20"/>
          <w:szCs w:val="20"/>
        </w:rPr>
      </w:pPr>
      <w:r>
        <w:rPr>
          <w:rFonts w:ascii="Arial" w:hAnsi="Arial" w:cs="Arial"/>
          <w:b/>
          <w:bCs/>
          <w:sz w:val="20"/>
          <w:szCs w:val="20"/>
        </w:rPr>
        <w:t>2.1 Research Design</w:t>
      </w:r>
    </w:p>
    <w:p w:rsidR="00FC6B61" w:rsidRDefault="00FC6B61">
      <w:pPr>
        <w:rPr>
          <w:rFonts w:ascii="Arial" w:hAnsi="Arial" w:cs="Arial"/>
          <w:b/>
          <w:bCs/>
          <w:sz w:val="20"/>
          <w:szCs w:val="20"/>
        </w:rPr>
      </w:pPr>
    </w:p>
    <w:p w:rsidR="00FC6B61" w:rsidRDefault="00E26663">
      <w:pPr>
        <w:jc w:val="both"/>
        <w:rPr>
          <w:rFonts w:ascii="Arial" w:hAnsi="Arial" w:cs="Arial"/>
          <w:sz w:val="20"/>
          <w:szCs w:val="20"/>
        </w:rPr>
      </w:pPr>
      <w:r>
        <w:rPr>
          <w:rFonts w:ascii="Arial" w:hAnsi="Arial" w:cs="Arial"/>
          <w:sz w:val="20"/>
          <w:szCs w:val="20"/>
        </w:rPr>
        <w:t xml:space="preserve">This study employed a quantitative research design, specifically </w:t>
      </w:r>
      <w:proofErr w:type="spellStart"/>
      <w:r w:rsidR="006B0FE0" w:rsidRPr="00FE5B7E">
        <w:rPr>
          <w:rFonts w:ascii="Arial" w:hAnsi="Arial" w:cs="Arial"/>
          <w:sz w:val="20"/>
          <w:szCs w:val="20"/>
          <w:highlight w:val="yellow"/>
        </w:rPr>
        <w:t>utili</w:t>
      </w:r>
      <w:r w:rsidR="006B0FE0" w:rsidRPr="00FE5B7E">
        <w:rPr>
          <w:rFonts w:ascii="Arial" w:hAnsi="Arial" w:cs="Arial"/>
          <w:sz w:val="20"/>
          <w:szCs w:val="20"/>
          <w:highlight w:val="yellow"/>
        </w:rPr>
        <w:t>s</w:t>
      </w:r>
      <w:r w:rsidR="006B0FE0" w:rsidRPr="00FE5B7E">
        <w:rPr>
          <w:rFonts w:ascii="Arial" w:hAnsi="Arial" w:cs="Arial"/>
          <w:sz w:val="20"/>
          <w:szCs w:val="20"/>
          <w:highlight w:val="yellow"/>
        </w:rPr>
        <w:t>ing</w:t>
      </w:r>
      <w:proofErr w:type="spellEnd"/>
      <w:r w:rsidR="006B0FE0" w:rsidRPr="00FE5B7E">
        <w:rPr>
          <w:rFonts w:ascii="Arial" w:hAnsi="Arial" w:cs="Arial"/>
          <w:sz w:val="20"/>
          <w:szCs w:val="20"/>
          <w:highlight w:val="yellow"/>
        </w:rPr>
        <w:t xml:space="preserve"> </w:t>
      </w:r>
      <w:r w:rsidRPr="00FE5B7E">
        <w:rPr>
          <w:rFonts w:ascii="Arial" w:hAnsi="Arial" w:cs="Arial"/>
          <w:sz w:val="20"/>
          <w:szCs w:val="20"/>
          <w:highlight w:val="yellow"/>
        </w:rPr>
        <w:t>a descriptive</w:t>
      </w:r>
      <w:r>
        <w:rPr>
          <w:rFonts w:ascii="Arial" w:hAnsi="Arial" w:cs="Arial"/>
          <w:sz w:val="20"/>
          <w:szCs w:val="20"/>
        </w:rPr>
        <w:t>-correlational approach. Quantitative research involves the systematic collection and statistical analysis of numerical data to ensure objectivity, accuracy, and measurable outcomes. This design is particularly effective in educational research where the goal is to assess the relationship between measurable variables (</w:t>
      </w:r>
      <w:proofErr w:type="spellStart"/>
      <w:r>
        <w:rPr>
          <w:rFonts w:ascii="Arial" w:hAnsi="Arial" w:cs="Arial"/>
          <w:sz w:val="20"/>
          <w:szCs w:val="20"/>
        </w:rPr>
        <w:t>Pregoner</w:t>
      </w:r>
      <w:proofErr w:type="spellEnd"/>
      <w:r>
        <w:rPr>
          <w:rFonts w:ascii="Arial" w:hAnsi="Arial" w:cs="Arial"/>
          <w:sz w:val="20"/>
          <w:szCs w:val="20"/>
        </w:rPr>
        <w:t>, 2024).</w:t>
      </w:r>
    </w:p>
    <w:p w:rsidR="00FC6B61" w:rsidRDefault="00FC6B61">
      <w:pPr>
        <w:jc w:val="both"/>
        <w:rPr>
          <w:rFonts w:ascii="Arial" w:hAnsi="Arial" w:cs="Arial"/>
          <w:sz w:val="20"/>
          <w:szCs w:val="20"/>
        </w:rPr>
      </w:pPr>
    </w:p>
    <w:p w:rsidR="00FC6B61" w:rsidRDefault="00E26663">
      <w:pPr>
        <w:jc w:val="both"/>
        <w:rPr>
          <w:rFonts w:ascii="Arial" w:hAnsi="Arial" w:cs="Arial"/>
          <w:sz w:val="20"/>
          <w:szCs w:val="20"/>
        </w:rPr>
      </w:pPr>
      <w:r>
        <w:rPr>
          <w:rFonts w:ascii="Arial" w:hAnsi="Arial" w:cs="Arial"/>
          <w:sz w:val="20"/>
          <w:szCs w:val="20"/>
        </w:rPr>
        <w:t>The descriptive-correlational design was appropriate for this study as it aimed to determine the relationship between greening education programs in instruction and erudition process in public elementary schools amidst global crises. This approach allowed the researcher to describe the existing conditions of each variable without manipulating any factors, while also examining whether a statistically significant relationship exists between them.</w:t>
      </w:r>
    </w:p>
    <w:p w:rsidR="00FC6B61" w:rsidRDefault="00FC6B61">
      <w:pPr>
        <w:jc w:val="both"/>
        <w:rPr>
          <w:rFonts w:ascii="Arial" w:hAnsi="Arial" w:cs="Arial"/>
          <w:sz w:val="20"/>
          <w:szCs w:val="20"/>
        </w:rPr>
      </w:pPr>
    </w:p>
    <w:p w:rsidR="00FC6B61" w:rsidRDefault="00E26663">
      <w:pPr>
        <w:jc w:val="both"/>
        <w:rPr>
          <w:rFonts w:ascii="Arial" w:hAnsi="Arial" w:cs="Arial"/>
          <w:sz w:val="20"/>
          <w:szCs w:val="20"/>
        </w:rPr>
      </w:pPr>
      <w:r>
        <w:rPr>
          <w:rFonts w:ascii="Arial" w:hAnsi="Arial" w:cs="Arial"/>
          <w:sz w:val="20"/>
          <w:szCs w:val="20"/>
        </w:rPr>
        <w:t>Correlational methods are suitable for investigating how two or more measurable variables relate to or influence each other. In the context of this study, the method was used to evaluate whether the implementation of greening education programs is associated with improvements in teaching practices and learning outcomes observed in public elementary schools.</w:t>
      </w:r>
    </w:p>
    <w:p w:rsidR="00FC6B61" w:rsidRDefault="00FC6B61">
      <w:pPr>
        <w:jc w:val="both"/>
        <w:rPr>
          <w:rFonts w:ascii="Arial" w:hAnsi="Arial" w:cs="Arial"/>
          <w:sz w:val="20"/>
          <w:szCs w:val="20"/>
        </w:rPr>
      </w:pPr>
    </w:p>
    <w:p w:rsidR="00FC6B61" w:rsidRDefault="00E26663">
      <w:pPr>
        <w:jc w:val="both"/>
        <w:rPr>
          <w:rFonts w:ascii="Arial" w:hAnsi="Arial" w:cs="Arial"/>
          <w:sz w:val="20"/>
          <w:szCs w:val="20"/>
        </w:rPr>
      </w:pPr>
      <w:r>
        <w:rPr>
          <w:rFonts w:ascii="Arial" w:hAnsi="Arial" w:cs="Arial"/>
          <w:sz w:val="20"/>
          <w:szCs w:val="20"/>
        </w:rPr>
        <w:t>By utilizing this approach, the study aimed to produce evidence-based insights that can help school administrators, educators, and policymakers better understand the impact of environmental sustainability programs on instructional effectiveness. The findings may guide the development of strategies or interventions that integrate greening efforts with educational priorities in public elementary schools.</w:t>
      </w:r>
    </w:p>
    <w:p w:rsidR="00FC6B61" w:rsidRDefault="00FC6B61">
      <w:pPr>
        <w:jc w:val="both"/>
        <w:rPr>
          <w:rFonts w:ascii="Arial" w:hAnsi="Arial" w:cs="Arial"/>
          <w:b/>
          <w:bCs/>
          <w:sz w:val="20"/>
          <w:szCs w:val="20"/>
        </w:rPr>
      </w:pPr>
    </w:p>
    <w:p w:rsidR="00FC6B61" w:rsidRDefault="00E26663">
      <w:pPr>
        <w:rPr>
          <w:rFonts w:ascii="Arial" w:hAnsi="Arial" w:cs="Arial"/>
          <w:b/>
          <w:bCs/>
          <w:sz w:val="20"/>
          <w:szCs w:val="20"/>
        </w:rPr>
      </w:pPr>
      <w:r>
        <w:rPr>
          <w:rFonts w:ascii="Arial" w:hAnsi="Arial" w:cs="Arial"/>
          <w:b/>
          <w:bCs/>
          <w:sz w:val="20"/>
          <w:szCs w:val="20"/>
        </w:rPr>
        <w:t>2.2 Research Respondents</w:t>
      </w:r>
    </w:p>
    <w:p w:rsidR="00FC6B61" w:rsidRDefault="00FC6B61">
      <w:pPr>
        <w:rPr>
          <w:rFonts w:ascii="Arial" w:hAnsi="Arial" w:cs="Arial"/>
          <w:b/>
          <w:bCs/>
          <w:sz w:val="20"/>
          <w:szCs w:val="20"/>
        </w:rPr>
      </w:pPr>
    </w:p>
    <w:p w:rsidR="00FC6B61" w:rsidRDefault="00E26663">
      <w:pPr>
        <w:jc w:val="both"/>
        <w:rPr>
          <w:rFonts w:ascii="Arial" w:hAnsi="Arial" w:cs="Arial"/>
          <w:sz w:val="20"/>
          <w:szCs w:val="20"/>
        </w:rPr>
      </w:pPr>
      <w:r>
        <w:rPr>
          <w:rFonts w:ascii="Arial" w:hAnsi="Arial" w:cs="Arial"/>
          <w:sz w:val="20"/>
          <w:szCs w:val="20"/>
        </w:rPr>
        <w:t>The respondents of this study were teachers from public elementary schools in the Mabini District, Division of Davao de Oro. A total of 132 teachers participated in the study, with from selected elementary schools. Universal sampling was employed, meaning the entire population of eligible teachers within the selected schools was included as respondents.</w:t>
      </w:r>
    </w:p>
    <w:p w:rsidR="00FC6B61" w:rsidRDefault="00FC6B61">
      <w:pPr>
        <w:jc w:val="both"/>
        <w:rPr>
          <w:rFonts w:ascii="Arial" w:hAnsi="Arial" w:cs="Arial"/>
          <w:sz w:val="20"/>
          <w:szCs w:val="20"/>
        </w:rPr>
      </w:pPr>
    </w:p>
    <w:p w:rsidR="00FC6B61" w:rsidRDefault="00E26663">
      <w:pPr>
        <w:jc w:val="both"/>
        <w:rPr>
          <w:rFonts w:ascii="Arial" w:hAnsi="Arial" w:cs="Arial"/>
          <w:sz w:val="20"/>
          <w:szCs w:val="20"/>
        </w:rPr>
      </w:pPr>
      <w:r>
        <w:rPr>
          <w:rFonts w:ascii="Arial" w:hAnsi="Arial" w:cs="Arial"/>
          <w:sz w:val="20"/>
          <w:szCs w:val="20"/>
        </w:rPr>
        <w:lastRenderedPageBreak/>
        <w:t xml:space="preserve">All participants had at least three years of teaching experience, ensuring that they possessed sufficient knowledge and professional exposure to provide meaningful insights on the implementation of greening education programs in instruction </w:t>
      </w:r>
      <w:r w:rsidRPr="00FE5B7E">
        <w:rPr>
          <w:rFonts w:ascii="Arial" w:hAnsi="Arial" w:cs="Arial"/>
          <w:sz w:val="20"/>
          <w:szCs w:val="20"/>
          <w:highlight w:val="yellow"/>
        </w:rPr>
        <w:t xml:space="preserve">and </w:t>
      </w:r>
      <w:r w:rsidR="006B0FE0" w:rsidRPr="00FE5B7E">
        <w:rPr>
          <w:rFonts w:ascii="Arial" w:hAnsi="Arial" w:cs="Arial"/>
          <w:sz w:val="20"/>
          <w:szCs w:val="20"/>
          <w:highlight w:val="yellow"/>
        </w:rPr>
        <w:t>their</w:t>
      </w:r>
      <w:r w:rsidR="006B0FE0" w:rsidRPr="00FE5B7E">
        <w:rPr>
          <w:rFonts w:ascii="Arial" w:hAnsi="Arial" w:cs="Arial"/>
          <w:sz w:val="20"/>
          <w:szCs w:val="20"/>
          <w:highlight w:val="yellow"/>
        </w:rPr>
        <w:t xml:space="preserve"> </w:t>
      </w:r>
      <w:r w:rsidRPr="00FE5B7E">
        <w:rPr>
          <w:rFonts w:ascii="Arial" w:hAnsi="Arial" w:cs="Arial"/>
          <w:sz w:val="20"/>
          <w:szCs w:val="20"/>
          <w:highlight w:val="yellow"/>
        </w:rPr>
        <w:t>influence</w:t>
      </w:r>
      <w:r>
        <w:rPr>
          <w:rFonts w:ascii="Arial" w:hAnsi="Arial" w:cs="Arial"/>
          <w:sz w:val="20"/>
          <w:szCs w:val="20"/>
        </w:rPr>
        <w:t xml:space="preserve"> on the erudition process. Their experience enabled them to assess the relevance and impact of school-based environmental initiatives within their respective teaching contexts. The data collection for this study was conducted during the School Year 2023–2024.</w:t>
      </w:r>
    </w:p>
    <w:p w:rsidR="00FC6B61" w:rsidRDefault="00FC6B61">
      <w:pPr>
        <w:rPr>
          <w:rFonts w:ascii="Arial" w:hAnsi="Arial" w:cs="Arial"/>
          <w:b/>
          <w:bCs/>
          <w:sz w:val="20"/>
          <w:szCs w:val="20"/>
        </w:rPr>
      </w:pPr>
    </w:p>
    <w:p w:rsidR="00FC6B61" w:rsidRDefault="00E26663">
      <w:pPr>
        <w:rPr>
          <w:rFonts w:ascii="Arial" w:hAnsi="Arial" w:cs="Arial"/>
          <w:b/>
          <w:bCs/>
          <w:sz w:val="20"/>
          <w:szCs w:val="20"/>
        </w:rPr>
      </w:pPr>
      <w:r>
        <w:rPr>
          <w:rFonts w:ascii="Arial" w:hAnsi="Arial" w:cs="Arial"/>
          <w:b/>
          <w:bCs/>
          <w:sz w:val="20"/>
          <w:szCs w:val="20"/>
        </w:rPr>
        <w:t>2.3 Research Instrument</w:t>
      </w:r>
    </w:p>
    <w:p w:rsidR="00FC6B61" w:rsidRDefault="00FC6B61">
      <w:pPr>
        <w:rPr>
          <w:rFonts w:ascii="Arial" w:hAnsi="Arial" w:cs="Arial"/>
          <w:b/>
          <w:bCs/>
          <w:sz w:val="20"/>
          <w:szCs w:val="20"/>
        </w:rPr>
      </w:pPr>
    </w:p>
    <w:p w:rsidR="00767D9D" w:rsidRPr="0098457D" w:rsidRDefault="00767D9D" w:rsidP="00767D9D">
      <w:pPr>
        <w:jc w:val="both"/>
        <w:rPr>
          <w:rFonts w:ascii="Arial" w:hAnsi="Arial" w:cs="Arial"/>
          <w:sz w:val="20"/>
          <w:szCs w:val="20"/>
          <w:highlight w:val="yellow"/>
        </w:rPr>
      </w:pPr>
      <w:r w:rsidRPr="0098457D">
        <w:rPr>
          <w:rFonts w:ascii="Arial" w:hAnsi="Arial" w:cs="Arial"/>
          <w:sz w:val="20"/>
          <w:szCs w:val="20"/>
          <w:highlight w:val="yellow"/>
        </w:rPr>
        <w:t>The primary instrument used in this study was a researcher-developed questionnaire consisting of two main sections, specifically designed to gather data on greening education programs in instruction and the erudition process among public elementary school teachers.</w:t>
      </w:r>
    </w:p>
    <w:p w:rsidR="00767D9D" w:rsidRPr="0098457D" w:rsidRDefault="00767D9D" w:rsidP="00767D9D">
      <w:pPr>
        <w:jc w:val="both"/>
        <w:rPr>
          <w:rFonts w:ascii="Arial" w:hAnsi="Arial" w:cs="Arial"/>
          <w:sz w:val="20"/>
          <w:szCs w:val="20"/>
          <w:highlight w:val="yellow"/>
        </w:rPr>
      </w:pPr>
    </w:p>
    <w:p w:rsidR="00767D9D" w:rsidRPr="0098457D" w:rsidRDefault="00767D9D" w:rsidP="00767D9D">
      <w:pPr>
        <w:jc w:val="both"/>
        <w:rPr>
          <w:rFonts w:ascii="Arial" w:hAnsi="Arial" w:cs="Arial"/>
          <w:sz w:val="20"/>
          <w:szCs w:val="20"/>
          <w:highlight w:val="yellow"/>
        </w:rPr>
      </w:pPr>
      <w:r w:rsidRPr="0098457D">
        <w:rPr>
          <w:rFonts w:ascii="Arial" w:hAnsi="Arial" w:cs="Arial"/>
          <w:sz w:val="20"/>
          <w:szCs w:val="20"/>
          <w:highlight w:val="yellow"/>
        </w:rPr>
        <w:t>The first section of the questionnaire focused on the greening education program. Items were constructed based on a comprehensive review of literature and sustainability frameworks in education. The items measured key domains such as energy efficiency, waste reduction, ecological awareness, and school-wide environmental practices. To ensure content validity, the items were reviewed by experts in the fields of environmental education and school administration. This section demonstrated strong internal consistency, with a reliability coefficient of 0.980, indicating that it was highly reliable for measuring school-based environmental practices.</w:t>
      </w:r>
    </w:p>
    <w:p w:rsidR="00767D9D" w:rsidRPr="0098457D" w:rsidRDefault="00767D9D" w:rsidP="00767D9D">
      <w:pPr>
        <w:jc w:val="both"/>
        <w:rPr>
          <w:rFonts w:ascii="Arial" w:hAnsi="Arial" w:cs="Arial"/>
          <w:sz w:val="20"/>
          <w:szCs w:val="20"/>
          <w:highlight w:val="yellow"/>
        </w:rPr>
      </w:pPr>
    </w:p>
    <w:p w:rsidR="00767D9D" w:rsidRPr="0098457D" w:rsidRDefault="00767D9D" w:rsidP="00767D9D">
      <w:pPr>
        <w:jc w:val="both"/>
        <w:rPr>
          <w:rFonts w:ascii="Arial" w:hAnsi="Arial" w:cs="Arial"/>
          <w:sz w:val="20"/>
          <w:szCs w:val="20"/>
          <w:highlight w:val="yellow"/>
        </w:rPr>
      </w:pPr>
      <w:r w:rsidRPr="0098457D">
        <w:rPr>
          <w:rFonts w:ascii="Arial" w:hAnsi="Arial" w:cs="Arial"/>
          <w:sz w:val="20"/>
          <w:szCs w:val="20"/>
          <w:highlight w:val="yellow"/>
        </w:rPr>
        <w:t>The second section assessed the instruction and erudition process, reflecting teachers’ perceptions of teaching effectiveness, student engagement, curriculum delivery, inclusive practices, and the integration of sustainability themes in instruction. Items in this section were adapted from established studies on pedagogy, curriculum design, and educational sustainability. This section also demonstrated high internal consistency, with a reliability coefficient of 0.912, confirming its appropriateness for evaluating instructional practices in a greening context.</w:t>
      </w:r>
    </w:p>
    <w:p w:rsidR="00767D9D" w:rsidRPr="0098457D" w:rsidRDefault="00767D9D" w:rsidP="00767D9D">
      <w:pPr>
        <w:jc w:val="both"/>
        <w:rPr>
          <w:rFonts w:ascii="Arial" w:hAnsi="Arial" w:cs="Arial"/>
          <w:sz w:val="20"/>
          <w:szCs w:val="20"/>
          <w:highlight w:val="yellow"/>
        </w:rPr>
      </w:pPr>
    </w:p>
    <w:p w:rsidR="00767D9D" w:rsidRDefault="00767D9D" w:rsidP="00767D9D">
      <w:pPr>
        <w:jc w:val="both"/>
        <w:rPr>
          <w:rFonts w:ascii="Arial" w:hAnsi="Arial" w:cs="Arial"/>
          <w:sz w:val="20"/>
          <w:szCs w:val="20"/>
        </w:rPr>
      </w:pPr>
      <w:r w:rsidRPr="0098457D">
        <w:rPr>
          <w:rFonts w:ascii="Arial" w:hAnsi="Arial" w:cs="Arial"/>
          <w:sz w:val="20"/>
          <w:szCs w:val="20"/>
          <w:highlight w:val="yellow"/>
        </w:rPr>
        <w:t>Before the final implementation, the questionnaire underwent pilot testing among a small group of public elementary school teachers from neighboring schools not included in the main study. This process ensured the instrument’s clarity, cultural relevance, and suitability for the target respondents in the Mabini District.</w:t>
      </w:r>
    </w:p>
    <w:p w:rsidR="00767D9D" w:rsidRDefault="00767D9D" w:rsidP="00767D9D">
      <w:pPr>
        <w:rPr>
          <w:rFonts w:ascii="Arial" w:hAnsi="Arial" w:cs="Arial"/>
          <w:sz w:val="20"/>
          <w:szCs w:val="20"/>
        </w:rPr>
      </w:pPr>
    </w:p>
    <w:p w:rsidR="00FC6B61" w:rsidRDefault="00E26663" w:rsidP="00767D9D">
      <w:pPr>
        <w:rPr>
          <w:rFonts w:ascii="Arial" w:hAnsi="Arial" w:cs="Arial"/>
          <w:b/>
          <w:bCs/>
          <w:sz w:val="20"/>
          <w:szCs w:val="20"/>
        </w:rPr>
      </w:pPr>
      <w:r>
        <w:rPr>
          <w:rFonts w:ascii="Arial" w:hAnsi="Arial" w:cs="Arial"/>
          <w:b/>
          <w:bCs/>
          <w:sz w:val="20"/>
          <w:szCs w:val="20"/>
        </w:rPr>
        <w:t>2.4 Data Gathering Procedure</w:t>
      </w:r>
    </w:p>
    <w:p w:rsidR="00FC6B61" w:rsidRDefault="00E26663">
      <w:pPr>
        <w:pStyle w:val="Heading1"/>
        <w:jc w:val="both"/>
        <w:rPr>
          <w:rFonts w:cs="Arial"/>
          <w:b w:val="0"/>
          <w:kern w:val="0"/>
          <w:sz w:val="20"/>
        </w:rPr>
      </w:pPr>
      <w:r>
        <w:rPr>
          <w:rFonts w:cs="Arial"/>
          <w:b w:val="0"/>
          <w:kern w:val="0"/>
          <w:sz w:val="20"/>
        </w:rPr>
        <w:t>The data collection process for this study was carried out in a systematic, ethical, and well-organized manner to ensure the accuracy, reliability, and integrity of the research. Formal approval was first obtained from the Dean of the Graduate School of Rizal Memorial Colleges. Subsequently, an official endorsement letter was submitted to the Schools Division Superintendent of the Division of Davao de Oro to secure permission to conduct the study within public elementary schools in the district.</w:t>
      </w:r>
    </w:p>
    <w:p w:rsidR="00FC6B61" w:rsidRDefault="00E26663">
      <w:pPr>
        <w:pStyle w:val="Heading1"/>
        <w:jc w:val="both"/>
        <w:rPr>
          <w:rFonts w:cs="Arial"/>
          <w:b w:val="0"/>
          <w:kern w:val="0"/>
          <w:sz w:val="20"/>
        </w:rPr>
      </w:pPr>
      <w:r>
        <w:rPr>
          <w:rFonts w:cs="Arial"/>
          <w:b w:val="0"/>
          <w:kern w:val="0"/>
          <w:sz w:val="20"/>
        </w:rPr>
        <w:t xml:space="preserve">Once approvals were granted, the researcher distributed the researcher-made questionnaires to the 132 teacher-respondents in the Mabini District. The instrument was specifically designed to gather data on greening education programs in instruction </w:t>
      </w:r>
      <w:r w:rsidRPr="00FE5B7E">
        <w:rPr>
          <w:rFonts w:cs="Arial"/>
          <w:b w:val="0"/>
          <w:kern w:val="0"/>
          <w:sz w:val="20"/>
          <w:highlight w:val="yellow"/>
        </w:rPr>
        <w:t xml:space="preserve">and </w:t>
      </w:r>
      <w:r w:rsidR="006B0FE0" w:rsidRPr="00FE5B7E">
        <w:rPr>
          <w:rFonts w:cs="Arial"/>
          <w:b w:val="0"/>
          <w:kern w:val="0"/>
          <w:sz w:val="20"/>
          <w:highlight w:val="yellow"/>
        </w:rPr>
        <w:t xml:space="preserve">the </w:t>
      </w:r>
      <w:r w:rsidRPr="00FE5B7E">
        <w:rPr>
          <w:rFonts w:cs="Arial"/>
          <w:b w:val="0"/>
          <w:kern w:val="0"/>
          <w:sz w:val="20"/>
          <w:highlight w:val="yellow"/>
        </w:rPr>
        <w:t>erudi</w:t>
      </w:r>
      <w:r>
        <w:rPr>
          <w:rFonts w:cs="Arial"/>
          <w:b w:val="0"/>
          <w:kern w:val="0"/>
          <w:sz w:val="20"/>
        </w:rPr>
        <w:t>tion process among public elementary school teachers. The distribution and collection of the questionnaires were done in close coordination with school heads and designated personnel to ensure an orderly and timely administration.</w:t>
      </w:r>
    </w:p>
    <w:p w:rsidR="00FC6B61" w:rsidRDefault="00E26663">
      <w:pPr>
        <w:pStyle w:val="Heading1"/>
        <w:jc w:val="both"/>
        <w:rPr>
          <w:rFonts w:cs="Arial"/>
          <w:b w:val="0"/>
          <w:kern w:val="0"/>
          <w:sz w:val="20"/>
        </w:rPr>
      </w:pPr>
      <w:r>
        <w:rPr>
          <w:rFonts w:cs="Arial"/>
          <w:b w:val="0"/>
          <w:kern w:val="0"/>
          <w:sz w:val="20"/>
        </w:rPr>
        <w:t xml:space="preserve">Before completing the survey, each participant was thoroughly informed about the purpose of the study, the procedures involved, and the ethical safeguards in place. Emphasis was placed </w:t>
      </w:r>
      <w:r>
        <w:rPr>
          <w:rFonts w:cs="Arial"/>
          <w:b w:val="0"/>
          <w:kern w:val="0"/>
          <w:sz w:val="20"/>
        </w:rPr>
        <w:lastRenderedPageBreak/>
        <w:t>on voluntary participation, confidentiality, and anonymity to create a safe space for respondents to provide genuine and thoughtful responses.</w:t>
      </w:r>
    </w:p>
    <w:p w:rsidR="00FC6B61" w:rsidRDefault="00E26663">
      <w:pPr>
        <w:pStyle w:val="Heading1"/>
        <w:jc w:val="both"/>
        <w:rPr>
          <w:rFonts w:cs="Arial"/>
          <w:b w:val="0"/>
          <w:kern w:val="0"/>
          <w:sz w:val="20"/>
        </w:rPr>
      </w:pPr>
      <w:r>
        <w:rPr>
          <w:rFonts w:cs="Arial"/>
          <w:b w:val="0"/>
          <w:kern w:val="0"/>
          <w:sz w:val="20"/>
        </w:rPr>
        <w:t xml:space="preserve">After the data collection period, the completed questionnaires were retrieved and carefully reviewed. Responses were systematically </w:t>
      </w:r>
      <w:proofErr w:type="spellStart"/>
      <w:r w:rsidR="006B0FE0" w:rsidRPr="00FE5B7E">
        <w:rPr>
          <w:rFonts w:cs="Arial"/>
          <w:b w:val="0"/>
          <w:kern w:val="0"/>
          <w:sz w:val="20"/>
          <w:highlight w:val="yellow"/>
        </w:rPr>
        <w:t>organi</w:t>
      </w:r>
      <w:r w:rsidR="006B0FE0" w:rsidRPr="00FE5B7E">
        <w:rPr>
          <w:rFonts w:cs="Arial"/>
          <w:b w:val="0"/>
          <w:kern w:val="0"/>
          <w:sz w:val="20"/>
          <w:highlight w:val="yellow"/>
        </w:rPr>
        <w:t>s</w:t>
      </w:r>
      <w:r w:rsidR="006B0FE0" w:rsidRPr="00FE5B7E">
        <w:rPr>
          <w:rFonts w:cs="Arial"/>
          <w:b w:val="0"/>
          <w:kern w:val="0"/>
          <w:sz w:val="20"/>
          <w:highlight w:val="yellow"/>
        </w:rPr>
        <w:t>ed</w:t>
      </w:r>
      <w:proofErr w:type="spellEnd"/>
      <w:r w:rsidRPr="00FE5B7E">
        <w:rPr>
          <w:rFonts w:cs="Arial"/>
          <w:b w:val="0"/>
          <w:kern w:val="0"/>
          <w:sz w:val="20"/>
          <w:highlight w:val="yellow"/>
        </w:rPr>
        <w:t>, coded</w:t>
      </w:r>
      <w:r>
        <w:rPr>
          <w:rFonts w:cs="Arial"/>
          <w:b w:val="0"/>
          <w:kern w:val="0"/>
          <w:sz w:val="20"/>
        </w:rPr>
        <w:t xml:space="preserve">, and prepared for statistical analysis. The following tools were </w:t>
      </w:r>
      <w:proofErr w:type="spellStart"/>
      <w:r w:rsidR="006B0FE0" w:rsidRPr="00FE5B7E">
        <w:rPr>
          <w:rFonts w:cs="Arial"/>
          <w:b w:val="0"/>
          <w:kern w:val="0"/>
          <w:sz w:val="20"/>
          <w:highlight w:val="yellow"/>
        </w:rPr>
        <w:t>utili</w:t>
      </w:r>
      <w:r w:rsidR="006B0FE0" w:rsidRPr="00FE5B7E">
        <w:rPr>
          <w:rFonts w:cs="Arial"/>
          <w:b w:val="0"/>
          <w:kern w:val="0"/>
          <w:sz w:val="20"/>
          <w:highlight w:val="yellow"/>
        </w:rPr>
        <w:t>s</w:t>
      </w:r>
      <w:r w:rsidR="006B0FE0" w:rsidRPr="00FE5B7E">
        <w:rPr>
          <w:rFonts w:cs="Arial"/>
          <w:b w:val="0"/>
          <w:kern w:val="0"/>
          <w:sz w:val="20"/>
          <w:highlight w:val="yellow"/>
        </w:rPr>
        <w:t>ed</w:t>
      </w:r>
      <w:proofErr w:type="spellEnd"/>
      <w:r w:rsidRPr="00FE5B7E">
        <w:rPr>
          <w:rFonts w:cs="Arial"/>
          <w:b w:val="0"/>
          <w:kern w:val="0"/>
          <w:sz w:val="20"/>
          <w:highlight w:val="yellow"/>
        </w:rPr>
        <w:t>: mean</w:t>
      </w:r>
      <w:r>
        <w:rPr>
          <w:rFonts w:cs="Arial"/>
          <w:b w:val="0"/>
          <w:kern w:val="0"/>
          <w:sz w:val="20"/>
        </w:rPr>
        <w:t xml:space="preserve"> and standard deviation to determine the levels of greening education programs and instruction and erudition process; Pearson’s r correlation coefficient to assess the relationship between the two variables; and multiple regression analysis to determine the extent to which domains of greening education influence instructional outcomes in public elementary schools.</w:t>
      </w:r>
    </w:p>
    <w:p w:rsidR="00FC6B61" w:rsidRDefault="00E26663">
      <w:pPr>
        <w:pStyle w:val="Heading1"/>
        <w:jc w:val="both"/>
        <w:rPr>
          <w:rFonts w:cs="Arial"/>
          <w:sz w:val="20"/>
        </w:rPr>
      </w:pPr>
      <w:r>
        <w:rPr>
          <w:rFonts w:cs="Arial"/>
          <w:sz w:val="20"/>
        </w:rPr>
        <w:t>2.5 Data Analysis</w:t>
      </w:r>
    </w:p>
    <w:p w:rsidR="00FC6B61" w:rsidRDefault="00FC6B61">
      <w:pPr>
        <w:pStyle w:val="NormalWeb"/>
        <w:spacing w:before="0" w:beforeAutospacing="0" w:after="0" w:afterAutospacing="0"/>
        <w:ind w:left="-15" w:right="119" w:firstLine="15"/>
        <w:jc w:val="both"/>
        <w:rPr>
          <w:rFonts w:ascii="Arial" w:hAnsi="Arial" w:cs="Arial"/>
          <w:color w:val="000000"/>
          <w:sz w:val="20"/>
          <w:szCs w:val="20"/>
        </w:rPr>
      </w:pPr>
    </w:p>
    <w:p w:rsidR="00FC6B61" w:rsidRDefault="00E26663">
      <w:pPr>
        <w:pStyle w:val="Head1"/>
        <w:jc w:val="both"/>
        <w:rPr>
          <w:rFonts w:ascii="Arial" w:hAnsi="Arial" w:cs="Arial"/>
          <w:b w:val="0"/>
          <w:caps w:val="0"/>
          <w:color w:val="000000"/>
          <w:sz w:val="20"/>
        </w:rPr>
      </w:pPr>
      <w:r>
        <w:rPr>
          <w:rFonts w:ascii="Arial" w:hAnsi="Arial" w:cs="Arial"/>
          <w:b w:val="0"/>
          <w:caps w:val="0"/>
          <w:color w:val="000000"/>
          <w:sz w:val="20"/>
        </w:rPr>
        <w:t xml:space="preserve">In </w:t>
      </w:r>
      <w:proofErr w:type="spellStart"/>
      <w:r w:rsidR="006B0FE0" w:rsidRPr="00FE5B7E">
        <w:rPr>
          <w:rFonts w:ascii="Arial" w:hAnsi="Arial" w:cs="Arial"/>
          <w:b w:val="0"/>
          <w:caps w:val="0"/>
          <w:color w:val="000000"/>
          <w:sz w:val="20"/>
          <w:highlight w:val="yellow"/>
        </w:rPr>
        <w:t>analy</w:t>
      </w:r>
      <w:r w:rsidR="006B0FE0" w:rsidRPr="00FE5B7E">
        <w:rPr>
          <w:rFonts w:ascii="Arial" w:hAnsi="Arial" w:cs="Arial"/>
          <w:b w:val="0"/>
          <w:caps w:val="0"/>
          <w:color w:val="000000"/>
          <w:sz w:val="20"/>
          <w:highlight w:val="yellow"/>
        </w:rPr>
        <w:t>s</w:t>
      </w:r>
      <w:r w:rsidR="006B0FE0" w:rsidRPr="00FE5B7E">
        <w:rPr>
          <w:rFonts w:ascii="Arial" w:hAnsi="Arial" w:cs="Arial"/>
          <w:b w:val="0"/>
          <w:caps w:val="0"/>
          <w:color w:val="000000"/>
          <w:sz w:val="20"/>
          <w:highlight w:val="yellow"/>
        </w:rPr>
        <w:t>ing</w:t>
      </w:r>
      <w:proofErr w:type="spellEnd"/>
      <w:r w:rsidR="006B0FE0" w:rsidRPr="00FE5B7E">
        <w:rPr>
          <w:rFonts w:ascii="Arial" w:hAnsi="Arial" w:cs="Arial"/>
          <w:b w:val="0"/>
          <w:caps w:val="0"/>
          <w:color w:val="000000"/>
          <w:sz w:val="20"/>
          <w:highlight w:val="yellow"/>
        </w:rPr>
        <w:t xml:space="preserve"> </w:t>
      </w:r>
      <w:r w:rsidRPr="00FE5B7E">
        <w:rPr>
          <w:rFonts w:ascii="Arial" w:hAnsi="Arial" w:cs="Arial"/>
          <w:b w:val="0"/>
          <w:caps w:val="0"/>
          <w:color w:val="000000"/>
          <w:sz w:val="20"/>
          <w:highlight w:val="yellow"/>
        </w:rPr>
        <w:t xml:space="preserve">and interpreting </w:t>
      </w:r>
      <w:r>
        <w:rPr>
          <w:rFonts w:ascii="Arial" w:hAnsi="Arial" w:cs="Arial"/>
          <w:b w:val="0"/>
          <w:caps w:val="0"/>
          <w:color w:val="000000"/>
          <w:sz w:val="20"/>
        </w:rPr>
        <w:t>the data collected for this study, several statistical tools were employed to effectively address the research objectives:</w:t>
      </w:r>
    </w:p>
    <w:p w:rsidR="00FC6B61" w:rsidRDefault="00E26663">
      <w:pPr>
        <w:pStyle w:val="Head1"/>
        <w:jc w:val="both"/>
        <w:rPr>
          <w:rFonts w:ascii="Arial" w:hAnsi="Arial" w:cs="Arial"/>
          <w:b w:val="0"/>
          <w:caps w:val="0"/>
          <w:color w:val="000000"/>
          <w:sz w:val="20"/>
        </w:rPr>
      </w:pPr>
      <w:r>
        <w:rPr>
          <w:rFonts w:ascii="Arial" w:hAnsi="Arial" w:cs="Arial"/>
          <w:b w:val="0"/>
          <w:caps w:val="0"/>
          <w:color w:val="000000"/>
          <w:sz w:val="20"/>
        </w:rPr>
        <w:t xml:space="preserve">Mean and standard deviation were </w:t>
      </w:r>
      <w:proofErr w:type="spellStart"/>
      <w:r w:rsidR="006B0FE0" w:rsidRPr="00FE5B7E">
        <w:rPr>
          <w:rFonts w:ascii="Arial" w:hAnsi="Arial" w:cs="Arial"/>
          <w:b w:val="0"/>
          <w:caps w:val="0"/>
          <w:color w:val="000000"/>
          <w:sz w:val="20"/>
          <w:highlight w:val="yellow"/>
        </w:rPr>
        <w:t>utili</w:t>
      </w:r>
      <w:r w:rsidR="006B0FE0" w:rsidRPr="00FE5B7E">
        <w:rPr>
          <w:rFonts w:ascii="Arial" w:hAnsi="Arial" w:cs="Arial"/>
          <w:b w:val="0"/>
          <w:caps w:val="0"/>
          <w:color w:val="000000"/>
          <w:sz w:val="20"/>
          <w:highlight w:val="yellow"/>
        </w:rPr>
        <w:t>s</w:t>
      </w:r>
      <w:r w:rsidR="006B0FE0" w:rsidRPr="00FE5B7E">
        <w:rPr>
          <w:rFonts w:ascii="Arial" w:hAnsi="Arial" w:cs="Arial"/>
          <w:b w:val="0"/>
          <w:caps w:val="0"/>
          <w:color w:val="000000"/>
          <w:sz w:val="20"/>
          <w:highlight w:val="yellow"/>
        </w:rPr>
        <w:t>ed</w:t>
      </w:r>
      <w:proofErr w:type="spellEnd"/>
      <w:r w:rsidR="006B0FE0" w:rsidRPr="00FE5B7E">
        <w:rPr>
          <w:rFonts w:ascii="Arial" w:hAnsi="Arial" w:cs="Arial"/>
          <w:b w:val="0"/>
          <w:caps w:val="0"/>
          <w:color w:val="000000"/>
          <w:sz w:val="20"/>
          <w:highlight w:val="yellow"/>
        </w:rPr>
        <w:t xml:space="preserve"> </w:t>
      </w:r>
      <w:r w:rsidRPr="00FE5B7E">
        <w:rPr>
          <w:rFonts w:ascii="Arial" w:hAnsi="Arial" w:cs="Arial"/>
          <w:b w:val="0"/>
          <w:caps w:val="0"/>
          <w:color w:val="000000"/>
          <w:sz w:val="20"/>
          <w:highlight w:val="yellow"/>
        </w:rPr>
        <w:t>to deter</w:t>
      </w:r>
      <w:r>
        <w:rPr>
          <w:rFonts w:ascii="Arial" w:hAnsi="Arial" w:cs="Arial"/>
          <w:b w:val="0"/>
          <w:caps w:val="0"/>
          <w:color w:val="000000"/>
          <w:sz w:val="20"/>
        </w:rPr>
        <w:t>mine the overall levels of greening education program implementation and the effectiveness of the instruction and erudition process as perceived by public elementary school teachers. These descriptive statistics provided a summary of the degree to which these practices were present within the school environment.</w:t>
      </w:r>
    </w:p>
    <w:p w:rsidR="00FC6B61" w:rsidRDefault="00E26663">
      <w:pPr>
        <w:pStyle w:val="Head1"/>
        <w:jc w:val="both"/>
        <w:rPr>
          <w:rFonts w:ascii="Arial" w:hAnsi="Arial" w:cs="Arial"/>
          <w:b w:val="0"/>
          <w:caps w:val="0"/>
          <w:color w:val="000000"/>
          <w:sz w:val="20"/>
        </w:rPr>
      </w:pPr>
      <w:r>
        <w:rPr>
          <w:rFonts w:ascii="Arial" w:hAnsi="Arial" w:cs="Arial"/>
          <w:b w:val="0"/>
          <w:caps w:val="0"/>
          <w:color w:val="000000"/>
          <w:sz w:val="20"/>
        </w:rPr>
        <w:t xml:space="preserve">Pearson’s Product-Moment Correlation Coefficient (Pearson r) was used to examine the strength and direction of the relationship between greening education programs in instruction </w:t>
      </w:r>
      <w:r w:rsidRPr="00FE5B7E">
        <w:rPr>
          <w:rFonts w:ascii="Arial" w:hAnsi="Arial" w:cs="Arial"/>
          <w:b w:val="0"/>
          <w:caps w:val="0"/>
          <w:color w:val="000000"/>
          <w:sz w:val="20"/>
          <w:highlight w:val="yellow"/>
        </w:rPr>
        <w:t xml:space="preserve">and </w:t>
      </w:r>
      <w:r w:rsidR="006B0FE0" w:rsidRPr="00FE5B7E">
        <w:rPr>
          <w:rFonts w:ascii="Arial" w:hAnsi="Arial" w:cs="Arial"/>
          <w:b w:val="0"/>
          <w:caps w:val="0"/>
          <w:color w:val="000000"/>
          <w:sz w:val="20"/>
          <w:highlight w:val="yellow"/>
        </w:rPr>
        <w:t xml:space="preserve">the </w:t>
      </w:r>
      <w:r w:rsidRPr="00FE5B7E">
        <w:rPr>
          <w:rFonts w:ascii="Arial" w:hAnsi="Arial" w:cs="Arial"/>
          <w:b w:val="0"/>
          <w:caps w:val="0"/>
          <w:color w:val="000000"/>
          <w:sz w:val="20"/>
          <w:highlight w:val="yellow"/>
        </w:rPr>
        <w:t>erudition</w:t>
      </w:r>
      <w:r>
        <w:rPr>
          <w:rFonts w:ascii="Arial" w:hAnsi="Arial" w:cs="Arial"/>
          <w:b w:val="0"/>
          <w:caps w:val="0"/>
          <w:color w:val="000000"/>
          <w:sz w:val="20"/>
        </w:rPr>
        <w:t xml:space="preserve"> process. This inferential analysis aimed to determine whether a statistically significant association existed between the implementation of environmental programs and improvements in teaching and learning practices.</w:t>
      </w:r>
    </w:p>
    <w:p w:rsidR="00FC6B61" w:rsidRDefault="00E26663">
      <w:pPr>
        <w:pStyle w:val="Head1"/>
        <w:spacing w:after="0"/>
        <w:jc w:val="both"/>
        <w:rPr>
          <w:rFonts w:ascii="Arial" w:hAnsi="Arial" w:cs="Arial"/>
          <w:b w:val="0"/>
          <w:caps w:val="0"/>
          <w:color w:val="000000"/>
          <w:sz w:val="20"/>
        </w:rPr>
      </w:pPr>
      <w:r>
        <w:rPr>
          <w:rFonts w:ascii="Arial" w:hAnsi="Arial" w:cs="Arial"/>
          <w:b w:val="0"/>
          <w:caps w:val="0"/>
          <w:color w:val="000000"/>
          <w:sz w:val="20"/>
        </w:rPr>
        <w:t>Furthermore, multiple linear regression analysis was conducted to assess the influence of the domains of greening education programs on the instruction and erudition process. This allowed the researcher to identify which specific environmental practices significantly predicted instructional effectiveness and learning engagement in public elementary schools.</w:t>
      </w:r>
    </w:p>
    <w:p w:rsidR="00FC6B61" w:rsidRDefault="00FC6B61">
      <w:pPr>
        <w:pStyle w:val="Head1"/>
        <w:spacing w:after="0"/>
        <w:jc w:val="both"/>
        <w:rPr>
          <w:rFonts w:ascii="Arial" w:hAnsi="Arial" w:cs="Arial"/>
          <w:b w:val="0"/>
          <w:caps w:val="0"/>
          <w:color w:val="000000"/>
          <w:sz w:val="20"/>
        </w:rPr>
      </w:pPr>
    </w:p>
    <w:p w:rsidR="00FC6B61" w:rsidRDefault="00E26663">
      <w:pPr>
        <w:pStyle w:val="Head1"/>
        <w:spacing w:after="0"/>
        <w:jc w:val="both"/>
        <w:rPr>
          <w:rFonts w:ascii="Arial" w:hAnsi="Arial" w:cs="Arial"/>
          <w:sz w:val="20"/>
        </w:rPr>
      </w:pPr>
      <w:r>
        <w:rPr>
          <w:rFonts w:ascii="Arial" w:hAnsi="Arial" w:cs="Arial"/>
          <w:sz w:val="20"/>
        </w:rPr>
        <w:t>3. results and discussion</w:t>
      </w:r>
    </w:p>
    <w:p w:rsidR="00FC6B61" w:rsidRDefault="00FC6B61">
      <w:pPr>
        <w:rPr>
          <w:rFonts w:ascii="Arial" w:hAnsi="Arial" w:cs="Arial"/>
          <w:b/>
          <w:i/>
          <w:sz w:val="20"/>
          <w:szCs w:val="20"/>
        </w:rPr>
      </w:pPr>
    </w:p>
    <w:p w:rsidR="00FC6B61" w:rsidRDefault="00E26663">
      <w:pPr>
        <w:rPr>
          <w:rFonts w:ascii="Arial" w:hAnsi="Arial" w:cs="Arial"/>
          <w:b/>
          <w:sz w:val="20"/>
          <w:szCs w:val="20"/>
        </w:rPr>
      </w:pPr>
      <w:r>
        <w:rPr>
          <w:rFonts w:ascii="Arial" w:hAnsi="Arial" w:cs="Arial"/>
          <w:b/>
          <w:sz w:val="20"/>
          <w:szCs w:val="20"/>
        </w:rPr>
        <w:t>3.1 Level of School Greening in Instruction</w:t>
      </w:r>
    </w:p>
    <w:p w:rsidR="00FC6B61" w:rsidRDefault="00FC6B61">
      <w:pPr>
        <w:suppressAutoHyphens/>
        <w:jc w:val="both"/>
        <w:rPr>
          <w:rFonts w:ascii="Arial" w:hAnsi="Arial" w:cs="Arial"/>
          <w:b/>
          <w:sz w:val="20"/>
          <w:szCs w:val="20"/>
        </w:rPr>
      </w:pPr>
    </w:p>
    <w:p w:rsidR="00FC6B61" w:rsidRDefault="00E26663">
      <w:pPr>
        <w:rPr>
          <w:rFonts w:ascii="Arial" w:hAnsi="Arial" w:cs="Arial"/>
          <w:i/>
          <w:iCs/>
          <w:sz w:val="20"/>
          <w:szCs w:val="20"/>
        </w:rPr>
      </w:pPr>
      <w:r>
        <w:rPr>
          <w:rFonts w:ascii="Arial" w:hAnsi="Arial" w:cs="Arial"/>
          <w:iCs/>
          <w:sz w:val="20"/>
          <w:szCs w:val="20"/>
        </w:rPr>
        <w:t>Table 1.</w:t>
      </w:r>
      <w:r>
        <w:rPr>
          <w:sz w:val="20"/>
          <w:szCs w:val="20"/>
        </w:rPr>
        <w:t xml:space="preserve"> </w:t>
      </w:r>
      <w:r>
        <w:rPr>
          <w:rFonts w:ascii="Arial" w:hAnsi="Arial" w:cs="Arial"/>
          <w:i/>
          <w:iCs/>
          <w:sz w:val="20"/>
          <w:szCs w:val="20"/>
        </w:rPr>
        <w:t>Level of School Greening in Instruction</w:t>
      </w:r>
    </w:p>
    <w:p w:rsidR="00FC6B61" w:rsidRDefault="00FC6B61">
      <w:pPr>
        <w:suppressAutoHyphens/>
        <w:jc w:val="both"/>
        <w:rPr>
          <w:rFonts w:ascii="Arial" w:hAnsi="Arial" w:cs="Arial"/>
          <w:i/>
          <w:iCs/>
          <w:sz w:val="20"/>
          <w:szCs w:val="20"/>
        </w:rPr>
      </w:pPr>
    </w:p>
    <w:tbl>
      <w:tblPr>
        <w:tblW w:w="0" w:type="auto"/>
        <w:tblInd w:w="198" w:type="dxa"/>
        <w:tblLook w:val="0000" w:firstRow="0" w:lastRow="0" w:firstColumn="0" w:lastColumn="0" w:noHBand="0" w:noVBand="0"/>
      </w:tblPr>
      <w:tblGrid>
        <w:gridCol w:w="764"/>
        <w:gridCol w:w="4569"/>
        <w:gridCol w:w="947"/>
        <w:gridCol w:w="1730"/>
      </w:tblGrid>
      <w:tr w:rsidR="00FC6B61">
        <w:trPr>
          <w:trHeight w:val="357"/>
        </w:trPr>
        <w:tc>
          <w:tcPr>
            <w:tcW w:w="764" w:type="dxa"/>
            <w:tcBorders>
              <w:top w:val="double" w:sz="4" w:space="0" w:color="auto"/>
              <w:bottom w:val="single" w:sz="4" w:space="0" w:color="auto"/>
            </w:tcBorders>
          </w:tcPr>
          <w:p w:rsidR="00FC6B61" w:rsidRDefault="00E26663">
            <w:pPr>
              <w:jc w:val="center"/>
              <w:rPr>
                <w:rFonts w:ascii="Arial" w:hAnsi="Arial" w:cs="Arial"/>
                <w:sz w:val="20"/>
                <w:szCs w:val="20"/>
              </w:rPr>
            </w:pPr>
            <w:r>
              <w:rPr>
                <w:rFonts w:ascii="Arial" w:hAnsi="Arial" w:cs="Arial"/>
                <w:sz w:val="20"/>
                <w:szCs w:val="20"/>
              </w:rPr>
              <w:t>No.</w:t>
            </w:r>
          </w:p>
          <w:p w:rsidR="00FC6B61" w:rsidRDefault="00FC6B61">
            <w:pPr>
              <w:jc w:val="center"/>
              <w:rPr>
                <w:rFonts w:ascii="Arial" w:hAnsi="Arial" w:cs="Arial"/>
                <w:sz w:val="20"/>
                <w:szCs w:val="20"/>
              </w:rPr>
            </w:pPr>
          </w:p>
        </w:tc>
        <w:tc>
          <w:tcPr>
            <w:tcW w:w="4569" w:type="dxa"/>
            <w:tcBorders>
              <w:top w:val="double" w:sz="4" w:space="0" w:color="auto"/>
              <w:bottom w:val="single" w:sz="4" w:space="0" w:color="auto"/>
            </w:tcBorders>
          </w:tcPr>
          <w:p w:rsidR="00FC6B61" w:rsidRDefault="00E26663">
            <w:pPr>
              <w:jc w:val="center"/>
              <w:rPr>
                <w:rFonts w:ascii="Arial" w:hAnsi="Arial" w:cs="Arial"/>
                <w:sz w:val="20"/>
                <w:szCs w:val="20"/>
              </w:rPr>
            </w:pPr>
            <w:r>
              <w:rPr>
                <w:rFonts w:ascii="Arial" w:hAnsi="Arial" w:cs="Arial"/>
                <w:sz w:val="20"/>
                <w:szCs w:val="20"/>
              </w:rPr>
              <w:t>Domains</w:t>
            </w:r>
          </w:p>
        </w:tc>
        <w:tc>
          <w:tcPr>
            <w:tcW w:w="947" w:type="dxa"/>
            <w:tcBorders>
              <w:top w:val="double" w:sz="4" w:space="0" w:color="auto"/>
              <w:bottom w:val="single" w:sz="4" w:space="0" w:color="auto"/>
            </w:tcBorders>
          </w:tcPr>
          <w:p w:rsidR="00FC6B61" w:rsidRDefault="00E26663">
            <w:pPr>
              <w:contextualSpacing/>
              <w:jc w:val="center"/>
              <w:rPr>
                <w:rFonts w:ascii="Arial" w:hAnsi="Arial" w:cs="Arial"/>
                <w:sz w:val="20"/>
                <w:szCs w:val="20"/>
                <w:lang w:eastAsia="en-PH"/>
              </w:rPr>
            </w:pPr>
            <w:r>
              <w:rPr>
                <w:rFonts w:ascii="Arial" w:hAnsi="Arial" w:cs="Arial"/>
                <w:sz w:val="20"/>
                <w:szCs w:val="20"/>
                <w:lang w:eastAsia="en-PH"/>
              </w:rPr>
              <w:t>Mean</w:t>
            </w:r>
          </w:p>
          <w:p w:rsidR="00FC6B61" w:rsidRDefault="00E26663">
            <w:pPr>
              <w:contextualSpacing/>
              <w:jc w:val="center"/>
              <w:rPr>
                <w:rFonts w:ascii="Arial" w:hAnsi="Arial" w:cs="Arial"/>
                <w:sz w:val="20"/>
                <w:szCs w:val="20"/>
              </w:rPr>
            </w:pPr>
            <w:r>
              <w:rPr>
                <w:rFonts w:ascii="Arial" w:hAnsi="Arial" w:cs="Arial"/>
                <w:sz w:val="20"/>
                <w:szCs w:val="20"/>
                <w:lang w:eastAsia="en-PH"/>
              </w:rPr>
              <w:t>(</w:t>
            </w:r>
            <w:r>
              <w:rPr>
                <w:rFonts w:ascii="Arial" w:hAnsi="Arial" w:cs="Arial"/>
                <w:sz w:val="20"/>
                <w:szCs w:val="20"/>
                <w:lang w:eastAsia="en-PH"/>
              </w:rPr>
              <w:fldChar w:fldCharType="begin"/>
            </w:r>
            <w:r>
              <w:rPr>
                <w:rFonts w:ascii="Arial" w:hAnsi="Arial" w:cs="Arial"/>
                <w:sz w:val="20"/>
                <w:szCs w:val="20"/>
                <w:lang w:eastAsia="en-PH"/>
              </w:rPr>
              <w:instrText xml:space="preserve"> QUOTE </w:instrText>
            </w:r>
            <w:r w:rsidR="00DC7526">
              <w:rPr>
                <w:rFonts w:ascii="Arial" w:hAnsi="Arial" w:cs="Arial"/>
                <w:noProof/>
                <w:position w:val="-9"/>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5.9pt;height:15.6pt;mso-wrap-style:square;mso-width-percent:0;mso-height-percent:0;mso-position-horizontal-relative:page;mso-position-vertical-relative:page;mso-width-percent:0;mso-height-percent:0" equationxml="&lt;">
                  <v:imagedata r:id="rId8" o:title="" chromakey="white"/>
                </v:shape>
              </w:pict>
            </w:r>
            <w:r>
              <w:rPr>
                <w:rFonts w:ascii="Arial" w:hAnsi="Arial" w:cs="Arial"/>
                <w:sz w:val="20"/>
                <w:szCs w:val="20"/>
                <w:lang w:eastAsia="en-PH"/>
              </w:rPr>
              <w:fldChar w:fldCharType="separate"/>
            </w:r>
            <w:r w:rsidR="00DC7526">
              <w:rPr>
                <w:rFonts w:ascii="Arial" w:hAnsi="Arial" w:cs="Arial"/>
                <w:noProof/>
                <w:position w:val="-9"/>
                <w:sz w:val="20"/>
                <w:szCs w:val="20"/>
              </w:rPr>
              <w:pict>
                <v:shape id="Picture 2" o:spid="_x0000_i1026" type="#_x0000_t75" alt="" style="width:5.9pt;height:15.6pt;mso-wrap-style:square;mso-width-percent:0;mso-height-percent:0;mso-position-horizontal-relative:page;mso-position-vertical-relative:page;mso-width-percent:0;mso-height-percent:0" equationxml="&lt;">
                  <v:imagedata r:id="rId8" o:title="" chromakey="white"/>
                </v:shape>
              </w:pict>
            </w:r>
            <w:r>
              <w:rPr>
                <w:rFonts w:ascii="Arial" w:hAnsi="Arial" w:cs="Arial"/>
                <w:sz w:val="20"/>
                <w:szCs w:val="20"/>
                <w:lang w:eastAsia="en-PH"/>
              </w:rPr>
              <w:fldChar w:fldCharType="end"/>
            </w:r>
            <w:r>
              <w:rPr>
                <w:rFonts w:ascii="Arial" w:hAnsi="Arial" w:cs="Arial"/>
                <w:sz w:val="20"/>
                <w:szCs w:val="20"/>
                <w:lang w:eastAsia="en-PH"/>
              </w:rPr>
              <w:t>)</w:t>
            </w:r>
          </w:p>
        </w:tc>
        <w:tc>
          <w:tcPr>
            <w:tcW w:w="1730" w:type="dxa"/>
            <w:tcBorders>
              <w:top w:val="double" w:sz="4" w:space="0" w:color="auto"/>
              <w:bottom w:val="single" w:sz="4" w:space="0" w:color="auto"/>
            </w:tcBorders>
          </w:tcPr>
          <w:p w:rsidR="00FC6B61" w:rsidRDefault="00E26663">
            <w:pPr>
              <w:jc w:val="center"/>
              <w:rPr>
                <w:rFonts w:ascii="Arial" w:hAnsi="Arial" w:cs="Arial"/>
                <w:sz w:val="20"/>
                <w:szCs w:val="20"/>
              </w:rPr>
            </w:pPr>
            <w:r>
              <w:rPr>
                <w:rFonts w:ascii="Arial" w:hAnsi="Arial" w:cs="Arial"/>
                <w:sz w:val="20"/>
                <w:szCs w:val="20"/>
              </w:rPr>
              <w:t>Descriptive Equivalent</w:t>
            </w:r>
          </w:p>
          <w:p w:rsidR="00FC6B61" w:rsidRDefault="00FC6B61">
            <w:pPr>
              <w:jc w:val="center"/>
              <w:rPr>
                <w:rFonts w:ascii="Arial" w:hAnsi="Arial" w:cs="Arial"/>
                <w:sz w:val="20"/>
                <w:szCs w:val="20"/>
              </w:rPr>
            </w:pPr>
          </w:p>
        </w:tc>
      </w:tr>
      <w:tr w:rsidR="00FC6B61">
        <w:trPr>
          <w:trHeight w:val="58"/>
        </w:trPr>
        <w:tc>
          <w:tcPr>
            <w:tcW w:w="764" w:type="dxa"/>
            <w:tcBorders>
              <w:top w:val="single" w:sz="4" w:space="0" w:color="auto"/>
              <w:bottom w:val="nil"/>
            </w:tcBorders>
          </w:tcPr>
          <w:p w:rsidR="00FC6B61" w:rsidRDefault="00E26663">
            <w:pPr>
              <w:jc w:val="center"/>
              <w:rPr>
                <w:rFonts w:ascii="Arial" w:hAnsi="Arial" w:cs="Arial"/>
                <w:sz w:val="20"/>
                <w:szCs w:val="20"/>
              </w:rPr>
            </w:pPr>
            <w:r>
              <w:rPr>
                <w:rFonts w:ascii="Arial" w:hAnsi="Arial" w:cs="Arial"/>
                <w:sz w:val="20"/>
                <w:szCs w:val="20"/>
              </w:rPr>
              <w:t>1</w:t>
            </w:r>
          </w:p>
        </w:tc>
        <w:tc>
          <w:tcPr>
            <w:tcW w:w="4569" w:type="dxa"/>
            <w:tcBorders>
              <w:top w:val="single" w:sz="4" w:space="0" w:color="auto"/>
              <w:bottom w:val="nil"/>
            </w:tcBorders>
            <w:vAlign w:val="center"/>
          </w:tcPr>
          <w:p w:rsidR="00FC6B61" w:rsidRDefault="00E26663">
            <w:pPr>
              <w:tabs>
                <w:tab w:val="left" w:pos="720"/>
              </w:tabs>
              <w:rPr>
                <w:rFonts w:ascii="Arial" w:hAnsi="Arial" w:cs="Arial"/>
                <w:sz w:val="20"/>
                <w:szCs w:val="20"/>
              </w:rPr>
            </w:pPr>
            <w:r>
              <w:rPr>
                <w:rStyle w:val="Strong"/>
                <w:rFonts w:ascii="Arial" w:hAnsi="Arial" w:cs="Arial"/>
                <w:b w:val="0"/>
                <w:bCs w:val="0"/>
                <w:sz w:val="20"/>
                <w:szCs w:val="20"/>
                <w:shd w:val="clear" w:color="auto" w:fill="FBFBFB"/>
                <w:lang w:val="en-US"/>
              </w:rPr>
              <w:t>technological growth</w:t>
            </w:r>
          </w:p>
        </w:tc>
        <w:tc>
          <w:tcPr>
            <w:tcW w:w="947" w:type="dxa"/>
            <w:tcBorders>
              <w:top w:val="single" w:sz="4" w:space="0" w:color="auto"/>
              <w:bottom w:val="nil"/>
            </w:tcBorders>
            <w:vAlign w:val="center"/>
          </w:tcPr>
          <w:p w:rsidR="00FC6B61" w:rsidRDefault="00E26663">
            <w:pPr>
              <w:pStyle w:val="TableContents"/>
              <w:snapToGrid w:val="0"/>
              <w:jc w:val="center"/>
              <w:rPr>
                <w:rFonts w:ascii="Arial" w:hAnsi="Arial" w:cs="Arial"/>
                <w:sz w:val="20"/>
                <w:szCs w:val="20"/>
              </w:rPr>
            </w:pPr>
            <w:r>
              <w:rPr>
                <w:rFonts w:ascii="Arial" w:hAnsi="Arial" w:cs="Arial"/>
                <w:sz w:val="20"/>
                <w:szCs w:val="20"/>
              </w:rPr>
              <w:t>3.57</w:t>
            </w:r>
          </w:p>
        </w:tc>
        <w:tc>
          <w:tcPr>
            <w:tcW w:w="1730" w:type="dxa"/>
            <w:tcBorders>
              <w:top w:val="single" w:sz="4" w:space="0" w:color="auto"/>
              <w:bottom w:val="nil"/>
            </w:tcBorders>
          </w:tcPr>
          <w:p w:rsidR="00FC6B61" w:rsidRDefault="00E26663">
            <w:pPr>
              <w:jc w:val="center"/>
              <w:rPr>
                <w:rFonts w:ascii="Arial" w:hAnsi="Arial" w:cs="Arial"/>
                <w:sz w:val="20"/>
                <w:szCs w:val="20"/>
              </w:rPr>
            </w:pPr>
            <w:r>
              <w:rPr>
                <w:rFonts w:ascii="Arial" w:hAnsi="Arial" w:cs="Arial"/>
                <w:sz w:val="20"/>
                <w:szCs w:val="20"/>
              </w:rPr>
              <w:t>High</w:t>
            </w:r>
          </w:p>
        </w:tc>
      </w:tr>
      <w:tr w:rsidR="00FC6B61">
        <w:trPr>
          <w:trHeight w:val="278"/>
        </w:trPr>
        <w:tc>
          <w:tcPr>
            <w:tcW w:w="764" w:type="dxa"/>
          </w:tcPr>
          <w:p w:rsidR="00FC6B61" w:rsidRDefault="00E26663">
            <w:pPr>
              <w:jc w:val="center"/>
              <w:rPr>
                <w:rFonts w:ascii="Arial" w:hAnsi="Arial" w:cs="Arial"/>
                <w:sz w:val="20"/>
                <w:szCs w:val="20"/>
              </w:rPr>
            </w:pPr>
            <w:r>
              <w:rPr>
                <w:rFonts w:ascii="Arial" w:hAnsi="Arial" w:cs="Arial"/>
                <w:sz w:val="20"/>
                <w:szCs w:val="20"/>
              </w:rPr>
              <w:t>2</w:t>
            </w:r>
          </w:p>
        </w:tc>
        <w:tc>
          <w:tcPr>
            <w:tcW w:w="4569" w:type="dxa"/>
            <w:vAlign w:val="center"/>
          </w:tcPr>
          <w:p w:rsidR="00FC6B61" w:rsidRDefault="00E26663">
            <w:pPr>
              <w:tabs>
                <w:tab w:val="left" w:pos="720"/>
              </w:tabs>
              <w:rPr>
                <w:rFonts w:ascii="Arial" w:hAnsi="Arial" w:cs="Arial"/>
                <w:sz w:val="20"/>
                <w:szCs w:val="20"/>
              </w:rPr>
            </w:pPr>
            <w:r>
              <w:rPr>
                <w:rFonts w:ascii="Arial" w:hAnsi="Arial" w:cs="Arial"/>
                <w:sz w:val="20"/>
                <w:szCs w:val="20"/>
                <w:lang w:val="en-US"/>
              </w:rPr>
              <w:t>instruction capacity</w:t>
            </w:r>
          </w:p>
        </w:tc>
        <w:tc>
          <w:tcPr>
            <w:tcW w:w="947" w:type="dxa"/>
            <w:vAlign w:val="center"/>
          </w:tcPr>
          <w:p w:rsidR="00FC6B61" w:rsidRDefault="00E26663">
            <w:pPr>
              <w:pStyle w:val="TableContents"/>
              <w:snapToGrid w:val="0"/>
              <w:jc w:val="center"/>
              <w:rPr>
                <w:rFonts w:ascii="Arial" w:hAnsi="Arial" w:cs="Arial"/>
                <w:sz w:val="20"/>
                <w:szCs w:val="20"/>
              </w:rPr>
            </w:pPr>
            <w:r>
              <w:rPr>
                <w:rFonts w:ascii="Arial" w:hAnsi="Arial" w:cs="Arial"/>
                <w:sz w:val="20"/>
                <w:szCs w:val="20"/>
              </w:rPr>
              <w:t>3.80</w:t>
            </w:r>
          </w:p>
        </w:tc>
        <w:tc>
          <w:tcPr>
            <w:tcW w:w="1730" w:type="dxa"/>
          </w:tcPr>
          <w:p w:rsidR="00FC6B61" w:rsidRDefault="00E26663">
            <w:pPr>
              <w:jc w:val="center"/>
              <w:rPr>
                <w:rFonts w:ascii="Arial" w:hAnsi="Arial" w:cs="Arial"/>
                <w:sz w:val="20"/>
                <w:szCs w:val="20"/>
              </w:rPr>
            </w:pPr>
            <w:r>
              <w:rPr>
                <w:rFonts w:ascii="Arial" w:hAnsi="Arial" w:cs="Arial"/>
                <w:sz w:val="20"/>
                <w:szCs w:val="20"/>
              </w:rPr>
              <w:t>High</w:t>
            </w:r>
          </w:p>
        </w:tc>
      </w:tr>
      <w:tr w:rsidR="00FC6B61">
        <w:trPr>
          <w:trHeight w:val="278"/>
        </w:trPr>
        <w:tc>
          <w:tcPr>
            <w:tcW w:w="764" w:type="dxa"/>
          </w:tcPr>
          <w:p w:rsidR="00FC6B61" w:rsidRDefault="00E26663">
            <w:pPr>
              <w:jc w:val="center"/>
              <w:rPr>
                <w:rFonts w:ascii="Arial" w:hAnsi="Arial" w:cs="Arial"/>
                <w:sz w:val="20"/>
                <w:szCs w:val="20"/>
              </w:rPr>
            </w:pPr>
            <w:r>
              <w:rPr>
                <w:rFonts w:ascii="Arial" w:hAnsi="Arial" w:cs="Arial"/>
                <w:sz w:val="20"/>
                <w:szCs w:val="20"/>
              </w:rPr>
              <w:t>3</w:t>
            </w:r>
          </w:p>
        </w:tc>
        <w:tc>
          <w:tcPr>
            <w:tcW w:w="4569" w:type="dxa"/>
            <w:vAlign w:val="center"/>
          </w:tcPr>
          <w:p w:rsidR="00FC6B61" w:rsidRDefault="00E26663">
            <w:pPr>
              <w:tabs>
                <w:tab w:val="left" w:pos="720"/>
              </w:tabs>
              <w:rPr>
                <w:rFonts w:ascii="Arial" w:hAnsi="Arial" w:cs="Arial"/>
                <w:sz w:val="20"/>
                <w:szCs w:val="20"/>
              </w:rPr>
            </w:pPr>
            <w:r>
              <w:rPr>
                <w:rStyle w:val="Strong"/>
                <w:rFonts w:ascii="Arial" w:hAnsi="Arial" w:cs="Arial"/>
                <w:b w:val="0"/>
                <w:bCs w:val="0"/>
                <w:sz w:val="20"/>
                <w:szCs w:val="20"/>
                <w:shd w:val="clear" w:color="auto" w:fill="FBFBFB"/>
                <w:lang w:val="en-US"/>
              </w:rPr>
              <w:t>instruction interaction</w:t>
            </w:r>
          </w:p>
        </w:tc>
        <w:tc>
          <w:tcPr>
            <w:tcW w:w="947" w:type="dxa"/>
            <w:vAlign w:val="center"/>
          </w:tcPr>
          <w:p w:rsidR="00FC6B61" w:rsidRDefault="00E26663">
            <w:pPr>
              <w:pStyle w:val="NoSpacing"/>
              <w:jc w:val="center"/>
              <w:rPr>
                <w:rFonts w:ascii="Arial" w:hAnsi="Arial" w:cs="Arial"/>
                <w:sz w:val="20"/>
                <w:szCs w:val="20"/>
              </w:rPr>
            </w:pPr>
            <w:r>
              <w:rPr>
                <w:rFonts w:ascii="Arial" w:hAnsi="Arial" w:cs="Arial"/>
                <w:sz w:val="20"/>
                <w:szCs w:val="20"/>
              </w:rPr>
              <w:t>2.98</w:t>
            </w:r>
          </w:p>
        </w:tc>
        <w:tc>
          <w:tcPr>
            <w:tcW w:w="1730" w:type="dxa"/>
          </w:tcPr>
          <w:p w:rsidR="00FC6B61" w:rsidRDefault="00E26663">
            <w:pPr>
              <w:jc w:val="center"/>
              <w:rPr>
                <w:rFonts w:ascii="Arial" w:hAnsi="Arial" w:cs="Arial"/>
                <w:sz w:val="20"/>
                <w:szCs w:val="20"/>
              </w:rPr>
            </w:pPr>
            <w:r>
              <w:rPr>
                <w:rFonts w:ascii="Arial" w:hAnsi="Arial" w:cs="Arial"/>
                <w:sz w:val="20"/>
                <w:szCs w:val="20"/>
              </w:rPr>
              <w:t>Moderate</w:t>
            </w:r>
          </w:p>
        </w:tc>
      </w:tr>
      <w:tr w:rsidR="00FC6B61">
        <w:trPr>
          <w:trHeight w:val="193"/>
        </w:trPr>
        <w:tc>
          <w:tcPr>
            <w:tcW w:w="5333" w:type="dxa"/>
            <w:gridSpan w:val="2"/>
            <w:tcBorders>
              <w:bottom w:val="double" w:sz="4" w:space="0" w:color="auto"/>
            </w:tcBorders>
          </w:tcPr>
          <w:p w:rsidR="00FC6B61" w:rsidRDefault="00E26663">
            <w:pPr>
              <w:jc w:val="center"/>
              <w:rPr>
                <w:rFonts w:ascii="Arial" w:hAnsi="Arial" w:cs="Arial"/>
                <w:b/>
                <w:bCs/>
                <w:sz w:val="20"/>
                <w:szCs w:val="20"/>
              </w:rPr>
            </w:pPr>
            <w:r>
              <w:rPr>
                <w:rFonts w:ascii="Arial" w:hAnsi="Arial" w:cs="Arial"/>
                <w:b/>
                <w:bCs/>
                <w:sz w:val="20"/>
                <w:szCs w:val="20"/>
              </w:rPr>
              <w:t>Overall</w:t>
            </w:r>
          </w:p>
        </w:tc>
        <w:tc>
          <w:tcPr>
            <w:tcW w:w="947" w:type="dxa"/>
            <w:tcBorders>
              <w:bottom w:val="double" w:sz="4" w:space="0" w:color="auto"/>
            </w:tcBorders>
          </w:tcPr>
          <w:p w:rsidR="00FC6B61" w:rsidRDefault="00E26663">
            <w:pPr>
              <w:pStyle w:val="TableContents"/>
              <w:snapToGrid w:val="0"/>
              <w:jc w:val="center"/>
              <w:rPr>
                <w:rFonts w:ascii="Arial" w:hAnsi="Arial" w:cs="Arial"/>
                <w:b/>
                <w:bCs/>
                <w:sz w:val="20"/>
                <w:szCs w:val="20"/>
              </w:rPr>
            </w:pPr>
            <w:r>
              <w:rPr>
                <w:rFonts w:ascii="Arial" w:hAnsi="Arial" w:cs="Arial"/>
                <w:b/>
                <w:bCs/>
                <w:sz w:val="20"/>
                <w:szCs w:val="20"/>
              </w:rPr>
              <w:t>3.55</w:t>
            </w:r>
          </w:p>
        </w:tc>
        <w:tc>
          <w:tcPr>
            <w:tcW w:w="1730" w:type="dxa"/>
            <w:tcBorders>
              <w:bottom w:val="double" w:sz="4" w:space="0" w:color="auto"/>
            </w:tcBorders>
            <w:vAlign w:val="center"/>
          </w:tcPr>
          <w:p w:rsidR="00FC6B61" w:rsidRDefault="00E26663">
            <w:pPr>
              <w:pStyle w:val="TableContents"/>
              <w:snapToGrid w:val="0"/>
              <w:jc w:val="center"/>
              <w:rPr>
                <w:rFonts w:ascii="Arial" w:hAnsi="Arial" w:cs="Arial"/>
                <w:b/>
                <w:bCs/>
                <w:sz w:val="20"/>
                <w:szCs w:val="20"/>
              </w:rPr>
            </w:pPr>
            <w:r>
              <w:rPr>
                <w:rFonts w:ascii="Arial" w:hAnsi="Arial" w:cs="Arial"/>
                <w:b/>
                <w:bCs/>
                <w:sz w:val="20"/>
                <w:szCs w:val="20"/>
              </w:rPr>
              <w:t>High</w:t>
            </w:r>
          </w:p>
        </w:tc>
      </w:tr>
      <w:tr w:rsidR="00FC6B61">
        <w:trPr>
          <w:trHeight w:val="115"/>
        </w:trPr>
        <w:tc>
          <w:tcPr>
            <w:tcW w:w="5333" w:type="dxa"/>
            <w:gridSpan w:val="2"/>
            <w:tcBorders>
              <w:top w:val="double" w:sz="4" w:space="0" w:color="auto"/>
            </w:tcBorders>
          </w:tcPr>
          <w:p w:rsidR="00FC6B61" w:rsidRDefault="00FC6B61">
            <w:pPr>
              <w:jc w:val="center"/>
              <w:rPr>
                <w:rFonts w:ascii="Arial" w:hAnsi="Arial" w:cs="Arial"/>
                <w:sz w:val="20"/>
                <w:szCs w:val="20"/>
              </w:rPr>
            </w:pPr>
          </w:p>
        </w:tc>
        <w:tc>
          <w:tcPr>
            <w:tcW w:w="947" w:type="dxa"/>
            <w:tcBorders>
              <w:top w:val="double" w:sz="4" w:space="0" w:color="auto"/>
            </w:tcBorders>
          </w:tcPr>
          <w:p w:rsidR="00FC6B61" w:rsidRDefault="00FC6B61">
            <w:pPr>
              <w:jc w:val="center"/>
              <w:rPr>
                <w:rFonts w:ascii="Arial" w:hAnsi="Arial" w:cs="Arial"/>
                <w:sz w:val="20"/>
                <w:szCs w:val="20"/>
              </w:rPr>
            </w:pPr>
          </w:p>
        </w:tc>
        <w:tc>
          <w:tcPr>
            <w:tcW w:w="1730" w:type="dxa"/>
            <w:tcBorders>
              <w:top w:val="double" w:sz="4" w:space="0" w:color="auto"/>
            </w:tcBorders>
          </w:tcPr>
          <w:p w:rsidR="00FC6B61" w:rsidRDefault="00FC6B61">
            <w:pPr>
              <w:jc w:val="center"/>
              <w:rPr>
                <w:rFonts w:ascii="Arial" w:hAnsi="Arial" w:cs="Arial"/>
                <w:sz w:val="20"/>
                <w:szCs w:val="20"/>
              </w:rPr>
            </w:pPr>
          </w:p>
        </w:tc>
      </w:tr>
    </w:tbl>
    <w:p w:rsidR="00FC6B61" w:rsidRDefault="00FC6B61">
      <w:pPr>
        <w:jc w:val="both"/>
        <w:rPr>
          <w:rFonts w:ascii="Arial" w:hAnsi="Arial" w:cs="Arial"/>
          <w:sz w:val="20"/>
          <w:szCs w:val="20"/>
        </w:rPr>
      </w:pPr>
    </w:p>
    <w:p w:rsidR="00FC6B61" w:rsidRDefault="00E26663">
      <w:pPr>
        <w:jc w:val="both"/>
        <w:rPr>
          <w:rFonts w:ascii="Arial" w:hAnsi="Arial" w:cs="Arial"/>
          <w:sz w:val="20"/>
          <w:szCs w:val="20"/>
        </w:rPr>
      </w:pPr>
      <w:r>
        <w:rPr>
          <w:rFonts w:ascii="Arial" w:hAnsi="Arial" w:cs="Arial"/>
          <w:sz w:val="20"/>
          <w:szCs w:val="20"/>
        </w:rPr>
        <w:t xml:space="preserve">Presented in Table 1 is the level of school greening in instruction in public elementary schools, as perceived by teacher-respondents across three domains: technological growth, instruction capacity, and instruction interaction. The domain of instruction capacity recorded the highest mean score of 3.80, interpreted as high, indicating that schools frequently demonstrate </w:t>
      </w:r>
      <w:r>
        <w:rPr>
          <w:rFonts w:ascii="Arial" w:hAnsi="Arial" w:cs="Arial"/>
          <w:sz w:val="20"/>
          <w:szCs w:val="20"/>
        </w:rPr>
        <w:lastRenderedPageBreak/>
        <w:t xml:space="preserve">readiness and competency in delivering instruction aligned with environmental sustainability. This was followed by technological growth, which obtained a mean score of 3.57, also rated high, suggesting that eco-friendly technologies and digital tools are often integrated into the learning environment. Meanwhile, instruction interaction received a mean score of 2.98, described as moderate, signifying that opportunities for student engagement and interaction within a green instructional context are present but not yet fully </w:t>
      </w:r>
      <w:proofErr w:type="spellStart"/>
      <w:r w:rsidR="00EB7B6F" w:rsidRPr="00FE5B7E">
        <w:rPr>
          <w:rFonts w:ascii="Arial" w:hAnsi="Arial" w:cs="Arial"/>
          <w:sz w:val="20"/>
          <w:szCs w:val="20"/>
          <w:highlight w:val="yellow"/>
        </w:rPr>
        <w:t>maximi</w:t>
      </w:r>
      <w:r w:rsidR="00EB7B6F" w:rsidRPr="00FE5B7E">
        <w:rPr>
          <w:rFonts w:ascii="Arial" w:hAnsi="Arial" w:cs="Arial"/>
          <w:sz w:val="20"/>
          <w:szCs w:val="20"/>
          <w:highlight w:val="yellow"/>
        </w:rPr>
        <w:t>s</w:t>
      </w:r>
      <w:r w:rsidR="00EB7B6F" w:rsidRPr="00FE5B7E">
        <w:rPr>
          <w:rFonts w:ascii="Arial" w:hAnsi="Arial" w:cs="Arial"/>
          <w:sz w:val="20"/>
          <w:szCs w:val="20"/>
          <w:highlight w:val="yellow"/>
        </w:rPr>
        <w:t>ed</w:t>
      </w:r>
      <w:proofErr w:type="spellEnd"/>
      <w:r w:rsidRPr="00FE5B7E">
        <w:rPr>
          <w:rFonts w:ascii="Arial" w:hAnsi="Arial" w:cs="Arial"/>
          <w:sz w:val="20"/>
          <w:szCs w:val="20"/>
          <w:highlight w:val="yellow"/>
        </w:rPr>
        <w:t>.</w:t>
      </w:r>
    </w:p>
    <w:p w:rsidR="00FC6B61" w:rsidRDefault="00FC6B61">
      <w:pPr>
        <w:jc w:val="both"/>
        <w:rPr>
          <w:rFonts w:ascii="Arial" w:hAnsi="Arial" w:cs="Arial"/>
          <w:sz w:val="20"/>
          <w:szCs w:val="20"/>
        </w:rPr>
      </w:pPr>
    </w:p>
    <w:p w:rsidR="00FC6B61" w:rsidRDefault="00E26663">
      <w:pPr>
        <w:jc w:val="both"/>
        <w:rPr>
          <w:rFonts w:ascii="Arial" w:hAnsi="Arial" w:cs="Arial"/>
          <w:sz w:val="20"/>
          <w:szCs w:val="20"/>
        </w:rPr>
      </w:pPr>
      <w:r>
        <w:rPr>
          <w:rFonts w:ascii="Arial" w:hAnsi="Arial" w:cs="Arial"/>
          <w:sz w:val="20"/>
          <w:szCs w:val="20"/>
        </w:rPr>
        <w:t>The overall mean score of 3.55 indicates a high level of school greening among public elementary schools. This implies that, in general, schools actively implement greening initiatives, particularly in terms of instructional capacity and technological application. However, further efforts are needed to enhance instructional interaction to ensure that sustainability is deeply embedded in classroom discourse and activities.</w:t>
      </w:r>
    </w:p>
    <w:p w:rsidR="00FC6B61" w:rsidRDefault="00FC6B61">
      <w:pPr>
        <w:jc w:val="both"/>
        <w:rPr>
          <w:rFonts w:ascii="Arial" w:hAnsi="Arial" w:cs="Arial"/>
          <w:sz w:val="20"/>
          <w:szCs w:val="20"/>
        </w:rPr>
      </w:pPr>
    </w:p>
    <w:p w:rsidR="00FC6B61" w:rsidRDefault="00E26663">
      <w:pPr>
        <w:jc w:val="both"/>
        <w:rPr>
          <w:rFonts w:ascii="Arial" w:hAnsi="Arial" w:cs="Arial"/>
          <w:sz w:val="20"/>
          <w:szCs w:val="20"/>
        </w:rPr>
      </w:pPr>
      <w:r>
        <w:rPr>
          <w:rFonts w:ascii="Arial" w:hAnsi="Arial" w:cs="Arial"/>
          <w:sz w:val="20"/>
          <w:szCs w:val="20"/>
        </w:rPr>
        <w:t xml:space="preserve">This finding aligns with the study of </w:t>
      </w:r>
      <w:proofErr w:type="spellStart"/>
      <w:r>
        <w:rPr>
          <w:rFonts w:ascii="Arial" w:hAnsi="Arial" w:cs="Arial"/>
          <w:sz w:val="20"/>
          <w:szCs w:val="20"/>
        </w:rPr>
        <w:t>Derder</w:t>
      </w:r>
      <w:proofErr w:type="spellEnd"/>
      <w:r>
        <w:rPr>
          <w:rFonts w:ascii="Arial" w:hAnsi="Arial" w:cs="Arial"/>
          <w:sz w:val="20"/>
          <w:szCs w:val="20"/>
        </w:rPr>
        <w:t xml:space="preserve"> et al. (2024), which emphasized the importance of building instructional capacity and digital infrastructure to effectively implement greening programs in education. Similarly, Zvonov (2023) highlighted that while many schools invest in green technologies and eco-friendly facilities, sustained impact requires stronger student-teacher interactions centered on environmental awareness. Furthermore, Gan et al. (2023) reported that institutional efforts to promote ecological instruction are more successful when paired with active and collaborative learning strategies, reinforcing the importance of interaction-focused practices in achieving comprehensive school greening.</w:t>
      </w:r>
    </w:p>
    <w:p w:rsidR="00FC6B61" w:rsidRDefault="00FC6B61">
      <w:pPr>
        <w:jc w:val="both"/>
        <w:rPr>
          <w:rFonts w:ascii="Arial" w:hAnsi="Arial" w:cs="Arial"/>
          <w:b/>
          <w:sz w:val="20"/>
          <w:szCs w:val="20"/>
        </w:rPr>
      </w:pPr>
    </w:p>
    <w:p w:rsidR="00FC6B61" w:rsidRDefault="00E26663">
      <w:pPr>
        <w:rPr>
          <w:rFonts w:ascii="Arial" w:hAnsi="Arial" w:cs="Arial"/>
          <w:b/>
          <w:sz w:val="20"/>
          <w:szCs w:val="20"/>
        </w:rPr>
      </w:pPr>
      <w:r>
        <w:rPr>
          <w:rFonts w:ascii="Arial" w:hAnsi="Arial" w:cs="Arial"/>
          <w:b/>
          <w:sz w:val="20"/>
          <w:szCs w:val="20"/>
        </w:rPr>
        <w:t>3.2 Level of Erudition Process in Public Elementary Schools</w:t>
      </w:r>
    </w:p>
    <w:p w:rsidR="00FC6B61" w:rsidRDefault="00FC6B61">
      <w:pPr>
        <w:jc w:val="both"/>
        <w:rPr>
          <w:rFonts w:ascii="Arial" w:hAnsi="Arial" w:cs="Arial"/>
          <w:iCs/>
          <w:sz w:val="20"/>
          <w:szCs w:val="20"/>
        </w:rPr>
      </w:pPr>
    </w:p>
    <w:p w:rsidR="00FC6B61" w:rsidRDefault="00E26663">
      <w:pPr>
        <w:jc w:val="both"/>
        <w:rPr>
          <w:rFonts w:ascii="Arial" w:hAnsi="Arial" w:cs="Arial"/>
          <w:i/>
          <w:sz w:val="20"/>
          <w:szCs w:val="20"/>
        </w:rPr>
      </w:pPr>
      <w:r>
        <w:rPr>
          <w:rFonts w:ascii="Arial" w:hAnsi="Arial" w:cs="Arial"/>
          <w:iCs/>
          <w:sz w:val="20"/>
          <w:szCs w:val="20"/>
        </w:rPr>
        <w:t xml:space="preserve">Table 2. </w:t>
      </w:r>
      <w:r>
        <w:rPr>
          <w:rFonts w:ascii="Arial" w:hAnsi="Arial" w:cs="Arial"/>
          <w:i/>
          <w:sz w:val="20"/>
          <w:szCs w:val="20"/>
        </w:rPr>
        <w:t>Level of Erudition Process in Public Elementary Schools</w:t>
      </w:r>
    </w:p>
    <w:p w:rsidR="00FC6B61" w:rsidRDefault="00FC6B61">
      <w:pPr>
        <w:jc w:val="both"/>
        <w:rPr>
          <w:rFonts w:ascii="Arial" w:hAnsi="Arial" w:cs="Arial"/>
          <w:i/>
          <w:sz w:val="20"/>
          <w:szCs w:val="20"/>
        </w:rPr>
      </w:pPr>
    </w:p>
    <w:tbl>
      <w:tblPr>
        <w:tblW w:w="0" w:type="auto"/>
        <w:tblInd w:w="198" w:type="dxa"/>
        <w:tblLook w:val="0000" w:firstRow="0" w:lastRow="0" w:firstColumn="0" w:lastColumn="0" w:noHBand="0" w:noVBand="0"/>
      </w:tblPr>
      <w:tblGrid>
        <w:gridCol w:w="765"/>
        <w:gridCol w:w="4565"/>
        <w:gridCol w:w="948"/>
        <w:gridCol w:w="1732"/>
      </w:tblGrid>
      <w:tr w:rsidR="00FC6B61">
        <w:trPr>
          <w:trHeight w:val="357"/>
        </w:trPr>
        <w:tc>
          <w:tcPr>
            <w:tcW w:w="765" w:type="dxa"/>
            <w:tcBorders>
              <w:top w:val="double" w:sz="4" w:space="0" w:color="auto"/>
              <w:bottom w:val="single" w:sz="4" w:space="0" w:color="auto"/>
            </w:tcBorders>
          </w:tcPr>
          <w:p w:rsidR="00FC6B61" w:rsidRDefault="00E26663">
            <w:pPr>
              <w:rPr>
                <w:rFonts w:ascii="Arial" w:hAnsi="Arial" w:cs="Arial"/>
                <w:sz w:val="20"/>
                <w:szCs w:val="20"/>
              </w:rPr>
            </w:pPr>
            <w:r>
              <w:rPr>
                <w:rFonts w:ascii="Arial" w:hAnsi="Arial" w:cs="Arial"/>
                <w:sz w:val="20"/>
                <w:szCs w:val="20"/>
              </w:rPr>
              <w:t>No.</w:t>
            </w:r>
          </w:p>
          <w:p w:rsidR="00FC6B61" w:rsidRDefault="00FC6B61">
            <w:pPr>
              <w:jc w:val="center"/>
              <w:rPr>
                <w:rFonts w:ascii="Arial" w:hAnsi="Arial" w:cs="Arial"/>
                <w:sz w:val="20"/>
                <w:szCs w:val="20"/>
              </w:rPr>
            </w:pPr>
          </w:p>
        </w:tc>
        <w:tc>
          <w:tcPr>
            <w:tcW w:w="4565" w:type="dxa"/>
            <w:tcBorders>
              <w:top w:val="double" w:sz="4" w:space="0" w:color="auto"/>
              <w:bottom w:val="single" w:sz="4" w:space="0" w:color="auto"/>
            </w:tcBorders>
          </w:tcPr>
          <w:p w:rsidR="00FC6B61" w:rsidRDefault="00E26663">
            <w:pPr>
              <w:jc w:val="center"/>
              <w:rPr>
                <w:rFonts w:ascii="Arial" w:hAnsi="Arial" w:cs="Arial"/>
                <w:sz w:val="20"/>
                <w:szCs w:val="20"/>
              </w:rPr>
            </w:pPr>
            <w:r>
              <w:rPr>
                <w:rFonts w:ascii="Arial" w:hAnsi="Arial" w:cs="Arial"/>
                <w:sz w:val="20"/>
                <w:szCs w:val="20"/>
              </w:rPr>
              <w:t>Domains</w:t>
            </w:r>
          </w:p>
        </w:tc>
        <w:tc>
          <w:tcPr>
            <w:tcW w:w="948" w:type="dxa"/>
            <w:tcBorders>
              <w:top w:val="double" w:sz="4" w:space="0" w:color="auto"/>
              <w:bottom w:val="single" w:sz="4" w:space="0" w:color="auto"/>
            </w:tcBorders>
          </w:tcPr>
          <w:p w:rsidR="00FC6B61" w:rsidRDefault="00E26663">
            <w:pPr>
              <w:contextualSpacing/>
              <w:jc w:val="center"/>
              <w:rPr>
                <w:rFonts w:ascii="Arial" w:hAnsi="Arial" w:cs="Arial"/>
                <w:sz w:val="20"/>
                <w:szCs w:val="20"/>
                <w:lang w:eastAsia="en-PH"/>
              </w:rPr>
            </w:pPr>
            <w:r>
              <w:rPr>
                <w:rFonts w:ascii="Arial" w:hAnsi="Arial" w:cs="Arial"/>
                <w:sz w:val="20"/>
                <w:szCs w:val="20"/>
                <w:lang w:eastAsia="en-PH"/>
              </w:rPr>
              <w:t>Mean</w:t>
            </w:r>
          </w:p>
          <w:p w:rsidR="00FC6B61" w:rsidRDefault="00E26663">
            <w:pPr>
              <w:contextualSpacing/>
              <w:jc w:val="center"/>
              <w:rPr>
                <w:rFonts w:ascii="Arial" w:hAnsi="Arial" w:cs="Arial"/>
                <w:sz w:val="20"/>
                <w:szCs w:val="20"/>
              </w:rPr>
            </w:pPr>
            <w:r>
              <w:rPr>
                <w:rFonts w:ascii="Arial" w:hAnsi="Arial" w:cs="Arial"/>
                <w:sz w:val="20"/>
                <w:szCs w:val="20"/>
                <w:lang w:eastAsia="en-PH"/>
              </w:rPr>
              <w:t>(</w:t>
            </w:r>
            <w:r>
              <w:rPr>
                <w:rFonts w:ascii="Arial" w:hAnsi="Arial" w:cs="Arial"/>
                <w:sz w:val="20"/>
                <w:szCs w:val="20"/>
                <w:lang w:eastAsia="en-PH"/>
              </w:rPr>
              <w:fldChar w:fldCharType="begin"/>
            </w:r>
            <w:r>
              <w:rPr>
                <w:rFonts w:ascii="Arial" w:hAnsi="Arial" w:cs="Arial"/>
                <w:sz w:val="20"/>
                <w:szCs w:val="20"/>
                <w:lang w:eastAsia="en-PH"/>
              </w:rPr>
              <w:instrText xml:space="preserve"> QUOTE </w:instrText>
            </w:r>
            <w:r w:rsidR="00DC7526">
              <w:rPr>
                <w:rFonts w:ascii="Arial" w:hAnsi="Arial" w:cs="Arial"/>
                <w:noProof/>
                <w:position w:val="-9"/>
                <w:sz w:val="20"/>
                <w:szCs w:val="20"/>
              </w:rPr>
              <w:pict>
                <v:shape id="Picture 3" o:spid="_x0000_i1027" type="#_x0000_t75" alt="" style="width:5.9pt;height:15.6pt;mso-wrap-style:square;mso-width-percent:0;mso-height-percent:0;mso-position-horizontal-relative:page;mso-position-vertical-relative:page;mso-width-percent:0;mso-height-percent:0" equationxml="&lt;">
                  <v:imagedata r:id="rId8" o:title="" chromakey="white"/>
                </v:shape>
              </w:pict>
            </w:r>
            <w:r>
              <w:rPr>
                <w:rFonts w:ascii="Arial" w:hAnsi="Arial" w:cs="Arial"/>
                <w:sz w:val="20"/>
                <w:szCs w:val="20"/>
                <w:lang w:eastAsia="en-PH"/>
              </w:rPr>
              <w:fldChar w:fldCharType="separate"/>
            </w:r>
            <w:r w:rsidR="00DC7526">
              <w:rPr>
                <w:rFonts w:ascii="Arial" w:hAnsi="Arial" w:cs="Arial"/>
                <w:noProof/>
                <w:position w:val="-9"/>
                <w:sz w:val="20"/>
                <w:szCs w:val="20"/>
              </w:rPr>
              <w:pict>
                <v:shape id="Picture 4" o:spid="_x0000_i1028" type="#_x0000_t75" alt="" style="width:5.9pt;height:15.6pt;mso-wrap-style:square;mso-width-percent:0;mso-height-percent:0;mso-position-horizontal-relative:page;mso-position-vertical-relative:page;mso-width-percent:0;mso-height-percent:0" equationxml="&lt;">
                  <v:imagedata r:id="rId8" o:title="" chromakey="white"/>
                </v:shape>
              </w:pict>
            </w:r>
            <w:r>
              <w:rPr>
                <w:rFonts w:ascii="Arial" w:hAnsi="Arial" w:cs="Arial"/>
                <w:sz w:val="20"/>
                <w:szCs w:val="20"/>
                <w:lang w:eastAsia="en-PH"/>
              </w:rPr>
              <w:fldChar w:fldCharType="end"/>
            </w:r>
            <w:r>
              <w:rPr>
                <w:rFonts w:ascii="Arial" w:hAnsi="Arial" w:cs="Arial"/>
                <w:sz w:val="20"/>
                <w:szCs w:val="20"/>
                <w:lang w:eastAsia="en-PH"/>
              </w:rPr>
              <w:t>)</w:t>
            </w:r>
          </w:p>
        </w:tc>
        <w:tc>
          <w:tcPr>
            <w:tcW w:w="1732" w:type="dxa"/>
            <w:tcBorders>
              <w:top w:val="double" w:sz="4" w:space="0" w:color="auto"/>
              <w:bottom w:val="single" w:sz="4" w:space="0" w:color="auto"/>
            </w:tcBorders>
          </w:tcPr>
          <w:p w:rsidR="00FC6B61" w:rsidRDefault="00E26663">
            <w:pPr>
              <w:jc w:val="center"/>
              <w:rPr>
                <w:rFonts w:ascii="Arial" w:hAnsi="Arial" w:cs="Arial"/>
                <w:sz w:val="20"/>
                <w:szCs w:val="20"/>
              </w:rPr>
            </w:pPr>
            <w:r>
              <w:rPr>
                <w:rFonts w:ascii="Arial" w:hAnsi="Arial" w:cs="Arial"/>
                <w:sz w:val="20"/>
                <w:szCs w:val="20"/>
              </w:rPr>
              <w:t>Descriptive Equivalent</w:t>
            </w:r>
          </w:p>
        </w:tc>
      </w:tr>
      <w:tr w:rsidR="00FC6B61">
        <w:trPr>
          <w:trHeight w:val="242"/>
        </w:trPr>
        <w:tc>
          <w:tcPr>
            <w:tcW w:w="765" w:type="dxa"/>
            <w:tcBorders>
              <w:top w:val="single" w:sz="4" w:space="0" w:color="auto"/>
              <w:bottom w:val="nil"/>
            </w:tcBorders>
          </w:tcPr>
          <w:p w:rsidR="00FC6B61" w:rsidRDefault="00E26663">
            <w:pPr>
              <w:jc w:val="center"/>
              <w:rPr>
                <w:rFonts w:ascii="Arial" w:hAnsi="Arial" w:cs="Arial"/>
                <w:sz w:val="20"/>
                <w:szCs w:val="20"/>
              </w:rPr>
            </w:pPr>
            <w:r>
              <w:rPr>
                <w:rFonts w:ascii="Arial" w:hAnsi="Arial" w:cs="Arial"/>
                <w:sz w:val="20"/>
                <w:szCs w:val="20"/>
              </w:rPr>
              <w:t>1</w:t>
            </w:r>
          </w:p>
        </w:tc>
        <w:tc>
          <w:tcPr>
            <w:tcW w:w="4565" w:type="dxa"/>
            <w:tcBorders>
              <w:top w:val="single" w:sz="4" w:space="0" w:color="auto"/>
              <w:bottom w:val="nil"/>
            </w:tcBorders>
          </w:tcPr>
          <w:p w:rsidR="00FC6B61" w:rsidRDefault="00E26663">
            <w:pPr>
              <w:tabs>
                <w:tab w:val="left" w:pos="720"/>
              </w:tabs>
              <w:rPr>
                <w:rFonts w:ascii="Arial" w:hAnsi="Arial" w:cs="Arial"/>
                <w:sz w:val="20"/>
                <w:szCs w:val="20"/>
              </w:rPr>
            </w:pPr>
            <w:r>
              <w:rPr>
                <w:rFonts w:ascii="Arial" w:hAnsi="Arial" w:cs="Arial"/>
                <w:sz w:val="20"/>
                <w:szCs w:val="20"/>
                <w:lang w:val="en-US"/>
              </w:rPr>
              <w:t>digital competency</w:t>
            </w:r>
          </w:p>
        </w:tc>
        <w:tc>
          <w:tcPr>
            <w:tcW w:w="948" w:type="dxa"/>
            <w:tcBorders>
              <w:top w:val="single" w:sz="4" w:space="0" w:color="auto"/>
              <w:bottom w:val="nil"/>
            </w:tcBorders>
            <w:vAlign w:val="center"/>
          </w:tcPr>
          <w:p w:rsidR="00FC6B61" w:rsidRDefault="00E26663">
            <w:pPr>
              <w:pStyle w:val="TableContents"/>
              <w:snapToGrid w:val="0"/>
              <w:jc w:val="center"/>
              <w:rPr>
                <w:rFonts w:ascii="Arial" w:hAnsi="Arial" w:cs="Arial"/>
                <w:sz w:val="20"/>
                <w:szCs w:val="20"/>
              </w:rPr>
            </w:pPr>
            <w:r>
              <w:rPr>
                <w:rFonts w:ascii="Arial" w:hAnsi="Arial" w:cs="Arial"/>
                <w:sz w:val="20"/>
                <w:szCs w:val="20"/>
              </w:rPr>
              <w:t>3.40</w:t>
            </w:r>
          </w:p>
        </w:tc>
        <w:tc>
          <w:tcPr>
            <w:tcW w:w="1732" w:type="dxa"/>
            <w:tcBorders>
              <w:top w:val="single" w:sz="4" w:space="0" w:color="auto"/>
              <w:bottom w:val="nil"/>
            </w:tcBorders>
            <w:vAlign w:val="center"/>
          </w:tcPr>
          <w:p w:rsidR="00FC6B61" w:rsidRDefault="00E26663">
            <w:pPr>
              <w:jc w:val="center"/>
              <w:rPr>
                <w:rFonts w:ascii="Arial" w:hAnsi="Arial" w:cs="Arial"/>
                <w:sz w:val="20"/>
                <w:szCs w:val="20"/>
              </w:rPr>
            </w:pPr>
            <w:r>
              <w:rPr>
                <w:rFonts w:ascii="Arial" w:hAnsi="Arial" w:cs="Arial"/>
                <w:sz w:val="20"/>
                <w:szCs w:val="20"/>
              </w:rPr>
              <w:t xml:space="preserve"> Moderate</w:t>
            </w:r>
          </w:p>
        </w:tc>
      </w:tr>
      <w:tr w:rsidR="00FC6B61">
        <w:trPr>
          <w:trHeight w:val="278"/>
        </w:trPr>
        <w:tc>
          <w:tcPr>
            <w:tcW w:w="765" w:type="dxa"/>
          </w:tcPr>
          <w:p w:rsidR="00FC6B61" w:rsidRDefault="00E26663">
            <w:pPr>
              <w:jc w:val="center"/>
              <w:rPr>
                <w:rFonts w:ascii="Arial" w:hAnsi="Arial" w:cs="Arial"/>
                <w:sz w:val="20"/>
                <w:szCs w:val="20"/>
              </w:rPr>
            </w:pPr>
            <w:r>
              <w:rPr>
                <w:rFonts w:ascii="Arial" w:hAnsi="Arial" w:cs="Arial"/>
                <w:sz w:val="20"/>
                <w:szCs w:val="20"/>
              </w:rPr>
              <w:t>2</w:t>
            </w:r>
          </w:p>
        </w:tc>
        <w:tc>
          <w:tcPr>
            <w:tcW w:w="4565" w:type="dxa"/>
          </w:tcPr>
          <w:p w:rsidR="00FC6B61" w:rsidRDefault="00E26663">
            <w:pPr>
              <w:tabs>
                <w:tab w:val="left" w:pos="720"/>
              </w:tabs>
              <w:rPr>
                <w:rFonts w:ascii="Arial" w:hAnsi="Arial" w:cs="Arial"/>
                <w:sz w:val="20"/>
                <w:szCs w:val="20"/>
              </w:rPr>
            </w:pPr>
            <w:r>
              <w:rPr>
                <w:rFonts w:ascii="Arial" w:hAnsi="Arial" w:cs="Arial"/>
                <w:sz w:val="20"/>
                <w:szCs w:val="20"/>
                <w:lang w:val="en-US"/>
              </w:rPr>
              <w:t>instruction digital literacy</w:t>
            </w:r>
          </w:p>
        </w:tc>
        <w:tc>
          <w:tcPr>
            <w:tcW w:w="948" w:type="dxa"/>
            <w:vAlign w:val="center"/>
          </w:tcPr>
          <w:p w:rsidR="00FC6B61" w:rsidRDefault="00E26663">
            <w:pPr>
              <w:pStyle w:val="TableContents"/>
              <w:snapToGrid w:val="0"/>
              <w:jc w:val="center"/>
              <w:rPr>
                <w:rFonts w:ascii="Arial" w:hAnsi="Arial" w:cs="Arial"/>
                <w:sz w:val="20"/>
                <w:szCs w:val="20"/>
              </w:rPr>
            </w:pPr>
            <w:r>
              <w:rPr>
                <w:rFonts w:ascii="Arial" w:hAnsi="Arial" w:cs="Arial"/>
                <w:sz w:val="20"/>
                <w:szCs w:val="20"/>
              </w:rPr>
              <w:t>2.90</w:t>
            </w:r>
          </w:p>
        </w:tc>
        <w:tc>
          <w:tcPr>
            <w:tcW w:w="1732" w:type="dxa"/>
            <w:vAlign w:val="center"/>
          </w:tcPr>
          <w:p w:rsidR="00FC6B61" w:rsidRDefault="00E26663">
            <w:pPr>
              <w:jc w:val="center"/>
              <w:rPr>
                <w:rFonts w:ascii="Arial" w:hAnsi="Arial" w:cs="Arial"/>
                <w:sz w:val="20"/>
                <w:szCs w:val="20"/>
              </w:rPr>
            </w:pPr>
            <w:r>
              <w:rPr>
                <w:rFonts w:ascii="Arial" w:hAnsi="Arial" w:cs="Arial"/>
                <w:sz w:val="20"/>
                <w:szCs w:val="20"/>
              </w:rPr>
              <w:t>Moderate</w:t>
            </w:r>
          </w:p>
        </w:tc>
      </w:tr>
      <w:tr w:rsidR="00FC6B61">
        <w:trPr>
          <w:trHeight w:val="278"/>
        </w:trPr>
        <w:tc>
          <w:tcPr>
            <w:tcW w:w="765" w:type="dxa"/>
          </w:tcPr>
          <w:p w:rsidR="00FC6B61" w:rsidRDefault="00E26663">
            <w:pPr>
              <w:jc w:val="center"/>
              <w:rPr>
                <w:rFonts w:ascii="Arial" w:hAnsi="Arial" w:cs="Arial"/>
                <w:sz w:val="20"/>
                <w:szCs w:val="20"/>
              </w:rPr>
            </w:pPr>
            <w:r>
              <w:rPr>
                <w:rFonts w:ascii="Arial" w:hAnsi="Arial" w:cs="Arial"/>
                <w:sz w:val="20"/>
                <w:szCs w:val="20"/>
              </w:rPr>
              <w:t>3</w:t>
            </w:r>
          </w:p>
        </w:tc>
        <w:tc>
          <w:tcPr>
            <w:tcW w:w="4565" w:type="dxa"/>
          </w:tcPr>
          <w:p w:rsidR="00FC6B61" w:rsidRDefault="00E26663">
            <w:pPr>
              <w:tabs>
                <w:tab w:val="left" w:pos="720"/>
              </w:tabs>
              <w:rPr>
                <w:rFonts w:ascii="Arial" w:hAnsi="Arial" w:cs="Arial"/>
                <w:sz w:val="20"/>
                <w:szCs w:val="20"/>
              </w:rPr>
            </w:pPr>
            <w:r>
              <w:rPr>
                <w:rFonts w:ascii="Arial" w:hAnsi="Arial" w:cs="Arial"/>
                <w:sz w:val="20"/>
                <w:szCs w:val="20"/>
                <w:lang w:val="en-US"/>
              </w:rPr>
              <w:t>instruction strategies</w:t>
            </w:r>
          </w:p>
        </w:tc>
        <w:tc>
          <w:tcPr>
            <w:tcW w:w="948" w:type="dxa"/>
            <w:vAlign w:val="center"/>
          </w:tcPr>
          <w:p w:rsidR="00FC6B61" w:rsidRDefault="00E26663">
            <w:pPr>
              <w:pStyle w:val="NoSpacing"/>
              <w:jc w:val="center"/>
              <w:rPr>
                <w:rFonts w:ascii="Arial" w:hAnsi="Arial" w:cs="Arial"/>
                <w:sz w:val="20"/>
                <w:szCs w:val="20"/>
              </w:rPr>
            </w:pPr>
            <w:r>
              <w:rPr>
                <w:rFonts w:ascii="Arial" w:hAnsi="Arial" w:cs="Arial"/>
                <w:sz w:val="20"/>
                <w:szCs w:val="20"/>
              </w:rPr>
              <w:t>3.71</w:t>
            </w:r>
          </w:p>
        </w:tc>
        <w:tc>
          <w:tcPr>
            <w:tcW w:w="1732" w:type="dxa"/>
            <w:vAlign w:val="center"/>
          </w:tcPr>
          <w:p w:rsidR="00FC6B61" w:rsidRDefault="00E26663">
            <w:pPr>
              <w:jc w:val="center"/>
              <w:rPr>
                <w:rFonts w:ascii="Arial" w:hAnsi="Arial" w:cs="Arial"/>
                <w:sz w:val="20"/>
                <w:szCs w:val="20"/>
              </w:rPr>
            </w:pPr>
            <w:r>
              <w:rPr>
                <w:rFonts w:ascii="Arial" w:hAnsi="Arial" w:cs="Arial"/>
                <w:sz w:val="20"/>
                <w:szCs w:val="20"/>
              </w:rPr>
              <w:t>High</w:t>
            </w:r>
          </w:p>
        </w:tc>
      </w:tr>
      <w:tr w:rsidR="00FC6B61">
        <w:trPr>
          <w:trHeight w:val="278"/>
        </w:trPr>
        <w:tc>
          <w:tcPr>
            <w:tcW w:w="765" w:type="dxa"/>
          </w:tcPr>
          <w:p w:rsidR="00FC6B61" w:rsidRDefault="00E26663">
            <w:pPr>
              <w:jc w:val="center"/>
              <w:rPr>
                <w:rFonts w:ascii="Arial" w:hAnsi="Arial" w:cs="Arial"/>
                <w:sz w:val="20"/>
                <w:szCs w:val="20"/>
              </w:rPr>
            </w:pPr>
            <w:r>
              <w:rPr>
                <w:rFonts w:ascii="Arial" w:hAnsi="Arial" w:cs="Arial"/>
                <w:sz w:val="20"/>
                <w:szCs w:val="20"/>
              </w:rPr>
              <w:t>4</w:t>
            </w:r>
          </w:p>
        </w:tc>
        <w:tc>
          <w:tcPr>
            <w:tcW w:w="4565" w:type="dxa"/>
          </w:tcPr>
          <w:p w:rsidR="00FC6B61" w:rsidRDefault="00E26663">
            <w:pPr>
              <w:tabs>
                <w:tab w:val="left" w:pos="720"/>
              </w:tabs>
              <w:rPr>
                <w:rFonts w:ascii="Arial" w:hAnsi="Arial" w:cs="Arial"/>
                <w:sz w:val="20"/>
                <w:szCs w:val="20"/>
              </w:rPr>
            </w:pPr>
            <w:r>
              <w:rPr>
                <w:rFonts w:ascii="Arial" w:hAnsi="Arial" w:cs="Arial"/>
                <w:sz w:val="20"/>
                <w:szCs w:val="20"/>
                <w:lang w:val="en-US"/>
              </w:rPr>
              <w:t xml:space="preserve">willingness </w:t>
            </w:r>
          </w:p>
        </w:tc>
        <w:tc>
          <w:tcPr>
            <w:tcW w:w="948" w:type="dxa"/>
            <w:vAlign w:val="center"/>
          </w:tcPr>
          <w:p w:rsidR="00FC6B61" w:rsidRDefault="00E26663">
            <w:pPr>
              <w:pStyle w:val="NoSpacing"/>
              <w:jc w:val="center"/>
              <w:rPr>
                <w:rFonts w:ascii="Arial" w:hAnsi="Arial" w:cs="Arial"/>
                <w:sz w:val="20"/>
                <w:szCs w:val="20"/>
              </w:rPr>
            </w:pPr>
            <w:r>
              <w:rPr>
                <w:rFonts w:ascii="Arial" w:hAnsi="Arial" w:cs="Arial"/>
                <w:sz w:val="20"/>
                <w:szCs w:val="20"/>
              </w:rPr>
              <w:t>3.22</w:t>
            </w:r>
          </w:p>
        </w:tc>
        <w:tc>
          <w:tcPr>
            <w:tcW w:w="1732" w:type="dxa"/>
            <w:vAlign w:val="center"/>
          </w:tcPr>
          <w:p w:rsidR="00FC6B61" w:rsidRDefault="00E26663">
            <w:pPr>
              <w:jc w:val="center"/>
              <w:rPr>
                <w:rFonts w:ascii="Arial" w:hAnsi="Arial" w:cs="Arial"/>
                <w:sz w:val="20"/>
                <w:szCs w:val="20"/>
              </w:rPr>
            </w:pPr>
            <w:r>
              <w:rPr>
                <w:rFonts w:ascii="Arial" w:hAnsi="Arial" w:cs="Arial"/>
                <w:sz w:val="20"/>
                <w:szCs w:val="20"/>
              </w:rPr>
              <w:t>Moderate</w:t>
            </w:r>
          </w:p>
        </w:tc>
      </w:tr>
      <w:tr w:rsidR="00FC6B61">
        <w:trPr>
          <w:trHeight w:val="278"/>
        </w:trPr>
        <w:tc>
          <w:tcPr>
            <w:tcW w:w="765" w:type="dxa"/>
          </w:tcPr>
          <w:p w:rsidR="00FC6B61" w:rsidRDefault="00E26663">
            <w:pPr>
              <w:jc w:val="center"/>
              <w:rPr>
                <w:rFonts w:ascii="Arial" w:hAnsi="Arial" w:cs="Arial"/>
                <w:sz w:val="20"/>
                <w:szCs w:val="20"/>
              </w:rPr>
            </w:pPr>
            <w:r>
              <w:rPr>
                <w:rFonts w:ascii="Arial" w:hAnsi="Arial" w:cs="Arial"/>
                <w:sz w:val="20"/>
                <w:szCs w:val="20"/>
              </w:rPr>
              <w:t>5</w:t>
            </w:r>
          </w:p>
        </w:tc>
        <w:tc>
          <w:tcPr>
            <w:tcW w:w="4565" w:type="dxa"/>
          </w:tcPr>
          <w:p w:rsidR="00FC6B61" w:rsidRDefault="00E26663">
            <w:pPr>
              <w:tabs>
                <w:tab w:val="left" w:pos="720"/>
              </w:tabs>
              <w:rPr>
                <w:rFonts w:ascii="Arial" w:hAnsi="Arial" w:cs="Arial"/>
                <w:sz w:val="20"/>
                <w:szCs w:val="20"/>
              </w:rPr>
            </w:pPr>
            <w:r>
              <w:rPr>
                <w:rFonts w:ascii="Arial" w:hAnsi="Arial" w:cs="Arial"/>
                <w:sz w:val="20"/>
                <w:szCs w:val="20"/>
              </w:rPr>
              <w:t>C</w:t>
            </w:r>
            <w:r>
              <w:rPr>
                <w:rFonts w:ascii="Arial" w:hAnsi="Arial" w:cs="Arial"/>
                <w:sz w:val="20"/>
                <w:szCs w:val="20"/>
                <w:lang w:val="en-US"/>
              </w:rPr>
              <w:t>ommitment</w:t>
            </w:r>
          </w:p>
        </w:tc>
        <w:tc>
          <w:tcPr>
            <w:tcW w:w="948" w:type="dxa"/>
            <w:vAlign w:val="center"/>
          </w:tcPr>
          <w:p w:rsidR="00FC6B61" w:rsidRDefault="00E26663">
            <w:pPr>
              <w:pStyle w:val="NoSpacing"/>
              <w:jc w:val="center"/>
              <w:rPr>
                <w:rFonts w:ascii="Arial" w:hAnsi="Arial" w:cs="Arial"/>
                <w:sz w:val="20"/>
                <w:szCs w:val="20"/>
              </w:rPr>
            </w:pPr>
            <w:r>
              <w:rPr>
                <w:rFonts w:ascii="Arial" w:hAnsi="Arial" w:cs="Arial"/>
                <w:sz w:val="20"/>
                <w:szCs w:val="20"/>
              </w:rPr>
              <w:t>3.71</w:t>
            </w:r>
          </w:p>
        </w:tc>
        <w:tc>
          <w:tcPr>
            <w:tcW w:w="1732" w:type="dxa"/>
            <w:vAlign w:val="center"/>
          </w:tcPr>
          <w:p w:rsidR="00FC6B61" w:rsidRDefault="00E26663">
            <w:pPr>
              <w:jc w:val="center"/>
              <w:rPr>
                <w:rFonts w:ascii="Arial" w:hAnsi="Arial" w:cs="Arial"/>
                <w:sz w:val="20"/>
                <w:szCs w:val="20"/>
              </w:rPr>
            </w:pPr>
            <w:r>
              <w:rPr>
                <w:rFonts w:ascii="Arial" w:hAnsi="Arial" w:cs="Arial"/>
                <w:sz w:val="20"/>
                <w:szCs w:val="20"/>
              </w:rPr>
              <w:t>High</w:t>
            </w:r>
          </w:p>
        </w:tc>
      </w:tr>
      <w:tr w:rsidR="00FC6B61">
        <w:trPr>
          <w:trHeight w:val="193"/>
        </w:trPr>
        <w:tc>
          <w:tcPr>
            <w:tcW w:w="5330" w:type="dxa"/>
            <w:gridSpan w:val="2"/>
            <w:tcBorders>
              <w:bottom w:val="double" w:sz="4" w:space="0" w:color="auto"/>
            </w:tcBorders>
          </w:tcPr>
          <w:p w:rsidR="00FC6B61" w:rsidRDefault="00E26663">
            <w:pPr>
              <w:jc w:val="center"/>
              <w:rPr>
                <w:rFonts w:ascii="Arial" w:hAnsi="Arial" w:cs="Arial"/>
                <w:b/>
                <w:bCs/>
                <w:sz w:val="20"/>
                <w:szCs w:val="20"/>
              </w:rPr>
            </w:pPr>
            <w:r>
              <w:rPr>
                <w:rFonts w:ascii="Arial" w:hAnsi="Arial" w:cs="Arial"/>
                <w:b/>
                <w:bCs/>
                <w:sz w:val="20"/>
                <w:szCs w:val="20"/>
              </w:rPr>
              <w:t>Overall</w:t>
            </w:r>
          </w:p>
        </w:tc>
        <w:tc>
          <w:tcPr>
            <w:tcW w:w="948" w:type="dxa"/>
            <w:tcBorders>
              <w:bottom w:val="double" w:sz="4" w:space="0" w:color="auto"/>
            </w:tcBorders>
          </w:tcPr>
          <w:p w:rsidR="00FC6B61" w:rsidRDefault="00E26663">
            <w:pPr>
              <w:pStyle w:val="TableContents"/>
              <w:snapToGrid w:val="0"/>
              <w:jc w:val="center"/>
              <w:rPr>
                <w:rFonts w:ascii="Arial" w:hAnsi="Arial" w:cs="Arial"/>
                <w:b/>
                <w:bCs/>
                <w:sz w:val="20"/>
                <w:szCs w:val="20"/>
              </w:rPr>
            </w:pPr>
            <w:r>
              <w:rPr>
                <w:rFonts w:ascii="Arial" w:hAnsi="Arial" w:cs="Arial"/>
                <w:b/>
                <w:bCs/>
                <w:sz w:val="20"/>
                <w:szCs w:val="20"/>
              </w:rPr>
              <w:t>3.31</w:t>
            </w:r>
          </w:p>
        </w:tc>
        <w:tc>
          <w:tcPr>
            <w:tcW w:w="1732" w:type="dxa"/>
            <w:tcBorders>
              <w:bottom w:val="double" w:sz="4" w:space="0" w:color="auto"/>
            </w:tcBorders>
            <w:vAlign w:val="center"/>
          </w:tcPr>
          <w:p w:rsidR="00FC6B61" w:rsidRDefault="00E26663">
            <w:pPr>
              <w:pStyle w:val="TableContents"/>
              <w:snapToGrid w:val="0"/>
              <w:jc w:val="center"/>
              <w:rPr>
                <w:rFonts w:ascii="Arial" w:hAnsi="Arial" w:cs="Arial"/>
                <w:b/>
                <w:bCs/>
                <w:sz w:val="20"/>
                <w:szCs w:val="20"/>
              </w:rPr>
            </w:pPr>
            <w:r>
              <w:rPr>
                <w:rFonts w:ascii="Arial" w:hAnsi="Arial" w:cs="Arial"/>
                <w:b/>
                <w:bCs/>
                <w:sz w:val="20"/>
                <w:szCs w:val="20"/>
              </w:rPr>
              <w:t>Moderate</w:t>
            </w:r>
          </w:p>
        </w:tc>
      </w:tr>
      <w:tr w:rsidR="00FC6B61">
        <w:trPr>
          <w:trHeight w:val="115"/>
        </w:trPr>
        <w:tc>
          <w:tcPr>
            <w:tcW w:w="5330" w:type="dxa"/>
            <w:gridSpan w:val="2"/>
            <w:tcBorders>
              <w:top w:val="double" w:sz="4" w:space="0" w:color="auto"/>
            </w:tcBorders>
          </w:tcPr>
          <w:p w:rsidR="00FC6B61" w:rsidRDefault="00FC6B61">
            <w:pPr>
              <w:jc w:val="center"/>
              <w:rPr>
                <w:rFonts w:ascii="Arial" w:hAnsi="Arial" w:cs="Arial"/>
                <w:sz w:val="20"/>
                <w:szCs w:val="20"/>
              </w:rPr>
            </w:pPr>
          </w:p>
        </w:tc>
        <w:tc>
          <w:tcPr>
            <w:tcW w:w="948" w:type="dxa"/>
            <w:tcBorders>
              <w:top w:val="double" w:sz="4" w:space="0" w:color="auto"/>
            </w:tcBorders>
          </w:tcPr>
          <w:p w:rsidR="00FC6B61" w:rsidRDefault="00FC6B61">
            <w:pPr>
              <w:jc w:val="center"/>
              <w:rPr>
                <w:rFonts w:ascii="Arial" w:hAnsi="Arial" w:cs="Arial"/>
                <w:sz w:val="20"/>
                <w:szCs w:val="20"/>
              </w:rPr>
            </w:pPr>
          </w:p>
        </w:tc>
        <w:tc>
          <w:tcPr>
            <w:tcW w:w="1732" w:type="dxa"/>
            <w:tcBorders>
              <w:top w:val="double" w:sz="4" w:space="0" w:color="auto"/>
            </w:tcBorders>
          </w:tcPr>
          <w:p w:rsidR="00FC6B61" w:rsidRDefault="00FC6B61">
            <w:pPr>
              <w:jc w:val="center"/>
              <w:rPr>
                <w:rFonts w:ascii="Arial" w:hAnsi="Arial" w:cs="Arial"/>
                <w:sz w:val="20"/>
                <w:szCs w:val="20"/>
              </w:rPr>
            </w:pPr>
          </w:p>
        </w:tc>
      </w:tr>
    </w:tbl>
    <w:p w:rsidR="00FC6B61" w:rsidRDefault="00FC6B61">
      <w:pPr>
        <w:jc w:val="both"/>
        <w:rPr>
          <w:rFonts w:ascii="Arial" w:hAnsi="Arial" w:cs="Arial"/>
          <w:sz w:val="20"/>
          <w:szCs w:val="20"/>
        </w:rPr>
      </w:pPr>
    </w:p>
    <w:p w:rsidR="00FC6B61" w:rsidRDefault="00E26663">
      <w:pPr>
        <w:jc w:val="both"/>
        <w:rPr>
          <w:rFonts w:ascii="Arial" w:hAnsi="Arial" w:cs="Arial"/>
          <w:sz w:val="20"/>
          <w:szCs w:val="20"/>
        </w:rPr>
      </w:pPr>
      <w:r>
        <w:rPr>
          <w:rFonts w:ascii="Arial" w:hAnsi="Arial" w:cs="Arial"/>
          <w:sz w:val="20"/>
          <w:szCs w:val="20"/>
        </w:rPr>
        <w:t>Presented in Table 2 is the level of the erudition process in public elementary schools, based on teacher responses across five domains: digital competency, instructional digital literacy, instructional strategies, willingness, and commitment. The domains of instructional strategies and commitment both obtained the highest mean scores of 3.71, interpreted as high. This suggests that teachers consistently employ a variety of teaching strategies and exhibit strong dedication to the learning process, even amidst environmental and technological shifts. Digital competency, with a mean score of 3.40, was rated as moderate, indicating that while basic digital skills are present, there is room for further development. The domains of instructional digital literacy and willingness obtained mean scores of 2.90 and 3.22, respectively, both falling within the moderate range. These results imply that while teachers are moderately willing to adopt new learning technologies, their ability to effectively integrate digital tools into instruction remains an area of concern.</w:t>
      </w:r>
    </w:p>
    <w:p w:rsidR="00FC6B61" w:rsidRDefault="00FC6B61">
      <w:pPr>
        <w:jc w:val="both"/>
        <w:rPr>
          <w:rFonts w:ascii="Arial" w:hAnsi="Arial" w:cs="Arial"/>
          <w:sz w:val="20"/>
          <w:szCs w:val="20"/>
        </w:rPr>
      </w:pPr>
    </w:p>
    <w:p w:rsidR="00FC6B61" w:rsidRDefault="00E26663">
      <w:pPr>
        <w:jc w:val="both"/>
        <w:rPr>
          <w:rFonts w:ascii="Arial" w:hAnsi="Arial" w:cs="Arial"/>
          <w:sz w:val="20"/>
          <w:szCs w:val="20"/>
        </w:rPr>
      </w:pPr>
      <w:r>
        <w:rPr>
          <w:rFonts w:ascii="Arial" w:hAnsi="Arial" w:cs="Arial"/>
          <w:sz w:val="20"/>
          <w:szCs w:val="20"/>
        </w:rPr>
        <w:t xml:space="preserve">The overall mean score of 3.31 indicates a moderate level of erudition process in public elementary schools. This finding suggests that although commitment and strategy use are </w:t>
      </w:r>
      <w:r>
        <w:rPr>
          <w:rFonts w:ascii="Arial" w:hAnsi="Arial" w:cs="Arial"/>
          <w:sz w:val="20"/>
          <w:szCs w:val="20"/>
        </w:rPr>
        <w:lastRenderedPageBreak/>
        <w:t>strong, gaps remain in digital fluency and engagement, which are essential to fully supporting sustainable, technology-enhanced learning.</w:t>
      </w:r>
    </w:p>
    <w:p w:rsidR="00FC6B61" w:rsidRDefault="00FC6B61">
      <w:pPr>
        <w:jc w:val="both"/>
        <w:rPr>
          <w:rFonts w:ascii="Arial" w:hAnsi="Arial" w:cs="Arial"/>
          <w:sz w:val="20"/>
          <w:szCs w:val="20"/>
        </w:rPr>
      </w:pPr>
    </w:p>
    <w:p w:rsidR="00FC6B61" w:rsidRDefault="00E26663">
      <w:pPr>
        <w:jc w:val="both"/>
        <w:rPr>
          <w:rFonts w:ascii="Arial" w:hAnsi="Arial" w:cs="Arial"/>
          <w:sz w:val="20"/>
          <w:szCs w:val="20"/>
        </w:rPr>
      </w:pPr>
      <w:r>
        <w:rPr>
          <w:rFonts w:ascii="Arial" w:hAnsi="Arial" w:cs="Arial"/>
          <w:sz w:val="20"/>
          <w:szCs w:val="20"/>
        </w:rPr>
        <w:t xml:space="preserve">This outcome aligns with the study of Purwinarti et al. (2025), which </w:t>
      </w:r>
      <w:proofErr w:type="spellStart"/>
      <w:r w:rsidR="00EB7B6F" w:rsidRPr="00FE5B7E">
        <w:rPr>
          <w:rFonts w:ascii="Arial" w:hAnsi="Arial" w:cs="Arial"/>
          <w:sz w:val="20"/>
          <w:szCs w:val="20"/>
          <w:highlight w:val="yellow"/>
        </w:rPr>
        <w:t>emphasi</w:t>
      </w:r>
      <w:r w:rsidR="00EB7B6F" w:rsidRPr="00FE5B7E">
        <w:rPr>
          <w:rFonts w:ascii="Arial" w:hAnsi="Arial" w:cs="Arial"/>
          <w:sz w:val="20"/>
          <w:szCs w:val="20"/>
          <w:highlight w:val="yellow"/>
        </w:rPr>
        <w:t>s</w:t>
      </w:r>
      <w:r w:rsidR="00EB7B6F" w:rsidRPr="00FE5B7E">
        <w:rPr>
          <w:rFonts w:ascii="Arial" w:hAnsi="Arial" w:cs="Arial"/>
          <w:sz w:val="20"/>
          <w:szCs w:val="20"/>
          <w:highlight w:val="yellow"/>
        </w:rPr>
        <w:t>ed</w:t>
      </w:r>
      <w:proofErr w:type="spellEnd"/>
      <w:r w:rsidR="00EB7B6F">
        <w:rPr>
          <w:rFonts w:ascii="Arial" w:hAnsi="Arial" w:cs="Arial"/>
          <w:sz w:val="20"/>
          <w:szCs w:val="20"/>
        </w:rPr>
        <w:t xml:space="preserve"> </w:t>
      </w:r>
      <w:r>
        <w:rPr>
          <w:rFonts w:ascii="Arial" w:hAnsi="Arial" w:cs="Arial"/>
          <w:sz w:val="20"/>
          <w:szCs w:val="20"/>
        </w:rPr>
        <w:t>the importance of strengthening digital pedagogy in foundational education. Likewise, Kormos (2024) found that while public elementary teachers demonstrate strong pedagogical commitment, targeted training is still needed to bridge digital literacy gaps. Furthermore, Ma et al. (2021) concluded that sustained investment in teacher development programs can significantly improve the quality of erudition processes in response to global and technological demands.</w:t>
      </w:r>
    </w:p>
    <w:p w:rsidR="00FC6B61" w:rsidRDefault="00FC6B61">
      <w:pPr>
        <w:jc w:val="both"/>
        <w:rPr>
          <w:rFonts w:ascii="Arial" w:hAnsi="Arial" w:cs="Arial"/>
          <w:b/>
          <w:bCs/>
          <w:iCs/>
          <w:sz w:val="20"/>
          <w:szCs w:val="20"/>
        </w:rPr>
      </w:pPr>
    </w:p>
    <w:p w:rsidR="00FC6B61" w:rsidRDefault="00E26663">
      <w:pPr>
        <w:jc w:val="both"/>
        <w:rPr>
          <w:rFonts w:ascii="Arial" w:hAnsi="Arial" w:cs="Arial"/>
          <w:b/>
          <w:bCs/>
          <w:iCs/>
          <w:sz w:val="20"/>
          <w:szCs w:val="20"/>
        </w:rPr>
      </w:pPr>
      <w:r>
        <w:rPr>
          <w:rFonts w:ascii="Arial" w:hAnsi="Arial" w:cs="Arial"/>
          <w:b/>
          <w:bCs/>
          <w:iCs/>
          <w:sz w:val="20"/>
          <w:szCs w:val="20"/>
        </w:rPr>
        <w:t>3.3 Significant Relationship Between School Greening in Instruction and Erudition Process in Public Elementary Schools among Teachers</w:t>
      </w:r>
    </w:p>
    <w:p w:rsidR="00FC6B61" w:rsidRDefault="00FC6B61">
      <w:pPr>
        <w:jc w:val="both"/>
        <w:rPr>
          <w:rFonts w:ascii="Arial" w:hAnsi="Arial" w:cs="Arial"/>
          <w:b/>
          <w:bCs/>
          <w:iCs/>
          <w:sz w:val="20"/>
          <w:szCs w:val="20"/>
        </w:rPr>
      </w:pPr>
    </w:p>
    <w:p w:rsidR="00FC6B61" w:rsidRDefault="00E26663">
      <w:pPr>
        <w:jc w:val="both"/>
        <w:rPr>
          <w:rFonts w:ascii="Arial" w:hAnsi="Arial" w:cs="Arial"/>
          <w:i/>
          <w:sz w:val="20"/>
          <w:szCs w:val="20"/>
        </w:rPr>
      </w:pPr>
      <w:r>
        <w:rPr>
          <w:rFonts w:ascii="Arial" w:hAnsi="Arial" w:cs="Arial"/>
          <w:iCs/>
          <w:sz w:val="20"/>
          <w:szCs w:val="20"/>
        </w:rPr>
        <w:t xml:space="preserve">Table 3.  </w:t>
      </w:r>
      <w:r>
        <w:rPr>
          <w:rFonts w:ascii="Arial" w:hAnsi="Arial" w:cs="Arial"/>
          <w:i/>
          <w:sz w:val="20"/>
          <w:szCs w:val="20"/>
        </w:rPr>
        <w:t>Significant Relationship Between School Greening in Instruction and Erudition Process in Public Elementary Schools among Teachers</w:t>
      </w:r>
    </w:p>
    <w:p w:rsidR="00FC6B61" w:rsidRDefault="00FC6B61">
      <w:pPr>
        <w:jc w:val="both"/>
        <w:rPr>
          <w:rFonts w:ascii="Arial" w:hAnsi="Arial" w:cs="Arial"/>
          <w:iCs/>
          <w:sz w:val="20"/>
          <w:szCs w:val="20"/>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FC6B61">
        <w:trPr>
          <w:trHeight w:val="859"/>
        </w:trPr>
        <w:tc>
          <w:tcPr>
            <w:tcW w:w="1691" w:type="dxa"/>
            <w:tcBorders>
              <w:top w:val="single" w:sz="4" w:space="0" w:color="auto"/>
              <w:bottom w:val="single" w:sz="4" w:space="0" w:color="auto"/>
            </w:tcBorders>
          </w:tcPr>
          <w:p w:rsidR="00FC6B61" w:rsidRDefault="00E26663">
            <w:pPr>
              <w:jc w:val="center"/>
              <w:rPr>
                <w:rFonts w:ascii="Arial" w:hAnsi="Arial" w:cs="Arial"/>
                <w:b/>
                <w:sz w:val="20"/>
                <w:szCs w:val="20"/>
              </w:rPr>
            </w:pPr>
            <w:r>
              <w:rPr>
                <w:rFonts w:ascii="Arial" w:hAnsi="Arial" w:cs="Arial"/>
                <w:b/>
                <w:sz w:val="20"/>
                <w:szCs w:val="20"/>
              </w:rPr>
              <w:t>Independent Variable</w:t>
            </w:r>
          </w:p>
        </w:tc>
        <w:tc>
          <w:tcPr>
            <w:tcW w:w="1674" w:type="dxa"/>
            <w:tcBorders>
              <w:top w:val="single" w:sz="4" w:space="0" w:color="auto"/>
              <w:bottom w:val="single" w:sz="4" w:space="0" w:color="auto"/>
            </w:tcBorders>
          </w:tcPr>
          <w:p w:rsidR="00FC6B61" w:rsidRDefault="00E26663">
            <w:pPr>
              <w:jc w:val="center"/>
              <w:rPr>
                <w:rFonts w:ascii="Arial" w:hAnsi="Arial" w:cs="Arial"/>
                <w:b/>
                <w:sz w:val="20"/>
                <w:szCs w:val="20"/>
              </w:rPr>
            </w:pPr>
            <w:r>
              <w:rPr>
                <w:rFonts w:ascii="Arial" w:hAnsi="Arial" w:cs="Arial"/>
                <w:b/>
                <w:sz w:val="20"/>
                <w:szCs w:val="20"/>
              </w:rPr>
              <w:t>Dependent Variable</w:t>
            </w:r>
          </w:p>
        </w:tc>
        <w:tc>
          <w:tcPr>
            <w:tcW w:w="1233" w:type="dxa"/>
            <w:tcBorders>
              <w:top w:val="single" w:sz="4" w:space="0" w:color="auto"/>
              <w:bottom w:val="single" w:sz="4" w:space="0" w:color="auto"/>
            </w:tcBorders>
          </w:tcPr>
          <w:p w:rsidR="00FC6B61" w:rsidRDefault="00E26663">
            <w:pPr>
              <w:jc w:val="center"/>
              <w:rPr>
                <w:rFonts w:ascii="Arial" w:hAnsi="Arial" w:cs="Arial"/>
                <w:b/>
                <w:sz w:val="20"/>
                <w:szCs w:val="20"/>
              </w:rPr>
            </w:pPr>
            <w:proofErr w:type="spellStart"/>
            <w:r>
              <w:rPr>
                <w:rFonts w:ascii="Arial" w:hAnsi="Arial" w:cs="Arial"/>
                <w:b/>
                <w:sz w:val="20"/>
                <w:szCs w:val="20"/>
              </w:rPr>
              <w:t>r-values</w:t>
            </w:r>
            <w:proofErr w:type="spellEnd"/>
          </w:p>
        </w:tc>
        <w:tc>
          <w:tcPr>
            <w:tcW w:w="1409" w:type="dxa"/>
            <w:tcBorders>
              <w:top w:val="single" w:sz="4" w:space="0" w:color="auto"/>
              <w:bottom w:val="single" w:sz="4" w:space="0" w:color="auto"/>
            </w:tcBorders>
          </w:tcPr>
          <w:p w:rsidR="00FC6B61" w:rsidRDefault="00E26663">
            <w:pPr>
              <w:rPr>
                <w:rFonts w:ascii="Arial" w:hAnsi="Arial" w:cs="Arial"/>
                <w:b/>
                <w:sz w:val="20"/>
                <w:szCs w:val="20"/>
              </w:rPr>
            </w:pPr>
            <w:r>
              <w:rPr>
                <w:rFonts w:ascii="Arial" w:hAnsi="Arial" w:cs="Arial"/>
                <w:b/>
                <w:sz w:val="20"/>
                <w:szCs w:val="20"/>
              </w:rPr>
              <w:t>Degree of Correlation</w:t>
            </w:r>
          </w:p>
        </w:tc>
        <w:tc>
          <w:tcPr>
            <w:tcW w:w="1321" w:type="dxa"/>
            <w:tcBorders>
              <w:top w:val="single" w:sz="4" w:space="0" w:color="auto"/>
              <w:bottom w:val="single" w:sz="4" w:space="0" w:color="auto"/>
            </w:tcBorders>
          </w:tcPr>
          <w:p w:rsidR="00FC6B61" w:rsidRDefault="00E26663">
            <w:pPr>
              <w:jc w:val="center"/>
              <w:rPr>
                <w:rFonts w:ascii="Arial" w:hAnsi="Arial" w:cs="Arial"/>
                <w:b/>
                <w:sz w:val="20"/>
                <w:szCs w:val="20"/>
              </w:rPr>
            </w:pPr>
            <w:r>
              <w:rPr>
                <w:rFonts w:ascii="Arial" w:hAnsi="Arial" w:cs="Arial"/>
                <w:b/>
                <w:sz w:val="20"/>
                <w:szCs w:val="20"/>
              </w:rPr>
              <w:t>Computed p-value</w:t>
            </w:r>
          </w:p>
        </w:tc>
        <w:tc>
          <w:tcPr>
            <w:tcW w:w="1127" w:type="dxa"/>
            <w:tcBorders>
              <w:top w:val="single" w:sz="4" w:space="0" w:color="auto"/>
              <w:bottom w:val="single" w:sz="4" w:space="0" w:color="auto"/>
            </w:tcBorders>
          </w:tcPr>
          <w:p w:rsidR="00FC6B61" w:rsidRDefault="00E26663">
            <w:pPr>
              <w:jc w:val="center"/>
              <w:rPr>
                <w:rFonts w:ascii="Arial" w:hAnsi="Arial" w:cs="Arial"/>
                <w:b/>
                <w:sz w:val="20"/>
                <w:szCs w:val="20"/>
              </w:rPr>
            </w:pPr>
            <w:r>
              <w:rPr>
                <w:rFonts w:ascii="Arial" w:hAnsi="Arial" w:cs="Arial"/>
                <w:b/>
                <w:sz w:val="20"/>
                <w:szCs w:val="20"/>
              </w:rPr>
              <w:t>Decision</w:t>
            </w:r>
          </w:p>
        </w:tc>
      </w:tr>
      <w:tr w:rsidR="00FC6B61">
        <w:trPr>
          <w:trHeight w:val="173"/>
        </w:trPr>
        <w:tc>
          <w:tcPr>
            <w:tcW w:w="1691" w:type="dxa"/>
            <w:tcBorders>
              <w:top w:val="single" w:sz="4" w:space="0" w:color="auto"/>
            </w:tcBorders>
            <w:vAlign w:val="center"/>
          </w:tcPr>
          <w:p w:rsidR="00FC6B61" w:rsidRDefault="00E26663">
            <w:pPr>
              <w:jc w:val="center"/>
              <w:rPr>
                <w:rFonts w:ascii="Arial" w:hAnsi="Arial" w:cs="Arial"/>
                <w:b/>
                <w:sz w:val="20"/>
                <w:szCs w:val="20"/>
              </w:rPr>
            </w:pPr>
            <w:r>
              <w:rPr>
                <w:rFonts w:ascii="Arial" w:hAnsi="Arial" w:cs="Arial"/>
                <w:sz w:val="20"/>
                <w:szCs w:val="20"/>
              </w:rPr>
              <w:t>School Greening in Instruction (X)</w:t>
            </w:r>
          </w:p>
        </w:tc>
        <w:tc>
          <w:tcPr>
            <w:tcW w:w="1674" w:type="dxa"/>
            <w:tcBorders>
              <w:top w:val="single" w:sz="4" w:space="0" w:color="auto"/>
            </w:tcBorders>
            <w:vAlign w:val="center"/>
          </w:tcPr>
          <w:p w:rsidR="00FC6B61" w:rsidRDefault="00E26663">
            <w:pPr>
              <w:jc w:val="center"/>
              <w:rPr>
                <w:rFonts w:ascii="Arial" w:hAnsi="Arial" w:cs="Arial"/>
                <w:b/>
                <w:sz w:val="20"/>
                <w:szCs w:val="20"/>
              </w:rPr>
            </w:pPr>
            <w:r>
              <w:rPr>
                <w:rFonts w:ascii="Arial" w:hAnsi="Arial" w:cs="Arial"/>
                <w:sz w:val="20"/>
                <w:szCs w:val="20"/>
              </w:rPr>
              <w:t>Erudition Process (Y)</w:t>
            </w:r>
          </w:p>
        </w:tc>
        <w:tc>
          <w:tcPr>
            <w:tcW w:w="1233" w:type="dxa"/>
            <w:tcBorders>
              <w:top w:val="single" w:sz="4" w:space="0" w:color="auto"/>
            </w:tcBorders>
            <w:vAlign w:val="center"/>
          </w:tcPr>
          <w:p w:rsidR="00FC6B61" w:rsidRDefault="00E26663">
            <w:pPr>
              <w:jc w:val="center"/>
              <w:rPr>
                <w:rFonts w:ascii="Arial" w:hAnsi="Arial" w:cs="Arial"/>
                <w:sz w:val="20"/>
                <w:szCs w:val="20"/>
              </w:rPr>
            </w:pPr>
            <w:r>
              <w:rPr>
                <w:rFonts w:ascii="Arial" w:hAnsi="Arial" w:cs="Arial"/>
                <w:sz w:val="20"/>
                <w:szCs w:val="20"/>
              </w:rPr>
              <w:t>0.842</w:t>
            </w:r>
          </w:p>
        </w:tc>
        <w:tc>
          <w:tcPr>
            <w:tcW w:w="1409" w:type="dxa"/>
            <w:tcBorders>
              <w:top w:val="single" w:sz="4" w:space="0" w:color="auto"/>
            </w:tcBorders>
            <w:vAlign w:val="center"/>
          </w:tcPr>
          <w:p w:rsidR="00FC6B61" w:rsidRDefault="00E26663">
            <w:pPr>
              <w:jc w:val="center"/>
              <w:rPr>
                <w:rFonts w:ascii="Arial" w:hAnsi="Arial" w:cs="Arial"/>
                <w:sz w:val="20"/>
                <w:szCs w:val="20"/>
              </w:rPr>
            </w:pPr>
            <w:r>
              <w:rPr>
                <w:rFonts w:ascii="Arial" w:hAnsi="Arial" w:cs="Arial"/>
                <w:sz w:val="20"/>
                <w:szCs w:val="20"/>
              </w:rPr>
              <w:t>Very High Correlation</w:t>
            </w:r>
          </w:p>
        </w:tc>
        <w:tc>
          <w:tcPr>
            <w:tcW w:w="1321" w:type="dxa"/>
            <w:tcBorders>
              <w:top w:val="single" w:sz="4" w:space="0" w:color="auto"/>
            </w:tcBorders>
            <w:vAlign w:val="center"/>
          </w:tcPr>
          <w:p w:rsidR="00FC6B61" w:rsidRDefault="00E26663">
            <w:pPr>
              <w:jc w:val="center"/>
              <w:rPr>
                <w:rFonts w:ascii="Arial" w:hAnsi="Arial" w:cs="Arial"/>
                <w:sz w:val="20"/>
                <w:szCs w:val="20"/>
              </w:rPr>
            </w:pPr>
            <w:r>
              <w:rPr>
                <w:rFonts w:ascii="Arial" w:hAnsi="Arial" w:cs="Arial"/>
                <w:sz w:val="20"/>
                <w:szCs w:val="20"/>
              </w:rPr>
              <w:t>0.000</w:t>
            </w:r>
          </w:p>
        </w:tc>
        <w:tc>
          <w:tcPr>
            <w:tcW w:w="1127" w:type="dxa"/>
            <w:tcBorders>
              <w:top w:val="single" w:sz="4" w:space="0" w:color="auto"/>
            </w:tcBorders>
            <w:vAlign w:val="center"/>
          </w:tcPr>
          <w:p w:rsidR="00FC6B61" w:rsidRDefault="00E26663">
            <w:pPr>
              <w:rPr>
                <w:rFonts w:ascii="Arial" w:hAnsi="Arial" w:cs="Arial"/>
                <w:sz w:val="20"/>
                <w:szCs w:val="20"/>
              </w:rPr>
            </w:pPr>
            <w:r>
              <w:rPr>
                <w:rFonts w:ascii="Arial" w:hAnsi="Arial" w:cs="Arial"/>
                <w:sz w:val="20"/>
                <w:szCs w:val="20"/>
              </w:rPr>
              <w:t>Reject</w:t>
            </w:r>
          </w:p>
        </w:tc>
      </w:tr>
    </w:tbl>
    <w:p w:rsidR="00FC6B61" w:rsidRDefault="00FC6B61">
      <w:pPr>
        <w:jc w:val="both"/>
        <w:rPr>
          <w:rFonts w:ascii="Arial" w:hAnsi="Arial" w:cs="Arial"/>
          <w:sz w:val="20"/>
          <w:szCs w:val="20"/>
        </w:rPr>
      </w:pPr>
    </w:p>
    <w:p w:rsidR="00FC6B61" w:rsidRDefault="00E26663">
      <w:pPr>
        <w:jc w:val="both"/>
        <w:rPr>
          <w:rFonts w:ascii="Arial" w:hAnsi="Arial" w:cs="Arial"/>
          <w:sz w:val="20"/>
          <w:szCs w:val="20"/>
        </w:rPr>
      </w:pPr>
      <w:r>
        <w:rPr>
          <w:rFonts w:ascii="Arial" w:hAnsi="Arial" w:cs="Arial"/>
          <w:sz w:val="20"/>
          <w:szCs w:val="20"/>
        </w:rPr>
        <w:t>Presented in Table 3 is the correlation analysis between school greening in instruction and the erudition process among teachers in public secondary schools. The computed correlation coefficient (r) is 0.842, which indicates a very high degree of correlation between the two variables. The corresponding p-value is 0.000, which is less than the 0.05 level of significance. Based on these results, the null hypothesis is rejected, confirming that a statistically significant relationship exists between school greening in instruction and the erudition process. This finding suggests that enhanced greening practices in instruction—such as the integration of sustainable concepts, the use of green technologies, and environmentally responsive pedagogy—are closely associated with improved erudition processes. These include better instructional strategies, increased digital literacy, and stronger teacher commitment and engagement.</w:t>
      </w:r>
    </w:p>
    <w:p w:rsidR="00FC6B61" w:rsidRDefault="00FC6B61">
      <w:pPr>
        <w:jc w:val="both"/>
        <w:rPr>
          <w:rFonts w:ascii="Arial" w:hAnsi="Arial" w:cs="Arial"/>
          <w:sz w:val="20"/>
          <w:szCs w:val="20"/>
        </w:rPr>
      </w:pPr>
    </w:p>
    <w:p w:rsidR="00FC6B61" w:rsidRDefault="00E26663">
      <w:pPr>
        <w:jc w:val="both"/>
        <w:rPr>
          <w:rFonts w:ascii="Arial" w:hAnsi="Arial" w:cs="Arial"/>
          <w:bCs/>
          <w:iCs/>
          <w:sz w:val="20"/>
          <w:szCs w:val="20"/>
        </w:rPr>
      </w:pPr>
      <w:r>
        <w:rPr>
          <w:rFonts w:ascii="Arial" w:hAnsi="Arial" w:cs="Arial"/>
          <w:sz w:val="20"/>
          <w:szCs w:val="20"/>
        </w:rPr>
        <w:t xml:space="preserve">This result is supported by the study of </w:t>
      </w:r>
      <w:proofErr w:type="spellStart"/>
      <w:r>
        <w:rPr>
          <w:rFonts w:ascii="Arial" w:hAnsi="Arial" w:cs="Arial"/>
          <w:sz w:val="20"/>
          <w:szCs w:val="20"/>
        </w:rPr>
        <w:t>Akinsemolu</w:t>
      </w:r>
      <w:proofErr w:type="spellEnd"/>
      <w:r>
        <w:rPr>
          <w:rFonts w:ascii="Arial" w:hAnsi="Arial" w:cs="Arial"/>
          <w:sz w:val="20"/>
          <w:szCs w:val="20"/>
        </w:rPr>
        <w:t xml:space="preserve"> and </w:t>
      </w:r>
      <w:proofErr w:type="spellStart"/>
      <w:r>
        <w:rPr>
          <w:rFonts w:ascii="Arial" w:hAnsi="Arial" w:cs="Arial"/>
          <w:sz w:val="20"/>
          <w:szCs w:val="20"/>
        </w:rPr>
        <w:t>Onyeaka</w:t>
      </w:r>
      <w:proofErr w:type="spellEnd"/>
      <w:r>
        <w:rPr>
          <w:rFonts w:ascii="Arial" w:hAnsi="Arial" w:cs="Arial"/>
          <w:sz w:val="20"/>
          <w:szCs w:val="20"/>
        </w:rPr>
        <w:t xml:space="preserve"> (2025</w:t>
      </w:r>
      <w:r w:rsidRPr="00FE5B7E">
        <w:rPr>
          <w:rFonts w:ascii="Arial" w:hAnsi="Arial" w:cs="Arial"/>
          <w:sz w:val="20"/>
          <w:szCs w:val="20"/>
          <w:highlight w:val="yellow"/>
        </w:rPr>
        <w:t xml:space="preserve">), who </w:t>
      </w:r>
      <w:proofErr w:type="spellStart"/>
      <w:r w:rsidR="00EB7B6F">
        <w:rPr>
          <w:rFonts w:ascii="Arial" w:hAnsi="Arial" w:cs="Arial"/>
          <w:sz w:val="20"/>
          <w:szCs w:val="20"/>
        </w:rPr>
        <w:t>emphasi</w:t>
      </w:r>
      <w:r w:rsidR="00EB7B6F">
        <w:rPr>
          <w:rFonts w:ascii="Arial" w:hAnsi="Arial" w:cs="Arial"/>
          <w:sz w:val="20"/>
          <w:szCs w:val="20"/>
        </w:rPr>
        <w:t>s</w:t>
      </w:r>
      <w:r w:rsidR="00EB7B6F">
        <w:rPr>
          <w:rFonts w:ascii="Arial" w:hAnsi="Arial" w:cs="Arial"/>
          <w:sz w:val="20"/>
          <w:szCs w:val="20"/>
        </w:rPr>
        <w:t>ed</w:t>
      </w:r>
      <w:proofErr w:type="spellEnd"/>
      <w:r w:rsidR="00EB7B6F">
        <w:rPr>
          <w:rFonts w:ascii="Arial" w:hAnsi="Arial" w:cs="Arial"/>
          <w:sz w:val="20"/>
          <w:szCs w:val="20"/>
        </w:rPr>
        <w:t xml:space="preserve"> </w:t>
      </w:r>
      <w:r>
        <w:rPr>
          <w:rFonts w:ascii="Arial" w:hAnsi="Arial" w:cs="Arial"/>
          <w:sz w:val="20"/>
          <w:szCs w:val="20"/>
        </w:rPr>
        <w:t xml:space="preserve">that greening education strengthens not only environmental awareness but also pedagogical effectiveness and learner outcomes. Similarly, </w:t>
      </w:r>
      <w:proofErr w:type="spellStart"/>
      <w:r>
        <w:rPr>
          <w:rFonts w:ascii="Arial" w:hAnsi="Arial" w:cs="Arial"/>
          <w:sz w:val="20"/>
          <w:szCs w:val="20"/>
        </w:rPr>
        <w:t>Hnatyuk</w:t>
      </w:r>
      <w:proofErr w:type="spellEnd"/>
      <w:r>
        <w:rPr>
          <w:rFonts w:ascii="Arial" w:hAnsi="Arial" w:cs="Arial"/>
          <w:sz w:val="20"/>
          <w:szCs w:val="20"/>
        </w:rPr>
        <w:t xml:space="preserve"> et al. (2024) found that when teachers actively incorporate green practices into instruction, students exhibit higher engagement and deeper understanding. Moreover, Corpuz et al. (2022) noted that schools implementing comprehensive greening strategies often report improved teacher morale and more dynamic, </w:t>
      </w:r>
      <w:r w:rsidRPr="00FE5B7E">
        <w:rPr>
          <w:rFonts w:ascii="Arial" w:hAnsi="Arial" w:cs="Arial"/>
          <w:sz w:val="20"/>
          <w:szCs w:val="20"/>
          <w:highlight w:val="yellow"/>
        </w:rPr>
        <w:t>student-</w:t>
      </w:r>
      <w:proofErr w:type="spellStart"/>
      <w:r w:rsidRPr="00FE5B7E">
        <w:rPr>
          <w:rFonts w:ascii="Arial" w:hAnsi="Arial" w:cs="Arial"/>
          <w:sz w:val="20"/>
          <w:szCs w:val="20"/>
          <w:highlight w:val="yellow"/>
        </w:rPr>
        <w:t>centred</w:t>
      </w:r>
      <w:proofErr w:type="spellEnd"/>
      <w:r w:rsidRPr="00FE5B7E">
        <w:rPr>
          <w:rFonts w:ascii="Arial" w:hAnsi="Arial" w:cs="Arial"/>
          <w:sz w:val="20"/>
          <w:szCs w:val="20"/>
          <w:highlight w:val="yellow"/>
        </w:rPr>
        <w:t xml:space="preserve"> instructional</w:t>
      </w:r>
      <w:r>
        <w:rPr>
          <w:rFonts w:ascii="Arial" w:hAnsi="Arial" w:cs="Arial"/>
          <w:sz w:val="20"/>
          <w:szCs w:val="20"/>
        </w:rPr>
        <w:t xml:space="preserve"> delivery, reinforcing the importance of environmental integration in the teaching-learning process.</w:t>
      </w:r>
    </w:p>
    <w:p w:rsidR="00FC6B61" w:rsidRDefault="00FC6B61">
      <w:pPr>
        <w:jc w:val="both"/>
        <w:rPr>
          <w:rFonts w:ascii="Arial" w:hAnsi="Arial" w:cs="Arial"/>
          <w:b/>
          <w:bCs/>
          <w:iCs/>
          <w:sz w:val="20"/>
          <w:szCs w:val="20"/>
        </w:rPr>
      </w:pPr>
    </w:p>
    <w:p w:rsidR="00FC6B61" w:rsidRDefault="00E26663">
      <w:pPr>
        <w:rPr>
          <w:rFonts w:ascii="Arial" w:hAnsi="Arial" w:cs="Arial"/>
          <w:b/>
          <w:bCs/>
          <w:iCs/>
          <w:sz w:val="20"/>
          <w:szCs w:val="20"/>
        </w:rPr>
      </w:pPr>
      <w:r>
        <w:rPr>
          <w:rFonts w:ascii="Arial" w:hAnsi="Arial" w:cs="Arial"/>
          <w:b/>
          <w:bCs/>
          <w:iCs/>
          <w:sz w:val="20"/>
          <w:szCs w:val="20"/>
        </w:rPr>
        <w:br w:type="page"/>
      </w:r>
    </w:p>
    <w:p w:rsidR="00FC6B61" w:rsidRDefault="00E26663">
      <w:pPr>
        <w:jc w:val="both"/>
        <w:rPr>
          <w:rFonts w:ascii="Arial" w:hAnsi="Arial" w:cs="Arial"/>
          <w:b/>
          <w:bCs/>
          <w:iCs/>
          <w:sz w:val="20"/>
          <w:szCs w:val="20"/>
        </w:rPr>
      </w:pPr>
      <w:r>
        <w:rPr>
          <w:rFonts w:ascii="Arial" w:hAnsi="Arial" w:cs="Arial"/>
          <w:b/>
          <w:bCs/>
          <w:iCs/>
          <w:sz w:val="20"/>
          <w:szCs w:val="20"/>
        </w:rPr>
        <w:lastRenderedPageBreak/>
        <w:t>3.4. Domains of School Greening in Instruction that Significantly Influence the Erudition Process in Public Elementary Schools</w:t>
      </w:r>
    </w:p>
    <w:p w:rsidR="00FC6B61" w:rsidRDefault="00FC6B61">
      <w:pPr>
        <w:jc w:val="both"/>
        <w:rPr>
          <w:rFonts w:ascii="Arial" w:hAnsi="Arial" w:cs="Arial"/>
          <w:b/>
          <w:bCs/>
          <w:iCs/>
          <w:sz w:val="20"/>
          <w:szCs w:val="20"/>
        </w:rPr>
      </w:pPr>
    </w:p>
    <w:p w:rsidR="00FC6B61" w:rsidRDefault="00E26663">
      <w:pPr>
        <w:jc w:val="both"/>
        <w:rPr>
          <w:rFonts w:ascii="Arial" w:eastAsia="Arial" w:hAnsi="Arial"/>
          <w:i/>
          <w:sz w:val="20"/>
          <w:szCs w:val="20"/>
        </w:rPr>
      </w:pPr>
      <w:r>
        <w:rPr>
          <w:rFonts w:ascii="Arial" w:eastAsia="Arial" w:hAnsi="Arial"/>
          <w:b/>
          <w:sz w:val="20"/>
          <w:szCs w:val="20"/>
        </w:rPr>
        <w:t xml:space="preserve">Table 4. </w:t>
      </w:r>
      <w:r>
        <w:rPr>
          <w:rFonts w:ascii="Arial" w:eastAsia="Arial" w:hAnsi="Arial"/>
          <w:i/>
          <w:sz w:val="20"/>
          <w:szCs w:val="20"/>
        </w:rPr>
        <w:t>Domains of School Greening in Instruction that Significantly Influence the Erudition Process in Public Elementary Schools</w:t>
      </w:r>
    </w:p>
    <w:p w:rsidR="00FC6B61" w:rsidRDefault="00FC6B61">
      <w:pPr>
        <w:jc w:val="both"/>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98"/>
        <w:gridCol w:w="632"/>
        <w:gridCol w:w="632"/>
        <w:gridCol w:w="693"/>
        <w:gridCol w:w="758"/>
        <w:gridCol w:w="1040"/>
        <w:gridCol w:w="1655"/>
      </w:tblGrid>
      <w:tr w:rsidR="00FC6B61">
        <w:trPr>
          <w:tblHeader/>
          <w:tblCellSpacing w:w="15" w:type="dxa"/>
        </w:trPr>
        <w:tc>
          <w:tcPr>
            <w:tcW w:w="1714" w:type="pct"/>
            <w:vAlign w:val="center"/>
            <w:hideMark/>
          </w:tcPr>
          <w:p w:rsidR="00FC6B61" w:rsidRDefault="00E26663">
            <w:pPr>
              <w:jc w:val="center"/>
              <w:rPr>
                <w:rFonts w:ascii="Arial" w:hAnsi="Arial" w:cs="Arial"/>
                <w:b/>
                <w:bCs/>
                <w:sz w:val="20"/>
                <w:szCs w:val="20"/>
              </w:rPr>
            </w:pPr>
            <w:r>
              <w:rPr>
                <w:rFonts w:ascii="Arial" w:hAnsi="Arial" w:cs="Arial"/>
                <w:b/>
                <w:bCs/>
                <w:sz w:val="20"/>
                <w:szCs w:val="20"/>
              </w:rPr>
              <w:t>Domains</w:t>
            </w:r>
          </w:p>
        </w:tc>
        <w:tc>
          <w:tcPr>
            <w:tcW w:w="375" w:type="pct"/>
            <w:vAlign w:val="center"/>
            <w:hideMark/>
          </w:tcPr>
          <w:p w:rsidR="00FC6B61" w:rsidRDefault="00E26663">
            <w:pPr>
              <w:jc w:val="center"/>
              <w:rPr>
                <w:rFonts w:ascii="Arial" w:hAnsi="Arial" w:cs="Arial"/>
                <w:b/>
                <w:bCs/>
                <w:sz w:val="20"/>
                <w:szCs w:val="20"/>
              </w:rPr>
            </w:pPr>
            <w:r>
              <w:rPr>
                <w:rFonts w:ascii="Arial" w:hAnsi="Arial" w:cs="Arial"/>
                <w:b/>
                <w:bCs/>
                <w:sz w:val="20"/>
                <w:szCs w:val="20"/>
              </w:rPr>
              <w:t>B</w:t>
            </w:r>
          </w:p>
        </w:tc>
        <w:tc>
          <w:tcPr>
            <w:tcW w:w="375" w:type="pct"/>
            <w:vAlign w:val="center"/>
            <w:hideMark/>
          </w:tcPr>
          <w:p w:rsidR="00FC6B61" w:rsidRDefault="00E26663">
            <w:pPr>
              <w:jc w:val="center"/>
              <w:rPr>
                <w:rFonts w:ascii="Arial" w:hAnsi="Arial" w:cs="Arial"/>
                <w:b/>
                <w:bCs/>
                <w:sz w:val="20"/>
                <w:szCs w:val="20"/>
              </w:rPr>
            </w:pPr>
            <w:r>
              <w:rPr>
                <w:rFonts w:ascii="Arial" w:hAnsi="Arial" w:cs="Arial"/>
                <w:b/>
                <w:bCs/>
                <w:sz w:val="20"/>
                <w:szCs w:val="20"/>
              </w:rPr>
              <w:t>BE</w:t>
            </w:r>
          </w:p>
        </w:tc>
        <w:tc>
          <w:tcPr>
            <w:tcW w:w="413" w:type="pct"/>
            <w:vAlign w:val="center"/>
            <w:hideMark/>
          </w:tcPr>
          <w:p w:rsidR="00FC6B61" w:rsidRDefault="00E26663">
            <w:pPr>
              <w:jc w:val="center"/>
              <w:rPr>
                <w:rFonts w:ascii="Arial" w:hAnsi="Arial" w:cs="Arial"/>
                <w:b/>
                <w:bCs/>
                <w:sz w:val="20"/>
                <w:szCs w:val="20"/>
              </w:rPr>
            </w:pPr>
            <w:r>
              <w:rPr>
                <w:rFonts w:ascii="Arial" w:hAnsi="Arial" w:cs="Arial"/>
                <w:b/>
                <w:bCs/>
                <w:sz w:val="20"/>
                <w:szCs w:val="20"/>
              </w:rPr>
              <w:t>Beta</w:t>
            </w:r>
          </w:p>
        </w:tc>
        <w:tc>
          <w:tcPr>
            <w:tcW w:w="454" w:type="pct"/>
            <w:vAlign w:val="center"/>
            <w:hideMark/>
          </w:tcPr>
          <w:p w:rsidR="00FC6B61" w:rsidRDefault="00E26663">
            <w:pPr>
              <w:jc w:val="center"/>
              <w:rPr>
                <w:rFonts w:ascii="Arial" w:hAnsi="Arial" w:cs="Arial"/>
                <w:b/>
                <w:bCs/>
                <w:sz w:val="20"/>
                <w:szCs w:val="20"/>
              </w:rPr>
            </w:pPr>
            <w:r>
              <w:rPr>
                <w:rFonts w:ascii="Arial" w:hAnsi="Arial" w:cs="Arial"/>
                <w:b/>
                <w:bCs/>
                <w:sz w:val="20"/>
                <w:szCs w:val="20"/>
              </w:rPr>
              <w:t>t-stat</w:t>
            </w:r>
          </w:p>
        </w:tc>
        <w:tc>
          <w:tcPr>
            <w:tcW w:w="629" w:type="pct"/>
            <w:vAlign w:val="center"/>
            <w:hideMark/>
          </w:tcPr>
          <w:p w:rsidR="00FC6B61" w:rsidRDefault="00E26663">
            <w:pPr>
              <w:jc w:val="center"/>
              <w:rPr>
                <w:rFonts w:ascii="Arial" w:hAnsi="Arial" w:cs="Arial"/>
                <w:b/>
                <w:bCs/>
                <w:sz w:val="20"/>
                <w:szCs w:val="20"/>
              </w:rPr>
            </w:pPr>
            <w:r>
              <w:rPr>
                <w:rFonts w:ascii="Arial" w:hAnsi="Arial" w:cs="Arial"/>
                <w:b/>
                <w:bCs/>
                <w:sz w:val="20"/>
                <w:szCs w:val="20"/>
              </w:rPr>
              <w:t>p-value</w:t>
            </w:r>
          </w:p>
        </w:tc>
        <w:tc>
          <w:tcPr>
            <w:tcW w:w="895" w:type="pct"/>
            <w:vAlign w:val="center"/>
            <w:hideMark/>
          </w:tcPr>
          <w:p w:rsidR="00FC6B61" w:rsidRDefault="00E26663">
            <w:pPr>
              <w:jc w:val="center"/>
              <w:rPr>
                <w:rFonts w:ascii="Arial" w:hAnsi="Arial" w:cs="Arial"/>
                <w:b/>
                <w:bCs/>
                <w:sz w:val="20"/>
                <w:szCs w:val="20"/>
              </w:rPr>
            </w:pPr>
            <w:r>
              <w:rPr>
                <w:rFonts w:ascii="Arial" w:hAnsi="Arial" w:cs="Arial"/>
                <w:b/>
                <w:bCs/>
                <w:sz w:val="20"/>
                <w:szCs w:val="20"/>
              </w:rPr>
              <w:t>Decision</w:t>
            </w:r>
          </w:p>
        </w:tc>
      </w:tr>
      <w:tr w:rsidR="00FC6B61">
        <w:trPr>
          <w:tblCellSpacing w:w="15" w:type="dxa"/>
        </w:trPr>
        <w:tc>
          <w:tcPr>
            <w:tcW w:w="1714" w:type="pct"/>
            <w:vAlign w:val="center"/>
            <w:hideMark/>
          </w:tcPr>
          <w:p w:rsidR="00FC6B61" w:rsidRDefault="00E26663">
            <w:pPr>
              <w:jc w:val="center"/>
              <w:rPr>
                <w:rFonts w:ascii="Arial" w:hAnsi="Arial" w:cs="Arial"/>
                <w:sz w:val="20"/>
                <w:szCs w:val="20"/>
              </w:rPr>
            </w:pPr>
            <w:r>
              <w:rPr>
                <w:rFonts w:ascii="Arial" w:hAnsi="Arial" w:cs="Arial"/>
                <w:sz w:val="20"/>
                <w:szCs w:val="20"/>
              </w:rPr>
              <w:t>Constant</w:t>
            </w:r>
          </w:p>
        </w:tc>
        <w:tc>
          <w:tcPr>
            <w:tcW w:w="375" w:type="pct"/>
            <w:vAlign w:val="center"/>
            <w:hideMark/>
          </w:tcPr>
          <w:p w:rsidR="00FC6B61" w:rsidRDefault="00E26663">
            <w:pPr>
              <w:jc w:val="center"/>
              <w:rPr>
                <w:rFonts w:ascii="Arial" w:hAnsi="Arial" w:cs="Arial"/>
                <w:sz w:val="20"/>
                <w:szCs w:val="20"/>
              </w:rPr>
            </w:pPr>
            <w:r>
              <w:rPr>
                <w:rFonts w:ascii="Arial" w:hAnsi="Arial" w:cs="Arial"/>
                <w:sz w:val="20"/>
                <w:szCs w:val="20"/>
              </w:rPr>
              <w:t>1.75</w:t>
            </w:r>
          </w:p>
        </w:tc>
        <w:tc>
          <w:tcPr>
            <w:tcW w:w="375" w:type="pct"/>
            <w:vAlign w:val="center"/>
            <w:hideMark/>
          </w:tcPr>
          <w:p w:rsidR="00FC6B61" w:rsidRDefault="00E26663">
            <w:pPr>
              <w:jc w:val="center"/>
              <w:rPr>
                <w:rFonts w:ascii="Arial" w:hAnsi="Arial" w:cs="Arial"/>
                <w:sz w:val="20"/>
                <w:szCs w:val="20"/>
              </w:rPr>
            </w:pPr>
            <w:r>
              <w:rPr>
                <w:rFonts w:ascii="Arial" w:hAnsi="Arial" w:cs="Arial"/>
                <w:sz w:val="20"/>
                <w:szCs w:val="20"/>
              </w:rPr>
              <w:t>0.41</w:t>
            </w:r>
          </w:p>
        </w:tc>
        <w:tc>
          <w:tcPr>
            <w:tcW w:w="413" w:type="pct"/>
            <w:vAlign w:val="center"/>
            <w:hideMark/>
          </w:tcPr>
          <w:p w:rsidR="00FC6B61" w:rsidRDefault="00FC6B61">
            <w:pPr>
              <w:jc w:val="center"/>
              <w:rPr>
                <w:rFonts w:ascii="Arial" w:hAnsi="Arial" w:cs="Arial"/>
                <w:sz w:val="20"/>
                <w:szCs w:val="20"/>
              </w:rPr>
            </w:pPr>
          </w:p>
        </w:tc>
        <w:tc>
          <w:tcPr>
            <w:tcW w:w="454" w:type="pct"/>
            <w:vAlign w:val="center"/>
            <w:hideMark/>
          </w:tcPr>
          <w:p w:rsidR="00FC6B61" w:rsidRDefault="00E26663">
            <w:pPr>
              <w:jc w:val="center"/>
              <w:rPr>
                <w:rFonts w:ascii="Arial" w:hAnsi="Arial" w:cs="Arial"/>
                <w:sz w:val="20"/>
                <w:szCs w:val="20"/>
              </w:rPr>
            </w:pPr>
            <w:r>
              <w:rPr>
                <w:rFonts w:ascii="Arial" w:hAnsi="Arial" w:cs="Arial"/>
                <w:sz w:val="20"/>
                <w:szCs w:val="20"/>
              </w:rPr>
              <w:t>6.98</w:t>
            </w:r>
          </w:p>
        </w:tc>
        <w:tc>
          <w:tcPr>
            <w:tcW w:w="629" w:type="pct"/>
            <w:vAlign w:val="center"/>
            <w:hideMark/>
          </w:tcPr>
          <w:p w:rsidR="00FC6B61" w:rsidRDefault="00E26663">
            <w:pPr>
              <w:jc w:val="center"/>
              <w:rPr>
                <w:rFonts w:ascii="Arial" w:hAnsi="Arial" w:cs="Arial"/>
                <w:sz w:val="20"/>
                <w:szCs w:val="20"/>
              </w:rPr>
            </w:pPr>
            <w:r>
              <w:rPr>
                <w:rFonts w:ascii="Arial" w:hAnsi="Arial" w:cs="Arial"/>
                <w:sz w:val="20"/>
                <w:szCs w:val="20"/>
              </w:rPr>
              <w:t>0.000</w:t>
            </w:r>
          </w:p>
        </w:tc>
        <w:tc>
          <w:tcPr>
            <w:tcW w:w="895" w:type="pct"/>
            <w:vAlign w:val="center"/>
            <w:hideMark/>
          </w:tcPr>
          <w:p w:rsidR="00FC6B61" w:rsidRDefault="00E26663">
            <w:pPr>
              <w:jc w:val="center"/>
              <w:rPr>
                <w:rFonts w:ascii="Arial" w:hAnsi="Arial" w:cs="Arial"/>
                <w:sz w:val="20"/>
                <w:szCs w:val="20"/>
              </w:rPr>
            </w:pPr>
            <w:r>
              <w:rPr>
                <w:rFonts w:ascii="Arial" w:hAnsi="Arial" w:cs="Arial"/>
                <w:sz w:val="20"/>
                <w:szCs w:val="20"/>
              </w:rPr>
              <w:t>Significant</w:t>
            </w:r>
          </w:p>
        </w:tc>
      </w:tr>
      <w:tr w:rsidR="00FC6B61">
        <w:trPr>
          <w:tblCellSpacing w:w="15" w:type="dxa"/>
        </w:trPr>
        <w:tc>
          <w:tcPr>
            <w:tcW w:w="1714" w:type="pct"/>
            <w:vAlign w:val="center"/>
            <w:hideMark/>
          </w:tcPr>
          <w:p w:rsidR="00FC6B61" w:rsidRDefault="00E26663">
            <w:pPr>
              <w:jc w:val="center"/>
              <w:rPr>
                <w:rFonts w:ascii="Arial" w:hAnsi="Arial" w:cs="Arial"/>
                <w:sz w:val="20"/>
                <w:szCs w:val="20"/>
              </w:rPr>
            </w:pPr>
            <w:r>
              <w:rPr>
                <w:rFonts w:ascii="Arial" w:hAnsi="Arial" w:cs="Arial"/>
                <w:sz w:val="20"/>
                <w:szCs w:val="20"/>
              </w:rPr>
              <w:t>Technological Growth</w:t>
            </w:r>
          </w:p>
        </w:tc>
        <w:tc>
          <w:tcPr>
            <w:tcW w:w="375" w:type="pct"/>
            <w:vAlign w:val="center"/>
            <w:hideMark/>
          </w:tcPr>
          <w:p w:rsidR="00FC6B61" w:rsidRDefault="00E26663">
            <w:pPr>
              <w:jc w:val="center"/>
              <w:rPr>
                <w:rFonts w:ascii="Arial" w:hAnsi="Arial" w:cs="Arial"/>
                <w:sz w:val="20"/>
                <w:szCs w:val="20"/>
              </w:rPr>
            </w:pPr>
            <w:r>
              <w:rPr>
                <w:rFonts w:ascii="Arial" w:hAnsi="Arial" w:cs="Arial"/>
                <w:sz w:val="20"/>
                <w:szCs w:val="20"/>
              </w:rPr>
              <w:t>0.13</w:t>
            </w:r>
          </w:p>
        </w:tc>
        <w:tc>
          <w:tcPr>
            <w:tcW w:w="375" w:type="pct"/>
            <w:vAlign w:val="center"/>
            <w:hideMark/>
          </w:tcPr>
          <w:p w:rsidR="00FC6B61" w:rsidRDefault="00E26663">
            <w:pPr>
              <w:jc w:val="center"/>
              <w:rPr>
                <w:rFonts w:ascii="Arial" w:hAnsi="Arial" w:cs="Arial"/>
                <w:sz w:val="20"/>
                <w:szCs w:val="20"/>
              </w:rPr>
            </w:pPr>
            <w:r>
              <w:rPr>
                <w:rFonts w:ascii="Arial" w:hAnsi="Arial" w:cs="Arial"/>
                <w:sz w:val="20"/>
                <w:szCs w:val="20"/>
              </w:rPr>
              <w:t>0.12</w:t>
            </w:r>
          </w:p>
        </w:tc>
        <w:tc>
          <w:tcPr>
            <w:tcW w:w="413" w:type="pct"/>
            <w:vAlign w:val="center"/>
            <w:hideMark/>
          </w:tcPr>
          <w:p w:rsidR="00FC6B61" w:rsidRDefault="00E26663">
            <w:pPr>
              <w:jc w:val="center"/>
              <w:rPr>
                <w:rFonts w:ascii="Arial" w:hAnsi="Arial" w:cs="Arial"/>
                <w:sz w:val="20"/>
                <w:szCs w:val="20"/>
              </w:rPr>
            </w:pPr>
            <w:r>
              <w:rPr>
                <w:rFonts w:ascii="Arial" w:hAnsi="Arial" w:cs="Arial"/>
                <w:sz w:val="20"/>
                <w:szCs w:val="20"/>
              </w:rPr>
              <w:t>0.17</w:t>
            </w:r>
          </w:p>
        </w:tc>
        <w:tc>
          <w:tcPr>
            <w:tcW w:w="454" w:type="pct"/>
            <w:vAlign w:val="center"/>
            <w:hideMark/>
          </w:tcPr>
          <w:p w:rsidR="00FC6B61" w:rsidRDefault="00E26663">
            <w:pPr>
              <w:jc w:val="center"/>
              <w:rPr>
                <w:rFonts w:ascii="Arial" w:hAnsi="Arial" w:cs="Arial"/>
                <w:sz w:val="20"/>
                <w:szCs w:val="20"/>
              </w:rPr>
            </w:pPr>
            <w:r>
              <w:rPr>
                <w:rFonts w:ascii="Arial" w:hAnsi="Arial" w:cs="Arial"/>
                <w:sz w:val="20"/>
                <w:szCs w:val="20"/>
              </w:rPr>
              <w:t>2.87</w:t>
            </w:r>
          </w:p>
        </w:tc>
        <w:tc>
          <w:tcPr>
            <w:tcW w:w="629" w:type="pct"/>
            <w:vAlign w:val="center"/>
            <w:hideMark/>
          </w:tcPr>
          <w:p w:rsidR="00FC6B61" w:rsidRDefault="00E26663">
            <w:pPr>
              <w:jc w:val="center"/>
              <w:rPr>
                <w:rFonts w:ascii="Arial" w:hAnsi="Arial" w:cs="Arial"/>
                <w:sz w:val="20"/>
                <w:szCs w:val="20"/>
              </w:rPr>
            </w:pPr>
            <w:r>
              <w:rPr>
                <w:rFonts w:ascii="Arial" w:hAnsi="Arial" w:cs="Arial"/>
                <w:sz w:val="20"/>
                <w:szCs w:val="20"/>
              </w:rPr>
              <w:t>0.005</w:t>
            </w:r>
          </w:p>
        </w:tc>
        <w:tc>
          <w:tcPr>
            <w:tcW w:w="895" w:type="pct"/>
            <w:vAlign w:val="center"/>
            <w:hideMark/>
          </w:tcPr>
          <w:p w:rsidR="00FC6B61" w:rsidRDefault="00E26663">
            <w:pPr>
              <w:jc w:val="center"/>
              <w:rPr>
                <w:rFonts w:ascii="Arial" w:hAnsi="Arial" w:cs="Arial"/>
                <w:sz w:val="20"/>
                <w:szCs w:val="20"/>
              </w:rPr>
            </w:pPr>
            <w:r>
              <w:rPr>
                <w:rFonts w:ascii="Arial" w:hAnsi="Arial" w:cs="Arial"/>
                <w:sz w:val="20"/>
                <w:szCs w:val="20"/>
              </w:rPr>
              <w:t>Significant</w:t>
            </w:r>
          </w:p>
        </w:tc>
      </w:tr>
      <w:tr w:rsidR="00FC6B61">
        <w:trPr>
          <w:tblCellSpacing w:w="15" w:type="dxa"/>
        </w:trPr>
        <w:tc>
          <w:tcPr>
            <w:tcW w:w="1714" w:type="pct"/>
            <w:vAlign w:val="center"/>
            <w:hideMark/>
          </w:tcPr>
          <w:p w:rsidR="00FC6B61" w:rsidRDefault="00E26663">
            <w:pPr>
              <w:jc w:val="center"/>
              <w:rPr>
                <w:rFonts w:ascii="Arial" w:hAnsi="Arial" w:cs="Arial"/>
                <w:sz w:val="20"/>
                <w:szCs w:val="20"/>
              </w:rPr>
            </w:pPr>
            <w:r>
              <w:rPr>
                <w:rFonts w:ascii="Arial" w:hAnsi="Arial" w:cs="Arial"/>
                <w:sz w:val="20"/>
                <w:szCs w:val="20"/>
              </w:rPr>
              <w:t>Instruction Capacity</w:t>
            </w:r>
          </w:p>
        </w:tc>
        <w:tc>
          <w:tcPr>
            <w:tcW w:w="375" w:type="pct"/>
            <w:vAlign w:val="center"/>
            <w:hideMark/>
          </w:tcPr>
          <w:p w:rsidR="00FC6B61" w:rsidRDefault="00E26663">
            <w:pPr>
              <w:jc w:val="center"/>
              <w:rPr>
                <w:rFonts w:ascii="Arial" w:hAnsi="Arial" w:cs="Arial"/>
                <w:sz w:val="20"/>
                <w:szCs w:val="20"/>
              </w:rPr>
            </w:pPr>
            <w:r>
              <w:rPr>
                <w:rFonts w:ascii="Arial" w:hAnsi="Arial" w:cs="Arial"/>
                <w:sz w:val="20"/>
                <w:szCs w:val="20"/>
              </w:rPr>
              <w:t>0.14</w:t>
            </w:r>
          </w:p>
        </w:tc>
        <w:tc>
          <w:tcPr>
            <w:tcW w:w="375" w:type="pct"/>
            <w:vAlign w:val="center"/>
            <w:hideMark/>
          </w:tcPr>
          <w:p w:rsidR="00FC6B61" w:rsidRDefault="00E26663">
            <w:pPr>
              <w:jc w:val="center"/>
              <w:rPr>
                <w:rFonts w:ascii="Arial" w:hAnsi="Arial" w:cs="Arial"/>
                <w:sz w:val="20"/>
                <w:szCs w:val="20"/>
              </w:rPr>
            </w:pPr>
            <w:r>
              <w:rPr>
                <w:rFonts w:ascii="Arial" w:hAnsi="Arial" w:cs="Arial"/>
                <w:sz w:val="20"/>
                <w:szCs w:val="20"/>
              </w:rPr>
              <w:t>0.13</w:t>
            </w:r>
          </w:p>
        </w:tc>
        <w:tc>
          <w:tcPr>
            <w:tcW w:w="413" w:type="pct"/>
            <w:vAlign w:val="center"/>
            <w:hideMark/>
          </w:tcPr>
          <w:p w:rsidR="00FC6B61" w:rsidRDefault="00E26663">
            <w:pPr>
              <w:jc w:val="center"/>
              <w:rPr>
                <w:rFonts w:ascii="Arial" w:hAnsi="Arial" w:cs="Arial"/>
                <w:sz w:val="20"/>
                <w:szCs w:val="20"/>
              </w:rPr>
            </w:pPr>
            <w:r>
              <w:rPr>
                <w:rFonts w:ascii="Arial" w:hAnsi="Arial" w:cs="Arial"/>
                <w:sz w:val="20"/>
                <w:szCs w:val="20"/>
              </w:rPr>
              <w:t>0.18</w:t>
            </w:r>
          </w:p>
        </w:tc>
        <w:tc>
          <w:tcPr>
            <w:tcW w:w="454" w:type="pct"/>
            <w:vAlign w:val="center"/>
            <w:hideMark/>
          </w:tcPr>
          <w:p w:rsidR="00FC6B61" w:rsidRDefault="00E26663">
            <w:pPr>
              <w:jc w:val="center"/>
              <w:rPr>
                <w:rFonts w:ascii="Arial" w:hAnsi="Arial" w:cs="Arial"/>
                <w:sz w:val="20"/>
                <w:szCs w:val="20"/>
              </w:rPr>
            </w:pPr>
            <w:r>
              <w:rPr>
                <w:rFonts w:ascii="Arial" w:hAnsi="Arial" w:cs="Arial"/>
                <w:sz w:val="20"/>
                <w:szCs w:val="20"/>
              </w:rPr>
              <w:t>3.12</w:t>
            </w:r>
          </w:p>
        </w:tc>
        <w:tc>
          <w:tcPr>
            <w:tcW w:w="629" w:type="pct"/>
            <w:vAlign w:val="center"/>
            <w:hideMark/>
          </w:tcPr>
          <w:p w:rsidR="00FC6B61" w:rsidRDefault="00E26663">
            <w:pPr>
              <w:jc w:val="center"/>
              <w:rPr>
                <w:rFonts w:ascii="Arial" w:hAnsi="Arial" w:cs="Arial"/>
                <w:sz w:val="20"/>
                <w:szCs w:val="20"/>
              </w:rPr>
            </w:pPr>
            <w:r>
              <w:rPr>
                <w:rFonts w:ascii="Arial" w:hAnsi="Arial" w:cs="Arial"/>
                <w:sz w:val="20"/>
                <w:szCs w:val="20"/>
              </w:rPr>
              <w:t>0.002</w:t>
            </w:r>
          </w:p>
        </w:tc>
        <w:tc>
          <w:tcPr>
            <w:tcW w:w="895" w:type="pct"/>
            <w:vAlign w:val="center"/>
            <w:hideMark/>
          </w:tcPr>
          <w:p w:rsidR="00FC6B61" w:rsidRDefault="00E26663">
            <w:pPr>
              <w:jc w:val="center"/>
              <w:rPr>
                <w:rFonts w:ascii="Arial" w:hAnsi="Arial" w:cs="Arial"/>
                <w:sz w:val="20"/>
                <w:szCs w:val="20"/>
              </w:rPr>
            </w:pPr>
            <w:r>
              <w:rPr>
                <w:rFonts w:ascii="Arial" w:hAnsi="Arial" w:cs="Arial"/>
                <w:sz w:val="20"/>
                <w:szCs w:val="20"/>
              </w:rPr>
              <w:t>Significant</w:t>
            </w:r>
          </w:p>
        </w:tc>
      </w:tr>
      <w:tr w:rsidR="00FC6B61">
        <w:trPr>
          <w:tblCellSpacing w:w="15" w:type="dxa"/>
        </w:trPr>
        <w:tc>
          <w:tcPr>
            <w:tcW w:w="1714" w:type="pct"/>
            <w:vAlign w:val="center"/>
            <w:hideMark/>
          </w:tcPr>
          <w:p w:rsidR="00FC6B61" w:rsidRDefault="00E26663">
            <w:pPr>
              <w:jc w:val="center"/>
              <w:rPr>
                <w:rFonts w:ascii="Arial" w:hAnsi="Arial" w:cs="Arial"/>
                <w:sz w:val="20"/>
                <w:szCs w:val="20"/>
              </w:rPr>
            </w:pPr>
            <w:r>
              <w:rPr>
                <w:rFonts w:ascii="Arial" w:hAnsi="Arial" w:cs="Arial"/>
                <w:sz w:val="20"/>
                <w:szCs w:val="20"/>
              </w:rPr>
              <w:t>Instruction Interaction</w:t>
            </w:r>
          </w:p>
        </w:tc>
        <w:tc>
          <w:tcPr>
            <w:tcW w:w="375" w:type="pct"/>
            <w:vAlign w:val="center"/>
            <w:hideMark/>
          </w:tcPr>
          <w:p w:rsidR="00FC6B61" w:rsidRDefault="00E26663">
            <w:pPr>
              <w:jc w:val="center"/>
              <w:rPr>
                <w:rFonts w:ascii="Arial" w:hAnsi="Arial" w:cs="Arial"/>
                <w:sz w:val="20"/>
                <w:szCs w:val="20"/>
              </w:rPr>
            </w:pPr>
            <w:r>
              <w:rPr>
                <w:rFonts w:ascii="Arial" w:hAnsi="Arial" w:cs="Arial"/>
                <w:sz w:val="20"/>
                <w:szCs w:val="20"/>
              </w:rPr>
              <w:t>0.10</w:t>
            </w:r>
          </w:p>
        </w:tc>
        <w:tc>
          <w:tcPr>
            <w:tcW w:w="375" w:type="pct"/>
            <w:vAlign w:val="center"/>
            <w:hideMark/>
          </w:tcPr>
          <w:p w:rsidR="00FC6B61" w:rsidRDefault="00E26663">
            <w:pPr>
              <w:jc w:val="center"/>
              <w:rPr>
                <w:rFonts w:ascii="Arial" w:hAnsi="Arial" w:cs="Arial"/>
                <w:sz w:val="20"/>
                <w:szCs w:val="20"/>
              </w:rPr>
            </w:pPr>
            <w:r>
              <w:rPr>
                <w:rFonts w:ascii="Arial" w:hAnsi="Arial" w:cs="Arial"/>
                <w:sz w:val="20"/>
                <w:szCs w:val="20"/>
              </w:rPr>
              <w:t>0.09</w:t>
            </w:r>
          </w:p>
        </w:tc>
        <w:tc>
          <w:tcPr>
            <w:tcW w:w="413" w:type="pct"/>
            <w:vAlign w:val="center"/>
            <w:hideMark/>
          </w:tcPr>
          <w:p w:rsidR="00FC6B61" w:rsidRDefault="00E26663">
            <w:pPr>
              <w:jc w:val="center"/>
              <w:rPr>
                <w:rFonts w:ascii="Arial" w:hAnsi="Arial" w:cs="Arial"/>
                <w:sz w:val="20"/>
                <w:szCs w:val="20"/>
              </w:rPr>
            </w:pPr>
            <w:r>
              <w:rPr>
                <w:rFonts w:ascii="Arial" w:hAnsi="Arial" w:cs="Arial"/>
                <w:sz w:val="20"/>
                <w:szCs w:val="20"/>
              </w:rPr>
              <w:t>0.13</w:t>
            </w:r>
          </w:p>
        </w:tc>
        <w:tc>
          <w:tcPr>
            <w:tcW w:w="454" w:type="pct"/>
            <w:vAlign w:val="center"/>
            <w:hideMark/>
          </w:tcPr>
          <w:p w:rsidR="00FC6B61" w:rsidRDefault="00E26663">
            <w:pPr>
              <w:jc w:val="center"/>
              <w:rPr>
                <w:rFonts w:ascii="Arial" w:hAnsi="Arial" w:cs="Arial"/>
                <w:sz w:val="20"/>
                <w:szCs w:val="20"/>
              </w:rPr>
            </w:pPr>
            <w:r>
              <w:rPr>
                <w:rFonts w:ascii="Arial" w:hAnsi="Arial" w:cs="Arial"/>
                <w:sz w:val="20"/>
                <w:szCs w:val="20"/>
              </w:rPr>
              <w:t>2.41</w:t>
            </w:r>
          </w:p>
        </w:tc>
        <w:tc>
          <w:tcPr>
            <w:tcW w:w="629" w:type="pct"/>
            <w:vAlign w:val="center"/>
            <w:hideMark/>
          </w:tcPr>
          <w:p w:rsidR="00FC6B61" w:rsidRDefault="00E26663">
            <w:pPr>
              <w:jc w:val="center"/>
              <w:rPr>
                <w:rFonts w:ascii="Arial" w:hAnsi="Arial" w:cs="Arial"/>
                <w:sz w:val="20"/>
                <w:szCs w:val="20"/>
              </w:rPr>
            </w:pPr>
            <w:r>
              <w:rPr>
                <w:rFonts w:ascii="Arial" w:hAnsi="Arial" w:cs="Arial"/>
                <w:sz w:val="20"/>
                <w:szCs w:val="20"/>
              </w:rPr>
              <w:t>0.017</w:t>
            </w:r>
          </w:p>
        </w:tc>
        <w:tc>
          <w:tcPr>
            <w:tcW w:w="895" w:type="pct"/>
            <w:vAlign w:val="center"/>
            <w:hideMark/>
          </w:tcPr>
          <w:p w:rsidR="00FC6B61" w:rsidRDefault="00E26663">
            <w:pPr>
              <w:jc w:val="center"/>
              <w:rPr>
                <w:rFonts w:ascii="Arial" w:hAnsi="Arial" w:cs="Arial"/>
                <w:sz w:val="20"/>
                <w:szCs w:val="20"/>
              </w:rPr>
            </w:pPr>
            <w:r>
              <w:rPr>
                <w:rFonts w:ascii="Arial" w:hAnsi="Arial" w:cs="Arial"/>
                <w:sz w:val="20"/>
                <w:szCs w:val="20"/>
              </w:rPr>
              <w:t>Significant</w:t>
            </w:r>
          </w:p>
        </w:tc>
      </w:tr>
      <w:tr w:rsidR="00FC6B61">
        <w:trPr>
          <w:tblCellSpacing w:w="15" w:type="dxa"/>
        </w:trPr>
        <w:tc>
          <w:tcPr>
            <w:tcW w:w="4963" w:type="pct"/>
            <w:gridSpan w:val="7"/>
            <w:vAlign w:val="center"/>
          </w:tcPr>
          <w:p w:rsidR="00FC6B61" w:rsidRDefault="00E26663">
            <w:pPr>
              <w:rPr>
                <w:rFonts w:ascii="Arial" w:hAnsi="Arial" w:cs="Arial"/>
                <w:b/>
                <w:bCs/>
                <w:sz w:val="20"/>
                <w:szCs w:val="20"/>
                <w:u w:val="single"/>
              </w:rPr>
            </w:pPr>
            <w:r>
              <w:rPr>
                <w:rFonts w:ascii="Arial" w:hAnsi="Arial" w:cs="Arial"/>
                <w:b/>
                <w:bCs/>
                <w:sz w:val="20"/>
                <w:szCs w:val="20"/>
                <w:u w:val="single"/>
              </w:rPr>
              <w:t>Regression Model</w:t>
            </w:r>
          </w:p>
          <w:p w:rsidR="00FC6B61" w:rsidRDefault="00FC6B61">
            <w:pPr>
              <w:jc w:val="both"/>
              <w:rPr>
                <w:rFonts w:ascii="Arial" w:hAnsi="Arial" w:cs="Arial"/>
                <w:sz w:val="20"/>
                <w:szCs w:val="20"/>
              </w:rPr>
            </w:pPr>
          </w:p>
          <w:p w:rsidR="00FC6B61" w:rsidRDefault="00E26663">
            <w:pPr>
              <w:jc w:val="both"/>
              <w:rPr>
                <w:rFonts w:ascii="Arial" w:hAnsi="Arial" w:cs="Arial"/>
                <w:sz w:val="20"/>
                <w:szCs w:val="20"/>
              </w:rPr>
            </w:pPr>
            <w:r>
              <w:rPr>
                <w:rFonts w:ascii="Arial" w:hAnsi="Arial" w:cs="Arial"/>
                <w:sz w:val="20"/>
                <w:szCs w:val="20"/>
              </w:rPr>
              <w:t>Erudition Process = 1.75 + 0.13(Technological Growth) + 0.14(Instruction Capacity) + 0.10(Instruction Interaction)</w:t>
            </w:r>
          </w:p>
          <w:p w:rsidR="00FC6B61" w:rsidRDefault="00FC6B61">
            <w:pPr>
              <w:rPr>
                <w:rFonts w:ascii="Arial" w:hAnsi="Arial" w:cs="Arial"/>
                <w:sz w:val="20"/>
                <w:szCs w:val="20"/>
              </w:rPr>
            </w:pPr>
          </w:p>
          <w:p w:rsidR="00FC6B61" w:rsidRDefault="00E26663">
            <w:pPr>
              <w:rPr>
                <w:rFonts w:ascii="Arial" w:hAnsi="Arial" w:cs="Arial"/>
                <w:b/>
                <w:bCs/>
                <w:sz w:val="20"/>
                <w:szCs w:val="20"/>
              </w:rPr>
            </w:pPr>
            <w:r>
              <w:rPr>
                <w:rFonts w:ascii="Arial" w:hAnsi="Arial" w:cs="Arial"/>
                <w:b/>
                <w:bCs/>
                <w:sz w:val="20"/>
                <w:szCs w:val="20"/>
              </w:rPr>
              <w:t>R = 0.87; R² = 0.76; F = 119.64; p-value = 0.000</w:t>
            </w:r>
          </w:p>
        </w:tc>
      </w:tr>
    </w:tbl>
    <w:p w:rsidR="00FC6B61" w:rsidRDefault="00FC6B61">
      <w:pPr>
        <w:pStyle w:val="Body"/>
        <w:rPr>
          <w:rFonts w:ascii="Arial" w:hAnsi="Arial" w:cs="Arial"/>
        </w:rPr>
      </w:pPr>
    </w:p>
    <w:p w:rsidR="00FC6B61" w:rsidRDefault="00E26663">
      <w:pPr>
        <w:pStyle w:val="Body"/>
        <w:rPr>
          <w:rFonts w:ascii="Arial" w:hAnsi="Arial" w:cs="Arial"/>
        </w:rPr>
      </w:pPr>
      <w:r>
        <w:rPr>
          <w:rFonts w:ascii="Arial" w:hAnsi="Arial" w:cs="Arial"/>
        </w:rPr>
        <w:t>Presented in Table 4 is the regression analysis examining the significant influence of school greening in instruction on the erudition process among teachers in public elementary schools. The regression model yielded an R-value of 0.871 and an R² value of 0.759, indicating that approximately 75.9% of the variance in the erudition process can be explained by the combined influence of the school greening domains. The model is statistically significant, with an F-value of 119.64 and a p-value of 0.000, which is well below the 0.05 level of significance. Based on these results, the null hypothesis is rejected, confirming that school greening in instruction significantly influences the erudition process. Among the domains, instruction capacity had a significant positive effect on the erudition process with a beta (β) of 0.178, a B coefficient of 0.142, and a t-value of 3.120 (p = 0.002). Technological growth also significantly influenced the erudition process, with β = 0.165, B = 0.128, and t = 2.870 (p = 0.005). Instruction interaction demonstrated a significant impact as well, with β = 0.134, B = 0.103, and t = 2.410 (p = 0.017). These findings suggest that each domain of school greening plays a meaningful role in enhancing the erudition process among teachers. School administrators are therefore encouraged to strengthen greening initiatives that build instructional capacity, support technology integration, and promote interaction-rich, sustainability-focused learning environments.</w:t>
      </w:r>
    </w:p>
    <w:p w:rsidR="00FC6B61" w:rsidRDefault="00E26663">
      <w:pPr>
        <w:pStyle w:val="Body"/>
        <w:rPr>
          <w:rFonts w:ascii="Arial" w:hAnsi="Arial" w:cs="Arial"/>
        </w:rPr>
      </w:pPr>
      <w:r>
        <w:rPr>
          <w:rFonts w:ascii="Arial" w:hAnsi="Arial" w:cs="Arial"/>
        </w:rPr>
        <w:t>This finding aligns with previous research highlighting the significant influence of school greening on teaching and learning in the elementary context. For example, Meng (2023) emphasized that environmentally aligned instructional systems promote deeper student learning and improve teacher commitment. Similarly, Assefa (2024) found that schools with high instructional capacity for sustainability deliver more effective, inclusive, and engaging instruction. Furthermore, Jusoh et al. (2024) demonstrated that when schools integrate ecological awareness and digital tools into the learning process, they foster better instructional outcomes and a more active erudition process in the elementary classroom.</w:t>
      </w:r>
    </w:p>
    <w:p w:rsidR="00FC6B61" w:rsidRDefault="00E26663">
      <w:pPr>
        <w:pStyle w:val="Body"/>
        <w:rPr>
          <w:rFonts w:ascii="Arial" w:hAnsi="Arial" w:cs="Arial"/>
        </w:rPr>
      </w:pPr>
      <w:r>
        <w:rPr>
          <w:rFonts w:ascii="Arial" w:hAnsi="Arial" w:cs="Arial"/>
          <w:b/>
          <w:bCs/>
        </w:rPr>
        <w:t>5. CONCLUSIONS</w:t>
      </w:r>
    </w:p>
    <w:p w:rsidR="00FC6B61" w:rsidRDefault="00E26663">
      <w:pPr>
        <w:pStyle w:val="Body"/>
        <w:rPr>
          <w:rFonts w:ascii="Arial" w:hAnsi="Arial" w:cs="Arial"/>
        </w:rPr>
      </w:pPr>
      <w:r>
        <w:rPr>
          <w:rFonts w:ascii="Arial" w:hAnsi="Arial" w:cs="Arial"/>
        </w:rPr>
        <w:t>Based on the findings of this study, the following conclusions were drawn:</w:t>
      </w:r>
    </w:p>
    <w:p w:rsidR="00FC6B61" w:rsidRDefault="00E26663">
      <w:pPr>
        <w:pStyle w:val="Body"/>
        <w:rPr>
          <w:rFonts w:ascii="Arial" w:hAnsi="Arial" w:cs="Arial"/>
        </w:rPr>
      </w:pPr>
      <w:r>
        <w:rPr>
          <w:rFonts w:ascii="Arial" w:hAnsi="Arial" w:cs="Arial"/>
        </w:rPr>
        <w:lastRenderedPageBreak/>
        <w:t>Firstly, the level of school greening in instruction among public elementary schools is generally high. This suggests that schools actively implement environmentally responsive practices within their instructional systems. The high ratings in technological growth and instructional capacity indicate that schools are integrating sustainable technologies and adopting instructional frameworks that promote environmental awareness. These practices demonstrate a commitment to fostering a learning environment that is not only academically enriching but also ecologically responsible and aligned with global sustainability goals.</w:t>
      </w:r>
    </w:p>
    <w:p w:rsidR="00FC6B61" w:rsidRDefault="00E26663">
      <w:pPr>
        <w:pStyle w:val="Body"/>
        <w:rPr>
          <w:rFonts w:ascii="Arial" w:hAnsi="Arial" w:cs="Arial"/>
        </w:rPr>
      </w:pPr>
      <w:r>
        <w:rPr>
          <w:rFonts w:ascii="Arial" w:hAnsi="Arial" w:cs="Arial"/>
        </w:rPr>
        <w:t xml:space="preserve">Secondly, the level of the erudition process in public elementary schools is moderate. While teachers demonstrate adequate efforts in delivering instruction and engaging learners, areas such as digital competency, instructional digital literacy, and willingness to integrate sustainability in teaching show only moderate performance. This implies a need for continuous professional development, particularly in the use of digital tools and the application of interactive, </w:t>
      </w:r>
      <w:r w:rsidRPr="00FE5B7E">
        <w:rPr>
          <w:rFonts w:ascii="Arial" w:hAnsi="Arial" w:cs="Arial"/>
          <w:highlight w:val="yellow"/>
        </w:rPr>
        <w:t>sustainability-</w:t>
      </w:r>
      <w:proofErr w:type="spellStart"/>
      <w:r w:rsidRPr="00FE5B7E">
        <w:rPr>
          <w:rFonts w:ascii="Arial" w:hAnsi="Arial" w:cs="Arial"/>
          <w:highlight w:val="yellow"/>
        </w:rPr>
        <w:t>centred</w:t>
      </w:r>
      <w:proofErr w:type="spellEnd"/>
      <w:r w:rsidRPr="00FE5B7E">
        <w:rPr>
          <w:rFonts w:ascii="Arial" w:hAnsi="Arial" w:cs="Arial"/>
          <w:highlight w:val="yellow"/>
        </w:rPr>
        <w:t xml:space="preserve"> teaching</w:t>
      </w:r>
      <w:r>
        <w:rPr>
          <w:rFonts w:ascii="Arial" w:hAnsi="Arial" w:cs="Arial"/>
        </w:rPr>
        <w:t xml:space="preserve"> methods. Strengthening these aspects could enhance both teacher preparedness and student engagement in the learning process.</w:t>
      </w:r>
    </w:p>
    <w:p w:rsidR="00FC6B61" w:rsidRDefault="00E26663">
      <w:pPr>
        <w:pStyle w:val="Body"/>
        <w:rPr>
          <w:rFonts w:ascii="Arial" w:hAnsi="Arial" w:cs="Arial"/>
        </w:rPr>
      </w:pPr>
      <w:r>
        <w:rPr>
          <w:rFonts w:ascii="Arial" w:hAnsi="Arial" w:cs="Arial"/>
        </w:rPr>
        <w:t>Thirdly, a statistically significant and very strong positive relationship exists between school greening in instruction and the erudition process. This confirms that greening initiatives embedded in instructional practices have a direct and meaningful impact on the quality of learning. Schools that effectively integrate environmental concepts into instruction tend to have more dynamic, interactive, and engaging classroom environments. This finding highlights the value of aligning school-based sustainability efforts with educational objectives, as doing so enhances instructional delivery and learning outcomes.</w:t>
      </w:r>
    </w:p>
    <w:p w:rsidR="00FC6B61" w:rsidRDefault="00E26663">
      <w:pPr>
        <w:pStyle w:val="Body"/>
        <w:rPr>
          <w:rFonts w:ascii="Arial" w:hAnsi="Arial" w:cs="Arial"/>
        </w:rPr>
      </w:pPr>
      <w:r>
        <w:rPr>
          <w:rFonts w:ascii="Arial" w:hAnsi="Arial" w:cs="Arial"/>
        </w:rPr>
        <w:t xml:space="preserve">Lastly, all domains of school greening in instruction—technological growth, instructional capacity, and instructional interaction—significantly influence the erudition process. Instructional capacity, in particular, reflects the school's ability to implement structured, sustainable, and well-supported teaching practices. Technological growth underscores the role of digital and ecological tools in modern pedagogy, while instructional interaction </w:t>
      </w:r>
      <w:proofErr w:type="spellStart"/>
      <w:r w:rsidR="00EB7B6F" w:rsidRPr="00FE5B7E">
        <w:rPr>
          <w:rFonts w:ascii="Arial" w:hAnsi="Arial" w:cs="Arial"/>
          <w:highlight w:val="yellow"/>
        </w:rPr>
        <w:t>emphasi</w:t>
      </w:r>
      <w:r w:rsidR="00EB7B6F" w:rsidRPr="00FE5B7E">
        <w:rPr>
          <w:rFonts w:ascii="Arial" w:hAnsi="Arial" w:cs="Arial"/>
          <w:highlight w:val="yellow"/>
        </w:rPr>
        <w:t>s</w:t>
      </w:r>
      <w:r w:rsidR="00EB7B6F" w:rsidRPr="00FE5B7E">
        <w:rPr>
          <w:rFonts w:ascii="Arial" w:hAnsi="Arial" w:cs="Arial"/>
          <w:highlight w:val="yellow"/>
        </w:rPr>
        <w:t>es</w:t>
      </w:r>
      <w:proofErr w:type="spellEnd"/>
      <w:r w:rsidR="00EB7B6F" w:rsidRPr="00FE5B7E">
        <w:rPr>
          <w:rFonts w:ascii="Arial" w:hAnsi="Arial" w:cs="Arial"/>
          <w:highlight w:val="yellow"/>
        </w:rPr>
        <w:t xml:space="preserve"> </w:t>
      </w:r>
      <w:r w:rsidRPr="00FE5B7E">
        <w:rPr>
          <w:rFonts w:ascii="Arial" w:hAnsi="Arial" w:cs="Arial"/>
          <w:highlight w:val="yellow"/>
        </w:rPr>
        <w:t>p</w:t>
      </w:r>
      <w:r>
        <w:rPr>
          <w:rFonts w:ascii="Arial" w:hAnsi="Arial" w:cs="Arial"/>
        </w:rPr>
        <w:t>articipatory and collaborative approaches to learning. Collectively, these domains foster a more effective erudition process by equipping teachers with the tools, structures, and strategies necessary to promote sustainability, critical thinking, and learner engagement. This ultimately contributes to a more responsive, inclusive, and future-ready elementary education system.</w:t>
      </w:r>
    </w:p>
    <w:p w:rsidR="00FC6B61" w:rsidRDefault="00E26663">
      <w:pPr>
        <w:pStyle w:val="Body"/>
        <w:rPr>
          <w:rFonts w:ascii="Arial" w:hAnsi="Arial" w:cs="Arial"/>
        </w:rPr>
      </w:pPr>
      <w:r w:rsidRPr="00FC74F0">
        <w:rPr>
          <w:rFonts w:ascii="Arial" w:hAnsi="Arial" w:cs="Arial"/>
          <w:b/>
          <w:bCs/>
          <w:highlight w:val="yellow"/>
        </w:rPr>
        <w:t>6. RECOMMENDATION</w:t>
      </w:r>
    </w:p>
    <w:p w:rsidR="00FC6B61" w:rsidRDefault="00E26663">
      <w:pPr>
        <w:pStyle w:val="ReferHead"/>
        <w:jc w:val="both"/>
        <w:rPr>
          <w:rFonts w:ascii="Arial" w:hAnsi="Arial" w:cs="Arial"/>
          <w:b w:val="0"/>
          <w:caps w:val="0"/>
          <w:sz w:val="20"/>
        </w:rPr>
      </w:pPr>
      <w:r>
        <w:rPr>
          <w:rFonts w:ascii="Arial" w:hAnsi="Arial" w:cs="Arial"/>
          <w:b w:val="0"/>
          <w:caps w:val="0"/>
          <w:sz w:val="20"/>
        </w:rPr>
        <w:t>Based on the findings and conclusions of this study, the following recommendation are proposed:</w:t>
      </w:r>
    </w:p>
    <w:p w:rsidR="00FC6B61" w:rsidRDefault="00E26663">
      <w:pPr>
        <w:pStyle w:val="ReferHead"/>
        <w:jc w:val="both"/>
        <w:rPr>
          <w:rFonts w:ascii="Arial" w:hAnsi="Arial" w:cs="Arial"/>
          <w:b w:val="0"/>
          <w:caps w:val="0"/>
          <w:sz w:val="20"/>
        </w:rPr>
      </w:pPr>
      <w:r>
        <w:rPr>
          <w:rFonts w:ascii="Arial" w:hAnsi="Arial" w:cs="Arial"/>
          <w:b w:val="0"/>
          <w:caps w:val="0"/>
          <w:sz w:val="20"/>
        </w:rPr>
        <w:t xml:space="preserve">Firstly, considering the high level of school greening in instruction among public elementary schools, it is recommended that school heads and administrators continue to enhance and </w:t>
      </w:r>
      <w:proofErr w:type="spellStart"/>
      <w:r w:rsidR="00EB7B6F" w:rsidRPr="00FE5B7E">
        <w:rPr>
          <w:rFonts w:ascii="Arial" w:hAnsi="Arial" w:cs="Arial"/>
          <w:b w:val="0"/>
          <w:caps w:val="0"/>
          <w:sz w:val="20"/>
          <w:highlight w:val="yellow"/>
        </w:rPr>
        <w:t>institutionali</w:t>
      </w:r>
      <w:r w:rsidR="00EB7B6F" w:rsidRPr="00FE5B7E">
        <w:rPr>
          <w:rFonts w:ascii="Arial" w:hAnsi="Arial" w:cs="Arial"/>
          <w:b w:val="0"/>
          <w:caps w:val="0"/>
          <w:sz w:val="20"/>
          <w:highlight w:val="yellow"/>
        </w:rPr>
        <w:t>s</w:t>
      </w:r>
      <w:r w:rsidR="00EB7B6F" w:rsidRPr="00FE5B7E">
        <w:rPr>
          <w:rFonts w:ascii="Arial" w:hAnsi="Arial" w:cs="Arial"/>
          <w:b w:val="0"/>
          <w:caps w:val="0"/>
          <w:sz w:val="20"/>
          <w:highlight w:val="yellow"/>
        </w:rPr>
        <w:t>e</w:t>
      </w:r>
      <w:proofErr w:type="spellEnd"/>
      <w:r w:rsidR="00EB7B6F" w:rsidRPr="00FE5B7E">
        <w:rPr>
          <w:rFonts w:ascii="Arial" w:hAnsi="Arial" w:cs="Arial"/>
          <w:b w:val="0"/>
          <w:caps w:val="0"/>
          <w:sz w:val="20"/>
          <w:highlight w:val="yellow"/>
        </w:rPr>
        <w:t xml:space="preserve"> </w:t>
      </w:r>
      <w:r w:rsidRPr="00FE5B7E">
        <w:rPr>
          <w:rFonts w:ascii="Arial" w:hAnsi="Arial" w:cs="Arial"/>
          <w:b w:val="0"/>
          <w:caps w:val="0"/>
          <w:sz w:val="20"/>
          <w:highlight w:val="yellow"/>
        </w:rPr>
        <w:t>enviro</w:t>
      </w:r>
      <w:r>
        <w:rPr>
          <w:rFonts w:ascii="Arial" w:hAnsi="Arial" w:cs="Arial"/>
          <w:b w:val="0"/>
          <w:caps w:val="0"/>
          <w:sz w:val="20"/>
        </w:rPr>
        <w:t>nmentally sustainable instructional practices. Professional development programs focusing on sustainability integration, green pedagogy, and the use of eco-friendly technologies should be regularly offered to teachers. These programs will help sustain current practices while deepening teachers' capacity to deliver instruction that aligns with both environmental stewardship and educational quality.</w:t>
      </w:r>
    </w:p>
    <w:p w:rsidR="00FC6B61" w:rsidRDefault="00E26663">
      <w:pPr>
        <w:pStyle w:val="ReferHead"/>
        <w:jc w:val="both"/>
        <w:rPr>
          <w:rFonts w:ascii="Arial" w:hAnsi="Arial" w:cs="Arial"/>
          <w:b w:val="0"/>
          <w:caps w:val="0"/>
          <w:sz w:val="20"/>
        </w:rPr>
      </w:pPr>
      <w:r>
        <w:rPr>
          <w:rFonts w:ascii="Arial" w:hAnsi="Arial" w:cs="Arial"/>
          <w:b w:val="0"/>
          <w:caps w:val="0"/>
          <w:sz w:val="20"/>
        </w:rPr>
        <w:t xml:space="preserve">Secondly, since the level of the erudition process among teachers is moderate, interventions must be made to improve areas such as digital competency, instructional digital literacy, and willingness to engage with sustainability-driven instruction. School administrators should invest in capacity-building programs that strengthen teachers' skills in using digital tools, creating interactive learning experiences, and adopting innovative strategies that promote </w:t>
      </w:r>
      <w:r>
        <w:rPr>
          <w:rFonts w:ascii="Arial" w:hAnsi="Arial" w:cs="Arial"/>
          <w:b w:val="0"/>
          <w:caps w:val="0"/>
          <w:sz w:val="20"/>
        </w:rPr>
        <w:lastRenderedPageBreak/>
        <w:t>learner engagement. Emphasis should also be placed on fostering positive attitudes toward integrating sustainability in everyday instruction.</w:t>
      </w:r>
    </w:p>
    <w:p w:rsidR="00FC6B61" w:rsidRDefault="00E26663">
      <w:pPr>
        <w:pStyle w:val="ReferHead"/>
        <w:jc w:val="both"/>
        <w:rPr>
          <w:rFonts w:ascii="Arial" w:hAnsi="Arial" w:cs="Arial"/>
          <w:b w:val="0"/>
          <w:caps w:val="0"/>
          <w:sz w:val="20"/>
        </w:rPr>
      </w:pPr>
      <w:r>
        <w:rPr>
          <w:rFonts w:ascii="Arial" w:hAnsi="Arial" w:cs="Arial"/>
          <w:b w:val="0"/>
          <w:caps w:val="0"/>
          <w:sz w:val="20"/>
        </w:rPr>
        <w:t>Thirdly, given the strong positive relationship between school greening in instruction and the erudition process, schools should actively integrate greening principles into the overall instructional framework and learning culture. School leaders must promote an environment where sustainability is not only taught as content but also modeled in classroom practices, school activities, and decision-making processes. Embedding green values into the school’s core instructional practices will enhance student engagement, foster critical thinking, and support long-term educational development.</w:t>
      </w:r>
    </w:p>
    <w:p w:rsidR="00FC6B61" w:rsidRDefault="00E26663">
      <w:pPr>
        <w:pStyle w:val="ReferHead"/>
        <w:jc w:val="both"/>
        <w:rPr>
          <w:rFonts w:ascii="Arial" w:hAnsi="Arial" w:cs="Arial"/>
          <w:b w:val="0"/>
          <w:caps w:val="0"/>
          <w:sz w:val="20"/>
        </w:rPr>
      </w:pPr>
      <w:r>
        <w:rPr>
          <w:rFonts w:ascii="Arial" w:hAnsi="Arial" w:cs="Arial"/>
          <w:b w:val="0"/>
          <w:caps w:val="0"/>
          <w:sz w:val="20"/>
        </w:rPr>
        <w:t>Fourthly, since all domains of school greening in instruction—technological growth, instructional capacity, and instructional interaction—significantly influence the erudition process, it is recommended that targeted interventions be implemented to strengthen each domain. Technological growth may be supported through increased access to green technology and digital infrastructure. Instructional capacity can be developed through teacher mentoring, curriculum enhancement, and pedagogical training. Instructional interaction should be enhanced through collaborative learning models and project-based environmental activities that actively involve students in sustainable learning experiences.</w:t>
      </w:r>
    </w:p>
    <w:p w:rsidR="00FC6B61" w:rsidRDefault="00E26663">
      <w:pPr>
        <w:pStyle w:val="ReferHead"/>
        <w:spacing w:after="0"/>
        <w:jc w:val="both"/>
        <w:rPr>
          <w:rFonts w:ascii="Arial" w:hAnsi="Arial" w:cs="Arial"/>
          <w:b w:val="0"/>
          <w:caps w:val="0"/>
          <w:sz w:val="20"/>
        </w:rPr>
      </w:pPr>
      <w:r>
        <w:rPr>
          <w:rFonts w:ascii="Arial" w:hAnsi="Arial" w:cs="Arial"/>
          <w:b w:val="0"/>
          <w:caps w:val="0"/>
          <w:sz w:val="20"/>
        </w:rPr>
        <w:t>Lastly, future research should explore other variables that may influence the relationship between school greening and the erudition process, such as teacher attitudes, administrative support, and student participation in green initiatives. Researchers are encouraged to employ qualitative or mixed-method approaches to gain deeper insights into the contextual factors affecting the success of greening education programs. Longitudinal studies may also be conducted to assess the long-term impact of school greening on instructional quality and student learning outcomes in various elementary school settings.</w:t>
      </w:r>
    </w:p>
    <w:p w:rsidR="00FC6B61" w:rsidRDefault="00FC6B61">
      <w:pPr>
        <w:pStyle w:val="ReferHead"/>
        <w:spacing w:after="0"/>
        <w:jc w:val="both"/>
        <w:rPr>
          <w:rFonts w:ascii="Arial" w:hAnsi="Arial" w:cs="Arial"/>
          <w:b w:val="0"/>
          <w:caps w:val="0"/>
          <w:sz w:val="20"/>
        </w:rPr>
      </w:pPr>
    </w:p>
    <w:p w:rsidR="00FC6B61" w:rsidRDefault="00E26663">
      <w:pPr>
        <w:pStyle w:val="ReferHead"/>
        <w:spacing w:after="0"/>
        <w:jc w:val="both"/>
        <w:rPr>
          <w:rFonts w:ascii="Arial" w:hAnsi="Arial" w:cs="Arial"/>
          <w:bCs/>
          <w:sz w:val="20"/>
        </w:rPr>
      </w:pPr>
      <w:r>
        <w:rPr>
          <w:rFonts w:ascii="Arial" w:hAnsi="Arial" w:cs="Arial"/>
          <w:bCs/>
          <w:sz w:val="20"/>
        </w:rPr>
        <w:t xml:space="preserve">Consent </w:t>
      </w:r>
    </w:p>
    <w:p w:rsidR="00FC6B61" w:rsidRDefault="00FC6B61">
      <w:pPr>
        <w:pStyle w:val="ReferHead"/>
        <w:spacing w:after="0"/>
        <w:jc w:val="both"/>
        <w:rPr>
          <w:rFonts w:ascii="Arial" w:hAnsi="Arial" w:cs="Arial"/>
          <w:bCs/>
          <w:sz w:val="20"/>
        </w:rPr>
      </w:pPr>
    </w:p>
    <w:p w:rsidR="00FC6B61" w:rsidRDefault="00E26663">
      <w:pPr>
        <w:pStyle w:val="ReferHead"/>
        <w:spacing w:after="0"/>
        <w:jc w:val="both"/>
        <w:rPr>
          <w:rFonts w:ascii="Arial" w:hAnsi="Arial" w:cs="Arial"/>
          <w:b w:val="0"/>
          <w:caps w:val="0"/>
          <w:sz w:val="20"/>
        </w:rPr>
      </w:pPr>
      <w:r>
        <w:rPr>
          <w:rFonts w:ascii="Arial" w:hAnsi="Arial" w:cs="Arial"/>
          <w:b w:val="0"/>
          <w:caps w:val="0"/>
          <w:sz w:val="20"/>
        </w:rPr>
        <w:t xml:space="preserve">This study adhered rigorously to ethical research protocols to protect the dignity, rights, and welfare of all participants. Before beginning data collection, the researcher secured all required authorizations, including formal approval from the Dean of the Graduate School of Rizal Memorial Colleges and ethical clearance from the institution’s Ethics Review Committee. The study was guided by the ethical principles outlined by </w:t>
      </w:r>
      <w:proofErr w:type="spellStart"/>
      <w:r>
        <w:rPr>
          <w:rFonts w:ascii="Arial" w:hAnsi="Arial" w:cs="Arial"/>
          <w:b w:val="0"/>
          <w:caps w:val="0"/>
          <w:sz w:val="20"/>
        </w:rPr>
        <w:t>Pregoner</w:t>
      </w:r>
      <w:proofErr w:type="spellEnd"/>
      <w:r>
        <w:rPr>
          <w:rFonts w:ascii="Arial" w:hAnsi="Arial" w:cs="Arial"/>
          <w:b w:val="0"/>
          <w:caps w:val="0"/>
          <w:sz w:val="20"/>
        </w:rPr>
        <w:t xml:space="preserve"> et al. (2025), which are widely accepted as standards in educational research involving human participants. Participation in the study was completely voluntary, and all involved public elementary school teachers were thoroughly informed about the study’s intent, objectives, and its focus on disciplinary strategies and associated social concerns. Participants were clearly advised of their right to refuse or withdraw from the study at any stage without penalty. Informed consent was obtained from all respondents. To uphold confidentiality, no personal identifiers were recorded or stored, and all data were treated with strict privacy, used exclusively for scholarly analysis. These procedures reflected a firm commitment to ethical conduct, transparency, and the protection of participant rights throughout the research process.</w:t>
      </w:r>
    </w:p>
    <w:p w:rsidR="00FC6B61" w:rsidRDefault="00FC6B61">
      <w:pPr>
        <w:pStyle w:val="ReferHead"/>
        <w:spacing w:after="0"/>
        <w:jc w:val="both"/>
        <w:rPr>
          <w:rFonts w:ascii="Arial" w:hAnsi="Arial" w:cs="Arial"/>
          <w:b w:val="0"/>
          <w:caps w:val="0"/>
          <w:sz w:val="20"/>
        </w:rPr>
      </w:pPr>
    </w:p>
    <w:p w:rsidR="00FC6B61" w:rsidRDefault="00E26663">
      <w:pPr>
        <w:pStyle w:val="ReferHead"/>
        <w:spacing w:after="0"/>
        <w:jc w:val="both"/>
        <w:rPr>
          <w:rFonts w:ascii="Arial" w:hAnsi="Arial" w:cs="Arial"/>
          <w:b w:val="0"/>
          <w:caps w:val="0"/>
          <w:sz w:val="20"/>
        </w:rPr>
      </w:pPr>
      <w:r>
        <w:rPr>
          <w:rFonts w:ascii="Arial" w:hAnsi="Arial" w:cs="Arial"/>
          <w:b w:val="0"/>
          <w:caps w:val="0"/>
          <w:sz w:val="20"/>
        </w:rPr>
        <w:t>Disclaimer (Artificial Intelligence)</w:t>
      </w:r>
    </w:p>
    <w:p w:rsidR="00FC6B61" w:rsidRDefault="00FC6B61">
      <w:pPr>
        <w:pStyle w:val="ReferHead"/>
        <w:spacing w:after="0"/>
        <w:jc w:val="both"/>
        <w:rPr>
          <w:rFonts w:ascii="Arial" w:hAnsi="Arial" w:cs="Arial"/>
          <w:b w:val="0"/>
          <w:caps w:val="0"/>
          <w:sz w:val="20"/>
        </w:rPr>
      </w:pPr>
    </w:p>
    <w:p w:rsidR="00FC6B61" w:rsidRDefault="00FC6B61">
      <w:pPr>
        <w:pStyle w:val="ReferHead"/>
        <w:spacing w:after="0"/>
        <w:jc w:val="both"/>
        <w:rPr>
          <w:rFonts w:ascii="Arial" w:hAnsi="Arial" w:cs="Arial"/>
          <w:b w:val="0"/>
          <w:caps w:val="0"/>
          <w:sz w:val="20"/>
        </w:rPr>
      </w:pPr>
    </w:p>
    <w:p w:rsidR="00FC6B61" w:rsidRDefault="00E26663">
      <w:pPr>
        <w:jc w:val="both"/>
        <w:rPr>
          <w:rFonts w:ascii="Arial" w:eastAsia="Calibri" w:hAnsi="Arial" w:cs="Arial"/>
          <w:kern w:val="2"/>
          <w:sz w:val="20"/>
          <w:szCs w:val="20"/>
        </w:rPr>
      </w:pPr>
      <w:r>
        <w:rPr>
          <w:rFonts w:ascii="Arial" w:eastAsia="Calibri" w:hAnsi="Arial" w:cs="Arial"/>
          <w:kern w:val="2"/>
          <w:sz w:val="20"/>
          <w:szCs w:val="20"/>
        </w:rPr>
        <w:t xml:space="preserve">The author(s) hereby declare that generative AI technologies have been used during the writing and editing of this manuscript. The details of the AI usage are as follows: </w:t>
      </w:r>
    </w:p>
    <w:p w:rsidR="00FC6B61" w:rsidRDefault="00FC6B61">
      <w:pPr>
        <w:jc w:val="both"/>
        <w:rPr>
          <w:rFonts w:ascii="Arial" w:eastAsia="Calibri" w:hAnsi="Arial" w:cs="Arial"/>
          <w:kern w:val="2"/>
          <w:sz w:val="20"/>
          <w:szCs w:val="20"/>
        </w:rPr>
      </w:pPr>
    </w:p>
    <w:p w:rsidR="00FC6B61" w:rsidRDefault="00E26663">
      <w:pPr>
        <w:numPr>
          <w:ilvl w:val="0"/>
          <w:numId w:val="4"/>
        </w:numPr>
        <w:ind w:left="540"/>
        <w:jc w:val="both"/>
        <w:rPr>
          <w:rFonts w:ascii="Arial" w:eastAsia="Calibri" w:hAnsi="Arial" w:cs="Arial"/>
          <w:kern w:val="2"/>
          <w:sz w:val="20"/>
          <w:szCs w:val="20"/>
        </w:rPr>
      </w:pPr>
      <w:r>
        <w:rPr>
          <w:rFonts w:ascii="Arial" w:eastAsia="Calibri" w:hAnsi="Arial" w:cs="Arial"/>
          <w:kern w:val="2"/>
          <w:sz w:val="20"/>
          <w:szCs w:val="20"/>
        </w:rPr>
        <w:t xml:space="preserve">Grammarly: Used for grammar and spellchecking, as well as suggestions for improving sentence structure and overall clarity. </w:t>
      </w:r>
    </w:p>
    <w:p w:rsidR="00FC6B61" w:rsidRPr="005D4D9A" w:rsidRDefault="00E26663" w:rsidP="005D4D9A">
      <w:pPr>
        <w:numPr>
          <w:ilvl w:val="0"/>
          <w:numId w:val="4"/>
        </w:numPr>
        <w:ind w:left="540"/>
        <w:jc w:val="both"/>
        <w:rPr>
          <w:rFonts w:ascii="Arial" w:hAnsi="Arial" w:cs="Arial"/>
          <w:sz w:val="20"/>
          <w:szCs w:val="20"/>
        </w:rPr>
      </w:pPr>
      <w:r>
        <w:rPr>
          <w:rFonts w:ascii="Arial" w:eastAsia="Calibri" w:hAnsi="Arial" w:cs="Arial"/>
          <w:kern w:val="2"/>
          <w:sz w:val="20"/>
          <w:szCs w:val="20"/>
        </w:rPr>
        <w:lastRenderedPageBreak/>
        <w:t>Quillbot: Employed for paraphrasing and refining sentence flow to enhance readability and coherence.</w:t>
      </w:r>
    </w:p>
    <w:p w:rsidR="00FC6B61" w:rsidRDefault="00FC6B61">
      <w:pPr>
        <w:pStyle w:val="ReferHead"/>
        <w:spacing w:after="0"/>
        <w:jc w:val="both"/>
        <w:rPr>
          <w:rFonts w:ascii="Arial" w:hAnsi="Arial" w:cs="Arial"/>
          <w:b w:val="0"/>
          <w:caps w:val="0"/>
          <w:sz w:val="20"/>
        </w:rPr>
      </w:pPr>
    </w:p>
    <w:p w:rsidR="00FC6B61" w:rsidRDefault="00E26663">
      <w:pPr>
        <w:pStyle w:val="ReferHead"/>
        <w:spacing w:after="0"/>
        <w:jc w:val="both"/>
        <w:rPr>
          <w:rFonts w:ascii="Arial" w:hAnsi="Arial" w:cs="Arial"/>
          <w:sz w:val="20"/>
        </w:rPr>
      </w:pPr>
      <w:r>
        <w:rPr>
          <w:rFonts w:ascii="Arial" w:hAnsi="Arial" w:cs="Arial"/>
          <w:sz w:val="20"/>
        </w:rPr>
        <w:t>References</w:t>
      </w:r>
    </w:p>
    <w:p w:rsidR="00FC6B61" w:rsidRDefault="00FC6B61">
      <w:pPr>
        <w:rPr>
          <w:color w:val="000000" w:themeColor="text1"/>
          <w:sz w:val="20"/>
          <w:szCs w:val="20"/>
        </w:rPr>
      </w:pPr>
    </w:p>
    <w:p w:rsidR="00FC6B61" w:rsidRDefault="00E26663">
      <w:pPr>
        <w:ind w:left="851" w:hanging="851"/>
        <w:jc w:val="both"/>
        <w:rPr>
          <w:sz w:val="20"/>
          <w:szCs w:val="20"/>
        </w:rPr>
      </w:pPr>
      <w:r>
        <w:rPr>
          <w:rFonts w:ascii="Arial" w:hAnsi="Arial" w:cs="Arial"/>
          <w:color w:val="222222"/>
          <w:sz w:val="20"/>
          <w:szCs w:val="20"/>
          <w:shd w:val="clear" w:color="auto" w:fill="FFFFFF"/>
        </w:rPr>
        <w:t xml:space="preserve">Akinsemolu, A. A., &amp; </w:t>
      </w:r>
      <w:proofErr w:type="spellStart"/>
      <w:r>
        <w:rPr>
          <w:rFonts w:ascii="Arial" w:hAnsi="Arial" w:cs="Arial"/>
          <w:color w:val="222222"/>
          <w:sz w:val="20"/>
          <w:szCs w:val="20"/>
          <w:shd w:val="clear" w:color="auto" w:fill="FFFFFF"/>
        </w:rPr>
        <w:t>Onyeaka</w:t>
      </w:r>
      <w:proofErr w:type="spellEnd"/>
      <w:r>
        <w:rPr>
          <w:rFonts w:ascii="Arial" w:hAnsi="Arial" w:cs="Arial"/>
          <w:color w:val="222222"/>
          <w:sz w:val="20"/>
          <w:szCs w:val="20"/>
          <w:shd w:val="clear" w:color="auto" w:fill="FFFFFF"/>
        </w:rPr>
        <w:t xml:space="preserve">, H. (2025). The role of green education in achieving the sustainable development goals: A review. </w:t>
      </w:r>
      <w:r>
        <w:rPr>
          <w:rFonts w:ascii="Arial" w:hAnsi="Arial" w:cs="Arial"/>
          <w:i/>
          <w:iCs/>
          <w:color w:val="222222"/>
          <w:sz w:val="20"/>
          <w:szCs w:val="20"/>
          <w:shd w:val="clear" w:color="auto" w:fill="FFFFFF"/>
        </w:rPr>
        <w:t>Renewable and Sustainable Energy Reviews</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210</w:t>
      </w:r>
      <w:r>
        <w:rPr>
          <w:rFonts w:ascii="Arial" w:hAnsi="Arial" w:cs="Arial"/>
          <w:color w:val="222222"/>
          <w:sz w:val="20"/>
          <w:szCs w:val="20"/>
          <w:shd w:val="clear" w:color="auto" w:fill="FFFFFF"/>
        </w:rPr>
        <w:t>, 115239.</w:t>
      </w:r>
      <w:hyperlink r:id="rId9" w:history="1">
        <w:r>
          <w:rPr>
            <w:rFonts w:ascii="Arial" w:hAnsi="Arial" w:cs="Arial"/>
            <w:color w:val="1155CC"/>
            <w:sz w:val="20"/>
            <w:szCs w:val="20"/>
            <w:u w:val="single"/>
            <w:shd w:val="clear" w:color="auto" w:fill="FFFFFF"/>
          </w:rPr>
          <w:t>https://www.sciencedirect.com/science/article/pii/S1364032124009651</w:t>
        </w:r>
      </w:hyperlink>
    </w:p>
    <w:p w:rsidR="00FC6B61" w:rsidRDefault="00E26663">
      <w:pPr>
        <w:ind w:left="851" w:hanging="851"/>
        <w:jc w:val="both"/>
        <w:rPr>
          <w:sz w:val="20"/>
          <w:szCs w:val="20"/>
        </w:rPr>
      </w:pPr>
      <w:r>
        <w:rPr>
          <w:rFonts w:ascii="Arial" w:hAnsi="Arial" w:cs="Arial"/>
          <w:color w:val="222222"/>
          <w:sz w:val="20"/>
          <w:szCs w:val="20"/>
          <w:shd w:val="clear" w:color="auto" w:fill="FFFFFF"/>
        </w:rPr>
        <w:t xml:space="preserve">Assefa, E. A. (2024). From classrooms to global impact: Leveraging quality education to shape a sustainable, interconnected world. </w:t>
      </w:r>
      <w:r>
        <w:rPr>
          <w:rFonts w:ascii="Arial" w:hAnsi="Arial" w:cs="Arial"/>
          <w:i/>
          <w:iCs/>
          <w:color w:val="222222"/>
          <w:sz w:val="20"/>
          <w:szCs w:val="20"/>
          <w:shd w:val="clear" w:color="auto" w:fill="FFFFFF"/>
        </w:rPr>
        <w:t>The Journal of Quality in Education</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xml:space="preserve">(24), 1-24. </w:t>
      </w:r>
      <w:hyperlink r:id="rId10" w:history="1">
        <w:r>
          <w:rPr>
            <w:rFonts w:ascii="Arial" w:hAnsi="Arial" w:cs="Arial"/>
            <w:color w:val="1155CC"/>
            <w:sz w:val="20"/>
            <w:szCs w:val="20"/>
            <w:u w:val="single"/>
            <w:shd w:val="clear" w:color="auto" w:fill="FFFFFF"/>
          </w:rPr>
          <w:t>https://joqie.org/index.php/joqie/article/view/441</w:t>
        </w:r>
      </w:hyperlink>
    </w:p>
    <w:p w:rsidR="00FC6B61" w:rsidRDefault="00E26663">
      <w:pPr>
        <w:ind w:left="851" w:hanging="851"/>
        <w:jc w:val="both"/>
        <w:rPr>
          <w:sz w:val="20"/>
          <w:szCs w:val="20"/>
        </w:rPr>
      </w:pPr>
      <w:r>
        <w:rPr>
          <w:rFonts w:ascii="Arial" w:hAnsi="Arial" w:cs="Arial"/>
          <w:color w:val="222222"/>
          <w:sz w:val="20"/>
          <w:szCs w:val="20"/>
          <w:shd w:val="clear" w:color="auto" w:fill="FFFFFF"/>
        </w:rPr>
        <w:t xml:space="preserve">Chiba, M., Sustarsic, M., </w:t>
      </w:r>
      <w:proofErr w:type="spellStart"/>
      <w:r>
        <w:rPr>
          <w:rFonts w:ascii="Arial" w:hAnsi="Arial" w:cs="Arial"/>
          <w:color w:val="222222"/>
          <w:sz w:val="20"/>
          <w:szCs w:val="20"/>
          <w:shd w:val="clear" w:color="auto" w:fill="FFFFFF"/>
        </w:rPr>
        <w:t>Perriton</w:t>
      </w:r>
      <w:proofErr w:type="spellEnd"/>
      <w:r>
        <w:rPr>
          <w:rFonts w:ascii="Arial" w:hAnsi="Arial" w:cs="Arial"/>
          <w:color w:val="222222"/>
          <w:sz w:val="20"/>
          <w:szCs w:val="20"/>
          <w:shd w:val="clear" w:color="auto" w:fill="FFFFFF"/>
        </w:rPr>
        <w:t xml:space="preserve">, S., &amp; Edwards Jr, D. B. (2021). Investigating effective teaching and learning for sustainable development and global citizenship: Implications from a systematic review of the literature. </w:t>
      </w:r>
      <w:r>
        <w:rPr>
          <w:rFonts w:ascii="Arial" w:hAnsi="Arial" w:cs="Arial"/>
          <w:i/>
          <w:iCs/>
          <w:color w:val="222222"/>
          <w:sz w:val="20"/>
          <w:szCs w:val="20"/>
          <w:shd w:val="clear" w:color="auto" w:fill="FFFFFF"/>
        </w:rPr>
        <w:t>International Journal of Educational Development</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81</w:t>
      </w:r>
      <w:r>
        <w:rPr>
          <w:rFonts w:ascii="Arial" w:hAnsi="Arial" w:cs="Arial"/>
          <w:color w:val="222222"/>
          <w:sz w:val="20"/>
          <w:szCs w:val="20"/>
          <w:shd w:val="clear" w:color="auto" w:fill="FFFFFF"/>
        </w:rPr>
        <w:t xml:space="preserve">, 102337. </w:t>
      </w:r>
      <w:hyperlink r:id="rId11" w:history="1">
        <w:r>
          <w:rPr>
            <w:rFonts w:ascii="Arial" w:hAnsi="Arial" w:cs="Arial"/>
            <w:color w:val="1155CC"/>
            <w:sz w:val="20"/>
            <w:szCs w:val="20"/>
            <w:u w:val="single"/>
            <w:shd w:val="clear" w:color="auto" w:fill="FFFFFF"/>
          </w:rPr>
          <w:t>https://www.sciencedirect.com/science/article/abs/pii/S073805932030496X</w:t>
        </w:r>
      </w:hyperlink>
    </w:p>
    <w:p w:rsidR="00FC6B61" w:rsidRDefault="00E26663">
      <w:pPr>
        <w:ind w:left="851" w:hanging="851"/>
        <w:jc w:val="both"/>
        <w:rPr>
          <w:sz w:val="20"/>
          <w:szCs w:val="20"/>
        </w:rPr>
      </w:pPr>
      <w:r>
        <w:rPr>
          <w:rFonts w:ascii="Arial" w:hAnsi="Arial" w:cs="Arial"/>
          <w:color w:val="222222"/>
          <w:sz w:val="20"/>
          <w:szCs w:val="20"/>
          <w:shd w:val="clear" w:color="auto" w:fill="FFFFFF"/>
        </w:rPr>
        <w:t xml:space="preserve">Corpuz, A. M., San Andres, T. C., &amp; Lagasca, J. M. (2022). Integration of environmental education (EE) in teacher education programs: Toward sustainable curriculum greening. </w:t>
      </w:r>
      <w:r>
        <w:rPr>
          <w:rFonts w:ascii="Arial" w:hAnsi="Arial" w:cs="Arial"/>
          <w:i/>
          <w:iCs/>
          <w:color w:val="222222"/>
          <w:sz w:val="20"/>
          <w:szCs w:val="20"/>
          <w:shd w:val="clear" w:color="auto" w:fill="FFFFFF"/>
        </w:rPr>
        <w:t>Problems of Education in the 21st Century</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80</w:t>
      </w:r>
      <w:r>
        <w:rPr>
          <w:rFonts w:ascii="Arial" w:hAnsi="Arial" w:cs="Arial"/>
          <w:color w:val="222222"/>
          <w:sz w:val="20"/>
          <w:szCs w:val="20"/>
          <w:shd w:val="clear" w:color="auto" w:fill="FFFFFF"/>
        </w:rPr>
        <w:t xml:space="preserve">(1), 119. </w:t>
      </w:r>
      <w:hyperlink r:id="rId12" w:history="1">
        <w:r>
          <w:rPr>
            <w:rFonts w:ascii="Arial" w:hAnsi="Arial" w:cs="Arial"/>
            <w:color w:val="1155CC"/>
            <w:sz w:val="20"/>
            <w:szCs w:val="20"/>
            <w:u w:val="single"/>
            <w:shd w:val="clear" w:color="auto" w:fill="FFFFFF"/>
          </w:rPr>
          <w:t>https://www.ceeol.com/search/article-detail?id=1021700</w:t>
        </w:r>
      </w:hyperlink>
    </w:p>
    <w:p w:rsidR="00FC6B61" w:rsidRDefault="00E26663">
      <w:pPr>
        <w:ind w:left="851" w:hanging="851"/>
        <w:jc w:val="both"/>
        <w:rPr>
          <w:sz w:val="20"/>
          <w:szCs w:val="20"/>
        </w:rPr>
      </w:pPr>
      <w:r>
        <w:rPr>
          <w:rFonts w:ascii="Arial" w:hAnsi="Arial" w:cs="Arial"/>
          <w:color w:val="222222"/>
          <w:sz w:val="20"/>
          <w:szCs w:val="20"/>
          <w:shd w:val="clear" w:color="auto" w:fill="FFFFFF"/>
        </w:rPr>
        <w:t xml:space="preserve">Coyle, K. J. (2020). Green schools in the United States. In </w:t>
      </w:r>
      <w:r>
        <w:rPr>
          <w:rFonts w:ascii="Arial" w:hAnsi="Arial" w:cs="Arial"/>
          <w:i/>
          <w:iCs/>
          <w:color w:val="222222"/>
          <w:sz w:val="20"/>
          <w:szCs w:val="20"/>
          <w:shd w:val="clear" w:color="auto" w:fill="FFFFFF"/>
        </w:rPr>
        <w:t>Green schools globally: Stories of impact on education for sustainable development</w:t>
      </w:r>
      <w:r>
        <w:rPr>
          <w:rFonts w:ascii="Arial" w:hAnsi="Arial" w:cs="Arial"/>
          <w:color w:val="222222"/>
          <w:sz w:val="20"/>
          <w:szCs w:val="20"/>
          <w:shd w:val="clear" w:color="auto" w:fill="FFFFFF"/>
        </w:rPr>
        <w:t xml:space="preserve"> (pp. 385-401). Cham: Springer International Publishing. </w:t>
      </w:r>
      <w:hyperlink r:id="rId13" w:history="1">
        <w:r>
          <w:rPr>
            <w:rFonts w:ascii="Arial" w:hAnsi="Arial" w:cs="Arial"/>
            <w:color w:val="1155CC"/>
            <w:sz w:val="20"/>
            <w:szCs w:val="20"/>
            <w:u w:val="single"/>
            <w:shd w:val="clear" w:color="auto" w:fill="FFFFFF"/>
          </w:rPr>
          <w:t>https://link.springer.com/chapter/10.1007/978-3-030-46820-0_21</w:t>
        </w:r>
      </w:hyperlink>
    </w:p>
    <w:p w:rsidR="00FC6B61" w:rsidRDefault="00E26663">
      <w:pPr>
        <w:ind w:left="851" w:hanging="851"/>
        <w:jc w:val="both"/>
        <w:rPr>
          <w:sz w:val="20"/>
          <w:szCs w:val="20"/>
        </w:rPr>
      </w:pPr>
      <w:proofErr w:type="spellStart"/>
      <w:r>
        <w:rPr>
          <w:rFonts w:ascii="Arial" w:hAnsi="Arial" w:cs="Arial"/>
          <w:color w:val="222222"/>
          <w:sz w:val="20"/>
          <w:szCs w:val="20"/>
          <w:shd w:val="clear" w:color="auto" w:fill="FFFFFF"/>
        </w:rPr>
        <w:t>Denzon</w:t>
      </w:r>
      <w:proofErr w:type="spellEnd"/>
      <w:r>
        <w:rPr>
          <w:rFonts w:ascii="Arial" w:hAnsi="Arial" w:cs="Arial"/>
          <w:color w:val="222222"/>
          <w:sz w:val="20"/>
          <w:szCs w:val="20"/>
          <w:shd w:val="clear" w:color="auto" w:fill="FFFFFF"/>
        </w:rPr>
        <w:t xml:space="preserve">, W., </w:t>
      </w:r>
      <w:proofErr w:type="spellStart"/>
      <w:r>
        <w:rPr>
          <w:rFonts w:ascii="Arial" w:hAnsi="Arial" w:cs="Arial"/>
          <w:color w:val="222222"/>
          <w:sz w:val="20"/>
          <w:szCs w:val="20"/>
          <w:shd w:val="clear" w:color="auto" w:fill="FFFFFF"/>
        </w:rPr>
        <w:t>Estose</w:t>
      </w:r>
      <w:proofErr w:type="spellEnd"/>
      <w:r>
        <w:rPr>
          <w:rFonts w:ascii="Arial" w:hAnsi="Arial" w:cs="Arial"/>
          <w:color w:val="222222"/>
          <w:sz w:val="20"/>
          <w:szCs w:val="20"/>
          <w:shd w:val="clear" w:color="auto" w:fill="FFFFFF"/>
        </w:rPr>
        <w:t xml:space="preserve">, M. C., Villanueva, K. C., &amp; Jao, J. H. (2023). Container gardening program as a way of food augmentation: action research. </w:t>
      </w:r>
      <w:r>
        <w:rPr>
          <w:rFonts w:ascii="Arial" w:hAnsi="Arial" w:cs="Arial"/>
          <w:i/>
          <w:iCs/>
          <w:color w:val="222222"/>
          <w:sz w:val="20"/>
          <w:szCs w:val="20"/>
          <w:shd w:val="clear" w:color="auto" w:fill="FFFFFF"/>
        </w:rPr>
        <w:t>Multidisciplinary Science Journal</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 xml:space="preserve">(4), 2023043-2023043. </w:t>
      </w:r>
      <w:hyperlink r:id="rId14" w:history="1">
        <w:r>
          <w:rPr>
            <w:rFonts w:ascii="Arial" w:hAnsi="Arial" w:cs="Arial"/>
            <w:color w:val="1155CC"/>
            <w:sz w:val="20"/>
            <w:szCs w:val="20"/>
            <w:u w:val="single"/>
            <w:shd w:val="clear" w:color="auto" w:fill="FFFFFF"/>
          </w:rPr>
          <w:t>https://www.doi.org/10.5281/zenodo.8185991</w:t>
        </w:r>
      </w:hyperlink>
    </w:p>
    <w:p w:rsidR="00FC6B61" w:rsidRDefault="00E26663">
      <w:pPr>
        <w:ind w:left="851" w:hanging="851"/>
        <w:jc w:val="both"/>
        <w:rPr>
          <w:sz w:val="20"/>
          <w:szCs w:val="20"/>
        </w:rPr>
      </w:pPr>
      <w:proofErr w:type="spellStart"/>
      <w:r>
        <w:rPr>
          <w:rFonts w:ascii="Arial" w:hAnsi="Arial" w:cs="Arial"/>
          <w:color w:val="222222"/>
          <w:sz w:val="20"/>
          <w:szCs w:val="20"/>
          <w:shd w:val="clear" w:color="auto" w:fill="FFFFFF"/>
        </w:rPr>
        <w:t>Derder</w:t>
      </w:r>
      <w:proofErr w:type="spellEnd"/>
      <w:r>
        <w:rPr>
          <w:rFonts w:ascii="Arial" w:hAnsi="Arial" w:cs="Arial"/>
          <w:color w:val="222222"/>
          <w:sz w:val="20"/>
          <w:szCs w:val="20"/>
          <w:shd w:val="clear" w:color="auto" w:fill="FFFFFF"/>
        </w:rPr>
        <w:t xml:space="preserve">, A. T., Sudaria, R. V., &amp; Paglinawan, J. L. (2024). Digital infrastructure on teaching effectiveness of public-school teachers. </w:t>
      </w:r>
      <w:r>
        <w:rPr>
          <w:rFonts w:ascii="Arial" w:hAnsi="Arial" w:cs="Arial"/>
          <w:i/>
          <w:iCs/>
          <w:color w:val="222222"/>
          <w:sz w:val="20"/>
          <w:szCs w:val="20"/>
          <w:shd w:val="clear" w:color="auto" w:fill="FFFFFF"/>
        </w:rPr>
        <w:t>Enhancing Equity and Excellence in Education</w:t>
      </w:r>
      <w:r>
        <w:rPr>
          <w:rFonts w:ascii="Arial" w:hAnsi="Arial" w:cs="Arial"/>
          <w:color w:val="222222"/>
          <w:sz w:val="20"/>
          <w:szCs w:val="20"/>
          <w:shd w:val="clear" w:color="auto" w:fill="FFFFFF"/>
        </w:rPr>
        <w:t xml:space="preserve">, 62. </w:t>
      </w:r>
      <w:hyperlink r:id="rId15" w:history="1">
        <w:r>
          <w:rPr>
            <w:rFonts w:ascii="Arial" w:hAnsi="Arial" w:cs="Arial"/>
            <w:color w:val="1155CC"/>
            <w:sz w:val="20"/>
            <w:szCs w:val="20"/>
            <w:u w:val="single"/>
            <w:shd w:val="clear" w:color="auto" w:fill="FFFFFF"/>
          </w:rPr>
          <w:t>https://pdfs.semanticscholar.org/1177/ad50ce27241ecbe458c4f2d99f4f4ae53027.pdf</w:t>
        </w:r>
      </w:hyperlink>
    </w:p>
    <w:p w:rsidR="00FC6B61" w:rsidRDefault="00E26663">
      <w:pPr>
        <w:ind w:left="851" w:hanging="851"/>
        <w:jc w:val="both"/>
        <w:rPr>
          <w:sz w:val="20"/>
          <w:szCs w:val="20"/>
        </w:rPr>
      </w:pPr>
      <w:proofErr w:type="spellStart"/>
      <w:r>
        <w:rPr>
          <w:rFonts w:ascii="Arial" w:hAnsi="Arial" w:cs="Arial"/>
          <w:color w:val="222222"/>
          <w:sz w:val="20"/>
          <w:szCs w:val="20"/>
          <w:shd w:val="clear" w:color="auto" w:fill="FFFFFF"/>
        </w:rPr>
        <w:t>Duclairoir</w:t>
      </w:r>
      <w:proofErr w:type="spellEnd"/>
      <w:r>
        <w:rPr>
          <w:rFonts w:ascii="Arial" w:hAnsi="Arial" w:cs="Arial"/>
          <w:color w:val="222222"/>
          <w:sz w:val="20"/>
          <w:szCs w:val="20"/>
          <w:shd w:val="clear" w:color="auto" w:fill="FFFFFF"/>
        </w:rPr>
        <w:t xml:space="preserve">, F. (2020). </w:t>
      </w:r>
      <w:r>
        <w:rPr>
          <w:rFonts w:ascii="Arial" w:hAnsi="Arial" w:cs="Arial"/>
          <w:i/>
          <w:iCs/>
          <w:color w:val="222222"/>
          <w:sz w:val="20"/>
          <w:szCs w:val="20"/>
          <w:shd w:val="clear" w:color="auto" w:fill="FFFFFF"/>
        </w:rPr>
        <w:t>Development of functionalized graphene assemblies as solid support for energy storage, extraction and catalysis applications</w:t>
      </w:r>
      <w:r>
        <w:rPr>
          <w:rFonts w:ascii="Arial" w:hAnsi="Arial" w:cs="Arial"/>
          <w:color w:val="222222"/>
          <w:sz w:val="20"/>
          <w:szCs w:val="20"/>
          <w:shd w:val="clear" w:color="auto" w:fill="FFFFFF"/>
        </w:rPr>
        <w:t xml:space="preserve"> (Doctoral dissertation, Université Grenoble Alpes). </w:t>
      </w:r>
      <w:hyperlink r:id="rId16" w:history="1">
        <w:r>
          <w:rPr>
            <w:rFonts w:ascii="Arial" w:hAnsi="Arial" w:cs="Arial"/>
            <w:color w:val="1155CC"/>
            <w:sz w:val="20"/>
            <w:szCs w:val="20"/>
            <w:u w:val="single"/>
            <w:shd w:val="clear" w:color="auto" w:fill="FFFFFF"/>
          </w:rPr>
          <w:t>https://hal.science/tel-04970761/document</w:t>
        </w:r>
      </w:hyperlink>
    </w:p>
    <w:p w:rsidR="00FC6B61" w:rsidRDefault="00E26663">
      <w:pPr>
        <w:ind w:left="851" w:hanging="851"/>
        <w:jc w:val="both"/>
        <w:rPr>
          <w:sz w:val="20"/>
          <w:szCs w:val="20"/>
        </w:rPr>
      </w:pPr>
      <w:r>
        <w:rPr>
          <w:rFonts w:ascii="Arial" w:hAnsi="Arial" w:cs="Arial"/>
          <w:color w:val="222222"/>
          <w:sz w:val="20"/>
          <w:szCs w:val="20"/>
          <w:shd w:val="clear" w:color="auto" w:fill="FFFFFF"/>
        </w:rPr>
        <w:t xml:space="preserve">Gan, D., </w:t>
      </w:r>
      <w:proofErr w:type="spellStart"/>
      <w:r>
        <w:rPr>
          <w:rFonts w:ascii="Arial" w:hAnsi="Arial" w:cs="Arial"/>
          <w:color w:val="222222"/>
          <w:sz w:val="20"/>
          <w:szCs w:val="20"/>
          <w:shd w:val="clear" w:color="auto" w:fill="FFFFFF"/>
        </w:rPr>
        <w:t>Alkaher</w:t>
      </w:r>
      <w:proofErr w:type="spellEnd"/>
      <w:r>
        <w:rPr>
          <w:rFonts w:ascii="Arial" w:hAnsi="Arial" w:cs="Arial"/>
          <w:color w:val="222222"/>
          <w:sz w:val="20"/>
          <w:szCs w:val="20"/>
          <w:shd w:val="clear" w:color="auto" w:fill="FFFFFF"/>
        </w:rPr>
        <w:t xml:space="preserve">, I., &amp; Segal, T. (2023). Incorporating collaborative learning in teacher education to foster self-efficacy to implement environmental citizenship: an action research. </w:t>
      </w:r>
      <w:r>
        <w:rPr>
          <w:rFonts w:ascii="Arial" w:hAnsi="Arial" w:cs="Arial"/>
          <w:i/>
          <w:iCs/>
          <w:color w:val="222222"/>
          <w:sz w:val="20"/>
          <w:szCs w:val="20"/>
          <w:shd w:val="clear" w:color="auto" w:fill="FFFFFF"/>
        </w:rPr>
        <w:t>International Journal of Sustainability in Higher Education</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 xml:space="preserve">(3), 700-718. </w:t>
      </w:r>
      <w:hyperlink r:id="rId17" w:history="1">
        <w:r>
          <w:rPr>
            <w:rFonts w:ascii="Arial" w:hAnsi="Arial" w:cs="Arial"/>
            <w:color w:val="1155CC"/>
            <w:sz w:val="20"/>
            <w:szCs w:val="20"/>
            <w:u w:val="single"/>
            <w:shd w:val="clear" w:color="auto" w:fill="FFFFFF"/>
          </w:rPr>
          <w:t>https://www.emerald.com/insight/content/doi/10.1108/ijshe-07-2021-0258/full/html</w:t>
        </w:r>
      </w:hyperlink>
    </w:p>
    <w:p w:rsidR="00FC6B61" w:rsidRDefault="00E26663">
      <w:pPr>
        <w:ind w:left="851" w:hanging="851"/>
        <w:jc w:val="both"/>
        <w:rPr>
          <w:sz w:val="20"/>
          <w:szCs w:val="20"/>
        </w:rPr>
      </w:pPr>
      <w:proofErr w:type="spellStart"/>
      <w:r>
        <w:rPr>
          <w:rFonts w:ascii="Arial" w:hAnsi="Arial" w:cs="Arial"/>
          <w:color w:val="222222"/>
          <w:sz w:val="20"/>
          <w:szCs w:val="20"/>
          <w:shd w:val="clear" w:color="auto" w:fill="FFFFFF"/>
        </w:rPr>
        <w:t>Hnatyuk</w:t>
      </w:r>
      <w:proofErr w:type="spellEnd"/>
      <w:r>
        <w:rPr>
          <w:rFonts w:ascii="Arial" w:hAnsi="Arial" w:cs="Arial"/>
          <w:color w:val="222222"/>
          <w:sz w:val="20"/>
          <w:szCs w:val="20"/>
          <w:shd w:val="clear" w:color="auto" w:fill="FFFFFF"/>
        </w:rPr>
        <w:t xml:space="preserve">, V., </w:t>
      </w:r>
      <w:proofErr w:type="spellStart"/>
      <w:r>
        <w:rPr>
          <w:rFonts w:ascii="Arial" w:hAnsi="Arial" w:cs="Arial"/>
          <w:color w:val="222222"/>
          <w:sz w:val="20"/>
          <w:szCs w:val="20"/>
          <w:shd w:val="clear" w:color="auto" w:fill="FFFFFF"/>
        </w:rPr>
        <w:t>Pshenychna</w:t>
      </w:r>
      <w:proofErr w:type="spellEnd"/>
      <w:r>
        <w:rPr>
          <w:rFonts w:ascii="Arial" w:hAnsi="Arial" w:cs="Arial"/>
          <w:color w:val="222222"/>
          <w:sz w:val="20"/>
          <w:szCs w:val="20"/>
          <w:shd w:val="clear" w:color="auto" w:fill="FFFFFF"/>
        </w:rPr>
        <w:t xml:space="preserve">, N., Kara, S., </w:t>
      </w:r>
      <w:proofErr w:type="spellStart"/>
      <w:r>
        <w:rPr>
          <w:rFonts w:ascii="Arial" w:hAnsi="Arial" w:cs="Arial"/>
          <w:color w:val="222222"/>
          <w:sz w:val="20"/>
          <w:szCs w:val="20"/>
          <w:shd w:val="clear" w:color="auto" w:fill="FFFFFF"/>
        </w:rPr>
        <w:t>Kolodii</w:t>
      </w:r>
      <w:proofErr w:type="spellEnd"/>
      <w:r>
        <w:rPr>
          <w:rFonts w:ascii="Arial" w:hAnsi="Arial" w:cs="Arial"/>
          <w:color w:val="222222"/>
          <w:sz w:val="20"/>
          <w:szCs w:val="20"/>
          <w:shd w:val="clear" w:color="auto" w:fill="FFFFFF"/>
        </w:rPr>
        <w:t xml:space="preserve">, V., &amp; </w:t>
      </w:r>
      <w:proofErr w:type="spellStart"/>
      <w:r>
        <w:rPr>
          <w:rFonts w:ascii="Arial" w:hAnsi="Arial" w:cs="Arial"/>
          <w:color w:val="222222"/>
          <w:sz w:val="20"/>
          <w:szCs w:val="20"/>
          <w:shd w:val="clear" w:color="auto" w:fill="FFFFFF"/>
        </w:rPr>
        <w:t>Yaroshchuk</w:t>
      </w:r>
      <w:proofErr w:type="spellEnd"/>
      <w:r>
        <w:rPr>
          <w:rFonts w:ascii="Arial" w:hAnsi="Arial" w:cs="Arial"/>
          <w:color w:val="222222"/>
          <w:sz w:val="20"/>
          <w:szCs w:val="20"/>
          <w:shd w:val="clear" w:color="auto" w:fill="FFFFFF"/>
        </w:rPr>
        <w:t xml:space="preserve">, L. (2024). Education's role in fostering environmental awareness and advancing sustainable development within a holistic framework. </w:t>
      </w:r>
      <w:r>
        <w:rPr>
          <w:rFonts w:ascii="Arial" w:hAnsi="Arial" w:cs="Arial"/>
          <w:i/>
          <w:iCs/>
          <w:color w:val="222222"/>
          <w:sz w:val="20"/>
          <w:szCs w:val="20"/>
          <w:shd w:val="clear" w:color="auto" w:fill="FFFFFF"/>
        </w:rPr>
        <w:t>Multidisciplinary Reviews</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w:t>
      </w:r>
      <w:hyperlink r:id="rId18" w:history="1">
        <w:r>
          <w:rPr>
            <w:rFonts w:ascii="Arial" w:hAnsi="Arial" w:cs="Arial"/>
            <w:color w:val="1155CC"/>
            <w:sz w:val="20"/>
            <w:szCs w:val="20"/>
            <w:u w:val="single"/>
            <w:shd w:val="clear" w:color="auto" w:fill="FFFFFF"/>
          </w:rPr>
          <w:t>https://malque.pub/ojs/index.php/mr/article/view/3795</w:t>
        </w:r>
      </w:hyperlink>
    </w:p>
    <w:p w:rsidR="00FC6B61" w:rsidRDefault="00E26663">
      <w:pPr>
        <w:ind w:left="851" w:hanging="851"/>
        <w:jc w:val="both"/>
        <w:rPr>
          <w:rFonts w:ascii="Arial" w:hAnsi="Arial" w:cs="Arial"/>
          <w:color w:val="000000"/>
          <w:sz w:val="20"/>
          <w:szCs w:val="20"/>
        </w:rPr>
      </w:pPr>
      <w:r>
        <w:rPr>
          <w:rFonts w:ascii="Arial" w:hAnsi="Arial" w:cs="Arial"/>
          <w:color w:val="222222"/>
          <w:sz w:val="20"/>
          <w:szCs w:val="20"/>
          <w:shd w:val="clear" w:color="auto" w:fill="FFFFFF"/>
        </w:rPr>
        <w:t xml:space="preserve">Jusoh, R., Dasuki, N. M., Shu, Q., &amp; Amram, A. (2024). Sustainable leadership: Encouraging teacher performance and classroom excellence. </w:t>
      </w:r>
      <w:r>
        <w:rPr>
          <w:rFonts w:ascii="Arial" w:hAnsi="Arial" w:cs="Arial"/>
          <w:i/>
          <w:iCs/>
          <w:color w:val="222222"/>
          <w:sz w:val="20"/>
          <w:szCs w:val="20"/>
          <w:shd w:val="clear" w:color="auto" w:fill="FFFFFF"/>
        </w:rPr>
        <w:t>International Journal of Academic Research in Business and Social Sciences</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xml:space="preserve">(11), 2350-2359. </w:t>
      </w:r>
      <w:hyperlink r:id="rId19" w:history="1">
        <w:r>
          <w:rPr>
            <w:rFonts w:ascii="Arial" w:hAnsi="Arial" w:cs="Arial"/>
            <w:color w:val="1155CC"/>
            <w:sz w:val="20"/>
            <w:szCs w:val="20"/>
            <w:u w:val="single"/>
            <w:shd w:val="clear" w:color="auto" w:fill="FFFFFF"/>
          </w:rPr>
          <w:t>https://kwpublications.com/papers/detail/IJARBSS/13386/Sustainable-Leadership-Encouraging-Teacher-Performance-and-Classroom-Excellence</w:t>
        </w:r>
      </w:hyperlink>
    </w:p>
    <w:p w:rsidR="00FC6B61" w:rsidRDefault="00E26663">
      <w:pPr>
        <w:ind w:left="851" w:hanging="851"/>
        <w:jc w:val="both"/>
        <w:rPr>
          <w:sz w:val="20"/>
          <w:szCs w:val="20"/>
        </w:rPr>
      </w:pPr>
      <w:r>
        <w:rPr>
          <w:rFonts w:ascii="Arial" w:hAnsi="Arial" w:cs="Arial"/>
          <w:color w:val="222222"/>
          <w:sz w:val="20"/>
          <w:szCs w:val="20"/>
          <w:shd w:val="clear" w:color="auto" w:fill="FFFFFF"/>
        </w:rPr>
        <w:t xml:space="preserve">Kormos, E. (2024). Bridging the gap: Exploring urban high-needs teachers’ perceptions of online teaching readiness and the digital divide. </w:t>
      </w:r>
      <w:r>
        <w:rPr>
          <w:rFonts w:ascii="Arial" w:hAnsi="Arial" w:cs="Arial"/>
          <w:i/>
          <w:iCs/>
          <w:color w:val="222222"/>
          <w:sz w:val="20"/>
          <w:szCs w:val="20"/>
          <w:shd w:val="clear" w:color="auto" w:fill="FFFFFF"/>
        </w:rPr>
        <w:t>Education and Urban Society</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56</w:t>
      </w:r>
      <w:r>
        <w:rPr>
          <w:rFonts w:ascii="Arial" w:hAnsi="Arial" w:cs="Arial"/>
          <w:color w:val="222222"/>
          <w:sz w:val="20"/>
          <w:szCs w:val="20"/>
          <w:shd w:val="clear" w:color="auto" w:fill="FFFFFF"/>
        </w:rPr>
        <w:t xml:space="preserve">(9), 1094-1117. </w:t>
      </w:r>
      <w:hyperlink r:id="rId20" w:history="1">
        <w:r>
          <w:rPr>
            <w:rFonts w:ascii="Arial" w:hAnsi="Arial" w:cs="Arial"/>
            <w:color w:val="1155CC"/>
            <w:sz w:val="20"/>
            <w:szCs w:val="20"/>
            <w:u w:val="single"/>
            <w:shd w:val="clear" w:color="auto" w:fill="FFFFFF"/>
          </w:rPr>
          <w:t>https://journals.sagepub.com/doi/abs/10.1177/00131245241261088</w:t>
        </w:r>
      </w:hyperlink>
    </w:p>
    <w:p w:rsidR="00FC6B61" w:rsidRDefault="00E26663">
      <w:pPr>
        <w:ind w:left="851" w:hanging="851"/>
        <w:jc w:val="both"/>
        <w:rPr>
          <w:sz w:val="20"/>
          <w:szCs w:val="20"/>
        </w:rPr>
      </w:pPr>
      <w:r>
        <w:rPr>
          <w:rFonts w:ascii="Arial" w:hAnsi="Arial" w:cs="Arial"/>
          <w:color w:val="222222"/>
          <w:sz w:val="20"/>
          <w:szCs w:val="20"/>
          <w:shd w:val="clear" w:color="auto" w:fill="FFFFFF"/>
        </w:rPr>
        <w:lastRenderedPageBreak/>
        <w:t xml:space="preserve">Ma, X., </w:t>
      </w:r>
      <w:proofErr w:type="spellStart"/>
      <w:r>
        <w:rPr>
          <w:rFonts w:ascii="Arial" w:hAnsi="Arial" w:cs="Arial"/>
          <w:color w:val="222222"/>
          <w:sz w:val="20"/>
          <w:szCs w:val="20"/>
          <w:shd w:val="clear" w:color="auto" w:fill="FFFFFF"/>
        </w:rPr>
        <w:t>Gryshova</w:t>
      </w:r>
      <w:proofErr w:type="spellEnd"/>
      <w:r>
        <w:rPr>
          <w:rFonts w:ascii="Arial" w:hAnsi="Arial" w:cs="Arial"/>
          <w:color w:val="222222"/>
          <w:sz w:val="20"/>
          <w:szCs w:val="20"/>
          <w:shd w:val="clear" w:color="auto" w:fill="FFFFFF"/>
        </w:rPr>
        <w:t xml:space="preserve">, I., </w:t>
      </w:r>
      <w:proofErr w:type="spellStart"/>
      <w:r>
        <w:rPr>
          <w:rFonts w:ascii="Arial" w:hAnsi="Arial" w:cs="Arial"/>
          <w:color w:val="222222"/>
          <w:sz w:val="20"/>
          <w:szCs w:val="20"/>
          <w:shd w:val="clear" w:color="auto" w:fill="FFFFFF"/>
        </w:rPr>
        <w:t>Koshkalda</w:t>
      </w:r>
      <w:proofErr w:type="spellEnd"/>
      <w:r>
        <w:rPr>
          <w:rFonts w:ascii="Arial" w:hAnsi="Arial" w:cs="Arial"/>
          <w:color w:val="222222"/>
          <w:sz w:val="20"/>
          <w:szCs w:val="20"/>
          <w:shd w:val="clear" w:color="auto" w:fill="FFFFFF"/>
        </w:rPr>
        <w:t xml:space="preserve">, I., Suska, A., </w:t>
      </w:r>
      <w:proofErr w:type="spellStart"/>
      <w:r>
        <w:rPr>
          <w:rFonts w:ascii="Arial" w:hAnsi="Arial" w:cs="Arial"/>
          <w:color w:val="222222"/>
          <w:sz w:val="20"/>
          <w:szCs w:val="20"/>
          <w:shd w:val="clear" w:color="auto" w:fill="FFFFFF"/>
        </w:rPr>
        <w:t>Gryshova</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Riasnianska</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Tupchii</w:t>
      </w:r>
      <w:proofErr w:type="spellEnd"/>
      <w:r>
        <w:rPr>
          <w:rFonts w:ascii="Arial" w:hAnsi="Arial" w:cs="Arial"/>
          <w:color w:val="222222"/>
          <w:sz w:val="20"/>
          <w:szCs w:val="20"/>
          <w:shd w:val="clear" w:color="auto" w:fill="FFFFFF"/>
        </w:rPr>
        <w:t xml:space="preserve">, O. (2022). Necessity of post-war renewal of university teachers’ potential in terms of sustainable development in Ukraine. </w:t>
      </w:r>
      <w:r>
        <w:rPr>
          <w:rFonts w:ascii="Arial" w:hAnsi="Arial" w:cs="Arial"/>
          <w:i/>
          <w:iCs/>
          <w:color w:val="222222"/>
          <w:sz w:val="20"/>
          <w:szCs w:val="20"/>
          <w:shd w:val="clear" w:color="auto" w:fill="FFFFFF"/>
        </w:rPr>
        <w:t>Sustainability</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 xml:space="preserve">(19), 12598. </w:t>
      </w:r>
      <w:hyperlink r:id="rId21" w:history="1">
        <w:r>
          <w:rPr>
            <w:rFonts w:ascii="Arial" w:hAnsi="Arial" w:cs="Arial"/>
            <w:color w:val="1155CC"/>
            <w:sz w:val="20"/>
            <w:szCs w:val="20"/>
            <w:u w:val="single"/>
            <w:shd w:val="clear" w:color="auto" w:fill="FFFFFF"/>
          </w:rPr>
          <w:t>https://www.mdpi.com/2071-1050/14/19/12598</w:t>
        </w:r>
      </w:hyperlink>
    </w:p>
    <w:p w:rsidR="00FC6B61" w:rsidRDefault="00E26663">
      <w:pPr>
        <w:ind w:left="851" w:hanging="851"/>
        <w:jc w:val="both"/>
        <w:rPr>
          <w:sz w:val="20"/>
          <w:szCs w:val="20"/>
        </w:rPr>
      </w:pPr>
      <w:r>
        <w:rPr>
          <w:rFonts w:ascii="Arial" w:hAnsi="Arial" w:cs="Arial"/>
          <w:color w:val="222222"/>
          <w:sz w:val="20"/>
          <w:szCs w:val="20"/>
          <w:shd w:val="clear" w:color="auto" w:fill="FFFFFF"/>
        </w:rPr>
        <w:t xml:space="preserve">Meng, S. (2023). Enhancing teaching and learning: Aligning instructional practices with education quality standards. </w:t>
      </w:r>
      <w:r>
        <w:rPr>
          <w:rFonts w:ascii="Arial" w:hAnsi="Arial" w:cs="Arial"/>
          <w:i/>
          <w:iCs/>
          <w:color w:val="222222"/>
          <w:sz w:val="20"/>
          <w:szCs w:val="20"/>
          <w:shd w:val="clear" w:color="auto" w:fill="FFFFFF"/>
        </w:rPr>
        <w:t>Research and Advances in Education</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 xml:space="preserve">(7), 17-31. </w:t>
      </w:r>
      <w:hyperlink r:id="rId22" w:history="1">
        <w:r>
          <w:rPr>
            <w:rFonts w:ascii="Arial" w:hAnsi="Arial" w:cs="Arial"/>
            <w:color w:val="1155CC"/>
            <w:sz w:val="20"/>
            <w:szCs w:val="20"/>
            <w:u w:val="single"/>
            <w:shd w:val="clear" w:color="auto" w:fill="FFFFFF"/>
          </w:rPr>
          <w:t>https://www.paradigmpress.org/rae/article/view/703</w:t>
        </w:r>
      </w:hyperlink>
    </w:p>
    <w:p w:rsidR="00FC6B61" w:rsidRDefault="00E26663">
      <w:pPr>
        <w:ind w:left="851" w:hanging="851"/>
        <w:jc w:val="both"/>
        <w:rPr>
          <w:rFonts w:ascii="Arial" w:hAnsi="Arial" w:cs="Arial"/>
          <w:sz w:val="20"/>
          <w:szCs w:val="20"/>
        </w:rPr>
      </w:pPr>
      <w:proofErr w:type="spellStart"/>
      <w:r>
        <w:rPr>
          <w:rFonts w:ascii="Arial" w:hAnsi="Arial" w:cs="Arial"/>
          <w:color w:val="000000"/>
          <w:sz w:val="20"/>
          <w:szCs w:val="20"/>
        </w:rPr>
        <w:t>Pregoner</w:t>
      </w:r>
      <w:proofErr w:type="spellEnd"/>
      <w:r>
        <w:rPr>
          <w:rFonts w:ascii="Arial" w:hAnsi="Arial" w:cs="Arial"/>
          <w:color w:val="000000"/>
          <w:sz w:val="20"/>
          <w:szCs w:val="20"/>
        </w:rPr>
        <w:t xml:space="preserve">, J. D. (2024). Research approaches in education: A comparison of quantitative, qualitative and mixed methods. </w:t>
      </w:r>
      <w:r>
        <w:rPr>
          <w:rFonts w:ascii="Arial" w:hAnsi="Arial" w:cs="Arial"/>
          <w:i/>
          <w:iCs/>
          <w:color w:val="000000"/>
          <w:sz w:val="20"/>
          <w:szCs w:val="20"/>
        </w:rPr>
        <w:t>IMCC Journal of Science</w:t>
      </w:r>
      <w:r>
        <w:rPr>
          <w:rFonts w:ascii="Arial" w:hAnsi="Arial" w:cs="Arial"/>
          <w:color w:val="000000"/>
          <w:sz w:val="20"/>
          <w:szCs w:val="20"/>
        </w:rPr>
        <w:t xml:space="preserve">, </w:t>
      </w:r>
      <w:r>
        <w:rPr>
          <w:rFonts w:ascii="Arial" w:hAnsi="Arial" w:cs="Arial"/>
          <w:i/>
          <w:iCs/>
          <w:color w:val="000000"/>
          <w:sz w:val="20"/>
          <w:szCs w:val="20"/>
        </w:rPr>
        <w:t>4</w:t>
      </w:r>
      <w:r>
        <w:rPr>
          <w:rFonts w:ascii="Arial" w:hAnsi="Arial" w:cs="Arial"/>
          <w:color w:val="000000"/>
          <w:sz w:val="20"/>
          <w:szCs w:val="20"/>
        </w:rPr>
        <w:t xml:space="preserve">(2), 31-36. </w:t>
      </w:r>
      <w:hyperlink r:id="rId23" w:history="1">
        <w:r>
          <w:rPr>
            <w:rStyle w:val="Hyperlink"/>
            <w:rFonts w:ascii="Arial" w:hAnsi="Arial" w:cs="Arial"/>
            <w:sz w:val="20"/>
            <w:szCs w:val="20"/>
          </w:rPr>
          <w:t>https://hal.science/hal-04655066/</w:t>
        </w:r>
      </w:hyperlink>
    </w:p>
    <w:p w:rsidR="00FC6B61" w:rsidRDefault="00E26663">
      <w:pPr>
        <w:ind w:left="851" w:hanging="851"/>
        <w:jc w:val="both"/>
        <w:rPr>
          <w:rFonts w:ascii="Arial" w:hAnsi="Arial" w:cs="Arial"/>
          <w:sz w:val="20"/>
          <w:szCs w:val="20"/>
        </w:rPr>
      </w:pPr>
      <w:proofErr w:type="spellStart"/>
      <w:r>
        <w:rPr>
          <w:rFonts w:ascii="Arial" w:hAnsi="Arial" w:cs="Arial"/>
          <w:sz w:val="20"/>
          <w:szCs w:val="20"/>
        </w:rPr>
        <w:t>Pregoner</w:t>
      </w:r>
      <w:proofErr w:type="spellEnd"/>
      <w:r>
        <w:rPr>
          <w:rFonts w:ascii="Arial" w:hAnsi="Arial" w:cs="Arial"/>
          <w:sz w:val="20"/>
          <w:szCs w:val="20"/>
        </w:rPr>
        <w:t xml:space="preserve">, J. D., </w:t>
      </w:r>
      <w:proofErr w:type="spellStart"/>
      <w:r>
        <w:rPr>
          <w:rFonts w:ascii="Arial" w:hAnsi="Arial" w:cs="Arial"/>
          <w:sz w:val="20"/>
          <w:szCs w:val="20"/>
        </w:rPr>
        <w:t>Leopardas</w:t>
      </w:r>
      <w:proofErr w:type="spellEnd"/>
      <w:r>
        <w:rPr>
          <w:rFonts w:ascii="Arial" w:hAnsi="Arial" w:cs="Arial"/>
          <w:sz w:val="20"/>
          <w:szCs w:val="20"/>
        </w:rPr>
        <w:t xml:space="preserve">, R., Ganancial, I. J., </w:t>
      </w:r>
      <w:proofErr w:type="spellStart"/>
      <w:r>
        <w:rPr>
          <w:rFonts w:ascii="Arial" w:hAnsi="Arial" w:cs="Arial"/>
          <w:sz w:val="20"/>
          <w:szCs w:val="20"/>
        </w:rPr>
        <w:t>Baguhin</w:t>
      </w:r>
      <w:proofErr w:type="spellEnd"/>
      <w:r>
        <w:rPr>
          <w:rFonts w:ascii="Arial" w:hAnsi="Arial" w:cs="Arial"/>
          <w:sz w:val="20"/>
          <w:szCs w:val="20"/>
        </w:rPr>
        <w:t xml:space="preserve">, M., &amp; Sedo, F. (2025). Ethical Issues in Conducting Research Using Human Participants in the Post-COVID Era. </w:t>
      </w:r>
      <w:r>
        <w:rPr>
          <w:rFonts w:ascii="Arial" w:hAnsi="Arial" w:cs="Arial"/>
          <w:i/>
          <w:sz w:val="20"/>
          <w:szCs w:val="20"/>
        </w:rPr>
        <w:t>IMCC Journal of Science</w:t>
      </w:r>
      <w:r>
        <w:rPr>
          <w:rFonts w:ascii="Arial" w:hAnsi="Arial" w:cs="Arial"/>
          <w:sz w:val="20"/>
          <w:szCs w:val="20"/>
        </w:rPr>
        <w:t xml:space="preserve">, 5(1), 1-9. </w:t>
      </w:r>
      <w:hyperlink r:id="rId24" w:history="1">
        <w:r>
          <w:rPr>
            <w:rStyle w:val="Hyperlink"/>
            <w:rFonts w:ascii="Arial" w:hAnsi="Arial" w:cs="Arial"/>
            <w:sz w:val="20"/>
            <w:szCs w:val="20"/>
          </w:rPr>
          <w:t>https://hal.science/hal-05073466/</w:t>
        </w:r>
      </w:hyperlink>
    </w:p>
    <w:p w:rsidR="00FC6B61" w:rsidRDefault="00E26663">
      <w:pPr>
        <w:ind w:left="851" w:hanging="851"/>
        <w:jc w:val="both"/>
        <w:rPr>
          <w:sz w:val="20"/>
          <w:szCs w:val="20"/>
        </w:rPr>
      </w:pPr>
      <w:proofErr w:type="spellStart"/>
      <w:r>
        <w:rPr>
          <w:rFonts w:ascii="Arial" w:hAnsi="Arial" w:cs="Arial"/>
          <w:color w:val="222222"/>
          <w:sz w:val="20"/>
          <w:szCs w:val="20"/>
          <w:shd w:val="clear" w:color="auto" w:fill="FFFFFF"/>
        </w:rPr>
        <w:t>Purwinarti</w:t>
      </w:r>
      <w:proofErr w:type="spellEnd"/>
      <w:r>
        <w:rPr>
          <w:rFonts w:ascii="Arial" w:hAnsi="Arial" w:cs="Arial"/>
          <w:color w:val="222222"/>
          <w:sz w:val="20"/>
          <w:szCs w:val="20"/>
          <w:shd w:val="clear" w:color="auto" w:fill="FFFFFF"/>
        </w:rPr>
        <w:t xml:space="preserve">, W., </w:t>
      </w:r>
      <w:proofErr w:type="spellStart"/>
      <w:r>
        <w:rPr>
          <w:rFonts w:ascii="Arial" w:hAnsi="Arial" w:cs="Arial"/>
          <w:color w:val="222222"/>
          <w:sz w:val="20"/>
          <w:szCs w:val="20"/>
          <w:shd w:val="clear" w:color="auto" w:fill="FFFFFF"/>
        </w:rPr>
        <w:t>Dwiyanti</w:t>
      </w:r>
      <w:proofErr w:type="spellEnd"/>
      <w:r>
        <w:rPr>
          <w:rFonts w:ascii="Arial" w:hAnsi="Arial" w:cs="Arial"/>
          <w:color w:val="222222"/>
          <w:sz w:val="20"/>
          <w:szCs w:val="20"/>
          <w:shd w:val="clear" w:color="auto" w:fill="FFFFFF"/>
        </w:rPr>
        <w:t xml:space="preserve">, Y., Munandar, I. A., &amp; Hidayat, S. (2025). Strengthening Pedagogical Foundations in the Era of Digital Transformation. </w:t>
      </w:r>
      <w:proofErr w:type="spellStart"/>
      <w:r>
        <w:rPr>
          <w:rFonts w:ascii="Arial" w:hAnsi="Arial" w:cs="Arial"/>
          <w:i/>
          <w:iCs/>
          <w:color w:val="222222"/>
          <w:sz w:val="20"/>
          <w:szCs w:val="20"/>
          <w:shd w:val="clear" w:color="auto" w:fill="FFFFFF"/>
        </w:rPr>
        <w:t>Jurnal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Dimensi</w:t>
      </w:r>
      <w:proofErr w:type="spellEnd"/>
      <w:r>
        <w:rPr>
          <w:rFonts w:ascii="Arial" w:hAnsi="Arial" w:cs="Arial"/>
          <w:i/>
          <w:iCs/>
          <w:color w:val="222222"/>
          <w:sz w:val="20"/>
          <w:szCs w:val="20"/>
          <w:shd w:val="clear" w:color="auto" w:fill="FFFFFF"/>
        </w:rPr>
        <w:t xml:space="preserve"> Pendidikan dan </w:t>
      </w:r>
      <w:proofErr w:type="spellStart"/>
      <w:r>
        <w:rPr>
          <w:rFonts w:ascii="Arial" w:hAnsi="Arial" w:cs="Arial"/>
          <w:i/>
          <w:iCs/>
          <w:color w:val="222222"/>
          <w:sz w:val="20"/>
          <w:szCs w:val="20"/>
          <w:shd w:val="clear" w:color="auto" w:fill="FFFFFF"/>
        </w:rPr>
        <w:t>Pembelajaran</w:t>
      </w:r>
      <w:proofErr w:type="spellEnd"/>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 xml:space="preserve">(SI1), 62-74. </w:t>
      </w:r>
      <w:hyperlink r:id="rId25" w:history="1">
        <w:r>
          <w:rPr>
            <w:rFonts w:ascii="Arial" w:hAnsi="Arial" w:cs="Arial"/>
            <w:color w:val="1155CC"/>
            <w:sz w:val="20"/>
            <w:szCs w:val="20"/>
            <w:u w:val="single"/>
            <w:shd w:val="clear" w:color="auto" w:fill="FFFFFF"/>
          </w:rPr>
          <w:t>https://core.ac.uk/download/pdf/652146003.pdf</w:t>
        </w:r>
      </w:hyperlink>
    </w:p>
    <w:p w:rsidR="00FC6B61" w:rsidRDefault="00E26663">
      <w:pPr>
        <w:ind w:left="851" w:hanging="851"/>
        <w:jc w:val="both"/>
        <w:rPr>
          <w:sz w:val="20"/>
          <w:szCs w:val="20"/>
        </w:rPr>
      </w:pPr>
      <w:proofErr w:type="spellStart"/>
      <w:r>
        <w:rPr>
          <w:rFonts w:ascii="Arial" w:hAnsi="Arial" w:cs="Arial"/>
          <w:color w:val="222222"/>
          <w:sz w:val="20"/>
          <w:szCs w:val="20"/>
          <w:shd w:val="clear" w:color="auto" w:fill="FFFFFF"/>
        </w:rPr>
        <w:t>Waghid</w:t>
      </w:r>
      <w:proofErr w:type="spellEnd"/>
      <w:r>
        <w:rPr>
          <w:rFonts w:ascii="Arial" w:hAnsi="Arial" w:cs="Arial"/>
          <w:color w:val="222222"/>
          <w:sz w:val="20"/>
          <w:szCs w:val="20"/>
          <w:shd w:val="clear" w:color="auto" w:fill="FFFFFF"/>
        </w:rPr>
        <w:t xml:space="preserve">, Z. (2024). Cultivating critical thinking, social justice awareness and empathy among pre-service teachers through online discussions on global citizenship education. </w:t>
      </w:r>
      <w:r>
        <w:rPr>
          <w:rFonts w:ascii="Arial" w:hAnsi="Arial" w:cs="Arial"/>
          <w:i/>
          <w:iCs/>
          <w:color w:val="222222"/>
          <w:sz w:val="20"/>
          <w:szCs w:val="20"/>
          <w:shd w:val="clear" w:color="auto" w:fill="FFFFFF"/>
        </w:rPr>
        <w:t>Journal of Creative Communications</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 xml:space="preserve">(1), 74-93. </w:t>
      </w:r>
      <w:hyperlink r:id="rId26" w:history="1">
        <w:r>
          <w:rPr>
            <w:rFonts w:ascii="Arial" w:hAnsi="Arial" w:cs="Arial"/>
            <w:color w:val="1155CC"/>
            <w:sz w:val="20"/>
            <w:szCs w:val="20"/>
            <w:u w:val="single"/>
            <w:shd w:val="clear" w:color="auto" w:fill="FFFFFF"/>
          </w:rPr>
          <w:t>https://journals.sagepub.com/doi/full/10.1177/09732586231194438</w:t>
        </w:r>
      </w:hyperlink>
    </w:p>
    <w:p w:rsidR="00FC6B61" w:rsidRDefault="00E26663">
      <w:pPr>
        <w:ind w:left="851" w:hanging="851"/>
        <w:jc w:val="both"/>
        <w:rPr>
          <w:sz w:val="20"/>
          <w:szCs w:val="20"/>
        </w:rPr>
      </w:pPr>
      <w:proofErr w:type="spellStart"/>
      <w:r>
        <w:rPr>
          <w:rFonts w:ascii="Arial" w:hAnsi="Arial" w:cs="Arial"/>
          <w:color w:val="222222"/>
          <w:sz w:val="20"/>
          <w:szCs w:val="20"/>
          <w:shd w:val="clear" w:color="auto" w:fill="FFFFFF"/>
        </w:rPr>
        <w:t>Zalli</w:t>
      </w:r>
      <w:proofErr w:type="spellEnd"/>
      <w:r>
        <w:rPr>
          <w:rFonts w:ascii="Arial" w:hAnsi="Arial" w:cs="Arial"/>
          <w:color w:val="222222"/>
          <w:sz w:val="20"/>
          <w:szCs w:val="20"/>
          <w:shd w:val="clear" w:color="auto" w:fill="FFFFFF"/>
        </w:rPr>
        <w:t xml:space="preserve">, E. (2024). Globalization and education: exploring the exchange of ideas, values, and traditions in promoting cultural understanding and global citizenship. </w:t>
      </w:r>
      <w:r>
        <w:rPr>
          <w:rFonts w:ascii="Arial" w:hAnsi="Arial" w:cs="Arial"/>
          <w:i/>
          <w:iCs/>
          <w:color w:val="222222"/>
          <w:sz w:val="20"/>
          <w:szCs w:val="20"/>
          <w:shd w:val="clear" w:color="auto" w:fill="FFFFFF"/>
        </w:rPr>
        <w:t>Interdisciplinary Journal of Research and Development</w:t>
      </w:r>
      <w:r>
        <w:rPr>
          <w:rFonts w:ascii="Arial" w:hAnsi="Arial" w:cs="Arial"/>
          <w:color w:val="222222"/>
          <w:sz w:val="20"/>
          <w:szCs w:val="20"/>
          <w:shd w:val="clear" w:color="auto" w:fill="FFFFFF"/>
        </w:rPr>
        <w:t xml:space="preserve">,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S1), 55-55. 10.56345/ijrdv11n1s109</w:t>
      </w:r>
    </w:p>
    <w:p w:rsidR="00FC6B61" w:rsidRDefault="00E26663">
      <w:pPr>
        <w:ind w:left="851" w:hanging="851"/>
        <w:jc w:val="both"/>
        <w:rPr>
          <w:rFonts w:ascii="Arial" w:hAnsi="Arial" w:cs="Arial"/>
          <w:color w:val="1155CC"/>
          <w:sz w:val="20"/>
          <w:szCs w:val="20"/>
          <w:u w:val="single"/>
          <w:shd w:val="clear" w:color="auto" w:fill="FFFFFF"/>
        </w:rPr>
      </w:pPr>
      <w:r>
        <w:rPr>
          <w:rFonts w:ascii="Arial" w:hAnsi="Arial" w:cs="Arial"/>
          <w:color w:val="222222"/>
          <w:sz w:val="20"/>
          <w:szCs w:val="20"/>
          <w:shd w:val="clear" w:color="auto" w:fill="FFFFFF"/>
        </w:rPr>
        <w:t xml:space="preserve">Zvonov, I. (2023). Digital tools for providing eco-friendly and safe educational environment. In </w:t>
      </w:r>
      <w:r>
        <w:rPr>
          <w:rFonts w:ascii="Arial" w:hAnsi="Arial" w:cs="Arial"/>
          <w:i/>
          <w:iCs/>
          <w:color w:val="222222"/>
          <w:sz w:val="20"/>
          <w:szCs w:val="20"/>
          <w:shd w:val="clear" w:color="auto" w:fill="FFFFFF"/>
        </w:rPr>
        <w:t>E3S Web of Conferences</w:t>
      </w:r>
      <w:r>
        <w:rPr>
          <w:rFonts w:ascii="Arial" w:hAnsi="Arial" w:cs="Arial"/>
          <w:color w:val="222222"/>
          <w:sz w:val="20"/>
          <w:szCs w:val="20"/>
          <w:shd w:val="clear" w:color="auto" w:fill="FFFFFF"/>
        </w:rPr>
        <w:t xml:space="preserve"> (Vol. 403, p. 01018). EDP Sciences. </w:t>
      </w:r>
      <w:hyperlink r:id="rId27" w:history="1">
        <w:r>
          <w:rPr>
            <w:rFonts w:ascii="Arial" w:hAnsi="Arial" w:cs="Arial"/>
            <w:color w:val="1155CC"/>
            <w:sz w:val="20"/>
            <w:szCs w:val="20"/>
            <w:u w:val="single"/>
            <w:shd w:val="clear" w:color="auto" w:fill="FFFFFF"/>
          </w:rPr>
          <w:t>https://www.e3s-conferences.org/articles/e3sconf/abs/2023/40/e3sconf_escp2023_01018/e3sconf_escp2023_01018.html</w:t>
        </w:r>
      </w:hyperlink>
    </w:p>
    <w:p w:rsidR="006615BF" w:rsidRDefault="006615BF">
      <w:pPr>
        <w:ind w:left="851" w:hanging="851"/>
        <w:jc w:val="both"/>
        <w:rPr>
          <w:sz w:val="20"/>
          <w:szCs w:val="20"/>
        </w:rPr>
      </w:pPr>
      <w:proofErr w:type="spellStart"/>
      <w:r w:rsidRPr="00FE5B7E">
        <w:rPr>
          <w:sz w:val="20"/>
          <w:szCs w:val="20"/>
          <w:highlight w:val="yellow"/>
        </w:rPr>
        <w:t>Abagissa</w:t>
      </w:r>
      <w:proofErr w:type="spellEnd"/>
      <w:r w:rsidRPr="00FE5B7E">
        <w:rPr>
          <w:sz w:val="20"/>
          <w:szCs w:val="20"/>
          <w:highlight w:val="yellow"/>
        </w:rPr>
        <w:t>, J. (2021). The assessment of micro and small enterprises performance and challenges in Addis Ababa, Ethiopia. International Journal of Applied Economics, Finance and Accounting, 9(1), 8-18.</w:t>
      </w:r>
    </w:p>
    <w:p w:rsidR="00FC6B61" w:rsidRDefault="00FC6B61">
      <w:pPr>
        <w:ind w:left="720" w:hanging="720"/>
        <w:rPr>
          <w:rFonts w:ascii="Arial" w:hAnsi="Arial" w:cs="Arial"/>
          <w:sz w:val="20"/>
          <w:szCs w:val="20"/>
        </w:rPr>
      </w:pPr>
    </w:p>
    <w:p w:rsidR="00FC6B61" w:rsidRDefault="00915516">
      <w:pPr>
        <w:rPr>
          <w:sz w:val="20"/>
          <w:szCs w:val="20"/>
        </w:rPr>
      </w:pPr>
      <w:proofErr w:type="spellStart"/>
      <w:r w:rsidRPr="00FE5B7E">
        <w:rPr>
          <w:sz w:val="20"/>
          <w:szCs w:val="20"/>
          <w:highlight w:val="yellow"/>
        </w:rPr>
        <w:t>Kuo</w:t>
      </w:r>
      <w:proofErr w:type="spellEnd"/>
      <w:r w:rsidRPr="00FE5B7E">
        <w:rPr>
          <w:sz w:val="20"/>
          <w:szCs w:val="20"/>
          <w:highlight w:val="yellow"/>
        </w:rPr>
        <w:t xml:space="preserve">, M., Klein, S. E., Browning, M. H., &amp; </w:t>
      </w:r>
      <w:proofErr w:type="spellStart"/>
      <w:r w:rsidRPr="00FE5B7E">
        <w:rPr>
          <w:sz w:val="20"/>
          <w:szCs w:val="20"/>
          <w:highlight w:val="yellow"/>
        </w:rPr>
        <w:t>Zaplatosch</w:t>
      </w:r>
      <w:proofErr w:type="spellEnd"/>
      <w:r w:rsidRPr="00FE5B7E">
        <w:rPr>
          <w:sz w:val="20"/>
          <w:szCs w:val="20"/>
          <w:highlight w:val="yellow"/>
        </w:rPr>
        <w:t>, J. (2021). Greening for academic achievement: Prioritizing what to plant and where. Landscape and Urban planning, 206, 103962.</w:t>
      </w:r>
    </w:p>
    <w:sectPr w:rsidR="00FC6B61">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440" w:right="2016" w:bottom="2016" w:left="2016" w:header="720" w:footer="11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BEC" w:rsidRDefault="000B4BEC">
      <w:r>
        <w:separator/>
      </w:r>
    </w:p>
  </w:endnote>
  <w:endnote w:type="continuationSeparator" w:id="0">
    <w:p w:rsidR="000B4BEC" w:rsidRDefault="000B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B61" w:rsidRDefault="00FC6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B61" w:rsidRDefault="00FC6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B61" w:rsidRDefault="00FC6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BEC" w:rsidRDefault="000B4BEC">
      <w:r>
        <w:separator/>
      </w:r>
    </w:p>
  </w:footnote>
  <w:footnote w:type="continuationSeparator" w:id="0">
    <w:p w:rsidR="000B4BEC" w:rsidRDefault="000B4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B61" w:rsidRDefault="000B4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65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B61" w:rsidRDefault="000B4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65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B61" w:rsidRDefault="000B4B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65984"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0FANher10tAAAA"/>
  </w:docVars>
  <w:rsids>
    <w:rsidRoot w:val="00FC6B61"/>
    <w:rsid w:val="000153B1"/>
    <w:rsid w:val="000B4BEC"/>
    <w:rsid w:val="001E0367"/>
    <w:rsid w:val="00267D94"/>
    <w:rsid w:val="00316BD7"/>
    <w:rsid w:val="003E1107"/>
    <w:rsid w:val="0050499F"/>
    <w:rsid w:val="00512B0F"/>
    <w:rsid w:val="005D4D9A"/>
    <w:rsid w:val="006615BF"/>
    <w:rsid w:val="0067377B"/>
    <w:rsid w:val="006B0FE0"/>
    <w:rsid w:val="00767D9D"/>
    <w:rsid w:val="00915516"/>
    <w:rsid w:val="0098457D"/>
    <w:rsid w:val="00B42360"/>
    <w:rsid w:val="00BA203B"/>
    <w:rsid w:val="00CD7D61"/>
    <w:rsid w:val="00DC7526"/>
    <w:rsid w:val="00E26663"/>
    <w:rsid w:val="00EB7B6F"/>
    <w:rsid w:val="00FC6B61"/>
    <w:rsid w:val="00FC74F0"/>
    <w:rsid w:val="00FE5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0D06814B"/>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val="en-PH"/>
    </w:rPr>
  </w:style>
  <w:style w:type="paragraph" w:styleId="Heading1">
    <w:name w:val="heading 1"/>
    <w:basedOn w:val="Normal"/>
    <w:next w:val="Normal"/>
    <w:qFormat/>
    <w:pPr>
      <w:keepNext/>
      <w:spacing w:before="240" w:after="60"/>
      <w:outlineLvl w:val="0"/>
    </w:pPr>
    <w:rPr>
      <w:rFonts w:ascii="Arial" w:hAnsi="Arial"/>
      <w:b/>
      <w:kern w:val="28"/>
      <w:sz w:val="28"/>
      <w:szCs w:val="20"/>
      <w:lang w:val="en-US"/>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lang w:val="en-US"/>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lang w:val="en-US"/>
    </w:rPr>
  </w:style>
  <w:style w:type="paragraph" w:styleId="BodyText">
    <w:name w:val="Body Text"/>
    <w:basedOn w:val="Normal"/>
    <w:link w:val="BodyTextChar"/>
    <w:qFormat/>
    <w:pPr>
      <w:spacing w:after="120"/>
    </w:pPr>
    <w:rPr>
      <w:rFonts w:ascii="Helvetica" w:hAnsi="Helvetica"/>
      <w:sz w:val="20"/>
      <w:szCs w:val="20"/>
      <w:lang w:val="en-US"/>
    </w:rPr>
  </w:style>
  <w:style w:type="paragraph" w:styleId="BodyText2">
    <w:name w:val="Body Text 2"/>
    <w:basedOn w:val="Normal"/>
    <w:link w:val="BodyText2Char"/>
    <w:qFormat/>
    <w:pPr>
      <w:spacing w:after="120" w:line="480" w:lineRule="auto"/>
    </w:pPr>
    <w:rPr>
      <w:rFonts w:ascii="Helvetica" w:hAnsi="Helvetica"/>
      <w:sz w:val="20"/>
      <w:szCs w:val="20"/>
      <w:lang w:val="en-US"/>
    </w:rPr>
  </w:style>
  <w:style w:type="paragraph" w:styleId="BodyText3">
    <w:name w:val="Body Text 3"/>
    <w:basedOn w:val="Normal"/>
    <w:link w:val="BodyText3Char"/>
    <w:qFormat/>
    <w:pPr>
      <w:spacing w:after="120"/>
    </w:pPr>
    <w:rPr>
      <w:rFonts w:ascii="Helvetica" w:hAnsi="Helvetica"/>
      <w:sz w:val="16"/>
      <w:szCs w:val="16"/>
      <w:lang w:val="en-U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rPr>
      <w:rFonts w:ascii="Helvetica" w:hAnsi="Helvetica"/>
      <w:sz w:val="20"/>
      <w:szCs w:val="20"/>
      <w:lang w:val="en-US"/>
    </w:rPr>
  </w:style>
  <w:style w:type="paragraph" w:styleId="Header">
    <w:name w:val="header"/>
    <w:basedOn w:val="Normal"/>
    <w:pPr>
      <w:tabs>
        <w:tab w:val="center" w:pos="4320"/>
        <w:tab w:val="right" w:pos="8640"/>
      </w:tabs>
    </w:pPr>
    <w:rPr>
      <w:rFonts w:ascii="Helvetica" w:hAnsi="Helvetica"/>
      <w:sz w:val="20"/>
      <w:szCs w:val="20"/>
      <w:lang w:val="en-US"/>
    </w:r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lang w:val="en-US"/>
    </w:rPr>
  </w:style>
  <w:style w:type="paragraph" w:styleId="Signature">
    <w:name w:val="Signature"/>
    <w:basedOn w:val="Normal"/>
    <w:qFormat/>
    <w:pPr>
      <w:ind w:left="4320"/>
    </w:pPr>
    <w:rPr>
      <w:rFonts w:ascii="Helvetica" w:hAnsi="Helvetica"/>
      <w:sz w:val="20"/>
      <w:szCs w:val="20"/>
      <w:lang w:val="en-US"/>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rFonts w:ascii="Helvetica" w:hAnsi="Helvetica"/>
      <w:b/>
      <w:kern w:val="28"/>
      <w:sz w:val="36"/>
      <w:szCs w:val="20"/>
      <w:lang w:val="en-US"/>
    </w:rPr>
  </w:style>
  <w:style w:type="paragraph" w:customStyle="1" w:styleId="Author">
    <w:name w:val="Author"/>
    <w:basedOn w:val="Normal"/>
    <w:qFormat/>
    <w:pPr>
      <w:spacing w:line="280" w:lineRule="exact"/>
      <w:jc w:val="right"/>
    </w:pPr>
    <w:rPr>
      <w:rFonts w:ascii="Helvetica" w:hAnsi="Helvetica"/>
      <w:b/>
      <w:szCs w:val="20"/>
      <w:lang w:val="en-US"/>
    </w:rPr>
  </w:style>
  <w:style w:type="paragraph" w:customStyle="1" w:styleId="Affiliation">
    <w:name w:val="Affiliation"/>
    <w:basedOn w:val="Normal"/>
    <w:qFormat/>
    <w:pPr>
      <w:spacing w:after="240" w:line="240" w:lineRule="exact"/>
      <w:jc w:val="right"/>
    </w:pPr>
    <w:rPr>
      <w:rFonts w:ascii="Helvetica" w:hAnsi="Helvetica"/>
      <w:sz w:val="20"/>
      <w:szCs w:val="20"/>
      <w:lang w:val="en-US"/>
    </w:rPr>
  </w:style>
  <w:style w:type="paragraph" w:customStyle="1" w:styleId="Body">
    <w:name w:val="Body"/>
    <w:basedOn w:val="Normal"/>
    <w:qFormat/>
    <w:pPr>
      <w:spacing w:after="240"/>
      <w:jc w:val="both"/>
    </w:pPr>
    <w:rPr>
      <w:rFonts w:ascii="Helvetica" w:hAnsi="Helvetica"/>
      <w:sz w:val="20"/>
      <w:szCs w:val="20"/>
      <w:lang w:val="en-US"/>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rFonts w:ascii="Helvetica" w:hAnsi="Helvetica"/>
      <w:b/>
      <w:caps/>
      <w:sz w:val="20"/>
      <w:szCs w:val="20"/>
      <w:lang w:val="en-U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rFonts w:ascii="Helvetica" w:hAnsi="Helvetica"/>
      <w:b/>
      <w:sz w:val="28"/>
      <w:szCs w:val="20"/>
      <w:lang w:val="en-US"/>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rFonts w:ascii="Helvetica" w:hAnsi="Helvetica"/>
      <w:sz w:val="16"/>
      <w:szCs w:val="20"/>
      <w:lang w:val="en-US"/>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rFonts w:ascii="Helvetica" w:hAnsi="Helvetica"/>
      <w:caps/>
      <w:sz w:val="20"/>
      <w:szCs w:val="20"/>
      <w:lang w:val="en-U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rFonts w:ascii="Helvetica" w:hAnsi="Helvetica"/>
      <w:b/>
      <w:sz w:val="36"/>
      <w:szCs w:val="20"/>
      <w:lang w:val="en-US"/>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rPr>
      <w:rFonts w:ascii="Helvetica" w:hAnsi="Helvetica"/>
      <w:sz w:val="20"/>
      <w:szCs w:val="20"/>
      <w:lang w:val="en-US"/>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lang w:val="en-US"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5176">
      <w:bodyDiv w:val="1"/>
      <w:marLeft w:val="0"/>
      <w:marRight w:val="0"/>
      <w:marTop w:val="0"/>
      <w:marBottom w:val="0"/>
      <w:divBdr>
        <w:top w:val="none" w:sz="0" w:space="0" w:color="auto"/>
        <w:left w:val="none" w:sz="0" w:space="0" w:color="auto"/>
        <w:bottom w:val="none" w:sz="0" w:space="0" w:color="auto"/>
        <w:right w:val="none" w:sz="0" w:space="0" w:color="auto"/>
      </w:divBdr>
    </w:div>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09541874">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84269490">
      <w:bodyDiv w:val="1"/>
      <w:marLeft w:val="0"/>
      <w:marRight w:val="0"/>
      <w:marTop w:val="0"/>
      <w:marBottom w:val="0"/>
      <w:divBdr>
        <w:top w:val="none" w:sz="0" w:space="0" w:color="auto"/>
        <w:left w:val="none" w:sz="0" w:space="0" w:color="auto"/>
        <w:bottom w:val="none" w:sz="0" w:space="0" w:color="auto"/>
        <w:right w:val="none" w:sz="0" w:space="0" w:color="auto"/>
      </w:divBdr>
    </w:div>
    <w:div w:id="742725603">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71683255">
      <w:bodyDiv w:val="1"/>
      <w:marLeft w:val="0"/>
      <w:marRight w:val="0"/>
      <w:marTop w:val="0"/>
      <w:marBottom w:val="0"/>
      <w:divBdr>
        <w:top w:val="none" w:sz="0" w:space="0" w:color="auto"/>
        <w:left w:val="none" w:sz="0" w:space="0" w:color="auto"/>
        <w:bottom w:val="none" w:sz="0" w:space="0" w:color="auto"/>
        <w:right w:val="none" w:sz="0" w:space="0" w:color="auto"/>
      </w:divBdr>
    </w:div>
    <w:div w:id="1382510337">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 w:id="1683438138">
      <w:bodyDiv w:val="1"/>
      <w:marLeft w:val="0"/>
      <w:marRight w:val="0"/>
      <w:marTop w:val="0"/>
      <w:marBottom w:val="0"/>
      <w:divBdr>
        <w:top w:val="none" w:sz="0" w:space="0" w:color="auto"/>
        <w:left w:val="none" w:sz="0" w:space="0" w:color="auto"/>
        <w:bottom w:val="none" w:sz="0" w:space="0" w:color="auto"/>
        <w:right w:val="none" w:sz="0" w:space="0" w:color="auto"/>
      </w:divBdr>
    </w:div>
    <w:div w:id="1699626180">
      <w:bodyDiv w:val="1"/>
      <w:marLeft w:val="0"/>
      <w:marRight w:val="0"/>
      <w:marTop w:val="0"/>
      <w:marBottom w:val="0"/>
      <w:divBdr>
        <w:top w:val="none" w:sz="0" w:space="0" w:color="auto"/>
        <w:left w:val="none" w:sz="0" w:space="0" w:color="auto"/>
        <w:bottom w:val="none" w:sz="0" w:space="0" w:color="auto"/>
        <w:right w:val="none" w:sz="0" w:space="0" w:color="auto"/>
      </w:divBdr>
    </w:div>
    <w:div w:id="200960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chapter/10.1007/978-3-030-46820-0_21" TargetMode="External"/><Relationship Id="rId18" Type="http://schemas.openxmlformats.org/officeDocument/2006/relationships/hyperlink" Target="https://malque.pub/ojs/index.php/mr/article/view/3795" TargetMode="External"/><Relationship Id="rId26" Type="http://schemas.openxmlformats.org/officeDocument/2006/relationships/hyperlink" Target="https://journals.sagepub.com/doi/full/10.1177/09732586231194438" TargetMode="External"/><Relationship Id="rId3" Type="http://schemas.openxmlformats.org/officeDocument/2006/relationships/styles" Target="styles.xml"/><Relationship Id="rId21" Type="http://schemas.openxmlformats.org/officeDocument/2006/relationships/hyperlink" Target="https://www.mdpi.com/2071-1050/14/19/1259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eeol.com/search/article-detail?id=1021700" TargetMode="External"/><Relationship Id="rId17" Type="http://schemas.openxmlformats.org/officeDocument/2006/relationships/hyperlink" Target="https://www.emerald.com/insight/content/doi/10.1108/ijshe-07-2021-0258/full/html" TargetMode="External"/><Relationship Id="rId25" Type="http://schemas.openxmlformats.org/officeDocument/2006/relationships/hyperlink" Target="https://core.ac.uk/download/pdf/652146003.pd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hal.science/tel-04970761/document" TargetMode="External"/><Relationship Id="rId20" Type="http://schemas.openxmlformats.org/officeDocument/2006/relationships/hyperlink" Target="https://journals.sagepub.com/doi/abs/10.1177/00131245241261088"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abs/pii/S073805932030496X" TargetMode="External"/><Relationship Id="rId24" Type="http://schemas.openxmlformats.org/officeDocument/2006/relationships/hyperlink" Target="https://hal.science/hal-05073466/"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dfs.semanticscholar.org/1177/ad50ce27241ecbe458c4f2d99f4f4ae53027.pdf" TargetMode="External"/><Relationship Id="rId23" Type="http://schemas.openxmlformats.org/officeDocument/2006/relationships/hyperlink" Target="https://hal.science/hal-04655066/" TargetMode="External"/><Relationship Id="rId28" Type="http://schemas.openxmlformats.org/officeDocument/2006/relationships/header" Target="header1.xml"/><Relationship Id="rId10" Type="http://schemas.openxmlformats.org/officeDocument/2006/relationships/hyperlink" Target="https://joqie.org/index.php/joqie/article/view/441" TargetMode="External"/><Relationship Id="rId19" Type="http://schemas.openxmlformats.org/officeDocument/2006/relationships/hyperlink" Target="https://kwpublications.com/papers/detail/IJARBSS/13386/Sustainable-Leadership-Encouraging-Teacher-Performance-and-Classroom-Excellenc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ciencedirect.com/science/article/pii/S1364032124009651" TargetMode="External"/><Relationship Id="rId14" Type="http://schemas.openxmlformats.org/officeDocument/2006/relationships/hyperlink" Target="https://www.doi.org/10.5281/zenodo.8185991?fbclid=IwAR3Y7NobQ_0IN9rOnN90mplEysEOSkn2u8na1GG1M-its8AZXsbZpahXWrc" TargetMode="External"/><Relationship Id="rId22" Type="http://schemas.openxmlformats.org/officeDocument/2006/relationships/hyperlink" Target="https://www.paradigmpress.org/rae/article/view/703" TargetMode="External"/><Relationship Id="rId27" Type="http://schemas.openxmlformats.org/officeDocument/2006/relationships/hyperlink" Target="https://www.e3s-conferences.org/articles/e3sconf/abs/2023/40/e3sconf_escp2023_01018/e3sconf_escp2023_01018.htm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TotalTime>
  <Pages>12</Pages>
  <Words>5965</Words>
  <Characters>34003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31</cp:revision>
  <cp:lastPrinted>2024-10-20T02:52:00Z</cp:lastPrinted>
  <dcterms:created xsi:type="dcterms:W3CDTF">2025-07-13T14:02:00Z</dcterms:created>
  <dcterms:modified xsi:type="dcterms:W3CDTF">2025-07-17T09:35:00Z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