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1239" w14:textId="77777777" w:rsidR="00B360E8" w:rsidRDefault="00B360E8">
      <w:pPr>
        <w:snapToGrid w:val="0"/>
        <w:spacing w:after="0" w:line="240" w:lineRule="auto"/>
        <w:rPr>
          <w:rFonts w:ascii="Times New Roman" w:eastAsia="Calibri" w:hAnsi="Times New Roman" w:cs="Times New Roman"/>
          <w:b/>
          <w:bCs/>
        </w:rPr>
      </w:pPr>
    </w:p>
    <w:p w14:paraId="21F1FCEF" w14:textId="77777777" w:rsidR="00B360E8" w:rsidRDefault="00000000">
      <w:pPr>
        <w:spacing w:after="0" w:line="240" w:lineRule="auto"/>
        <w:jc w:val="center"/>
        <w:rPr>
          <w:rFonts w:ascii="Times New Roman" w:eastAsia="Times New Roman" w:hAnsi="Times New Roman" w:cs="Times New Roman"/>
          <w:b/>
          <w:bCs/>
          <w:i/>
          <w:kern w:val="0"/>
        </w:rPr>
      </w:pPr>
      <w:r>
        <w:t>Prevalence and Antimicrobial Resistance of Enterohemorrhagic Escherichia coli(Ecoli.0157) in children under five years old with diarrhea at Enugu State University Teaching Hospital (ESUT)</w:t>
      </w:r>
    </w:p>
    <w:p w14:paraId="5B8129B3" w14:textId="77777777" w:rsidR="00B360E8" w:rsidRDefault="00B360E8">
      <w:pPr>
        <w:spacing w:line="240" w:lineRule="auto"/>
        <w:jc w:val="right"/>
        <w:rPr>
          <w:rFonts w:ascii="Times New Roman" w:eastAsia="Calibri" w:hAnsi="Times New Roman" w:cs="Times New Roman"/>
          <w:b/>
          <w:bCs/>
        </w:rPr>
      </w:pPr>
    </w:p>
    <w:p w14:paraId="05299FCF" w14:textId="77777777" w:rsidR="00B360E8" w:rsidRDefault="00000000">
      <w:pPr>
        <w:snapToGrid w:val="0"/>
        <w:spacing w:after="0" w:line="240" w:lineRule="auto"/>
        <w:jc w:val="right"/>
        <w:rPr>
          <w:rFonts w:ascii="Times New Roman" w:eastAsia="Calibri" w:hAnsi="Times New Roman" w:cs="Times New Roman"/>
          <w:b/>
          <w:bCs/>
        </w:rPr>
      </w:pPr>
      <w:r>
        <w:rPr>
          <w:rFonts w:ascii="Times New Roman" w:eastAsia="Calibri" w:hAnsi="Times New Roman" w:cs="Times New Roman"/>
          <w:b/>
          <w:bCs/>
          <w:lang w:val="en-US"/>
        </w:rPr>
        <w:t xml:space="preserve"> </w:t>
      </w:r>
    </w:p>
    <w:p w14:paraId="28E46B44" w14:textId="77777777" w:rsidR="00B360E8" w:rsidRDefault="00B360E8">
      <w:pPr>
        <w:snapToGrid w:val="0"/>
        <w:spacing w:after="0" w:line="240" w:lineRule="auto"/>
        <w:rPr>
          <w:rFonts w:ascii="Times New Roman" w:eastAsia="Calibri" w:hAnsi="Times New Roman" w:cs="Times New Roman"/>
          <w:b/>
          <w:bCs/>
        </w:rPr>
      </w:pPr>
    </w:p>
    <w:p w14:paraId="5DF3E9D7" w14:textId="77777777" w:rsidR="00B360E8" w:rsidRDefault="00B360E8">
      <w:pPr>
        <w:spacing w:after="0" w:line="240" w:lineRule="auto"/>
        <w:jc w:val="both"/>
        <w:rPr>
          <w:rFonts w:ascii="Times New Roman" w:eastAsia="Times New Roman" w:hAnsi="Times New Roman" w:cs="Times New Roman"/>
          <w:b/>
          <w:bCs/>
          <w:color w:val="000000"/>
        </w:rPr>
      </w:pPr>
    </w:p>
    <w:p w14:paraId="715ECAA6" w14:textId="77777777" w:rsidR="00B360E8" w:rsidRDefault="00000000">
      <w:pPr>
        <w:pStyle w:val="PRE-TOC"/>
        <w:spacing w:line="240" w:lineRule="auto"/>
        <w:outlineLvl w:val="0"/>
        <w:rPr>
          <w:sz w:val="22"/>
          <w:szCs w:val="22"/>
        </w:rPr>
      </w:pPr>
      <w:bookmarkStart w:id="0" w:name="_Toc169814295"/>
      <w:r>
        <w:rPr>
          <w:sz w:val="22"/>
          <w:szCs w:val="22"/>
        </w:rPr>
        <w:t>ABSTRACT</w:t>
      </w:r>
      <w:bookmarkEnd w:id="0"/>
    </w:p>
    <w:p w14:paraId="5C913192" w14:textId="77777777" w:rsidR="00B360E8" w:rsidRDefault="00B360E8">
      <w:pPr>
        <w:spacing w:after="240" w:line="240" w:lineRule="auto"/>
        <w:jc w:val="both"/>
        <w:rPr>
          <w:rFonts w:ascii="Times New Roman" w:eastAsia="Times New Roman" w:hAnsi="Times New Roman" w:cs="Times New Roman"/>
        </w:rPr>
      </w:pPr>
    </w:p>
    <w:p w14:paraId="4927A433" w14:textId="77777777" w:rsidR="00B360E8" w:rsidRDefault="00000000">
      <w:pPr>
        <w:spacing w:after="0" w:line="240" w:lineRule="auto"/>
        <w:jc w:val="both"/>
      </w:pPr>
      <w:r>
        <w:t>Escherichia coli (E. coli) is a leading cause of diarrhoea in low- and middle-income nations, particularly among children under the age of five. This study aimed to determine the prevalence of  Enterohemorrhagic E coli(E coli 0157)and the antimicrobial susceptibility in children less than five years old in Enugu State University of  Science and Technology Teaching Hospital. The study employed a mixed cross-sectional design which was carried out from October-November 2024  Esuth Teaching Hospital. Ethical considerations were met before 83 stool samples were collected from eligible children, and questionnaires administered. Samples were cultured on Coliform chromogenic (E coli 0157) agar and antimicrobial susceptibility testing were done using the Kirby- Bauer Disk Diffusion Method. The findings revealed a prevalence of 15 out of 83 participants (18%) for E. coli O157, with a slightly higher prevalence in females (21%) than males (15%). The most affected age group was children aged 1-2 years (46.7%). Vomiting was reported in 57% of cases, fever in 23%, abdominal pain in 64%, and dehydration in 58%, with 85.5% presenting loose or watery stools and semi-formed stools (14.5%). Antimicrobial susceptibility testing indicated that while several strains were sensitive to antibiotics there was significant resistance to some.  The study found an 18% prevalence of E. coli O157 in children under 5 in Enugu, Nigeria, with higher rates in females and the 1-2 age group. Also susceptibility studies showed significant rate of resistance in amoxicillin, nitrofurantoin and streptomycin drugs. Poor sanitation and hygiene were linked to infections. Antimicrobial resistance was also shown to be prevalent. The outcome of the study  indicate a key relationship between sex and prevalence of the disease as well as the relative epidemiological predispositions. In conclusion, the study underscores the urgent need for improved public health initiatives focused on sanitation and hygiene practices to mitigate E. coli infections, alongside continuous monitoring of antimicrobial resistance patterns to inform treatment protocols.</w:t>
      </w:r>
    </w:p>
    <w:p w14:paraId="2C55EE23" w14:textId="77777777" w:rsidR="001C70BC" w:rsidRDefault="001C70BC">
      <w:pPr>
        <w:spacing w:after="0" w:line="240" w:lineRule="auto"/>
        <w:jc w:val="both"/>
        <w:rPr>
          <w:rFonts w:ascii="Times New Roman" w:eastAsia="Tahoma" w:hAnsi="Times New Roman" w:cs="Times New Roman"/>
          <w:color w:val="262626"/>
          <w:shd w:val="clear" w:color="auto" w:fill="FFFFFF"/>
        </w:rPr>
      </w:pPr>
    </w:p>
    <w:p w14:paraId="02B11F69" w14:textId="53AD2845" w:rsidR="001C70BC" w:rsidRDefault="001C70BC">
      <w:pPr>
        <w:spacing w:after="0" w:line="240" w:lineRule="auto"/>
        <w:jc w:val="both"/>
        <w:rPr>
          <w:rFonts w:ascii="Times New Roman" w:eastAsia="Tahoma" w:hAnsi="Times New Roman" w:cs="Times New Roman"/>
          <w:color w:val="262626"/>
          <w:shd w:val="clear" w:color="auto" w:fill="FFFFFF"/>
        </w:rPr>
      </w:pPr>
      <w:r w:rsidRPr="001C70BC">
        <w:rPr>
          <w:rFonts w:ascii="Times New Roman" w:eastAsia="Tahoma" w:hAnsi="Times New Roman" w:cs="Times New Roman"/>
          <w:color w:val="262626"/>
          <w:shd w:val="clear" w:color="auto" w:fill="FFFFFF"/>
        </w:rPr>
        <w:t>Keywords</w:t>
      </w:r>
      <w:r>
        <w:rPr>
          <w:rFonts w:ascii="Times New Roman" w:eastAsia="Tahoma" w:hAnsi="Times New Roman" w:cs="Times New Roman"/>
          <w:color w:val="262626"/>
          <w:shd w:val="clear" w:color="auto" w:fill="FFFFFF"/>
        </w:rPr>
        <w:t xml:space="preserve">; </w:t>
      </w:r>
      <w:r w:rsidRPr="001C70BC">
        <w:rPr>
          <w:rFonts w:ascii="Times New Roman" w:eastAsia="Tahoma" w:hAnsi="Times New Roman" w:cs="Times New Roman"/>
          <w:color w:val="262626"/>
          <w:shd w:val="clear" w:color="auto" w:fill="FFFFFF"/>
        </w:rPr>
        <w:t>Antimicrobial Resistance</w:t>
      </w:r>
      <w:r>
        <w:rPr>
          <w:rFonts w:ascii="Times New Roman" w:eastAsia="Tahoma" w:hAnsi="Times New Roman" w:cs="Times New Roman"/>
          <w:color w:val="262626"/>
          <w:shd w:val="clear" w:color="auto" w:fill="FFFFFF"/>
        </w:rPr>
        <w:t>,</w:t>
      </w:r>
      <w:r w:rsidRPr="001C70BC">
        <w:t xml:space="preserve"> </w:t>
      </w:r>
      <w:r w:rsidRPr="001C70BC">
        <w:rPr>
          <w:rFonts w:ascii="Times New Roman" w:eastAsia="Tahoma" w:hAnsi="Times New Roman" w:cs="Times New Roman"/>
          <w:color w:val="262626"/>
          <w:shd w:val="clear" w:color="auto" w:fill="FFFFFF"/>
        </w:rPr>
        <w:t>diarrhoea</w:t>
      </w:r>
      <w:r>
        <w:rPr>
          <w:rFonts w:ascii="Times New Roman" w:eastAsia="Tahoma" w:hAnsi="Times New Roman" w:cs="Times New Roman"/>
          <w:color w:val="262626"/>
          <w:shd w:val="clear" w:color="auto" w:fill="FFFFFF"/>
        </w:rPr>
        <w:t>,</w:t>
      </w:r>
      <w:r w:rsidRPr="001C70BC">
        <w:t xml:space="preserve"> </w:t>
      </w:r>
      <w:r w:rsidRPr="001C70BC">
        <w:rPr>
          <w:rFonts w:ascii="Times New Roman" w:eastAsia="Tahoma" w:hAnsi="Times New Roman" w:cs="Times New Roman"/>
          <w:color w:val="262626"/>
          <w:shd w:val="clear" w:color="auto" w:fill="FFFFFF"/>
        </w:rPr>
        <w:t>public health</w:t>
      </w:r>
      <w:r>
        <w:rPr>
          <w:rFonts w:ascii="Times New Roman" w:eastAsia="Tahoma" w:hAnsi="Times New Roman" w:cs="Times New Roman"/>
          <w:color w:val="262626"/>
          <w:shd w:val="clear" w:color="auto" w:fill="FFFFFF"/>
        </w:rPr>
        <w:t>,</w:t>
      </w:r>
      <w:r w:rsidRPr="001C70BC">
        <w:t xml:space="preserve"> </w:t>
      </w:r>
      <w:r w:rsidRPr="001C70BC">
        <w:rPr>
          <w:rFonts w:ascii="Times New Roman" w:eastAsia="Tahoma" w:hAnsi="Times New Roman" w:cs="Times New Roman"/>
          <w:color w:val="262626"/>
          <w:shd w:val="clear" w:color="auto" w:fill="FFFFFF"/>
        </w:rPr>
        <w:t>infant health</w:t>
      </w:r>
      <w:r>
        <w:rPr>
          <w:rFonts w:ascii="Times New Roman" w:eastAsia="Tahoma" w:hAnsi="Times New Roman" w:cs="Times New Roman"/>
          <w:color w:val="262626"/>
          <w:shd w:val="clear" w:color="auto" w:fill="FFFFFF"/>
        </w:rPr>
        <w:t>,</w:t>
      </w:r>
      <w:r w:rsidRPr="001C70BC">
        <w:t xml:space="preserve"> </w:t>
      </w:r>
      <w:r w:rsidRPr="001C70BC">
        <w:rPr>
          <w:rFonts w:ascii="Times New Roman" w:eastAsia="Tahoma" w:hAnsi="Times New Roman" w:cs="Times New Roman"/>
          <w:color w:val="262626"/>
          <w:shd w:val="clear" w:color="auto" w:fill="FFFFFF"/>
        </w:rPr>
        <w:t>E. coli O157 infection.</w:t>
      </w:r>
    </w:p>
    <w:p w14:paraId="10D32387" w14:textId="77777777" w:rsidR="00B360E8" w:rsidRDefault="00B360E8">
      <w:pPr>
        <w:spacing w:after="0" w:line="240" w:lineRule="auto"/>
        <w:jc w:val="both"/>
        <w:rPr>
          <w:rFonts w:ascii="Times New Roman" w:eastAsia="Times New Roman" w:hAnsi="Times New Roman" w:cs="Times New Roman"/>
          <w:color w:val="000000"/>
        </w:rPr>
      </w:pPr>
    </w:p>
    <w:p w14:paraId="0F06B435" w14:textId="77777777" w:rsidR="00B360E8" w:rsidRDefault="00B360E8">
      <w:pPr>
        <w:spacing w:after="0" w:line="240" w:lineRule="auto"/>
        <w:jc w:val="both"/>
        <w:rPr>
          <w:rFonts w:ascii="Times New Roman" w:eastAsia="Times New Roman" w:hAnsi="Times New Roman" w:cs="Times New Roman"/>
          <w:color w:val="000000"/>
        </w:rPr>
        <w:sectPr w:rsidR="00B360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F3C17A5" w14:textId="77777777" w:rsidR="00B360E8" w:rsidRDefault="00B360E8">
      <w:pPr>
        <w:spacing w:after="0" w:line="240" w:lineRule="auto"/>
        <w:jc w:val="both"/>
        <w:rPr>
          <w:rFonts w:ascii="Times New Roman" w:eastAsia="Times New Roman" w:hAnsi="Times New Roman" w:cs="Times New Roman"/>
          <w:color w:val="000000"/>
        </w:rPr>
      </w:pPr>
    </w:p>
    <w:p w14:paraId="0F63C5DF" w14:textId="77777777" w:rsidR="00B360E8" w:rsidRDefault="00B360E8">
      <w:pPr>
        <w:spacing w:after="0" w:line="240" w:lineRule="auto"/>
        <w:jc w:val="center"/>
        <w:rPr>
          <w:rFonts w:ascii="Times New Roman" w:eastAsia="Times New Roman" w:hAnsi="Times New Roman" w:cs="Times New Roman"/>
          <w:b/>
          <w:bCs/>
          <w:color w:val="000000"/>
          <w:kern w:val="0"/>
        </w:rPr>
      </w:pPr>
    </w:p>
    <w:p w14:paraId="01AAC6F2" w14:textId="77777777" w:rsidR="00B360E8" w:rsidRDefault="00B360E8">
      <w:pPr>
        <w:spacing w:after="0" w:line="240" w:lineRule="auto"/>
        <w:jc w:val="center"/>
        <w:rPr>
          <w:rFonts w:ascii="Times New Roman" w:eastAsia="Times New Roman" w:hAnsi="Times New Roman" w:cs="Times New Roman"/>
          <w:b/>
          <w:bCs/>
          <w:color w:val="000000"/>
          <w:kern w:val="0"/>
        </w:rPr>
        <w:sectPr w:rsidR="00B360E8">
          <w:type w:val="continuous"/>
          <w:pgSz w:w="12240" w:h="15840"/>
          <w:pgMar w:top="1440" w:right="1440" w:bottom="1440" w:left="1440" w:header="720" w:footer="720" w:gutter="0"/>
          <w:cols w:num="2" w:space="720" w:equalWidth="0">
            <w:col w:w="4467" w:space="425"/>
            <w:col w:w="4467"/>
          </w:cols>
          <w:docGrid w:linePitch="360"/>
        </w:sectPr>
      </w:pPr>
    </w:p>
    <w:p w14:paraId="0F9ED79B" w14:textId="77777777" w:rsidR="00B360E8" w:rsidRDefault="00000000">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b/>
          <w:bCs/>
          <w:color w:val="000000"/>
          <w:kern w:val="0"/>
        </w:rPr>
        <w:t>INTRODUCTION </w:t>
      </w:r>
    </w:p>
    <w:p w14:paraId="5BC216CC"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 xml:space="preserve"> Background</w:t>
      </w:r>
    </w:p>
    <w:p w14:paraId="3FF17783" w14:textId="77777777" w:rsidR="00B360E8" w:rsidRDefault="00B360E8">
      <w:pPr>
        <w:spacing w:after="0" w:line="240" w:lineRule="auto"/>
        <w:rPr>
          <w:rFonts w:ascii="Times New Roman" w:eastAsia="Times New Roman" w:hAnsi="Times New Roman" w:cs="Times New Roman"/>
          <w:kern w:val="0"/>
        </w:rPr>
      </w:pPr>
    </w:p>
    <w:p w14:paraId="2D82A98B"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 xml:space="preserve">Diarrheal illnesses remain a major concern for </w:t>
      </w:r>
      <w:r>
        <w:rPr>
          <w:rFonts w:ascii="Times New Roman" w:eastAsia="Times New Roman" w:hAnsi="Times New Roman" w:cs="Times New Roman"/>
          <w:color w:val="000000"/>
          <w:kern w:val="0"/>
          <w:lang w:val="en-US"/>
        </w:rPr>
        <w:t>infant</w:t>
      </w:r>
      <w:r>
        <w:rPr>
          <w:rFonts w:ascii="Times New Roman" w:eastAsia="Times New Roman" w:hAnsi="Times New Roman" w:cs="Times New Roman"/>
          <w:color w:val="000000"/>
          <w:kern w:val="0"/>
        </w:rPr>
        <w:t xml:space="preserve"> health worldwide, particularly in underdeveloped nations such as Nigeria [1]. Among the many infections that produce these illnesses, Enterohemorrhagic Escherichia coli (EHEC) is notable for its severe health implications [2]. The O157:H7 serotype, in particular, is known to induce bloody diarrhoea and potentially fatal complications such hemolytic uremic syndrome (HUS) [3]. Accurate isolation and identification of E. coli O157 is crucial for disease control and prevention, highlighting the importance of extensive research and public health interventions.</w:t>
      </w:r>
    </w:p>
    <w:p w14:paraId="08AF01E1" w14:textId="77777777" w:rsidR="00B360E8" w:rsidRDefault="00000000">
      <w:p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Escherichia coli (E. coli) is a bacterium that is commonly found in both human and animal intestines [4]. While most E. coli strains are harmless, some, such as E. coli O157, produce potent Shiga toxins that disrupt the digestive tract [5].  These poisons cause severe gastrointestinal aches, bloody diarrhoea, and even hemolytic uremic syndrome (HUS), a potentially fatal kidney and blood clotting disorder [5,4].  The spread </w:t>
      </w:r>
      <w:r>
        <w:rPr>
          <w:rFonts w:ascii="Times New Roman" w:eastAsia="Times New Roman" w:hAnsi="Times New Roman" w:cs="Times New Roman"/>
          <w:color w:val="000000"/>
          <w:kern w:val="0"/>
        </w:rPr>
        <w:lastRenderedPageBreak/>
        <w:t xml:space="preserve">of E. coli O157 has been noted worldwide, with outbreaks connected to contaminated food and water sources, particularly undercooked ground beef and unpasteurized milk [4].  Developed countries have implemented stricter food safety regulations, resulting in fewer E. coli O157 illnesses. However, the burden remains significant in developing countries with limited access to clean water and sanitation infrastructure, as well as less stringent food safety regulations. </w:t>
      </w:r>
    </w:p>
    <w:p w14:paraId="3CE7DA0C"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In Nigeria, the situation is particularly concerning. The combination of poor sanitation, limited access to clean water, and lax food safety standards provides an environment conducive to the spread of E. coli O157. According to a study by [6] this virus is present in both clinical and environmental samples, highlighting the need for enhanced diagnostic and prevention measures. Children under the age of five are especially prone to E. coli O157 infection because their immune systems are undeveloped, and they spend more time in contaminated areas. Young children have less established handwashing practices and explore their surroundings by putting objects in their mouths, which increases their risk of eating germs [6].   Furthermore, malnutrition, which is common in impoverished countries, can weaken a child's immune system, increasing the risk of severe effects from E. coli O157 infection.</w:t>
      </w:r>
    </w:p>
    <w:p w14:paraId="25A4D8E0"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The global data reveal significant variations in the burden of E. coli O157 infections. Developed countries report decreasing case counts, most likely as a result of improved food safety and sanitation.  [7] discovered that high-income countries have an incidence rate of fewer than one case per 100,000 individuals, while low- and middle-income countries have rates of 10 to 20 cases per 100,000. Poorer countries, particularly Nigeria, have a greater prevalence of E. coli O157, which is often associated with inadequate sanitary facilities and the challenges of maintaining a cold chain for food storage and transit. According to [8], low- and middle-income nations account for roughly 80% of all E. coli O157 cases. This disparity emphasises the vital need for focused public health strategies in developing countries to safeguard vulnerable groups, such as children. Children in Nigeria are particularly prone to E. coli O157 infections due to the high prevalence of malnutrition. Poor eating habits, combined with regular exposure to contaminated environments, increase the likelihood of serious illness outcomes. According to [6], malnutrition accounts for 45% of diarrheal mortality in children under the age of five. Addressing these issues would necessitate a multifaceted approach that includes increasing nutritional status, developing water and sanitation facilities, and enacting strict food safety standards.</w:t>
      </w:r>
    </w:p>
    <w:p w14:paraId="4020CD09"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 xml:space="preserve">The public health consequences of E. coli O157 infections extend beyond the direct health effects on those afflicted. It includes significant economic costs for healthcare, decreased productivity, and long-term health implications. In developing countries such as Nigeria, the healthcare system is usually overcrowded and resources are few, making the management of such illnesses extremely difficult [9].  Interventions to reduce the spread of E. coli O157 should be diverse. Improving diagnostic capabilities is crucial for early and accurate diagnosis of infections. Enhanced surveillance tools can help track the pathogen's movement and locate outbreak sources. Furthermore, public health campaigns that educate communities about proper food handling techniques, the importance of handwashing, and the dangers of drinking unpasteurized milk and eating undercooked meat can significantly reduce infection rates [5]. Furthermore, enforcing food safety rules can lower the risk of infection. Investments in water and sanitation systems are particularly crucial since they reduce environmental pollution and impede the bacteria spread [8]. In Nigeria, specialised public health measures that consider local socioeconomic and cultural factors are essential for effectively managing E. coli O157 infections [8]. </w:t>
      </w:r>
    </w:p>
    <w:p w14:paraId="4566ACEF"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Aim and Objectives of the study</w:t>
      </w:r>
    </w:p>
    <w:p w14:paraId="0F051E6D" w14:textId="77777777" w:rsidR="00B360E8" w:rsidRDefault="00000000">
      <w:pPr>
        <w:numPr>
          <w:ilvl w:val="0"/>
          <w:numId w:val="1"/>
        </w:numPr>
        <w:tabs>
          <w:tab w:val="left" w:pos="720"/>
        </w:tabs>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lang w:val="en-US"/>
        </w:rPr>
        <w:t>Aim:</w:t>
      </w:r>
      <w:r>
        <w:rPr>
          <w:rFonts w:ascii="Times New Roman" w:eastAsia="Times New Roman" w:hAnsi="Times New Roman" w:cs="Times New Roman"/>
          <w:color w:val="000000"/>
          <w:kern w:val="0"/>
          <w:lang w:val="en-US"/>
        </w:rPr>
        <w:t xml:space="preserve"> </w:t>
      </w:r>
      <w:r>
        <w:rPr>
          <w:rFonts w:ascii="Times New Roman" w:eastAsia="Times New Roman" w:hAnsi="Times New Roman" w:cs="Times New Roman"/>
          <w:color w:val="000000"/>
          <w:kern w:val="0"/>
        </w:rPr>
        <w:t xml:space="preserve">The aim of this study is to </w:t>
      </w:r>
      <w:r>
        <w:rPr>
          <w:rFonts w:ascii="Times New Roman" w:eastAsia="Times New Roman" w:hAnsi="Times New Roman" w:cs="Times New Roman"/>
          <w:color w:val="000000"/>
          <w:kern w:val="0"/>
          <w:lang w:val="en-US"/>
        </w:rPr>
        <w:t>establish</w:t>
      </w:r>
      <w:r>
        <w:rPr>
          <w:rFonts w:ascii="Times New Roman" w:eastAsia="Times New Roman" w:hAnsi="Times New Roman" w:cs="Times New Roman"/>
          <w:color w:val="000000"/>
          <w:kern w:val="0"/>
        </w:rPr>
        <w:t xml:space="preserve"> the </w:t>
      </w:r>
      <w:r>
        <w:rPr>
          <w:rFonts w:ascii="Times New Roman" w:eastAsia="Times New Roman" w:hAnsi="Times New Roman" w:cs="Times New Roman"/>
          <w:color w:val="000000"/>
          <w:kern w:val="0"/>
          <w:lang w:val="en-US"/>
        </w:rPr>
        <w:t xml:space="preserve">prevalence of </w:t>
      </w:r>
      <w:r>
        <w:rPr>
          <w:rFonts w:ascii="Times New Roman" w:eastAsia="Times New Roman" w:hAnsi="Times New Roman" w:cs="Times New Roman"/>
          <w:color w:val="000000"/>
          <w:kern w:val="0"/>
        </w:rPr>
        <w:t xml:space="preserve">Enterohemorrhagic Escherichia coli (E. coli O157) </w:t>
      </w:r>
      <w:r>
        <w:rPr>
          <w:rFonts w:ascii="Times New Roman" w:eastAsia="Times New Roman" w:hAnsi="Times New Roman" w:cs="Times New Roman"/>
          <w:color w:val="000000"/>
          <w:kern w:val="0"/>
          <w:lang w:val="en-US"/>
        </w:rPr>
        <w:t xml:space="preserve">and antimicrobial susceptibility </w:t>
      </w:r>
      <w:r>
        <w:rPr>
          <w:rFonts w:ascii="Times New Roman" w:eastAsia="Times New Roman" w:hAnsi="Times New Roman" w:cs="Times New Roman"/>
          <w:color w:val="000000"/>
          <w:kern w:val="0"/>
        </w:rPr>
        <w:t>in children under five years with diarrhoea at the Enugu State University Teaching Hospital.</w:t>
      </w:r>
    </w:p>
    <w:p w14:paraId="526CE7A8" w14:textId="77777777" w:rsidR="00B360E8" w:rsidRDefault="00000000">
      <w:pPr>
        <w:numPr>
          <w:ilvl w:val="0"/>
          <w:numId w:val="1"/>
        </w:numPr>
        <w:tabs>
          <w:tab w:val="left" w:pos="720"/>
        </w:tabs>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The specific objectives include the following:</w:t>
      </w:r>
    </w:p>
    <w:p w14:paraId="36FFEA61" w14:textId="77777777" w:rsidR="00B360E8" w:rsidRDefault="00000000">
      <w:pPr>
        <w:pStyle w:val="ListParagraph1"/>
        <w:numPr>
          <w:ilvl w:val="0"/>
          <w:numId w:val="2"/>
        </w:num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Determine the prevalence of enterohemorrhagic Escherichia coli (E. coli O157) in children under the age of five who report diarrhoea at Enugu State University Teaching Hospital.</w:t>
      </w:r>
    </w:p>
    <w:p w14:paraId="12CF569F" w14:textId="77777777" w:rsidR="00B360E8" w:rsidRDefault="00000000">
      <w:pPr>
        <w:pStyle w:val="ListParagraph1"/>
        <w:numPr>
          <w:ilvl w:val="0"/>
          <w:numId w:val="2"/>
        </w:num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Evaluate the clinical symptoms and severity of illnesses associated with E. coli O157 infections in paediatric patients at the hospital.</w:t>
      </w:r>
    </w:p>
    <w:p w14:paraId="373ABAE6" w14:textId="77777777" w:rsidR="00B360E8" w:rsidRDefault="00000000">
      <w:pPr>
        <w:pStyle w:val="ListParagraph1"/>
        <w:numPr>
          <w:ilvl w:val="0"/>
          <w:numId w:val="2"/>
        </w:numPr>
        <w:spacing w:after="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lastRenderedPageBreak/>
        <w:t>Investigate the epidemiological patterns that influence the incidence of E. coli O157 infections in children under the age of five in Enugu, Nigeria.</w:t>
      </w:r>
    </w:p>
    <w:p w14:paraId="6320D8AD" w14:textId="77777777" w:rsidR="00B360E8" w:rsidRDefault="00B360E8">
      <w:pPr>
        <w:pStyle w:val="ListParagraph1"/>
        <w:spacing w:after="0" w:line="240" w:lineRule="auto"/>
        <w:jc w:val="both"/>
        <w:rPr>
          <w:rFonts w:ascii="Times New Roman" w:eastAsia="Times New Roman" w:hAnsi="Times New Roman" w:cs="Times New Roman"/>
          <w:color w:val="000000"/>
          <w:kern w:val="0"/>
        </w:rPr>
      </w:pPr>
    </w:p>
    <w:p w14:paraId="7E255DDA" w14:textId="77777777" w:rsidR="00B360E8" w:rsidRDefault="00000000">
      <w:pPr>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b/>
          <w:bCs/>
          <w:color w:val="000000"/>
          <w:kern w:val="0"/>
        </w:rPr>
        <w:t>MATERIALS AND METHODS</w:t>
      </w:r>
    </w:p>
    <w:p w14:paraId="7A8E81CE" w14:textId="77777777" w:rsidR="00B360E8" w:rsidRDefault="00B360E8">
      <w:pPr>
        <w:spacing w:after="0" w:line="240" w:lineRule="auto"/>
        <w:rPr>
          <w:rFonts w:ascii="Times New Roman" w:eastAsia="Times New Roman" w:hAnsi="Times New Roman" w:cs="Times New Roman"/>
          <w:kern w:val="0"/>
        </w:rPr>
      </w:pPr>
    </w:p>
    <w:p w14:paraId="4816C7BA"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3.1 Study Design</w:t>
      </w:r>
    </w:p>
    <w:p w14:paraId="2CF90935" w14:textId="77777777" w:rsidR="00B360E8" w:rsidRDefault="00000000">
      <w:pPr>
        <w:spacing w:after="0" w:line="240" w:lineRule="auto"/>
        <w:jc w:val="both"/>
        <w:rPr>
          <w:rFonts w:ascii="Times New Roman" w:eastAsia="Times New Roman" w:hAnsi="Times New Roman" w:cs="Times New Roman"/>
          <w:kern w:val="0"/>
        </w:rPr>
      </w:pPr>
      <w:r>
        <w:t xml:space="preserve">The study adopted a mixed cross-sectional design which combined quantitative and qualitative methodologies to thoroughly investigate both the epidemiological patterns and contextual factors that contribute to E. coli O157 outbreaks. </w:t>
      </w:r>
    </w:p>
    <w:p w14:paraId="68E2F98A"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3.2 Study Area</w:t>
      </w:r>
    </w:p>
    <w:p w14:paraId="668C0151"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1F1F1F"/>
          <w:kern w:val="0"/>
          <w:shd w:val="clear" w:color="auto" w:fill="FFFFFF"/>
        </w:rPr>
        <w:t>The study area is at Enugu State Teaching Hospital Parklane in Enugu, Nigeria's capital. Enugu is a well-known city in southeastern Nigeria, particularly as an educational and medical hub. The hospital is a large healthcare centre that serves a diverse population from both cities and rural locations. It is situated near Shoprite (shopping plaza) in the centre of Enugu State (Coal City) GRA. Geographically, Enugu State is located in Nigeria's southeastern area, bordering Anambra, Ebonyi, Abia, Benue, and Kogi. The hospital's strategic location in Enugu's metropolitan centre allows it to serve a diverse spectrum of patients from across the state and beyond.</w:t>
      </w:r>
    </w:p>
    <w:p w14:paraId="241B66A1"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3.3 Study Population</w:t>
      </w:r>
    </w:p>
    <w:p w14:paraId="4A3CFF09"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 xml:space="preserve">This study's population covers all paediatric patients at Enugu State University Teaching Hospital, Parklane, with a focus on children under the age of five who present with diarrhoea. This includes both inpatients and outpatients seeking medical care at the hospital. </w:t>
      </w:r>
    </w:p>
    <w:p w14:paraId="2110E03A"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3.4 Sample size</w:t>
      </w:r>
    </w:p>
    <w:p w14:paraId="1F76D063" w14:textId="77777777" w:rsidR="00B360E8"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kern w:val="0"/>
        </w:rPr>
        <w:t xml:space="preserve">To determine the appropriate sample size for this study, the study employed a simple random sampling to ensure </w:t>
      </w:r>
      <w:r>
        <w:rPr>
          <w:rFonts w:ascii="Times New Roman" w:eastAsia="Times New Roman" w:hAnsi="Times New Roman" w:cs="Times New Roman"/>
          <w:color w:val="000000"/>
          <w:kern w:val="0"/>
          <w:lang w:val="en-US"/>
        </w:rPr>
        <w:t xml:space="preserve">full representation </w:t>
      </w:r>
      <w:r>
        <w:rPr>
          <w:rFonts w:ascii="Times New Roman" w:eastAsia="Times New Roman" w:hAnsi="Times New Roman" w:cs="Times New Roman"/>
          <w:color w:val="000000"/>
          <w:kern w:val="0"/>
        </w:rPr>
        <w:t>and account for both inpatients and outpatients. the sample size for each stratum would be calculated using the  Cochran’s Sample Size Formula. </w:t>
      </w:r>
    </w:p>
    <w:p w14:paraId="2C252C19" w14:textId="77777777" w:rsidR="00B360E8" w:rsidRDefault="00000000">
      <w:pPr>
        <w:spacing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Using the Cochrane Sample Size formula </w:t>
      </w:r>
    </w:p>
    <w:p w14:paraId="29199586" w14:textId="77777777" w:rsidR="00B360E8" w:rsidRDefault="00000000">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n=√(N×Z² ×p×q) ÷ (E² × (N-1)+ Z²×p×q) </w:t>
      </w:r>
    </w:p>
    <w:p w14:paraId="5589F25F" w14:textId="77777777" w:rsidR="00B360E8" w:rsidRDefault="00000000">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 N= estimated population size of ESUT =2000 </w:t>
      </w:r>
    </w:p>
    <w:p w14:paraId="2824054C" w14:textId="77777777" w:rsidR="00B360E8" w:rsidRDefault="00000000">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Z= Confidence Interval= 1.96 or 95%</w:t>
      </w:r>
    </w:p>
    <w:p w14:paraId="08EC05D6" w14:textId="77777777" w:rsidR="00B360E8" w:rsidRDefault="00000000">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 = estimated proportion of the population (</w:t>
      </w:r>
      <w:r>
        <w:rPr>
          <w:rFonts w:ascii="Times New Roman" w:eastAsia="Times New Roman" w:hAnsi="Times New Roman" w:cs="Times New Roman"/>
          <w:color w:val="000000"/>
          <w:lang w:val="en-US"/>
        </w:rPr>
        <w:t xml:space="preserve">paediatric </w:t>
      </w:r>
      <w:r>
        <w:rPr>
          <w:rFonts w:ascii="Times New Roman" w:eastAsia="Times New Roman" w:hAnsi="Times New Roman" w:cs="Times New Roman"/>
          <w:color w:val="000000"/>
        </w:rPr>
        <w:t>ward</w:t>
      </w:r>
      <w:r>
        <w:rPr>
          <w:rFonts w:ascii="Times New Roman" w:eastAsia="Times New Roman" w:hAnsi="Times New Roman" w:cs="Times New Roman"/>
          <w:color w:val="000000"/>
          <w:lang w:val="en-US"/>
        </w:rPr>
        <w:t xml:space="preserve"> and Special care baby unit</w:t>
      </w:r>
      <w:r>
        <w:rPr>
          <w:rFonts w:ascii="Times New Roman" w:eastAsia="Times New Roman" w:hAnsi="Times New Roman" w:cs="Times New Roman"/>
          <w:color w:val="000000"/>
        </w:rPr>
        <w:t>)= 10% or 0.1</w:t>
      </w:r>
    </w:p>
    <w:p w14:paraId="61A89252" w14:textId="77777777" w:rsidR="00B360E8" w:rsidRDefault="00000000">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 = estimated proportion of population not being studied= 90% or 0.9</w:t>
      </w:r>
    </w:p>
    <w:p w14:paraId="1B023ABE" w14:textId="77777777" w:rsidR="00B360E8" w:rsidRDefault="00000000">
      <w:pPr>
        <w:spacing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E= margin of error = </w:t>
      </w:r>
      <w:r>
        <w:rPr>
          <w:rFonts w:ascii="Times New Roman" w:eastAsia="Times New Roman" w:hAnsi="Times New Roman" w:cs="Times New Roman"/>
          <w:color w:val="000000"/>
          <w:lang w:val="en-US"/>
        </w:rPr>
        <w:t xml:space="preserve">0.0287 </w:t>
      </w:r>
    </w:p>
    <w:p w14:paraId="3F945487" w14:textId="77777777" w:rsidR="00B360E8" w:rsidRDefault="00000000">
      <w:pPr>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SS = </w:t>
      </w:r>
      <w:r>
        <w:rPr>
          <w:rFonts w:ascii="Times New Roman" w:eastAsia="Times New Roman" w:hAnsi="Times New Roman" w:cs="Times New Roman"/>
          <w:b/>
          <w:bCs/>
          <w:color w:val="000000"/>
          <w:lang w:val="en-US"/>
        </w:rPr>
        <w:t xml:space="preserve">83 </w:t>
      </w:r>
      <w:r>
        <w:rPr>
          <w:rFonts w:ascii="Times New Roman" w:eastAsia="Times New Roman" w:hAnsi="Times New Roman" w:cs="Times New Roman"/>
          <w:b/>
          <w:bCs/>
          <w:color w:val="000000"/>
        </w:rPr>
        <w:t>participants</w:t>
      </w:r>
    </w:p>
    <w:p w14:paraId="387BA027"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 xml:space="preserve"> Data Collection</w:t>
      </w:r>
    </w:p>
    <w:p w14:paraId="79BBBB3A"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The data collection procedure for the study consists of multiple stages. This procedure ensured the complete and reliable data collection by utilising questionnaires, laboratory testing, and data collectors.</w:t>
      </w:r>
    </w:p>
    <w:p w14:paraId="320A8FB7" w14:textId="77777777" w:rsidR="00B360E8" w:rsidRDefault="00000000">
      <w:pPr>
        <w:spacing w:after="0" w:line="240" w:lineRule="auto"/>
        <w:jc w:val="both"/>
        <w:rPr>
          <w:rFonts w:ascii="Times New Roman" w:eastAsia="Times New Roman" w:hAnsi="Times New Roman" w:cs="Times New Roman"/>
          <w:i/>
          <w:kern w:val="0"/>
        </w:rPr>
      </w:pPr>
      <w:r>
        <w:rPr>
          <w:rFonts w:ascii="Times New Roman" w:eastAsia="Times New Roman" w:hAnsi="Times New Roman" w:cs="Times New Roman"/>
          <w:b/>
          <w:bCs/>
          <w:i/>
          <w:color w:val="000000"/>
          <w:kern w:val="0"/>
        </w:rPr>
        <w:t>Questionnaires</w:t>
      </w:r>
    </w:p>
    <w:p w14:paraId="5A382BD5"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Questionnaires were used to collect demographics, medical history, and risk factors for E. coli O157 infections. The essential sections are demographic information on the children and their families including their age, gender, place of residence, and socioeconomic status.  Any previous diarrhoea episodes, hospitalisation history, or bacterial infection diagnosis. Details on food and water consumption, hygiene routines, and recent travel history. Trained data collectors provided questionnaires to children's parents or guardians. Face-to-face interviews were also used to verify that data is collected accurately and completely.</w:t>
      </w:r>
    </w:p>
    <w:p w14:paraId="37F667BE"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lang w:val="en-US"/>
        </w:rPr>
        <w:t>3.5.2 L</w:t>
      </w:r>
      <w:r>
        <w:rPr>
          <w:rFonts w:ascii="Times New Roman" w:eastAsia="Times New Roman" w:hAnsi="Times New Roman" w:cs="Times New Roman"/>
          <w:b/>
          <w:bCs/>
          <w:color w:val="000000"/>
          <w:kern w:val="0"/>
        </w:rPr>
        <w:t>aboratory Tests:</w:t>
      </w:r>
      <w:r>
        <w:rPr>
          <w:rFonts w:ascii="Times New Roman" w:eastAsia="Times New Roman" w:hAnsi="Times New Roman" w:cs="Times New Roman"/>
          <w:color w:val="000000"/>
          <w:kern w:val="0"/>
        </w:rPr>
        <w:t> </w:t>
      </w:r>
    </w:p>
    <w:p w14:paraId="02F6A3F1" w14:textId="77777777" w:rsidR="00B360E8" w:rsidRDefault="00000000">
      <w:pPr>
        <w:spacing w:after="0" w:line="240" w:lineRule="auto"/>
        <w:jc w:val="both"/>
        <w:rPr>
          <w:rFonts w:ascii="Times New Roman" w:eastAsia="Times New Roman" w:hAnsi="Times New Roman" w:cs="Times New Roman"/>
          <w:kern w:val="0"/>
          <w:lang w:val="en-US"/>
        </w:rPr>
      </w:pPr>
      <w:r>
        <w:rPr>
          <w:rFonts w:ascii="Times New Roman" w:eastAsia="Times New Roman" w:hAnsi="Times New Roman" w:cs="Times New Roman"/>
          <w:color w:val="000000"/>
          <w:kern w:val="0"/>
        </w:rPr>
        <w:lastRenderedPageBreak/>
        <w:t xml:space="preserve">Stool samples were taken from children with diarrhoea at Enugu State University Teaching Hospital. To maintain the integrity of the samples, they were collected in sterile containers and transported to the laboratory under appropriate conditions.  Stool samples were then grown on </w:t>
      </w:r>
      <w:r>
        <w:rPr>
          <w:rFonts w:ascii="Times New Roman" w:eastAsia="Times New Roman" w:hAnsi="Times New Roman" w:cs="Times New Roman"/>
          <w:color w:val="000000"/>
          <w:kern w:val="0"/>
          <w:lang w:val="en-US"/>
        </w:rPr>
        <w:t xml:space="preserve">Coliform Chromogenic Agar </w:t>
      </w:r>
      <w:r>
        <w:rPr>
          <w:rFonts w:ascii="Times New Roman" w:eastAsia="Times New Roman" w:hAnsi="Times New Roman" w:cs="Times New Roman"/>
          <w:color w:val="000000"/>
          <w:kern w:val="0"/>
        </w:rPr>
        <w:t>(C</w:t>
      </w:r>
      <w:r>
        <w:rPr>
          <w:rFonts w:ascii="Times New Roman" w:eastAsia="Times New Roman" w:hAnsi="Times New Roman" w:cs="Times New Roman"/>
          <w:color w:val="000000"/>
          <w:kern w:val="0"/>
          <w:lang w:val="en-US"/>
        </w:rPr>
        <w:t>CA</w:t>
      </w:r>
      <w:r>
        <w:rPr>
          <w:rFonts w:ascii="Times New Roman" w:eastAsia="Times New Roman" w:hAnsi="Times New Roman" w:cs="Times New Roman"/>
          <w:color w:val="000000"/>
          <w:kern w:val="0"/>
        </w:rPr>
        <w:t>) agar, which is selective for E. coli O157</w:t>
      </w:r>
      <w:r>
        <w:rPr>
          <w:rFonts w:ascii="Times New Roman" w:eastAsia="Times New Roman" w:hAnsi="Times New Roman" w:cs="Times New Roman"/>
          <w:color w:val="000000"/>
          <w:kern w:val="0"/>
          <w:lang w:val="en-US"/>
        </w:rPr>
        <w:t>.</w:t>
      </w:r>
    </w:p>
    <w:p w14:paraId="4AFC05B4"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lang w:val="en-US"/>
        </w:rPr>
        <w:t xml:space="preserve">3.5.3 </w:t>
      </w:r>
      <w:r>
        <w:rPr>
          <w:rFonts w:ascii="Times New Roman" w:eastAsia="Times New Roman" w:hAnsi="Times New Roman" w:cs="Times New Roman"/>
          <w:b/>
          <w:bCs/>
          <w:color w:val="000000"/>
          <w:kern w:val="0"/>
        </w:rPr>
        <w:t>Data/Sample Collectors</w:t>
      </w:r>
      <w:r>
        <w:rPr>
          <w:rFonts w:ascii="Times New Roman" w:eastAsia="Times New Roman" w:hAnsi="Times New Roman" w:cs="Times New Roman"/>
          <w:color w:val="000000"/>
          <w:kern w:val="0"/>
        </w:rPr>
        <w:t>: </w:t>
      </w:r>
    </w:p>
    <w:p w14:paraId="4173AA3A"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color w:val="000000"/>
          <w:kern w:val="0"/>
        </w:rPr>
        <w:t>Qualified health personnel, such as medical students, nurses, and laboratory technicians, are recruited and trained to collect data. They receive extensive training on the study's aims, ethical considerations, questionnaire delivery, sample collection, and correct handling of biological specimens.</w:t>
      </w:r>
    </w:p>
    <w:p w14:paraId="0D5649C4"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lang w:val="en-US"/>
        </w:rPr>
        <w:t xml:space="preserve">3.5.4 </w:t>
      </w:r>
      <w:r>
        <w:rPr>
          <w:rFonts w:ascii="Times New Roman" w:eastAsia="Times New Roman" w:hAnsi="Times New Roman" w:cs="Times New Roman"/>
          <w:b/>
          <w:bCs/>
          <w:color w:val="000000"/>
          <w:kern w:val="0"/>
        </w:rPr>
        <w:t>Inclusion and Exclusion Criteria</w:t>
      </w:r>
    </w:p>
    <w:p w14:paraId="42589DC0"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Inclusion criteria:</w:t>
      </w:r>
    </w:p>
    <w:p w14:paraId="5CA89568" w14:textId="77777777" w:rsidR="00B360E8" w:rsidRDefault="00000000">
      <w:pPr>
        <w:numPr>
          <w:ilvl w:val="0"/>
          <w:numId w:val="3"/>
        </w:numPr>
        <w:spacing w:after="0" w:line="240" w:lineRule="auto"/>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Children under the age of five present with diarrhoea.Enugu State University Teaching Hospital, Parklane, accepts both inpatient and outpatient cases.</w:t>
      </w:r>
    </w:p>
    <w:p w14:paraId="4A789BA2" w14:textId="77777777" w:rsidR="00B360E8" w:rsidRDefault="00000000">
      <w:p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b/>
          <w:bCs/>
          <w:color w:val="000000"/>
          <w:kern w:val="0"/>
        </w:rPr>
        <w:t>Exclusion criteria:</w:t>
      </w:r>
    </w:p>
    <w:p w14:paraId="0FF7826D" w14:textId="77777777" w:rsidR="00B360E8" w:rsidRDefault="00000000">
      <w:pPr>
        <w:numPr>
          <w:ilvl w:val="0"/>
          <w:numId w:val="4"/>
        </w:numPr>
        <w:spacing w:after="0" w:line="240" w:lineRule="auto"/>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Children older than five years of age.</w:t>
      </w:r>
    </w:p>
    <w:p w14:paraId="25534AA5" w14:textId="77777777" w:rsidR="00B360E8" w:rsidRDefault="00000000">
      <w:pPr>
        <w:numPr>
          <w:ilvl w:val="0"/>
          <w:numId w:val="4"/>
        </w:numPr>
        <w:spacing w:after="0" w:line="240" w:lineRule="auto"/>
        <w:jc w:val="both"/>
        <w:textAlignment w:val="baseline"/>
        <w:rPr>
          <w:rFonts w:ascii="Times New Roman" w:eastAsia="Times New Roman" w:hAnsi="Times New Roman" w:cs="Times New Roman"/>
          <w:kern w:val="0"/>
        </w:rPr>
      </w:pPr>
      <w:r>
        <w:rPr>
          <w:rFonts w:ascii="Times New Roman" w:eastAsia="Times New Roman" w:hAnsi="Times New Roman" w:cs="Times New Roman"/>
          <w:color w:val="000000"/>
          <w:kern w:val="0"/>
        </w:rPr>
        <w:t>Children experiencing non-diarrheal symptoms or disorders.</w:t>
      </w:r>
    </w:p>
    <w:p w14:paraId="07635484" w14:textId="77777777" w:rsidR="00B360E8" w:rsidRDefault="00000000">
      <w:pPr>
        <w:spacing w:after="0" w:line="240" w:lineRule="auto"/>
        <w:jc w:val="both"/>
        <w:rPr>
          <w:rFonts w:ascii="Times New Roman" w:eastAsia="Times New Roman" w:hAnsi="Times New Roman" w:cs="Times New Roman"/>
          <w:b/>
          <w:bCs/>
          <w:kern w:val="0"/>
        </w:rPr>
      </w:pPr>
      <w:r>
        <w:rPr>
          <w:rFonts w:ascii="Times New Roman" w:eastAsia="Times New Roman" w:hAnsi="Times New Roman" w:cs="Times New Roman"/>
          <w:b/>
          <w:bCs/>
          <w:color w:val="000000"/>
          <w:kern w:val="0"/>
        </w:rPr>
        <w:t xml:space="preserve"> Culture and Isolation</w:t>
      </w:r>
    </w:p>
    <w:p w14:paraId="08AE04C1" w14:textId="77777777" w:rsidR="00B360E8" w:rsidRDefault="00000000">
      <w:pPr>
        <w:numPr>
          <w:ilvl w:val="0"/>
          <w:numId w:val="5"/>
        </w:numPr>
        <w:spacing w:before="240" w:after="0" w:line="240" w:lineRule="auto"/>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Stool samples are inoculated onto</w:t>
      </w:r>
      <w:r>
        <w:rPr>
          <w:rFonts w:ascii="Times New Roman" w:eastAsia="Times New Roman" w:hAnsi="Times New Roman" w:cs="Times New Roman"/>
          <w:color w:val="000000"/>
          <w:kern w:val="0"/>
          <w:lang w:val="en-US"/>
        </w:rPr>
        <w:t xml:space="preserve"> Coliform Chromogenic</w:t>
      </w:r>
      <w:r>
        <w:rPr>
          <w:rFonts w:ascii="Times New Roman" w:eastAsia="Times New Roman" w:hAnsi="Times New Roman" w:cs="Times New Roman"/>
          <w:color w:val="000000"/>
          <w:kern w:val="0"/>
        </w:rPr>
        <w:t xml:space="preserve"> agar plates, which are selective for E. coli O157 due to their inability to ferment sorbitol.</w:t>
      </w:r>
    </w:p>
    <w:p w14:paraId="16F90774" w14:textId="77777777" w:rsidR="00B360E8" w:rsidRDefault="00000000">
      <w:pPr>
        <w:numPr>
          <w:ilvl w:val="0"/>
          <w:numId w:val="5"/>
        </w:numPr>
        <w:spacing w:after="240" w:line="240" w:lineRule="auto"/>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The plates are incubated at 37°C for 24-48 hours to allow for bacterial growth.</w:t>
      </w:r>
    </w:p>
    <w:p w14:paraId="6A9FAE7A" w14:textId="77777777" w:rsidR="00B360E8" w:rsidRDefault="00000000">
      <w:pPr>
        <w:numPr>
          <w:ilvl w:val="0"/>
          <w:numId w:val="6"/>
        </w:numPr>
        <w:spacing w:before="240" w:after="0" w:line="240" w:lineRule="auto"/>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After incubation, </w:t>
      </w:r>
      <w:r>
        <w:rPr>
          <w:rFonts w:ascii="Times New Roman" w:eastAsia="Times New Roman" w:hAnsi="Times New Roman" w:cs="Times New Roman"/>
          <w:color w:val="000000"/>
          <w:kern w:val="0"/>
          <w:lang w:val="en-US"/>
        </w:rPr>
        <w:t>coliform</w:t>
      </w:r>
      <w:r>
        <w:rPr>
          <w:rFonts w:ascii="Times New Roman" w:eastAsia="Tahoma" w:hAnsi="Times New Roman" w:cs="Times New Roman"/>
          <w:color w:val="262626"/>
          <w:shd w:val="clear" w:color="auto" w:fill="FFFFFF"/>
        </w:rPr>
        <w:t xml:space="preserve"> </w:t>
      </w:r>
      <w:r>
        <w:rPr>
          <w:rFonts w:ascii="Times New Roman" w:eastAsia="Tahoma" w:hAnsi="Times New Roman" w:cs="Times New Roman"/>
          <w:color w:val="262626"/>
          <w:shd w:val="clear" w:color="auto" w:fill="FFFFFF"/>
          <w:lang w:val="en-US"/>
        </w:rPr>
        <w:t>chromogenic</w:t>
      </w:r>
      <w:r>
        <w:rPr>
          <w:rFonts w:ascii="Times New Roman" w:eastAsia="Tahoma" w:hAnsi="Times New Roman" w:cs="Times New Roman"/>
          <w:color w:val="262626"/>
          <w:shd w:val="clear" w:color="auto" w:fill="FFFFFF"/>
        </w:rPr>
        <w:t xml:space="preserve"> agar contains chromogenic substrates that allow for the identification of coliforms by producing coloured colonies when specific enzymes (such as β-galactosidase) are present</w:t>
      </w:r>
      <w:r>
        <w:rPr>
          <w:rFonts w:ascii="Times New Roman" w:eastAsia="Tahoma" w:hAnsi="Times New Roman" w:cs="Times New Roman"/>
          <w:color w:val="262626"/>
          <w:shd w:val="clear" w:color="auto" w:fill="FFFFFF"/>
          <w:lang w:val="en-US"/>
        </w:rPr>
        <w:t>. C</w:t>
      </w:r>
      <w:r>
        <w:rPr>
          <w:rFonts w:ascii="Times New Roman" w:eastAsia="Times New Roman" w:hAnsi="Times New Roman" w:cs="Times New Roman"/>
          <w:color w:val="000000"/>
          <w:kern w:val="0"/>
          <w:lang w:val="en-US"/>
        </w:rPr>
        <w:t>olonies that appeared mauve or purplish-pink on Coliform Chromogenic</w:t>
      </w:r>
      <w:r>
        <w:rPr>
          <w:rFonts w:ascii="Times New Roman" w:eastAsia="Times New Roman" w:hAnsi="Times New Roman" w:cs="Times New Roman"/>
          <w:color w:val="000000"/>
          <w:kern w:val="0"/>
        </w:rPr>
        <w:t xml:space="preserve"> agar</w:t>
      </w:r>
      <w:r>
        <w:rPr>
          <w:rFonts w:ascii="Times New Roman" w:eastAsia="Times New Roman" w:hAnsi="Times New Roman" w:cs="Times New Roman"/>
          <w:color w:val="000000"/>
          <w:kern w:val="0"/>
          <w:lang w:val="en-US"/>
        </w:rPr>
        <w:t xml:space="preserve"> </w:t>
      </w:r>
      <w:r>
        <w:rPr>
          <w:rFonts w:ascii="Times New Roman" w:eastAsia="Times New Roman" w:hAnsi="Times New Roman" w:cs="Times New Roman"/>
          <w:color w:val="000000"/>
          <w:kern w:val="0"/>
        </w:rPr>
        <w:t>were selected as presumptive E. coli O157.</w:t>
      </w:r>
    </w:p>
    <w:p w14:paraId="0AF56726" w14:textId="77777777" w:rsidR="00B360E8" w:rsidRDefault="00000000">
      <w:pPr>
        <w:numPr>
          <w:ilvl w:val="0"/>
          <w:numId w:val="6"/>
        </w:numPr>
        <w:spacing w:after="240" w:line="240" w:lineRule="auto"/>
        <w:jc w:val="both"/>
        <w:textAlignment w:val="baseline"/>
        <w:rPr>
          <w:rFonts w:ascii="Times New Roman" w:eastAsia="Times New Roman" w:hAnsi="Times New Roman" w:cs="Times New Roman"/>
          <w:b/>
          <w:bCs/>
          <w:kern w:val="0"/>
        </w:rPr>
      </w:pPr>
      <w:r>
        <w:rPr>
          <w:rFonts w:ascii="Times New Roman" w:eastAsia="Times New Roman" w:hAnsi="Times New Roman" w:cs="Times New Roman"/>
          <w:color w:val="000000"/>
          <w:kern w:val="0"/>
        </w:rPr>
        <w:t>These colonies were then subcultured onto nutrient agar plates to obtain pure isolates for further analysis.</w:t>
      </w:r>
    </w:p>
    <w:p w14:paraId="0382D4B5" w14:textId="77777777" w:rsidR="00B360E8" w:rsidRDefault="00000000">
      <w:pPr>
        <w:spacing w:after="240" w:line="240" w:lineRule="auto"/>
        <w:jc w:val="both"/>
        <w:textAlignment w:val="baseline"/>
        <w:rPr>
          <w:rFonts w:ascii="Times New Roman" w:eastAsia="Times New Roman" w:hAnsi="Times New Roman" w:cs="Times New Roman"/>
          <w:kern w:val="0"/>
          <w:lang w:val="en-US"/>
        </w:rPr>
      </w:pPr>
      <w:r>
        <w:rPr>
          <w:rFonts w:ascii="Times New Roman" w:eastAsia="Times New Roman" w:hAnsi="Times New Roman" w:cs="Times New Roman"/>
          <w:b/>
          <w:bCs/>
          <w:color w:val="000000"/>
          <w:kern w:val="0"/>
          <w:lang w:val="en-US"/>
        </w:rPr>
        <w:t xml:space="preserve"> </w:t>
      </w:r>
      <w:r>
        <w:rPr>
          <w:rFonts w:ascii="Times New Roman" w:eastAsia="Times New Roman" w:hAnsi="Times New Roman" w:cs="Times New Roman"/>
          <w:b/>
          <w:bCs/>
          <w:color w:val="000000"/>
          <w:kern w:val="0"/>
        </w:rPr>
        <w:t>Antimicrobial Susceptibility Testing</w:t>
      </w:r>
      <w:r>
        <w:rPr>
          <w:rFonts w:ascii="Times New Roman" w:eastAsia="Times New Roman" w:hAnsi="Times New Roman" w:cs="Times New Roman"/>
          <w:b/>
          <w:bCs/>
          <w:color w:val="000000"/>
          <w:kern w:val="0"/>
          <w:lang w:val="en-US"/>
        </w:rPr>
        <w:t xml:space="preserve"> (</w:t>
      </w:r>
      <w:r>
        <w:rPr>
          <w:rFonts w:ascii="Times New Roman" w:eastAsia="Times New Roman" w:hAnsi="Times New Roman" w:cs="Times New Roman"/>
          <w:b/>
          <w:bCs/>
          <w:color w:val="000000"/>
          <w:kern w:val="0"/>
        </w:rPr>
        <w:t>Kirby-Bauer Disk Diffusion Method</w:t>
      </w:r>
      <w:r>
        <w:rPr>
          <w:rFonts w:ascii="Times New Roman" w:eastAsia="Times New Roman" w:hAnsi="Times New Roman" w:cs="Times New Roman"/>
          <w:b/>
          <w:bCs/>
          <w:color w:val="000000"/>
          <w:kern w:val="0"/>
          <w:lang w:val="en-US"/>
        </w:rPr>
        <w:t>)</w:t>
      </w:r>
    </w:p>
    <w:p w14:paraId="4D26C433" w14:textId="77777777" w:rsidR="00B360E8" w:rsidRDefault="00000000">
      <w:pPr>
        <w:numPr>
          <w:ilvl w:val="0"/>
          <w:numId w:val="7"/>
        </w:numPr>
        <w:spacing w:after="240" w:line="240" w:lineRule="auto"/>
        <w:jc w:val="both"/>
        <w:textAlignment w:val="baseline"/>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Isolates were spread onto </w:t>
      </w:r>
      <w:r>
        <w:rPr>
          <w:rFonts w:ascii="Times New Roman" w:eastAsia="Times New Roman" w:hAnsi="Times New Roman" w:cs="Times New Roman"/>
          <w:color w:val="000000"/>
          <w:kern w:val="0"/>
          <w:lang w:val="en-US"/>
        </w:rPr>
        <w:t>nutrient</w:t>
      </w:r>
      <w:r>
        <w:rPr>
          <w:rFonts w:ascii="Times New Roman" w:eastAsia="Times New Roman" w:hAnsi="Times New Roman" w:cs="Times New Roman"/>
          <w:color w:val="000000"/>
          <w:kern w:val="0"/>
        </w:rPr>
        <w:t xml:space="preserve"> agar plates, and antibiotic-impregnated disks were placed on the surface.</w:t>
      </w:r>
      <w:r>
        <w:rPr>
          <w:rFonts w:ascii="Times New Roman" w:eastAsia="Times New Roman" w:hAnsi="Times New Roman" w:cs="Times New Roman"/>
          <w:color w:val="000000"/>
          <w:kern w:val="0"/>
          <w:lang w:val="en-US"/>
        </w:rPr>
        <w:t xml:space="preserve"> (Chloramphenicol, Ofloxacin, Meropenem, Pefloxacin, Ceftriaxone, Amoxicillin, Streptomycin, Nitofurantoin, Gentamycin, Ciprofloxacin)</w:t>
      </w:r>
      <w:r>
        <w:rPr>
          <w:rFonts w:ascii="Times New Roman" w:eastAsia="Times New Roman" w:hAnsi="Times New Roman" w:cs="Times New Roman"/>
          <w:color w:val="000000"/>
          <w:kern w:val="0"/>
        </w:rPr>
        <w:t xml:space="preserve"> After incubation, zones of inhibition were measured to determine susceptibility or resistance.</w:t>
      </w:r>
    </w:p>
    <w:p w14:paraId="6341A4F4" w14:textId="77777777" w:rsidR="00B360E8" w:rsidRDefault="00000000">
      <w:pPr>
        <w:spacing w:before="240" w:after="240" w:line="240" w:lineRule="auto"/>
        <w:rPr>
          <w:rFonts w:ascii="Times New Roman" w:eastAsia="Times New Roman" w:hAnsi="Times New Roman" w:cs="Times New Roman"/>
          <w:kern w:val="0"/>
        </w:rPr>
      </w:pPr>
      <w:r>
        <w:rPr>
          <w:rFonts w:ascii="Times New Roman" w:eastAsia="Times New Roman" w:hAnsi="Times New Roman" w:cs="Times New Roman"/>
          <w:b/>
          <w:bCs/>
          <w:color w:val="000000"/>
          <w:kern w:val="0"/>
          <w:lang w:val="en-US"/>
        </w:rPr>
        <w:t xml:space="preserve"> </w:t>
      </w:r>
      <w:r>
        <w:rPr>
          <w:rFonts w:ascii="Times New Roman" w:eastAsia="Times New Roman" w:hAnsi="Times New Roman" w:cs="Times New Roman"/>
          <w:b/>
          <w:bCs/>
          <w:color w:val="000000"/>
          <w:kern w:val="0"/>
        </w:rPr>
        <w:t>DATA ANALYSIS</w:t>
      </w:r>
    </w:p>
    <w:p w14:paraId="686208F8" w14:textId="77777777" w:rsidR="00B360E8" w:rsidRDefault="00000000">
      <w:pPr>
        <w:spacing w:before="240" w:after="240" w:line="240" w:lineRule="auto"/>
        <w:jc w:val="both"/>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 xml:space="preserve">Data analysis for this study involved utilizing SPSS software to process and interpret the collected data thoroughly. Initially, the study population's demographic and clinical characteristics are summarised using descriptive statistics, which include frequencies, measures of central tendency (mean) and dispersion (standard deviation). </w:t>
      </w:r>
    </w:p>
    <w:p w14:paraId="40042864" w14:textId="35C206BE" w:rsidR="00B360E8" w:rsidRDefault="00000000">
      <w:pPr>
        <w:spacing w:line="240" w:lineRule="auto"/>
        <w:jc w:val="center"/>
        <w:rPr>
          <w:rFonts w:ascii="Times New Roman" w:eastAsia="SimSun" w:hAnsi="Times New Roman" w:cs="Times New Roman"/>
          <w:b/>
          <w:bCs/>
          <w:color w:val="222222"/>
          <w:shd w:val="clear" w:color="auto" w:fill="FFFFFF"/>
        </w:rPr>
      </w:pPr>
      <w:r>
        <w:rPr>
          <w:rFonts w:ascii="Times New Roman" w:eastAsia="SimSun" w:hAnsi="Times New Roman" w:cs="Times New Roman"/>
          <w:b/>
          <w:bCs/>
          <w:color w:val="222222"/>
          <w:shd w:val="clear" w:color="auto" w:fill="FFFFFF"/>
        </w:rPr>
        <w:t>RESULTS</w:t>
      </w:r>
    </w:p>
    <w:p w14:paraId="7A8E55C6" w14:textId="77777777" w:rsidR="00B360E8" w:rsidRDefault="00000000">
      <w:pPr>
        <w:spacing w:line="240" w:lineRule="auto"/>
        <w:jc w:val="both"/>
        <w:rPr>
          <w:rFonts w:ascii="Times New Roman" w:eastAsia="Times New Roman" w:hAnsi="Times New Roman" w:cs="Times New Roman"/>
          <w:b/>
          <w:bCs/>
          <w:color w:val="000000"/>
        </w:rPr>
      </w:pPr>
      <w:r>
        <w:t xml:space="preserve">Table 1 Prevalence and Antimicrobial Resistance of Enterohemorrhagic E-coli (E-Coli 0157) in Children less than Five years old with Diarrhea in ESUT. </w:t>
      </w:r>
    </w:p>
    <w:p w14:paraId="417D77C7" w14:textId="77777777" w:rsidR="00B360E8" w:rsidRDefault="00000000">
      <w:pPr>
        <w:spacing w:line="240" w:lineRule="auto"/>
        <w:jc w:val="both"/>
        <w:rPr>
          <w:rFonts w:ascii="Times New Roman" w:eastAsia="Times New Roman" w:hAnsi="Times New Roman" w:cs="Times New Roman"/>
          <w:b/>
          <w:bCs/>
          <w:color w:val="000000"/>
        </w:rPr>
      </w:pPr>
      <w:r>
        <w:rPr>
          <w:rFonts w:ascii="Times New Roman" w:hAnsi="Times New Roman" w:cs="Times New Roman"/>
        </w:rPr>
        <w:t xml:space="preserve">The table below presents the demographic data of the study participants. Out of 83 samples collected from children under 5 years old at ESUT, 41 (49.4%) were male, and 42 (50.6%) were female. Among these children, 30 (36.1%) were between 1-2 years old, 25 (30.1%) were between 0-1 year old, 18 (21.7%) were between 2-3 years old, 6 (7.3%) were between 3-4 years old, and 4 (4.8%) were between 4-5 years old. Regarding the duration of diarrhea, 43 (51.8%) had suffered for 1 week, 24 (28.9%) for 2 weeks, 5 (6.0%) </w:t>
      </w:r>
      <w:r>
        <w:rPr>
          <w:rFonts w:ascii="Times New Roman" w:hAnsi="Times New Roman" w:cs="Times New Roman"/>
        </w:rPr>
        <w:lastRenderedPageBreak/>
        <w:t>for 3 weeks, and 11 (13.3%) for more than 3 weeks. The majority of the children had loose/watery stool, while only 12 (14.5%) had semi-formed stool. Additionally, 37 (44.6%) of the children stooled more than 4 times daily, while 13 (15.7%) stooled once, 20 (24.0%) stooled twice, and 13 (15.7%) stooled thrice daily.</w:t>
      </w:r>
    </w:p>
    <w:tbl>
      <w:tblPr>
        <w:tblStyle w:val="TableGrid"/>
        <w:tblW w:w="5958" w:type="dxa"/>
        <w:jc w:val="center"/>
        <w:tblLayout w:type="fixed"/>
        <w:tblLook w:val="04A0" w:firstRow="1" w:lastRow="0" w:firstColumn="1" w:lastColumn="0" w:noHBand="0" w:noVBand="1"/>
      </w:tblPr>
      <w:tblGrid>
        <w:gridCol w:w="4518"/>
        <w:gridCol w:w="1440"/>
      </w:tblGrid>
      <w:tr w:rsidR="00B360E8" w14:paraId="4F811742" w14:textId="77777777">
        <w:trPr>
          <w:jc w:val="center"/>
        </w:trPr>
        <w:tc>
          <w:tcPr>
            <w:tcW w:w="4518" w:type="dxa"/>
          </w:tcPr>
          <w:p w14:paraId="0568E809" w14:textId="77777777" w:rsidR="00B360E8" w:rsidRDefault="00B360E8">
            <w:pPr>
              <w:spacing w:after="0" w:line="240" w:lineRule="auto"/>
              <w:rPr>
                <w:rFonts w:ascii="Times New Roman" w:eastAsia="Times New Roman" w:hAnsi="Times New Roman"/>
                <w:b/>
                <w:bCs/>
                <w:color w:val="000000"/>
              </w:rPr>
            </w:pPr>
          </w:p>
        </w:tc>
        <w:tc>
          <w:tcPr>
            <w:tcW w:w="1440" w:type="dxa"/>
          </w:tcPr>
          <w:p w14:paraId="249A5379"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N (%)</w:t>
            </w:r>
          </w:p>
        </w:tc>
      </w:tr>
      <w:tr w:rsidR="00B360E8" w14:paraId="0A350056" w14:textId="77777777">
        <w:trPr>
          <w:jc w:val="center"/>
        </w:trPr>
        <w:tc>
          <w:tcPr>
            <w:tcW w:w="4518" w:type="dxa"/>
          </w:tcPr>
          <w:p w14:paraId="266611B3"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 xml:space="preserve">Gender </w:t>
            </w:r>
          </w:p>
          <w:p w14:paraId="34C1C7E2"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Male </w:t>
            </w:r>
          </w:p>
          <w:p w14:paraId="091E0A5D"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Female </w:t>
            </w:r>
          </w:p>
          <w:p w14:paraId="60803C6B"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 xml:space="preserve">Age </w:t>
            </w:r>
          </w:p>
          <w:p w14:paraId="329ABC46"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0-12 months</w:t>
            </w:r>
          </w:p>
          <w:p w14:paraId="75359661"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13 moths-24 months</w:t>
            </w:r>
          </w:p>
          <w:p w14:paraId="23D6F5FC"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25 moths-36 months</w:t>
            </w:r>
          </w:p>
          <w:p w14:paraId="08A78A02"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37 moths-48 months</w:t>
            </w:r>
          </w:p>
          <w:p w14:paraId="1E6630D1"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49 moths-60 months</w:t>
            </w:r>
          </w:p>
          <w:p w14:paraId="516B7D58"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Duration of diarrhea</w:t>
            </w:r>
          </w:p>
          <w:p w14:paraId="23B47462"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 week</w:t>
            </w:r>
          </w:p>
          <w:p w14:paraId="5CE19E27"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2 weeks</w:t>
            </w:r>
          </w:p>
          <w:p w14:paraId="567D341B"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3 weeks </w:t>
            </w:r>
          </w:p>
          <w:p w14:paraId="1C44C5E7"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&gt;3 weeks</w:t>
            </w:r>
          </w:p>
          <w:p w14:paraId="1568FD72"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Frequency of stooling</w:t>
            </w:r>
          </w:p>
          <w:p w14:paraId="77CFBFAC"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Once </w:t>
            </w:r>
          </w:p>
          <w:p w14:paraId="77F931B3"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Twice </w:t>
            </w:r>
          </w:p>
          <w:p w14:paraId="2DF4A8EC"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Thrice </w:t>
            </w:r>
          </w:p>
          <w:p w14:paraId="1E013A2E"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4 times and above </w:t>
            </w:r>
          </w:p>
          <w:p w14:paraId="3021C563"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Consistency of stool</w:t>
            </w:r>
          </w:p>
          <w:p w14:paraId="1A9E362B"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Loose </w:t>
            </w:r>
          </w:p>
          <w:p w14:paraId="4290C2DF"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Cs/>
                <w:color w:val="000000"/>
              </w:rPr>
              <w:t>Semi-formed</w:t>
            </w:r>
          </w:p>
        </w:tc>
        <w:tc>
          <w:tcPr>
            <w:tcW w:w="1440" w:type="dxa"/>
          </w:tcPr>
          <w:p w14:paraId="4690C824" w14:textId="77777777" w:rsidR="00B360E8" w:rsidRDefault="00B360E8">
            <w:pPr>
              <w:spacing w:after="0" w:line="240" w:lineRule="auto"/>
              <w:rPr>
                <w:rFonts w:ascii="Times New Roman" w:eastAsia="Times New Roman" w:hAnsi="Times New Roman"/>
                <w:b/>
                <w:bCs/>
                <w:color w:val="000000"/>
              </w:rPr>
            </w:pPr>
          </w:p>
          <w:p w14:paraId="3B5AF2D5"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41(49.4)</w:t>
            </w:r>
          </w:p>
          <w:p w14:paraId="2B22A27B"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42(50.6)</w:t>
            </w:r>
          </w:p>
          <w:p w14:paraId="6AC01F00" w14:textId="77777777" w:rsidR="00B360E8" w:rsidRDefault="00B360E8">
            <w:pPr>
              <w:spacing w:after="0" w:line="240" w:lineRule="auto"/>
              <w:rPr>
                <w:rFonts w:ascii="Times New Roman" w:eastAsia="Times New Roman" w:hAnsi="Times New Roman"/>
                <w:bCs/>
                <w:color w:val="000000"/>
              </w:rPr>
            </w:pPr>
          </w:p>
          <w:p w14:paraId="6772266E"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25(30.1)</w:t>
            </w:r>
          </w:p>
          <w:p w14:paraId="2139253A"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30(36.1)</w:t>
            </w:r>
          </w:p>
          <w:p w14:paraId="2855DEB0"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18(21.7)</w:t>
            </w:r>
          </w:p>
          <w:p w14:paraId="014CDDC2"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6(7.3)</w:t>
            </w:r>
          </w:p>
          <w:p w14:paraId="7CE40A74"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4(4.8)</w:t>
            </w:r>
          </w:p>
          <w:p w14:paraId="53720013" w14:textId="77777777" w:rsidR="00B360E8" w:rsidRDefault="00B360E8">
            <w:pPr>
              <w:spacing w:after="0" w:line="240" w:lineRule="auto"/>
              <w:rPr>
                <w:rFonts w:ascii="Times New Roman" w:eastAsia="Times New Roman" w:hAnsi="Times New Roman"/>
                <w:b/>
                <w:bCs/>
                <w:color w:val="000000"/>
              </w:rPr>
            </w:pPr>
          </w:p>
          <w:p w14:paraId="5779A88D"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43(51.8)</w:t>
            </w:r>
          </w:p>
          <w:p w14:paraId="71440648"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24(28.9)</w:t>
            </w:r>
          </w:p>
          <w:p w14:paraId="59B1E8EC"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5(6.0)</w:t>
            </w:r>
          </w:p>
          <w:p w14:paraId="19418DD0"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11(13.3)</w:t>
            </w:r>
          </w:p>
          <w:p w14:paraId="02EA2382" w14:textId="77777777" w:rsidR="00B360E8" w:rsidRDefault="00B360E8">
            <w:pPr>
              <w:spacing w:after="0" w:line="240" w:lineRule="auto"/>
              <w:rPr>
                <w:rFonts w:ascii="Times New Roman" w:eastAsia="Times New Roman" w:hAnsi="Times New Roman"/>
                <w:b/>
                <w:bCs/>
                <w:color w:val="000000"/>
              </w:rPr>
            </w:pPr>
          </w:p>
          <w:p w14:paraId="6B60D584"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13(15.7)</w:t>
            </w:r>
          </w:p>
          <w:p w14:paraId="7CEC17FF"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20(24.0)</w:t>
            </w:r>
          </w:p>
          <w:p w14:paraId="086189E6"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13(15.7)</w:t>
            </w:r>
          </w:p>
          <w:p w14:paraId="20F40490"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37(44.6)</w:t>
            </w:r>
          </w:p>
          <w:p w14:paraId="4C5FD124" w14:textId="77777777" w:rsidR="00B360E8" w:rsidRDefault="00B360E8">
            <w:pPr>
              <w:spacing w:after="0" w:line="240" w:lineRule="auto"/>
              <w:rPr>
                <w:rFonts w:ascii="Times New Roman" w:eastAsia="Times New Roman" w:hAnsi="Times New Roman"/>
                <w:b/>
                <w:bCs/>
                <w:color w:val="000000"/>
              </w:rPr>
            </w:pPr>
          </w:p>
          <w:p w14:paraId="12E74133"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71(85.5)</w:t>
            </w:r>
          </w:p>
          <w:p w14:paraId="4CBD0350"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Cs/>
                <w:color w:val="000000"/>
              </w:rPr>
              <w:t>12(14.5)</w:t>
            </w:r>
          </w:p>
        </w:tc>
      </w:tr>
    </w:tbl>
    <w:p w14:paraId="2E5AA8C7" w14:textId="77777777" w:rsidR="00B360E8" w:rsidRDefault="00B360E8">
      <w:pPr>
        <w:spacing w:after="0" w:line="240" w:lineRule="auto"/>
        <w:rPr>
          <w:rFonts w:ascii="Times New Roman" w:eastAsia="Times New Roman" w:hAnsi="Times New Roman" w:cs="Times New Roman"/>
          <w:b/>
          <w:bCs/>
          <w:color w:val="000000"/>
        </w:rPr>
      </w:pPr>
    </w:p>
    <w:p w14:paraId="6709A359" w14:textId="77777777" w:rsidR="00B360E8" w:rsidRDefault="00000000">
      <w:pP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Objective 1. The Prevalence of Enterohemorrhagic Escherichia Coli (Coli O157)</w:t>
      </w:r>
      <w:r>
        <w:rPr>
          <w:rFonts w:ascii="Times New Roman" w:eastAsia="Times New Roman" w:hAnsi="Times New Roman" w:cs="Times New Roman"/>
          <w:b/>
          <w:color w:val="000000"/>
          <w:lang w:val="en-US"/>
        </w:rPr>
        <w:t xml:space="preserve"> and Antimicrobial Susceptibility</w:t>
      </w:r>
      <w:r>
        <w:rPr>
          <w:rFonts w:ascii="Times New Roman" w:eastAsia="Times New Roman" w:hAnsi="Times New Roman" w:cs="Times New Roman"/>
          <w:b/>
          <w:color w:val="000000"/>
        </w:rPr>
        <w:t xml:space="preserve"> in Children Under the Age of Five who Report with Diarrhoea at Enugu State University Teaching Hospital.</w:t>
      </w:r>
    </w:p>
    <w:p w14:paraId="77CC6AFD" w14:textId="77777777" w:rsidR="00B360E8" w:rsidRDefault="00000000">
      <w:pPr>
        <w:spacing w:line="240" w:lineRule="auto"/>
        <w:jc w:val="both"/>
        <w:rPr>
          <w:rFonts w:ascii="Times New Roman" w:hAnsi="Times New Roman" w:cs="Times New Roman"/>
        </w:rPr>
      </w:pPr>
      <w:r>
        <w:rPr>
          <w:rFonts w:ascii="Times New Roman" w:hAnsi="Times New Roman" w:cs="Times New Roman"/>
        </w:rPr>
        <w:t>Out of the 83 children examined, 15 (18%) tested positive for diarrhea. Among them, 6 (15%) were male, and 9 (21%) were female. Of the children who tested positive, 46.7% were between 1-2 years old, 26.7% were between 0-1 year old, 20.0% were between 2-3 years old, and 6.7% were between 3-4 years old</w:t>
      </w:r>
    </w:p>
    <w:p w14:paraId="78316E0F" w14:textId="77777777" w:rsidR="00B360E8" w:rsidRDefault="00000000">
      <w:pPr>
        <w:spacing w:line="240" w:lineRule="auto"/>
        <w:rPr>
          <w:rFonts w:ascii="Times New Roman" w:hAnsi="Times New Roman" w:cs="Times New Roman"/>
        </w:rPr>
      </w:pPr>
      <w:r>
        <w:rPr>
          <w:rFonts w:ascii="Times New Roman" w:hAnsi="Times New Roman" w:cs="Times New Roman"/>
          <w:noProof/>
          <w:lang w:val="en-US"/>
        </w:rPr>
        <w:drawing>
          <wp:inline distT="0" distB="0" distL="114300" distR="114300" wp14:anchorId="222E7626" wp14:editId="6B7756AF">
            <wp:extent cx="2495550" cy="2018665"/>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cs="Times New Roman"/>
          <w:noProof/>
          <w:lang w:val="en-US"/>
        </w:rPr>
        <w:drawing>
          <wp:inline distT="0" distB="0" distL="114300" distR="114300" wp14:anchorId="5C457155" wp14:editId="6F19AA29">
            <wp:extent cx="2503805" cy="1983740"/>
            <wp:effectExtent l="0" t="0" r="10795" b="16510"/>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5822EC" w14:textId="77777777" w:rsidR="00B360E8" w:rsidRDefault="00000000">
      <w:pPr>
        <w:spacing w:line="240" w:lineRule="auto"/>
        <w:jc w:val="both"/>
        <w:rPr>
          <w:rFonts w:ascii="Times New Roman" w:eastAsia="Times New Roman" w:hAnsi="Times New Roman" w:cs="Times New Roman"/>
          <w:b/>
          <w:color w:val="000000"/>
        </w:rPr>
      </w:pPr>
      <w:r>
        <w:rPr>
          <w:rFonts w:ascii="Times New Roman" w:hAnsi="Times New Roman" w:cs="Times New Roman"/>
          <w:b/>
        </w:rPr>
        <w:t xml:space="preserve">Fig 1. </w:t>
      </w:r>
      <w:r>
        <w:rPr>
          <w:rFonts w:ascii="Times New Roman" w:eastAsia="Times New Roman" w:hAnsi="Times New Roman" w:cs="Times New Roman"/>
          <w:b/>
          <w:color w:val="000000"/>
        </w:rPr>
        <w:t>The Prevalence of Enterohemorrhagic Escherichia Coli (E. Coli O157) in Children Under the Age of Five who Report with Diarrhoea at Enugu State University Teaching Hospital.</w:t>
      </w:r>
    </w:p>
    <w:p w14:paraId="1F4079C0" w14:textId="77777777" w:rsidR="00B360E8" w:rsidRDefault="00000000">
      <w:pPr>
        <w:spacing w:after="0" w:line="240" w:lineRule="auto"/>
        <w:rPr>
          <w:rFonts w:ascii="Times New Roman" w:eastAsia="SimSun" w:hAnsi="Times New Roman" w:cs="Times New Roman"/>
          <w:b/>
          <w:bCs/>
          <w:color w:val="222222"/>
          <w:shd w:val="clear" w:color="auto" w:fill="FFFFFF"/>
        </w:rPr>
      </w:pPr>
      <w:r>
        <w:rPr>
          <w:rFonts w:ascii="Times New Roman" w:eastAsia="SimSun" w:hAnsi="Times New Roman" w:cs="Times New Roman"/>
          <w:b/>
          <w:bCs/>
          <w:color w:val="222222"/>
          <w:shd w:val="clear" w:color="auto" w:fill="FFFFFF"/>
        </w:rPr>
        <w:lastRenderedPageBreak/>
        <w:br w:type="page"/>
      </w:r>
    </w:p>
    <w:p w14:paraId="078B6F34" w14:textId="77777777" w:rsidR="00B360E8" w:rsidRDefault="00000000">
      <w:pPr>
        <w:spacing w:line="240" w:lineRule="auto"/>
        <w:rPr>
          <w:rFonts w:ascii="Times New Roman" w:hAnsi="Times New Roman" w:cs="Times New Roman"/>
          <w:lang w:val="en-US"/>
        </w:rPr>
      </w:pPr>
      <w:r>
        <w:rPr>
          <w:rFonts w:ascii="Times New Roman" w:hAnsi="Times New Roman" w:cs="Times New Roman"/>
          <w:b/>
        </w:rPr>
        <w:lastRenderedPageBreak/>
        <w:t xml:space="preserve">Table </w:t>
      </w:r>
      <w:r>
        <w:rPr>
          <w:rFonts w:ascii="Times New Roman" w:hAnsi="Times New Roman" w:cs="Times New Roman"/>
          <w:b/>
          <w:lang w:val="en-US"/>
        </w:rPr>
        <w:t xml:space="preserve">2 </w:t>
      </w:r>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b/>
        </w:rPr>
        <w:t>Antibiotic Resistance Patterns of positive cases</w:t>
      </w:r>
      <w:r>
        <w:rPr>
          <w:rFonts w:ascii="Times New Roman" w:hAnsi="Times New Roman" w:cs="Times New Roman"/>
          <w:b/>
          <w:lang w:val="en-US"/>
        </w:rPr>
        <w:t xml:space="preserve">  expressed in % of positive samples</w:t>
      </w:r>
    </w:p>
    <w:tbl>
      <w:tblPr>
        <w:tblStyle w:val="TableGrid"/>
        <w:tblW w:w="9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4"/>
        <w:gridCol w:w="1049"/>
        <w:gridCol w:w="519"/>
        <w:gridCol w:w="485"/>
        <w:gridCol w:w="878"/>
        <w:gridCol w:w="951"/>
        <w:gridCol w:w="953"/>
        <w:gridCol w:w="548"/>
        <w:gridCol w:w="952"/>
        <w:gridCol w:w="952"/>
        <w:gridCol w:w="591"/>
      </w:tblGrid>
      <w:tr w:rsidR="00B360E8" w14:paraId="07F8047F" w14:textId="77777777">
        <w:trPr>
          <w:trHeight w:val="1075"/>
        </w:trPr>
        <w:tc>
          <w:tcPr>
            <w:tcW w:w="1584" w:type="dxa"/>
            <w:tcBorders>
              <w:top w:val="single" w:sz="4" w:space="0" w:color="auto"/>
              <w:bottom w:val="single" w:sz="4" w:space="0" w:color="auto"/>
            </w:tcBorders>
          </w:tcPr>
          <w:p w14:paraId="0B35D711" w14:textId="77777777" w:rsidR="00B360E8" w:rsidRDefault="00000000">
            <w:pPr>
              <w:spacing w:after="0" w:line="240" w:lineRule="auto"/>
              <w:rPr>
                <w:rFonts w:ascii="Times New Roman" w:hAnsi="Times New Roman"/>
              </w:rPr>
            </w:pPr>
            <w:r>
              <w:rPr>
                <w:rFonts w:ascii="Times New Roman" w:hAnsi="Times New Roman"/>
              </w:rPr>
              <w:t xml:space="preserve"> </w:t>
            </w:r>
          </w:p>
        </w:tc>
        <w:tc>
          <w:tcPr>
            <w:tcW w:w="1049" w:type="dxa"/>
            <w:tcBorders>
              <w:top w:val="single" w:sz="4" w:space="0" w:color="auto"/>
              <w:bottom w:val="single" w:sz="4" w:space="0" w:color="auto"/>
            </w:tcBorders>
          </w:tcPr>
          <w:p w14:paraId="2B884AFE" w14:textId="77777777" w:rsidR="00B360E8" w:rsidRDefault="00000000">
            <w:pPr>
              <w:spacing w:after="0" w:line="240" w:lineRule="auto"/>
              <w:rPr>
                <w:rFonts w:ascii="Times New Roman" w:hAnsi="Times New Roman"/>
              </w:rPr>
            </w:pPr>
            <w:r>
              <w:rPr>
                <w:rFonts w:ascii="Times New Roman" w:hAnsi="Times New Roman"/>
              </w:rPr>
              <w:t xml:space="preserve"> </w:t>
            </w:r>
          </w:p>
          <w:p w14:paraId="26B1C55F" w14:textId="77777777" w:rsidR="00B360E8" w:rsidRDefault="00B360E8">
            <w:pPr>
              <w:spacing w:after="0" w:line="240" w:lineRule="auto"/>
              <w:rPr>
                <w:rFonts w:ascii="Times New Roman" w:hAnsi="Times New Roman"/>
              </w:rPr>
            </w:pPr>
          </w:p>
          <w:p w14:paraId="0CED91DA" w14:textId="77777777" w:rsidR="00B360E8" w:rsidRDefault="00B360E8">
            <w:pPr>
              <w:spacing w:after="0" w:line="240" w:lineRule="auto"/>
              <w:rPr>
                <w:rFonts w:ascii="Times New Roman" w:hAnsi="Times New Roman"/>
              </w:rPr>
            </w:pPr>
          </w:p>
          <w:p w14:paraId="1100FE7D" w14:textId="77777777" w:rsidR="00B360E8" w:rsidRDefault="00000000">
            <w:pPr>
              <w:spacing w:after="0" w:line="240" w:lineRule="auto"/>
              <w:rPr>
                <w:rFonts w:ascii="Times New Roman" w:hAnsi="Times New Roman"/>
              </w:rPr>
            </w:pPr>
            <w:r>
              <w:rPr>
                <w:rFonts w:ascii="Times New Roman" w:hAnsi="Times New Roman"/>
              </w:rPr>
              <w:t xml:space="preserve">      NF</w:t>
            </w:r>
          </w:p>
        </w:tc>
        <w:tc>
          <w:tcPr>
            <w:tcW w:w="519" w:type="dxa"/>
            <w:tcBorders>
              <w:top w:val="single" w:sz="4" w:space="0" w:color="auto"/>
              <w:bottom w:val="single" w:sz="4" w:space="0" w:color="auto"/>
            </w:tcBorders>
          </w:tcPr>
          <w:p w14:paraId="6E2FADEA" w14:textId="77777777" w:rsidR="00B360E8" w:rsidRDefault="00B360E8">
            <w:pPr>
              <w:spacing w:after="0" w:line="240" w:lineRule="auto"/>
              <w:jc w:val="left"/>
              <w:rPr>
                <w:rFonts w:ascii="Times New Roman" w:hAnsi="Times New Roman"/>
              </w:rPr>
            </w:pPr>
          </w:p>
          <w:p w14:paraId="362FE62A" w14:textId="77777777" w:rsidR="00B360E8" w:rsidRDefault="00B360E8">
            <w:pPr>
              <w:spacing w:after="0" w:line="240" w:lineRule="auto"/>
              <w:jc w:val="left"/>
              <w:rPr>
                <w:rFonts w:ascii="Times New Roman" w:hAnsi="Times New Roman"/>
              </w:rPr>
            </w:pPr>
          </w:p>
          <w:p w14:paraId="669DB258" w14:textId="77777777" w:rsidR="00B360E8" w:rsidRDefault="00B360E8">
            <w:pPr>
              <w:spacing w:after="0" w:line="240" w:lineRule="auto"/>
              <w:jc w:val="left"/>
              <w:rPr>
                <w:rFonts w:ascii="Times New Roman" w:hAnsi="Times New Roman"/>
              </w:rPr>
            </w:pPr>
          </w:p>
          <w:p w14:paraId="4ACFD90C" w14:textId="77777777" w:rsidR="00B360E8" w:rsidRDefault="00000000">
            <w:pPr>
              <w:spacing w:after="0" w:line="240" w:lineRule="auto"/>
              <w:jc w:val="left"/>
              <w:rPr>
                <w:rFonts w:ascii="Times New Roman" w:hAnsi="Times New Roman"/>
              </w:rPr>
            </w:pPr>
            <w:r>
              <w:rPr>
                <w:rFonts w:ascii="Times New Roman" w:hAnsi="Times New Roman"/>
              </w:rPr>
              <w:t>PE</w:t>
            </w:r>
          </w:p>
        </w:tc>
        <w:tc>
          <w:tcPr>
            <w:tcW w:w="485" w:type="dxa"/>
            <w:tcBorders>
              <w:top w:val="single" w:sz="4" w:space="0" w:color="auto"/>
              <w:bottom w:val="single" w:sz="4" w:space="0" w:color="auto"/>
            </w:tcBorders>
          </w:tcPr>
          <w:p w14:paraId="22C67D99" w14:textId="77777777" w:rsidR="00B360E8" w:rsidRDefault="00B360E8">
            <w:pPr>
              <w:spacing w:after="0" w:line="240" w:lineRule="auto"/>
              <w:jc w:val="center"/>
              <w:rPr>
                <w:rFonts w:ascii="Times New Roman" w:hAnsi="Times New Roman"/>
              </w:rPr>
            </w:pPr>
          </w:p>
          <w:p w14:paraId="33CD2110" w14:textId="77777777" w:rsidR="00B360E8" w:rsidRDefault="00B360E8">
            <w:pPr>
              <w:spacing w:after="0" w:line="240" w:lineRule="auto"/>
              <w:jc w:val="center"/>
              <w:rPr>
                <w:rFonts w:ascii="Times New Roman" w:hAnsi="Times New Roman"/>
              </w:rPr>
            </w:pPr>
          </w:p>
          <w:p w14:paraId="5F7A2B6B" w14:textId="77777777" w:rsidR="00B360E8" w:rsidRDefault="00B360E8">
            <w:pPr>
              <w:spacing w:after="0" w:line="240" w:lineRule="auto"/>
              <w:jc w:val="center"/>
              <w:rPr>
                <w:rFonts w:ascii="Times New Roman" w:hAnsi="Times New Roman"/>
              </w:rPr>
            </w:pPr>
          </w:p>
          <w:p w14:paraId="6CE08215" w14:textId="77777777" w:rsidR="00B360E8" w:rsidRDefault="00000000">
            <w:pPr>
              <w:spacing w:after="0" w:line="240" w:lineRule="auto"/>
              <w:jc w:val="center"/>
              <w:rPr>
                <w:rFonts w:ascii="Times New Roman" w:hAnsi="Times New Roman"/>
              </w:rPr>
            </w:pPr>
            <w:r>
              <w:rPr>
                <w:rFonts w:ascii="Times New Roman" w:hAnsi="Times New Roman"/>
              </w:rPr>
              <w:t>C</w:t>
            </w:r>
          </w:p>
        </w:tc>
        <w:tc>
          <w:tcPr>
            <w:tcW w:w="878" w:type="dxa"/>
            <w:tcBorders>
              <w:top w:val="single" w:sz="4" w:space="0" w:color="auto"/>
              <w:bottom w:val="single" w:sz="4" w:space="0" w:color="auto"/>
            </w:tcBorders>
          </w:tcPr>
          <w:p w14:paraId="7BEB5424" w14:textId="77777777" w:rsidR="00B360E8" w:rsidRDefault="00B360E8">
            <w:pPr>
              <w:spacing w:after="0" w:line="240" w:lineRule="auto"/>
              <w:jc w:val="center"/>
              <w:rPr>
                <w:rFonts w:ascii="Times New Roman" w:hAnsi="Times New Roman"/>
              </w:rPr>
            </w:pPr>
          </w:p>
          <w:p w14:paraId="0E07D44E" w14:textId="77777777" w:rsidR="00B360E8" w:rsidRDefault="00B360E8">
            <w:pPr>
              <w:spacing w:after="0" w:line="240" w:lineRule="auto"/>
              <w:jc w:val="center"/>
              <w:rPr>
                <w:rFonts w:ascii="Times New Roman" w:hAnsi="Times New Roman"/>
              </w:rPr>
            </w:pPr>
          </w:p>
          <w:p w14:paraId="5D68651D" w14:textId="77777777" w:rsidR="00B360E8" w:rsidRDefault="00B360E8">
            <w:pPr>
              <w:spacing w:after="0" w:line="240" w:lineRule="auto"/>
              <w:jc w:val="center"/>
              <w:rPr>
                <w:rFonts w:ascii="Times New Roman" w:hAnsi="Times New Roman"/>
              </w:rPr>
            </w:pPr>
          </w:p>
          <w:p w14:paraId="08FBECE5" w14:textId="77777777" w:rsidR="00B360E8" w:rsidRDefault="00000000">
            <w:pPr>
              <w:spacing w:after="0" w:line="240" w:lineRule="auto"/>
              <w:jc w:val="center"/>
              <w:rPr>
                <w:rFonts w:ascii="Times New Roman" w:hAnsi="Times New Roman"/>
              </w:rPr>
            </w:pPr>
            <w:r>
              <w:rPr>
                <w:rFonts w:ascii="Times New Roman" w:hAnsi="Times New Roman"/>
              </w:rPr>
              <w:t>CIP</w:t>
            </w:r>
          </w:p>
        </w:tc>
        <w:tc>
          <w:tcPr>
            <w:tcW w:w="951" w:type="dxa"/>
            <w:tcBorders>
              <w:top w:val="single" w:sz="4" w:space="0" w:color="auto"/>
              <w:bottom w:val="single" w:sz="4" w:space="0" w:color="auto"/>
            </w:tcBorders>
          </w:tcPr>
          <w:p w14:paraId="43BBBB1F" w14:textId="77777777" w:rsidR="00B360E8" w:rsidRDefault="00B360E8">
            <w:pPr>
              <w:spacing w:after="0" w:line="240" w:lineRule="auto"/>
              <w:jc w:val="center"/>
              <w:rPr>
                <w:rFonts w:ascii="Times New Roman" w:hAnsi="Times New Roman"/>
              </w:rPr>
            </w:pPr>
          </w:p>
          <w:p w14:paraId="14067B5E" w14:textId="77777777" w:rsidR="00B360E8" w:rsidRDefault="00B360E8">
            <w:pPr>
              <w:spacing w:after="0" w:line="240" w:lineRule="auto"/>
              <w:jc w:val="center"/>
              <w:rPr>
                <w:rFonts w:ascii="Times New Roman" w:hAnsi="Times New Roman"/>
              </w:rPr>
            </w:pPr>
          </w:p>
          <w:p w14:paraId="57B7763A" w14:textId="77777777" w:rsidR="00B360E8" w:rsidRDefault="00B360E8">
            <w:pPr>
              <w:spacing w:after="0" w:line="240" w:lineRule="auto"/>
              <w:jc w:val="center"/>
              <w:rPr>
                <w:rFonts w:ascii="Times New Roman" w:hAnsi="Times New Roman"/>
              </w:rPr>
            </w:pPr>
          </w:p>
          <w:p w14:paraId="343F67F0" w14:textId="77777777" w:rsidR="00B360E8" w:rsidRDefault="00000000">
            <w:pPr>
              <w:spacing w:after="0" w:line="240" w:lineRule="auto"/>
              <w:jc w:val="center"/>
              <w:rPr>
                <w:rFonts w:ascii="Times New Roman" w:hAnsi="Times New Roman"/>
              </w:rPr>
            </w:pPr>
            <w:r>
              <w:rPr>
                <w:rFonts w:ascii="Times New Roman" w:hAnsi="Times New Roman"/>
              </w:rPr>
              <w:t>CT</w:t>
            </w:r>
          </w:p>
        </w:tc>
        <w:tc>
          <w:tcPr>
            <w:tcW w:w="953" w:type="dxa"/>
            <w:tcBorders>
              <w:top w:val="single" w:sz="4" w:space="0" w:color="auto"/>
              <w:bottom w:val="single" w:sz="4" w:space="0" w:color="auto"/>
            </w:tcBorders>
          </w:tcPr>
          <w:p w14:paraId="7F8325FE" w14:textId="77777777" w:rsidR="00B360E8" w:rsidRDefault="00B360E8">
            <w:pPr>
              <w:spacing w:after="0" w:line="240" w:lineRule="auto"/>
              <w:jc w:val="center"/>
              <w:rPr>
                <w:rFonts w:ascii="Times New Roman" w:hAnsi="Times New Roman"/>
              </w:rPr>
            </w:pPr>
          </w:p>
          <w:p w14:paraId="6555903C" w14:textId="77777777" w:rsidR="00B360E8" w:rsidRDefault="00B360E8">
            <w:pPr>
              <w:spacing w:after="0" w:line="240" w:lineRule="auto"/>
              <w:jc w:val="center"/>
              <w:rPr>
                <w:rFonts w:ascii="Times New Roman" w:hAnsi="Times New Roman"/>
              </w:rPr>
            </w:pPr>
          </w:p>
          <w:p w14:paraId="1E8B3D84" w14:textId="77777777" w:rsidR="00B360E8" w:rsidRDefault="00B360E8">
            <w:pPr>
              <w:spacing w:after="0" w:line="240" w:lineRule="auto"/>
              <w:jc w:val="center"/>
              <w:rPr>
                <w:rFonts w:ascii="Times New Roman" w:hAnsi="Times New Roman"/>
              </w:rPr>
            </w:pPr>
          </w:p>
          <w:p w14:paraId="5EC3C41F" w14:textId="77777777" w:rsidR="00B360E8" w:rsidRDefault="00000000">
            <w:pPr>
              <w:spacing w:after="0" w:line="240" w:lineRule="auto"/>
              <w:jc w:val="center"/>
              <w:rPr>
                <w:rFonts w:ascii="Times New Roman" w:hAnsi="Times New Roman"/>
              </w:rPr>
            </w:pPr>
            <w:r>
              <w:rPr>
                <w:rFonts w:ascii="Times New Roman" w:hAnsi="Times New Roman"/>
              </w:rPr>
              <w:t>MP</w:t>
            </w:r>
          </w:p>
        </w:tc>
        <w:tc>
          <w:tcPr>
            <w:tcW w:w="548" w:type="dxa"/>
            <w:tcBorders>
              <w:top w:val="single" w:sz="4" w:space="0" w:color="auto"/>
              <w:bottom w:val="single" w:sz="4" w:space="0" w:color="auto"/>
            </w:tcBorders>
          </w:tcPr>
          <w:p w14:paraId="1747CAEE" w14:textId="77777777" w:rsidR="00B360E8" w:rsidRDefault="00B360E8">
            <w:pPr>
              <w:spacing w:after="0" w:line="240" w:lineRule="auto"/>
              <w:jc w:val="center"/>
              <w:rPr>
                <w:rFonts w:ascii="Times New Roman" w:hAnsi="Times New Roman"/>
              </w:rPr>
            </w:pPr>
          </w:p>
          <w:p w14:paraId="3840D4FE" w14:textId="77777777" w:rsidR="00B360E8" w:rsidRDefault="00B360E8">
            <w:pPr>
              <w:spacing w:after="0" w:line="240" w:lineRule="auto"/>
              <w:jc w:val="center"/>
              <w:rPr>
                <w:rFonts w:ascii="Times New Roman" w:hAnsi="Times New Roman"/>
              </w:rPr>
            </w:pPr>
          </w:p>
          <w:p w14:paraId="2A37E785" w14:textId="77777777" w:rsidR="00B360E8" w:rsidRDefault="00B360E8">
            <w:pPr>
              <w:spacing w:after="0" w:line="240" w:lineRule="auto"/>
              <w:jc w:val="center"/>
              <w:rPr>
                <w:rFonts w:ascii="Times New Roman" w:hAnsi="Times New Roman"/>
              </w:rPr>
            </w:pPr>
          </w:p>
          <w:p w14:paraId="3DB9AB97" w14:textId="77777777" w:rsidR="00B360E8" w:rsidRDefault="00000000">
            <w:pPr>
              <w:spacing w:after="0" w:line="240" w:lineRule="auto"/>
              <w:jc w:val="center"/>
              <w:rPr>
                <w:rFonts w:ascii="Times New Roman" w:hAnsi="Times New Roman"/>
              </w:rPr>
            </w:pPr>
            <w:r>
              <w:rPr>
                <w:rFonts w:ascii="Times New Roman" w:hAnsi="Times New Roman"/>
              </w:rPr>
              <w:t>OF</w:t>
            </w:r>
          </w:p>
        </w:tc>
        <w:tc>
          <w:tcPr>
            <w:tcW w:w="952" w:type="dxa"/>
            <w:tcBorders>
              <w:top w:val="single" w:sz="4" w:space="0" w:color="auto"/>
              <w:bottom w:val="single" w:sz="4" w:space="0" w:color="auto"/>
            </w:tcBorders>
          </w:tcPr>
          <w:p w14:paraId="16F88445" w14:textId="77777777" w:rsidR="00B360E8" w:rsidRDefault="00B360E8">
            <w:pPr>
              <w:spacing w:after="0" w:line="240" w:lineRule="auto"/>
              <w:jc w:val="center"/>
              <w:rPr>
                <w:rFonts w:ascii="Times New Roman" w:hAnsi="Times New Roman"/>
              </w:rPr>
            </w:pPr>
          </w:p>
          <w:p w14:paraId="56F6F852" w14:textId="77777777" w:rsidR="00B360E8" w:rsidRDefault="00B360E8">
            <w:pPr>
              <w:spacing w:after="0" w:line="240" w:lineRule="auto"/>
              <w:jc w:val="center"/>
              <w:rPr>
                <w:rFonts w:ascii="Times New Roman" w:hAnsi="Times New Roman"/>
              </w:rPr>
            </w:pPr>
          </w:p>
          <w:p w14:paraId="5BA156E7" w14:textId="77777777" w:rsidR="00B360E8" w:rsidRDefault="00B360E8">
            <w:pPr>
              <w:spacing w:after="0" w:line="240" w:lineRule="auto"/>
              <w:jc w:val="center"/>
              <w:rPr>
                <w:rFonts w:ascii="Times New Roman" w:hAnsi="Times New Roman"/>
              </w:rPr>
            </w:pPr>
          </w:p>
          <w:p w14:paraId="578FB216" w14:textId="77777777" w:rsidR="00B360E8" w:rsidRDefault="00000000">
            <w:pPr>
              <w:spacing w:after="0" w:line="240" w:lineRule="auto"/>
              <w:jc w:val="center"/>
              <w:rPr>
                <w:rFonts w:ascii="Times New Roman" w:hAnsi="Times New Roman"/>
              </w:rPr>
            </w:pPr>
            <w:r>
              <w:rPr>
                <w:rFonts w:ascii="Times New Roman" w:hAnsi="Times New Roman"/>
              </w:rPr>
              <w:t>SN</w:t>
            </w:r>
          </w:p>
        </w:tc>
        <w:tc>
          <w:tcPr>
            <w:tcW w:w="952" w:type="dxa"/>
            <w:tcBorders>
              <w:top w:val="single" w:sz="4" w:space="0" w:color="auto"/>
              <w:bottom w:val="single" w:sz="4" w:space="0" w:color="auto"/>
            </w:tcBorders>
          </w:tcPr>
          <w:p w14:paraId="3EAFCB7C" w14:textId="77777777" w:rsidR="00B360E8" w:rsidRDefault="00B360E8">
            <w:pPr>
              <w:spacing w:after="0" w:line="240" w:lineRule="auto"/>
              <w:jc w:val="center"/>
              <w:rPr>
                <w:rFonts w:ascii="Times New Roman" w:hAnsi="Times New Roman"/>
              </w:rPr>
            </w:pPr>
          </w:p>
          <w:p w14:paraId="791E378C" w14:textId="77777777" w:rsidR="00B360E8" w:rsidRDefault="00B360E8">
            <w:pPr>
              <w:spacing w:after="0" w:line="240" w:lineRule="auto"/>
              <w:jc w:val="center"/>
              <w:rPr>
                <w:rFonts w:ascii="Times New Roman" w:hAnsi="Times New Roman"/>
              </w:rPr>
            </w:pPr>
          </w:p>
          <w:p w14:paraId="1745FE75" w14:textId="77777777" w:rsidR="00B360E8" w:rsidRDefault="00B360E8">
            <w:pPr>
              <w:spacing w:after="0" w:line="240" w:lineRule="auto"/>
              <w:jc w:val="center"/>
              <w:rPr>
                <w:rFonts w:ascii="Times New Roman" w:hAnsi="Times New Roman"/>
              </w:rPr>
            </w:pPr>
          </w:p>
          <w:p w14:paraId="733F8712" w14:textId="77777777" w:rsidR="00B360E8" w:rsidRDefault="00000000">
            <w:pPr>
              <w:spacing w:after="0" w:line="240" w:lineRule="auto"/>
              <w:jc w:val="center"/>
              <w:rPr>
                <w:rFonts w:ascii="Times New Roman" w:hAnsi="Times New Roman"/>
              </w:rPr>
            </w:pPr>
            <w:r>
              <w:rPr>
                <w:rFonts w:ascii="Times New Roman" w:hAnsi="Times New Roman"/>
              </w:rPr>
              <w:t>AX</w:t>
            </w:r>
          </w:p>
        </w:tc>
        <w:tc>
          <w:tcPr>
            <w:tcW w:w="591" w:type="dxa"/>
            <w:tcBorders>
              <w:top w:val="single" w:sz="4" w:space="0" w:color="auto"/>
              <w:bottom w:val="single" w:sz="4" w:space="0" w:color="auto"/>
            </w:tcBorders>
          </w:tcPr>
          <w:p w14:paraId="672DC30F" w14:textId="77777777" w:rsidR="00B360E8" w:rsidRDefault="00B360E8">
            <w:pPr>
              <w:spacing w:after="0" w:line="240" w:lineRule="auto"/>
              <w:jc w:val="center"/>
              <w:rPr>
                <w:rFonts w:ascii="Times New Roman" w:hAnsi="Times New Roman"/>
              </w:rPr>
            </w:pPr>
          </w:p>
          <w:p w14:paraId="61A10AA9" w14:textId="77777777" w:rsidR="00B360E8" w:rsidRDefault="00B360E8">
            <w:pPr>
              <w:spacing w:after="0" w:line="240" w:lineRule="auto"/>
              <w:jc w:val="center"/>
              <w:rPr>
                <w:rFonts w:ascii="Times New Roman" w:hAnsi="Times New Roman"/>
              </w:rPr>
            </w:pPr>
          </w:p>
          <w:p w14:paraId="7A22EB07" w14:textId="77777777" w:rsidR="00B360E8" w:rsidRDefault="00B360E8">
            <w:pPr>
              <w:spacing w:after="0" w:line="240" w:lineRule="auto"/>
              <w:jc w:val="center"/>
              <w:rPr>
                <w:rFonts w:ascii="Times New Roman" w:hAnsi="Times New Roman"/>
              </w:rPr>
            </w:pPr>
          </w:p>
          <w:p w14:paraId="289F727E" w14:textId="77777777" w:rsidR="00B360E8" w:rsidRDefault="00000000">
            <w:pPr>
              <w:spacing w:after="0" w:line="240" w:lineRule="auto"/>
              <w:jc w:val="center"/>
              <w:rPr>
                <w:rFonts w:ascii="Times New Roman" w:hAnsi="Times New Roman"/>
              </w:rPr>
            </w:pPr>
            <w:r>
              <w:rPr>
                <w:rFonts w:ascii="Times New Roman" w:hAnsi="Times New Roman"/>
              </w:rPr>
              <w:t>GN</w:t>
            </w:r>
          </w:p>
        </w:tc>
      </w:tr>
      <w:tr w:rsidR="00B360E8" w14:paraId="6AE5E7EE" w14:textId="77777777">
        <w:trPr>
          <w:trHeight w:val="954"/>
        </w:trPr>
        <w:tc>
          <w:tcPr>
            <w:tcW w:w="1584" w:type="dxa"/>
            <w:tcBorders>
              <w:top w:val="single" w:sz="4" w:space="0" w:color="auto"/>
            </w:tcBorders>
          </w:tcPr>
          <w:p w14:paraId="50D142DE" w14:textId="77777777" w:rsidR="00B360E8" w:rsidRDefault="00000000">
            <w:pPr>
              <w:spacing w:after="0" w:line="240" w:lineRule="auto"/>
              <w:rPr>
                <w:rFonts w:ascii="Times New Roman" w:hAnsi="Times New Roman"/>
                <w:b/>
              </w:rPr>
            </w:pPr>
            <w:r>
              <w:rPr>
                <w:rFonts w:ascii="Times New Roman" w:hAnsi="Times New Roman"/>
                <w:b/>
              </w:rPr>
              <w:t xml:space="preserve">Resistance </w:t>
            </w:r>
          </w:p>
        </w:tc>
        <w:tc>
          <w:tcPr>
            <w:tcW w:w="1049" w:type="dxa"/>
            <w:tcBorders>
              <w:top w:val="single" w:sz="4" w:space="0" w:color="auto"/>
            </w:tcBorders>
          </w:tcPr>
          <w:p w14:paraId="06FF2A79" w14:textId="77777777" w:rsidR="00B360E8" w:rsidRDefault="00000000">
            <w:pPr>
              <w:spacing w:after="0" w:line="240" w:lineRule="auto"/>
              <w:jc w:val="center"/>
              <w:rPr>
                <w:rFonts w:ascii="Times New Roman" w:hAnsi="Times New Roman"/>
              </w:rPr>
            </w:pPr>
            <w:r>
              <w:rPr>
                <w:rFonts w:ascii="Times New Roman" w:hAnsi="Times New Roman"/>
              </w:rPr>
              <w:t>45</w:t>
            </w:r>
          </w:p>
        </w:tc>
        <w:tc>
          <w:tcPr>
            <w:tcW w:w="519" w:type="dxa"/>
            <w:tcBorders>
              <w:top w:val="single" w:sz="4" w:space="0" w:color="auto"/>
            </w:tcBorders>
          </w:tcPr>
          <w:p w14:paraId="060D260C" w14:textId="77777777" w:rsidR="00B360E8" w:rsidRDefault="00000000">
            <w:pPr>
              <w:spacing w:after="0" w:line="240" w:lineRule="auto"/>
              <w:jc w:val="center"/>
              <w:rPr>
                <w:rFonts w:ascii="Times New Roman" w:hAnsi="Times New Roman"/>
              </w:rPr>
            </w:pPr>
            <w:r>
              <w:rPr>
                <w:rFonts w:ascii="Times New Roman" w:hAnsi="Times New Roman"/>
              </w:rPr>
              <w:t>50</w:t>
            </w:r>
          </w:p>
        </w:tc>
        <w:tc>
          <w:tcPr>
            <w:tcW w:w="485" w:type="dxa"/>
            <w:tcBorders>
              <w:top w:val="single" w:sz="4" w:space="0" w:color="auto"/>
            </w:tcBorders>
          </w:tcPr>
          <w:p w14:paraId="417955C7" w14:textId="77777777" w:rsidR="00B360E8" w:rsidRDefault="00000000">
            <w:pPr>
              <w:spacing w:after="0" w:line="240" w:lineRule="auto"/>
              <w:jc w:val="center"/>
              <w:rPr>
                <w:rFonts w:ascii="Times New Roman" w:hAnsi="Times New Roman"/>
              </w:rPr>
            </w:pPr>
            <w:r>
              <w:rPr>
                <w:rFonts w:ascii="Times New Roman" w:hAnsi="Times New Roman"/>
              </w:rPr>
              <w:t>40</w:t>
            </w:r>
          </w:p>
        </w:tc>
        <w:tc>
          <w:tcPr>
            <w:tcW w:w="878" w:type="dxa"/>
            <w:tcBorders>
              <w:top w:val="single" w:sz="4" w:space="0" w:color="auto"/>
            </w:tcBorders>
          </w:tcPr>
          <w:p w14:paraId="66DC8EB4" w14:textId="77777777" w:rsidR="00B360E8" w:rsidRDefault="00000000">
            <w:pPr>
              <w:tabs>
                <w:tab w:val="left" w:pos="180"/>
                <w:tab w:val="center" w:pos="328"/>
              </w:tabs>
              <w:spacing w:after="0" w:line="240" w:lineRule="auto"/>
              <w:jc w:val="left"/>
              <w:rPr>
                <w:rFonts w:ascii="Times New Roman" w:hAnsi="Times New Roman"/>
              </w:rPr>
            </w:pPr>
            <w:r>
              <w:rPr>
                <w:rFonts w:ascii="Times New Roman" w:hAnsi="Times New Roman"/>
              </w:rPr>
              <w:tab/>
            </w:r>
            <w:r>
              <w:rPr>
                <w:rFonts w:ascii="Times New Roman" w:hAnsi="Times New Roman"/>
              </w:rPr>
              <w:tab/>
              <w:t>55</w:t>
            </w:r>
          </w:p>
        </w:tc>
        <w:tc>
          <w:tcPr>
            <w:tcW w:w="951" w:type="dxa"/>
            <w:tcBorders>
              <w:top w:val="single" w:sz="4" w:space="0" w:color="auto"/>
            </w:tcBorders>
          </w:tcPr>
          <w:p w14:paraId="365B804F" w14:textId="77777777" w:rsidR="00B360E8" w:rsidRDefault="00000000">
            <w:pPr>
              <w:spacing w:after="0" w:line="240" w:lineRule="auto"/>
              <w:jc w:val="center"/>
              <w:rPr>
                <w:rFonts w:ascii="Times New Roman" w:hAnsi="Times New Roman"/>
              </w:rPr>
            </w:pPr>
            <w:r>
              <w:rPr>
                <w:rFonts w:ascii="Times New Roman" w:hAnsi="Times New Roman"/>
              </w:rPr>
              <w:t>43</w:t>
            </w:r>
          </w:p>
        </w:tc>
        <w:tc>
          <w:tcPr>
            <w:tcW w:w="953" w:type="dxa"/>
            <w:tcBorders>
              <w:top w:val="single" w:sz="4" w:space="0" w:color="auto"/>
            </w:tcBorders>
          </w:tcPr>
          <w:p w14:paraId="6F562645" w14:textId="77777777" w:rsidR="00B360E8" w:rsidRDefault="00000000">
            <w:pPr>
              <w:spacing w:after="0" w:line="240" w:lineRule="auto"/>
              <w:jc w:val="center"/>
              <w:rPr>
                <w:rFonts w:ascii="Times New Roman" w:hAnsi="Times New Roman"/>
              </w:rPr>
            </w:pPr>
            <w:r>
              <w:rPr>
                <w:rFonts w:ascii="Times New Roman" w:hAnsi="Times New Roman"/>
              </w:rPr>
              <w:t>39</w:t>
            </w:r>
          </w:p>
          <w:p w14:paraId="57072185" w14:textId="77777777" w:rsidR="00B360E8" w:rsidRDefault="00B360E8">
            <w:pPr>
              <w:spacing w:after="0" w:line="240" w:lineRule="auto"/>
              <w:jc w:val="center"/>
              <w:rPr>
                <w:rFonts w:ascii="Times New Roman" w:hAnsi="Times New Roman"/>
              </w:rPr>
            </w:pPr>
          </w:p>
        </w:tc>
        <w:tc>
          <w:tcPr>
            <w:tcW w:w="548" w:type="dxa"/>
            <w:tcBorders>
              <w:top w:val="single" w:sz="4" w:space="0" w:color="auto"/>
            </w:tcBorders>
          </w:tcPr>
          <w:p w14:paraId="479DE048" w14:textId="77777777" w:rsidR="00B360E8" w:rsidRDefault="00000000">
            <w:pPr>
              <w:spacing w:after="0" w:line="240" w:lineRule="auto"/>
              <w:jc w:val="center"/>
              <w:rPr>
                <w:rFonts w:ascii="Times New Roman" w:hAnsi="Times New Roman"/>
              </w:rPr>
            </w:pPr>
            <w:r>
              <w:rPr>
                <w:rFonts w:ascii="Times New Roman" w:hAnsi="Times New Roman"/>
              </w:rPr>
              <w:t>40</w:t>
            </w:r>
          </w:p>
        </w:tc>
        <w:tc>
          <w:tcPr>
            <w:tcW w:w="952" w:type="dxa"/>
            <w:tcBorders>
              <w:top w:val="single" w:sz="4" w:space="0" w:color="auto"/>
            </w:tcBorders>
          </w:tcPr>
          <w:p w14:paraId="0EB1F264" w14:textId="77777777" w:rsidR="00B360E8" w:rsidRDefault="00000000">
            <w:pPr>
              <w:spacing w:after="0" w:line="240" w:lineRule="auto"/>
              <w:jc w:val="center"/>
              <w:rPr>
                <w:rFonts w:ascii="Times New Roman" w:hAnsi="Times New Roman"/>
              </w:rPr>
            </w:pPr>
            <w:r>
              <w:rPr>
                <w:rFonts w:ascii="Times New Roman" w:hAnsi="Times New Roman"/>
              </w:rPr>
              <w:t>41</w:t>
            </w:r>
          </w:p>
        </w:tc>
        <w:tc>
          <w:tcPr>
            <w:tcW w:w="952" w:type="dxa"/>
            <w:tcBorders>
              <w:top w:val="single" w:sz="4" w:space="0" w:color="auto"/>
            </w:tcBorders>
          </w:tcPr>
          <w:p w14:paraId="5BAC9DB3" w14:textId="77777777" w:rsidR="00B360E8" w:rsidRDefault="00000000">
            <w:pPr>
              <w:spacing w:after="0" w:line="240" w:lineRule="auto"/>
              <w:jc w:val="center"/>
              <w:rPr>
                <w:rFonts w:ascii="Times New Roman" w:hAnsi="Times New Roman"/>
              </w:rPr>
            </w:pPr>
            <w:r>
              <w:rPr>
                <w:rFonts w:ascii="Times New Roman" w:hAnsi="Times New Roman"/>
              </w:rPr>
              <w:t>57</w:t>
            </w:r>
          </w:p>
        </w:tc>
        <w:tc>
          <w:tcPr>
            <w:tcW w:w="591" w:type="dxa"/>
            <w:tcBorders>
              <w:top w:val="single" w:sz="4" w:space="0" w:color="auto"/>
            </w:tcBorders>
          </w:tcPr>
          <w:p w14:paraId="082ABEC9" w14:textId="77777777" w:rsidR="00B360E8" w:rsidRDefault="00000000">
            <w:pPr>
              <w:spacing w:after="0" w:line="240" w:lineRule="auto"/>
              <w:jc w:val="center"/>
              <w:rPr>
                <w:rFonts w:ascii="Times New Roman" w:hAnsi="Times New Roman"/>
              </w:rPr>
            </w:pPr>
            <w:r>
              <w:rPr>
                <w:rFonts w:ascii="Times New Roman" w:hAnsi="Times New Roman"/>
              </w:rPr>
              <w:t>47</w:t>
            </w:r>
          </w:p>
        </w:tc>
      </w:tr>
      <w:tr w:rsidR="00B360E8" w14:paraId="1B1E6ACC" w14:textId="77777777">
        <w:trPr>
          <w:trHeight w:val="1058"/>
        </w:trPr>
        <w:tc>
          <w:tcPr>
            <w:tcW w:w="1584" w:type="dxa"/>
            <w:tcBorders>
              <w:bottom w:val="single" w:sz="4" w:space="0" w:color="auto"/>
            </w:tcBorders>
          </w:tcPr>
          <w:p w14:paraId="10FF772C" w14:textId="77777777" w:rsidR="00B360E8" w:rsidRDefault="00000000">
            <w:pPr>
              <w:spacing w:after="0" w:line="240" w:lineRule="auto"/>
              <w:rPr>
                <w:rFonts w:ascii="Times New Roman" w:hAnsi="Times New Roman"/>
                <w:b/>
              </w:rPr>
            </w:pPr>
            <w:r>
              <w:rPr>
                <w:rFonts w:ascii="Times New Roman" w:hAnsi="Times New Roman"/>
                <w:b/>
              </w:rPr>
              <w:t>Sensitive</w:t>
            </w:r>
          </w:p>
        </w:tc>
        <w:tc>
          <w:tcPr>
            <w:tcW w:w="1049" w:type="dxa"/>
            <w:tcBorders>
              <w:bottom w:val="single" w:sz="4" w:space="0" w:color="auto"/>
            </w:tcBorders>
          </w:tcPr>
          <w:p w14:paraId="338B8111" w14:textId="77777777" w:rsidR="00B360E8" w:rsidRDefault="00000000">
            <w:pPr>
              <w:spacing w:after="0" w:line="240" w:lineRule="auto"/>
              <w:jc w:val="center"/>
              <w:rPr>
                <w:rFonts w:ascii="Times New Roman" w:hAnsi="Times New Roman"/>
              </w:rPr>
            </w:pPr>
            <w:r>
              <w:rPr>
                <w:rFonts w:ascii="Times New Roman" w:hAnsi="Times New Roman"/>
              </w:rPr>
              <w:t>55</w:t>
            </w:r>
          </w:p>
        </w:tc>
        <w:tc>
          <w:tcPr>
            <w:tcW w:w="519" w:type="dxa"/>
            <w:tcBorders>
              <w:bottom w:val="single" w:sz="4" w:space="0" w:color="auto"/>
            </w:tcBorders>
          </w:tcPr>
          <w:p w14:paraId="09E337DB" w14:textId="77777777" w:rsidR="00B360E8" w:rsidRDefault="00000000">
            <w:pPr>
              <w:spacing w:after="0" w:line="240" w:lineRule="auto"/>
              <w:jc w:val="center"/>
              <w:rPr>
                <w:rFonts w:ascii="Times New Roman" w:hAnsi="Times New Roman"/>
              </w:rPr>
            </w:pPr>
            <w:r>
              <w:rPr>
                <w:rFonts w:ascii="Times New Roman" w:hAnsi="Times New Roman"/>
              </w:rPr>
              <w:t>50</w:t>
            </w:r>
          </w:p>
        </w:tc>
        <w:tc>
          <w:tcPr>
            <w:tcW w:w="485" w:type="dxa"/>
            <w:tcBorders>
              <w:bottom w:val="single" w:sz="4" w:space="0" w:color="auto"/>
            </w:tcBorders>
          </w:tcPr>
          <w:p w14:paraId="6CE27564" w14:textId="77777777" w:rsidR="00B360E8" w:rsidRDefault="00000000">
            <w:pPr>
              <w:spacing w:after="0" w:line="240" w:lineRule="auto"/>
              <w:jc w:val="center"/>
              <w:rPr>
                <w:rFonts w:ascii="Times New Roman" w:hAnsi="Times New Roman"/>
              </w:rPr>
            </w:pPr>
            <w:r>
              <w:rPr>
                <w:rFonts w:ascii="Times New Roman" w:hAnsi="Times New Roman"/>
              </w:rPr>
              <w:t>60</w:t>
            </w:r>
          </w:p>
        </w:tc>
        <w:tc>
          <w:tcPr>
            <w:tcW w:w="878" w:type="dxa"/>
            <w:tcBorders>
              <w:bottom w:val="single" w:sz="4" w:space="0" w:color="auto"/>
            </w:tcBorders>
          </w:tcPr>
          <w:p w14:paraId="46BE7D4E" w14:textId="77777777" w:rsidR="00B360E8" w:rsidRDefault="00000000">
            <w:pPr>
              <w:spacing w:after="0" w:line="240" w:lineRule="auto"/>
              <w:jc w:val="center"/>
              <w:rPr>
                <w:rFonts w:ascii="Times New Roman" w:hAnsi="Times New Roman"/>
              </w:rPr>
            </w:pPr>
            <w:r>
              <w:rPr>
                <w:rFonts w:ascii="Times New Roman" w:hAnsi="Times New Roman"/>
              </w:rPr>
              <w:t>45</w:t>
            </w:r>
          </w:p>
        </w:tc>
        <w:tc>
          <w:tcPr>
            <w:tcW w:w="951" w:type="dxa"/>
            <w:tcBorders>
              <w:bottom w:val="single" w:sz="4" w:space="0" w:color="auto"/>
            </w:tcBorders>
          </w:tcPr>
          <w:p w14:paraId="14D9FC78" w14:textId="77777777" w:rsidR="00B360E8" w:rsidRDefault="00000000">
            <w:pPr>
              <w:spacing w:after="0" w:line="240" w:lineRule="auto"/>
              <w:jc w:val="center"/>
              <w:rPr>
                <w:rFonts w:ascii="Times New Roman" w:hAnsi="Times New Roman"/>
              </w:rPr>
            </w:pPr>
            <w:r>
              <w:rPr>
                <w:rFonts w:ascii="Times New Roman" w:hAnsi="Times New Roman"/>
              </w:rPr>
              <w:t>57</w:t>
            </w:r>
          </w:p>
        </w:tc>
        <w:tc>
          <w:tcPr>
            <w:tcW w:w="953" w:type="dxa"/>
            <w:tcBorders>
              <w:bottom w:val="single" w:sz="4" w:space="0" w:color="auto"/>
            </w:tcBorders>
          </w:tcPr>
          <w:p w14:paraId="09B746FD" w14:textId="77777777" w:rsidR="00B360E8" w:rsidRDefault="00000000">
            <w:pPr>
              <w:spacing w:after="0" w:line="240" w:lineRule="auto"/>
              <w:jc w:val="center"/>
              <w:rPr>
                <w:rFonts w:ascii="Times New Roman" w:hAnsi="Times New Roman"/>
              </w:rPr>
            </w:pPr>
            <w:r>
              <w:rPr>
                <w:rFonts w:ascii="Times New Roman" w:hAnsi="Times New Roman"/>
              </w:rPr>
              <w:t>61</w:t>
            </w:r>
          </w:p>
        </w:tc>
        <w:tc>
          <w:tcPr>
            <w:tcW w:w="548" w:type="dxa"/>
            <w:tcBorders>
              <w:bottom w:val="single" w:sz="4" w:space="0" w:color="auto"/>
            </w:tcBorders>
          </w:tcPr>
          <w:p w14:paraId="572AFEA6" w14:textId="77777777" w:rsidR="00B360E8" w:rsidRDefault="00000000">
            <w:pPr>
              <w:spacing w:after="0" w:line="240" w:lineRule="auto"/>
              <w:jc w:val="center"/>
              <w:rPr>
                <w:rFonts w:ascii="Times New Roman" w:hAnsi="Times New Roman"/>
              </w:rPr>
            </w:pPr>
            <w:r>
              <w:rPr>
                <w:rFonts w:ascii="Times New Roman" w:hAnsi="Times New Roman"/>
              </w:rPr>
              <w:t>60</w:t>
            </w:r>
          </w:p>
        </w:tc>
        <w:tc>
          <w:tcPr>
            <w:tcW w:w="952" w:type="dxa"/>
            <w:tcBorders>
              <w:bottom w:val="single" w:sz="4" w:space="0" w:color="auto"/>
            </w:tcBorders>
          </w:tcPr>
          <w:p w14:paraId="2777FCA0" w14:textId="77777777" w:rsidR="00B360E8" w:rsidRDefault="00000000">
            <w:pPr>
              <w:spacing w:after="0" w:line="240" w:lineRule="auto"/>
              <w:jc w:val="center"/>
              <w:rPr>
                <w:rFonts w:ascii="Times New Roman" w:hAnsi="Times New Roman"/>
              </w:rPr>
            </w:pPr>
            <w:r>
              <w:rPr>
                <w:rFonts w:ascii="Times New Roman" w:hAnsi="Times New Roman"/>
              </w:rPr>
              <w:t>59</w:t>
            </w:r>
          </w:p>
        </w:tc>
        <w:tc>
          <w:tcPr>
            <w:tcW w:w="952" w:type="dxa"/>
            <w:tcBorders>
              <w:bottom w:val="single" w:sz="4" w:space="0" w:color="auto"/>
            </w:tcBorders>
          </w:tcPr>
          <w:p w14:paraId="41234331" w14:textId="77777777" w:rsidR="00B360E8" w:rsidRDefault="00000000">
            <w:pPr>
              <w:spacing w:after="0" w:line="240" w:lineRule="auto"/>
              <w:jc w:val="center"/>
              <w:rPr>
                <w:rFonts w:ascii="Times New Roman" w:hAnsi="Times New Roman"/>
              </w:rPr>
            </w:pPr>
            <w:r>
              <w:rPr>
                <w:rFonts w:ascii="Times New Roman" w:hAnsi="Times New Roman"/>
              </w:rPr>
              <w:t>43</w:t>
            </w:r>
          </w:p>
        </w:tc>
        <w:tc>
          <w:tcPr>
            <w:tcW w:w="591" w:type="dxa"/>
            <w:tcBorders>
              <w:bottom w:val="single" w:sz="4" w:space="0" w:color="auto"/>
            </w:tcBorders>
          </w:tcPr>
          <w:p w14:paraId="00D58A11" w14:textId="77777777" w:rsidR="00B360E8" w:rsidRDefault="00000000">
            <w:pPr>
              <w:spacing w:after="0" w:line="240" w:lineRule="auto"/>
              <w:jc w:val="center"/>
              <w:rPr>
                <w:rFonts w:ascii="Times New Roman" w:hAnsi="Times New Roman"/>
              </w:rPr>
            </w:pPr>
            <w:r>
              <w:rPr>
                <w:rFonts w:ascii="Times New Roman" w:hAnsi="Times New Roman"/>
              </w:rPr>
              <w:t>53</w:t>
            </w:r>
          </w:p>
        </w:tc>
      </w:tr>
    </w:tbl>
    <w:p w14:paraId="78F3C58F" w14:textId="77777777" w:rsidR="00B360E8" w:rsidRDefault="00B360E8">
      <w:pPr>
        <w:spacing w:line="240" w:lineRule="auto"/>
        <w:rPr>
          <w:rFonts w:ascii="Times New Roman" w:hAnsi="Times New Roman" w:cs="Times New Roman"/>
        </w:rPr>
      </w:pPr>
    </w:p>
    <w:p w14:paraId="3AEF0628" w14:textId="77777777" w:rsidR="00B360E8" w:rsidRDefault="00000000">
      <w:pPr>
        <w:spacing w:line="240" w:lineRule="auto"/>
        <w:rPr>
          <w:rFonts w:ascii="Times New Roman" w:hAnsi="Times New Roman" w:cs="Times New Roman"/>
        </w:rPr>
      </w:pPr>
      <w:r>
        <w:rPr>
          <w:rFonts w:ascii="Times New Roman" w:hAnsi="Times New Roman" w:cs="Times New Roman"/>
        </w:rPr>
        <w:t>Key:</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6"/>
      </w:tblGrid>
      <w:tr w:rsidR="00B360E8" w14:paraId="75AFAA13" w14:textId="77777777">
        <w:tc>
          <w:tcPr>
            <w:tcW w:w="9016" w:type="dxa"/>
            <w:tcBorders>
              <w:top w:val="nil"/>
              <w:bottom w:val="nil"/>
            </w:tcBorders>
          </w:tcPr>
          <w:p w14:paraId="7ECC10DB" w14:textId="77777777" w:rsidR="00B360E8" w:rsidRDefault="00000000">
            <w:pPr>
              <w:spacing w:after="0" w:line="240" w:lineRule="auto"/>
              <w:rPr>
                <w:rFonts w:ascii="Times New Roman" w:hAnsi="Times New Roman"/>
              </w:rPr>
            </w:pPr>
            <w:r>
              <w:rPr>
                <w:rFonts w:ascii="Times New Roman" w:hAnsi="Times New Roman"/>
              </w:rPr>
              <w:t>SN= Streptomycin</w:t>
            </w:r>
          </w:p>
        </w:tc>
      </w:tr>
      <w:tr w:rsidR="00B360E8" w14:paraId="37322FA9" w14:textId="77777777">
        <w:tc>
          <w:tcPr>
            <w:tcW w:w="9016" w:type="dxa"/>
            <w:tcBorders>
              <w:top w:val="nil"/>
            </w:tcBorders>
          </w:tcPr>
          <w:p w14:paraId="6F1C994E" w14:textId="77777777" w:rsidR="00B360E8" w:rsidRDefault="00000000">
            <w:pPr>
              <w:spacing w:after="0" w:line="240" w:lineRule="auto"/>
              <w:rPr>
                <w:rFonts w:ascii="Times New Roman" w:hAnsi="Times New Roman"/>
              </w:rPr>
            </w:pPr>
            <w:r>
              <w:rPr>
                <w:rFonts w:ascii="Times New Roman" w:hAnsi="Times New Roman"/>
              </w:rPr>
              <w:t>GN= Gentamicin</w:t>
            </w:r>
          </w:p>
        </w:tc>
      </w:tr>
      <w:tr w:rsidR="00B360E8" w14:paraId="154C2006" w14:textId="77777777">
        <w:tc>
          <w:tcPr>
            <w:tcW w:w="9016" w:type="dxa"/>
          </w:tcPr>
          <w:p w14:paraId="1B5B36A5" w14:textId="77777777" w:rsidR="00B360E8" w:rsidRDefault="00000000">
            <w:pPr>
              <w:spacing w:after="0" w:line="240" w:lineRule="auto"/>
              <w:rPr>
                <w:rFonts w:ascii="Times New Roman" w:hAnsi="Times New Roman"/>
              </w:rPr>
            </w:pPr>
            <w:r>
              <w:rPr>
                <w:rFonts w:ascii="Times New Roman" w:hAnsi="Times New Roman"/>
              </w:rPr>
              <w:t>CIP= Ciprofloxacin</w:t>
            </w:r>
          </w:p>
        </w:tc>
      </w:tr>
      <w:tr w:rsidR="00B360E8" w14:paraId="447042D1" w14:textId="77777777">
        <w:tc>
          <w:tcPr>
            <w:tcW w:w="9016" w:type="dxa"/>
          </w:tcPr>
          <w:p w14:paraId="247555FB" w14:textId="77777777" w:rsidR="00B360E8" w:rsidRDefault="00000000">
            <w:pPr>
              <w:spacing w:after="0" w:line="240" w:lineRule="auto"/>
              <w:rPr>
                <w:rFonts w:ascii="Times New Roman" w:hAnsi="Times New Roman"/>
              </w:rPr>
            </w:pPr>
            <w:r>
              <w:rPr>
                <w:rFonts w:ascii="Times New Roman" w:hAnsi="Times New Roman"/>
              </w:rPr>
              <w:t>C= Chloramphenicol</w:t>
            </w:r>
          </w:p>
        </w:tc>
      </w:tr>
      <w:tr w:rsidR="00B360E8" w14:paraId="65A90886" w14:textId="77777777">
        <w:tc>
          <w:tcPr>
            <w:tcW w:w="9016" w:type="dxa"/>
          </w:tcPr>
          <w:p w14:paraId="21C03474" w14:textId="77777777" w:rsidR="00B360E8" w:rsidRDefault="00000000">
            <w:pPr>
              <w:spacing w:after="0" w:line="240" w:lineRule="auto"/>
              <w:rPr>
                <w:rFonts w:ascii="Times New Roman" w:hAnsi="Times New Roman"/>
              </w:rPr>
            </w:pPr>
            <w:r>
              <w:rPr>
                <w:rFonts w:ascii="Times New Roman" w:hAnsi="Times New Roman"/>
              </w:rPr>
              <w:t>OF= Ofloxacin</w:t>
            </w:r>
          </w:p>
        </w:tc>
      </w:tr>
      <w:tr w:rsidR="00B360E8" w14:paraId="7368802B" w14:textId="77777777">
        <w:tc>
          <w:tcPr>
            <w:tcW w:w="9016" w:type="dxa"/>
          </w:tcPr>
          <w:p w14:paraId="20B8FA56" w14:textId="77777777" w:rsidR="00B360E8" w:rsidRDefault="00000000">
            <w:pPr>
              <w:spacing w:after="0" w:line="240" w:lineRule="auto"/>
              <w:rPr>
                <w:rFonts w:ascii="Times New Roman" w:hAnsi="Times New Roman"/>
              </w:rPr>
            </w:pPr>
            <w:r>
              <w:rPr>
                <w:rFonts w:ascii="Times New Roman" w:hAnsi="Times New Roman"/>
              </w:rPr>
              <w:t>MP= Meropenem</w:t>
            </w:r>
          </w:p>
        </w:tc>
      </w:tr>
      <w:tr w:rsidR="00B360E8" w14:paraId="157E1533" w14:textId="77777777">
        <w:tc>
          <w:tcPr>
            <w:tcW w:w="9016" w:type="dxa"/>
          </w:tcPr>
          <w:p w14:paraId="0B09E40A" w14:textId="77777777" w:rsidR="00B360E8" w:rsidRDefault="00000000">
            <w:pPr>
              <w:spacing w:after="0" w:line="240" w:lineRule="auto"/>
              <w:rPr>
                <w:rFonts w:ascii="Times New Roman" w:hAnsi="Times New Roman"/>
              </w:rPr>
            </w:pPr>
            <w:r>
              <w:rPr>
                <w:rFonts w:ascii="Times New Roman" w:hAnsi="Times New Roman"/>
              </w:rPr>
              <w:t>PF= Pefloxacin</w:t>
            </w:r>
          </w:p>
        </w:tc>
      </w:tr>
      <w:tr w:rsidR="00B360E8" w14:paraId="16A1914E" w14:textId="77777777">
        <w:tc>
          <w:tcPr>
            <w:tcW w:w="9016" w:type="dxa"/>
          </w:tcPr>
          <w:p w14:paraId="20FFF688" w14:textId="77777777" w:rsidR="00B360E8" w:rsidRDefault="00000000">
            <w:pPr>
              <w:spacing w:after="0" w:line="240" w:lineRule="auto"/>
              <w:rPr>
                <w:rFonts w:ascii="Times New Roman" w:hAnsi="Times New Roman"/>
              </w:rPr>
            </w:pPr>
            <w:r>
              <w:rPr>
                <w:rFonts w:ascii="Times New Roman" w:hAnsi="Times New Roman"/>
              </w:rPr>
              <w:t>CT= Ceftriaxone</w:t>
            </w:r>
          </w:p>
        </w:tc>
      </w:tr>
      <w:tr w:rsidR="00B360E8" w14:paraId="6C623C56" w14:textId="77777777">
        <w:tc>
          <w:tcPr>
            <w:tcW w:w="9016" w:type="dxa"/>
            <w:tcBorders>
              <w:bottom w:val="nil"/>
            </w:tcBorders>
          </w:tcPr>
          <w:p w14:paraId="4F502544" w14:textId="77777777" w:rsidR="00B360E8" w:rsidRDefault="00000000">
            <w:pPr>
              <w:spacing w:after="0" w:line="240" w:lineRule="auto"/>
              <w:rPr>
                <w:rFonts w:ascii="Times New Roman" w:hAnsi="Times New Roman"/>
              </w:rPr>
            </w:pPr>
            <w:r>
              <w:rPr>
                <w:rFonts w:ascii="Times New Roman" w:hAnsi="Times New Roman"/>
              </w:rPr>
              <w:t>AX= Amoxicillin</w:t>
            </w:r>
          </w:p>
          <w:p w14:paraId="50B289ED" w14:textId="77777777" w:rsidR="00B360E8" w:rsidRDefault="00000000">
            <w:pPr>
              <w:spacing w:after="0" w:line="240" w:lineRule="auto"/>
              <w:rPr>
                <w:rFonts w:ascii="Times New Roman" w:hAnsi="Times New Roman"/>
              </w:rPr>
            </w:pPr>
            <w:r>
              <w:rPr>
                <w:rFonts w:ascii="Times New Roman" w:hAnsi="Times New Roman"/>
              </w:rPr>
              <w:t>NF= Nitofurantoin</w:t>
            </w:r>
          </w:p>
        </w:tc>
      </w:tr>
    </w:tbl>
    <w:p w14:paraId="0FB19705" w14:textId="77777777" w:rsidR="00B360E8" w:rsidRDefault="00B360E8">
      <w:pPr>
        <w:spacing w:after="0" w:line="240" w:lineRule="auto"/>
        <w:rPr>
          <w:rFonts w:ascii="Times New Roman" w:eastAsia="SimSun" w:hAnsi="Times New Roman" w:cs="Times New Roman"/>
          <w:b/>
          <w:bCs/>
          <w:color w:val="222222"/>
          <w:shd w:val="clear" w:color="auto" w:fill="FFFFFF"/>
        </w:rPr>
      </w:pPr>
    </w:p>
    <w:p w14:paraId="2AFB6453" w14:textId="77777777" w:rsidR="00B360E8" w:rsidRDefault="00B360E8">
      <w:pPr>
        <w:spacing w:after="0" w:line="240" w:lineRule="auto"/>
        <w:rPr>
          <w:rFonts w:ascii="Times New Roman" w:eastAsia="SimSun" w:hAnsi="Times New Roman" w:cs="Times New Roman"/>
          <w:b/>
          <w:bCs/>
          <w:color w:val="222222"/>
          <w:shd w:val="clear" w:color="auto" w:fill="FFFFFF"/>
        </w:rPr>
      </w:pPr>
    </w:p>
    <w:p w14:paraId="09447EE6" w14:textId="77777777" w:rsidR="00B360E8" w:rsidRDefault="00000000">
      <w:pP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bCs/>
          <w:color w:val="000000"/>
        </w:rPr>
        <w:t xml:space="preserve">Objective </w:t>
      </w:r>
      <w:r>
        <w:rPr>
          <w:rFonts w:ascii="Times New Roman" w:eastAsia="Times New Roman" w:hAnsi="Times New Roman" w:cs="Times New Roman"/>
          <w:b/>
          <w:color w:val="000000"/>
        </w:rPr>
        <w:t>2. The Clinical Symptoms and Severity of Illnesses Associated with E. coli O157 Infections in Paediatric Patients at ESUT Hospital.</w:t>
      </w:r>
    </w:p>
    <w:p w14:paraId="23C5009E" w14:textId="77777777" w:rsidR="00B360E8" w:rsidRDefault="00000000">
      <w:pPr>
        <w:spacing w:line="24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The clinical symptoms presented by children less than 5 years old with diarrhea at ESUT include; vomiting, fever, abdominal pain and dehydration. </w:t>
      </w:r>
    </w:p>
    <w:p w14:paraId="57B576AD" w14:textId="77777777" w:rsidR="00B360E8" w:rsidRDefault="00000000">
      <w:pPr>
        <w:spacing w:line="240" w:lineRule="auto"/>
        <w:rPr>
          <w:rFonts w:ascii="Times New Roman" w:eastAsia="Times New Roman" w:hAnsi="Times New Roman" w:cs="Times New Roman"/>
          <w:b/>
          <w:bCs/>
          <w:color w:val="000000"/>
        </w:rPr>
      </w:pPr>
      <w:r>
        <w:rPr>
          <w:rFonts w:ascii="Times New Roman" w:hAnsi="Times New Roman" w:cs="Times New Roman"/>
          <w:noProof/>
          <w:lang w:val="en-US"/>
        </w:rPr>
        <w:lastRenderedPageBreak/>
        <w:drawing>
          <wp:inline distT="0" distB="0" distL="114300" distR="114300" wp14:anchorId="46A1D065" wp14:editId="48C482F0">
            <wp:extent cx="4572000" cy="2743200"/>
            <wp:effectExtent l="0" t="0" r="0" b="0"/>
            <wp:docPr id="103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96BD69" w14:textId="77777777" w:rsidR="00B360E8" w:rsidRDefault="00000000">
      <w:pPr>
        <w:spacing w:line="240" w:lineRule="auto"/>
        <w:rPr>
          <w:rFonts w:ascii="Times New Roman" w:eastAsia="Times New Roman" w:hAnsi="Times New Roman" w:cs="Times New Roman"/>
          <w:b/>
          <w:color w:val="000000"/>
        </w:rPr>
      </w:pPr>
      <w:r>
        <w:rPr>
          <w:rFonts w:ascii="Times New Roman" w:eastAsia="Times New Roman" w:hAnsi="Times New Roman" w:cs="Times New Roman"/>
          <w:b/>
          <w:bCs/>
          <w:color w:val="000000"/>
        </w:rPr>
        <w:t xml:space="preserve">Fig 2. </w:t>
      </w:r>
      <w:r>
        <w:rPr>
          <w:rFonts w:ascii="Times New Roman" w:eastAsia="Times New Roman" w:hAnsi="Times New Roman" w:cs="Times New Roman"/>
          <w:b/>
          <w:color w:val="000000"/>
        </w:rPr>
        <w:t>The Clinical Symptoms Associated with E. coli O157 Infections in Paediatric Patients at ESUT Hospital.</w:t>
      </w:r>
    </w:p>
    <w:p w14:paraId="1CED5AEF" w14:textId="77777777" w:rsidR="00B360E8" w:rsidRDefault="00B360E8">
      <w:pPr>
        <w:spacing w:line="240" w:lineRule="auto"/>
        <w:rPr>
          <w:rFonts w:ascii="Times New Roman" w:eastAsia="Times New Roman" w:hAnsi="Times New Roman" w:cs="Times New Roman"/>
          <w:b/>
          <w:bCs/>
          <w:color w:val="000000"/>
        </w:rPr>
      </w:pPr>
    </w:p>
    <w:p w14:paraId="58C64AFB" w14:textId="77777777" w:rsidR="00B360E8" w:rsidRDefault="0000000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bCs/>
          <w:color w:val="000000"/>
        </w:rPr>
        <w:t xml:space="preserve">Objective 3. </w:t>
      </w:r>
      <w:r>
        <w:rPr>
          <w:rFonts w:ascii="Times New Roman" w:eastAsia="Times New Roman" w:hAnsi="Times New Roman" w:cs="Times New Roman"/>
          <w:b/>
          <w:color w:val="000000"/>
        </w:rPr>
        <w:t>The Epidemiological Patterns, Socioeconomic Characteristics, and Environmental Circumstances that Influence the Incidence of E. coli O157 Infections in Children under the Age of Five in Enugu, Nigeria.</w:t>
      </w:r>
    </w:p>
    <w:p w14:paraId="4A3755F3" w14:textId="77777777" w:rsidR="00B360E8" w:rsidRDefault="00B360E8">
      <w:pPr>
        <w:spacing w:after="0" w:line="240" w:lineRule="auto"/>
        <w:rPr>
          <w:rFonts w:ascii="Times New Roman" w:eastAsia="Times New Roman" w:hAnsi="Times New Roman" w:cs="Times New Roman"/>
          <w:b/>
          <w:bCs/>
          <w:color w:val="000000"/>
        </w:rPr>
      </w:pPr>
    </w:p>
    <w:p w14:paraId="47E93227" w14:textId="77777777" w:rsidR="00B360E8" w:rsidRDefault="00000000">
      <w:pPr>
        <w:spacing w:line="240" w:lineRule="auto"/>
        <w:jc w:val="both"/>
        <w:rPr>
          <w:rFonts w:ascii="Times New Roman" w:hAnsi="Times New Roman" w:cs="Times New Roman"/>
        </w:rPr>
      </w:pPr>
      <w:r>
        <w:rPr>
          <w:rFonts w:ascii="Times New Roman" w:hAnsi="Times New Roman" w:cs="Times New Roman"/>
        </w:rPr>
        <w:t>The epidemiological pattern of diarrhea among children under 5 years old at ESUT showed that the majority of the children had no recent travel history (75.9%), nor exposure to contaminated water (59.0%) or food (84.3%). Additionally, most of the children had no contact with animals (96.4%) or infected individuals (85.5%). However, 75.9% of the study participants had flies and rodents in their environment, 9.6% lived near livestock farms, and 25.3% had an open sewage system in their vicinity.</w:t>
      </w:r>
    </w:p>
    <w:p w14:paraId="5835EB11" w14:textId="77777777" w:rsidR="00B360E8" w:rsidRDefault="00B360E8">
      <w:pPr>
        <w:spacing w:line="240" w:lineRule="auto"/>
        <w:jc w:val="both"/>
        <w:rPr>
          <w:rFonts w:ascii="Times New Roman" w:hAnsi="Times New Roman" w:cs="Times New Roman"/>
        </w:rPr>
      </w:pPr>
    </w:p>
    <w:p w14:paraId="2787D068" w14:textId="77777777" w:rsidR="00B360E8" w:rsidRDefault="00B360E8">
      <w:pPr>
        <w:spacing w:line="240" w:lineRule="auto"/>
        <w:jc w:val="both"/>
        <w:rPr>
          <w:rFonts w:ascii="Times New Roman" w:hAnsi="Times New Roman" w:cs="Times New Roman"/>
        </w:rPr>
      </w:pPr>
    </w:p>
    <w:p w14:paraId="2052E878" w14:textId="77777777" w:rsidR="00B360E8" w:rsidRDefault="00B360E8">
      <w:pPr>
        <w:spacing w:line="240" w:lineRule="auto"/>
        <w:jc w:val="both"/>
        <w:rPr>
          <w:rFonts w:ascii="Times New Roman" w:hAnsi="Times New Roman" w:cs="Times New Roman"/>
        </w:rPr>
      </w:pPr>
    </w:p>
    <w:p w14:paraId="27AD1066" w14:textId="77777777" w:rsidR="00B360E8" w:rsidRDefault="00B360E8">
      <w:pPr>
        <w:spacing w:line="240" w:lineRule="auto"/>
        <w:jc w:val="both"/>
        <w:rPr>
          <w:rFonts w:ascii="Times New Roman" w:hAnsi="Times New Roman" w:cs="Times New Roman"/>
        </w:rPr>
      </w:pPr>
    </w:p>
    <w:p w14:paraId="355AD380" w14:textId="77777777" w:rsidR="00B360E8" w:rsidRDefault="00B360E8">
      <w:pPr>
        <w:spacing w:line="240" w:lineRule="auto"/>
        <w:jc w:val="both"/>
        <w:rPr>
          <w:rFonts w:ascii="Times New Roman" w:hAnsi="Times New Roman" w:cs="Times New Roman"/>
        </w:rPr>
      </w:pPr>
    </w:p>
    <w:p w14:paraId="7870A30C" w14:textId="77777777" w:rsidR="00B360E8" w:rsidRDefault="00B360E8">
      <w:pPr>
        <w:spacing w:line="240" w:lineRule="auto"/>
        <w:jc w:val="both"/>
        <w:rPr>
          <w:rFonts w:ascii="Times New Roman" w:hAnsi="Times New Roman" w:cs="Times New Roman"/>
        </w:rPr>
      </w:pPr>
    </w:p>
    <w:p w14:paraId="142C037D" w14:textId="77777777" w:rsidR="00B360E8" w:rsidRDefault="00B360E8">
      <w:pPr>
        <w:spacing w:line="240" w:lineRule="auto"/>
        <w:jc w:val="both"/>
        <w:rPr>
          <w:rFonts w:ascii="Times New Roman" w:hAnsi="Times New Roman" w:cs="Times New Roman"/>
        </w:rPr>
      </w:pPr>
    </w:p>
    <w:p w14:paraId="778E9D43" w14:textId="77777777" w:rsidR="00B360E8" w:rsidRDefault="00B360E8">
      <w:pPr>
        <w:spacing w:line="240" w:lineRule="auto"/>
        <w:jc w:val="both"/>
        <w:rPr>
          <w:rFonts w:ascii="Times New Roman" w:hAnsi="Times New Roman" w:cs="Times New Roman"/>
        </w:rPr>
      </w:pPr>
    </w:p>
    <w:p w14:paraId="3533FECA" w14:textId="77777777" w:rsidR="00B360E8" w:rsidRDefault="00B360E8">
      <w:pPr>
        <w:spacing w:line="240" w:lineRule="auto"/>
        <w:jc w:val="both"/>
        <w:rPr>
          <w:rFonts w:ascii="Times New Roman" w:hAnsi="Times New Roman" w:cs="Times New Roman"/>
        </w:rPr>
      </w:pPr>
    </w:p>
    <w:p w14:paraId="26C25125" w14:textId="77777777" w:rsidR="00B360E8" w:rsidRDefault="00B360E8">
      <w:pPr>
        <w:spacing w:line="240" w:lineRule="auto"/>
        <w:jc w:val="both"/>
        <w:rPr>
          <w:rFonts w:ascii="Times New Roman" w:hAnsi="Times New Roman" w:cs="Times New Roman"/>
        </w:rPr>
      </w:pPr>
    </w:p>
    <w:p w14:paraId="07AFB00B" w14:textId="77777777" w:rsidR="00B360E8" w:rsidRDefault="00B360E8">
      <w:pPr>
        <w:spacing w:line="240" w:lineRule="auto"/>
        <w:jc w:val="both"/>
        <w:rPr>
          <w:rFonts w:ascii="Times New Roman" w:hAnsi="Times New Roman" w:cs="Times New Roman"/>
        </w:rPr>
      </w:pPr>
    </w:p>
    <w:p w14:paraId="7A0140ED" w14:textId="77777777" w:rsidR="00B360E8" w:rsidRDefault="00B360E8">
      <w:pPr>
        <w:spacing w:line="240" w:lineRule="auto"/>
        <w:jc w:val="both"/>
        <w:rPr>
          <w:rFonts w:ascii="Times New Roman" w:hAnsi="Times New Roman" w:cs="Times New Roman"/>
        </w:rPr>
      </w:pPr>
    </w:p>
    <w:p w14:paraId="1D24C760" w14:textId="77777777" w:rsidR="00B360E8" w:rsidRDefault="00000000">
      <w:pPr>
        <w:spacing w:line="240" w:lineRule="auto"/>
        <w:jc w:val="both"/>
        <w:rPr>
          <w:rFonts w:ascii="Times New Roman" w:hAnsi="Times New Roman" w:cs="Times New Roman"/>
          <w:b/>
          <w:bCs/>
          <w:lang w:val="en-US"/>
        </w:rPr>
      </w:pPr>
      <w:r>
        <w:rPr>
          <w:rFonts w:ascii="Times New Roman" w:hAnsi="Times New Roman" w:cs="Times New Roman"/>
          <w:b/>
          <w:bCs/>
          <w:lang w:val="en-US"/>
        </w:rPr>
        <w:lastRenderedPageBreak/>
        <w:t>Table 3 : Epidemiological patterns; Socioeconomic And Environmental Characteristics</w:t>
      </w:r>
    </w:p>
    <w:tbl>
      <w:tblPr>
        <w:tblStyle w:val="TableGrid"/>
        <w:tblW w:w="0" w:type="auto"/>
        <w:jc w:val="center"/>
        <w:tblLayout w:type="fixed"/>
        <w:tblLook w:val="04A0" w:firstRow="1" w:lastRow="0" w:firstColumn="1" w:lastColumn="0" w:noHBand="0" w:noVBand="1"/>
      </w:tblPr>
      <w:tblGrid>
        <w:gridCol w:w="4565"/>
        <w:gridCol w:w="1254"/>
      </w:tblGrid>
      <w:tr w:rsidR="00B360E8" w14:paraId="26575E69" w14:textId="77777777">
        <w:trPr>
          <w:trHeight w:val="8549"/>
          <w:jc w:val="center"/>
        </w:trPr>
        <w:tc>
          <w:tcPr>
            <w:tcW w:w="4565" w:type="dxa"/>
          </w:tcPr>
          <w:p w14:paraId="27016A58" w14:textId="77777777" w:rsidR="00B360E8" w:rsidRDefault="00000000">
            <w:pPr>
              <w:spacing w:after="0" w:line="240" w:lineRule="auto"/>
              <w:rPr>
                <w:rFonts w:ascii="Times New Roman" w:eastAsia="Times New Roman" w:hAnsi="Times New Roman"/>
                <w:b/>
                <w:bCs/>
                <w:color w:val="FF0000"/>
              </w:rPr>
            </w:pPr>
            <w:r>
              <w:rPr>
                <w:rFonts w:ascii="Times New Roman" w:eastAsia="Times New Roman" w:hAnsi="Times New Roman"/>
                <w:b/>
                <w:bCs/>
                <w:color w:val="FF0000"/>
              </w:rPr>
              <w:t>Epidemiological patterns</w:t>
            </w:r>
          </w:p>
          <w:p w14:paraId="7C597BD8"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Recent travels</w:t>
            </w:r>
          </w:p>
          <w:p w14:paraId="0FF1116C"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2E360AC4"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No</w:t>
            </w:r>
          </w:p>
          <w:p w14:paraId="6A47D353"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Exposure to Contaminated Water</w:t>
            </w:r>
          </w:p>
          <w:p w14:paraId="6082F3FD"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1AD70CC6"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4711D5EE"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Exposure to Contaminated Food</w:t>
            </w:r>
          </w:p>
          <w:p w14:paraId="1248E8AD"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1212E6D4"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7A2E0C68"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Contact with Farm Animals</w:t>
            </w:r>
          </w:p>
          <w:p w14:paraId="539EF73A"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147F593E"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748F6BF3"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Contact with Infected Individuals</w:t>
            </w:r>
          </w:p>
          <w:p w14:paraId="3D2D2D9B"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093B758B"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49190DFE" w14:textId="77777777" w:rsidR="00B360E8" w:rsidRDefault="00000000">
            <w:pPr>
              <w:spacing w:after="0" w:line="240" w:lineRule="auto"/>
              <w:rPr>
                <w:rFonts w:ascii="Times New Roman" w:eastAsia="Times New Roman" w:hAnsi="Times New Roman"/>
                <w:b/>
                <w:bCs/>
                <w:color w:val="FF0000"/>
              </w:rPr>
            </w:pPr>
            <w:r>
              <w:rPr>
                <w:rFonts w:ascii="Times New Roman" w:eastAsia="Times New Roman" w:hAnsi="Times New Roman"/>
                <w:b/>
                <w:bCs/>
                <w:color w:val="FF0000"/>
              </w:rPr>
              <w:t>Socioeconomic characteristics</w:t>
            </w:r>
          </w:p>
          <w:p w14:paraId="613AA176"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Family size</w:t>
            </w:r>
          </w:p>
          <w:p w14:paraId="2151240E"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1-2 members </w:t>
            </w:r>
          </w:p>
          <w:p w14:paraId="40E0EE0D"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3-4 members </w:t>
            </w:r>
          </w:p>
          <w:p w14:paraId="10192EB5"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5-6 members </w:t>
            </w:r>
          </w:p>
          <w:p w14:paraId="3121A242"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7-8 members </w:t>
            </w:r>
          </w:p>
          <w:p w14:paraId="725A82E8"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Educational level of parents</w:t>
            </w:r>
          </w:p>
          <w:p w14:paraId="155D02AF"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O’ level</w:t>
            </w:r>
          </w:p>
          <w:p w14:paraId="2C3CA58E"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B.Sc</w:t>
            </w:r>
          </w:p>
          <w:p w14:paraId="2DA7F1FC"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M. Sc/M.A/Ph.D</w:t>
            </w:r>
          </w:p>
          <w:p w14:paraId="1EFB0945"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Occupation of parents</w:t>
            </w:r>
          </w:p>
          <w:p w14:paraId="1F9F62CD"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Civil servants</w:t>
            </w:r>
          </w:p>
          <w:p w14:paraId="409E17EE"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Farmers </w:t>
            </w:r>
          </w:p>
          <w:p w14:paraId="0C08EDEA"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Artisans</w:t>
            </w:r>
          </w:p>
          <w:p w14:paraId="4D9BE56D"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Business men/traders </w:t>
            </w:r>
          </w:p>
          <w:p w14:paraId="70BD6202"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Monthly income</w:t>
            </w:r>
          </w:p>
          <w:p w14:paraId="2C65D7A5"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50-100k</w:t>
            </w:r>
          </w:p>
          <w:p w14:paraId="5A0EA497"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101-200k</w:t>
            </w:r>
          </w:p>
          <w:p w14:paraId="7ECD11EA"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201-300k</w:t>
            </w:r>
          </w:p>
          <w:p w14:paraId="1C352EC7"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&gt;300k</w:t>
            </w:r>
          </w:p>
          <w:p w14:paraId="3F504A01"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Housing type</w:t>
            </w:r>
          </w:p>
          <w:p w14:paraId="0633EDAC"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Rented apartment </w:t>
            </w:r>
          </w:p>
          <w:p w14:paraId="113182C7"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Own apartment </w:t>
            </w:r>
          </w:p>
          <w:p w14:paraId="3372D4F9"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Access to clean water</w:t>
            </w:r>
          </w:p>
          <w:p w14:paraId="576135A3"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47539E9B"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6DF88BD4"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Access to sanitation facility</w:t>
            </w:r>
          </w:p>
          <w:p w14:paraId="731936F4"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295E210F"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1B26FE04" w14:textId="77777777" w:rsidR="00B360E8" w:rsidRDefault="00000000">
            <w:pPr>
              <w:spacing w:after="0" w:line="240" w:lineRule="auto"/>
              <w:rPr>
                <w:rFonts w:ascii="Times New Roman" w:eastAsia="Times New Roman" w:hAnsi="Times New Roman"/>
                <w:b/>
                <w:bCs/>
                <w:color w:val="FF0000"/>
              </w:rPr>
            </w:pPr>
            <w:r>
              <w:rPr>
                <w:rFonts w:ascii="Times New Roman" w:eastAsia="Times New Roman" w:hAnsi="Times New Roman"/>
                <w:b/>
                <w:bCs/>
                <w:color w:val="FF0000"/>
              </w:rPr>
              <w:t>Environmental circumstances</w:t>
            </w:r>
          </w:p>
          <w:p w14:paraId="41EB9075"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presence of open sewage system</w:t>
            </w:r>
          </w:p>
          <w:p w14:paraId="0511AA68"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11C2F95A"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7FE4B38E"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lastRenderedPageBreak/>
              <w:t>Presence of livestock farms</w:t>
            </w:r>
          </w:p>
          <w:p w14:paraId="03C941D4"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5AEF2394"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Cs/>
                <w:color w:val="000000"/>
              </w:rPr>
              <w:t xml:space="preserve">No </w:t>
            </w:r>
          </w:p>
          <w:p w14:paraId="2334BC22"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Presence of flies and rodents</w:t>
            </w:r>
          </w:p>
          <w:p w14:paraId="39223640"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Yes </w:t>
            </w:r>
          </w:p>
          <w:p w14:paraId="7087FD2E"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 xml:space="preserve">No  </w:t>
            </w:r>
          </w:p>
          <w:p w14:paraId="2C08B5F0" w14:textId="77777777" w:rsidR="00B360E8" w:rsidRDefault="00B360E8">
            <w:pPr>
              <w:spacing w:after="0" w:line="240" w:lineRule="auto"/>
              <w:rPr>
                <w:rFonts w:ascii="Times New Roman" w:eastAsia="Times New Roman" w:hAnsi="Times New Roman"/>
                <w:b/>
                <w:bCs/>
                <w:color w:val="000000"/>
              </w:rPr>
            </w:pPr>
          </w:p>
        </w:tc>
        <w:tc>
          <w:tcPr>
            <w:tcW w:w="1254" w:type="dxa"/>
          </w:tcPr>
          <w:p w14:paraId="65388523" w14:textId="77777777" w:rsidR="00B360E8" w:rsidRDefault="00B360E8">
            <w:pPr>
              <w:spacing w:after="0" w:line="240" w:lineRule="auto"/>
              <w:rPr>
                <w:rFonts w:ascii="Times New Roman" w:eastAsia="Times New Roman" w:hAnsi="Times New Roman"/>
                <w:b/>
                <w:bCs/>
                <w:color w:val="000000"/>
              </w:rPr>
            </w:pPr>
          </w:p>
          <w:p w14:paraId="44587E75" w14:textId="77777777" w:rsidR="00B360E8" w:rsidRDefault="00B360E8">
            <w:pPr>
              <w:spacing w:after="0" w:line="240" w:lineRule="auto"/>
              <w:rPr>
                <w:rFonts w:ascii="Times New Roman" w:eastAsia="Times New Roman" w:hAnsi="Times New Roman"/>
                <w:b/>
                <w:bCs/>
                <w:color w:val="000000"/>
              </w:rPr>
            </w:pPr>
          </w:p>
          <w:p w14:paraId="11F83A2E"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20(24.1)</w:t>
            </w:r>
          </w:p>
          <w:p w14:paraId="7ADCAADC"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63(75.9)</w:t>
            </w:r>
          </w:p>
          <w:p w14:paraId="7E93A3F1" w14:textId="77777777" w:rsidR="00B360E8" w:rsidRDefault="00B360E8">
            <w:pPr>
              <w:spacing w:after="0" w:line="240" w:lineRule="auto"/>
              <w:rPr>
                <w:rFonts w:ascii="Times New Roman" w:eastAsia="Times New Roman" w:hAnsi="Times New Roman"/>
                <w:bCs/>
                <w:color w:val="000000"/>
              </w:rPr>
            </w:pPr>
          </w:p>
          <w:p w14:paraId="010555A8"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34(41.0)</w:t>
            </w:r>
          </w:p>
          <w:p w14:paraId="44B3C04F"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49(59.0)</w:t>
            </w:r>
          </w:p>
          <w:p w14:paraId="3EE56BF8" w14:textId="77777777" w:rsidR="00B360E8" w:rsidRDefault="00B360E8">
            <w:pPr>
              <w:spacing w:after="0" w:line="240" w:lineRule="auto"/>
              <w:rPr>
                <w:rFonts w:ascii="Times New Roman" w:eastAsia="Times New Roman" w:hAnsi="Times New Roman"/>
                <w:bCs/>
                <w:color w:val="000000"/>
              </w:rPr>
            </w:pPr>
          </w:p>
          <w:p w14:paraId="026BE329"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13(15.7)</w:t>
            </w:r>
          </w:p>
          <w:p w14:paraId="7FF65C1B"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70(84.3)</w:t>
            </w:r>
          </w:p>
          <w:p w14:paraId="29386B34" w14:textId="77777777" w:rsidR="00B360E8" w:rsidRDefault="00B360E8">
            <w:pPr>
              <w:spacing w:after="0" w:line="240" w:lineRule="auto"/>
              <w:rPr>
                <w:rFonts w:ascii="Times New Roman" w:eastAsia="Times New Roman" w:hAnsi="Times New Roman"/>
                <w:bCs/>
                <w:color w:val="000000"/>
              </w:rPr>
            </w:pPr>
          </w:p>
          <w:p w14:paraId="747569F4"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3(3.6)</w:t>
            </w:r>
          </w:p>
          <w:p w14:paraId="576E9B18"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80(96.4)</w:t>
            </w:r>
          </w:p>
          <w:p w14:paraId="4940BF76" w14:textId="77777777" w:rsidR="00B360E8" w:rsidRDefault="00B360E8">
            <w:pPr>
              <w:spacing w:after="0" w:line="240" w:lineRule="auto"/>
              <w:rPr>
                <w:rFonts w:ascii="Times New Roman" w:eastAsia="Times New Roman" w:hAnsi="Times New Roman"/>
                <w:bCs/>
                <w:color w:val="000000"/>
              </w:rPr>
            </w:pPr>
          </w:p>
          <w:p w14:paraId="53FDE03E"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12(14.5)</w:t>
            </w:r>
          </w:p>
          <w:p w14:paraId="4D908436"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71(85.5)</w:t>
            </w:r>
          </w:p>
          <w:p w14:paraId="3C2CF5B7" w14:textId="77777777" w:rsidR="00B360E8" w:rsidRDefault="00B360E8">
            <w:pPr>
              <w:spacing w:after="0" w:line="240" w:lineRule="auto"/>
              <w:rPr>
                <w:rFonts w:ascii="Times New Roman" w:eastAsia="Times New Roman" w:hAnsi="Times New Roman"/>
                <w:bCs/>
                <w:color w:val="000000"/>
              </w:rPr>
            </w:pPr>
          </w:p>
          <w:p w14:paraId="23DB4F1D" w14:textId="77777777" w:rsidR="00B360E8" w:rsidRDefault="00B360E8">
            <w:pPr>
              <w:spacing w:after="0" w:line="240" w:lineRule="auto"/>
              <w:rPr>
                <w:rFonts w:ascii="Times New Roman" w:eastAsia="Times New Roman" w:hAnsi="Times New Roman"/>
                <w:bCs/>
                <w:color w:val="000000"/>
              </w:rPr>
            </w:pPr>
          </w:p>
          <w:p w14:paraId="2F76D903"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1(1.2)</w:t>
            </w:r>
          </w:p>
          <w:p w14:paraId="7D701AE2"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29(34.9)</w:t>
            </w:r>
          </w:p>
          <w:p w14:paraId="50C4454A"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40(48.2)</w:t>
            </w:r>
          </w:p>
          <w:p w14:paraId="14A30506"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13(15.7)</w:t>
            </w:r>
          </w:p>
          <w:p w14:paraId="4D046230" w14:textId="77777777" w:rsidR="00B360E8" w:rsidRDefault="00B360E8">
            <w:pPr>
              <w:spacing w:after="0" w:line="240" w:lineRule="auto"/>
              <w:rPr>
                <w:rFonts w:ascii="Times New Roman" w:eastAsia="Times New Roman" w:hAnsi="Times New Roman"/>
                <w:bCs/>
                <w:color w:val="000000"/>
              </w:rPr>
            </w:pPr>
          </w:p>
          <w:p w14:paraId="3C37AF51"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33(39.8)</w:t>
            </w:r>
          </w:p>
          <w:p w14:paraId="3F4D9523"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50(60.2)</w:t>
            </w:r>
          </w:p>
          <w:p w14:paraId="1E5F29F9"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0</w:t>
            </w:r>
          </w:p>
          <w:p w14:paraId="43D9E928" w14:textId="77777777" w:rsidR="00B360E8" w:rsidRDefault="00B360E8">
            <w:pPr>
              <w:spacing w:after="0" w:line="240" w:lineRule="auto"/>
              <w:rPr>
                <w:rFonts w:ascii="Times New Roman" w:eastAsia="Times New Roman" w:hAnsi="Times New Roman"/>
                <w:bCs/>
                <w:color w:val="000000"/>
              </w:rPr>
            </w:pPr>
          </w:p>
          <w:p w14:paraId="19D28A1C"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39(47.0)</w:t>
            </w:r>
          </w:p>
          <w:p w14:paraId="3D092133"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1(1.2)</w:t>
            </w:r>
          </w:p>
          <w:p w14:paraId="224B70E1"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6(7.2)</w:t>
            </w:r>
          </w:p>
          <w:p w14:paraId="433628ED"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37(44.6)</w:t>
            </w:r>
          </w:p>
          <w:p w14:paraId="0FCCE6FD" w14:textId="77777777" w:rsidR="00B360E8" w:rsidRDefault="00B360E8">
            <w:pPr>
              <w:spacing w:after="0" w:line="240" w:lineRule="auto"/>
              <w:rPr>
                <w:rFonts w:ascii="Times New Roman" w:eastAsia="Times New Roman" w:hAnsi="Times New Roman"/>
                <w:bCs/>
                <w:color w:val="000000"/>
              </w:rPr>
            </w:pPr>
          </w:p>
          <w:p w14:paraId="42C6380D"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4(4.8)</w:t>
            </w:r>
          </w:p>
          <w:p w14:paraId="496110C8"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40(48.2)</w:t>
            </w:r>
          </w:p>
          <w:p w14:paraId="2BCD9C21"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26(31.3)</w:t>
            </w:r>
          </w:p>
          <w:p w14:paraId="09EB5ECE"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13(15.7)</w:t>
            </w:r>
          </w:p>
          <w:p w14:paraId="25A0BCE2" w14:textId="77777777" w:rsidR="00B360E8" w:rsidRDefault="00B360E8">
            <w:pPr>
              <w:spacing w:after="0" w:line="240" w:lineRule="auto"/>
              <w:rPr>
                <w:rFonts w:ascii="Times New Roman" w:eastAsia="Times New Roman" w:hAnsi="Times New Roman"/>
                <w:bCs/>
                <w:color w:val="000000"/>
              </w:rPr>
            </w:pPr>
          </w:p>
          <w:p w14:paraId="227AFED9"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58(69.9)</w:t>
            </w:r>
          </w:p>
          <w:p w14:paraId="638F8F04"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25(30.1)</w:t>
            </w:r>
          </w:p>
          <w:p w14:paraId="156E7189" w14:textId="77777777" w:rsidR="00B360E8" w:rsidRDefault="00B360E8">
            <w:pPr>
              <w:spacing w:after="0" w:line="240" w:lineRule="auto"/>
              <w:rPr>
                <w:rFonts w:ascii="Times New Roman" w:eastAsia="Times New Roman" w:hAnsi="Times New Roman"/>
                <w:bCs/>
                <w:color w:val="000000"/>
              </w:rPr>
            </w:pPr>
          </w:p>
          <w:p w14:paraId="49064985"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66(79.5)</w:t>
            </w:r>
          </w:p>
          <w:p w14:paraId="113F485D"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17(20.5)</w:t>
            </w:r>
          </w:p>
          <w:p w14:paraId="43C7D17B" w14:textId="77777777" w:rsidR="00B360E8" w:rsidRDefault="00B360E8">
            <w:pPr>
              <w:spacing w:after="0" w:line="240" w:lineRule="auto"/>
              <w:rPr>
                <w:rFonts w:ascii="Times New Roman" w:eastAsia="Times New Roman" w:hAnsi="Times New Roman"/>
                <w:bCs/>
                <w:color w:val="000000"/>
              </w:rPr>
            </w:pPr>
          </w:p>
          <w:p w14:paraId="63BC3047"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72(86.7)</w:t>
            </w:r>
          </w:p>
          <w:p w14:paraId="4594F068"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11(13.3)</w:t>
            </w:r>
          </w:p>
          <w:p w14:paraId="7DD78CBC" w14:textId="77777777" w:rsidR="00B360E8" w:rsidRDefault="00B360E8">
            <w:pPr>
              <w:spacing w:after="0" w:line="240" w:lineRule="auto"/>
              <w:rPr>
                <w:rFonts w:ascii="Times New Roman" w:eastAsia="Times New Roman" w:hAnsi="Times New Roman"/>
                <w:bCs/>
                <w:color w:val="000000"/>
              </w:rPr>
            </w:pPr>
          </w:p>
          <w:p w14:paraId="513F0906" w14:textId="77777777" w:rsidR="00B360E8" w:rsidRDefault="00B360E8">
            <w:pPr>
              <w:spacing w:after="0" w:line="240" w:lineRule="auto"/>
              <w:rPr>
                <w:rFonts w:ascii="Times New Roman" w:eastAsia="Times New Roman" w:hAnsi="Times New Roman"/>
                <w:bCs/>
                <w:color w:val="000000"/>
              </w:rPr>
            </w:pPr>
          </w:p>
          <w:p w14:paraId="7A4A076A"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21(25.3)</w:t>
            </w:r>
          </w:p>
          <w:p w14:paraId="050B5E5B"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62(74.7)</w:t>
            </w:r>
          </w:p>
          <w:p w14:paraId="202F6B74" w14:textId="77777777" w:rsidR="00B360E8" w:rsidRDefault="00B360E8">
            <w:pPr>
              <w:spacing w:after="0" w:line="240" w:lineRule="auto"/>
              <w:rPr>
                <w:rFonts w:ascii="Times New Roman" w:eastAsia="Times New Roman" w:hAnsi="Times New Roman"/>
                <w:bCs/>
                <w:color w:val="000000"/>
              </w:rPr>
            </w:pPr>
          </w:p>
          <w:p w14:paraId="563A02ED"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8(9.6)</w:t>
            </w:r>
          </w:p>
          <w:p w14:paraId="0A8F2A5F"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75(90.4)</w:t>
            </w:r>
          </w:p>
          <w:p w14:paraId="3159440C" w14:textId="77777777" w:rsidR="00B360E8" w:rsidRDefault="00B360E8">
            <w:pPr>
              <w:spacing w:after="0" w:line="240" w:lineRule="auto"/>
              <w:rPr>
                <w:rFonts w:ascii="Times New Roman" w:eastAsia="Times New Roman" w:hAnsi="Times New Roman"/>
                <w:bCs/>
                <w:color w:val="000000"/>
              </w:rPr>
            </w:pPr>
          </w:p>
          <w:p w14:paraId="4894496A" w14:textId="77777777" w:rsidR="00B360E8" w:rsidRDefault="00000000">
            <w:pPr>
              <w:spacing w:after="0" w:line="240" w:lineRule="auto"/>
              <w:rPr>
                <w:rFonts w:ascii="Times New Roman" w:eastAsia="Times New Roman" w:hAnsi="Times New Roman"/>
                <w:bCs/>
                <w:color w:val="000000"/>
              </w:rPr>
            </w:pPr>
            <w:r>
              <w:rPr>
                <w:rFonts w:ascii="Times New Roman" w:eastAsia="Times New Roman" w:hAnsi="Times New Roman"/>
                <w:bCs/>
                <w:color w:val="000000"/>
              </w:rPr>
              <w:t>63(75.9)</w:t>
            </w:r>
          </w:p>
          <w:p w14:paraId="7BD1452A" w14:textId="77777777" w:rsidR="00B360E8" w:rsidRDefault="00000000">
            <w:pPr>
              <w:spacing w:after="0" w:line="240" w:lineRule="auto"/>
              <w:rPr>
                <w:rFonts w:ascii="Times New Roman" w:eastAsia="Times New Roman" w:hAnsi="Times New Roman"/>
                <w:b/>
                <w:bCs/>
                <w:color w:val="000000"/>
              </w:rPr>
            </w:pPr>
            <w:r>
              <w:rPr>
                <w:rFonts w:ascii="Times New Roman" w:eastAsia="Times New Roman" w:hAnsi="Times New Roman"/>
                <w:bCs/>
                <w:color w:val="000000"/>
              </w:rPr>
              <w:t>20(24.1)</w:t>
            </w:r>
          </w:p>
        </w:tc>
      </w:tr>
    </w:tbl>
    <w:p w14:paraId="00CDA941" w14:textId="77777777" w:rsidR="00B360E8" w:rsidRDefault="00B360E8">
      <w:pPr>
        <w:spacing w:after="0" w:line="240" w:lineRule="auto"/>
        <w:rPr>
          <w:rFonts w:ascii="Times New Roman" w:eastAsia="SimSun" w:hAnsi="Times New Roman" w:cs="Times New Roman"/>
          <w:b/>
          <w:bCs/>
          <w:color w:val="222222"/>
          <w:shd w:val="clear" w:color="auto" w:fill="FFFFFF"/>
        </w:rPr>
      </w:pPr>
    </w:p>
    <w:p w14:paraId="6CE2E48C" w14:textId="77777777" w:rsidR="00B360E8" w:rsidRDefault="00000000">
      <w:pPr>
        <w:spacing w:after="0" w:line="240" w:lineRule="auto"/>
        <w:jc w:val="center"/>
        <w:rPr>
          <w:rFonts w:ascii="Times New Roman" w:hAnsi="Times New Roman" w:cs="Times New Roman"/>
        </w:rPr>
      </w:pPr>
      <w:r>
        <w:rPr>
          <w:rFonts w:ascii="Times New Roman" w:eastAsia="Tahoma" w:hAnsi="Times New Roman" w:cs="Times New Roman"/>
          <w:b/>
          <w:bCs/>
          <w:color w:val="262626"/>
          <w:shd w:val="clear" w:color="auto" w:fill="FFFFFF"/>
        </w:rPr>
        <w:t xml:space="preserve">Discussion </w:t>
      </w:r>
    </w:p>
    <w:p w14:paraId="5766C911" w14:textId="77777777" w:rsidR="00B360E8" w:rsidRDefault="00000000">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The study aimed to investigate the prevalence and antimicrobial resistance of Enterohemorrhagic Escherichia coli (E. coli O157) among children under five years old with diarrhea at the Enugu State University Teaching Hospital (ESUT). The findings reveal a significant public health concern, with 18% of the sampled children testing positive for E. coli O157. This prevalence is particularly alarming given the vulnerable nature of the pediatric population, which is at heightened risk for severe gastrointestinal infections</w:t>
      </w:r>
      <w:r>
        <w:rPr>
          <w:rFonts w:eastAsia="Tahoma"/>
          <w:color w:val="262626"/>
          <w:sz w:val="22"/>
          <w:szCs w:val="22"/>
          <w:shd w:val="clear" w:color="auto" w:fill="FFFFFF"/>
          <w:lang w:val="en-US"/>
        </w:rPr>
        <w:t xml:space="preserve"> [13]</w:t>
      </w:r>
      <w:r>
        <w:rPr>
          <w:rFonts w:eastAsia="Tahoma"/>
          <w:color w:val="262626"/>
          <w:sz w:val="22"/>
          <w:szCs w:val="22"/>
          <w:shd w:val="clear" w:color="auto" w:fill="FFFFFF"/>
        </w:rPr>
        <w:t>.</w:t>
      </w:r>
    </w:p>
    <w:p w14:paraId="1D3C8072" w14:textId="77777777" w:rsidR="00B360E8" w:rsidRDefault="00000000">
      <w:pPr>
        <w:pStyle w:val="Heading4"/>
        <w:keepNext w:val="0"/>
        <w:keepLines w:val="0"/>
        <w:shd w:val="clear" w:color="auto" w:fill="FFFFFF"/>
        <w:spacing w:after="120" w:line="240" w:lineRule="auto"/>
        <w:rPr>
          <w:rFonts w:ascii="Times New Roman" w:eastAsia="Tahoma" w:hAnsi="Times New Roman" w:cs="Times New Roman"/>
          <w:b/>
          <w:bCs/>
          <w:i w:val="0"/>
          <w:iCs w:val="0"/>
          <w:color w:val="262626"/>
          <w:lang w:val="en-US"/>
        </w:rPr>
      </w:pPr>
      <w:r>
        <w:rPr>
          <w:rFonts w:ascii="Times New Roman" w:eastAsia="Tahoma" w:hAnsi="Times New Roman" w:cs="Times New Roman"/>
          <w:b/>
          <w:bCs/>
          <w:i w:val="0"/>
          <w:iCs w:val="0"/>
          <w:color w:val="262626"/>
          <w:shd w:val="clear" w:color="auto" w:fill="FFFFFF"/>
          <w:lang w:val="en-US"/>
        </w:rPr>
        <w:t xml:space="preserve">5.1 </w:t>
      </w:r>
      <w:r>
        <w:rPr>
          <w:rFonts w:ascii="Times New Roman" w:eastAsia="Tahoma" w:hAnsi="Times New Roman" w:cs="Times New Roman"/>
          <w:b/>
          <w:bCs/>
          <w:i w:val="0"/>
          <w:iCs w:val="0"/>
          <w:color w:val="262626"/>
          <w:shd w:val="clear" w:color="auto" w:fill="FFFFFF"/>
        </w:rPr>
        <w:t>Clinical Presentation and Demographic</w:t>
      </w:r>
      <w:r>
        <w:rPr>
          <w:rFonts w:ascii="Times New Roman" w:eastAsia="Tahoma" w:hAnsi="Times New Roman" w:cs="Times New Roman"/>
          <w:b/>
          <w:bCs/>
          <w:i w:val="0"/>
          <w:iCs w:val="0"/>
          <w:color w:val="262626"/>
          <w:shd w:val="clear" w:color="auto" w:fill="FFFFFF"/>
          <w:lang w:val="en-US"/>
        </w:rPr>
        <w:t xml:space="preserve"> Information</w:t>
      </w:r>
    </w:p>
    <w:p w14:paraId="35186524" w14:textId="77777777" w:rsidR="00B360E8" w:rsidRDefault="00000000">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Among the positive cases, a slightly higher prevalence was observed in females (21%) than males (15%). This gender disparity aligns with some existing literature that suggests biological and environmental factors may contribute to increased susceptibility in females</w:t>
      </w:r>
      <w:r>
        <w:rPr>
          <w:rFonts w:eastAsia="Tahoma"/>
          <w:color w:val="262626"/>
          <w:sz w:val="22"/>
          <w:szCs w:val="22"/>
          <w:shd w:val="clear" w:color="auto" w:fill="FFFFFF"/>
          <w:lang w:val="en-US"/>
        </w:rPr>
        <w:t xml:space="preserve"> [14, 15]</w:t>
      </w:r>
      <w:r>
        <w:rPr>
          <w:rFonts w:eastAsia="Tahoma"/>
          <w:color w:val="262626"/>
          <w:sz w:val="22"/>
          <w:szCs w:val="22"/>
          <w:shd w:val="clear" w:color="auto" w:fill="FFFFFF"/>
        </w:rPr>
        <w:t>. The age distribution of the positive cases indicates that the highest prevalence occurred in children aged 1-2 years (46.7%), emphasizing the need for targeted interventions for this age group, which is often more susceptible to infections due to factors such as developing immune systems and dietary changes</w:t>
      </w:r>
      <w:r>
        <w:rPr>
          <w:rFonts w:eastAsia="Tahoma"/>
          <w:color w:val="262626"/>
          <w:sz w:val="22"/>
          <w:szCs w:val="22"/>
          <w:shd w:val="clear" w:color="auto" w:fill="FFFFFF"/>
          <w:lang w:val="en-US"/>
        </w:rPr>
        <w:t xml:space="preserve"> [16]</w:t>
      </w:r>
      <w:r>
        <w:rPr>
          <w:rFonts w:eastAsia="Tahoma"/>
          <w:color w:val="262626"/>
          <w:sz w:val="22"/>
          <w:szCs w:val="22"/>
          <w:shd w:val="clear" w:color="auto" w:fill="FFFFFF"/>
        </w:rPr>
        <w:t>.</w:t>
      </w:r>
    </w:p>
    <w:p w14:paraId="03ECD3C0" w14:textId="77777777" w:rsidR="00B360E8" w:rsidRDefault="00000000">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lang w:val="en-US"/>
        </w:rPr>
        <w:lastRenderedPageBreak/>
        <w:t>On the other hand,</w:t>
      </w:r>
      <w:r>
        <w:rPr>
          <w:rFonts w:eastAsia="Tahoma"/>
          <w:color w:val="262626"/>
          <w:sz w:val="22"/>
          <w:szCs w:val="22"/>
          <w:shd w:val="clear" w:color="auto" w:fill="FFFFFF"/>
        </w:rPr>
        <w:t xml:space="preserve"> clinical symptoms presented by the children included vomiting, fever, abdominal pain, and dehydration. These symptoms are consistent with E. coli infections and highlight the acute nature of the illness. The majority of the children presented with loose or watery stools (85.5%), further underscoring the severity of diarrhoea in this population. The high frequency of stooling, with 44.6% of the children stooling more than four times daily, necessitates prompt medical attention to prevent complications such as dehydration, which can be particularly dangerous in young children</w:t>
      </w:r>
      <w:r>
        <w:rPr>
          <w:rFonts w:eastAsia="Tahoma"/>
          <w:color w:val="262626"/>
          <w:sz w:val="22"/>
          <w:szCs w:val="22"/>
          <w:shd w:val="clear" w:color="auto" w:fill="FFFFFF"/>
          <w:lang w:val="en-US"/>
        </w:rPr>
        <w:t xml:space="preserve"> [17]</w:t>
      </w:r>
      <w:r>
        <w:rPr>
          <w:rFonts w:eastAsia="Tahoma"/>
          <w:color w:val="262626"/>
          <w:sz w:val="22"/>
          <w:szCs w:val="22"/>
          <w:shd w:val="clear" w:color="auto" w:fill="FFFFFF"/>
        </w:rPr>
        <w:t>.</w:t>
      </w:r>
    </w:p>
    <w:p w14:paraId="2F840CAC" w14:textId="77777777" w:rsidR="00B360E8" w:rsidRDefault="00000000">
      <w:pPr>
        <w:pStyle w:val="Heading4"/>
        <w:keepNext w:val="0"/>
        <w:keepLines w:val="0"/>
        <w:shd w:val="clear" w:color="auto" w:fill="FFFFFF"/>
        <w:spacing w:after="120" w:line="240" w:lineRule="auto"/>
        <w:rPr>
          <w:rFonts w:ascii="Times New Roman" w:eastAsia="Tahoma" w:hAnsi="Times New Roman" w:cs="Times New Roman"/>
          <w:b/>
          <w:bCs/>
          <w:i w:val="0"/>
          <w:iCs w:val="0"/>
          <w:color w:val="262626"/>
        </w:rPr>
      </w:pPr>
      <w:r>
        <w:rPr>
          <w:rFonts w:ascii="Times New Roman" w:eastAsia="Tahoma" w:hAnsi="Times New Roman" w:cs="Times New Roman"/>
          <w:b/>
          <w:bCs/>
          <w:i w:val="0"/>
          <w:iCs w:val="0"/>
          <w:color w:val="262626"/>
          <w:shd w:val="clear" w:color="auto" w:fill="FFFFFF"/>
        </w:rPr>
        <w:t>Antimicrobial Susceptibility Patterns</w:t>
      </w:r>
    </w:p>
    <w:p w14:paraId="77E6E47E" w14:textId="77777777" w:rsidR="00B360E8" w:rsidRDefault="00000000">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Antimicrobial susceptibility testing revealed critical insights into the resistance patterns of E. coli O157. While many strains exhibited sensitivity to multiple antibiotics, including gentamycin, ciprofloxacin, chloramphenicol, and meropenem, a concerning trend of resistance to commonly used antibiotics such as amoxicillin, streptomycin, and nitrofurantoin was also evident.</w:t>
      </w:r>
      <w:r>
        <w:rPr>
          <w:rFonts w:eastAsia="Tahoma"/>
          <w:color w:val="262626"/>
          <w:sz w:val="22"/>
          <w:szCs w:val="22"/>
          <w:shd w:val="clear" w:color="auto" w:fill="FFFFFF"/>
          <w:lang w:val="en-US"/>
        </w:rPr>
        <w:t xml:space="preserve"> This is consistent with some research evidence suggesting a need for a prompt public campaign against antimicrobial resistance among the paediatric population [18]</w:t>
      </w:r>
      <w:r>
        <w:rPr>
          <w:rFonts w:eastAsia="Tahoma"/>
          <w:color w:val="262626"/>
          <w:sz w:val="22"/>
          <w:szCs w:val="22"/>
          <w:shd w:val="clear" w:color="auto" w:fill="FFFFFF"/>
        </w:rPr>
        <w:t xml:space="preserve"> For instance, one strain was sensitive to gentamycin (with a sensitivity rating of +++) and ciprofloxacin (rated +++), which are often considered first-line treatments for severe bacterial infections. However, the presence of resistance to other critical antibiotics, including ceftriaxone and meropenem</w:t>
      </w:r>
      <w:r>
        <w:rPr>
          <w:rFonts w:eastAsia="Tahoma"/>
          <w:color w:val="262626"/>
          <w:sz w:val="22"/>
          <w:szCs w:val="22"/>
          <w:shd w:val="clear" w:color="auto" w:fill="FFFFFF"/>
          <w:lang w:val="en-US"/>
        </w:rPr>
        <w:t>- usually considered a last-line drug</w:t>
      </w:r>
      <w:r>
        <w:rPr>
          <w:rFonts w:eastAsia="Tahoma"/>
          <w:color w:val="262626"/>
          <w:sz w:val="22"/>
          <w:szCs w:val="22"/>
          <w:shd w:val="clear" w:color="auto" w:fill="FFFFFF"/>
        </w:rPr>
        <w:t>, raises alarms about the potential for treatment failures in clinical settings</w:t>
      </w:r>
      <w:r>
        <w:rPr>
          <w:rFonts w:eastAsia="Tahoma"/>
          <w:color w:val="262626"/>
          <w:sz w:val="22"/>
          <w:szCs w:val="22"/>
          <w:shd w:val="clear" w:color="auto" w:fill="FFFFFF"/>
          <w:lang w:val="en-US"/>
        </w:rPr>
        <w:t xml:space="preserve"> [18]</w:t>
      </w:r>
      <w:r>
        <w:rPr>
          <w:rFonts w:eastAsia="Tahoma"/>
          <w:color w:val="262626"/>
          <w:sz w:val="22"/>
          <w:szCs w:val="22"/>
          <w:shd w:val="clear" w:color="auto" w:fill="FFFFFF"/>
        </w:rPr>
        <w:t>.</w:t>
      </w:r>
    </w:p>
    <w:p w14:paraId="6FD8B6F2" w14:textId="77777777" w:rsidR="00B360E8" w:rsidRDefault="00000000">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The data indicate that some strains were resistant to multiple antibiotics, complicating treatment options for pediatric patients. For example, one strain was sensitive to chloramphenicol and ofloxacin but resistant to a broad range of antibiotics, including meropenem and nitrofurantoin. This multidrug resistance not only poses a challenge for effective treatment but also highlights the need for ongoing surveillance of antimicrobial resistance patterns in the region</w:t>
      </w:r>
      <w:r>
        <w:rPr>
          <w:rFonts w:eastAsia="Tahoma"/>
          <w:color w:val="262626"/>
          <w:sz w:val="22"/>
          <w:szCs w:val="22"/>
          <w:shd w:val="clear" w:color="auto" w:fill="FFFFFF"/>
          <w:lang w:val="en-US"/>
        </w:rPr>
        <w:t xml:space="preserve"> [19]</w:t>
      </w:r>
      <w:r>
        <w:rPr>
          <w:rFonts w:eastAsia="Tahoma"/>
          <w:color w:val="262626"/>
          <w:sz w:val="22"/>
          <w:szCs w:val="22"/>
          <w:shd w:val="clear" w:color="auto" w:fill="FFFFFF"/>
        </w:rPr>
        <w:t>.</w:t>
      </w:r>
    </w:p>
    <w:p w14:paraId="67EF67CF" w14:textId="77777777" w:rsidR="00B360E8" w:rsidRDefault="00000000">
      <w:pPr>
        <w:pStyle w:val="Heading4"/>
        <w:keepNext w:val="0"/>
        <w:keepLines w:val="0"/>
        <w:shd w:val="clear" w:color="auto" w:fill="FFFFFF"/>
        <w:spacing w:after="120" w:line="240" w:lineRule="auto"/>
        <w:rPr>
          <w:rFonts w:ascii="Times New Roman" w:eastAsia="Tahoma" w:hAnsi="Times New Roman" w:cs="Times New Roman"/>
          <w:b/>
          <w:bCs/>
          <w:i w:val="0"/>
          <w:iCs w:val="0"/>
          <w:color w:val="262626"/>
        </w:rPr>
      </w:pPr>
      <w:r>
        <w:rPr>
          <w:rFonts w:ascii="Times New Roman" w:eastAsia="Tahoma" w:hAnsi="Times New Roman" w:cs="Times New Roman"/>
          <w:b/>
          <w:bCs/>
          <w:i w:val="0"/>
          <w:iCs w:val="0"/>
          <w:color w:val="262626"/>
          <w:shd w:val="clear" w:color="auto" w:fill="FFFFFF"/>
        </w:rPr>
        <w:t>Environmental and Socioeconomic Factors</w:t>
      </w:r>
    </w:p>
    <w:p w14:paraId="666E60D0" w14:textId="77777777" w:rsidR="00B360E8" w:rsidRDefault="00000000">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The epidemiological patterns observed in the study reveal that a significant proportion of the children had no recent travel history or exposure to contaminated food and water, suggesting that local environmental factors may play a substantial role in the transmission of E. coli O157</w:t>
      </w:r>
      <w:r>
        <w:rPr>
          <w:rFonts w:eastAsia="Tahoma"/>
          <w:color w:val="262626"/>
          <w:sz w:val="22"/>
          <w:szCs w:val="22"/>
          <w:shd w:val="clear" w:color="auto" w:fill="FFFFFF"/>
          <w:lang w:val="en-US"/>
        </w:rPr>
        <w:t xml:space="preserve"> as indicated by some research evidence [20]</w:t>
      </w:r>
      <w:r>
        <w:rPr>
          <w:rFonts w:eastAsia="Tahoma"/>
          <w:color w:val="262626"/>
          <w:sz w:val="22"/>
          <w:szCs w:val="22"/>
          <w:shd w:val="clear" w:color="auto" w:fill="FFFFFF"/>
        </w:rPr>
        <w:t>. Notably, 75.9% of the participants reported the presence of flies and rodents in their environment, which are known vectors for various pathogens, including E. coli. This finding underscores the importance of improving sanitation and hygiene practices in the community to mitigate the risk of infection</w:t>
      </w:r>
      <w:r>
        <w:rPr>
          <w:rFonts w:eastAsia="Tahoma"/>
          <w:color w:val="262626"/>
          <w:sz w:val="22"/>
          <w:szCs w:val="22"/>
          <w:shd w:val="clear" w:color="auto" w:fill="FFFFFF"/>
          <w:lang w:val="en-US"/>
        </w:rPr>
        <w:t xml:space="preserve"> [15]</w:t>
      </w:r>
      <w:r>
        <w:rPr>
          <w:rFonts w:eastAsia="Tahoma"/>
          <w:color w:val="262626"/>
          <w:sz w:val="22"/>
          <w:szCs w:val="22"/>
          <w:shd w:val="clear" w:color="auto" w:fill="FFFFFF"/>
        </w:rPr>
        <w:t>.</w:t>
      </w:r>
    </w:p>
    <w:p w14:paraId="33850BFE" w14:textId="77777777" w:rsidR="00B360E8" w:rsidRDefault="00000000">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Additionally, socioeconomic factors such as family size, parental education level, and access to clean water and sanitation facilities were explored. The data indicate that many families lacked adequate sanitation resources, which could contribute to the transmission of infections</w:t>
      </w:r>
      <w:r>
        <w:rPr>
          <w:rFonts w:eastAsia="Tahoma"/>
          <w:color w:val="262626"/>
          <w:sz w:val="22"/>
          <w:szCs w:val="22"/>
          <w:shd w:val="clear" w:color="auto" w:fill="FFFFFF"/>
          <w:lang w:val="en-US"/>
        </w:rPr>
        <w:t xml:space="preserve"> [20]</w:t>
      </w:r>
      <w:r>
        <w:rPr>
          <w:rFonts w:eastAsia="Tahoma"/>
          <w:color w:val="262626"/>
          <w:sz w:val="22"/>
          <w:szCs w:val="22"/>
          <w:shd w:val="clear" w:color="auto" w:fill="FFFFFF"/>
        </w:rPr>
        <w:t>. The presence of open sewage systems and proximity to livestock farms further exacerbate the risk, highlighting the need for public health initiatives aimed at improving living conditions in these communities</w:t>
      </w:r>
      <w:r>
        <w:rPr>
          <w:rFonts w:eastAsia="Tahoma"/>
          <w:color w:val="262626"/>
          <w:sz w:val="22"/>
          <w:szCs w:val="22"/>
          <w:shd w:val="clear" w:color="auto" w:fill="FFFFFF"/>
          <w:lang w:val="en-US"/>
        </w:rPr>
        <w:t xml:space="preserve"> [20]</w:t>
      </w:r>
      <w:r>
        <w:rPr>
          <w:rFonts w:eastAsia="Tahoma"/>
          <w:color w:val="262626"/>
          <w:sz w:val="22"/>
          <w:szCs w:val="22"/>
          <w:shd w:val="clear" w:color="auto" w:fill="FFFFFF"/>
        </w:rPr>
        <w:t>.</w:t>
      </w:r>
    </w:p>
    <w:p w14:paraId="1229CF7D" w14:textId="77777777" w:rsidR="00B360E8" w:rsidRDefault="00000000">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The study's findings also point to the impact of socioeconomic status on health outcomes. Children from larger families or those with parents who have lower educational levels may be at increased risk for infections due to limited access to healthcare and education regarding hygiene practices</w:t>
      </w:r>
      <w:r>
        <w:rPr>
          <w:rFonts w:eastAsia="Tahoma"/>
          <w:color w:val="262626"/>
          <w:sz w:val="22"/>
          <w:szCs w:val="22"/>
          <w:shd w:val="clear" w:color="auto" w:fill="FFFFFF"/>
          <w:lang w:val="en-US"/>
        </w:rPr>
        <w:t xml:space="preserve"> [17]</w:t>
      </w:r>
      <w:r>
        <w:rPr>
          <w:rFonts w:eastAsia="Tahoma"/>
          <w:color w:val="262626"/>
          <w:sz w:val="22"/>
          <w:szCs w:val="22"/>
          <w:shd w:val="clear" w:color="auto" w:fill="FFFFFF"/>
        </w:rPr>
        <w:t>. The lack of access to clean water and adequate sanitation facilities further exacerbates the risk of infection, particularly in vulnerable populations such as young children</w:t>
      </w:r>
      <w:r>
        <w:rPr>
          <w:rFonts w:eastAsia="Tahoma"/>
          <w:color w:val="262626"/>
          <w:sz w:val="22"/>
          <w:szCs w:val="22"/>
          <w:shd w:val="clear" w:color="auto" w:fill="FFFFFF"/>
          <w:lang w:val="en-US"/>
        </w:rPr>
        <w:t xml:space="preserve"> [17, 20]</w:t>
      </w:r>
      <w:r>
        <w:rPr>
          <w:rFonts w:eastAsia="Tahoma"/>
          <w:color w:val="262626"/>
          <w:sz w:val="22"/>
          <w:szCs w:val="22"/>
          <w:shd w:val="clear" w:color="auto" w:fill="FFFFFF"/>
        </w:rPr>
        <w:t>.</w:t>
      </w:r>
    </w:p>
    <w:p w14:paraId="6909BB6F" w14:textId="77777777" w:rsidR="00B360E8" w:rsidRDefault="00000000">
      <w:pPr>
        <w:pStyle w:val="Heading4"/>
        <w:keepNext w:val="0"/>
        <w:keepLines w:val="0"/>
        <w:shd w:val="clear" w:color="auto" w:fill="FFFFFF"/>
        <w:spacing w:after="120" w:line="240" w:lineRule="auto"/>
        <w:rPr>
          <w:rFonts w:ascii="Times New Roman" w:eastAsia="Tahoma" w:hAnsi="Times New Roman" w:cs="Times New Roman"/>
          <w:b/>
          <w:bCs/>
          <w:i w:val="0"/>
          <w:iCs w:val="0"/>
          <w:color w:val="262626"/>
        </w:rPr>
      </w:pPr>
      <w:r>
        <w:rPr>
          <w:rFonts w:ascii="Times New Roman" w:eastAsia="Tahoma" w:hAnsi="Times New Roman" w:cs="Times New Roman"/>
          <w:b/>
          <w:bCs/>
          <w:i w:val="0"/>
          <w:iCs w:val="0"/>
          <w:color w:val="262626"/>
          <w:shd w:val="clear" w:color="auto" w:fill="FFFFFF"/>
          <w:lang w:val="en-US"/>
        </w:rPr>
        <w:t xml:space="preserve">Conclusion, Recommendation, and </w:t>
      </w:r>
      <w:r>
        <w:rPr>
          <w:rFonts w:ascii="Times New Roman" w:eastAsia="Tahoma" w:hAnsi="Times New Roman" w:cs="Times New Roman"/>
          <w:b/>
          <w:bCs/>
          <w:i w:val="0"/>
          <w:iCs w:val="0"/>
          <w:color w:val="262626"/>
          <w:shd w:val="clear" w:color="auto" w:fill="FFFFFF"/>
        </w:rPr>
        <w:t>Public Health Implications</w:t>
      </w:r>
    </w:p>
    <w:p w14:paraId="3568870A" w14:textId="77777777" w:rsidR="00B360E8" w:rsidRDefault="00000000">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 xml:space="preserve">In conclusion, this study reveals a concerning prevalence of E. coli O157 infections among children under five years old at ESUT, with significant implications for public health. The antimicrobial susceptibility patterns indicate a dual challenge: while some strains remain sensitive to critical antibiotics, the emergence of multidrug-resistant strains poses a serious threat to effective treatment. These findings </w:t>
      </w:r>
      <w:r>
        <w:rPr>
          <w:rFonts w:eastAsia="Tahoma"/>
          <w:color w:val="262626"/>
          <w:sz w:val="22"/>
          <w:szCs w:val="22"/>
          <w:shd w:val="clear" w:color="auto" w:fill="FFFFFF"/>
        </w:rPr>
        <w:lastRenderedPageBreak/>
        <w:t>underscore the urgent need for improved public health initiatives focused on enhancing sanitation and hygiene practices to reduce the incidence of E. coli infections.</w:t>
      </w:r>
    </w:p>
    <w:p w14:paraId="06114BD3" w14:textId="77777777" w:rsidR="00B360E8" w:rsidRDefault="00000000">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The presence of resistant strains highlights the necessity for healthcare providers to be vigilant in their antibiotic prescribing practices. Empirical treatment protocols may need to be adjusted based on local resistance patterns to ensure effective management of infections. Furthermore, continuous monitoring of antimicrobial resistance is essential to inform treatment protocols and guide empirical therapy in pediatric patients.</w:t>
      </w:r>
    </w:p>
    <w:p w14:paraId="6096922D" w14:textId="77777777" w:rsidR="00B360E8" w:rsidRDefault="00000000">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Addressing the identified socioeconomic and environmental determinants is crucial for preventing future outbreaks and protecting children's health in Enugu, Nigeria. Public health campaigns should focus on educating families about the importance of hygiene practices, the safe handling of food, and the need for proper sanitation facilities. Additionally, interventions aimed at improving access to clean water and sanitation can significantly reduce the incidence of E. coli infections.</w:t>
      </w:r>
    </w:p>
    <w:p w14:paraId="0B72AEDA" w14:textId="77777777" w:rsidR="00B360E8" w:rsidRDefault="00000000">
      <w:pPr>
        <w:pStyle w:val="NormalWeb"/>
        <w:shd w:val="clear" w:color="auto" w:fill="FFFFFF"/>
        <w:spacing w:line="240" w:lineRule="auto"/>
        <w:rPr>
          <w:rFonts w:eastAsia="Tahoma"/>
          <w:color w:val="262626"/>
          <w:sz w:val="22"/>
          <w:szCs w:val="22"/>
        </w:rPr>
      </w:pPr>
      <w:r>
        <w:rPr>
          <w:rFonts w:eastAsia="Tahoma"/>
          <w:color w:val="262626"/>
          <w:sz w:val="22"/>
          <w:szCs w:val="22"/>
          <w:shd w:val="clear" w:color="auto" w:fill="FFFFFF"/>
        </w:rPr>
        <w:t>Future research should prioritize the exploration of the mechanisms behind antibiotic resistance in local strains of E. coli, aiming to develop targeted strategies for management and prevention. Understanding the genetic basis of resistance can inform the development of new therapeutic approaches and guide the use of existing antibiotics more effectively.</w:t>
      </w:r>
    </w:p>
    <w:p w14:paraId="49AAA741" w14:textId="77777777" w:rsidR="00B360E8" w:rsidRDefault="00000000">
      <w:pPr>
        <w:pStyle w:val="NormalWeb"/>
        <w:shd w:val="clear" w:color="auto" w:fill="FFFFFF"/>
        <w:spacing w:line="240" w:lineRule="auto"/>
        <w:rPr>
          <w:rFonts w:eastAsia="Tahoma"/>
          <w:color w:val="262626"/>
          <w:sz w:val="22"/>
          <w:szCs w:val="22"/>
          <w:shd w:val="clear" w:color="auto" w:fill="FFFFFF"/>
        </w:rPr>
      </w:pPr>
      <w:r>
        <w:rPr>
          <w:rFonts w:eastAsia="Tahoma"/>
          <w:color w:val="262626"/>
          <w:sz w:val="22"/>
          <w:szCs w:val="22"/>
          <w:shd w:val="clear" w:color="auto" w:fill="FFFFFF"/>
        </w:rPr>
        <w:t>In summary, the findings from this study provide a crucial insight into the prevalence and antimicrobial resistance of E. coli O157 among young children in Enugu, emphasizing the need for comprehensive public health strategies to combat this pressing issue. By addressing the underlying environmental and socioeconomic factors, alongside vigilant monitoring of antibiotic resistance, we can work towards reducing the burden of E. coli infections and improving health outcomes for children in this vulnerable population</w:t>
      </w:r>
    </w:p>
    <w:p w14:paraId="4720A565" w14:textId="597B671C" w:rsidR="005B10A6" w:rsidRPr="005B10A6" w:rsidRDefault="005B10A6" w:rsidP="005B10A6">
      <w:pPr>
        <w:pStyle w:val="NormalWeb"/>
        <w:shd w:val="clear" w:color="auto" w:fill="FFFFFF"/>
        <w:spacing w:line="240" w:lineRule="auto"/>
        <w:rPr>
          <w:rFonts w:eastAsia="Tahoma"/>
          <w:color w:val="262626"/>
          <w:sz w:val="22"/>
          <w:szCs w:val="22"/>
          <w:shd w:val="clear" w:color="auto" w:fill="FFFFFF"/>
        </w:rPr>
      </w:pPr>
      <w:r>
        <w:rPr>
          <w:rFonts w:eastAsia="Tahoma"/>
          <w:color w:val="262626"/>
          <w:sz w:val="22"/>
          <w:szCs w:val="22"/>
          <w:shd w:val="clear" w:color="auto" w:fill="FFFFFF"/>
        </w:rPr>
        <w:t xml:space="preserve">Consent and </w:t>
      </w:r>
      <w:r w:rsidRPr="005B10A6">
        <w:rPr>
          <w:rFonts w:eastAsia="Tahoma"/>
          <w:color w:val="262626"/>
          <w:sz w:val="22"/>
          <w:szCs w:val="22"/>
          <w:shd w:val="clear" w:color="auto" w:fill="FFFFFF"/>
        </w:rPr>
        <w:t xml:space="preserve">ETHICAL </w:t>
      </w:r>
      <w:r>
        <w:rPr>
          <w:rFonts w:eastAsia="Tahoma"/>
          <w:color w:val="262626"/>
          <w:sz w:val="22"/>
          <w:szCs w:val="22"/>
          <w:shd w:val="clear" w:color="auto" w:fill="FFFFFF"/>
        </w:rPr>
        <w:t>Approval</w:t>
      </w:r>
    </w:p>
    <w:p w14:paraId="079A818D" w14:textId="4A75F0D4" w:rsidR="005B10A6" w:rsidRDefault="005B10A6" w:rsidP="005B10A6">
      <w:pPr>
        <w:pStyle w:val="NormalWeb"/>
        <w:shd w:val="clear" w:color="auto" w:fill="FFFFFF"/>
        <w:spacing w:line="240" w:lineRule="auto"/>
        <w:rPr>
          <w:rFonts w:eastAsia="Tahoma"/>
          <w:color w:val="262626"/>
          <w:sz w:val="22"/>
          <w:szCs w:val="22"/>
          <w:shd w:val="clear" w:color="auto" w:fill="FFFFFF"/>
        </w:rPr>
      </w:pPr>
      <w:r w:rsidRPr="005B10A6">
        <w:rPr>
          <w:rFonts w:eastAsia="Tahoma"/>
          <w:color w:val="262626"/>
          <w:sz w:val="22"/>
          <w:szCs w:val="22"/>
          <w:shd w:val="clear" w:color="auto" w:fill="FFFFFF"/>
        </w:rPr>
        <w:t xml:space="preserve"> Prior to the start of the study, informed consent were obtained from the parents or guardians, which included a detailed explanation of the study's objective, procedures, potential dangers, and benefits. The Enugu State University Teaching Hospital's ethical review board reviewed and approved the study protocol to ensure that it met ethical standards. The confidentiality of the participants was also ensured by employing unique IDs for samples and data rather than personal information.  Ethical approval was obtained from the Enugu State University Teaching Hospital Research Ethics Committee (Approval No:ESUT/HREC/2024/10/161). Written informed consent was obtained from the parents or guardians of all participants.</w:t>
      </w:r>
    </w:p>
    <w:p w14:paraId="32DF3C16" w14:textId="77777777" w:rsidR="00B360E8" w:rsidRDefault="00B360E8">
      <w:pPr>
        <w:pStyle w:val="NormalWeb"/>
        <w:shd w:val="clear" w:color="auto" w:fill="FFFFFF"/>
        <w:spacing w:line="240" w:lineRule="auto"/>
        <w:rPr>
          <w:rFonts w:eastAsia="Tahoma"/>
          <w:color w:val="262626"/>
          <w:sz w:val="22"/>
          <w:szCs w:val="22"/>
          <w:shd w:val="clear" w:color="auto" w:fill="FFFFFF"/>
        </w:rPr>
      </w:pPr>
    </w:p>
    <w:p w14:paraId="3910D8CE" w14:textId="77777777" w:rsidR="00B360E8" w:rsidRDefault="00B360E8">
      <w:pPr>
        <w:pStyle w:val="NormalWeb"/>
        <w:shd w:val="clear" w:color="auto" w:fill="FFFFFF"/>
        <w:spacing w:line="240" w:lineRule="auto"/>
        <w:rPr>
          <w:rFonts w:eastAsia="Tahoma"/>
          <w:color w:val="262626"/>
          <w:sz w:val="22"/>
          <w:szCs w:val="22"/>
          <w:shd w:val="clear" w:color="auto" w:fill="FFFFFF"/>
        </w:rPr>
      </w:pPr>
    </w:p>
    <w:p w14:paraId="565A353F" w14:textId="77777777" w:rsidR="00B360E8" w:rsidRDefault="00000000">
      <w:pPr>
        <w:rPr>
          <w:highlight w:val="yellow"/>
          <w:lang w:val="en-US"/>
        </w:rPr>
      </w:pPr>
      <w:bookmarkStart w:id="1" w:name="_Hlk190852809"/>
      <w:r>
        <w:rPr>
          <w:highlight w:val="yellow"/>
        </w:rPr>
        <w:t xml:space="preserve">Disclaimer </w:t>
      </w:r>
      <w:bookmarkEnd w:id="1"/>
      <w:r>
        <w:rPr>
          <w:highlight w:val="yellow"/>
          <w:lang w:val="en-US"/>
        </w:rPr>
        <w:t>(Artificial Intelligence)</w:t>
      </w:r>
    </w:p>
    <w:p w14:paraId="6007B88B" w14:textId="77777777" w:rsidR="008F040E" w:rsidRPr="008F040E" w:rsidRDefault="008F040E" w:rsidP="008F040E">
      <w:pPr>
        <w:rPr>
          <w:lang w:val="en-US"/>
        </w:rPr>
      </w:pPr>
      <w:r w:rsidRPr="008F040E">
        <w:rPr>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FD1477" w14:textId="233F9672" w:rsidR="008F040E" w:rsidRDefault="008F040E" w:rsidP="008F040E">
      <w:pPr>
        <w:rPr>
          <w:highlight w:val="yellow"/>
          <w:lang w:val="en-US"/>
        </w:rPr>
      </w:pPr>
      <w:r w:rsidRPr="008F040E">
        <w:rPr>
          <w:lang w:val="en-US"/>
        </w:rPr>
        <w:t>Details of the AI usage are given below:</w:t>
      </w:r>
    </w:p>
    <w:p w14:paraId="5DB986A1" w14:textId="77777777" w:rsidR="00B360E8" w:rsidRDefault="00000000">
      <w:pPr>
        <w:rPr>
          <w:highlight w:val="yellow"/>
          <w:lang w:val="en-US"/>
        </w:rPr>
      </w:pPr>
      <w:r>
        <w:rPr>
          <w:rFonts w:hint="eastAsia"/>
        </w:rPr>
        <w:t>Author(s) hereby declare that generative AI technologies such as ChatGPT (GPT-5, OpenAI, 2025) were used only for grammar and clarity improvement during manuscript revision. No AI tools were used to generate or alter data, analyses, or scientific conclusions.</w:t>
      </w:r>
    </w:p>
    <w:p w14:paraId="316EB90A" w14:textId="77777777" w:rsidR="00B360E8" w:rsidRDefault="00B360E8">
      <w:pPr>
        <w:pStyle w:val="NormalWeb"/>
        <w:shd w:val="clear" w:color="auto" w:fill="FFFFFF"/>
        <w:spacing w:line="240" w:lineRule="auto"/>
        <w:rPr>
          <w:rFonts w:eastAsia="Tahoma"/>
          <w:color w:val="262626"/>
          <w:sz w:val="22"/>
          <w:szCs w:val="22"/>
          <w:shd w:val="clear" w:color="auto" w:fill="FFFFFF"/>
        </w:rPr>
      </w:pPr>
    </w:p>
    <w:p w14:paraId="7FBD7358" w14:textId="77777777" w:rsidR="00B360E8" w:rsidRDefault="00000000">
      <w:pPr>
        <w:pStyle w:val="NormalWeb"/>
        <w:shd w:val="clear" w:color="auto" w:fill="FFFFFF"/>
        <w:spacing w:line="240" w:lineRule="auto"/>
        <w:rPr>
          <w:rFonts w:eastAsia="Tahoma"/>
          <w:b/>
          <w:color w:val="262626"/>
          <w:sz w:val="22"/>
          <w:szCs w:val="22"/>
          <w:shd w:val="clear" w:color="auto" w:fill="FFFFFF"/>
        </w:rPr>
      </w:pPr>
      <w:r>
        <w:rPr>
          <w:rFonts w:eastAsia="Tahoma"/>
          <w:b/>
          <w:color w:val="262626"/>
          <w:sz w:val="22"/>
          <w:szCs w:val="22"/>
          <w:shd w:val="clear" w:color="auto" w:fill="FFFFFF"/>
        </w:rPr>
        <w:t>Reference</w:t>
      </w:r>
    </w:p>
    <w:p w14:paraId="21FEF872" w14:textId="77777777" w:rsidR="00B360E8" w:rsidRDefault="00000000">
      <w:pPr>
        <w:pStyle w:val="NormalWeb"/>
        <w:numPr>
          <w:ilvl w:val="0"/>
          <w:numId w:val="8"/>
        </w:numPr>
        <w:shd w:val="clear" w:color="auto" w:fill="FFFFFF"/>
        <w:spacing w:line="240" w:lineRule="auto"/>
        <w:rPr>
          <w:sz w:val="22"/>
          <w:szCs w:val="22"/>
        </w:rPr>
      </w:pPr>
      <w:r>
        <w:rPr>
          <w:color w:val="262626"/>
          <w:sz w:val="22"/>
          <w:szCs w:val="22"/>
          <w:shd w:val="clear" w:color="auto" w:fill="FFFFFF"/>
        </w:rPr>
        <w:t xml:space="preserve">UNICEF. Under-five mortality [Internet]. 2020 [cited 2024 Dec 18]. Available from: </w:t>
      </w:r>
      <w:hyperlink r:id="rId17" w:tgtFrame="_blank" w:history="1">
        <w:r w:rsidR="00B360E8">
          <w:rPr>
            <w:rStyle w:val="Hyperlink"/>
            <w:sz w:val="22"/>
            <w:szCs w:val="22"/>
            <w:shd w:val="clear" w:color="auto" w:fill="FFFFFF"/>
          </w:rPr>
          <w:t>http://data.unicef.org/topic/child-survival/under-five-mortality/</w:t>
        </w:r>
      </w:hyperlink>
    </w:p>
    <w:p w14:paraId="4D8E0275"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Yu J, Jing H, Lai S, Xu W, Li M, Wu J, Liu W, Yuan Z, Chen Y, Zhao S, Wang X. Etiology of diarrhoea among children under the age five in China: results from five-year surveillance. Journal of Infection. 2015 Jul 1;71(1):19-27.</w:t>
      </w:r>
    </w:p>
    <w:p w14:paraId="5C012290"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Zelelie TZ, Eguale T, Yitayew B, Abeje D, Alemu A, Seman A, Jass J, Mihret A, Abebe T. Molecular epidemiology and antimicrobial susceptibility of diarrheagenic Escherichia coli isolated from children under age five with and without diarrhoea in Central Ethiopia. PLoS One. 2023 Jul 14;18(7):e0288517.</w:t>
      </w:r>
    </w:p>
    <w:p w14:paraId="3297C2E8" w14:textId="77777777" w:rsidR="00B360E8" w:rsidRDefault="00000000">
      <w:pPr>
        <w:pStyle w:val="NormalWeb"/>
        <w:numPr>
          <w:ilvl w:val="0"/>
          <w:numId w:val="8"/>
        </w:numPr>
        <w:shd w:val="clear" w:color="auto" w:fill="FFFFFF"/>
        <w:spacing w:line="240" w:lineRule="auto"/>
        <w:rPr>
          <w:sz w:val="22"/>
          <w:szCs w:val="22"/>
        </w:rPr>
      </w:pPr>
      <w:r>
        <w:rPr>
          <w:color w:val="262626"/>
          <w:sz w:val="22"/>
          <w:szCs w:val="22"/>
          <w:shd w:val="clear" w:color="auto" w:fill="FFFFFF"/>
        </w:rPr>
        <w:t xml:space="preserve">World Health Organization. Diarrheal disease [Internet]. 2023 [cited 2023 Jan 21]. Available from: </w:t>
      </w:r>
      <w:hyperlink r:id="rId18" w:tgtFrame="_blank" w:history="1">
        <w:r w:rsidR="00B360E8">
          <w:rPr>
            <w:rStyle w:val="Hyperlink"/>
            <w:sz w:val="22"/>
            <w:szCs w:val="22"/>
            <w:shd w:val="clear" w:color="auto" w:fill="FFFFFF"/>
          </w:rPr>
          <w:t>https://www.who.int/news-room/fact-sheets/detail/diarrheal-disease</w:t>
        </w:r>
      </w:hyperlink>
    </w:p>
    <w:p w14:paraId="031D1AE6"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Kalule JB, Smith AM, Vulindhlu M, Tau NP, Nicol MP, Keddy KH, Robberts L. Prevalence and antibiotic susceptibility patterns of enteric bacterial pathogens in human and non-human sources in an urban informal settlement in Cape Town, South Africa. BMC microbiology. 2019 Dec;19:1-1.</w:t>
      </w:r>
    </w:p>
    <w:p w14:paraId="0E9D8A27"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Lewnard JA, Rogawski McQuade ET, Platts-Mills JA, Kotloff KL, Laxminarayan R. Incidence and aetiology of clinically-attended, antibiotic-treated diarrhoea among children under five years of age in low-and middle-income countries: evidence from the Global Enteric Multicenter Study. PLoS neglected tropical diseases. 2020 Aug 10;14(8):e0008520.</w:t>
      </w:r>
    </w:p>
    <w:p w14:paraId="4CC9AE2C"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Levine MM, Kotloff KL, Nataro JP, Muhsen K. The global enteric multicenter study (GEMS): impetus, rationale, and genesis. Clinical Infectious Diseases. 2012 Dec 15;55(suppl_4):S215-24.</w:t>
      </w:r>
    </w:p>
    <w:p w14:paraId="702B9AB5"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Kotloff KL, Nataro JP, Blackwelder WC, Nasrin D, Farag TH, Panchalingam S, Wu Y, Sow SO, Sur D, Breiman RF, Faruque AS. Burden and aetiology of diarrhoeal disease in infants and young children in developing countries (the Global Enteric Multicenter Study, GEMS): a prospective, case-control study. The lancet. 2013 Jul 20;382(9888):209-22.</w:t>
      </w:r>
    </w:p>
    <w:p w14:paraId="53DB11F5"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Zheng S, Yu F, Chen X, Cui D, Cheng Y, Xie G, Yang X, Han D, Wang Y, Zhang W, Chen Y. Enteropathogens in children less than 5 years of age with acute diarrhoea: a 5-year surveillance study in the Southeast Coast of China. BMC infectious diseases. 2016 Dec;16:1-8.</w:t>
      </w:r>
    </w:p>
    <w:p w14:paraId="164CB5C1"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Mabika RM, Liabagui SL, Moundounga HK, Mounioko F, Souza A, Yala JF. Molecular prevalence and epidemiological characteristics of diarrheagenic E. coli in children under 5 years old in the City of Koula-Moutou, East-Central Gabon. Open Journal of Medical Microbiology. 2021 Aug 5;11(3):157-75.</w:t>
      </w:r>
    </w:p>
    <w:p w14:paraId="17E5671C"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Mbugua S, Musikoyo E, Ndungi F, Sang R, Kamau-Mbuthia E, Ngotho D. Determinants of diarrhoea among young children under the age of five in Kenya, evidence from KDHS 2008-09. African Population Studies. 2014 Aug 6:1046-56.</w:t>
      </w:r>
    </w:p>
    <w:p w14:paraId="56B16746"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Manetu WM, M’masi S, Recha CW. Diarrhoea disease among children under 5 years of age: a global systematic review. Open Journal of Epidemiology. 2021 Jun 28;11(3):207-21.</w:t>
      </w:r>
    </w:p>
    <w:p w14:paraId="6ED3DAEB"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Hojsak I, Fabiano V, Pop TL, Goulet O, Zuccotti GV, Çokuğraş FC, Pettoello‐Mantovani M, Kolaček S. Guidance on the use of probiotics in clinical practice in children with selected clinical conditions and in specific vulnerable groups. Acta Paediatrica. 2018 Jun;107(6):927-37.</w:t>
      </w:r>
    </w:p>
    <w:p w14:paraId="50825830"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lastRenderedPageBreak/>
        <w:t>Dias SP, Brouwer MC, van de Beek D. Sex and gender differences in bacterial infections. Infection and Immunity. 2022 Oct 20;90(10):e00283-22.</w:t>
      </w:r>
    </w:p>
    <w:p w14:paraId="337E1C27"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Bryce A, Costelloe C, Wootton M, Butler CC, Hay AD. Comparison of risk factors for, and prevalence of, antibiotic resistance in contaminating and pathogenic urinary Escherichia coli in children in primary care: prospective cohort study. Journal of Antimicrobial Chemotherapy. 2018 May 1;73(5):1359-67.</w:t>
      </w:r>
    </w:p>
    <w:p w14:paraId="080AE188"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Karmali MA. Emerging public health challenges of Shiga toxin-producing Escherichia coli related to changes in the pathogen, the population, and the environment. Clinical Infectious Diseases. 2017 Feb 1;64(3):371-6.</w:t>
      </w:r>
    </w:p>
    <w:p w14:paraId="247ADE52"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ADIELE JA. </w:t>
      </w:r>
      <w:r>
        <w:rPr>
          <w:i/>
          <w:iCs/>
          <w:color w:val="222222"/>
          <w:sz w:val="22"/>
          <w:szCs w:val="22"/>
          <w:shd w:val="clear" w:color="auto" w:fill="FFFFFF"/>
        </w:rPr>
        <w:t>Knowledge, perception and health-seeking behaviour relating to childhood diarrhoea among mothers of under-five children in Eni-Osa community Ibadan, Oyo State, Nigeria</w:t>
      </w:r>
      <w:r>
        <w:rPr>
          <w:color w:val="222222"/>
          <w:sz w:val="22"/>
          <w:szCs w:val="22"/>
          <w:shd w:val="clear" w:color="auto" w:fill="FFFFFF"/>
        </w:rPr>
        <w:t> (Doctoral dissertation).</w:t>
      </w:r>
    </w:p>
    <w:p w14:paraId="18AFC74F"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Romandini A, Pani A, Schenardi PA, Pattarino GA, De Giacomo C, Scaglione F. Antibiotic resistance in pediatric infections: global emerging threats, predicting the near future. Antibiotics. 2021 Apr 6;10(4):393.</w:t>
      </w:r>
    </w:p>
    <w:p w14:paraId="2A7DDB2C" w14:textId="77777777" w:rsidR="00B360E8" w:rsidRDefault="00000000">
      <w:pPr>
        <w:pStyle w:val="NormalWeb"/>
        <w:numPr>
          <w:ilvl w:val="0"/>
          <w:numId w:val="8"/>
        </w:numPr>
        <w:shd w:val="clear" w:color="auto" w:fill="FFFFFF"/>
        <w:spacing w:line="240" w:lineRule="auto"/>
        <w:rPr>
          <w:color w:val="222222"/>
          <w:sz w:val="22"/>
          <w:szCs w:val="22"/>
          <w:shd w:val="clear" w:color="auto" w:fill="FFFFFF"/>
        </w:rPr>
      </w:pPr>
      <w:r>
        <w:rPr>
          <w:color w:val="222222"/>
          <w:sz w:val="22"/>
          <w:szCs w:val="22"/>
          <w:shd w:val="clear" w:color="auto" w:fill="FFFFFF"/>
        </w:rPr>
        <w:t>Bryce A, Hay AD, Lane IF, Thornton HV, Wootton M, Costelloe C. Global prevalence of antibiotic resistance in paediatric urinary tract infections caused by Escherichia coli and association with routine use of antibiotics in primary care: systematic review and meta-analysis. bmj. 2016 Mar 15;352.</w:t>
      </w:r>
    </w:p>
    <w:p w14:paraId="394DE6AD" w14:textId="77777777" w:rsidR="00B360E8" w:rsidRDefault="00000000">
      <w:pPr>
        <w:pStyle w:val="NormalWeb"/>
        <w:numPr>
          <w:ilvl w:val="0"/>
          <w:numId w:val="8"/>
        </w:numPr>
        <w:shd w:val="clear" w:color="auto" w:fill="FFFFFF"/>
        <w:spacing w:line="240" w:lineRule="auto"/>
        <w:rPr>
          <w:rFonts w:eastAsia="Tahoma"/>
          <w:color w:val="262626"/>
          <w:sz w:val="22"/>
          <w:szCs w:val="22"/>
        </w:rPr>
        <w:sectPr w:rsidR="00B360E8">
          <w:type w:val="continuous"/>
          <w:pgSz w:w="12240" w:h="15840"/>
          <w:pgMar w:top="1440" w:right="1440" w:bottom="1440" w:left="1440" w:header="720" w:footer="720" w:gutter="0"/>
          <w:cols w:space="720"/>
          <w:docGrid w:linePitch="360"/>
        </w:sectPr>
      </w:pPr>
      <w:r>
        <w:rPr>
          <w:color w:val="222222"/>
          <w:sz w:val="22"/>
          <w:szCs w:val="22"/>
          <w:shd w:val="clear" w:color="auto" w:fill="FFFFFF"/>
        </w:rPr>
        <w:t>Kurowski KM, Marusinec R, Amato HK, Saraiva-Garcia C, Loayza F, Salinas L, Trueba G, Graham JP. Social and environmental determinants of community-acquired antimicrobial-resistant Escherichia coli in children living in semirural communities of Quito, Ecuador. The American journal of tropical medicine and hygiene. 2</w:t>
      </w:r>
    </w:p>
    <w:p w14:paraId="7C973D75" w14:textId="77777777" w:rsidR="00B360E8" w:rsidRDefault="00000000">
      <w:pPr>
        <w:pStyle w:val="NormalWeb"/>
        <w:shd w:val="clear" w:color="auto" w:fill="FFFFFF"/>
        <w:spacing w:line="240" w:lineRule="auto"/>
        <w:rPr>
          <w:rFonts w:eastAsia="Tahoma"/>
          <w:color w:val="262626"/>
          <w:sz w:val="22"/>
          <w:szCs w:val="22"/>
        </w:rPr>
      </w:pPr>
      <w:r>
        <w:rPr>
          <w:color w:val="222222"/>
          <w:sz w:val="22"/>
          <w:szCs w:val="22"/>
          <w:shd w:val="clear" w:color="auto" w:fill="FFFFFF"/>
        </w:rPr>
        <w:t>021 Sep;105(3):600.</w:t>
      </w:r>
    </w:p>
    <w:p w14:paraId="511D9DB3" w14:textId="77777777" w:rsidR="00B360E8" w:rsidRDefault="00000000">
      <w:r>
        <w:t>World Health Organization. Global Antimicrobial Resistance and Use Surveillance System (GLASS) Report 2024. WHO Press, Geneva, 2024.</w:t>
      </w:r>
    </w:p>
    <w:p w14:paraId="7837C0F4" w14:textId="77777777" w:rsidR="00B360E8" w:rsidRDefault="00000000">
      <w:r>
        <w:t>Centers for Disease Control and Prevention (CDC). Antibiotic Resistance Threats in the United States, 2023. U.S. Department of Health and Human Services, 2023.</w:t>
      </w:r>
    </w:p>
    <w:p w14:paraId="0DF2442F" w14:textId="2498836F" w:rsidR="00B360E8" w:rsidRDefault="00000000">
      <w:r>
        <w:br/>
      </w:r>
      <w:r>
        <w:br/>
      </w:r>
    </w:p>
    <w:sectPr w:rsidR="00B360E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5FE6" w14:textId="77777777" w:rsidR="0030737C" w:rsidRDefault="0030737C">
      <w:pPr>
        <w:spacing w:after="0" w:line="240" w:lineRule="auto"/>
      </w:pPr>
      <w:r>
        <w:separator/>
      </w:r>
    </w:p>
  </w:endnote>
  <w:endnote w:type="continuationSeparator" w:id="0">
    <w:p w14:paraId="3D0C114F" w14:textId="77777777" w:rsidR="0030737C" w:rsidRDefault="00307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1D46" w14:textId="77777777" w:rsidR="00B360E8" w:rsidRDefault="00B36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1F19" w14:textId="77777777" w:rsidR="00B360E8" w:rsidRDefault="00B36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68C1" w14:textId="77777777" w:rsidR="00B360E8" w:rsidRDefault="00B36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157D" w14:textId="77777777" w:rsidR="0030737C" w:rsidRDefault="0030737C">
      <w:pPr>
        <w:spacing w:after="0" w:line="240" w:lineRule="auto"/>
      </w:pPr>
      <w:r>
        <w:separator/>
      </w:r>
    </w:p>
  </w:footnote>
  <w:footnote w:type="continuationSeparator" w:id="0">
    <w:p w14:paraId="1BFBCDE8" w14:textId="77777777" w:rsidR="0030737C" w:rsidRDefault="00307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D609" w14:textId="77777777" w:rsidR="00B360E8" w:rsidRDefault="00000000">
    <w:pPr>
      <w:pStyle w:val="Header"/>
    </w:pPr>
    <w:r>
      <w:pict w14:anchorId="1BA2F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1001" o:spid="_x0000_s3075" type="#_x0000_t136" style="position:absolute;margin-left:0;margin-top:0;width:593.85pt;height:65.95pt;rotation:315;z-index:-251655168;mso-position-horizontal:center;mso-position-horizontal-relative:margin;mso-position-vertical:center;mso-position-vertical-relative:margin;mso-width-relative:page;mso-height-relative:page" o:allowincell="f" fillcolor="silver" stroked="f">
          <v:fill opacity=".5"/>
          <v:textpath style="font-family:&quot;Aptos&quot;;font-size:1p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DD84" w14:textId="77777777" w:rsidR="00B360E8" w:rsidRDefault="00000000">
    <w:pPr>
      <w:pStyle w:val="Header"/>
    </w:pPr>
    <w:r>
      <w:pict w14:anchorId="55416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1002" o:spid="_x0000_s3074" type="#_x0000_t136" style="position:absolute;margin-left:0;margin-top:0;width:593.85pt;height:65.95pt;rotation:315;z-index:-251653120;mso-position-horizontal:center;mso-position-horizontal-relative:margin;mso-position-vertical:center;mso-position-vertical-relative:margin;mso-width-relative:page;mso-height-relative:page" o:allowincell="f" fillcolor="silver" stroked="f">
          <v:fill opacity=".5"/>
          <v:textpath style="font-family:&quot;Aptos&quot;;font-size:1p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663E" w14:textId="77777777" w:rsidR="00B360E8" w:rsidRDefault="00000000">
    <w:pPr>
      <w:pStyle w:val="Header"/>
    </w:pPr>
    <w:r>
      <w:pict w14:anchorId="49730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71000" o:spid="_x0000_s3073" type="#_x0000_t136" style="position:absolute;margin-left:0;margin-top:0;width:593.85pt;height:65.95pt;rotation:315;z-index:-251657216;mso-position-horizontal:center;mso-position-horizontal-relative:margin;mso-position-vertical:center;mso-position-vertical-relative:margin;mso-width-relative:page;mso-height-relative:page" o:allowincell="f" fillcolor="silver" stroked="f">
          <v:fill opacity=".5"/>
          <v:textpath style="font-family:&quot;Aptos&quot;;font-size:1pt" trim="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000000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0000000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000000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singleLevel"/>
    <w:tmpl w:val="00000005"/>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0F371C"/>
    <w:multiLevelType w:val="multilevel"/>
    <w:tmpl w:val="3D0F37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914046609">
    <w:abstractNumId w:val="4"/>
  </w:num>
  <w:num w:numId="2" w16cid:durableId="869339832">
    <w:abstractNumId w:val="6"/>
  </w:num>
  <w:num w:numId="3" w16cid:durableId="1917133096">
    <w:abstractNumId w:val="3"/>
  </w:num>
  <w:num w:numId="4" w16cid:durableId="997616105">
    <w:abstractNumId w:val="7"/>
  </w:num>
  <w:num w:numId="5" w16cid:durableId="980619980">
    <w:abstractNumId w:val="0"/>
  </w:num>
  <w:num w:numId="6" w16cid:durableId="678389237">
    <w:abstractNumId w:val="2"/>
  </w:num>
  <w:num w:numId="7" w16cid:durableId="1402869142">
    <w:abstractNumId w:val="1"/>
  </w:num>
  <w:num w:numId="8" w16cid:durableId="2088721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E8"/>
    <w:rsid w:val="001C70BC"/>
    <w:rsid w:val="0030737C"/>
    <w:rsid w:val="0032663A"/>
    <w:rsid w:val="00466D32"/>
    <w:rsid w:val="005B10A6"/>
    <w:rsid w:val="00642535"/>
    <w:rsid w:val="008F040E"/>
    <w:rsid w:val="00B360E8"/>
    <w:rsid w:val="00E50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168C02BB"/>
  <w15:docId w15:val="{7BD59E68-93F3-4935-A314-6E9EC714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Aptos" w:eastAsia="Aptos" w:hAnsi="Aptos"/>
      <w:kern w:val="2"/>
      <w:sz w:val="22"/>
      <w:szCs w:val="22"/>
      <w:lang w:val="en-GB"/>
    </w:rPr>
  </w:style>
  <w:style w:type="paragraph" w:styleId="Heading3">
    <w:name w:val="heading 3"/>
    <w:basedOn w:val="Normal"/>
    <w:next w:val="Normal"/>
    <w:link w:val="Heading3Char"/>
    <w:uiPriority w:val="9"/>
    <w:unhideWhenUsed/>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SimSun"/>
      <w:i/>
      <w:iCs/>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NormalWeb">
    <w:name w:val="Normal (Web)"/>
    <w:basedOn w:val="Normal"/>
    <w:uiPriority w:val="99"/>
    <w:qFormat/>
    <w:rPr>
      <w:rFonts w:ascii="Times New Roman" w:hAnsi="Times New Roman" w:cs="Times New Roman"/>
      <w:sz w:val="24"/>
      <w:szCs w:val="24"/>
    </w:rPr>
  </w:style>
  <w:style w:type="character" w:styleId="Hyperlink">
    <w:name w:val="Hyperlink"/>
    <w:basedOn w:val="DefaultParagraphFont"/>
    <w:uiPriority w:val="99"/>
    <w:qFormat/>
    <w:rPr>
      <w:color w:val="0000FF"/>
      <w:u w:val="single"/>
    </w:rPr>
  </w:style>
  <w:style w:type="table" w:styleId="TableGrid">
    <w:name w:val="Table Grid"/>
    <w:basedOn w:val="TableNormal"/>
    <w:qFormat/>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5b035238-8920-44fa-9e46-95f95ec576d2">
    <w:name w:val="List Paragraph_5b035238-8920-44fa-9e46-95f95ec576d2"/>
    <w:basedOn w:val="Normal"/>
    <w:uiPriority w:val="34"/>
    <w:qFormat/>
    <w:pPr>
      <w:ind w:left="720"/>
      <w:contextualSpacing/>
    </w:pPr>
  </w:style>
  <w:style w:type="paragraph" w:customStyle="1" w:styleId="PRE-TOC">
    <w:name w:val="PRE-TOC"/>
    <w:basedOn w:val="Normal"/>
    <w:qFormat/>
    <w:pPr>
      <w:spacing w:after="0" w:line="480" w:lineRule="auto"/>
      <w:jc w:val="center"/>
    </w:pPr>
    <w:rPr>
      <w:rFonts w:ascii="Times New Roman" w:eastAsia="Times New Roman" w:hAnsi="Times New Roman" w:cs="Times New Roman"/>
      <w:b/>
      <w:bCs/>
      <w:color w:val="000000"/>
      <w:sz w:val="24"/>
      <w:szCs w:val="24"/>
    </w:rPr>
  </w:style>
  <w:style w:type="paragraph" w:customStyle="1" w:styleId="ListParagraph1">
    <w:name w:val="List Paragraph1"/>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Aptos" w:eastAsia="SimSun" w:hAnsi="Aptos" w:cs="SimSun"/>
      <w:color w:val="0F4761"/>
      <w:kern w:val="2"/>
      <w:sz w:val="28"/>
      <w:szCs w:val="28"/>
      <w:lang w:val="en-GB"/>
    </w:rPr>
  </w:style>
  <w:style w:type="character" w:customStyle="1" w:styleId="Heading4Char">
    <w:name w:val="Heading 4 Char"/>
    <w:basedOn w:val="DefaultParagraphFont"/>
    <w:link w:val="Heading4"/>
    <w:uiPriority w:val="9"/>
    <w:qFormat/>
    <w:rPr>
      <w:rFonts w:ascii="Aptos" w:eastAsia="SimSun" w:hAnsi="Aptos" w:cs="SimSun"/>
      <w:i/>
      <w:iCs/>
      <w:color w:val="0F4761"/>
      <w:kern w:val="2"/>
      <w:lang w:val="en-GB"/>
    </w:rPr>
  </w:style>
  <w:style w:type="character" w:customStyle="1" w:styleId="HeaderChar">
    <w:name w:val="Header Char"/>
    <w:basedOn w:val="DefaultParagraphFont"/>
    <w:link w:val="Header"/>
    <w:uiPriority w:val="99"/>
    <w:qFormat/>
    <w:rPr>
      <w:rFonts w:ascii="Aptos" w:eastAsia="Aptos" w:hAnsi="Aptos" w:cs="SimSun"/>
      <w:kern w:val="2"/>
      <w:lang w:val="en-GB"/>
    </w:rPr>
  </w:style>
  <w:style w:type="character" w:customStyle="1" w:styleId="FooterChar">
    <w:name w:val="Footer Char"/>
    <w:basedOn w:val="DefaultParagraphFont"/>
    <w:link w:val="Footer"/>
    <w:uiPriority w:val="99"/>
    <w:qFormat/>
    <w:rPr>
      <w:rFonts w:ascii="Aptos" w:eastAsia="Aptos" w:hAnsi="Aptos" w:cs="SimSun"/>
      <w:kern w:val="2"/>
      <w:lang w:val="en-GB"/>
    </w:rPr>
  </w:style>
  <w:style w:type="character" w:customStyle="1" w:styleId="UnresolvedMention1">
    <w:name w:val="Unresolved Mention1"/>
    <w:basedOn w:val="DefaultParagraphFont"/>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ho.int/news-room/fact-sheets/detail/diarrheal-disea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ata.unicef.org/topic/child-survival/under-five-mortality/"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1-E3A9-4B7B-B055-9991C2F5B738}"/>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3-E3A9-4B7B-B055-9991C2F5B73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Sheet4!$P$10:$P$11</c:f>
              <c:strCache>
                <c:ptCount val="2"/>
                <c:pt idx="0">
                  <c:v>Positive</c:v>
                </c:pt>
                <c:pt idx="1">
                  <c:v>Negative</c:v>
                </c:pt>
              </c:strCache>
            </c:strRef>
          </c:cat>
          <c:val>
            <c:numRef>
              <c:f>Sheet4!$Q$10:$Q$11</c:f>
              <c:numCache>
                <c:formatCode>General</c:formatCode>
                <c:ptCount val="2"/>
                <c:pt idx="0">
                  <c:v>15</c:v>
                </c:pt>
                <c:pt idx="1">
                  <c:v>68</c:v>
                </c:pt>
              </c:numCache>
            </c:numRef>
          </c:val>
          <c:extLst>
            <c:ext xmlns:c16="http://schemas.microsoft.com/office/drawing/2014/chart" uri="{C3380CC4-5D6E-409C-BE32-E72D297353CC}">
              <c16:uniqueId val="{00000004-E3A9-4B7B-B055-9991C2F5B738}"/>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accent2"/>
      </a:solidFill>
      <a:prstDash val="solid"/>
      <a:miter lim="800000"/>
    </a:ln>
    <a:effectLst/>
  </c:spPr>
  <c:txPr>
    <a:bodyPr/>
    <a:lstStyle/>
    <a:p>
      <a:pPr>
        <a:defRPr lang="en-US">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Sheet4!$C$10</c:f>
              <c:strCache>
                <c:ptCount val="1"/>
                <c:pt idx="0">
                  <c:v>POSITIVE </c:v>
                </c:pt>
              </c:strCache>
            </c:strRef>
          </c:tx>
          <c:spPr>
            <a:solidFill>
              <a:schemeClr val="accent1"/>
            </a:solidFill>
            <a:ln>
              <a:noFill/>
            </a:ln>
            <a:effectLst/>
          </c:spPr>
          <c:invertIfNegative val="0"/>
          <c:dLbls>
            <c:spPr>
              <a:noFill/>
              <a:ln>
                <a:noFill/>
              </a:ln>
              <a:effectLst/>
            </c:spPr>
            <c:txPr>
              <a:bodyPr rot="-5400000" spcFirstLastPara="1" vertOverflow="clip" horzOverflow="clip"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errBars>
            <c:errBarType val="both"/>
            <c:errValType val="stdErr"/>
            <c:noEndCap val="0"/>
            <c:spPr>
              <a:noFill/>
              <a:ln w="9525">
                <a:solidFill>
                  <a:schemeClr val="tx1">
                    <a:lumMod val="65000"/>
                    <a:lumOff val="35000"/>
                  </a:schemeClr>
                </a:solidFill>
                <a:round/>
              </a:ln>
              <a:effectLst/>
            </c:spPr>
          </c:errBars>
          <c:cat>
            <c:strRef>
              <c:f>Sheet4!$D$9:$E$9</c:f>
              <c:strCache>
                <c:ptCount val="2"/>
                <c:pt idx="0">
                  <c:v>MALE </c:v>
                </c:pt>
                <c:pt idx="1">
                  <c:v>FEMALE</c:v>
                </c:pt>
              </c:strCache>
            </c:strRef>
          </c:cat>
          <c:val>
            <c:numRef>
              <c:f>Sheet4!$D$10:$E$10</c:f>
              <c:numCache>
                <c:formatCode>General</c:formatCode>
                <c:ptCount val="2"/>
                <c:pt idx="0">
                  <c:v>15</c:v>
                </c:pt>
                <c:pt idx="1">
                  <c:v>21</c:v>
                </c:pt>
              </c:numCache>
            </c:numRef>
          </c:val>
          <c:extLst>
            <c:ext xmlns:c16="http://schemas.microsoft.com/office/drawing/2014/chart" uri="{C3380CC4-5D6E-409C-BE32-E72D297353CC}">
              <c16:uniqueId val="{00000001-B335-4830-9054-887B8EFDBADD}"/>
            </c:ext>
          </c:extLst>
        </c:ser>
        <c:ser>
          <c:idx val="1"/>
          <c:order val="1"/>
          <c:tx>
            <c:strRef>
              <c:f>Sheet4!$C$11</c:f>
              <c:strCache>
                <c:ptCount val="1"/>
                <c:pt idx="0">
                  <c:v>NEGATIVE </c:v>
                </c:pt>
              </c:strCache>
            </c:strRef>
          </c:tx>
          <c:spPr>
            <a:solidFill>
              <a:schemeClr val="accent2"/>
            </a:solidFill>
            <a:ln>
              <a:noFill/>
            </a:ln>
            <a:effectLst/>
          </c:spPr>
          <c:invertIfNegative val="0"/>
          <c:dLbls>
            <c:spPr>
              <a:noFill/>
              <a:ln>
                <a:noFill/>
              </a:ln>
              <a:effectLst/>
            </c:spPr>
            <c:txPr>
              <a:bodyPr rot="-5400000" spcFirstLastPara="1" vertOverflow="clip" horzOverflow="clip"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9525">
                <a:solidFill>
                  <a:schemeClr val="tx1">
                    <a:lumMod val="65000"/>
                    <a:lumOff val="35000"/>
                  </a:schemeClr>
                </a:solidFill>
                <a:round/>
              </a:ln>
              <a:effectLst/>
            </c:spPr>
          </c:errBars>
          <c:cat>
            <c:strRef>
              <c:f>Sheet4!$D$9:$E$9</c:f>
              <c:strCache>
                <c:ptCount val="2"/>
                <c:pt idx="0">
                  <c:v>MALE </c:v>
                </c:pt>
                <c:pt idx="1">
                  <c:v>FEMALE</c:v>
                </c:pt>
              </c:strCache>
            </c:strRef>
          </c:cat>
          <c:val>
            <c:numRef>
              <c:f>Sheet4!$D$11:$E$11</c:f>
              <c:numCache>
                <c:formatCode>General</c:formatCode>
                <c:ptCount val="2"/>
                <c:pt idx="0">
                  <c:v>85</c:v>
                </c:pt>
                <c:pt idx="1">
                  <c:v>79</c:v>
                </c:pt>
              </c:numCache>
            </c:numRef>
          </c:val>
          <c:extLst>
            <c:ext xmlns:c16="http://schemas.microsoft.com/office/drawing/2014/chart" uri="{C3380CC4-5D6E-409C-BE32-E72D297353CC}">
              <c16:uniqueId val="{00000002-B335-4830-9054-887B8EFDBADD}"/>
            </c:ext>
          </c:extLst>
        </c:ser>
        <c:dLbls>
          <c:showLegendKey val="0"/>
          <c:showVal val="1"/>
          <c:showCatName val="0"/>
          <c:showSerName val="0"/>
          <c:showPercent val="0"/>
          <c:showBubbleSize val="0"/>
        </c:dLbls>
        <c:gapWidth val="444"/>
        <c:overlap val="-90"/>
        <c:axId val="386580216"/>
        <c:axId val="386581392"/>
      </c:barChart>
      <c:catAx>
        <c:axId val="386580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386581392"/>
        <c:crosses val="autoZero"/>
        <c:auto val="1"/>
        <c:lblAlgn val="ctr"/>
        <c:lblOffset val="100"/>
        <c:noMultiLvlLbl val="0"/>
      </c:catAx>
      <c:valAx>
        <c:axId val="386581392"/>
        <c:scaling>
          <c:orientation val="minMax"/>
        </c:scaling>
        <c:delete val="1"/>
        <c:axPos val="l"/>
        <c:numFmt formatCode="General" sourceLinked="1"/>
        <c:majorTickMark val="none"/>
        <c:minorTickMark val="none"/>
        <c:tickLblPos val="nextTo"/>
        <c:crossAx val="3865802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Sheet2!$C$6</c:f>
              <c:strCache>
                <c:ptCount val="1"/>
                <c:pt idx="0">
                  <c:v>Yes</c:v>
                </c:pt>
              </c:strCache>
            </c:strRef>
          </c:tx>
          <c:spPr>
            <a:solidFill>
              <a:schemeClr val="accent6">
                <a:lumMod val="50000"/>
              </a:schemeClr>
            </a:solidFill>
            <a:ln w="9525" cap="flat" cmpd="sng" algn="ctr">
              <a:solidFill>
                <a:schemeClr val="lt1">
                  <a:alpha val="50000"/>
                </a:schemeClr>
              </a:solidFill>
              <a:round/>
            </a:ln>
            <a:effectLst/>
          </c:spPr>
          <c:invertIfNegative val="0"/>
          <c:dLbls>
            <c:dLbl>
              <c:idx val="0"/>
              <c:tx>
                <c:rich>
                  <a:bodyPr/>
                  <a:lstStyle/>
                  <a:p>
                    <a:fld id="{A02A0C18-8DA6-83ED-16C2-E3684DDA6D4E}"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49D-4B59-88B6-199F7D1E3393}"/>
                </c:ext>
              </c:extLst>
            </c:dLbl>
            <c:dLbl>
              <c:idx val="1"/>
              <c:tx>
                <c:rich>
                  <a:bodyPr/>
                  <a:lstStyle/>
                  <a:p>
                    <a:fld id="{7ACE4F69-38D5-33ED-16C2-E368D416A76A}"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49D-4B59-88B6-199F7D1E3393}"/>
                </c:ext>
              </c:extLst>
            </c:dLbl>
            <c:dLbl>
              <c:idx val="2"/>
              <c:tx>
                <c:rich>
                  <a:bodyPr/>
                  <a:lstStyle/>
                  <a:p>
                    <a:fld id="{F165A740-5DF7-A31F-16C2-E368E3B126A3}"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49D-4B59-88B6-199F7D1E3393}"/>
                </c:ext>
              </c:extLst>
            </c:dLbl>
            <c:dLbl>
              <c:idx val="3"/>
              <c:tx>
                <c:rich>
                  <a:bodyPr/>
                  <a:lstStyle/>
                  <a:p>
                    <a:fld id="{E07BE55D-AE1C-5132-16C2-E368A87B4ADD}"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49D-4B59-88B6-199F7D1E3393}"/>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dk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Sheet2!$D$5:$G$5</c:f>
              <c:strCache>
                <c:ptCount val="4"/>
                <c:pt idx="0">
                  <c:v>Presence of vomiting</c:v>
                </c:pt>
                <c:pt idx="1">
                  <c:v>Presence of abdominal pain</c:v>
                </c:pt>
                <c:pt idx="2">
                  <c:v>Presence of fever</c:v>
                </c:pt>
                <c:pt idx="3">
                  <c:v>Presence of dehydration signs</c:v>
                </c:pt>
              </c:strCache>
            </c:strRef>
          </c:cat>
          <c:val>
            <c:numRef>
              <c:f>Sheet2!$D$6:$G$6</c:f>
              <c:numCache>
                <c:formatCode>General</c:formatCode>
                <c:ptCount val="4"/>
                <c:pt idx="0">
                  <c:v>57</c:v>
                </c:pt>
                <c:pt idx="1">
                  <c:v>36</c:v>
                </c:pt>
                <c:pt idx="2">
                  <c:v>77</c:v>
                </c:pt>
                <c:pt idx="3">
                  <c:v>42</c:v>
                </c:pt>
              </c:numCache>
            </c:numRef>
          </c:val>
          <c:extLst>
            <c:ext xmlns:c16="http://schemas.microsoft.com/office/drawing/2014/chart" uri="{C3380CC4-5D6E-409C-BE32-E72D297353CC}">
              <c16:uniqueId val="{00000004-349D-4B59-88B6-199F7D1E3393}"/>
            </c:ext>
          </c:extLst>
        </c:ser>
        <c:ser>
          <c:idx val="1"/>
          <c:order val="1"/>
          <c:tx>
            <c:strRef>
              <c:f>Sheet2!$C$7</c:f>
              <c:strCache>
                <c:ptCount val="1"/>
                <c:pt idx="0">
                  <c:v>No</c:v>
                </c:pt>
              </c:strCache>
            </c:strRef>
          </c:tx>
          <c:spPr>
            <a:solidFill>
              <a:srgbClr val="C00000"/>
            </a:solidFill>
            <a:ln w="9525" cap="flat" cmpd="sng" algn="ctr">
              <a:solidFill>
                <a:schemeClr val="lt1">
                  <a:alpha val="50000"/>
                </a:schemeClr>
              </a:solidFill>
              <a:round/>
            </a:ln>
            <a:effectLst/>
          </c:spPr>
          <c:invertIfNegative val="0"/>
          <c:dLbls>
            <c:dLbl>
              <c:idx val="0"/>
              <c:tx>
                <c:rich>
                  <a:bodyPr/>
                  <a:lstStyle/>
                  <a:p>
                    <a:fld id="{4C13D45E-59E3-00D2-16C2-E368FA63D63F}"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49D-4B59-88B6-199F7D1E3393}"/>
                </c:ext>
              </c:extLst>
            </c:dLbl>
            <c:dLbl>
              <c:idx val="1"/>
              <c:tx>
                <c:rich>
                  <a:bodyPr/>
                  <a:lstStyle/>
                  <a:p>
                    <a:fld id="{B26FE7B1-12EF-AF34-16C2-E3680CAEE569}"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49D-4B59-88B6-199F7D1E3393}"/>
                </c:ext>
              </c:extLst>
            </c:dLbl>
            <c:dLbl>
              <c:idx val="2"/>
              <c:tx>
                <c:rich>
                  <a:bodyPr/>
                  <a:lstStyle/>
                  <a:p>
                    <a:r>
                      <a:rPr lang="en-US"/>
                      <a:t>23%</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349D-4B59-88B6-199F7D1E3393}"/>
                </c:ext>
              </c:extLst>
            </c:dLbl>
            <c:dLbl>
              <c:idx val="3"/>
              <c:tx>
                <c:rich>
                  <a:bodyPr/>
                  <a:lstStyle/>
                  <a:p>
                    <a:fld id="{D9412158-4163-5417-16C2-E368E8D503D2}" type="VALUE">
                      <a:rPr lang="en-US"/>
                      <a:pPr/>
                      <a:t>[VALUE]</a:t>
                    </a:fld>
                    <a:endParaRPr lang="en-US"/>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49D-4B59-88B6-199F7D1E3393}"/>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dk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trendline>
            <c:spPr>
              <a:ln w="19050" cap="rnd">
                <a:solidFill>
                  <a:schemeClr val="accent2"/>
                </a:solidFill>
              </a:ln>
              <a:effectLst/>
            </c:spPr>
            <c:trendlineType val="linear"/>
            <c:dispRSqr val="0"/>
            <c:dispEq val="0"/>
          </c:trendline>
          <c:errBars>
            <c:errBarType val="both"/>
            <c:errValType val="stdErr"/>
            <c:noEndCap val="0"/>
            <c:spPr>
              <a:noFill/>
              <a:ln w="9525">
                <a:solidFill>
                  <a:schemeClr val="dk1">
                    <a:lumMod val="65000"/>
                    <a:lumOff val="35000"/>
                  </a:schemeClr>
                </a:solidFill>
                <a:round/>
              </a:ln>
              <a:effectLst/>
            </c:spPr>
          </c:errBars>
          <c:cat>
            <c:strRef>
              <c:f>Sheet2!$D$5:$G$5</c:f>
              <c:strCache>
                <c:ptCount val="4"/>
                <c:pt idx="0">
                  <c:v>Presence of vomiting</c:v>
                </c:pt>
                <c:pt idx="1">
                  <c:v>Presence of abdominal pain</c:v>
                </c:pt>
                <c:pt idx="2">
                  <c:v>Presence of fever</c:v>
                </c:pt>
                <c:pt idx="3">
                  <c:v>Presence of dehydration signs</c:v>
                </c:pt>
              </c:strCache>
            </c:strRef>
          </c:cat>
          <c:val>
            <c:numRef>
              <c:f>Sheet2!$D$7:$G$7</c:f>
              <c:numCache>
                <c:formatCode>General</c:formatCode>
                <c:ptCount val="4"/>
                <c:pt idx="0">
                  <c:v>43</c:v>
                </c:pt>
                <c:pt idx="1">
                  <c:v>64</c:v>
                </c:pt>
                <c:pt idx="2">
                  <c:v>23</c:v>
                </c:pt>
                <c:pt idx="3">
                  <c:v>58</c:v>
                </c:pt>
              </c:numCache>
            </c:numRef>
          </c:val>
          <c:extLst>
            <c:ext xmlns:c16="http://schemas.microsoft.com/office/drawing/2014/chart" uri="{C3380CC4-5D6E-409C-BE32-E72D297353CC}">
              <c16:uniqueId val="{0000000A-349D-4B59-88B6-199F7D1E3393}"/>
            </c:ext>
          </c:extLst>
        </c:ser>
        <c:dLbls>
          <c:showLegendKey val="0"/>
          <c:showVal val="1"/>
          <c:showCatName val="0"/>
          <c:showSerName val="0"/>
          <c:showPercent val="0"/>
          <c:showBubbleSize val="0"/>
        </c:dLbls>
        <c:gapWidth val="65"/>
        <c:axId val="390068856"/>
        <c:axId val="390072384"/>
      </c:barChart>
      <c:catAx>
        <c:axId val="3900688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en-US" sz="900" b="0" i="0" u="none" strike="noStrike" kern="1200" cap="all" baseline="0">
                <a:solidFill>
                  <a:schemeClr val="dk1"/>
                </a:solidFill>
                <a:latin typeface="+mn-lt"/>
                <a:ea typeface="+mn-ea"/>
                <a:cs typeface="+mn-cs"/>
              </a:defRPr>
            </a:pPr>
            <a:endParaRPr lang="en-US"/>
          </a:p>
        </c:txPr>
        <c:crossAx val="390072384"/>
        <c:crosses val="autoZero"/>
        <c:auto val="1"/>
        <c:lblAlgn val="ctr"/>
        <c:lblOffset val="100"/>
        <c:noMultiLvlLbl val="0"/>
      </c:catAx>
      <c:valAx>
        <c:axId val="390072384"/>
        <c:scaling>
          <c:orientation val="minMax"/>
        </c:scaling>
        <c:delete val="1"/>
        <c:axPos val="l"/>
        <c:numFmt formatCode="General" sourceLinked="1"/>
        <c:majorTickMark val="none"/>
        <c:minorTickMark val="none"/>
        <c:tickLblPos val="nextTo"/>
        <c:crossAx val="3900688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lang="en-US">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lt1">
                <a:lumMod val="75000"/>
                <a:alpha val="36000"/>
              </a:schemeClr>
            </a:gs>
            <a:gs pos="100000">
              <a:schemeClr val="dk1">
                <a:lumMod val="95000"/>
                <a:lumOff val="5000"/>
                <a:alpha val="42000"/>
              </a:schemeClr>
            </a:gs>
          </a:gsLst>
          <a:lin ang="5400000" scaled="0"/>
        </a:gradFill>
        <a:round/>
      </a:ln>
    </cs:spPr>
  </cs:gridlineMajor>
  <cs:gridlineMinor>
    <cs:lnRef idx="0"/>
    <cs:fillRef idx="0"/>
    <cs:effectRef idx="0"/>
    <cs:fontRef idx="minor">
      <a:schemeClr val="dk1"/>
    </cs:fontRef>
    <cs:spPr>
      <a:ln>
        <a:gradFill>
          <a:gsLst>
            <a:gs pos="0">
              <a:schemeClr val="lt1">
                <a:lumMod val="75000"/>
                <a:alpha val="36000"/>
              </a:schemeClr>
            </a:gs>
            <a:gs pos="100000">
              <a:schemeClr val="dk1">
                <a:lumMod val="95000"/>
                <a:lumOff val="5000"/>
                <a:alpha val="42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lt1">
                <a:lumMod val="75000"/>
                <a:alpha val="36000"/>
              </a:schemeClr>
            </a:gs>
            <a:gs pos="100000">
              <a:schemeClr val="dk1">
                <a:lumMod val="95000"/>
                <a:lumOff val="5000"/>
                <a:alpha val="42000"/>
              </a:schemeClr>
            </a:gs>
          </a:gsLst>
          <a:lin ang="5400000" scaled="0"/>
        </a:gradFill>
        <a:round/>
      </a:ln>
    </cs:spPr>
  </cs:gridlineMajor>
  <cs:gridlineMinor>
    <cs:lnRef idx="0"/>
    <cs:fillRef idx="0"/>
    <cs:effectRef idx="0"/>
    <cs:fontRef idx="minor">
      <a:schemeClr val="dk1"/>
    </cs:fontRef>
    <cs:spPr>
      <a:ln>
        <a:gradFill>
          <a:gsLst>
            <a:gs pos="0">
              <a:schemeClr val="lt1">
                <a:lumMod val="75000"/>
                <a:alpha val="36000"/>
              </a:schemeClr>
            </a:gs>
            <a:gs pos="100000">
              <a:schemeClr val="dk1">
                <a:lumMod val="95000"/>
                <a:lumOff val="5000"/>
                <a:alpha val="42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4890</Words>
  <Characters>27874</Characters>
  <Application>Microsoft Office Word</Application>
  <DocSecurity>0</DocSecurity>
  <Lines>232</Lines>
  <Paragraphs>65</Paragraphs>
  <ScaleCrop>false</ScaleCrop>
  <Company/>
  <LinksUpToDate>false</LinksUpToDate>
  <CharactersWithSpaces>32699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Editor GP 005</cp:lastModifiedBy>
  <cp:revision>21</cp:revision>
  <dcterms:created xsi:type="dcterms:W3CDTF">2024-12-18T14:05:00Z</dcterms:created>
  <dcterms:modified xsi:type="dcterms:W3CDTF">2025-10-13T05:36:00Z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a5ae9cd1-bc31-4269-858b-93de43da20ae</vt:lpwstr>
  </property>
  <property fmtid="{D5CDD505-2E9C-101B-9397-08002B2CF9AE}" pid="3" name="KSOProductBuildVer">
    <vt:lpwstr>3081-11.37.00</vt:lpwstr>
  </property>
  <property fmtid="{D5CDD505-2E9C-101B-9397-08002B2CF9AE}" pid="4" name="ICV">
    <vt:lpwstr>980cdfab0e07476abacc5796dc758af8</vt:lpwstr>
  </property>
</Properties>
</file>