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70AB" w14:textId="76BA2ACF" w:rsidR="00463A39" w:rsidRDefault="00463A39" w:rsidP="00441B6F">
      <w:pPr>
        <w:pStyle w:val="Author"/>
        <w:spacing w:line="240" w:lineRule="auto"/>
        <w:jc w:val="both"/>
        <w:rPr>
          <w:rFonts w:ascii="Arial" w:hAnsi="Arial" w:cs="Arial"/>
          <w:bCs/>
          <w:i/>
          <w:iCs/>
          <w:kern w:val="28"/>
          <w:szCs w:val="14"/>
          <w:u w:val="single"/>
        </w:rPr>
      </w:pPr>
      <w:r w:rsidRPr="00463A39">
        <w:rPr>
          <w:rFonts w:ascii="Arial" w:hAnsi="Arial" w:cs="Arial"/>
          <w:bCs/>
          <w:i/>
          <w:iCs/>
          <w:kern w:val="28"/>
          <w:szCs w:val="14"/>
          <w:u w:val="single"/>
        </w:rPr>
        <w:t>Original Research Article</w:t>
      </w:r>
    </w:p>
    <w:p w14:paraId="741C02FC" w14:textId="77777777" w:rsidR="00463A39" w:rsidRDefault="00463A39" w:rsidP="00441B6F">
      <w:pPr>
        <w:pStyle w:val="Author"/>
        <w:spacing w:line="240" w:lineRule="auto"/>
        <w:jc w:val="both"/>
        <w:rPr>
          <w:rFonts w:ascii="Arial" w:hAnsi="Arial" w:cs="Arial"/>
          <w:bCs/>
          <w:iCs/>
          <w:kern w:val="28"/>
          <w:szCs w:val="14"/>
        </w:rPr>
      </w:pPr>
    </w:p>
    <w:p w14:paraId="1288C391" w14:textId="488F5C5E" w:rsidR="00A258C3" w:rsidRPr="00463A39" w:rsidRDefault="00612901" w:rsidP="00441B6F">
      <w:pPr>
        <w:pStyle w:val="Author"/>
        <w:spacing w:line="240" w:lineRule="auto"/>
        <w:jc w:val="both"/>
        <w:rPr>
          <w:rFonts w:ascii="Arial" w:hAnsi="Arial" w:cs="Arial"/>
          <w:bCs/>
          <w:iCs/>
          <w:kern w:val="28"/>
          <w:szCs w:val="14"/>
        </w:rPr>
      </w:pPr>
      <w:r w:rsidRPr="00463A39">
        <w:rPr>
          <w:rFonts w:ascii="Arial" w:hAnsi="Arial" w:cs="Arial"/>
          <w:bCs/>
          <w:iCs/>
          <w:kern w:val="28"/>
          <w:szCs w:val="14"/>
        </w:rPr>
        <w:t>Assessment</w:t>
      </w:r>
      <w:r w:rsidR="000E6621" w:rsidRPr="00463A39">
        <w:rPr>
          <w:rFonts w:ascii="Arial" w:hAnsi="Arial" w:cs="Arial"/>
          <w:bCs/>
          <w:iCs/>
          <w:kern w:val="28"/>
          <w:szCs w:val="14"/>
        </w:rPr>
        <w:t xml:space="preserve"> of genetic variability for seed yield, oil yield and yield related traits in inbred lines (maintainer and restorer lines) of sunflower (</w:t>
      </w:r>
      <w:r w:rsidR="000E6621" w:rsidRPr="00463A39">
        <w:rPr>
          <w:rFonts w:ascii="Arial" w:hAnsi="Arial" w:cs="Arial"/>
          <w:bCs/>
          <w:i/>
          <w:kern w:val="28"/>
          <w:szCs w:val="14"/>
        </w:rPr>
        <w:t>Helianthus annuus</w:t>
      </w:r>
      <w:r w:rsidR="000E6621" w:rsidRPr="00463A39">
        <w:rPr>
          <w:rFonts w:ascii="Arial" w:hAnsi="Arial" w:cs="Arial"/>
          <w:bCs/>
          <w:iCs/>
          <w:kern w:val="28"/>
          <w:szCs w:val="14"/>
        </w:rPr>
        <w:t xml:space="preserve"> L.)</w:t>
      </w:r>
    </w:p>
    <w:p w14:paraId="0131AAE7" w14:textId="77777777" w:rsidR="00463A39" w:rsidRPr="00790ADA" w:rsidRDefault="00463A39" w:rsidP="00441B6F">
      <w:pPr>
        <w:pStyle w:val="Author"/>
        <w:spacing w:line="240" w:lineRule="auto"/>
        <w:jc w:val="both"/>
        <w:rPr>
          <w:rFonts w:ascii="Arial" w:hAnsi="Arial" w:cs="Arial"/>
          <w:sz w:val="36"/>
        </w:rPr>
      </w:pPr>
    </w:p>
    <w:p w14:paraId="79437E73" w14:textId="77777777" w:rsidR="00EC313D" w:rsidRDefault="00EC313D" w:rsidP="00441B6F">
      <w:pPr>
        <w:pStyle w:val="AbstHead"/>
        <w:spacing w:after="0"/>
        <w:jc w:val="both"/>
        <w:rPr>
          <w:rFonts w:ascii="Arial" w:hAnsi="Arial" w:cs="Arial"/>
        </w:rPr>
      </w:pPr>
    </w:p>
    <w:p w14:paraId="5A2690A5" w14:textId="4DEC31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87E8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B2F8C7" w14:textId="77777777" w:rsidTr="001E44FE">
        <w:tc>
          <w:tcPr>
            <w:tcW w:w="9576" w:type="dxa"/>
            <w:shd w:val="clear" w:color="auto" w:fill="F2F2F2"/>
          </w:tcPr>
          <w:p w14:paraId="25EFD00C" w14:textId="402FC48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E6621" w:rsidRPr="000E6621">
              <w:rPr>
                <w:rFonts w:ascii="Arial" w:eastAsia="Calibri" w:hAnsi="Arial" w:cs="Arial"/>
                <w:szCs w:val="22"/>
              </w:rPr>
              <w:t xml:space="preserve">The current study was conducted to evaluate maintainer and restorer lines for genetic parameters for eleven traits, namely days to 50% flowering, days to maturity, plant height, stem girth, head diameter, </w:t>
            </w:r>
            <w:commentRangeStart w:id="0"/>
            <w:r w:rsidR="000E6621" w:rsidRPr="000E6621">
              <w:rPr>
                <w:rFonts w:ascii="Arial" w:eastAsia="Calibri" w:hAnsi="Arial" w:cs="Arial"/>
                <w:szCs w:val="22"/>
              </w:rPr>
              <w:t>head diameter</w:t>
            </w:r>
            <w:commentRangeEnd w:id="0"/>
            <w:r w:rsidR="00D949A1">
              <w:rPr>
                <w:rStyle w:val="CommentReference"/>
                <w:rFonts w:ascii="Times New Roman" w:hAnsi="Times New Roman"/>
                <w:lang w:val="nb-NO" w:eastAsia="nb-NO"/>
              </w:rPr>
              <w:commentReference w:id="0"/>
            </w:r>
            <w:r w:rsidR="000E6621" w:rsidRPr="000E6621">
              <w:rPr>
                <w:rFonts w:ascii="Arial" w:eastAsia="Calibri" w:hAnsi="Arial" w:cs="Arial"/>
                <w:szCs w:val="22"/>
              </w:rPr>
              <w:t>, volume weight, hundred seed weight, seed yield per plant, oil content, hull content and oil yield per plant.</w:t>
            </w:r>
          </w:p>
          <w:p w14:paraId="7C0D1C32" w14:textId="74141C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E6621">
              <w:rPr>
                <w:rFonts w:ascii="Arial" w:eastAsia="Calibri" w:hAnsi="Arial" w:cs="Arial"/>
                <w:szCs w:val="22"/>
              </w:rPr>
              <w:t>Augmented RCBD with 12 blocks</w:t>
            </w:r>
            <w:r w:rsidR="00E2743C">
              <w:rPr>
                <w:rFonts w:ascii="Arial" w:eastAsia="Calibri" w:hAnsi="Arial" w:cs="Arial"/>
                <w:szCs w:val="22"/>
              </w:rPr>
              <w:t xml:space="preserve"> was followed</w:t>
            </w:r>
            <w:r w:rsidRPr="00BA1B01">
              <w:rPr>
                <w:rFonts w:ascii="Arial" w:eastAsia="Calibri" w:hAnsi="Arial" w:cs="Arial"/>
                <w:szCs w:val="22"/>
              </w:rPr>
              <w:t>.</w:t>
            </w:r>
          </w:p>
          <w:p w14:paraId="1DFFA114" w14:textId="43B6E5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E6621" w:rsidRPr="000E6621">
              <w:rPr>
                <w:rFonts w:ascii="Arial" w:eastAsia="Calibri" w:hAnsi="Arial" w:cs="Arial"/>
                <w:szCs w:val="22"/>
              </w:rPr>
              <w:t>The experiment was conducted during late Rabi-</w:t>
            </w:r>
            <w:r w:rsidR="00262DD9">
              <w:rPr>
                <w:rFonts w:ascii="Arial" w:eastAsia="Calibri" w:hAnsi="Arial" w:cs="Arial"/>
                <w:szCs w:val="22"/>
              </w:rPr>
              <w:t>2022</w:t>
            </w:r>
            <w:r w:rsidR="000E6621" w:rsidRPr="000E6621">
              <w:rPr>
                <w:rFonts w:ascii="Arial" w:eastAsia="Calibri" w:hAnsi="Arial" w:cs="Arial"/>
                <w:szCs w:val="22"/>
              </w:rPr>
              <w:t xml:space="preserve"> at </w:t>
            </w:r>
            <w:commentRangeStart w:id="1"/>
            <w:r w:rsidR="000E6621" w:rsidRPr="000E6621">
              <w:rPr>
                <w:rFonts w:ascii="Arial" w:eastAsia="Calibri" w:hAnsi="Arial" w:cs="Arial"/>
                <w:szCs w:val="22"/>
              </w:rPr>
              <w:t>AICRP</w:t>
            </w:r>
            <w:commentRangeEnd w:id="1"/>
            <w:r w:rsidR="00D949A1">
              <w:rPr>
                <w:rStyle w:val="CommentReference"/>
                <w:rFonts w:ascii="Times New Roman" w:hAnsi="Times New Roman"/>
                <w:lang w:val="nb-NO" w:eastAsia="nb-NO"/>
              </w:rPr>
              <w:commentReference w:id="1"/>
            </w:r>
            <w:r w:rsidR="000E6621" w:rsidRPr="000E6621">
              <w:rPr>
                <w:rFonts w:ascii="Arial" w:eastAsia="Calibri" w:hAnsi="Arial" w:cs="Arial"/>
                <w:szCs w:val="22"/>
              </w:rPr>
              <w:t xml:space="preserve"> on Sunflower, </w:t>
            </w:r>
            <w:commentRangeStart w:id="2"/>
            <w:r w:rsidR="000E6621" w:rsidRPr="000E6621">
              <w:rPr>
                <w:rFonts w:ascii="Arial" w:eastAsia="Calibri" w:hAnsi="Arial" w:cs="Arial"/>
                <w:szCs w:val="22"/>
              </w:rPr>
              <w:t>ZARS</w:t>
            </w:r>
            <w:commentRangeEnd w:id="2"/>
            <w:r w:rsidR="00D949A1">
              <w:rPr>
                <w:rStyle w:val="CommentReference"/>
                <w:rFonts w:ascii="Times New Roman" w:hAnsi="Times New Roman"/>
                <w:lang w:val="nb-NO" w:eastAsia="nb-NO"/>
              </w:rPr>
              <w:commentReference w:id="2"/>
            </w:r>
            <w:r w:rsidR="000E6621" w:rsidRPr="000E6621">
              <w:rPr>
                <w:rFonts w:ascii="Arial" w:eastAsia="Calibri" w:hAnsi="Arial" w:cs="Arial"/>
                <w:szCs w:val="22"/>
              </w:rPr>
              <w:t xml:space="preserve">, University of Agricultural Sciences, GKVK, Bangalore. </w:t>
            </w:r>
          </w:p>
          <w:p w14:paraId="72D339EE" w14:textId="414ABA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E6621" w:rsidRPr="000E6621">
              <w:rPr>
                <w:rFonts w:ascii="Arial" w:eastAsia="Calibri" w:hAnsi="Arial" w:cs="Arial"/>
                <w:szCs w:val="22"/>
              </w:rPr>
              <w:t xml:space="preserve">A total of </w:t>
            </w:r>
            <w:proofErr w:type="spellStart"/>
            <w:r w:rsidR="000E6621" w:rsidRPr="000E6621">
              <w:rPr>
                <w:rFonts w:ascii="Arial" w:eastAsia="Calibri" w:hAnsi="Arial" w:cs="Arial"/>
                <w:szCs w:val="22"/>
              </w:rPr>
              <w:t>of</w:t>
            </w:r>
            <w:proofErr w:type="spellEnd"/>
            <w:r w:rsidR="000E6621" w:rsidRPr="000E6621">
              <w:rPr>
                <w:rFonts w:ascii="Arial" w:eastAsia="Calibri" w:hAnsi="Arial" w:cs="Arial"/>
                <w:szCs w:val="22"/>
              </w:rPr>
              <w:t xml:space="preserve"> 121 maintainer lines and 17 restorer lines along with 5 checks (CMS-17B, CMS-234B, ARM 243B, RHA-6D-1 and RHA-1-1) were evaluated.</w:t>
            </w:r>
          </w:p>
          <w:p w14:paraId="2C624C1C" w14:textId="312BDB2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E6621" w:rsidRPr="000E6621">
              <w:rPr>
                <w:rFonts w:ascii="Arial" w:eastAsia="Calibri" w:hAnsi="Arial" w:cs="Arial"/>
                <w:szCs w:val="22"/>
              </w:rPr>
              <w:t xml:space="preserve">The analysis of variance (ANOVA) revealed significant differences among </w:t>
            </w:r>
            <w:r w:rsidR="00E2743C">
              <w:rPr>
                <w:rFonts w:ascii="Arial" w:eastAsia="Calibri" w:hAnsi="Arial" w:cs="Arial"/>
                <w:szCs w:val="22"/>
              </w:rPr>
              <w:t>maintainer and restorer lines</w:t>
            </w:r>
            <w:r w:rsidR="000E6621" w:rsidRPr="000E6621">
              <w:rPr>
                <w:rFonts w:ascii="Arial" w:eastAsia="Calibri" w:hAnsi="Arial" w:cs="Arial"/>
                <w:szCs w:val="22"/>
              </w:rPr>
              <w:t xml:space="preserve"> for all traits studied. Considerable variability was recorded for seed yield per plant and oil yield per plant followed by plant height. Moderate variation was noted for all other traits except for days to 50% flowering, days to maturity and oil content. The narrow difference between GCV and PCV for all characters suggested minimal environmental influence on trait expression. </w:t>
            </w:r>
            <w:commentRangeStart w:id="3"/>
            <w:r w:rsidR="000E6621" w:rsidRPr="000E6621">
              <w:rPr>
                <w:rFonts w:ascii="Arial" w:eastAsia="Calibri" w:hAnsi="Arial" w:cs="Arial"/>
                <w:szCs w:val="22"/>
              </w:rPr>
              <w:t>High heritability coupled with high genetic advance as a percentage of the mean was observed for plant height, stem girth, head diameter, volume weight, hundred seed weight, seed yield per plant, hull content and oil yield per plant indicating the predominance of additive gene action and the effec</w:t>
            </w:r>
            <w:commentRangeEnd w:id="3"/>
            <w:r w:rsidR="00D949A1">
              <w:rPr>
                <w:rStyle w:val="CommentReference"/>
                <w:rFonts w:ascii="Times New Roman" w:hAnsi="Times New Roman"/>
                <w:lang w:val="nb-NO" w:eastAsia="nb-NO"/>
              </w:rPr>
              <w:commentReference w:id="3"/>
            </w:r>
            <w:r w:rsidR="000E6621" w:rsidRPr="000E6621">
              <w:rPr>
                <w:rFonts w:ascii="Arial" w:eastAsia="Calibri" w:hAnsi="Arial" w:cs="Arial"/>
                <w:szCs w:val="22"/>
              </w:rPr>
              <w:t xml:space="preserve">tiveness of simple phenotypic selection for these traits. Conversely, high heritability combined with low genetic advance for days to 50 % flowering, days to maturity and oil content suggested the role of non-additive gene action, implying limited potential for improvement through individual plant selection. </w:t>
            </w:r>
          </w:p>
          <w:p w14:paraId="13C3F5A2" w14:textId="12164B36" w:rsidR="00505F06" w:rsidRPr="000E6621" w:rsidRDefault="00BA1B01" w:rsidP="00441B6F">
            <w:pPr>
              <w:pStyle w:val="Body"/>
              <w:spacing w:after="0"/>
              <w:rPr>
                <w:rFonts w:ascii="Arial" w:eastAsia="Calibri" w:hAnsi="Arial" w:cs="Arial"/>
                <w:b/>
                <w:bCs/>
                <w:szCs w:val="22"/>
              </w:rPr>
            </w:pPr>
            <w:commentRangeStart w:id="4"/>
            <w:r w:rsidRPr="00BA1B01">
              <w:rPr>
                <w:rFonts w:ascii="Arial" w:eastAsia="Calibri" w:hAnsi="Arial" w:cs="Arial"/>
                <w:b/>
                <w:bCs/>
                <w:szCs w:val="22"/>
              </w:rPr>
              <w:t>Conclusion:</w:t>
            </w:r>
            <w:r w:rsidRPr="00BA1B01">
              <w:rPr>
                <w:rFonts w:ascii="Arial" w:eastAsia="Calibri" w:hAnsi="Arial" w:cs="Arial"/>
                <w:szCs w:val="22"/>
              </w:rPr>
              <w:t xml:space="preserve"> </w:t>
            </w:r>
            <w:commentRangeEnd w:id="4"/>
            <w:r w:rsidR="00D949A1">
              <w:rPr>
                <w:rStyle w:val="CommentReference"/>
                <w:rFonts w:ascii="Times New Roman" w:hAnsi="Times New Roman"/>
                <w:lang w:val="nb-NO" w:eastAsia="nb-NO"/>
              </w:rPr>
              <w:commentReference w:id="4"/>
            </w:r>
            <w:r w:rsidR="000E6621" w:rsidRPr="000E6621">
              <w:rPr>
                <w:rFonts w:ascii="Arial" w:eastAsia="Calibri" w:hAnsi="Arial" w:cs="Arial"/>
                <w:szCs w:val="22"/>
              </w:rPr>
              <w:t>Overall, the findings indicate that the experimental material possesses substantial genetic variability, which can be effectively utilized in future crop improvement programs.</w:t>
            </w:r>
          </w:p>
        </w:tc>
      </w:tr>
    </w:tbl>
    <w:p w14:paraId="58CE0BD4" w14:textId="6778F841" w:rsidR="000E6621" w:rsidRDefault="00A24E7E" w:rsidP="00441B6F">
      <w:pPr>
        <w:pStyle w:val="Body"/>
        <w:spacing w:after="0"/>
        <w:rPr>
          <w:rFonts w:ascii="Arial" w:hAnsi="Arial" w:cs="Arial"/>
          <w:i/>
        </w:rPr>
      </w:pPr>
      <w:r>
        <w:rPr>
          <w:rFonts w:ascii="Arial" w:hAnsi="Arial" w:cs="Arial"/>
          <w:i/>
        </w:rPr>
        <w:t xml:space="preserve">Keywords: </w:t>
      </w:r>
      <w:r w:rsidR="000E6621">
        <w:rPr>
          <w:rFonts w:ascii="Arial" w:hAnsi="Arial" w:cs="Arial"/>
          <w:i/>
        </w:rPr>
        <w:t>Sunflower;</w:t>
      </w:r>
      <w:r w:rsidR="00D86822">
        <w:rPr>
          <w:rFonts w:ascii="Arial" w:hAnsi="Arial" w:cs="Arial"/>
          <w:i/>
        </w:rPr>
        <w:t xml:space="preserve"> inbred;</w:t>
      </w:r>
      <w:r w:rsidR="000E6621">
        <w:rPr>
          <w:rFonts w:ascii="Arial" w:hAnsi="Arial" w:cs="Arial"/>
          <w:i/>
        </w:rPr>
        <w:t xml:space="preserve"> maintainer; restorer; variability; seed yield; oil yield</w:t>
      </w:r>
    </w:p>
    <w:p w14:paraId="6F21BAA2" w14:textId="01DA3316" w:rsidR="00B044EA" w:rsidRPr="00FB3A86" w:rsidRDefault="00902823" w:rsidP="00B044EA">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AF839D" w14:textId="165F1F23" w:rsidR="000E6621" w:rsidRPr="000E6621" w:rsidRDefault="000E6621" w:rsidP="00B044EA">
      <w:pPr>
        <w:pStyle w:val="Body"/>
        <w:spacing w:before="240"/>
        <w:rPr>
          <w:rFonts w:ascii="Arial" w:hAnsi="Arial" w:cs="Arial"/>
        </w:rPr>
      </w:pPr>
      <w:r w:rsidRPr="000E6621">
        <w:rPr>
          <w:rFonts w:ascii="Arial" w:hAnsi="Arial" w:cs="Arial"/>
        </w:rPr>
        <w:t xml:space="preserve">Sunflower is an annual plant in the genus </w:t>
      </w:r>
      <w:r w:rsidRPr="000E6621">
        <w:rPr>
          <w:rFonts w:ascii="Arial" w:hAnsi="Arial" w:cs="Arial"/>
          <w:i/>
          <w:iCs/>
        </w:rPr>
        <w:t>Helianthus</w:t>
      </w:r>
      <w:r w:rsidRPr="000E6621">
        <w:rPr>
          <w:rFonts w:ascii="Arial" w:hAnsi="Arial" w:cs="Arial"/>
        </w:rPr>
        <w:t xml:space="preserve">, belongs to the Asteraceae family, tribe </w:t>
      </w:r>
      <w:proofErr w:type="spellStart"/>
      <w:r w:rsidRPr="00B044EA">
        <w:rPr>
          <w:rFonts w:ascii="Arial" w:hAnsi="Arial" w:cs="Arial"/>
          <w:i/>
          <w:iCs/>
        </w:rPr>
        <w:t>Helianthae</w:t>
      </w:r>
      <w:proofErr w:type="spellEnd"/>
      <w:r w:rsidRPr="000E6621">
        <w:rPr>
          <w:rFonts w:ascii="Arial" w:hAnsi="Arial" w:cs="Arial"/>
        </w:rPr>
        <w:t xml:space="preserve">. The genus </w:t>
      </w:r>
      <w:r w:rsidRPr="00B044EA">
        <w:rPr>
          <w:rFonts w:ascii="Arial" w:hAnsi="Arial" w:cs="Arial"/>
          <w:i/>
          <w:iCs/>
        </w:rPr>
        <w:t>Helianthus</w:t>
      </w:r>
      <w:r w:rsidRPr="000E6621">
        <w:rPr>
          <w:rFonts w:ascii="Arial" w:hAnsi="Arial" w:cs="Arial"/>
        </w:rPr>
        <w:t xml:space="preserve"> comprises of about 65 different species </w:t>
      </w:r>
      <w:r>
        <w:rPr>
          <w:rFonts w:ascii="Arial" w:hAnsi="Arial" w:cs="Arial"/>
        </w:rPr>
        <w:t>[1</w:t>
      </w:r>
      <w:commentRangeStart w:id="5"/>
      <w:r>
        <w:rPr>
          <w:rFonts w:ascii="Arial" w:hAnsi="Arial" w:cs="Arial"/>
        </w:rPr>
        <w:t>]</w:t>
      </w:r>
      <w:r w:rsidRPr="000E6621">
        <w:rPr>
          <w:rFonts w:ascii="Arial" w:hAnsi="Arial" w:cs="Arial"/>
        </w:rPr>
        <w:t xml:space="preserve">. Among which, </w:t>
      </w:r>
      <w:r w:rsidRPr="00235320">
        <w:rPr>
          <w:rFonts w:ascii="Arial" w:hAnsi="Arial" w:cs="Arial"/>
          <w:i/>
          <w:iCs/>
        </w:rPr>
        <w:t>Helianthus annuus</w:t>
      </w:r>
      <w:r w:rsidRPr="000E6621">
        <w:rPr>
          <w:rFonts w:ascii="Arial" w:hAnsi="Arial" w:cs="Arial"/>
        </w:rPr>
        <w:t xml:space="preserve"> (2n=2x=34) and </w:t>
      </w:r>
      <w:r w:rsidRPr="00235320">
        <w:rPr>
          <w:rFonts w:ascii="Arial" w:hAnsi="Arial" w:cs="Arial"/>
          <w:i/>
          <w:iCs/>
        </w:rPr>
        <w:t>Helianthus tuberosus</w:t>
      </w:r>
      <w:r w:rsidRPr="000E6621">
        <w:rPr>
          <w:rFonts w:ascii="Arial" w:hAnsi="Arial" w:cs="Arial"/>
        </w:rPr>
        <w:t xml:space="preserve"> (2n=6x=102) are the only cultivated species</w:t>
      </w:r>
      <w:r w:rsidR="00B044EA">
        <w:rPr>
          <w:rFonts w:ascii="Arial" w:hAnsi="Arial" w:cs="Arial"/>
        </w:rPr>
        <w:t xml:space="preserve"> [2]</w:t>
      </w:r>
      <w:r w:rsidRPr="000E6621">
        <w:rPr>
          <w:rFonts w:ascii="Arial" w:hAnsi="Arial" w:cs="Arial"/>
        </w:rPr>
        <w:t xml:space="preserve">. The interior mid-latitudes of eastern North America </w:t>
      </w:r>
      <w:proofErr w:type="gramStart"/>
      <w:r w:rsidRPr="000E6621">
        <w:rPr>
          <w:rFonts w:ascii="Arial" w:hAnsi="Arial" w:cs="Arial"/>
        </w:rPr>
        <w:t>is</w:t>
      </w:r>
      <w:proofErr w:type="gramEnd"/>
      <w:r w:rsidRPr="000E6621">
        <w:rPr>
          <w:rFonts w:ascii="Arial" w:hAnsi="Arial" w:cs="Arial"/>
        </w:rPr>
        <w:t xml:space="preserve"> believed to be the </w:t>
      </w:r>
      <w:r w:rsidR="00B044EA" w:rsidRPr="000E6621">
        <w:rPr>
          <w:rFonts w:ascii="Arial" w:hAnsi="Arial" w:cs="Arial"/>
        </w:rPr>
        <w:t>center</w:t>
      </w:r>
      <w:r w:rsidRPr="000E6621">
        <w:rPr>
          <w:rFonts w:ascii="Arial" w:hAnsi="Arial" w:cs="Arial"/>
        </w:rPr>
        <w:t xml:space="preserve"> of domestication of all modern sunflower species, which are domesticated</w:t>
      </w:r>
      <w:commentRangeEnd w:id="5"/>
      <w:r w:rsidR="00AE4C05">
        <w:rPr>
          <w:rStyle w:val="CommentReference"/>
          <w:rFonts w:ascii="Times New Roman" w:hAnsi="Times New Roman"/>
          <w:lang w:val="nb-NO" w:eastAsia="nb-NO"/>
        </w:rPr>
        <w:commentReference w:id="5"/>
      </w:r>
      <w:r w:rsidRPr="000E6621">
        <w:rPr>
          <w:rFonts w:ascii="Arial" w:hAnsi="Arial" w:cs="Arial"/>
        </w:rPr>
        <w:t>. Sunflowers were domesticated and subjected to the first stage of breeding when they were first grown by Native Americans more than 4,000 years ago. The production of sunflower as an oilseed crop around the world has improved due to its ability to adapt to various climatic and soil conditions</w:t>
      </w:r>
      <w:r w:rsidR="00B044EA">
        <w:rPr>
          <w:rFonts w:ascii="Arial" w:hAnsi="Arial" w:cs="Arial"/>
        </w:rPr>
        <w:t xml:space="preserve"> [3]</w:t>
      </w:r>
      <w:r w:rsidRPr="000E6621">
        <w:rPr>
          <w:rFonts w:ascii="Arial" w:hAnsi="Arial" w:cs="Arial"/>
        </w:rPr>
        <w:t xml:space="preserve">. The sunflower has been identified as a significant source of high-quality edible oil that is eminently </w:t>
      </w:r>
      <w:r w:rsidR="00B044EA" w:rsidRPr="000E6621">
        <w:rPr>
          <w:rFonts w:ascii="Arial" w:hAnsi="Arial" w:cs="Arial"/>
        </w:rPr>
        <w:t>utilized</w:t>
      </w:r>
      <w:r w:rsidRPr="000E6621">
        <w:rPr>
          <w:rFonts w:ascii="Arial" w:hAnsi="Arial" w:cs="Arial"/>
        </w:rPr>
        <w:t xml:space="preserve"> for culinary reasons among the most important three oilseed crops in the world such as soybean, sunflower and rapeseed</w:t>
      </w:r>
      <w:r w:rsidR="00B044EA">
        <w:rPr>
          <w:rFonts w:ascii="Arial" w:hAnsi="Arial" w:cs="Arial"/>
        </w:rPr>
        <w:t xml:space="preserve"> [4]. </w:t>
      </w:r>
      <w:r w:rsidRPr="000E6621">
        <w:rPr>
          <w:rFonts w:ascii="Arial" w:hAnsi="Arial" w:cs="Arial"/>
        </w:rPr>
        <w:t xml:space="preserve">Sunflower has become an important edible oilseed crop in India due to its short duration (85-100 days), </w:t>
      </w:r>
      <w:r w:rsidRPr="000E6621">
        <w:rPr>
          <w:rFonts w:ascii="Arial" w:hAnsi="Arial" w:cs="Arial"/>
        </w:rPr>
        <w:lastRenderedPageBreak/>
        <w:t>wider adaptability, high yielding potential, less photosensitivity, cross pollinated nature and remunerative market price.</w:t>
      </w:r>
    </w:p>
    <w:p w14:paraId="4CA8C46D" w14:textId="75130054" w:rsidR="00790ADA" w:rsidRDefault="000E6621" w:rsidP="000E6621">
      <w:pPr>
        <w:pStyle w:val="Body"/>
        <w:spacing w:after="0"/>
        <w:rPr>
          <w:rFonts w:ascii="Arial" w:hAnsi="Arial" w:cs="Arial"/>
        </w:rPr>
      </w:pPr>
      <w:r w:rsidRPr="000E6621">
        <w:rPr>
          <w:rFonts w:ascii="Arial" w:hAnsi="Arial" w:cs="Arial"/>
        </w:rPr>
        <w:t>Information on variability and heritability is essential to formulate selection criteria for carrying out any plant breeding activity. Heritability estimates in addition to genetic advance is a more reliable measure in estimating the expected progress/performance to be achieved during the course of selection. Hence, variability existing in a gene pool of any                                                                                  crop species is crucial to plant breeder. The coefficients of variation expressed at phenotypic and genotypic levels are used to compare the variability among different traits for selection of the superior genotype. A wide range of variation has been reported for seed number and seed yield</w:t>
      </w:r>
      <w:r w:rsidR="00B044EA">
        <w:rPr>
          <w:rFonts w:ascii="Arial" w:hAnsi="Arial" w:cs="Arial"/>
        </w:rPr>
        <w:t xml:space="preserve"> </w:t>
      </w:r>
      <w:r w:rsidRPr="000E6621">
        <w:rPr>
          <w:rFonts w:ascii="Arial" w:hAnsi="Arial" w:cs="Arial"/>
        </w:rPr>
        <w:t xml:space="preserve">and other important seed yield attributing traits </w:t>
      </w:r>
      <w:r w:rsidR="00B044EA">
        <w:rPr>
          <w:rFonts w:ascii="Arial" w:hAnsi="Arial" w:cs="Arial"/>
        </w:rPr>
        <w:t>[</w:t>
      </w:r>
      <w:r w:rsidR="00F548AA">
        <w:rPr>
          <w:rFonts w:ascii="Arial" w:hAnsi="Arial" w:cs="Arial"/>
        </w:rPr>
        <w:t>5</w:t>
      </w:r>
      <w:r w:rsidR="00B044EA">
        <w:rPr>
          <w:rFonts w:ascii="Arial" w:hAnsi="Arial" w:cs="Arial"/>
        </w:rPr>
        <w:t>]</w:t>
      </w:r>
      <w:r w:rsidRPr="000E6621">
        <w:rPr>
          <w:rFonts w:ascii="Arial" w:hAnsi="Arial" w:cs="Arial"/>
        </w:rPr>
        <w:t xml:space="preserve"> in sunflower. The heritability estimates help in estimating the relative quantity of heritable portion in variation and thus help plant breeder in selecting the elite lines from a diverse population. However, the heritability estimates in association with genetic advance are more useful in predicting the gain under selection than estimates of heritability alone.</w:t>
      </w:r>
    </w:p>
    <w:p w14:paraId="6C6AC058" w14:textId="23B7933A" w:rsidR="00B044EA" w:rsidRPr="00FB3A86" w:rsidRDefault="00B044EA" w:rsidP="00B044EA">
      <w:pPr>
        <w:pStyle w:val="Body"/>
        <w:spacing w:before="240"/>
        <w:rPr>
          <w:rFonts w:ascii="Arial" w:hAnsi="Arial" w:cs="Arial"/>
        </w:rPr>
      </w:pPr>
      <w:r w:rsidRPr="00B044EA">
        <w:rPr>
          <w:rFonts w:ascii="Arial" w:hAnsi="Arial" w:cs="Arial"/>
        </w:rPr>
        <w:t xml:space="preserve">Considering the significance of the above aspects, the present study was carried out to assess genetic variability, heritability and genetic advance among sunflower </w:t>
      </w:r>
      <w:r>
        <w:rPr>
          <w:rFonts w:ascii="Arial" w:hAnsi="Arial" w:cs="Arial"/>
        </w:rPr>
        <w:t>maintainer and restorer</w:t>
      </w:r>
      <w:r w:rsidRPr="00B044EA">
        <w:rPr>
          <w:rFonts w:ascii="Arial" w:hAnsi="Arial" w:cs="Arial"/>
        </w:rPr>
        <w:t xml:space="preserve"> lines for </w:t>
      </w:r>
      <w:r>
        <w:rPr>
          <w:rFonts w:ascii="Arial" w:hAnsi="Arial" w:cs="Arial"/>
        </w:rPr>
        <w:t xml:space="preserve">seed </w:t>
      </w:r>
      <w:r w:rsidRPr="00B044EA">
        <w:rPr>
          <w:rFonts w:ascii="Arial" w:hAnsi="Arial" w:cs="Arial"/>
        </w:rPr>
        <w:t>yield</w:t>
      </w:r>
      <w:r>
        <w:rPr>
          <w:rFonts w:ascii="Arial" w:hAnsi="Arial" w:cs="Arial"/>
        </w:rPr>
        <w:t>, oil yield</w:t>
      </w:r>
      <w:r w:rsidRPr="00B044EA">
        <w:rPr>
          <w:rFonts w:ascii="Arial" w:hAnsi="Arial" w:cs="Arial"/>
        </w:rPr>
        <w:t xml:space="preserve"> and its contributing traits.</w:t>
      </w:r>
    </w:p>
    <w:p w14:paraId="01846DA2" w14:textId="3B86A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996E666" w14:textId="5D74C2AA" w:rsidR="00B044EA" w:rsidRDefault="00B044EA" w:rsidP="00B044EA">
      <w:pPr>
        <w:pStyle w:val="Body"/>
        <w:spacing w:before="240" w:after="0"/>
        <w:rPr>
          <w:rFonts w:ascii="Arial" w:hAnsi="Arial" w:cs="Arial"/>
        </w:rPr>
      </w:pPr>
      <w:commentRangeStart w:id="6"/>
      <w:r w:rsidRPr="00B044EA">
        <w:rPr>
          <w:rFonts w:ascii="Arial" w:hAnsi="Arial" w:cs="Arial"/>
        </w:rPr>
        <w:t>The present study was conducted during late Rabi-</w:t>
      </w:r>
      <w:r w:rsidR="00262DD9">
        <w:rPr>
          <w:rFonts w:ascii="Arial" w:hAnsi="Arial" w:cs="Arial"/>
        </w:rPr>
        <w:t>2022</w:t>
      </w:r>
      <w:r w:rsidRPr="00B044EA">
        <w:rPr>
          <w:rFonts w:ascii="Arial" w:hAnsi="Arial" w:cs="Arial"/>
        </w:rPr>
        <w:t xml:space="preserve"> at AICRP on Sunflower</w:t>
      </w:r>
      <w:commentRangeEnd w:id="6"/>
      <w:r w:rsidR="00354941">
        <w:rPr>
          <w:rStyle w:val="CommentReference"/>
          <w:rFonts w:ascii="Times New Roman" w:hAnsi="Times New Roman"/>
          <w:lang w:val="nb-NO" w:eastAsia="nb-NO"/>
        </w:rPr>
        <w:commentReference w:id="6"/>
      </w:r>
      <w:r w:rsidRPr="00B044EA">
        <w:rPr>
          <w:rFonts w:ascii="Arial" w:hAnsi="Arial" w:cs="Arial"/>
        </w:rPr>
        <w:t>, ZARS, University of Agricultural Sciences, GKVK, Bangalore. The experimental material for the present investigation comprised of newly developed</w:t>
      </w:r>
      <w:r w:rsidR="00D86822">
        <w:rPr>
          <w:rFonts w:ascii="Arial" w:hAnsi="Arial" w:cs="Arial"/>
        </w:rPr>
        <w:t xml:space="preserve"> inbred lines, </w:t>
      </w:r>
      <w:r w:rsidR="00D86822" w:rsidRPr="00D86822">
        <w:rPr>
          <w:rFonts w:ascii="Arial" w:hAnsi="Arial" w:cs="Arial"/>
          <w:i/>
          <w:iCs/>
        </w:rPr>
        <w:t>i.e</w:t>
      </w:r>
      <w:r w:rsidR="00D86822">
        <w:rPr>
          <w:rFonts w:ascii="Arial" w:hAnsi="Arial" w:cs="Arial"/>
        </w:rPr>
        <w:t>.,</w:t>
      </w:r>
      <w:r w:rsidRPr="00B044EA">
        <w:rPr>
          <w:rFonts w:ascii="Arial" w:hAnsi="Arial" w:cs="Arial"/>
        </w:rPr>
        <w:t xml:space="preserve"> 121 maintainer lines and 17 restorer lines along with 5 checks (three maintainer lines: CMS-17B, CMS-234B and ARM 243B; two restorer lines: RHA-6D-1 and RHA-1-1) obtained from </w:t>
      </w:r>
      <w:commentRangeStart w:id="7"/>
      <w:r w:rsidRPr="00B044EA">
        <w:rPr>
          <w:rFonts w:ascii="Arial" w:hAnsi="Arial" w:cs="Arial"/>
        </w:rPr>
        <w:t>IIOR</w:t>
      </w:r>
      <w:commentRangeEnd w:id="7"/>
      <w:r w:rsidR="00AE4C05">
        <w:rPr>
          <w:rStyle w:val="CommentReference"/>
          <w:rFonts w:ascii="Times New Roman" w:hAnsi="Times New Roman"/>
          <w:lang w:val="nb-NO" w:eastAsia="nb-NO"/>
        </w:rPr>
        <w:commentReference w:id="7"/>
      </w:r>
      <w:r w:rsidRPr="00B044EA">
        <w:rPr>
          <w:rFonts w:ascii="Arial" w:hAnsi="Arial" w:cs="Arial"/>
        </w:rPr>
        <w:t xml:space="preserve">, Hyderabad. </w:t>
      </w:r>
      <w:commentRangeStart w:id="8"/>
      <w:r w:rsidRPr="00B044EA">
        <w:rPr>
          <w:rFonts w:ascii="Arial" w:hAnsi="Arial" w:cs="Arial"/>
        </w:rPr>
        <w:t xml:space="preserve">The experimental material was sown in 12 blocks of </w:t>
      </w:r>
      <w:commentRangeStart w:id="9"/>
      <w:r w:rsidRPr="00B044EA">
        <w:rPr>
          <w:rFonts w:ascii="Arial" w:hAnsi="Arial" w:cs="Arial"/>
        </w:rPr>
        <w:t xml:space="preserve">Augmented design </w:t>
      </w:r>
      <w:commentRangeEnd w:id="9"/>
      <w:r w:rsidR="00AE4C05">
        <w:rPr>
          <w:rStyle w:val="CommentReference"/>
          <w:rFonts w:ascii="Times New Roman" w:hAnsi="Times New Roman"/>
          <w:lang w:val="nb-NO" w:eastAsia="nb-NO"/>
        </w:rPr>
        <w:commentReference w:id="9"/>
      </w:r>
      <w:r w:rsidRPr="00B044EA">
        <w:rPr>
          <w:rFonts w:ascii="Arial" w:hAnsi="Arial" w:cs="Arial"/>
        </w:rPr>
        <w:t>with five checks repeated in every block for evaluation</w:t>
      </w:r>
      <w:commentRangeEnd w:id="8"/>
      <w:r w:rsidR="00AE4C05">
        <w:rPr>
          <w:rStyle w:val="CommentReference"/>
          <w:rFonts w:ascii="Times New Roman" w:hAnsi="Times New Roman"/>
          <w:lang w:val="nb-NO" w:eastAsia="nb-NO"/>
        </w:rPr>
        <w:commentReference w:id="8"/>
      </w:r>
      <w:r w:rsidRPr="00B044EA">
        <w:rPr>
          <w:rFonts w:ascii="Arial" w:hAnsi="Arial" w:cs="Arial"/>
        </w:rPr>
        <w:t>. Each entry was raised in two rows each of 3m, adopting a spacing of 60 cm between rows and 30 cm between plants. Half of the recommended dose of nitrogen along with the entire dose of phosphorus and potassium was applied at the time of sowing.  Remaining 50 per cent of the nitrogen was top dressed at 30 days after sowing. Crop was grown under irrigation and all the package of practices were followed to raise a good crop.</w:t>
      </w:r>
      <w:r>
        <w:rPr>
          <w:rFonts w:ascii="Arial" w:hAnsi="Arial" w:cs="Arial"/>
        </w:rPr>
        <w:t xml:space="preserve"> </w:t>
      </w:r>
    </w:p>
    <w:p w14:paraId="509B77F1" w14:textId="1304E835" w:rsidR="00D86822" w:rsidRDefault="00B044EA" w:rsidP="00D86822">
      <w:pPr>
        <w:pStyle w:val="Body"/>
        <w:spacing w:before="240" w:after="0"/>
        <w:rPr>
          <w:rFonts w:ascii="Arial" w:hAnsi="Arial" w:cs="Arial"/>
        </w:rPr>
      </w:pPr>
      <w:r>
        <w:rPr>
          <w:rFonts w:ascii="Arial" w:hAnsi="Arial" w:cs="Arial"/>
        </w:rPr>
        <w:t xml:space="preserve">Data was recorded </w:t>
      </w:r>
      <w:r w:rsidR="00D86822">
        <w:rPr>
          <w:rFonts w:ascii="Arial" w:hAnsi="Arial" w:cs="Arial"/>
        </w:rPr>
        <w:t xml:space="preserve">as average of each parameter taken </w:t>
      </w:r>
      <w:r>
        <w:rPr>
          <w:rFonts w:ascii="Arial" w:hAnsi="Arial" w:cs="Arial"/>
        </w:rPr>
        <w:t>from five</w:t>
      </w:r>
      <w:r w:rsidRPr="00B044EA">
        <w:rPr>
          <w:rFonts w:ascii="Arial" w:hAnsi="Arial" w:cs="Arial"/>
        </w:rPr>
        <w:t xml:space="preserve"> competitive plants </w:t>
      </w:r>
      <w:r>
        <w:rPr>
          <w:rFonts w:ascii="Arial" w:hAnsi="Arial" w:cs="Arial"/>
        </w:rPr>
        <w:t>of</w:t>
      </w:r>
      <w:r w:rsidRPr="00B044EA">
        <w:rPr>
          <w:rFonts w:ascii="Arial" w:hAnsi="Arial" w:cs="Arial"/>
        </w:rPr>
        <w:t xml:space="preserve"> each inbred line, </w:t>
      </w:r>
      <w:r>
        <w:rPr>
          <w:rFonts w:ascii="Arial" w:hAnsi="Arial" w:cs="Arial"/>
        </w:rPr>
        <w:t xml:space="preserve">which </w:t>
      </w:r>
      <w:r w:rsidRPr="00B044EA">
        <w:rPr>
          <w:rFonts w:ascii="Arial" w:hAnsi="Arial" w:cs="Arial"/>
        </w:rPr>
        <w:t xml:space="preserve">were tagged randomly for recording the observations </w:t>
      </w:r>
      <w:r w:rsidRPr="00B044EA">
        <w:rPr>
          <w:rFonts w:ascii="Arial" w:hAnsi="Arial" w:cs="Arial"/>
          <w:i/>
          <w:iCs/>
        </w:rPr>
        <w:t>viz</w:t>
      </w:r>
      <w:r w:rsidRPr="00B044EA">
        <w:rPr>
          <w:rFonts w:ascii="Arial" w:hAnsi="Arial" w:cs="Arial"/>
        </w:rPr>
        <w:t>., plant height (cm), stem girth (mm), head diameter (cm), volume weight (g per 100 ml), hundred seed weight (g), seed yield per plant (g), oil content (%), hull content (%) and oil yield per plant (g). Days to 50 per cent flowering was recorded in terms of number of days taken from the da</w:t>
      </w:r>
      <w:r w:rsidR="00D4017D">
        <w:rPr>
          <w:rFonts w:ascii="Arial" w:hAnsi="Arial" w:cs="Arial"/>
        </w:rPr>
        <w:t>te</w:t>
      </w:r>
      <w:r w:rsidRPr="00B044EA">
        <w:rPr>
          <w:rFonts w:ascii="Arial" w:hAnsi="Arial" w:cs="Arial"/>
        </w:rPr>
        <w:t xml:space="preserve"> of sowing to the date of opening of ray florets in capitulum of 50% of the plants in each inbred line. Days to maturity was recorded in terms of number of days taken from the da</w:t>
      </w:r>
      <w:r w:rsidR="00A30764">
        <w:rPr>
          <w:rFonts w:ascii="Arial" w:hAnsi="Arial" w:cs="Arial"/>
        </w:rPr>
        <w:t>te</w:t>
      </w:r>
      <w:r w:rsidRPr="00B044EA">
        <w:rPr>
          <w:rFonts w:ascii="Arial" w:hAnsi="Arial" w:cs="Arial"/>
        </w:rPr>
        <w:t xml:space="preserve"> of sowing to the date of harvesting in each inbred line. For </w:t>
      </w:r>
      <w:r w:rsidR="00D86822">
        <w:rPr>
          <w:rFonts w:ascii="Arial" w:hAnsi="Arial" w:cs="Arial"/>
        </w:rPr>
        <w:t xml:space="preserve">the calculation of </w:t>
      </w:r>
      <w:r w:rsidRPr="00B044EA">
        <w:rPr>
          <w:rFonts w:ascii="Arial" w:hAnsi="Arial" w:cs="Arial"/>
        </w:rPr>
        <w:t>volume weight, the weight of 100 ml of well-filled seeds was recorded on dry weight basis after threshing and cleaning using 100ml volumetric flask. Oil content was measured by using NMR (Nuclear Magnetic Resonance) spectrometer, which gives direct values of oil content present in seeds and expressed in percentage.</w:t>
      </w:r>
      <w:r w:rsidR="00D86822">
        <w:rPr>
          <w:rFonts w:ascii="Arial" w:hAnsi="Arial" w:cs="Arial"/>
        </w:rPr>
        <w:t xml:space="preserve"> </w:t>
      </w:r>
    </w:p>
    <w:p w14:paraId="1018D539" w14:textId="797CB439" w:rsidR="00D86822" w:rsidRDefault="00D86822" w:rsidP="00D86822">
      <w:pPr>
        <w:pStyle w:val="Body"/>
        <w:spacing w:before="240" w:after="0"/>
        <w:rPr>
          <w:rFonts w:ascii="Arial" w:hAnsi="Arial" w:cs="Arial"/>
        </w:rPr>
      </w:pPr>
      <w:r w:rsidRPr="00D86822">
        <w:rPr>
          <w:rFonts w:ascii="Arial" w:hAnsi="Arial" w:cs="Arial"/>
        </w:rPr>
        <w:t>From each entry 100 seeds were shelled to calculate hulling percentage</w:t>
      </w:r>
      <w:r w:rsidR="00D4017D">
        <w:rPr>
          <w:rFonts w:ascii="Arial" w:hAnsi="Arial" w:cs="Arial"/>
        </w:rPr>
        <w:t>, which</w:t>
      </w:r>
      <w:r w:rsidRPr="00D86822">
        <w:rPr>
          <w:rFonts w:ascii="Arial" w:hAnsi="Arial" w:cs="Arial"/>
        </w:rPr>
        <w:t xml:space="preserve"> was worked out by using the following formula.</w:t>
      </w:r>
      <w:r>
        <w:rPr>
          <w:rFonts w:ascii="Arial" w:hAnsi="Arial" w:cs="Arial"/>
        </w:rPr>
        <w:t xml:space="preserve"> </w:t>
      </w:r>
    </w:p>
    <w:p w14:paraId="1B0C9474" w14:textId="743DB6AD" w:rsidR="00D86822" w:rsidRDefault="00D86822" w:rsidP="00D86822">
      <w:pPr>
        <w:pStyle w:val="Body"/>
        <w:spacing w:before="240" w:after="0"/>
        <w:rPr>
          <w:rFonts w:ascii="Arial" w:hAnsi="Arial" w:cs="Arial"/>
        </w:rPr>
      </w:pPr>
      <m:oMathPara>
        <m:oMath>
          <m:r>
            <m:rPr>
              <m:nor/>
            </m:rPr>
            <w:rPr>
              <w:rFonts w:ascii="Arial" w:hAnsi="Arial" w:cs="Arial"/>
            </w:rPr>
            <w:lastRenderedPageBreak/>
            <m:t>Hull content (%) =</m:t>
          </m:r>
          <m:f>
            <m:fPr>
              <m:ctrlPr>
                <w:rPr>
                  <w:rFonts w:ascii="Cambria Math" w:hAnsi="Cambria Math" w:cs="Arial"/>
                </w:rPr>
              </m:ctrlPr>
            </m:fPr>
            <m:num>
              <m:r>
                <m:rPr>
                  <m:nor/>
                </m:rPr>
                <w:rPr>
                  <w:rFonts w:ascii="Arial" w:hAnsi="Arial" w:cs="Arial"/>
                </w:rPr>
                <m:t>Hull weight (g)</m:t>
              </m:r>
            </m:num>
            <m:den>
              <m:r>
                <m:rPr>
                  <m:nor/>
                </m:rPr>
                <w:rPr>
                  <w:rFonts w:ascii="Arial" w:hAnsi="Arial" w:cs="Arial"/>
                  <w:iCs/>
                </w:rPr>
                <m:t>Total weight of seed (g)</m:t>
              </m:r>
            </m:den>
          </m:f>
          <m:r>
            <m:rPr>
              <m:nor/>
            </m:rPr>
            <w:rPr>
              <w:rFonts w:ascii="Arial" w:hAnsi="Arial" w:cs="Arial"/>
            </w:rPr>
            <m:t>×100</m:t>
          </m:r>
          <m:r>
            <m:rPr>
              <m:nor/>
            </m:rPr>
            <w:rPr>
              <w:rFonts w:ascii="Arial" w:hAnsi="Arial" w:cs="Arial"/>
            </w:rPr>
            <w:br/>
          </m:r>
        </m:oMath>
      </m:oMathPara>
      <w:r w:rsidRPr="00D86822">
        <w:rPr>
          <w:rFonts w:ascii="Arial" w:hAnsi="Arial" w:cs="Arial"/>
        </w:rPr>
        <w:t>Oil yield per plant was calculated by using formula:</w:t>
      </w:r>
    </w:p>
    <w:p w14:paraId="655F6118" w14:textId="24F51C6B" w:rsidR="000605BA" w:rsidRPr="000605BA" w:rsidRDefault="00D86822" w:rsidP="00D86822">
      <w:pPr>
        <w:pStyle w:val="Body"/>
        <w:spacing w:before="240" w:after="0"/>
        <w:rPr>
          <w:rFonts w:ascii="Arial" w:hAnsi="Arial" w:cs="Arial"/>
        </w:rPr>
      </w:pPr>
      <m:oMathPara>
        <m:oMath>
          <m:r>
            <m:rPr>
              <m:nor/>
            </m:rPr>
            <w:rPr>
              <w:rFonts w:ascii="Arial" w:hAnsi="Arial" w:cs="Arial"/>
            </w:rPr>
            <m:t xml:space="preserve">Oil yield per </m:t>
          </m:r>
          <m:r>
            <m:rPr>
              <m:nor/>
            </m:rPr>
            <w:rPr>
              <w:rFonts w:ascii="Arial" w:eastAsiaTheme="minorEastAsia" w:hAnsi="Arial" w:cs="Arial"/>
              <w:iCs/>
            </w:rPr>
            <m:t>plant</m:t>
          </m:r>
          <m:r>
            <m:rPr>
              <m:nor/>
            </m:rPr>
            <w:rPr>
              <w:rFonts w:ascii="Arial" w:eastAsiaTheme="minorEastAsia" w:hAnsi="Arial" w:cs="Arial"/>
              <w:iCs/>
              <w:vertAlign w:val="superscript"/>
            </w:rPr>
            <m:t xml:space="preserve"> </m:t>
          </m:r>
          <m:r>
            <m:rPr>
              <m:nor/>
            </m:rPr>
            <w:rPr>
              <w:rFonts w:ascii="Arial" w:hAnsi="Arial" w:cs="Arial"/>
            </w:rPr>
            <m:t>(g) =</m:t>
          </m:r>
          <m:f>
            <m:fPr>
              <m:ctrlPr>
                <w:rPr>
                  <w:rFonts w:ascii="Cambria Math" w:hAnsi="Cambria Math" w:cs="Arial"/>
                </w:rPr>
              </m:ctrlPr>
            </m:fPr>
            <m:num>
              <m:r>
                <m:rPr>
                  <m:nor/>
                </m:rPr>
                <w:rPr>
                  <w:rFonts w:ascii="Arial" w:hAnsi="Arial" w:cs="Arial"/>
                </w:rPr>
                <m:t xml:space="preserve">Seed yield per </m:t>
              </m:r>
              <m:r>
                <m:rPr>
                  <m:nor/>
                </m:rPr>
                <w:rPr>
                  <w:rFonts w:ascii="Arial" w:eastAsiaTheme="minorEastAsia" w:hAnsi="Arial" w:cs="Arial"/>
                  <w:iCs/>
                </w:rPr>
                <m:t xml:space="preserve">plant </m:t>
              </m:r>
              <m:r>
                <m:rPr>
                  <m:nor/>
                </m:rPr>
                <w:rPr>
                  <w:rFonts w:ascii="Arial" w:hAnsi="Arial" w:cs="Arial"/>
                </w:rPr>
                <m:t>(g)×Oil content</m:t>
              </m:r>
            </m:num>
            <m:den>
              <m:r>
                <m:rPr>
                  <m:nor/>
                </m:rPr>
                <w:rPr>
                  <w:rFonts w:ascii="Arial" w:hAnsi="Arial" w:cs="Arial"/>
                  <w:iCs/>
                </w:rPr>
                <m:t>100</m:t>
              </m:r>
            </m:den>
          </m:f>
        </m:oMath>
      </m:oMathPara>
    </w:p>
    <w:p w14:paraId="6A500C29" w14:textId="2828A368" w:rsidR="000605BA" w:rsidRPr="00D86822" w:rsidRDefault="000605BA" w:rsidP="00D86822">
      <w:pPr>
        <w:pStyle w:val="Body"/>
        <w:spacing w:before="240" w:after="0"/>
        <w:rPr>
          <w:rFonts w:ascii="Arial" w:hAnsi="Arial" w:cs="Arial"/>
        </w:rPr>
      </w:pPr>
      <w:r w:rsidRPr="000605BA">
        <w:rPr>
          <w:rFonts w:ascii="Arial" w:hAnsi="Arial" w:cs="Arial"/>
        </w:rPr>
        <w:t xml:space="preserve">The collected data were analyzed using analysis of variance (ANOVA) by using R software </w:t>
      </w:r>
      <w:proofErr w:type="spellStart"/>
      <w:r w:rsidRPr="000605BA">
        <w:rPr>
          <w:rFonts w:ascii="Arial" w:hAnsi="Arial" w:cs="Arial"/>
        </w:rPr>
        <w:t>programme</w:t>
      </w:r>
      <w:proofErr w:type="spellEnd"/>
      <w:r w:rsidRPr="000605BA">
        <w:rPr>
          <w:rFonts w:ascii="Arial" w:hAnsi="Arial" w:cs="Arial"/>
        </w:rPr>
        <w:t xml:space="preserve"> Version. 4.1.1. to determine the significance of variation among genotypes. The F-test was employed to evaluate statistical significance at the 5% and 1% probability levels. Additional analyses involved estimating genetic variability parameters, including absolute range, standardized range, phenotypic and genotypic coefficients of variation (PCV and GCV), heritability (h²) and genetic advance as a percentage of the mean (GAM).</w:t>
      </w:r>
    </w:p>
    <w:p w14:paraId="119158B1" w14:textId="77777777" w:rsidR="00D86822" w:rsidRDefault="00D86822" w:rsidP="00441B6F">
      <w:pPr>
        <w:pStyle w:val="Body"/>
        <w:spacing w:after="0"/>
        <w:rPr>
          <w:rFonts w:ascii="Arial" w:hAnsi="Arial" w:cs="Arial"/>
        </w:rPr>
      </w:pPr>
    </w:p>
    <w:p w14:paraId="5A6D6533" w14:textId="41E73F95" w:rsidR="00790ADA" w:rsidRDefault="002264A3" w:rsidP="00441B6F">
      <w:pPr>
        <w:pStyle w:val="Body"/>
        <w:spacing w:after="0"/>
        <w:rPr>
          <w:rFonts w:ascii="Arial" w:hAnsi="Arial" w:cs="Arial"/>
        </w:rPr>
      </w:pPr>
      <w:r>
        <w:rPr>
          <w:rFonts w:ascii="Arial" w:hAnsi="Arial" w:cs="Arial"/>
        </w:rPr>
        <w:t>Absolute and standardized range were calculated as follows:</w:t>
      </w:r>
    </w:p>
    <w:p w14:paraId="59FAE318" w14:textId="31F201AF" w:rsidR="002264A3" w:rsidRDefault="002264A3" w:rsidP="00D4017D">
      <w:pPr>
        <w:ind w:left="720" w:firstLine="720"/>
        <w:rPr>
          <w:rFonts w:ascii="Arial" w:hAnsi="Arial" w:cs="Arial"/>
          <w:color w:val="000000"/>
          <w:lang w:val="en-IN"/>
        </w:rPr>
      </w:pPr>
      <w:r w:rsidRPr="002264A3">
        <w:rPr>
          <w:rFonts w:ascii="Arial" w:hAnsi="Arial" w:cs="Arial"/>
          <w:color w:val="000000"/>
          <w:lang w:val="en-IN"/>
        </w:rPr>
        <w:t>Absolute range (</w:t>
      </w:r>
      <w:r>
        <w:rPr>
          <w:rFonts w:ascii="Arial" w:hAnsi="Arial" w:cs="Arial"/>
          <w:color w:val="000000"/>
          <w:lang w:val="en-IN"/>
        </w:rPr>
        <w:t>A</w:t>
      </w:r>
      <w:r w:rsidRPr="002264A3">
        <w:rPr>
          <w:rFonts w:ascii="Arial" w:hAnsi="Arial" w:cs="Arial"/>
          <w:color w:val="000000"/>
          <w:lang w:val="en-IN"/>
        </w:rPr>
        <w:t>R) = Maximum value – Minimum value.</w:t>
      </w:r>
    </w:p>
    <w:p w14:paraId="76130632" w14:textId="6CE09D40" w:rsidR="002264A3" w:rsidRPr="002264A3" w:rsidRDefault="002264A3" w:rsidP="00D4017D">
      <w:pPr>
        <w:jc w:val="both"/>
        <w:rPr>
          <w:rFonts w:ascii="Arial" w:hAnsi="Arial" w:cs="Arial"/>
          <w:color w:val="000000"/>
          <w:lang w:val="en-IN"/>
        </w:rPr>
      </w:pPr>
      <w:r w:rsidRPr="00051081">
        <w:rPr>
          <w:rFonts w:ascii="Times New Roman" w:hAnsi="Times New Roman"/>
          <w:color w:val="000000"/>
          <w:sz w:val="24"/>
          <w:szCs w:val="24"/>
          <w:lang w:val="en-IN"/>
        </w:rPr>
        <w:tab/>
      </w:r>
      <m:oMath>
        <m:r>
          <m:rPr>
            <m:nor/>
          </m:rPr>
          <w:rPr>
            <w:rFonts w:ascii="Arial" w:hAnsi="Arial" w:cs="Arial"/>
          </w:rPr>
          <w:br/>
        </m:r>
      </m:oMath>
      <m:oMathPara>
        <m:oMath>
          <m:r>
            <m:rPr>
              <m:nor/>
            </m:rPr>
            <w:rPr>
              <w:rFonts w:ascii="Arial" w:hAnsi="Arial" w:cs="Arial"/>
            </w:rPr>
            <m:t>Standardized range (</m:t>
          </m:r>
          <m:r>
            <m:rPr>
              <m:nor/>
            </m:rPr>
            <w:rPr>
              <w:rFonts w:ascii="Cambria Math" w:hAnsi="Arial" w:cs="Arial"/>
            </w:rPr>
            <m:t>SR</m:t>
          </m:r>
          <m:r>
            <m:rPr>
              <m:nor/>
            </m:rPr>
            <w:rPr>
              <w:rFonts w:ascii="Arial" w:hAnsi="Arial" w:cs="Arial"/>
            </w:rPr>
            <m:t>) =</m:t>
          </m:r>
          <m:f>
            <m:fPr>
              <m:ctrlPr>
                <w:rPr>
                  <w:rFonts w:ascii="Cambria Math" w:hAnsi="Cambria Math" w:cs="Arial"/>
                </w:rPr>
              </m:ctrlPr>
            </m:fPr>
            <m:num>
              <m:r>
                <m:rPr>
                  <m:nor/>
                </m:rPr>
                <w:rPr>
                  <w:rFonts w:ascii="Arial" w:hAnsi="Arial" w:cs="Arial"/>
                </w:rPr>
                <m:t>Maximum value- Minimum value</m:t>
              </m:r>
            </m:num>
            <m:den>
              <m:r>
                <m:rPr>
                  <m:nor/>
                </m:rPr>
                <w:rPr>
                  <w:rFonts w:ascii="Arial" w:hAnsi="Arial" w:cs="Arial"/>
                  <w:iCs/>
                </w:rPr>
                <m:t>Mean</m:t>
              </m:r>
            </m:den>
          </m:f>
          <m:r>
            <m:rPr>
              <m:sty m:val="p"/>
            </m:rPr>
            <w:rPr>
              <w:rFonts w:ascii="Cambria Math" w:hAnsi="Cambria Math"/>
              <w:color w:val="000000"/>
              <w:sz w:val="24"/>
              <w:szCs w:val="24"/>
              <w:lang w:val="en-IN"/>
            </w:rPr>
            <w:br/>
          </m:r>
        </m:oMath>
      </m:oMathPara>
      <w:r w:rsidRPr="002264A3">
        <w:rPr>
          <w:rFonts w:ascii="Arial" w:hAnsi="Arial" w:cs="Arial"/>
          <w:color w:val="000000"/>
          <w:lang w:val="en-IN"/>
        </w:rPr>
        <w:t>The genotypic and phenotypic coefficients of variation were estimated following the</w:t>
      </w:r>
      <w:r w:rsidR="00D4017D">
        <w:rPr>
          <w:rFonts w:ascii="Arial" w:hAnsi="Arial" w:cs="Arial"/>
          <w:color w:val="000000"/>
          <w:lang w:val="en-IN"/>
        </w:rPr>
        <w:t xml:space="preserve"> </w:t>
      </w:r>
      <w:r w:rsidRPr="002264A3">
        <w:rPr>
          <w:rFonts w:ascii="Arial" w:hAnsi="Arial" w:cs="Arial"/>
          <w:color w:val="000000"/>
          <w:lang w:val="en-IN"/>
        </w:rPr>
        <w:t xml:space="preserve">procedures outlined </w:t>
      </w:r>
      <w:r w:rsidR="00D4017D">
        <w:rPr>
          <w:rFonts w:ascii="Arial" w:hAnsi="Arial" w:cs="Arial"/>
          <w:color w:val="000000"/>
          <w:lang w:val="en-IN"/>
        </w:rPr>
        <w:t>[</w:t>
      </w:r>
      <w:r w:rsidR="00F548AA">
        <w:rPr>
          <w:rFonts w:ascii="Arial" w:hAnsi="Arial" w:cs="Arial"/>
          <w:color w:val="000000"/>
          <w:lang w:val="en-IN"/>
        </w:rPr>
        <w:t>6</w:t>
      </w:r>
      <w:r w:rsidR="00D4017D">
        <w:rPr>
          <w:rFonts w:ascii="Arial" w:hAnsi="Arial" w:cs="Arial"/>
          <w:color w:val="000000"/>
          <w:lang w:val="en-IN"/>
        </w:rPr>
        <w:t xml:space="preserve"> &amp; </w:t>
      </w:r>
      <w:r w:rsidR="00F548AA">
        <w:rPr>
          <w:rFonts w:ascii="Arial" w:hAnsi="Arial" w:cs="Arial"/>
          <w:color w:val="000000"/>
          <w:lang w:val="en-IN"/>
        </w:rPr>
        <w:t>7</w:t>
      </w:r>
      <w:r w:rsidR="00D4017D">
        <w:rPr>
          <w:rFonts w:ascii="Arial" w:hAnsi="Arial" w:cs="Arial"/>
          <w:color w:val="000000"/>
          <w:lang w:val="en-IN"/>
        </w:rPr>
        <w:t>]</w:t>
      </w:r>
    </w:p>
    <w:p w14:paraId="52E1A5B3" w14:textId="2B46B84A"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Genotypic co-efficient of variation (GCV):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g</w:t>
      </w:r>
      <w:proofErr w:type="spellEnd"/>
      <w:r w:rsidRPr="002264A3">
        <w:rPr>
          <w:rFonts w:ascii="Arial" w:hAnsi="Arial" w:cs="Arial"/>
          <w:color w:val="000000"/>
          <w:lang w:val="en-IN"/>
        </w:rPr>
        <w:t xml:space="preserve"> / x̄× 100 </w:t>
      </w:r>
    </w:p>
    <w:p w14:paraId="359E9ADF" w14:textId="0816C119"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Phenotypic co-efficient of variation (PCV):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p</w:t>
      </w:r>
      <w:proofErr w:type="spellEnd"/>
      <w:r w:rsidRPr="002264A3">
        <w:rPr>
          <w:rFonts w:ascii="Arial" w:hAnsi="Arial" w:cs="Arial"/>
          <w:color w:val="000000"/>
          <w:lang w:val="en-IN"/>
        </w:rPr>
        <w:t xml:space="preserve"> / x̄ × 100 </w:t>
      </w:r>
    </w:p>
    <w:p w14:paraId="20A8247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Where,   </w:t>
      </w:r>
    </w:p>
    <w:p w14:paraId="6D8CDA8D" w14:textId="3D3F2E68"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p</w:t>
      </w:r>
      <w:r w:rsidRPr="002264A3">
        <w:rPr>
          <w:rFonts w:ascii="Arial" w:hAnsi="Arial" w:cs="Arial"/>
          <w:color w:val="000000"/>
          <w:lang w:val="en-IN"/>
        </w:rPr>
        <w:t xml:space="preserve"> = phenotypic standard deviation     </w:t>
      </w:r>
    </w:p>
    <w:p w14:paraId="4FA938D3" w14:textId="6845247B"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g</w:t>
      </w:r>
      <w:r w:rsidRPr="002264A3">
        <w:rPr>
          <w:rFonts w:ascii="Arial" w:hAnsi="Arial" w:cs="Arial"/>
          <w:color w:val="000000"/>
          <w:lang w:val="en-IN"/>
        </w:rPr>
        <w:t xml:space="preserve"> = genotypic standard deviation </w:t>
      </w:r>
    </w:p>
    <w:p w14:paraId="29F5DC2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x̄ = mean</w:t>
      </w:r>
    </w:p>
    <w:p w14:paraId="580CAF45" w14:textId="7DCA6F09" w:rsidR="002264A3" w:rsidRPr="002264A3" w:rsidRDefault="002264A3" w:rsidP="00D4017D">
      <w:pPr>
        <w:jc w:val="both"/>
        <w:rPr>
          <w:rFonts w:ascii="Arial" w:hAnsi="Arial" w:cs="Arial"/>
          <w:color w:val="000000"/>
          <w:lang w:val="en-IN"/>
        </w:rPr>
      </w:pPr>
      <w:r w:rsidRPr="002264A3">
        <w:rPr>
          <w:rFonts w:ascii="Arial" w:hAnsi="Arial" w:cs="Arial"/>
          <w:color w:val="000000"/>
          <w:lang w:val="en-IN"/>
        </w:rPr>
        <w:t>The GCV and PCV values were classified as low (0–10%), moderate (10–20%) and high (&gt;20%).</w:t>
      </w:r>
    </w:p>
    <w:p w14:paraId="310A361C" w14:textId="232A5E09" w:rsidR="00AB1D24" w:rsidRPr="00AB1D24" w:rsidRDefault="002264A3" w:rsidP="00D4017D">
      <w:pPr>
        <w:jc w:val="both"/>
        <w:rPr>
          <w:rFonts w:ascii="Arial" w:hAnsi="Arial" w:cs="Arial"/>
          <w:color w:val="000000"/>
          <w:lang w:val="en-IN"/>
        </w:rPr>
      </w:pPr>
      <w:r w:rsidRPr="002264A3">
        <w:rPr>
          <w:rFonts w:ascii="Arial" w:hAnsi="Arial" w:cs="Arial"/>
          <w:color w:val="000000"/>
          <w:lang w:val="en-IN"/>
        </w:rPr>
        <w:t>Heritability in broad sense (h2 (bs)</w:t>
      </w:r>
      <w:r w:rsidR="00D4017D">
        <w:rPr>
          <w:rFonts w:ascii="Arial" w:hAnsi="Arial" w:cs="Arial"/>
          <w:color w:val="000000"/>
          <w:lang w:val="en-IN"/>
        </w:rPr>
        <w:t>) [</w:t>
      </w:r>
      <w:r w:rsidR="00F548AA">
        <w:rPr>
          <w:rFonts w:ascii="Arial" w:hAnsi="Arial" w:cs="Arial"/>
          <w:color w:val="000000"/>
          <w:lang w:val="en-IN"/>
        </w:rPr>
        <w:t>8</w:t>
      </w:r>
      <w:r w:rsidR="00D4017D">
        <w:rPr>
          <w:rFonts w:ascii="Arial" w:hAnsi="Arial" w:cs="Arial"/>
          <w:color w:val="000000"/>
          <w:lang w:val="en-IN"/>
        </w:rPr>
        <w:t xml:space="preserve">] </w:t>
      </w:r>
      <w:r w:rsidRPr="002264A3">
        <w:rPr>
          <w:rFonts w:ascii="Arial" w:hAnsi="Arial" w:cs="Arial"/>
          <w:color w:val="000000"/>
          <w:lang w:val="en-IN"/>
        </w:rPr>
        <w:t>was calculated by the formula:</w:t>
      </w:r>
    </w:p>
    <w:p w14:paraId="2D97B05E" w14:textId="22DA3BFA" w:rsidR="002264A3" w:rsidRPr="00AB1D24" w:rsidRDefault="00000000" w:rsidP="002264A3">
      <w:pPr>
        <w:rPr>
          <w:rFonts w:ascii="Arial" w:hAnsi="Arial" w:cs="Arial"/>
        </w:rPr>
      </w:pPr>
      <m:oMathPara>
        <m:oMath>
          <m:sSubSup>
            <m:sSubSupPr>
              <m:ctrlPr>
                <w:rPr>
                  <w:rFonts w:ascii="Cambria Math" w:hAnsi="Cambria Math" w:cs="Arial"/>
                  <w:bCs/>
                  <w:iCs/>
                </w:rPr>
              </m:ctrlPr>
            </m:sSubSupPr>
            <m:e>
              <m:r>
                <m:rPr>
                  <m:sty m:val="p"/>
                </m:rPr>
                <w:rPr>
                  <w:rFonts w:ascii="Cambria Math" w:hAnsi="Cambria Math" w:cs="Arial"/>
                </w:rPr>
                <m:t>h</m:t>
              </m:r>
            </m:e>
            <m:sub>
              <m:d>
                <m:dPr>
                  <m:ctrlPr>
                    <w:rPr>
                      <w:rFonts w:ascii="Cambria Math" w:hAnsi="Cambria Math" w:cs="Arial"/>
                      <w:bCs/>
                      <w:iCs/>
                    </w:rPr>
                  </m:ctrlPr>
                </m:dPr>
                <m:e>
                  <m:r>
                    <m:rPr>
                      <m:sty m:val="p"/>
                    </m:rPr>
                    <w:rPr>
                      <w:rFonts w:ascii="Cambria Math" w:hAnsi="Cambria Math" w:cs="Arial"/>
                    </w:rPr>
                    <m:t>bs</m:t>
                  </m:r>
                </m:e>
              </m:d>
            </m:sub>
            <m:sup>
              <m:r>
                <m:rPr>
                  <m:sty m:val="p"/>
                </m:rPr>
                <w:rPr>
                  <w:rFonts w:ascii="Cambria Math" w:hAnsi="Cambria Math" w:cs="Arial"/>
                </w:rPr>
                <m:t>2</m:t>
              </m:r>
            </m:sup>
          </m:sSubSup>
          <m:r>
            <m:rPr>
              <m:sty m:val="p"/>
            </m:rPr>
            <w:rPr>
              <w:rFonts w:ascii="Cambria Math" w:hAnsi="Cambria Math" w:cs="Arial"/>
            </w:rPr>
            <m:t>=</m:t>
          </m:r>
          <m:f>
            <m:fPr>
              <m:ctrlPr>
                <w:rPr>
                  <w:rFonts w:ascii="Cambria Math" w:hAnsi="Cambria Math" w:cs="Arial"/>
                  <w:bCs/>
                  <w:iCs/>
                </w:rPr>
              </m:ctrlPr>
            </m:fPr>
            <m:num>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g</m:t>
                  </m:r>
                </m:sub>
                <m:sup>
                  <m:r>
                    <m:rPr>
                      <m:sty m:val="p"/>
                    </m:rPr>
                    <w:rPr>
                      <w:rFonts w:ascii="Cambria Math" w:hAnsi="Cambria Math" w:cs="Arial"/>
                    </w:rPr>
                    <m:t>2</m:t>
                  </m:r>
                </m:sup>
              </m:sSubSup>
            </m:num>
            <m:den>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p</m:t>
                  </m:r>
                </m:sub>
                <m:sup>
                  <m:r>
                    <m:rPr>
                      <m:sty m:val="p"/>
                    </m:rPr>
                    <w:rPr>
                      <w:rFonts w:ascii="Cambria Math" w:hAnsi="Cambria Math" w:cs="Arial"/>
                    </w:rPr>
                    <m:t>2</m:t>
                  </m:r>
                </m:sup>
              </m:sSubSup>
            </m:den>
          </m:f>
          <m:r>
            <m:rPr>
              <m:sty m:val="p"/>
            </m:rPr>
            <w:rPr>
              <w:rFonts w:ascii="Cambria Math" w:hAnsi="Cambria Math" w:cs="Arial"/>
            </w:rPr>
            <m:t>×100</m:t>
          </m:r>
        </m:oMath>
      </m:oMathPara>
    </w:p>
    <w:p w14:paraId="431A296D" w14:textId="70F0F7D7" w:rsidR="00AB1D24" w:rsidRPr="00AB1D24" w:rsidRDefault="00C678E7" w:rsidP="00AB1D24">
      <w:pPr>
        <w:rPr>
          <w:rFonts w:ascii="Arial" w:hAnsi="Arial" w:cs="Arial"/>
        </w:rPr>
      </w:pPr>
      <w:r w:rsidRPr="00AB1D24">
        <w:rPr>
          <w:rFonts w:ascii="Arial" w:hAnsi="Arial" w:cs="Arial"/>
        </w:rPr>
        <w:t>W</w:t>
      </w:r>
      <w:r>
        <w:rPr>
          <w:rFonts w:ascii="Arial" w:hAnsi="Arial" w:cs="Arial"/>
        </w:rPr>
        <w:t>h</w:t>
      </w:r>
      <w:r w:rsidRPr="00AB1D24">
        <w:rPr>
          <w:rFonts w:ascii="Arial" w:hAnsi="Arial" w:cs="Arial"/>
        </w:rPr>
        <w:t>ere</w:t>
      </w:r>
      <w:r w:rsidR="00AB1D24" w:rsidRPr="00AB1D24">
        <w:rPr>
          <w:rFonts w:ascii="Arial" w:hAnsi="Arial" w:cs="Arial"/>
        </w:rPr>
        <w:t xml:space="preserve">, </w:t>
      </w:r>
    </w:p>
    <w:p w14:paraId="5DB420E0" w14:textId="77777777" w:rsidR="00AB1D24" w:rsidRPr="00AB1D24" w:rsidRDefault="00AB1D24" w:rsidP="00AB1D24">
      <w:pPr>
        <w:rPr>
          <w:rFonts w:ascii="Arial" w:hAnsi="Arial" w:cs="Arial"/>
        </w:rPr>
      </w:pPr>
      <w:r w:rsidRPr="00AB1D24">
        <w:rPr>
          <w:rFonts w:ascii="Arial" w:hAnsi="Arial" w:cs="Arial"/>
        </w:rPr>
        <w:t>h</w:t>
      </w:r>
      <w:r w:rsidRPr="00C678E7">
        <w:rPr>
          <w:rFonts w:ascii="Arial" w:hAnsi="Arial" w:cs="Arial"/>
          <w:vertAlign w:val="superscript"/>
        </w:rPr>
        <w:t>2</w:t>
      </w:r>
      <w:r w:rsidRPr="00AB1D24">
        <w:rPr>
          <w:rFonts w:ascii="Arial" w:hAnsi="Arial" w:cs="Arial"/>
        </w:rPr>
        <w:t xml:space="preserve"> (bs) = heritability (Broad sense) expressed in per cent</w:t>
      </w:r>
    </w:p>
    <w:p w14:paraId="625E08E4"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g</w:t>
      </w:r>
      <w:r w:rsidRPr="00C678E7">
        <w:rPr>
          <w:rFonts w:ascii="Arial" w:hAnsi="Arial" w:cs="Arial"/>
          <w:vertAlign w:val="superscript"/>
        </w:rPr>
        <w:t>2</w:t>
      </w:r>
      <w:r w:rsidRPr="00AB1D24">
        <w:rPr>
          <w:rFonts w:ascii="Arial" w:hAnsi="Arial" w:cs="Arial"/>
        </w:rPr>
        <w:t xml:space="preserve">    = genotypic variance </w:t>
      </w:r>
    </w:p>
    <w:p w14:paraId="4C87F2A9"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p</w:t>
      </w:r>
      <w:r w:rsidRPr="00C678E7">
        <w:rPr>
          <w:rFonts w:ascii="Arial" w:hAnsi="Arial" w:cs="Arial"/>
          <w:vertAlign w:val="superscript"/>
        </w:rPr>
        <w:t>2</w:t>
      </w:r>
      <w:r w:rsidRPr="00AB1D24">
        <w:rPr>
          <w:rFonts w:ascii="Arial" w:hAnsi="Arial" w:cs="Arial"/>
        </w:rPr>
        <w:t xml:space="preserve">    = phenotypic variance </w:t>
      </w:r>
    </w:p>
    <w:p w14:paraId="16752373" w14:textId="74B0CEEC" w:rsidR="00AB1D24" w:rsidRPr="00AB1D24" w:rsidRDefault="00AB1D24" w:rsidP="00C678E7">
      <w:pPr>
        <w:jc w:val="both"/>
        <w:rPr>
          <w:rFonts w:ascii="Arial" w:hAnsi="Arial" w:cs="Arial"/>
        </w:rPr>
      </w:pPr>
      <w:r w:rsidRPr="00AB1D24">
        <w:rPr>
          <w:rFonts w:ascii="Arial" w:hAnsi="Arial" w:cs="Arial"/>
        </w:rPr>
        <w:t xml:space="preserve">The percentage of heritability was classified following the criteria proposed by Robinson et al., </w:t>
      </w:r>
      <w:r w:rsidR="00152329">
        <w:rPr>
          <w:rFonts w:ascii="Arial" w:hAnsi="Arial" w:cs="Arial"/>
        </w:rPr>
        <w:t>[</w:t>
      </w:r>
      <w:r w:rsidR="00F548AA">
        <w:rPr>
          <w:rFonts w:ascii="Arial" w:hAnsi="Arial" w:cs="Arial"/>
        </w:rPr>
        <w:t>9</w:t>
      </w:r>
      <w:r w:rsidR="00152329">
        <w:rPr>
          <w:rFonts w:ascii="Arial" w:hAnsi="Arial" w:cs="Arial"/>
        </w:rPr>
        <w:t>]</w:t>
      </w:r>
      <w:r w:rsidRPr="00AB1D24">
        <w:rPr>
          <w:rFonts w:ascii="Arial" w:hAnsi="Arial" w:cs="Arial"/>
        </w:rPr>
        <w:t>, where values between 0–30% were considered low, 30–60% as moderate and above 60% as high.</w:t>
      </w:r>
    </w:p>
    <w:p w14:paraId="293BBB2A" w14:textId="3B54DE6A" w:rsidR="00AB1D24" w:rsidRDefault="00AB1D24" w:rsidP="00C678E7">
      <w:pPr>
        <w:jc w:val="both"/>
        <w:rPr>
          <w:rFonts w:ascii="Arial" w:hAnsi="Arial" w:cs="Arial"/>
        </w:rPr>
      </w:pPr>
      <w:r w:rsidRPr="00AB1D24">
        <w:rPr>
          <w:rFonts w:ascii="Arial" w:hAnsi="Arial" w:cs="Arial"/>
        </w:rPr>
        <w:t xml:space="preserve">Falconer and Mackay., </w:t>
      </w:r>
      <w:r w:rsidR="00152329">
        <w:rPr>
          <w:rFonts w:ascii="Arial" w:hAnsi="Arial" w:cs="Arial"/>
        </w:rPr>
        <w:t>[1</w:t>
      </w:r>
      <w:r w:rsidR="00F548AA">
        <w:rPr>
          <w:rFonts w:ascii="Arial" w:hAnsi="Arial" w:cs="Arial"/>
        </w:rPr>
        <w:t>0</w:t>
      </w:r>
      <w:r w:rsidR="00152329">
        <w:rPr>
          <w:rFonts w:ascii="Arial" w:hAnsi="Arial" w:cs="Arial"/>
        </w:rPr>
        <w:t>]</w:t>
      </w:r>
      <w:r w:rsidRPr="00AB1D24">
        <w:rPr>
          <w:rFonts w:ascii="Arial" w:hAnsi="Arial" w:cs="Arial"/>
        </w:rPr>
        <w:t>, proposed the formula for estimating genetic advance as a percentage of the mean (GAM) as follows:</w:t>
      </w:r>
    </w:p>
    <w:p w14:paraId="03EDC4D8" w14:textId="5CC6BAF7" w:rsidR="00AB1D24" w:rsidRPr="00AB1D24" w:rsidRDefault="00AB1D24" w:rsidP="00AB1D24">
      <w:pPr>
        <w:rPr>
          <w:rFonts w:ascii="Arial" w:hAnsi="Arial" w:cs="Arial"/>
          <w:bCs/>
        </w:rPr>
      </w:pPr>
      <m:oMathPara>
        <m:oMath>
          <m:r>
            <m:rPr>
              <m:nor/>
            </m:rPr>
            <w:rPr>
              <w:rFonts w:ascii="Arial" w:hAnsi="Arial" w:cs="Arial"/>
              <w:bCs/>
            </w:rPr>
            <m:t>GAM (%)=</m:t>
          </m:r>
          <m:f>
            <m:fPr>
              <m:ctrlPr>
                <w:rPr>
                  <w:rFonts w:ascii="Cambria Math" w:hAnsi="Cambria Math" w:cs="Arial"/>
                  <w:bCs/>
                  <w:iCs/>
                </w:rPr>
              </m:ctrlPr>
            </m:fPr>
            <m:num>
              <m:r>
                <m:rPr>
                  <m:nor/>
                </m:rPr>
                <w:rPr>
                  <w:rFonts w:ascii="Arial" w:hAnsi="Arial" w:cs="Arial"/>
                  <w:bCs/>
                </w:rPr>
                <m:t>Genetic advance (GA)</m:t>
              </m:r>
            </m:num>
            <m:den>
              <m:r>
                <m:rPr>
                  <m:nor/>
                </m:rPr>
                <w:rPr>
                  <w:rFonts w:ascii="Arial" w:hAnsi="Arial" w:cs="Arial"/>
                  <w:bCs/>
                </w:rPr>
                <m:t>Grand mean (GM)</m:t>
              </m:r>
            </m:den>
          </m:f>
          <m:r>
            <m:rPr>
              <m:nor/>
            </m:rPr>
            <w:rPr>
              <w:rFonts w:ascii="Arial" w:hAnsi="Arial" w:cs="Arial"/>
              <w:bCs/>
            </w:rPr>
            <m:t>×100</m:t>
          </m:r>
        </m:oMath>
      </m:oMathPara>
    </w:p>
    <w:p w14:paraId="4EFF7663" w14:textId="194A6F1C" w:rsidR="00AB1D24" w:rsidRPr="00AB1D24" w:rsidRDefault="00AB1D24" w:rsidP="00152329">
      <w:pPr>
        <w:jc w:val="both"/>
        <w:rPr>
          <w:rFonts w:ascii="Arial" w:hAnsi="Arial" w:cs="Arial"/>
        </w:rPr>
      </w:pPr>
      <w:r w:rsidRPr="00AB1D24">
        <w:rPr>
          <w:rFonts w:ascii="Arial" w:hAnsi="Arial" w:cs="Arial"/>
        </w:rPr>
        <w:t xml:space="preserve">The genetic advance as a percentage of the mean (GAM) was classified according to the criteria proposed by Johnson et al. </w:t>
      </w:r>
      <w:r w:rsidR="00152329">
        <w:rPr>
          <w:rFonts w:ascii="Arial" w:hAnsi="Arial" w:cs="Arial"/>
        </w:rPr>
        <w:t>[1</w:t>
      </w:r>
      <w:r w:rsidR="00F548AA">
        <w:rPr>
          <w:rFonts w:ascii="Arial" w:hAnsi="Arial" w:cs="Arial"/>
        </w:rPr>
        <w:t>1</w:t>
      </w:r>
      <w:r w:rsidR="00152329">
        <w:rPr>
          <w:rFonts w:ascii="Arial" w:hAnsi="Arial" w:cs="Arial"/>
        </w:rPr>
        <w:t>]</w:t>
      </w:r>
      <w:r w:rsidRPr="00AB1D24">
        <w:rPr>
          <w:rFonts w:ascii="Arial" w:hAnsi="Arial" w:cs="Arial"/>
        </w:rPr>
        <w:t xml:space="preserve"> as low (0–10%), moderate (10–20%) and high (&gt;20%).</w:t>
      </w:r>
    </w:p>
    <w:p w14:paraId="7376D752" w14:textId="77777777" w:rsidR="00AB1D24" w:rsidRPr="002264A3" w:rsidRDefault="00AB1D24" w:rsidP="002264A3">
      <w:pPr>
        <w:rPr>
          <w:rFonts w:ascii="Arial" w:hAnsi="Arial" w:cs="Arial"/>
          <w:color w:val="000000"/>
          <w:lang w:val="en-IN"/>
        </w:rPr>
      </w:pPr>
    </w:p>
    <w:p w14:paraId="31D02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B5FAD3" w14:textId="77777777" w:rsidR="00790ADA" w:rsidRPr="00FB3A86" w:rsidRDefault="00790ADA" w:rsidP="00441B6F">
      <w:pPr>
        <w:pStyle w:val="Head1"/>
        <w:spacing w:after="0"/>
        <w:jc w:val="both"/>
        <w:rPr>
          <w:rFonts w:ascii="Arial" w:hAnsi="Arial" w:cs="Arial"/>
        </w:rPr>
      </w:pPr>
    </w:p>
    <w:p w14:paraId="3188D15F" w14:textId="309CEF08" w:rsidR="00AB1D24" w:rsidRPr="008E3FEA" w:rsidRDefault="00AB1D24" w:rsidP="00AB1D24">
      <w:pPr>
        <w:pStyle w:val="Body"/>
        <w:rPr>
          <w:rFonts w:ascii="Arial" w:hAnsi="Arial" w:cs="Arial"/>
          <w:b/>
          <w:bCs/>
          <w:sz w:val="22"/>
          <w:szCs w:val="22"/>
          <w:lang w:val="en-IN"/>
        </w:rPr>
      </w:pPr>
      <w:r w:rsidRPr="00AB1D24">
        <w:rPr>
          <w:rFonts w:ascii="Arial" w:hAnsi="Arial" w:cs="Arial"/>
          <w:b/>
          <w:bCs/>
          <w:sz w:val="22"/>
          <w:szCs w:val="22"/>
          <w:lang w:val="en-IN"/>
        </w:rPr>
        <w:t>3.1 Analysis   of   Variance (ANOVA) for oil Yield and Yield Related Traits</w:t>
      </w:r>
    </w:p>
    <w:p w14:paraId="3B880C48" w14:textId="67B4495F" w:rsidR="00AB1D24" w:rsidRDefault="00AB1D24" w:rsidP="00AB1D24">
      <w:pPr>
        <w:pStyle w:val="Body"/>
        <w:rPr>
          <w:rFonts w:ascii="Arial" w:hAnsi="Arial" w:cs="Arial"/>
          <w:lang w:val="en-IN"/>
        </w:rPr>
      </w:pPr>
      <w:r w:rsidRPr="00AB1D24">
        <w:rPr>
          <w:rFonts w:ascii="Arial" w:hAnsi="Arial" w:cs="Arial"/>
          <w:lang w:val="en-IN"/>
        </w:rPr>
        <w:t xml:space="preserve">The Mean Sum of Squares (MSS) for oil yield and yield-related traits of the inbred lines (maintainer and restorer lines) are presented in Table 1. The ANOVA results indicated that the MSS values for test genotypes compared with checks were highly significant at both p &lt; </w:t>
      </w:r>
      <w:r w:rsidRPr="00AB1D24">
        <w:rPr>
          <w:rFonts w:ascii="Arial" w:hAnsi="Arial" w:cs="Arial"/>
          <w:lang w:val="en-IN"/>
        </w:rPr>
        <w:lastRenderedPageBreak/>
        <w:t xml:space="preserve">0.001, p &lt; 0.01 and p &lt; 0.05 for all traits </w:t>
      </w:r>
      <w:r w:rsidR="00152329" w:rsidRPr="00AB1D24">
        <w:rPr>
          <w:rFonts w:ascii="Arial" w:hAnsi="Arial" w:cs="Arial"/>
          <w:lang w:val="en-IN"/>
        </w:rPr>
        <w:t>analysed</w:t>
      </w:r>
      <w:r w:rsidRPr="00AB1D24">
        <w:rPr>
          <w:rFonts w:ascii="Arial" w:hAnsi="Arial" w:cs="Arial"/>
          <w:lang w:val="en-IN"/>
        </w:rPr>
        <w:t>. These findings are consistent with the reports of Umarani et al. [</w:t>
      </w:r>
      <w:r w:rsidR="00152329">
        <w:rPr>
          <w:rFonts w:ascii="Arial" w:hAnsi="Arial" w:cs="Arial"/>
          <w:lang w:val="en-IN"/>
        </w:rPr>
        <w:t>1</w:t>
      </w:r>
      <w:r w:rsidR="00F548AA">
        <w:rPr>
          <w:rFonts w:ascii="Arial" w:hAnsi="Arial" w:cs="Arial"/>
          <w:lang w:val="en-IN"/>
        </w:rPr>
        <w:t>2</w:t>
      </w:r>
      <w:r w:rsidRPr="00AB1D24">
        <w:rPr>
          <w:rFonts w:ascii="Arial" w:hAnsi="Arial" w:cs="Arial"/>
          <w:lang w:val="en-IN"/>
        </w:rPr>
        <w:t>], Vamsi et al. [</w:t>
      </w:r>
      <w:r w:rsidR="00152329">
        <w:rPr>
          <w:rFonts w:ascii="Arial" w:hAnsi="Arial" w:cs="Arial"/>
          <w:lang w:val="en-IN"/>
        </w:rPr>
        <w:t>1</w:t>
      </w:r>
      <w:r w:rsidR="00F548AA">
        <w:rPr>
          <w:rFonts w:ascii="Arial" w:hAnsi="Arial" w:cs="Arial"/>
          <w:lang w:val="en-IN"/>
        </w:rPr>
        <w:t>3</w:t>
      </w:r>
      <w:r w:rsidRPr="00AB1D24">
        <w:rPr>
          <w:rFonts w:ascii="Arial" w:hAnsi="Arial" w:cs="Arial"/>
          <w:lang w:val="en-IN"/>
        </w:rPr>
        <w:t>] and Varshitha et al. [</w:t>
      </w:r>
      <w:r w:rsidR="00152329">
        <w:rPr>
          <w:rFonts w:ascii="Arial" w:hAnsi="Arial" w:cs="Arial"/>
          <w:lang w:val="en-IN"/>
        </w:rPr>
        <w:t>1</w:t>
      </w:r>
      <w:r w:rsidR="00F548AA">
        <w:rPr>
          <w:rFonts w:ascii="Arial" w:hAnsi="Arial" w:cs="Arial"/>
          <w:lang w:val="en-IN"/>
        </w:rPr>
        <w:t>4</w:t>
      </w:r>
      <w:r w:rsidRPr="00AB1D24">
        <w:rPr>
          <w:rFonts w:ascii="Arial" w:hAnsi="Arial" w:cs="Arial"/>
          <w:lang w:val="en-IN"/>
        </w:rPr>
        <w:t>], who observed considerable variability among lines for several agronomic traits, indicating the presence of substantial inherent genetic variation. Such genetic variability is essential in breeding programs, as greater variability among genotypes provides a valuable opportunity for selection and crop improvement.</w:t>
      </w:r>
    </w:p>
    <w:p w14:paraId="645779DD" w14:textId="77777777" w:rsidR="00463A39" w:rsidRDefault="00463A39" w:rsidP="00AB1D24">
      <w:pPr>
        <w:pStyle w:val="Body"/>
        <w:rPr>
          <w:rFonts w:ascii="Arial" w:hAnsi="Arial" w:cs="Arial"/>
          <w:lang w:val="en-IN"/>
        </w:rPr>
      </w:pPr>
    </w:p>
    <w:p w14:paraId="02949E36" w14:textId="4E549BDA" w:rsidR="00463A39" w:rsidRDefault="00463A39" w:rsidP="00AB1D24">
      <w:pPr>
        <w:pStyle w:val="Body"/>
        <w:rPr>
          <w:rFonts w:ascii="Arial" w:hAnsi="Arial" w:cs="Arial"/>
          <w:lang w:val="en-IN"/>
        </w:rPr>
      </w:pPr>
      <w:r w:rsidRPr="00922432">
        <w:rPr>
          <w:rFonts w:ascii="Arial" w:hAnsi="Arial" w:cs="Arial"/>
          <w:b/>
          <w:bCs/>
          <w:lang w:val="en-IN"/>
        </w:rPr>
        <w:t>Table 1</w:t>
      </w:r>
      <w:r>
        <w:rPr>
          <w:rFonts w:ascii="Arial" w:hAnsi="Arial" w:cs="Arial"/>
          <w:lang w:val="en-IN"/>
        </w:rPr>
        <w:t xml:space="preserve"> - </w:t>
      </w:r>
      <w:commentRangeStart w:id="10"/>
      <w:r w:rsidR="00870F39" w:rsidRPr="00922432">
        <w:rPr>
          <w:rFonts w:ascii="Arial" w:hAnsi="Arial" w:cs="Arial"/>
          <w:b/>
          <w:bCs/>
          <w:lang w:val="en-IN"/>
        </w:rPr>
        <w:t>Analysis of Variance (ANOVA) for Different Traits in Sunflower (</w:t>
      </w:r>
      <w:r w:rsidR="00870F39" w:rsidRPr="00922432">
        <w:rPr>
          <w:rFonts w:ascii="Arial" w:hAnsi="Arial" w:cs="Arial"/>
          <w:b/>
          <w:bCs/>
          <w:i/>
          <w:iCs/>
          <w:lang w:val="en-IN"/>
        </w:rPr>
        <w:t>Helianthus annuus</w:t>
      </w:r>
      <w:r w:rsidR="00870F39" w:rsidRPr="00922432">
        <w:rPr>
          <w:rFonts w:ascii="Arial" w:hAnsi="Arial" w:cs="Arial"/>
          <w:b/>
          <w:bCs/>
          <w:lang w:val="en-IN"/>
        </w:rPr>
        <w:t xml:space="preserve"> L.) Evaluating Checks and Inbred Lines</w:t>
      </w:r>
      <w:commentRangeEnd w:id="10"/>
      <w:r w:rsidR="00354941">
        <w:rPr>
          <w:rStyle w:val="CommentReference"/>
          <w:rFonts w:ascii="Times New Roman" w:hAnsi="Times New Roman"/>
          <w:lang w:val="nb-NO" w:eastAsia="nb-NO"/>
        </w:rPr>
        <w:commentReference w:id="10"/>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810"/>
        <w:gridCol w:w="1350"/>
        <w:gridCol w:w="1260"/>
        <w:gridCol w:w="1080"/>
        <w:gridCol w:w="1260"/>
        <w:gridCol w:w="846"/>
      </w:tblGrid>
      <w:tr w:rsidR="00030CA7" w:rsidRPr="00984E95" w14:paraId="496FB084" w14:textId="77777777" w:rsidTr="00920BED">
        <w:trPr>
          <w:trHeight w:val="710"/>
          <w:jc w:val="center"/>
        </w:trPr>
        <w:tc>
          <w:tcPr>
            <w:tcW w:w="1818" w:type="dxa"/>
            <w:tcBorders>
              <w:top w:val="single" w:sz="4" w:space="0" w:color="auto"/>
              <w:bottom w:val="single" w:sz="4" w:space="0" w:color="auto"/>
            </w:tcBorders>
            <w:noWrap/>
            <w:hideMark/>
          </w:tcPr>
          <w:p w14:paraId="40FA44A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Source of variation</w:t>
            </w:r>
          </w:p>
        </w:tc>
        <w:tc>
          <w:tcPr>
            <w:tcW w:w="810" w:type="dxa"/>
            <w:tcBorders>
              <w:top w:val="single" w:sz="4" w:space="0" w:color="auto"/>
              <w:bottom w:val="single" w:sz="4" w:space="0" w:color="auto"/>
            </w:tcBorders>
            <w:noWrap/>
            <w:hideMark/>
          </w:tcPr>
          <w:p w14:paraId="5C279B1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Block</w:t>
            </w:r>
          </w:p>
        </w:tc>
        <w:tc>
          <w:tcPr>
            <w:tcW w:w="1350" w:type="dxa"/>
            <w:tcBorders>
              <w:top w:val="single" w:sz="4" w:space="0" w:color="auto"/>
              <w:bottom w:val="single" w:sz="4" w:space="0" w:color="auto"/>
            </w:tcBorders>
            <w:noWrap/>
            <w:hideMark/>
          </w:tcPr>
          <w:p w14:paraId="7674DF6C" w14:textId="6D60F184"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Entries</w:t>
            </w:r>
            <w:r w:rsidR="00030CA7" w:rsidRPr="008E3FEA">
              <w:rPr>
                <w:rFonts w:ascii="Arial" w:hAnsi="Arial" w:cs="Arial"/>
                <w:b/>
                <w:bCs/>
                <w:sz w:val="20"/>
                <w:szCs w:val="20"/>
                <w:lang w:val="en-IN"/>
              </w:rPr>
              <w:t xml:space="preserve"> </w:t>
            </w:r>
            <w:r w:rsidRPr="008E3FEA">
              <w:rPr>
                <w:rFonts w:ascii="Arial" w:hAnsi="Arial" w:cs="Arial"/>
                <w:b/>
                <w:bCs/>
                <w:sz w:val="20"/>
                <w:szCs w:val="20"/>
                <w:lang w:val="en-IN"/>
              </w:rPr>
              <w:t xml:space="preserve">(ignoring Blocks) </w:t>
            </w:r>
          </w:p>
        </w:tc>
        <w:tc>
          <w:tcPr>
            <w:tcW w:w="1260" w:type="dxa"/>
            <w:tcBorders>
              <w:top w:val="single" w:sz="4" w:space="0" w:color="auto"/>
              <w:bottom w:val="single" w:sz="4" w:space="0" w:color="auto"/>
            </w:tcBorders>
            <w:noWrap/>
            <w:hideMark/>
          </w:tcPr>
          <w:p w14:paraId="7CAC22EC"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w:t>
            </w:r>
          </w:p>
        </w:tc>
        <w:tc>
          <w:tcPr>
            <w:tcW w:w="1080" w:type="dxa"/>
            <w:tcBorders>
              <w:top w:val="single" w:sz="4" w:space="0" w:color="auto"/>
              <w:bottom w:val="single" w:sz="4" w:space="0" w:color="auto"/>
            </w:tcBorders>
            <w:noWrap/>
            <w:hideMark/>
          </w:tcPr>
          <w:p w14:paraId="72C4BF2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Inbred lines</w:t>
            </w:r>
          </w:p>
        </w:tc>
        <w:tc>
          <w:tcPr>
            <w:tcW w:w="1260" w:type="dxa"/>
            <w:tcBorders>
              <w:top w:val="single" w:sz="4" w:space="0" w:color="auto"/>
              <w:bottom w:val="single" w:sz="4" w:space="0" w:color="auto"/>
            </w:tcBorders>
            <w:noWrap/>
            <w:hideMark/>
          </w:tcPr>
          <w:p w14:paraId="00E53786"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 vs. Inbred lines</w:t>
            </w:r>
          </w:p>
        </w:tc>
        <w:tc>
          <w:tcPr>
            <w:tcW w:w="846" w:type="dxa"/>
            <w:tcBorders>
              <w:top w:val="single" w:sz="4" w:space="0" w:color="auto"/>
              <w:bottom w:val="single" w:sz="4" w:space="0" w:color="auto"/>
            </w:tcBorders>
            <w:noWrap/>
            <w:hideMark/>
          </w:tcPr>
          <w:p w14:paraId="748FBDC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Error</w:t>
            </w:r>
          </w:p>
        </w:tc>
      </w:tr>
      <w:tr w:rsidR="00030CA7" w:rsidRPr="00984E95" w14:paraId="2E8AA2E1" w14:textId="77777777" w:rsidTr="00920BED">
        <w:trPr>
          <w:trHeight w:val="300"/>
          <w:jc w:val="center"/>
        </w:trPr>
        <w:tc>
          <w:tcPr>
            <w:tcW w:w="1818" w:type="dxa"/>
            <w:tcBorders>
              <w:top w:val="single" w:sz="4" w:space="0" w:color="auto"/>
            </w:tcBorders>
            <w:noWrap/>
            <w:hideMark/>
          </w:tcPr>
          <w:p w14:paraId="5CD392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df</w:t>
            </w:r>
          </w:p>
        </w:tc>
        <w:tc>
          <w:tcPr>
            <w:tcW w:w="810" w:type="dxa"/>
            <w:tcBorders>
              <w:top w:val="single" w:sz="4" w:space="0" w:color="auto"/>
            </w:tcBorders>
            <w:noWrap/>
            <w:hideMark/>
          </w:tcPr>
          <w:p w14:paraId="3BAF68DE"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w:t>
            </w:r>
          </w:p>
        </w:tc>
        <w:tc>
          <w:tcPr>
            <w:tcW w:w="1350" w:type="dxa"/>
            <w:tcBorders>
              <w:top w:val="single" w:sz="4" w:space="0" w:color="auto"/>
            </w:tcBorders>
            <w:noWrap/>
            <w:hideMark/>
          </w:tcPr>
          <w:p w14:paraId="5356DAF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142</w:t>
            </w:r>
          </w:p>
        </w:tc>
        <w:tc>
          <w:tcPr>
            <w:tcW w:w="1260" w:type="dxa"/>
            <w:tcBorders>
              <w:top w:val="single" w:sz="4" w:space="0" w:color="auto"/>
            </w:tcBorders>
            <w:noWrap/>
            <w:hideMark/>
          </w:tcPr>
          <w:p w14:paraId="461A6F0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w:t>
            </w:r>
          </w:p>
        </w:tc>
        <w:tc>
          <w:tcPr>
            <w:tcW w:w="1080" w:type="dxa"/>
            <w:tcBorders>
              <w:top w:val="single" w:sz="4" w:space="0" w:color="auto"/>
            </w:tcBorders>
            <w:noWrap/>
            <w:hideMark/>
          </w:tcPr>
          <w:p w14:paraId="7F211AD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137</w:t>
            </w:r>
          </w:p>
        </w:tc>
        <w:tc>
          <w:tcPr>
            <w:tcW w:w="1260" w:type="dxa"/>
            <w:tcBorders>
              <w:top w:val="single" w:sz="4" w:space="0" w:color="auto"/>
            </w:tcBorders>
            <w:noWrap/>
            <w:hideMark/>
          </w:tcPr>
          <w:p w14:paraId="341024D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w:t>
            </w:r>
          </w:p>
        </w:tc>
        <w:tc>
          <w:tcPr>
            <w:tcW w:w="846" w:type="dxa"/>
            <w:tcBorders>
              <w:top w:val="single" w:sz="4" w:space="0" w:color="auto"/>
            </w:tcBorders>
            <w:noWrap/>
            <w:hideMark/>
          </w:tcPr>
          <w:p w14:paraId="6A61371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w:t>
            </w:r>
          </w:p>
        </w:tc>
      </w:tr>
      <w:tr w:rsidR="00030CA7" w:rsidRPr="00984E95" w14:paraId="524A303B" w14:textId="77777777" w:rsidTr="00920BED">
        <w:trPr>
          <w:trHeight w:val="300"/>
          <w:jc w:val="center"/>
        </w:trPr>
        <w:tc>
          <w:tcPr>
            <w:tcW w:w="1818" w:type="dxa"/>
            <w:noWrap/>
            <w:hideMark/>
          </w:tcPr>
          <w:p w14:paraId="1797567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Plant height (cm)</w:t>
            </w:r>
          </w:p>
        </w:tc>
        <w:tc>
          <w:tcPr>
            <w:tcW w:w="810" w:type="dxa"/>
            <w:noWrap/>
            <w:hideMark/>
          </w:tcPr>
          <w:p w14:paraId="23DC42E9" w14:textId="2AD3F4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27.60</w:t>
            </w:r>
          </w:p>
        </w:tc>
        <w:tc>
          <w:tcPr>
            <w:tcW w:w="1350" w:type="dxa"/>
            <w:noWrap/>
            <w:hideMark/>
          </w:tcPr>
          <w:p w14:paraId="53FFA2E9" w14:textId="27F0A65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1161.49**</w:t>
            </w:r>
          </w:p>
        </w:tc>
        <w:tc>
          <w:tcPr>
            <w:tcW w:w="1260" w:type="dxa"/>
            <w:noWrap/>
            <w:hideMark/>
          </w:tcPr>
          <w:p w14:paraId="11199C50" w14:textId="24508CF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9754.98 **</w:t>
            </w:r>
          </w:p>
        </w:tc>
        <w:tc>
          <w:tcPr>
            <w:tcW w:w="1080" w:type="dxa"/>
            <w:noWrap/>
            <w:hideMark/>
          </w:tcPr>
          <w:p w14:paraId="1E8E7079" w14:textId="07F0693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914.41***</w:t>
            </w:r>
          </w:p>
        </w:tc>
        <w:tc>
          <w:tcPr>
            <w:tcW w:w="1260" w:type="dxa"/>
            <w:noWrap/>
            <w:hideMark/>
          </w:tcPr>
          <w:p w14:paraId="597D8967" w14:textId="218C5A4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2131.75***</w:t>
            </w:r>
          </w:p>
        </w:tc>
        <w:tc>
          <w:tcPr>
            <w:tcW w:w="846" w:type="dxa"/>
            <w:noWrap/>
            <w:hideMark/>
          </w:tcPr>
          <w:p w14:paraId="400D1E24" w14:textId="0E10EA0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4.64</w:t>
            </w:r>
          </w:p>
        </w:tc>
      </w:tr>
      <w:tr w:rsidR="00030CA7" w:rsidRPr="00984E95" w14:paraId="5A35F5D7" w14:textId="77777777" w:rsidTr="00920BED">
        <w:trPr>
          <w:trHeight w:val="300"/>
          <w:jc w:val="center"/>
        </w:trPr>
        <w:tc>
          <w:tcPr>
            <w:tcW w:w="1818" w:type="dxa"/>
            <w:noWrap/>
            <w:hideMark/>
          </w:tcPr>
          <w:p w14:paraId="0329298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50% flowering</w:t>
            </w:r>
          </w:p>
        </w:tc>
        <w:tc>
          <w:tcPr>
            <w:tcW w:w="810" w:type="dxa"/>
            <w:noWrap/>
            <w:hideMark/>
          </w:tcPr>
          <w:p w14:paraId="5D2A7DE0" w14:textId="2053BCC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3.43</w:t>
            </w:r>
          </w:p>
        </w:tc>
        <w:tc>
          <w:tcPr>
            <w:tcW w:w="1350" w:type="dxa"/>
            <w:noWrap/>
            <w:hideMark/>
          </w:tcPr>
          <w:p w14:paraId="422BDACF" w14:textId="55BDBED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55.49***</w:t>
            </w:r>
          </w:p>
        </w:tc>
        <w:tc>
          <w:tcPr>
            <w:tcW w:w="1260" w:type="dxa"/>
            <w:noWrap/>
            <w:hideMark/>
          </w:tcPr>
          <w:p w14:paraId="27761F47" w14:textId="77E4EA5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682.89***</w:t>
            </w:r>
          </w:p>
        </w:tc>
        <w:tc>
          <w:tcPr>
            <w:tcW w:w="1080" w:type="dxa"/>
            <w:noWrap/>
            <w:hideMark/>
          </w:tcPr>
          <w:p w14:paraId="799AA5BB" w14:textId="4383D1B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38.17**</w:t>
            </w:r>
          </w:p>
        </w:tc>
        <w:tc>
          <w:tcPr>
            <w:tcW w:w="1260" w:type="dxa"/>
            <w:noWrap/>
            <w:hideMark/>
          </w:tcPr>
          <w:p w14:paraId="3CD4E6F4" w14:textId="3808924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22.69 *</w:t>
            </w:r>
          </w:p>
        </w:tc>
        <w:tc>
          <w:tcPr>
            <w:tcW w:w="846" w:type="dxa"/>
            <w:noWrap/>
            <w:hideMark/>
          </w:tcPr>
          <w:p w14:paraId="4EACE765" w14:textId="04D5145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1.27</w:t>
            </w:r>
          </w:p>
        </w:tc>
      </w:tr>
      <w:tr w:rsidR="00030CA7" w:rsidRPr="00984E95" w14:paraId="48E39457" w14:textId="77777777" w:rsidTr="00920BED">
        <w:trPr>
          <w:trHeight w:val="300"/>
          <w:jc w:val="center"/>
        </w:trPr>
        <w:tc>
          <w:tcPr>
            <w:tcW w:w="1818" w:type="dxa"/>
            <w:noWrap/>
            <w:hideMark/>
          </w:tcPr>
          <w:p w14:paraId="6325256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maturity</w:t>
            </w:r>
          </w:p>
        </w:tc>
        <w:tc>
          <w:tcPr>
            <w:tcW w:w="810" w:type="dxa"/>
            <w:noWrap/>
            <w:hideMark/>
          </w:tcPr>
          <w:p w14:paraId="2317BFC6" w14:textId="477E0252"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0.45</w:t>
            </w:r>
          </w:p>
        </w:tc>
        <w:tc>
          <w:tcPr>
            <w:tcW w:w="1350" w:type="dxa"/>
            <w:noWrap/>
            <w:hideMark/>
          </w:tcPr>
          <w:p w14:paraId="6124D7FC" w14:textId="0A7FB1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42.29***</w:t>
            </w:r>
          </w:p>
        </w:tc>
        <w:tc>
          <w:tcPr>
            <w:tcW w:w="1260" w:type="dxa"/>
            <w:noWrap/>
            <w:hideMark/>
          </w:tcPr>
          <w:p w14:paraId="5D7EBC35" w14:textId="6573E52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501.55***</w:t>
            </w:r>
          </w:p>
        </w:tc>
        <w:tc>
          <w:tcPr>
            <w:tcW w:w="1080" w:type="dxa"/>
            <w:noWrap/>
            <w:hideMark/>
          </w:tcPr>
          <w:p w14:paraId="6207190A" w14:textId="019B45F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29.37***</w:t>
            </w:r>
          </w:p>
        </w:tc>
        <w:tc>
          <w:tcPr>
            <w:tcW w:w="1260" w:type="dxa"/>
            <w:noWrap/>
            <w:hideMark/>
          </w:tcPr>
          <w:p w14:paraId="45588207" w14:textId="44F04F7C"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54.00***</w:t>
            </w:r>
          </w:p>
        </w:tc>
        <w:tc>
          <w:tcPr>
            <w:tcW w:w="846" w:type="dxa"/>
            <w:noWrap/>
            <w:hideMark/>
          </w:tcPr>
          <w:p w14:paraId="6F8127DF" w14:textId="5ED74D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1.22</w:t>
            </w:r>
          </w:p>
        </w:tc>
      </w:tr>
      <w:tr w:rsidR="00030CA7" w:rsidRPr="00984E95" w14:paraId="6D03B57C" w14:textId="77777777" w:rsidTr="00920BED">
        <w:trPr>
          <w:trHeight w:val="300"/>
          <w:jc w:val="center"/>
        </w:trPr>
        <w:tc>
          <w:tcPr>
            <w:tcW w:w="1818" w:type="dxa"/>
            <w:noWrap/>
            <w:hideMark/>
          </w:tcPr>
          <w:p w14:paraId="5DBEB109"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Stem girth (mm)</w:t>
            </w:r>
          </w:p>
        </w:tc>
        <w:tc>
          <w:tcPr>
            <w:tcW w:w="810" w:type="dxa"/>
            <w:noWrap/>
            <w:hideMark/>
          </w:tcPr>
          <w:p w14:paraId="779A818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0.69</w:t>
            </w:r>
          </w:p>
        </w:tc>
        <w:tc>
          <w:tcPr>
            <w:tcW w:w="1350" w:type="dxa"/>
            <w:noWrap/>
            <w:hideMark/>
          </w:tcPr>
          <w:p w14:paraId="7D68216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12.32 ***</w:t>
            </w:r>
          </w:p>
        </w:tc>
        <w:tc>
          <w:tcPr>
            <w:tcW w:w="1260" w:type="dxa"/>
            <w:noWrap/>
            <w:hideMark/>
          </w:tcPr>
          <w:p w14:paraId="1ED5AADC"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116.67 ***</w:t>
            </w:r>
          </w:p>
        </w:tc>
        <w:tc>
          <w:tcPr>
            <w:tcW w:w="1080" w:type="dxa"/>
            <w:noWrap/>
            <w:hideMark/>
          </w:tcPr>
          <w:p w14:paraId="06086FF3" w14:textId="6CA6A13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9.4</w:t>
            </w:r>
            <w:r>
              <w:rPr>
                <w:rFonts w:ascii="Arial" w:hAnsi="Arial" w:cs="Arial"/>
                <w:sz w:val="20"/>
                <w:szCs w:val="20"/>
                <w:lang w:val="en-IN"/>
              </w:rPr>
              <w:t>2</w:t>
            </w:r>
            <w:r w:rsidRPr="00984E95">
              <w:rPr>
                <w:rFonts w:ascii="Arial" w:hAnsi="Arial" w:cs="Arial"/>
                <w:sz w:val="20"/>
                <w:szCs w:val="20"/>
                <w:lang w:val="en-IN"/>
              </w:rPr>
              <w:t>***</w:t>
            </w:r>
          </w:p>
        </w:tc>
        <w:tc>
          <w:tcPr>
            <w:tcW w:w="1260" w:type="dxa"/>
            <w:noWrap/>
            <w:hideMark/>
          </w:tcPr>
          <w:p w14:paraId="0CBB6F55" w14:textId="1D8FA06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4.3</w:t>
            </w:r>
            <w:r>
              <w:rPr>
                <w:rFonts w:ascii="Arial" w:hAnsi="Arial" w:cs="Arial"/>
                <w:sz w:val="20"/>
                <w:szCs w:val="20"/>
                <w:lang w:val="en-IN"/>
              </w:rPr>
              <w:t>0</w:t>
            </w:r>
            <w:r w:rsidRPr="00984E95">
              <w:rPr>
                <w:rFonts w:ascii="Arial" w:hAnsi="Arial" w:cs="Arial"/>
                <w:sz w:val="20"/>
                <w:szCs w:val="20"/>
                <w:lang w:val="en-IN"/>
              </w:rPr>
              <w:t>*</w:t>
            </w:r>
          </w:p>
        </w:tc>
        <w:tc>
          <w:tcPr>
            <w:tcW w:w="846" w:type="dxa"/>
            <w:noWrap/>
            <w:hideMark/>
          </w:tcPr>
          <w:p w14:paraId="0DAAD03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0.82</w:t>
            </w:r>
          </w:p>
        </w:tc>
      </w:tr>
      <w:tr w:rsidR="00030CA7" w:rsidRPr="00984E95" w14:paraId="71ED1048" w14:textId="77777777" w:rsidTr="00920BED">
        <w:trPr>
          <w:trHeight w:val="300"/>
          <w:jc w:val="center"/>
        </w:trPr>
        <w:tc>
          <w:tcPr>
            <w:tcW w:w="1818" w:type="dxa"/>
            <w:noWrap/>
            <w:hideMark/>
          </w:tcPr>
          <w:p w14:paraId="42564384"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 xml:space="preserve">Head diameter (cm) </w:t>
            </w:r>
          </w:p>
        </w:tc>
        <w:tc>
          <w:tcPr>
            <w:tcW w:w="810" w:type="dxa"/>
            <w:noWrap/>
            <w:hideMark/>
          </w:tcPr>
          <w:p w14:paraId="026907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0.31</w:t>
            </w:r>
          </w:p>
        </w:tc>
        <w:tc>
          <w:tcPr>
            <w:tcW w:w="1350" w:type="dxa"/>
            <w:noWrap/>
            <w:hideMark/>
          </w:tcPr>
          <w:p w14:paraId="124AFC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12.16 ***</w:t>
            </w:r>
          </w:p>
        </w:tc>
        <w:tc>
          <w:tcPr>
            <w:tcW w:w="1260" w:type="dxa"/>
            <w:noWrap/>
            <w:hideMark/>
          </w:tcPr>
          <w:p w14:paraId="61BF020D"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238.11 ***</w:t>
            </w:r>
          </w:p>
        </w:tc>
        <w:tc>
          <w:tcPr>
            <w:tcW w:w="1080" w:type="dxa"/>
            <w:noWrap/>
            <w:hideMark/>
          </w:tcPr>
          <w:p w14:paraId="77BE8DE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5.83 ***</w:t>
            </w:r>
          </w:p>
        </w:tc>
        <w:tc>
          <w:tcPr>
            <w:tcW w:w="1260" w:type="dxa"/>
            <w:noWrap/>
            <w:hideMark/>
          </w:tcPr>
          <w:p w14:paraId="6456C74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1.11</w:t>
            </w:r>
          </w:p>
        </w:tc>
        <w:tc>
          <w:tcPr>
            <w:tcW w:w="846" w:type="dxa"/>
            <w:noWrap/>
            <w:hideMark/>
          </w:tcPr>
          <w:p w14:paraId="70290D38"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0.32</w:t>
            </w:r>
          </w:p>
        </w:tc>
      </w:tr>
      <w:tr w:rsidR="00030CA7" w:rsidRPr="00984E95" w14:paraId="1976ED5F" w14:textId="77777777" w:rsidTr="00920BED">
        <w:trPr>
          <w:trHeight w:val="300"/>
          <w:jc w:val="center"/>
        </w:trPr>
        <w:tc>
          <w:tcPr>
            <w:tcW w:w="1818" w:type="dxa"/>
            <w:noWrap/>
            <w:hideMark/>
          </w:tcPr>
          <w:p w14:paraId="2E968C9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Volume weight (g/100ml)</w:t>
            </w:r>
          </w:p>
        </w:tc>
        <w:tc>
          <w:tcPr>
            <w:tcW w:w="810" w:type="dxa"/>
            <w:noWrap/>
            <w:hideMark/>
          </w:tcPr>
          <w:p w14:paraId="609BA4F7" w14:textId="482BF06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2.12</w:t>
            </w:r>
          </w:p>
        </w:tc>
        <w:tc>
          <w:tcPr>
            <w:tcW w:w="1350" w:type="dxa"/>
            <w:noWrap/>
            <w:hideMark/>
          </w:tcPr>
          <w:p w14:paraId="4E146F19" w14:textId="1ACC498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47.38***</w:t>
            </w:r>
          </w:p>
        </w:tc>
        <w:tc>
          <w:tcPr>
            <w:tcW w:w="1260" w:type="dxa"/>
            <w:noWrap/>
            <w:hideMark/>
          </w:tcPr>
          <w:p w14:paraId="00F6E3FC" w14:textId="6387BDF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235.06***</w:t>
            </w:r>
          </w:p>
        </w:tc>
        <w:tc>
          <w:tcPr>
            <w:tcW w:w="1080" w:type="dxa"/>
            <w:noWrap/>
            <w:hideMark/>
          </w:tcPr>
          <w:p w14:paraId="1A94DC1E" w14:textId="4F83A11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39.95***</w:t>
            </w:r>
          </w:p>
        </w:tc>
        <w:tc>
          <w:tcPr>
            <w:tcW w:w="1260" w:type="dxa"/>
            <w:noWrap/>
            <w:hideMark/>
          </w:tcPr>
          <w:p w14:paraId="5BCD2CC3" w14:textId="2A08B94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359.91 ***</w:t>
            </w:r>
          </w:p>
        </w:tc>
        <w:tc>
          <w:tcPr>
            <w:tcW w:w="846" w:type="dxa"/>
            <w:noWrap/>
            <w:hideMark/>
          </w:tcPr>
          <w:p w14:paraId="693B0D37" w14:textId="2C83FE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4.49</w:t>
            </w:r>
          </w:p>
        </w:tc>
      </w:tr>
      <w:tr w:rsidR="00030CA7" w:rsidRPr="00984E95" w14:paraId="6E1B8FBF" w14:textId="77777777" w:rsidTr="00920BED">
        <w:trPr>
          <w:trHeight w:val="197"/>
          <w:jc w:val="center"/>
        </w:trPr>
        <w:tc>
          <w:tcPr>
            <w:tcW w:w="1818" w:type="dxa"/>
            <w:noWrap/>
            <w:hideMark/>
          </w:tcPr>
          <w:p w14:paraId="027D08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100-seed weight (g)</w:t>
            </w:r>
          </w:p>
        </w:tc>
        <w:tc>
          <w:tcPr>
            <w:tcW w:w="810" w:type="dxa"/>
            <w:noWrap/>
            <w:hideMark/>
          </w:tcPr>
          <w:p w14:paraId="11C3241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c>
          <w:tcPr>
            <w:tcW w:w="1350" w:type="dxa"/>
            <w:noWrap/>
            <w:hideMark/>
          </w:tcPr>
          <w:p w14:paraId="064CBCF6" w14:textId="66220D7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1.28***</w:t>
            </w:r>
          </w:p>
        </w:tc>
        <w:tc>
          <w:tcPr>
            <w:tcW w:w="1260" w:type="dxa"/>
            <w:noWrap/>
            <w:hideMark/>
          </w:tcPr>
          <w:p w14:paraId="48F9E6BC" w14:textId="0E3D6B3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3.98***</w:t>
            </w:r>
          </w:p>
        </w:tc>
        <w:tc>
          <w:tcPr>
            <w:tcW w:w="1080" w:type="dxa"/>
            <w:noWrap/>
            <w:hideMark/>
          </w:tcPr>
          <w:p w14:paraId="36158B12" w14:textId="30D025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1.17***</w:t>
            </w:r>
          </w:p>
        </w:tc>
        <w:tc>
          <w:tcPr>
            <w:tcW w:w="1260" w:type="dxa"/>
            <w:noWrap/>
            <w:hideMark/>
          </w:tcPr>
          <w:p w14:paraId="73850408" w14:textId="40124A8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6.32 ***</w:t>
            </w:r>
          </w:p>
        </w:tc>
        <w:tc>
          <w:tcPr>
            <w:tcW w:w="846" w:type="dxa"/>
            <w:noWrap/>
            <w:hideMark/>
          </w:tcPr>
          <w:p w14:paraId="50F8A695" w14:textId="71FDB13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r>
      <w:tr w:rsidR="00030CA7" w:rsidRPr="00984E95" w14:paraId="16D3428B" w14:textId="77777777" w:rsidTr="00920BED">
        <w:trPr>
          <w:trHeight w:val="300"/>
          <w:jc w:val="center"/>
        </w:trPr>
        <w:tc>
          <w:tcPr>
            <w:tcW w:w="1818" w:type="dxa"/>
            <w:noWrap/>
            <w:hideMark/>
          </w:tcPr>
          <w:p w14:paraId="326688A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Seed yield per plant (g)</w:t>
            </w:r>
          </w:p>
        </w:tc>
        <w:tc>
          <w:tcPr>
            <w:tcW w:w="810" w:type="dxa"/>
            <w:noWrap/>
            <w:hideMark/>
          </w:tcPr>
          <w:p w14:paraId="22942DE1" w14:textId="58B3BA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2.16</w:t>
            </w:r>
          </w:p>
        </w:tc>
        <w:tc>
          <w:tcPr>
            <w:tcW w:w="1350" w:type="dxa"/>
            <w:noWrap/>
            <w:hideMark/>
          </w:tcPr>
          <w:p w14:paraId="29B0DCB8" w14:textId="3E8BA77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42.12 ***</w:t>
            </w:r>
          </w:p>
        </w:tc>
        <w:tc>
          <w:tcPr>
            <w:tcW w:w="1260" w:type="dxa"/>
            <w:noWrap/>
            <w:hideMark/>
          </w:tcPr>
          <w:p w14:paraId="0110395E" w14:textId="5550C9A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67.79***</w:t>
            </w:r>
          </w:p>
        </w:tc>
        <w:tc>
          <w:tcPr>
            <w:tcW w:w="1080" w:type="dxa"/>
            <w:noWrap/>
            <w:hideMark/>
          </w:tcPr>
          <w:p w14:paraId="6675794D" w14:textId="3C42FED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41.64 ***</w:t>
            </w:r>
          </w:p>
        </w:tc>
        <w:tc>
          <w:tcPr>
            <w:tcW w:w="1260" w:type="dxa"/>
            <w:noWrap/>
            <w:hideMark/>
          </w:tcPr>
          <w:p w14:paraId="43BB7AFB" w14:textId="18C1ED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7.47</w:t>
            </w:r>
          </w:p>
        </w:tc>
        <w:tc>
          <w:tcPr>
            <w:tcW w:w="846" w:type="dxa"/>
            <w:noWrap/>
            <w:hideMark/>
          </w:tcPr>
          <w:p w14:paraId="0A69C5BB" w14:textId="6D83BD2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2.88</w:t>
            </w:r>
          </w:p>
        </w:tc>
      </w:tr>
      <w:tr w:rsidR="00030CA7" w:rsidRPr="00984E95" w14:paraId="271BE7C4" w14:textId="77777777" w:rsidTr="00920BED">
        <w:trPr>
          <w:trHeight w:val="300"/>
          <w:jc w:val="center"/>
        </w:trPr>
        <w:tc>
          <w:tcPr>
            <w:tcW w:w="1818" w:type="dxa"/>
            <w:noWrap/>
            <w:hideMark/>
          </w:tcPr>
          <w:p w14:paraId="41AC9D6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content (%)</w:t>
            </w:r>
          </w:p>
        </w:tc>
        <w:tc>
          <w:tcPr>
            <w:tcW w:w="810" w:type="dxa"/>
            <w:noWrap/>
            <w:hideMark/>
          </w:tcPr>
          <w:p w14:paraId="161F0FCC" w14:textId="020E3F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2.67</w:t>
            </w:r>
          </w:p>
        </w:tc>
        <w:tc>
          <w:tcPr>
            <w:tcW w:w="1350" w:type="dxa"/>
            <w:noWrap/>
            <w:hideMark/>
          </w:tcPr>
          <w:p w14:paraId="40ADD25C" w14:textId="2FB25F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15.58 ***</w:t>
            </w:r>
          </w:p>
        </w:tc>
        <w:tc>
          <w:tcPr>
            <w:tcW w:w="1260" w:type="dxa"/>
            <w:noWrap/>
            <w:hideMark/>
          </w:tcPr>
          <w:p w14:paraId="676BF7AD" w14:textId="5075D3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255.02***</w:t>
            </w:r>
          </w:p>
        </w:tc>
        <w:tc>
          <w:tcPr>
            <w:tcW w:w="1080" w:type="dxa"/>
            <w:noWrap/>
            <w:hideMark/>
          </w:tcPr>
          <w:p w14:paraId="34098309" w14:textId="23628D1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8.73***</w:t>
            </w:r>
          </w:p>
        </w:tc>
        <w:tc>
          <w:tcPr>
            <w:tcW w:w="1260" w:type="dxa"/>
            <w:noWrap/>
            <w:hideMark/>
          </w:tcPr>
          <w:p w14:paraId="6BF4CC47" w14:textId="62C49DC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36.08 ***</w:t>
            </w:r>
          </w:p>
        </w:tc>
        <w:tc>
          <w:tcPr>
            <w:tcW w:w="846" w:type="dxa"/>
            <w:noWrap/>
            <w:hideMark/>
          </w:tcPr>
          <w:p w14:paraId="294DC218" w14:textId="116868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2.52</w:t>
            </w:r>
          </w:p>
        </w:tc>
      </w:tr>
      <w:tr w:rsidR="00030CA7" w:rsidRPr="00984E95" w14:paraId="56170DAB" w14:textId="77777777" w:rsidTr="00920BED">
        <w:trPr>
          <w:trHeight w:val="300"/>
          <w:jc w:val="center"/>
        </w:trPr>
        <w:tc>
          <w:tcPr>
            <w:tcW w:w="1818" w:type="dxa"/>
            <w:noWrap/>
            <w:hideMark/>
          </w:tcPr>
          <w:p w14:paraId="749703E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Hull content (%)</w:t>
            </w:r>
          </w:p>
        </w:tc>
        <w:tc>
          <w:tcPr>
            <w:tcW w:w="810" w:type="dxa"/>
            <w:noWrap/>
            <w:hideMark/>
          </w:tcPr>
          <w:p w14:paraId="607D6326" w14:textId="06A061D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4.50</w:t>
            </w:r>
          </w:p>
        </w:tc>
        <w:tc>
          <w:tcPr>
            <w:tcW w:w="1350" w:type="dxa"/>
            <w:noWrap/>
            <w:hideMark/>
          </w:tcPr>
          <w:p w14:paraId="4551857E" w14:textId="0C47566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49.63 ***</w:t>
            </w:r>
          </w:p>
        </w:tc>
        <w:tc>
          <w:tcPr>
            <w:tcW w:w="1260" w:type="dxa"/>
            <w:noWrap/>
            <w:hideMark/>
          </w:tcPr>
          <w:p w14:paraId="637B00B2" w14:textId="03D80F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264.15***</w:t>
            </w:r>
          </w:p>
        </w:tc>
        <w:tc>
          <w:tcPr>
            <w:tcW w:w="1080" w:type="dxa"/>
            <w:noWrap/>
            <w:hideMark/>
          </w:tcPr>
          <w:p w14:paraId="00D6A946" w14:textId="16CA9820"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39.37***</w:t>
            </w:r>
          </w:p>
        </w:tc>
        <w:tc>
          <w:tcPr>
            <w:tcW w:w="1260" w:type="dxa"/>
            <w:noWrap/>
            <w:hideMark/>
          </w:tcPr>
          <w:p w14:paraId="46289887" w14:textId="609EA9F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659.10 ***</w:t>
            </w:r>
          </w:p>
        </w:tc>
        <w:tc>
          <w:tcPr>
            <w:tcW w:w="846" w:type="dxa"/>
            <w:noWrap/>
            <w:hideMark/>
          </w:tcPr>
          <w:p w14:paraId="1E70526E" w14:textId="26CC94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6.45</w:t>
            </w:r>
          </w:p>
        </w:tc>
      </w:tr>
      <w:tr w:rsidR="00030CA7" w:rsidRPr="00984E95" w14:paraId="33A44A3A" w14:textId="77777777" w:rsidTr="00920BED">
        <w:trPr>
          <w:trHeight w:val="300"/>
          <w:jc w:val="center"/>
        </w:trPr>
        <w:tc>
          <w:tcPr>
            <w:tcW w:w="1818" w:type="dxa"/>
            <w:tcBorders>
              <w:bottom w:val="single" w:sz="4" w:space="0" w:color="auto"/>
            </w:tcBorders>
            <w:noWrap/>
            <w:hideMark/>
          </w:tcPr>
          <w:p w14:paraId="79DECE89" w14:textId="62C635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yield</w:t>
            </w:r>
            <w:r w:rsidR="00030CA7">
              <w:rPr>
                <w:rFonts w:ascii="Arial" w:hAnsi="Arial" w:cs="Arial"/>
                <w:sz w:val="20"/>
                <w:szCs w:val="20"/>
                <w:lang w:val="en-IN"/>
              </w:rPr>
              <w:t xml:space="preserve"> per plant (g)</w:t>
            </w:r>
          </w:p>
        </w:tc>
        <w:tc>
          <w:tcPr>
            <w:tcW w:w="810" w:type="dxa"/>
            <w:tcBorders>
              <w:bottom w:val="single" w:sz="4" w:space="0" w:color="auto"/>
            </w:tcBorders>
            <w:noWrap/>
            <w:hideMark/>
          </w:tcPr>
          <w:p w14:paraId="73A649E3" w14:textId="3EC53115"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1.15</w:t>
            </w:r>
          </w:p>
        </w:tc>
        <w:tc>
          <w:tcPr>
            <w:tcW w:w="1350" w:type="dxa"/>
            <w:tcBorders>
              <w:bottom w:val="single" w:sz="4" w:space="0" w:color="auto"/>
            </w:tcBorders>
            <w:noWrap/>
            <w:hideMark/>
          </w:tcPr>
          <w:p w14:paraId="4D6D8DDD" w14:textId="22435FB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19.56***</w:t>
            </w:r>
          </w:p>
        </w:tc>
        <w:tc>
          <w:tcPr>
            <w:tcW w:w="1260" w:type="dxa"/>
            <w:tcBorders>
              <w:bottom w:val="single" w:sz="4" w:space="0" w:color="auto"/>
            </w:tcBorders>
            <w:noWrap/>
            <w:hideMark/>
          </w:tcPr>
          <w:p w14:paraId="7EE82F9F" w14:textId="703CF84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315.10***</w:t>
            </w:r>
          </w:p>
        </w:tc>
        <w:tc>
          <w:tcPr>
            <w:tcW w:w="1080" w:type="dxa"/>
            <w:tcBorders>
              <w:bottom w:val="single" w:sz="4" w:space="0" w:color="auto"/>
            </w:tcBorders>
            <w:noWrap/>
            <w:hideMark/>
          </w:tcPr>
          <w:p w14:paraId="2C77ECE3" w14:textId="5DA92D8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10.75***</w:t>
            </w:r>
          </w:p>
        </w:tc>
        <w:tc>
          <w:tcPr>
            <w:tcW w:w="1260" w:type="dxa"/>
            <w:tcBorders>
              <w:bottom w:val="single" w:sz="4" w:space="0" w:color="auto"/>
            </w:tcBorders>
            <w:noWrap/>
            <w:hideMark/>
          </w:tcPr>
          <w:p w14:paraId="0FC77957" w14:textId="22BBC6E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98.21</w:t>
            </w:r>
          </w:p>
        </w:tc>
        <w:tc>
          <w:tcPr>
            <w:tcW w:w="846" w:type="dxa"/>
            <w:tcBorders>
              <w:bottom w:val="single" w:sz="4" w:space="0" w:color="auto"/>
            </w:tcBorders>
            <w:noWrap/>
            <w:hideMark/>
          </w:tcPr>
          <w:p w14:paraId="7286ACE9" w14:textId="0C7A2CD7" w:rsidR="00984E95" w:rsidRPr="00984E95" w:rsidRDefault="00984E95" w:rsidP="008E3FEA">
            <w:pPr>
              <w:pStyle w:val="Body"/>
              <w:spacing w:after="0"/>
              <w:rPr>
                <w:rFonts w:ascii="Arial" w:hAnsi="Arial" w:cs="Arial"/>
                <w:sz w:val="20"/>
                <w:szCs w:val="20"/>
              </w:rPr>
            </w:pPr>
            <w:r>
              <w:rPr>
                <w:rFonts w:ascii="Arial" w:hAnsi="Arial" w:cs="Arial"/>
                <w:sz w:val="20"/>
                <w:szCs w:val="20"/>
              </w:rPr>
              <w:t>1.73</w:t>
            </w:r>
          </w:p>
        </w:tc>
      </w:tr>
    </w:tbl>
    <w:p w14:paraId="0292E7CC" w14:textId="1FFCC214" w:rsidR="00565FEE" w:rsidRPr="00AB1D24" w:rsidRDefault="00464E2C" w:rsidP="00AB1D24">
      <w:pPr>
        <w:pStyle w:val="Body"/>
        <w:rPr>
          <w:rFonts w:ascii="Arial" w:hAnsi="Arial" w:cs="Arial"/>
          <w:lang w:val="en-IN"/>
        </w:rPr>
      </w:pPr>
      <w:r w:rsidRPr="00464E2C">
        <w:rPr>
          <w:rFonts w:ascii="Arial" w:hAnsi="Arial" w:cs="Arial"/>
          <w:lang w:val="en-IN"/>
        </w:rPr>
        <w:t xml:space="preserve">*Significant at 0.05 </w:t>
      </w:r>
      <w:proofErr w:type="gramStart"/>
      <w:r w:rsidRPr="00464E2C">
        <w:rPr>
          <w:rFonts w:ascii="Arial" w:hAnsi="Arial" w:cs="Arial"/>
          <w:lang w:val="en-IN"/>
        </w:rPr>
        <w:t>level  *</w:t>
      </w:r>
      <w:proofErr w:type="gramEnd"/>
      <w:r w:rsidRPr="00464E2C">
        <w:rPr>
          <w:rFonts w:ascii="Arial" w:hAnsi="Arial" w:cs="Arial"/>
          <w:lang w:val="en-IN"/>
        </w:rPr>
        <w:t>*Significant at 0.01 level *** Significant at 0.001 level of probability</w:t>
      </w:r>
    </w:p>
    <w:p w14:paraId="1D393A48" w14:textId="501EB70B" w:rsidR="00464E2C" w:rsidRPr="008E3FEA" w:rsidRDefault="00464E2C" w:rsidP="00464E2C">
      <w:pPr>
        <w:pStyle w:val="Body"/>
        <w:rPr>
          <w:rFonts w:ascii="Arial" w:hAnsi="Arial" w:cs="Arial"/>
          <w:b/>
          <w:bCs/>
          <w:sz w:val="22"/>
          <w:szCs w:val="22"/>
        </w:rPr>
      </w:pPr>
      <w:r w:rsidRPr="008E3FEA">
        <w:rPr>
          <w:rFonts w:ascii="Arial" w:hAnsi="Arial" w:cs="Arial"/>
          <w:b/>
          <w:bCs/>
          <w:sz w:val="22"/>
          <w:szCs w:val="22"/>
        </w:rPr>
        <w:t>3.2 Descriptive statistics and genetic parameters for 11 yield and yield attributing traits of maintainer and restorer lines</w:t>
      </w:r>
    </w:p>
    <w:p w14:paraId="526423AD" w14:textId="0442DD02" w:rsidR="00B95236" w:rsidRPr="00920BED" w:rsidRDefault="00AB1D24" w:rsidP="00441B6F">
      <w:pPr>
        <w:pStyle w:val="Body"/>
        <w:spacing w:after="0"/>
        <w:rPr>
          <w:rFonts w:ascii="Arial" w:hAnsi="Arial" w:cs="Arial"/>
        </w:rPr>
      </w:pPr>
      <w:r w:rsidRPr="00920BED">
        <w:rPr>
          <w:rFonts w:ascii="Arial" w:eastAsia="Calibri" w:hAnsi="Arial" w:cs="Arial"/>
          <w:szCs w:val="22"/>
        </w:rPr>
        <w:t>Through this study, an attempt was made to assess the mean performance and extent of variability in the 121 maintainer lines and 17 restorer lines for 1</w:t>
      </w:r>
      <w:r w:rsidR="00920BED">
        <w:rPr>
          <w:rFonts w:ascii="Arial" w:eastAsia="Calibri" w:hAnsi="Arial" w:cs="Arial"/>
          <w:szCs w:val="22"/>
        </w:rPr>
        <w:t>1</w:t>
      </w:r>
      <w:r w:rsidRPr="00920BED">
        <w:rPr>
          <w:rFonts w:ascii="Arial" w:eastAsia="Calibri" w:hAnsi="Arial" w:cs="Arial"/>
          <w:szCs w:val="22"/>
        </w:rPr>
        <w:t xml:space="preserve"> quantitative traits. The descriptive statistics of oil yield and yield attributing traits for both maintainer and restorer lines are given in Table 2a and Table 2b. The estimates of phenotypic coefficients of variation (PCV), genotypic coefficient of variation (GCV), heritability (h</w:t>
      </w:r>
      <w:r w:rsidRPr="00920BED">
        <w:rPr>
          <w:rFonts w:ascii="Arial" w:eastAsia="Calibri" w:hAnsi="Arial" w:cs="Arial"/>
          <w:szCs w:val="22"/>
          <w:vertAlign w:val="superscript"/>
        </w:rPr>
        <w:t>2</w:t>
      </w:r>
      <w:r w:rsidRPr="00920BED">
        <w:rPr>
          <w:rFonts w:ascii="Arial" w:eastAsia="Calibri" w:hAnsi="Arial" w:cs="Arial"/>
          <w:szCs w:val="22"/>
        </w:rPr>
        <w:t xml:space="preserve"> broad sense) and genetic advance as per cent of mean (GAM) computed are presented in Table 3.</w:t>
      </w:r>
    </w:p>
    <w:p w14:paraId="66B9986F" w14:textId="77777777" w:rsidR="00790ADA" w:rsidRPr="00920BED" w:rsidRDefault="00790ADA" w:rsidP="00441B6F">
      <w:pPr>
        <w:pStyle w:val="Body"/>
        <w:spacing w:after="0"/>
        <w:rPr>
          <w:rFonts w:ascii="Arial" w:hAnsi="Arial" w:cs="Arial"/>
        </w:rPr>
      </w:pPr>
    </w:p>
    <w:p w14:paraId="7A75F6E6" w14:textId="263BA10C" w:rsidR="00E053D0" w:rsidRDefault="00AB1D24" w:rsidP="00441B6F">
      <w:pPr>
        <w:pStyle w:val="Body"/>
        <w:spacing w:after="0"/>
        <w:rPr>
          <w:rFonts w:ascii="Arial" w:hAnsi="Arial" w:cs="Arial"/>
        </w:rPr>
      </w:pPr>
      <w:r w:rsidRPr="00AB1D24">
        <w:rPr>
          <w:rFonts w:ascii="Arial" w:hAnsi="Arial" w:cs="Arial"/>
        </w:rPr>
        <w:t>Maintainer lines manifested mean plant height of 130.84 cm along with standardized range of 1.159 and absolute range of 151.67 cm. Days to 50 % flowering varied from 53 days to 79 days with mean of 62.87 days and standardized range of 0.41. The mean of days to maturity of maintainer lines was 93.56 days along with standardized range of 0.2</w:t>
      </w:r>
      <w:r w:rsidR="00920BED">
        <w:rPr>
          <w:rFonts w:ascii="Arial" w:hAnsi="Arial" w:cs="Arial"/>
        </w:rPr>
        <w:t>0</w:t>
      </w:r>
      <w:r w:rsidRPr="00AB1D24">
        <w:rPr>
          <w:rFonts w:ascii="Arial" w:hAnsi="Arial" w:cs="Arial"/>
        </w:rPr>
        <w:t xml:space="preserve"> and absolute range of 19 days. Stem girth varied from 13.40 mm to 27.80 mm along with standardized range of 0.755 and mean of 19.05 mm. Head diameter of maintainer lines manifested mean </w:t>
      </w:r>
      <w:r w:rsidRPr="00AB1D24">
        <w:rPr>
          <w:rFonts w:ascii="Arial" w:hAnsi="Arial" w:cs="Arial"/>
        </w:rPr>
        <w:lastRenderedPageBreak/>
        <w:t xml:space="preserve">of 13.10 cm, absolute range of 13.70 cm and standardized range of 1.045. Volume weight varied from 24.5 to 57.2 g per 100 ml along with standardized range of 0.75 and mean value of 43.14 g per 100 ml. </w:t>
      </w:r>
      <w:r w:rsidR="00D4017D" w:rsidRPr="00AB1D24">
        <w:rPr>
          <w:rFonts w:ascii="Arial" w:hAnsi="Arial" w:cs="Arial"/>
        </w:rPr>
        <w:t>Hundred</w:t>
      </w:r>
      <w:r w:rsidRPr="00AB1D24">
        <w:rPr>
          <w:rFonts w:ascii="Arial" w:hAnsi="Arial" w:cs="Arial"/>
        </w:rPr>
        <w:t xml:space="preserve"> seed weight exhibited mean of 4.80 g, absolute range of 6.27 g and standardized range of 1.30. Seed yield per plant recorded mean value of 22.18 g per plant, ranged from 9.0 g to 48.01 g and standardized range of 1.758. Hull content ranged from 20.06 % to 57.59 % with mean value of 32.48 % and standardized range of 1.15. Oil content recorded mean of 34.73 %, varied from 25.49 to 41.44 % along with the standardized range of 0.45. Oil yield per plant showed mean value of 7.74 g per plant, ranged from 2.99 to 16.72 g per plant along with standardized range of 1.77.</w:t>
      </w:r>
    </w:p>
    <w:p w14:paraId="67AC627B" w14:textId="77777777" w:rsidR="00920BED" w:rsidRPr="00920BED" w:rsidRDefault="00920BED" w:rsidP="00920BED">
      <w:pPr>
        <w:pStyle w:val="Body"/>
        <w:rPr>
          <w:rFonts w:ascii="Arial" w:hAnsi="Arial" w:cs="Arial"/>
        </w:rPr>
      </w:pPr>
      <w:r w:rsidRPr="00464E2C">
        <w:rPr>
          <w:rFonts w:ascii="Arial" w:hAnsi="Arial" w:cs="Arial"/>
          <w:b/>
          <w:bCs/>
        </w:rPr>
        <w:t>Table 2: Descriptive statistics for 1</w:t>
      </w:r>
      <w:r>
        <w:rPr>
          <w:rFonts w:ascii="Arial" w:hAnsi="Arial" w:cs="Arial"/>
          <w:b/>
          <w:bCs/>
        </w:rPr>
        <w:t>1</w:t>
      </w:r>
      <w:r w:rsidRPr="00464E2C">
        <w:rPr>
          <w:rFonts w:ascii="Arial" w:hAnsi="Arial" w:cs="Arial"/>
          <w:b/>
          <w:bCs/>
        </w:rPr>
        <w:t xml:space="preserve"> yield and yield attributing traits of maintainer lines</w:t>
      </w:r>
    </w:p>
    <w:tbl>
      <w:tblPr>
        <w:tblStyle w:val="TableGrid"/>
        <w:tblpPr w:leftFromText="180" w:rightFromText="180" w:vertAnchor="text" w:horzAnchor="margin" w:tblpY="128"/>
        <w:tblW w:w="0" w:type="auto"/>
        <w:tblLayout w:type="fixed"/>
        <w:tblLook w:val="04A0" w:firstRow="1" w:lastRow="0" w:firstColumn="1" w:lastColumn="0" w:noHBand="0" w:noVBand="1"/>
      </w:tblPr>
      <w:tblGrid>
        <w:gridCol w:w="783"/>
        <w:gridCol w:w="1616"/>
        <w:gridCol w:w="1327"/>
        <w:gridCol w:w="905"/>
        <w:gridCol w:w="925"/>
        <w:gridCol w:w="1630"/>
        <w:gridCol w:w="1238"/>
      </w:tblGrid>
      <w:tr w:rsidR="00920BED" w:rsidRPr="00464E2C" w14:paraId="08F7E791" w14:textId="77777777" w:rsidTr="00D826B8">
        <w:trPr>
          <w:trHeight w:val="225"/>
        </w:trPr>
        <w:tc>
          <w:tcPr>
            <w:tcW w:w="783" w:type="dxa"/>
            <w:vMerge w:val="restart"/>
            <w:vAlign w:val="center"/>
          </w:tcPr>
          <w:p w14:paraId="5B4B086F" w14:textId="77777777" w:rsidR="00920BED" w:rsidRPr="00464E2C" w:rsidRDefault="00920BED" w:rsidP="00D826B8">
            <w:pPr>
              <w:jc w:val="center"/>
              <w:rPr>
                <w:rFonts w:ascii="Arial" w:hAnsi="Arial" w:cs="Arial"/>
                <w:b/>
                <w:bCs/>
                <w:color w:val="000000" w:themeColor="text1"/>
                <w:sz w:val="20"/>
                <w:szCs w:val="20"/>
              </w:rPr>
            </w:pPr>
            <w:bookmarkStart w:id="11" w:name="_Hlk120007429"/>
            <w:r w:rsidRPr="00464E2C">
              <w:rPr>
                <w:rFonts w:ascii="Arial" w:hAnsi="Arial" w:cs="Arial"/>
                <w:b/>
                <w:bCs/>
                <w:color w:val="000000" w:themeColor="text1"/>
                <w:sz w:val="20"/>
                <w:szCs w:val="20"/>
              </w:rPr>
              <w:t>S</w:t>
            </w:r>
            <w:r>
              <w:rPr>
                <w:rFonts w:ascii="Arial" w:hAnsi="Arial" w:cs="Arial"/>
                <w:b/>
                <w:bCs/>
                <w:color w:val="000000" w:themeColor="text1"/>
                <w:sz w:val="20"/>
                <w:szCs w:val="20"/>
              </w:rPr>
              <w:t>L</w:t>
            </w:r>
            <w:r w:rsidRPr="00464E2C">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1616" w:type="dxa"/>
            <w:vMerge w:val="restart"/>
            <w:vAlign w:val="center"/>
          </w:tcPr>
          <w:p w14:paraId="688F7EE9"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1327" w:type="dxa"/>
            <w:vMerge w:val="restart"/>
            <w:vAlign w:val="center"/>
          </w:tcPr>
          <w:p w14:paraId="6404A2C2" w14:textId="77777777" w:rsidR="00920BED" w:rsidRPr="00464E2C" w:rsidRDefault="00920BED" w:rsidP="00D826B8">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1830" w:type="dxa"/>
            <w:gridSpan w:val="2"/>
            <w:vAlign w:val="center"/>
          </w:tcPr>
          <w:p w14:paraId="20E4DED2"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1630" w:type="dxa"/>
            <w:vMerge w:val="restart"/>
            <w:vAlign w:val="center"/>
          </w:tcPr>
          <w:p w14:paraId="0744D8D0" w14:textId="77777777" w:rsidR="00920BED" w:rsidRPr="00464E2C" w:rsidRDefault="00920BED" w:rsidP="00D826B8">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1238" w:type="dxa"/>
            <w:vMerge w:val="restart"/>
            <w:vAlign w:val="center"/>
          </w:tcPr>
          <w:p w14:paraId="773E51B7" w14:textId="77777777" w:rsidR="00920BED" w:rsidRPr="00464E2C" w:rsidRDefault="00920BED" w:rsidP="00D826B8">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2CD1D57D" w14:textId="77777777" w:rsidR="00920BED" w:rsidRPr="00464E2C" w:rsidRDefault="00920BED" w:rsidP="00D826B8">
            <w:pPr>
              <w:ind w:left="-107" w:right="-105"/>
              <w:jc w:val="center"/>
              <w:rPr>
                <w:rFonts w:ascii="Arial" w:hAnsi="Arial" w:cs="Arial"/>
                <w:b/>
                <w:bCs/>
                <w:color w:val="000000" w:themeColor="text1"/>
                <w:sz w:val="20"/>
                <w:szCs w:val="20"/>
              </w:rPr>
            </w:pPr>
          </w:p>
        </w:tc>
      </w:tr>
      <w:tr w:rsidR="00920BED" w:rsidRPr="00464E2C" w14:paraId="7EE5922B" w14:textId="77777777" w:rsidTr="00D826B8">
        <w:trPr>
          <w:trHeight w:val="225"/>
        </w:trPr>
        <w:tc>
          <w:tcPr>
            <w:tcW w:w="783" w:type="dxa"/>
            <w:vMerge/>
            <w:vAlign w:val="center"/>
          </w:tcPr>
          <w:p w14:paraId="297B6045" w14:textId="77777777" w:rsidR="00920BED" w:rsidRPr="00464E2C" w:rsidRDefault="00920BED" w:rsidP="00D826B8">
            <w:pPr>
              <w:jc w:val="center"/>
              <w:rPr>
                <w:rFonts w:ascii="Arial" w:hAnsi="Arial" w:cs="Arial"/>
                <w:b/>
                <w:bCs/>
                <w:color w:val="000000" w:themeColor="text1"/>
                <w:sz w:val="20"/>
                <w:szCs w:val="20"/>
              </w:rPr>
            </w:pPr>
          </w:p>
        </w:tc>
        <w:tc>
          <w:tcPr>
            <w:tcW w:w="1616" w:type="dxa"/>
            <w:vMerge/>
            <w:vAlign w:val="center"/>
          </w:tcPr>
          <w:p w14:paraId="7D29128D" w14:textId="77777777" w:rsidR="00920BED" w:rsidRPr="00464E2C" w:rsidRDefault="00920BED" w:rsidP="00D826B8">
            <w:pPr>
              <w:jc w:val="center"/>
              <w:rPr>
                <w:rFonts w:ascii="Arial" w:hAnsi="Arial" w:cs="Arial"/>
                <w:b/>
                <w:bCs/>
                <w:color w:val="000000" w:themeColor="text1"/>
                <w:sz w:val="20"/>
                <w:szCs w:val="20"/>
              </w:rPr>
            </w:pPr>
          </w:p>
        </w:tc>
        <w:tc>
          <w:tcPr>
            <w:tcW w:w="1327" w:type="dxa"/>
            <w:vMerge/>
            <w:vAlign w:val="center"/>
          </w:tcPr>
          <w:p w14:paraId="2BB9A31C" w14:textId="77777777" w:rsidR="00920BED" w:rsidRPr="00464E2C" w:rsidRDefault="00920BED" w:rsidP="00D826B8">
            <w:pPr>
              <w:jc w:val="center"/>
              <w:rPr>
                <w:rFonts w:ascii="Arial" w:hAnsi="Arial" w:cs="Arial"/>
                <w:b/>
                <w:bCs/>
                <w:color w:val="000000" w:themeColor="text1"/>
                <w:sz w:val="20"/>
                <w:szCs w:val="20"/>
              </w:rPr>
            </w:pPr>
          </w:p>
        </w:tc>
        <w:tc>
          <w:tcPr>
            <w:tcW w:w="905" w:type="dxa"/>
            <w:vAlign w:val="center"/>
          </w:tcPr>
          <w:p w14:paraId="0BB334A1" w14:textId="77777777" w:rsidR="00920BED" w:rsidRPr="00464E2C" w:rsidRDefault="00920BED" w:rsidP="00D826B8">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925" w:type="dxa"/>
            <w:vAlign w:val="center"/>
          </w:tcPr>
          <w:p w14:paraId="74F6B497" w14:textId="77777777" w:rsidR="00920BED" w:rsidRPr="00464E2C" w:rsidRDefault="00920BED" w:rsidP="00D826B8">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1630" w:type="dxa"/>
            <w:vMerge/>
            <w:vAlign w:val="center"/>
          </w:tcPr>
          <w:p w14:paraId="377AF639" w14:textId="77777777" w:rsidR="00920BED" w:rsidRPr="00464E2C" w:rsidRDefault="00920BED" w:rsidP="00D826B8">
            <w:pPr>
              <w:jc w:val="center"/>
              <w:rPr>
                <w:rFonts w:ascii="Arial" w:hAnsi="Arial" w:cs="Arial"/>
                <w:b/>
                <w:bCs/>
                <w:color w:val="000000" w:themeColor="text1"/>
                <w:sz w:val="20"/>
                <w:szCs w:val="20"/>
              </w:rPr>
            </w:pPr>
          </w:p>
        </w:tc>
        <w:tc>
          <w:tcPr>
            <w:tcW w:w="1238" w:type="dxa"/>
            <w:vMerge/>
            <w:vAlign w:val="center"/>
          </w:tcPr>
          <w:p w14:paraId="0344BBCE" w14:textId="77777777" w:rsidR="00920BED" w:rsidRPr="00464E2C" w:rsidRDefault="00920BED" w:rsidP="00D826B8">
            <w:pPr>
              <w:jc w:val="center"/>
              <w:rPr>
                <w:rFonts w:ascii="Arial" w:hAnsi="Arial" w:cs="Arial"/>
                <w:b/>
                <w:bCs/>
                <w:color w:val="000000" w:themeColor="text1"/>
                <w:sz w:val="20"/>
                <w:szCs w:val="20"/>
              </w:rPr>
            </w:pPr>
          </w:p>
        </w:tc>
      </w:tr>
      <w:tr w:rsidR="00920BED" w:rsidRPr="00464E2C" w14:paraId="6661D372" w14:textId="77777777" w:rsidTr="00D826B8">
        <w:tc>
          <w:tcPr>
            <w:tcW w:w="783" w:type="dxa"/>
          </w:tcPr>
          <w:p w14:paraId="48256EA3"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1616" w:type="dxa"/>
          </w:tcPr>
          <w:p w14:paraId="5F124D16"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1327" w:type="dxa"/>
          </w:tcPr>
          <w:p w14:paraId="5C24381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130.84±2.89</w:t>
            </w:r>
          </w:p>
        </w:tc>
        <w:tc>
          <w:tcPr>
            <w:tcW w:w="905" w:type="dxa"/>
          </w:tcPr>
          <w:p w14:paraId="7488577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61.33</w:t>
            </w:r>
          </w:p>
        </w:tc>
        <w:tc>
          <w:tcPr>
            <w:tcW w:w="925" w:type="dxa"/>
          </w:tcPr>
          <w:p w14:paraId="2D90684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213</w:t>
            </w:r>
          </w:p>
        </w:tc>
        <w:tc>
          <w:tcPr>
            <w:tcW w:w="1630" w:type="dxa"/>
          </w:tcPr>
          <w:p w14:paraId="17FCD23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1.159</w:t>
            </w:r>
          </w:p>
        </w:tc>
        <w:tc>
          <w:tcPr>
            <w:tcW w:w="1238" w:type="dxa"/>
          </w:tcPr>
          <w:p w14:paraId="591A70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151.67</w:t>
            </w:r>
          </w:p>
        </w:tc>
      </w:tr>
      <w:tr w:rsidR="00920BED" w:rsidRPr="00464E2C" w14:paraId="1E645FBE" w14:textId="77777777" w:rsidTr="00D826B8">
        <w:trPr>
          <w:trHeight w:val="980"/>
        </w:trPr>
        <w:tc>
          <w:tcPr>
            <w:tcW w:w="783" w:type="dxa"/>
          </w:tcPr>
          <w:p w14:paraId="51F9AF8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1616" w:type="dxa"/>
          </w:tcPr>
          <w:p w14:paraId="72CEC1B3"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1327" w:type="dxa"/>
          </w:tcPr>
          <w:p w14:paraId="00E9E8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62.87±0.54</w:t>
            </w:r>
          </w:p>
        </w:tc>
        <w:tc>
          <w:tcPr>
            <w:tcW w:w="905" w:type="dxa"/>
          </w:tcPr>
          <w:p w14:paraId="2878875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53</w:t>
            </w:r>
          </w:p>
        </w:tc>
        <w:tc>
          <w:tcPr>
            <w:tcW w:w="925" w:type="dxa"/>
          </w:tcPr>
          <w:p w14:paraId="32ED63D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79</w:t>
            </w:r>
          </w:p>
        </w:tc>
        <w:tc>
          <w:tcPr>
            <w:tcW w:w="1630" w:type="dxa"/>
          </w:tcPr>
          <w:p w14:paraId="581CBDE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0.413</w:t>
            </w:r>
          </w:p>
        </w:tc>
        <w:tc>
          <w:tcPr>
            <w:tcW w:w="1238" w:type="dxa"/>
          </w:tcPr>
          <w:p w14:paraId="61AF553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26.00</w:t>
            </w:r>
          </w:p>
        </w:tc>
      </w:tr>
      <w:tr w:rsidR="00920BED" w:rsidRPr="00464E2C" w14:paraId="490DB32D" w14:textId="77777777" w:rsidTr="00D826B8">
        <w:tc>
          <w:tcPr>
            <w:tcW w:w="783" w:type="dxa"/>
          </w:tcPr>
          <w:p w14:paraId="0BB9CA2D"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1616" w:type="dxa"/>
          </w:tcPr>
          <w:p w14:paraId="718DE521"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1327" w:type="dxa"/>
          </w:tcPr>
          <w:p w14:paraId="6B9C197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93.56±0.46</w:t>
            </w:r>
          </w:p>
        </w:tc>
        <w:tc>
          <w:tcPr>
            <w:tcW w:w="905" w:type="dxa"/>
          </w:tcPr>
          <w:p w14:paraId="5E89315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85</w:t>
            </w:r>
          </w:p>
        </w:tc>
        <w:tc>
          <w:tcPr>
            <w:tcW w:w="925" w:type="dxa"/>
          </w:tcPr>
          <w:p w14:paraId="5037758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w:t>
            </w:r>
          </w:p>
        </w:tc>
        <w:tc>
          <w:tcPr>
            <w:tcW w:w="1630" w:type="dxa"/>
          </w:tcPr>
          <w:p w14:paraId="7AA3C2F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0.203</w:t>
            </w:r>
          </w:p>
        </w:tc>
        <w:tc>
          <w:tcPr>
            <w:tcW w:w="1238" w:type="dxa"/>
          </w:tcPr>
          <w:p w14:paraId="777B1CD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19.00</w:t>
            </w:r>
          </w:p>
        </w:tc>
      </w:tr>
      <w:tr w:rsidR="00920BED" w:rsidRPr="00464E2C" w14:paraId="34AD8EDB" w14:textId="77777777" w:rsidTr="00D826B8">
        <w:tc>
          <w:tcPr>
            <w:tcW w:w="783" w:type="dxa"/>
          </w:tcPr>
          <w:p w14:paraId="2D9FAE2C" w14:textId="77777777" w:rsidR="00920BED" w:rsidRPr="00464E2C" w:rsidRDefault="00920BED" w:rsidP="00D826B8">
            <w:pPr>
              <w:jc w:val="center"/>
              <w:rPr>
                <w:rFonts w:ascii="Arial" w:hAnsi="Arial" w:cs="Arial"/>
                <w:b/>
                <w:bCs/>
                <w:color w:val="000000" w:themeColor="text1"/>
                <w:sz w:val="20"/>
                <w:szCs w:val="20"/>
              </w:rPr>
            </w:pPr>
            <w:bookmarkStart w:id="12" w:name="_Hlk211159123"/>
            <w:r w:rsidRPr="00464E2C">
              <w:rPr>
                <w:rFonts w:ascii="Arial" w:hAnsi="Arial" w:cs="Arial"/>
                <w:b/>
                <w:bCs/>
                <w:color w:val="000000" w:themeColor="text1"/>
                <w:sz w:val="20"/>
                <w:szCs w:val="20"/>
              </w:rPr>
              <w:t>4</w:t>
            </w:r>
          </w:p>
        </w:tc>
        <w:tc>
          <w:tcPr>
            <w:tcW w:w="1616" w:type="dxa"/>
          </w:tcPr>
          <w:p w14:paraId="61E9AC3E" w14:textId="77777777" w:rsidR="00920BED" w:rsidRPr="00464E2C" w:rsidRDefault="00920BED" w:rsidP="00D826B8">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1327" w:type="dxa"/>
          </w:tcPr>
          <w:p w14:paraId="5C81B3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19.05±0.27</w:t>
            </w:r>
          </w:p>
        </w:tc>
        <w:tc>
          <w:tcPr>
            <w:tcW w:w="905" w:type="dxa"/>
          </w:tcPr>
          <w:p w14:paraId="76D7801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13.4</w:t>
            </w:r>
          </w:p>
        </w:tc>
        <w:tc>
          <w:tcPr>
            <w:tcW w:w="925" w:type="dxa"/>
          </w:tcPr>
          <w:p w14:paraId="4459D6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27.8</w:t>
            </w:r>
          </w:p>
        </w:tc>
        <w:tc>
          <w:tcPr>
            <w:tcW w:w="1630" w:type="dxa"/>
          </w:tcPr>
          <w:p w14:paraId="458DD9C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0.755</w:t>
            </w:r>
          </w:p>
        </w:tc>
        <w:tc>
          <w:tcPr>
            <w:tcW w:w="1238" w:type="dxa"/>
          </w:tcPr>
          <w:p w14:paraId="6DE992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14.40</w:t>
            </w:r>
          </w:p>
        </w:tc>
      </w:tr>
      <w:tr w:rsidR="00920BED" w:rsidRPr="00464E2C" w14:paraId="47D765F7" w14:textId="77777777" w:rsidTr="00D826B8">
        <w:tc>
          <w:tcPr>
            <w:tcW w:w="783" w:type="dxa"/>
          </w:tcPr>
          <w:p w14:paraId="014E397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1616" w:type="dxa"/>
          </w:tcPr>
          <w:p w14:paraId="30FF0570"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1327" w:type="dxa"/>
          </w:tcPr>
          <w:p w14:paraId="42805B8D" w14:textId="77777777" w:rsidR="00920BED" w:rsidRPr="00464E2C" w:rsidRDefault="00920BED" w:rsidP="00D826B8">
            <w:pPr>
              <w:jc w:val="center"/>
              <w:rPr>
                <w:rFonts w:ascii="Arial" w:hAnsi="Arial" w:cs="Arial"/>
                <w:color w:val="000000" w:themeColor="text1"/>
                <w:sz w:val="20"/>
                <w:szCs w:val="20"/>
              </w:rPr>
            </w:pPr>
            <w:bookmarkStart w:id="13" w:name="_Hlk211023781"/>
            <w:r w:rsidRPr="00464E2C">
              <w:rPr>
                <w:rFonts w:ascii="Arial" w:hAnsi="Arial" w:cs="Arial"/>
                <w:color w:val="000000" w:themeColor="text1"/>
                <w:sz w:val="20"/>
                <w:szCs w:val="20"/>
              </w:rPr>
              <w:t>13.10</w:t>
            </w:r>
            <w:bookmarkEnd w:id="13"/>
            <w:r w:rsidRPr="00464E2C">
              <w:rPr>
                <w:rFonts w:ascii="Arial" w:hAnsi="Arial" w:cs="Arial"/>
                <w:color w:val="000000" w:themeColor="text1"/>
                <w:sz w:val="20"/>
                <w:szCs w:val="20"/>
              </w:rPr>
              <w:t>±0.19</w:t>
            </w:r>
          </w:p>
        </w:tc>
        <w:tc>
          <w:tcPr>
            <w:tcW w:w="905" w:type="dxa"/>
          </w:tcPr>
          <w:p w14:paraId="5145089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6.5</w:t>
            </w:r>
          </w:p>
        </w:tc>
        <w:tc>
          <w:tcPr>
            <w:tcW w:w="925" w:type="dxa"/>
          </w:tcPr>
          <w:p w14:paraId="6067CBF8"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20.2</w:t>
            </w:r>
          </w:p>
        </w:tc>
        <w:tc>
          <w:tcPr>
            <w:tcW w:w="1630" w:type="dxa"/>
          </w:tcPr>
          <w:p w14:paraId="0908C2A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1.045</w:t>
            </w:r>
          </w:p>
        </w:tc>
        <w:tc>
          <w:tcPr>
            <w:tcW w:w="1238" w:type="dxa"/>
          </w:tcPr>
          <w:p w14:paraId="301F9D0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13.70</w:t>
            </w:r>
          </w:p>
        </w:tc>
      </w:tr>
      <w:tr w:rsidR="00920BED" w:rsidRPr="00464E2C" w14:paraId="5C5EB7D7" w14:textId="77777777" w:rsidTr="00D826B8">
        <w:tc>
          <w:tcPr>
            <w:tcW w:w="783" w:type="dxa"/>
          </w:tcPr>
          <w:p w14:paraId="2D6F8175"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1616" w:type="dxa"/>
          </w:tcPr>
          <w:p w14:paraId="29C63F5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1327" w:type="dxa"/>
          </w:tcPr>
          <w:p w14:paraId="3578E4A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43.14±0.55</w:t>
            </w:r>
          </w:p>
        </w:tc>
        <w:tc>
          <w:tcPr>
            <w:tcW w:w="905" w:type="dxa"/>
          </w:tcPr>
          <w:p w14:paraId="79E840F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925" w:type="dxa"/>
          </w:tcPr>
          <w:p w14:paraId="5E11385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57.2</w:t>
            </w:r>
          </w:p>
        </w:tc>
        <w:tc>
          <w:tcPr>
            <w:tcW w:w="1630" w:type="dxa"/>
          </w:tcPr>
          <w:p w14:paraId="55AA6D8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0.758</w:t>
            </w:r>
          </w:p>
        </w:tc>
        <w:tc>
          <w:tcPr>
            <w:tcW w:w="1238" w:type="dxa"/>
          </w:tcPr>
          <w:p w14:paraId="0639397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32.70</w:t>
            </w:r>
          </w:p>
        </w:tc>
      </w:tr>
      <w:tr w:rsidR="00920BED" w:rsidRPr="00464E2C" w14:paraId="07CF5597" w14:textId="77777777" w:rsidTr="00D826B8">
        <w:trPr>
          <w:trHeight w:val="268"/>
        </w:trPr>
        <w:tc>
          <w:tcPr>
            <w:tcW w:w="783" w:type="dxa"/>
          </w:tcPr>
          <w:p w14:paraId="38BF87A0"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1616" w:type="dxa"/>
          </w:tcPr>
          <w:p w14:paraId="26C2DAC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1327" w:type="dxa"/>
          </w:tcPr>
          <w:p w14:paraId="1C4F82A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4.80±0.09</w:t>
            </w:r>
          </w:p>
        </w:tc>
        <w:tc>
          <w:tcPr>
            <w:tcW w:w="905" w:type="dxa"/>
          </w:tcPr>
          <w:p w14:paraId="3153CDE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1.79</w:t>
            </w:r>
          </w:p>
        </w:tc>
        <w:tc>
          <w:tcPr>
            <w:tcW w:w="925" w:type="dxa"/>
          </w:tcPr>
          <w:p w14:paraId="771003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8.06</w:t>
            </w:r>
          </w:p>
        </w:tc>
        <w:tc>
          <w:tcPr>
            <w:tcW w:w="1630" w:type="dxa"/>
          </w:tcPr>
          <w:p w14:paraId="3C529AB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1.306</w:t>
            </w:r>
          </w:p>
        </w:tc>
        <w:tc>
          <w:tcPr>
            <w:tcW w:w="1238" w:type="dxa"/>
          </w:tcPr>
          <w:p w14:paraId="480520F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6.27</w:t>
            </w:r>
          </w:p>
        </w:tc>
      </w:tr>
      <w:tr w:rsidR="00920BED" w:rsidRPr="00464E2C" w14:paraId="44CCD862" w14:textId="77777777" w:rsidTr="00D826B8">
        <w:tc>
          <w:tcPr>
            <w:tcW w:w="783" w:type="dxa"/>
          </w:tcPr>
          <w:p w14:paraId="381346DE"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1616" w:type="dxa"/>
          </w:tcPr>
          <w:p w14:paraId="5692714A"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1327" w:type="dxa"/>
          </w:tcPr>
          <w:p w14:paraId="4B10F8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22.18±0.62</w:t>
            </w:r>
          </w:p>
        </w:tc>
        <w:tc>
          <w:tcPr>
            <w:tcW w:w="905" w:type="dxa"/>
          </w:tcPr>
          <w:p w14:paraId="6507FDB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9.0</w:t>
            </w:r>
          </w:p>
        </w:tc>
        <w:tc>
          <w:tcPr>
            <w:tcW w:w="925" w:type="dxa"/>
          </w:tcPr>
          <w:p w14:paraId="7E9CE86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48.01</w:t>
            </w:r>
          </w:p>
        </w:tc>
        <w:tc>
          <w:tcPr>
            <w:tcW w:w="1630" w:type="dxa"/>
          </w:tcPr>
          <w:p w14:paraId="648DE8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1.758</w:t>
            </w:r>
          </w:p>
        </w:tc>
        <w:tc>
          <w:tcPr>
            <w:tcW w:w="1238" w:type="dxa"/>
          </w:tcPr>
          <w:p w14:paraId="3328F1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39.01</w:t>
            </w:r>
          </w:p>
        </w:tc>
      </w:tr>
      <w:tr w:rsidR="00920BED" w:rsidRPr="00464E2C" w14:paraId="0F640844" w14:textId="77777777" w:rsidTr="00D826B8">
        <w:tc>
          <w:tcPr>
            <w:tcW w:w="783" w:type="dxa"/>
          </w:tcPr>
          <w:p w14:paraId="01961394"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1616" w:type="dxa"/>
          </w:tcPr>
          <w:p w14:paraId="7579BE6C"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1327" w:type="dxa"/>
          </w:tcPr>
          <w:p w14:paraId="5A8B352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34.73±0.26</w:t>
            </w:r>
          </w:p>
        </w:tc>
        <w:tc>
          <w:tcPr>
            <w:tcW w:w="905" w:type="dxa"/>
          </w:tcPr>
          <w:p w14:paraId="2982677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c>
          <w:tcPr>
            <w:tcW w:w="925" w:type="dxa"/>
          </w:tcPr>
          <w:p w14:paraId="0AC9163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1630" w:type="dxa"/>
          </w:tcPr>
          <w:p w14:paraId="5F65A3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0.459</w:t>
            </w:r>
          </w:p>
        </w:tc>
        <w:tc>
          <w:tcPr>
            <w:tcW w:w="1238" w:type="dxa"/>
          </w:tcPr>
          <w:p w14:paraId="592C311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15.95</w:t>
            </w:r>
          </w:p>
        </w:tc>
      </w:tr>
      <w:tr w:rsidR="00920BED" w:rsidRPr="00464E2C" w14:paraId="5F9FEE8F" w14:textId="77777777" w:rsidTr="00D826B8">
        <w:tc>
          <w:tcPr>
            <w:tcW w:w="783" w:type="dxa"/>
          </w:tcPr>
          <w:p w14:paraId="0B9DC21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1616" w:type="dxa"/>
          </w:tcPr>
          <w:p w14:paraId="3E2AC3D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1327" w:type="dxa"/>
          </w:tcPr>
          <w:p w14:paraId="09A7FBC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32.48±0.59</w:t>
            </w:r>
          </w:p>
        </w:tc>
        <w:tc>
          <w:tcPr>
            <w:tcW w:w="905" w:type="dxa"/>
          </w:tcPr>
          <w:p w14:paraId="0C71DD2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20.06</w:t>
            </w:r>
          </w:p>
        </w:tc>
        <w:tc>
          <w:tcPr>
            <w:tcW w:w="925" w:type="dxa"/>
          </w:tcPr>
          <w:p w14:paraId="073CEF7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57.59</w:t>
            </w:r>
          </w:p>
        </w:tc>
        <w:tc>
          <w:tcPr>
            <w:tcW w:w="1630" w:type="dxa"/>
          </w:tcPr>
          <w:p w14:paraId="47BA7B39"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1.155</w:t>
            </w:r>
          </w:p>
        </w:tc>
        <w:tc>
          <w:tcPr>
            <w:tcW w:w="1238" w:type="dxa"/>
          </w:tcPr>
          <w:p w14:paraId="581603E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37.52</w:t>
            </w:r>
          </w:p>
        </w:tc>
      </w:tr>
      <w:tr w:rsidR="00920BED" w:rsidRPr="00464E2C" w14:paraId="3215F08C" w14:textId="77777777" w:rsidTr="00D826B8">
        <w:tc>
          <w:tcPr>
            <w:tcW w:w="783" w:type="dxa"/>
          </w:tcPr>
          <w:p w14:paraId="158FCEA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1616" w:type="dxa"/>
          </w:tcPr>
          <w:p w14:paraId="48F782F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plant</w:t>
            </w:r>
          </w:p>
        </w:tc>
        <w:tc>
          <w:tcPr>
            <w:tcW w:w="1327" w:type="dxa"/>
          </w:tcPr>
          <w:p w14:paraId="5A67C3E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7.74±0.234</w:t>
            </w:r>
          </w:p>
        </w:tc>
        <w:tc>
          <w:tcPr>
            <w:tcW w:w="905" w:type="dxa"/>
          </w:tcPr>
          <w:p w14:paraId="59D23E2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2.99</w:t>
            </w:r>
          </w:p>
        </w:tc>
        <w:tc>
          <w:tcPr>
            <w:tcW w:w="925" w:type="dxa"/>
          </w:tcPr>
          <w:p w14:paraId="71A7D0A2"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16.72</w:t>
            </w:r>
          </w:p>
        </w:tc>
        <w:tc>
          <w:tcPr>
            <w:tcW w:w="1630" w:type="dxa"/>
          </w:tcPr>
          <w:p w14:paraId="4DFBCEF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1.772</w:t>
            </w:r>
          </w:p>
        </w:tc>
        <w:tc>
          <w:tcPr>
            <w:tcW w:w="1238" w:type="dxa"/>
          </w:tcPr>
          <w:p w14:paraId="503F93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13.72</w:t>
            </w:r>
          </w:p>
        </w:tc>
      </w:tr>
    </w:tbl>
    <w:bookmarkEnd w:id="11"/>
    <w:bookmarkEnd w:id="12"/>
    <w:p w14:paraId="3CE49DC9" w14:textId="6C0C4AEC" w:rsid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2D2C4546" w14:textId="3B076451" w:rsidR="00790ADA" w:rsidRDefault="00AB1D24" w:rsidP="00441B6F">
      <w:pPr>
        <w:pStyle w:val="Body"/>
        <w:spacing w:after="0"/>
        <w:rPr>
          <w:rFonts w:ascii="Arial" w:hAnsi="Arial" w:cs="Arial"/>
        </w:rPr>
      </w:pPr>
      <w:r w:rsidRPr="00AB1D24">
        <w:rPr>
          <w:rFonts w:ascii="Arial" w:hAnsi="Arial" w:cs="Arial"/>
        </w:rPr>
        <w:t>The restorer lines exhibited an average plant height of 126.79 cm, with a standardized range of 0.60 and an absolute range of 76.33 cm. The days to 50% flowering varied between 54 and 78 days, with a mean of 65.78 days and a standardized range of 0.36. The mean days to maturity was 98.31 days, accompanied by a standardized range of 0.22 and an absolute range of 22 days. Stem girth ranged from 13.8</w:t>
      </w:r>
      <w:r w:rsidR="00920BED">
        <w:rPr>
          <w:rFonts w:ascii="Arial" w:hAnsi="Arial" w:cs="Arial"/>
        </w:rPr>
        <w:t>0</w:t>
      </w:r>
      <w:r w:rsidRPr="00AB1D24">
        <w:rPr>
          <w:rFonts w:ascii="Arial" w:hAnsi="Arial" w:cs="Arial"/>
        </w:rPr>
        <w:t xml:space="preserve"> mm to 26.00 mm, showing a mean of 18.69 mm and a standardized range of 0.65. The head diameter of restorer lines had a mean of 11.29 cm, an absolute range of 13.58 cm, and a standardized range of 1.20. Volume weight ranged from 24.5 to 55 g per 100 ml, with a mean of 45.02 g per 100 ml and a standardized range of 0.67. The hundred seed weight recorded a mean of 4.33 g, with an absolute range of 5.01 g and a standardized range of 1.15. Seed yield per plant averaged 19.98 g, varying </w:t>
      </w:r>
      <w:r w:rsidRPr="00AB1D24">
        <w:rPr>
          <w:rFonts w:ascii="Arial" w:hAnsi="Arial" w:cs="Arial"/>
        </w:rPr>
        <w:lastRenderedPageBreak/>
        <w:t>between 14.10 g and 27.11 g, with a standardized range of 0.651. The hull content ranged from 22.09% to 38.76%, with a mean of 30.51% and a standardized range of 0.54. The oil content showed a mean of 35.65%, ranging from 30.34% to 41.44%, with a standardized range of 0.31. Lastly, oil yield per plant had a mean of 7.09 g, ranging from 5.28 g to 10.31 g, and a standardized range of 0.70.</w:t>
      </w:r>
    </w:p>
    <w:p w14:paraId="25A03F0F" w14:textId="77777777" w:rsidR="00920BED" w:rsidRDefault="00920BED" w:rsidP="00441B6F">
      <w:pPr>
        <w:pStyle w:val="Body"/>
        <w:spacing w:after="0"/>
        <w:rPr>
          <w:rFonts w:ascii="Arial" w:hAnsi="Arial" w:cs="Arial"/>
        </w:rPr>
      </w:pPr>
    </w:p>
    <w:p w14:paraId="6A8B8E89" w14:textId="77777777" w:rsidR="00920BED" w:rsidRPr="00464E2C" w:rsidRDefault="00920BED" w:rsidP="00920BED">
      <w:pPr>
        <w:pStyle w:val="Body"/>
        <w:spacing w:after="0"/>
        <w:rPr>
          <w:rFonts w:ascii="Arial" w:hAnsi="Arial" w:cs="Arial"/>
          <w:b/>
          <w:bCs/>
        </w:rPr>
      </w:pPr>
      <w:r w:rsidRPr="00464E2C">
        <w:rPr>
          <w:rFonts w:ascii="Arial" w:hAnsi="Arial" w:cs="Arial"/>
          <w:b/>
          <w:bCs/>
        </w:rPr>
        <w:t>Table 3: Descriptive statistics for 12 yield and yield attributing traits of restorer lines</w:t>
      </w:r>
    </w:p>
    <w:tbl>
      <w:tblPr>
        <w:tblStyle w:val="TableGrid"/>
        <w:tblpPr w:leftFromText="180" w:rightFromText="180" w:vertAnchor="text" w:horzAnchor="margin" w:tblpY="475"/>
        <w:tblW w:w="0" w:type="auto"/>
        <w:tblLook w:val="04A0" w:firstRow="1" w:lastRow="0" w:firstColumn="1" w:lastColumn="0" w:noHBand="0" w:noVBand="1"/>
      </w:tblPr>
      <w:tblGrid>
        <w:gridCol w:w="593"/>
        <w:gridCol w:w="1396"/>
        <w:gridCol w:w="1327"/>
        <w:gridCol w:w="1030"/>
        <w:gridCol w:w="1054"/>
        <w:gridCol w:w="1595"/>
        <w:gridCol w:w="1203"/>
      </w:tblGrid>
      <w:tr w:rsidR="00920BED" w:rsidRPr="00464E2C" w14:paraId="37054B3F" w14:textId="77777777" w:rsidTr="00D826B8">
        <w:trPr>
          <w:trHeight w:val="225"/>
        </w:trPr>
        <w:tc>
          <w:tcPr>
            <w:tcW w:w="0" w:type="auto"/>
            <w:vMerge w:val="restart"/>
            <w:vAlign w:val="center"/>
          </w:tcPr>
          <w:p w14:paraId="06E7FF68" w14:textId="77777777" w:rsidR="00920BED" w:rsidRPr="00464E2C" w:rsidRDefault="00920BED" w:rsidP="00920BED">
            <w:pPr>
              <w:jc w:val="center"/>
              <w:rPr>
                <w:rFonts w:ascii="Arial" w:hAnsi="Arial" w:cs="Arial"/>
                <w:b/>
                <w:bCs/>
                <w:color w:val="000000" w:themeColor="text1"/>
                <w:sz w:val="20"/>
                <w:szCs w:val="20"/>
              </w:rPr>
            </w:pPr>
            <w:bookmarkStart w:id="14" w:name="_Hlk211417581"/>
            <w:r w:rsidRPr="00464E2C">
              <w:rPr>
                <w:rFonts w:ascii="Arial" w:hAnsi="Arial" w:cs="Arial"/>
                <w:b/>
                <w:bCs/>
                <w:color w:val="000000" w:themeColor="text1"/>
                <w:sz w:val="20"/>
                <w:szCs w:val="20"/>
              </w:rPr>
              <w:t>SL.</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0" w:type="auto"/>
            <w:vMerge w:val="restart"/>
            <w:vAlign w:val="center"/>
          </w:tcPr>
          <w:p w14:paraId="0D3DDFE6"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0" w:type="auto"/>
            <w:vMerge w:val="restart"/>
            <w:vAlign w:val="center"/>
          </w:tcPr>
          <w:p w14:paraId="19C326FD" w14:textId="77777777" w:rsidR="00920BED" w:rsidRPr="00464E2C" w:rsidRDefault="00920BED" w:rsidP="00920BED">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0" w:type="auto"/>
            <w:gridSpan w:val="2"/>
            <w:vAlign w:val="center"/>
          </w:tcPr>
          <w:p w14:paraId="6EBB86BB"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0" w:type="auto"/>
            <w:vMerge w:val="restart"/>
            <w:vAlign w:val="center"/>
          </w:tcPr>
          <w:p w14:paraId="2B2CB76F" w14:textId="77777777" w:rsidR="00920BED" w:rsidRPr="00464E2C" w:rsidRDefault="00920BED" w:rsidP="00920BED">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0" w:type="auto"/>
            <w:vMerge w:val="restart"/>
            <w:vAlign w:val="center"/>
          </w:tcPr>
          <w:p w14:paraId="6D85EEC5" w14:textId="77777777" w:rsidR="00920BED" w:rsidRPr="00464E2C" w:rsidRDefault="00920BED" w:rsidP="00920BED">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4625E66A" w14:textId="77777777" w:rsidR="00920BED" w:rsidRPr="00464E2C" w:rsidRDefault="00920BED" w:rsidP="00920BED">
            <w:pPr>
              <w:ind w:left="-107" w:right="-105"/>
              <w:jc w:val="center"/>
              <w:rPr>
                <w:rFonts w:ascii="Arial" w:hAnsi="Arial" w:cs="Arial"/>
                <w:b/>
                <w:bCs/>
                <w:color w:val="000000" w:themeColor="text1"/>
                <w:sz w:val="20"/>
                <w:szCs w:val="20"/>
              </w:rPr>
            </w:pPr>
          </w:p>
        </w:tc>
      </w:tr>
      <w:tr w:rsidR="00920BED" w:rsidRPr="00464E2C" w14:paraId="436563F9" w14:textId="77777777" w:rsidTr="00D826B8">
        <w:trPr>
          <w:trHeight w:val="225"/>
        </w:trPr>
        <w:tc>
          <w:tcPr>
            <w:tcW w:w="0" w:type="auto"/>
            <w:vMerge/>
          </w:tcPr>
          <w:p w14:paraId="61248873"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51939871"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264BF9C6" w14:textId="77777777" w:rsidR="00920BED" w:rsidRPr="00464E2C" w:rsidRDefault="00920BED" w:rsidP="00920BED">
            <w:pPr>
              <w:jc w:val="center"/>
              <w:rPr>
                <w:rFonts w:ascii="Arial" w:hAnsi="Arial" w:cs="Arial"/>
                <w:b/>
                <w:bCs/>
                <w:color w:val="000000" w:themeColor="text1"/>
                <w:sz w:val="20"/>
                <w:szCs w:val="20"/>
              </w:rPr>
            </w:pPr>
          </w:p>
        </w:tc>
        <w:tc>
          <w:tcPr>
            <w:tcW w:w="0" w:type="auto"/>
            <w:vAlign w:val="center"/>
          </w:tcPr>
          <w:p w14:paraId="4BB9E8C9" w14:textId="77777777" w:rsidR="00920BED" w:rsidRPr="00464E2C" w:rsidRDefault="00920BED" w:rsidP="00920BED">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0" w:type="auto"/>
            <w:vAlign w:val="center"/>
          </w:tcPr>
          <w:p w14:paraId="36244847" w14:textId="77777777" w:rsidR="00920BED" w:rsidRPr="00464E2C" w:rsidRDefault="00920BED" w:rsidP="00920BED">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0" w:type="auto"/>
            <w:vMerge/>
          </w:tcPr>
          <w:p w14:paraId="28F59CCB"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718CD8C8" w14:textId="77777777" w:rsidR="00920BED" w:rsidRPr="00464E2C" w:rsidRDefault="00920BED" w:rsidP="00920BED">
            <w:pPr>
              <w:jc w:val="center"/>
              <w:rPr>
                <w:rFonts w:ascii="Arial" w:hAnsi="Arial" w:cs="Arial"/>
                <w:b/>
                <w:bCs/>
                <w:color w:val="000000" w:themeColor="text1"/>
                <w:sz w:val="20"/>
                <w:szCs w:val="20"/>
              </w:rPr>
            </w:pPr>
          </w:p>
        </w:tc>
      </w:tr>
      <w:tr w:rsidR="00920BED" w:rsidRPr="00464E2C" w14:paraId="3531A67B" w14:textId="77777777" w:rsidTr="00D826B8">
        <w:tc>
          <w:tcPr>
            <w:tcW w:w="0" w:type="auto"/>
          </w:tcPr>
          <w:p w14:paraId="23B90FEA"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0" w:type="auto"/>
          </w:tcPr>
          <w:p w14:paraId="0DA4504A"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0" w:type="auto"/>
          </w:tcPr>
          <w:p w14:paraId="73A8D6E9" w14:textId="77777777" w:rsidR="00920BED" w:rsidRPr="00464E2C" w:rsidRDefault="00920BED" w:rsidP="00920BED">
            <w:pPr>
              <w:jc w:val="center"/>
              <w:rPr>
                <w:rFonts w:ascii="Arial" w:hAnsi="Arial" w:cs="Arial"/>
                <w:color w:val="000000" w:themeColor="text1"/>
                <w:sz w:val="20"/>
                <w:szCs w:val="20"/>
              </w:rPr>
            </w:pPr>
            <w:bookmarkStart w:id="15" w:name="_Hlk211023539"/>
            <w:r w:rsidRPr="00464E2C">
              <w:rPr>
                <w:rFonts w:ascii="Arial" w:hAnsi="Arial" w:cs="Arial"/>
                <w:color w:val="000000" w:themeColor="text1"/>
                <w:sz w:val="20"/>
                <w:szCs w:val="20"/>
              </w:rPr>
              <w:t>126.79</w:t>
            </w:r>
            <w:bookmarkEnd w:id="15"/>
            <w:r w:rsidRPr="00464E2C">
              <w:rPr>
                <w:rFonts w:ascii="Arial" w:hAnsi="Arial" w:cs="Arial"/>
                <w:color w:val="000000" w:themeColor="text1"/>
                <w:sz w:val="20"/>
                <w:szCs w:val="20"/>
              </w:rPr>
              <w:t>±5.00</w:t>
            </w:r>
          </w:p>
        </w:tc>
        <w:tc>
          <w:tcPr>
            <w:tcW w:w="0" w:type="auto"/>
          </w:tcPr>
          <w:p w14:paraId="2F49930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89.33</w:t>
            </w:r>
          </w:p>
        </w:tc>
        <w:tc>
          <w:tcPr>
            <w:tcW w:w="0" w:type="auto"/>
          </w:tcPr>
          <w:p w14:paraId="349AE42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165.67</w:t>
            </w:r>
          </w:p>
        </w:tc>
        <w:tc>
          <w:tcPr>
            <w:tcW w:w="0" w:type="auto"/>
          </w:tcPr>
          <w:p w14:paraId="352EF612" w14:textId="77777777" w:rsidR="00920BED" w:rsidRPr="00464E2C" w:rsidRDefault="00920BED" w:rsidP="00920BED">
            <w:pPr>
              <w:jc w:val="center"/>
              <w:rPr>
                <w:rFonts w:ascii="Arial" w:hAnsi="Arial" w:cs="Arial"/>
                <w:color w:val="000000" w:themeColor="text1"/>
                <w:sz w:val="20"/>
                <w:szCs w:val="20"/>
              </w:rPr>
            </w:pPr>
            <w:bookmarkStart w:id="16" w:name="_Hlk211023573"/>
            <w:r w:rsidRPr="00464E2C">
              <w:rPr>
                <w:rFonts w:ascii="Arial" w:hAnsi="Arial" w:cs="Arial"/>
                <w:color w:val="000000" w:themeColor="text1"/>
                <w:sz w:val="20"/>
                <w:szCs w:val="20"/>
              </w:rPr>
              <w:t>0.602</w:t>
            </w:r>
            <w:bookmarkEnd w:id="16"/>
          </w:p>
        </w:tc>
        <w:tc>
          <w:tcPr>
            <w:tcW w:w="0" w:type="auto"/>
          </w:tcPr>
          <w:p w14:paraId="65A2E4D5" w14:textId="77777777" w:rsidR="00920BED" w:rsidRPr="00464E2C" w:rsidRDefault="00920BED" w:rsidP="00920BED">
            <w:pPr>
              <w:jc w:val="center"/>
              <w:rPr>
                <w:rFonts w:ascii="Arial" w:hAnsi="Arial" w:cs="Arial"/>
                <w:color w:val="000000" w:themeColor="text1"/>
                <w:sz w:val="20"/>
                <w:szCs w:val="20"/>
              </w:rPr>
            </w:pPr>
            <w:bookmarkStart w:id="17" w:name="_Hlk211023587"/>
            <w:r w:rsidRPr="00464E2C">
              <w:rPr>
                <w:rFonts w:ascii="Arial" w:hAnsi="Arial" w:cs="Arial"/>
                <w:color w:val="000000" w:themeColor="text1"/>
                <w:sz w:val="20"/>
                <w:szCs w:val="20"/>
              </w:rPr>
              <w:t>76.33</w:t>
            </w:r>
            <w:bookmarkEnd w:id="17"/>
          </w:p>
        </w:tc>
      </w:tr>
      <w:tr w:rsidR="00920BED" w:rsidRPr="00464E2C" w14:paraId="203C02AD" w14:textId="77777777" w:rsidTr="00D826B8">
        <w:tc>
          <w:tcPr>
            <w:tcW w:w="0" w:type="auto"/>
          </w:tcPr>
          <w:p w14:paraId="4CCC9420"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0" w:type="auto"/>
          </w:tcPr>
          <w:p w14:paraId="5F5B687D"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0" w:type="auto"/>
          </w:tcPr>
          <w:p w14:paraId="50C46D95" w14:textId="77777777" w:rsidR="00920BED" w:rsidRPr="00464E2C" w:rsidRDefault="00920BED" w:rsidP="00920BED">
            <w:pPr>
              <w:jc w:val="center"/>
              <w:rPr>
                <w:rFonts w:ascii="Arial" w:hAnsi="Arial" w:cs="Arial"/>
                <w:color w:val="000000" w:themeColor="text1"/>
                <w:sz w:val="20"/>
                <w:szCs w:val="20"/>
              </w:rPr>
            </w:pPr>
            <w:bookmarkStart w:id="18" w:name="_Hlk211023615"/>
            <w:r w:rsidRPr="00464E2C">
              <w:rPr>
                <w:rFonts w:ascii="Arial" w:hAnsi="Arial" w:cs="Arial"/>
                <w:color w:val="000000" w:themeColor="text1"/>
                <w:sz w:val="20"/>
                <w:szCs w:val="20"/>
              </w:rPr>
              <w:t>65.78</w:t>
            </w:r>
            <w:bookmarkEnd w:id="18"/>
            <w:r w:rsidRPr="00464E2C">
              <w:rPr>
                <w:rFonts w:ascii="Arial" w:hAnsi="Arial" w:cs="Arial"/>
                <w:color w:val="000000" w:themeColor="text1"/>
                <w:sz w:val="20"/>
                <w:szCs w:val="20"/>
              </w:rPr>
              <w:t>±1.72</w:t>
            </w:r>
          </w:p>
        </w:tc>
        <w:tc>
          <w:tcPr>
            <w:tcW w:w="0" w:type="auto"/>
          </w:tcPr>
          <w:p w14:paraId="1AACD5BB" w14:textId="77777777" w:rsidR="00920BED" w:rsidRPr="00464E2C" w:rsidRDefault="00920BED" w:rsidP="00920BED">
            <w:pPr>
              <w:jc w:val="center"/>
              <w:rPr>
                <w:rFonts w:ascii="Arial" w:hAnsi="Arial" w:cs="Arial"/>
                <w:color w:val="000000" w:themeColor="text1"/>
                <w:sz w:val="20"/>
                <w:szCs w:val="20"/>
              </w:rPr>
            </w:pPr>
            <w:bookmarkStart w:id="19" w:name="_Hlk211023600"/>
            <w:r w:rsidRPr="00464E2C">
              <w:rPr>
                <w:rFonts w:ascii="Arial" w:hAnsi="Arial" w:cs="Arial"/>
                <w:color w:val="000000" w:themeColor="text1"/>
                <w:sz w:val="20"/>
                <w:szCs w:val="20"/>
              </w:rPr>
              <w:t>54</w:t>
            </w:r>
            <w:bookmarkEnd w:id="19"/>
          </w:p>
        </w:tc>
        <w:tc>
          <w:tcPr>
            <w:tcW w:w="0" w:type="auto"/>
          </w:tcPr>
          <w:p w14:paraId="73903049" w14:textId="77777777" w:rsidR="00920BED" w:rsidRPr="00464E2C" w:rsidRDefault="00920BED" w:rsidP="00920BED">
            <w:pPr>
              <w:jc w:val="center"/>
              <w:rPr>
                <w:rFonts w:ascii="Arial" w:hAnsi="Arial" w:cs="Arial"/>
                <w:color w:val="000000" w:themeColor="text1"/>
                <w:sz w:val="20"/>
                <w:szCs w:val="20"/>
              </w:rPr>
            </w:pPr>
            <w:bookmarkStart w:id="20" w:name="_Hlk211023606"/>
            <w:r w:rsidRPr="00464E2C">
              <w:rPr>
                <w:rFonts w:ascii="Arial" w:hAnsi="Arial" w:cs="Arial"/>
                <w:color w:val="000000" w:themeColor="text1"/>
                <w:sz w:val="20"/>
                <w:szCs w:val="20"/>
              </w:rPr>
              <w:t>78</w:t>
            </w:r>
            <w:bookmarkEnd w:id="20"/>
            <w:r w:rsidRPr="00464E2C">
              <w:rPr>
                <w:rFonts w:ascii="Arial" w:hAnsi="Arial" w:cs="Arial"/>
                <w:color w:val="000000" w:themeColor="text1"/>
                <w:sz w:val="20"/>
                <w:szCs w:val="20"/>
              </w:rPr>
              <w:t>.00</w:t>
            </w:r>
          </w:p>
        </w:tc>
        <w:tc>
          <w:tcPr>
            <w:tcW w:w="0" w:type="auto"/>
          </w:tcPr>
          <w:p w14:paraId="7D995A0D" w14:textId="77777777" w:rsidR="00920BED" w:rsidRPr="00464E2C" w:rsidRDefault="00920BED" w:rsidP="00920BED">
            <w:pPr>
              <w:jc w:val="center"/>
              <w:rPr>
                <w:rFonts w:ascii="Arial" w:hAnsi="Arial" w:cs="Arial"/>
                <w:color w:val="000000" w:themeColor="text1"/>
                <w:sz w:val="20"/>
                <w:szCs w:val="20"/>
              </w:rPr>
            </w:pPr>
            <w:bookmarkStart w:id="21" w:name="_Hlk211023625"/>
            <w:r w:rsidRPr="00464E2C">
              <w:rPr>
                <w:rFonts w:ascii="Arial" w:hAnsi="Arial" w:cs="Arial"/>
                <w:color w:val="000000" w:themeColor="text1"/>
                <w:sz w:val="20"/>
                <w:szCs w:val="20"/>
              </w:rPr>
              <w:t>0.364</w:t>
            </w:r>
            <w:bookmarkEnd w:id="21"/>
          </w:p>
        </w:tc>
        <w:tc>
          <w:tcPr>
            <w:tcW w:w="0" w:type="auto"/>
          </w:tcPr>
          <w:p w14:paraId="7F20968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24.00</w:t>
            </w:r>
          </w:p>
        </w:tc>
      </w:tr>
      <w:tr w:rsidR="00920BED" w:rsidRPr="00464E2C" w14:paraId="2E7DCBD8" w14:textId="77777777" w:rsidTr="00D826B8">
        <w:tc>
          <w:tcPr>
            <w:tcW w:w="0" w:type="auto"/>
          </w:tcPr>
          <w:p w14:paraId="393F78E5"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0" w:type="auto"/>
          </w:tcPr>
          <w:p w14:paraId="530DBF0F"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0" w:type="auto"/>
          </w:tcPr>
          <w:p w14:paraId="5167826E" w14:textId="77777777" w:rsidR="00920BED" w:rsidRPr="00464E2C" w:rsidRDefault="00920BED" w:rsidP="00920BED">
            <w:pPr>
              <w:jc w:val="center"/>
              <w:rPr>
                <w:rFonts w:ascii="Arial" w:hAnsi="Arial" w:cs="Arial"/>
                <w:color w:val="000000" w:themeColor="text1"/>
                <w:sz w:val="20"/>
                <w:szCs w:val="20"/>
              </w:rPr>
            </w:pPr>
            <w:bookmarkStart w:id="22" w:name="_Hlk211023640"/>
            <w:r w:rsidRPr="00464E2C">
              <w:rPr>
                <w:rFonts w:ascii="Arial" w:hAnsi="Arial" w:cs="Arial"/>
                <w:color w:val="000000" w:themeColor="text1"/>
                <w:sz w:val="20"/>
                <w:szCs w:val="20"/>
              </w:rPr>
              <w:t>98.31</w:t>
            </w:r>
            <w:bookmarkEnd w:id="22"/>
            <w:r w:rsidRPr="00464E2C">
              <w:rPr>
                <w:rFonts w:ascii="Arial" w:hAnsi="Arial" w:cs="Arial"/>
                <w:color w:val="000000" w:themeColor="text1"/>
                <w:sz w:val="20"/>
                <w:szCs w:val="20"/>
              </w:rPr>
              <w:t>±1.44</w:t>
            </w:r>
          </w:p>
        </w:tc>
        <w:tc>
          <w:tcPr>
            <w:tcW w:w="0" w:type="auto"/>
          </w:tcPr>
          <w:p w14:paraId="0B03A9F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88</w:t>
            </w:r>
          </w:p>
        </w:tc>
        <w:tc>
          <w:tcPr>
            <w:tcW w:w="0" w:type="auto"/>
          </w:tcPr>
          <w:p w14:paraId="269BB00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110.00</w:t>
            </w:r>
          </w:p>
        </w:tc>
        <w:tc>
          <w:tcPr>
            <w:tcW w:w="0" w:type="auto"/>
          </w:tcPr>
          <w:p w14:paraId="3DBC29AC" w14:textId="77777777" w:rsidR="00920BED" w:rsidRPr="00464E2C" w:rsidRDefault="00920BED" w:rsidP="00920BED">
            <w:pPr>
              <w:jc w:val="center"/>
              <w:rPr>
                <w:rFonts w:ascii="Arial" w:hAnsi="Arial" w:cs="Arial"/>
                <w:color w:val="000000" w:themeColor="text1"/>
                <w:sz w:val="20"/>
                <w:szCs w:val="20"/>
              </w:rPr>
            </w:pPr>
            <w:bookmarkStart w:id="23" w:name="_Hlk211023659"/>
            <w:r w:rsidRPr="00464E2C">
              <w:rPr>
                <w:rFonts w:ascii="Arial" w:hAnsi="Arial" w:cs="Arial"/>
                <w:color w:val="000000" w:themeColor="text1"/>
                <w:sz w:val="20"/>
                <w:szCs w:val="20"/>
              </w:rPr>
              <w:t>0.223</w:t>
            </w:r>
            <w:bookmarkEnd w:id="23"/>
          </w:p>
        </w:tc>
        <w:tc>
          <w:tcPr>
            <w:tcW w:w="0" w:type="auto"/>
          </w:tcPr>
          <w:p w14:paraId="7697895E" w14:textId="77777777" w:rsidR="00920BED" w:rsidRPr="00464E2C" w:rsidRDefault="00920BED" w:rsidP="00920BED">
            <w:pPr>
              <w:jc w:val="center"/>
              <w:rPr>
                <w:rFonts w:ascii="Arial" w:hAnsi="Arial" w:cs="Arial"/>
                <w:color w:val="000000" w:themeColor="text1"/>
                <w:sz w:val="20"/>
                <w:szCs w:val="20"/>
              </w:rPr>
            </w:pPr>
            <w:bookmarkStart w:id="24" w:name="_Hlk211023672"/>
            <w:r w:rsidRPr="00464E2C">
              <w:rPr>
                <w:rFonts w:ascii="Arial" w:hAnsi="Arial" w:cs="Arial"/>
                <w:color w:val="000000" w:themeColor="text1"/>
                <w:sz w:val="20"/>
                <w:szCs w:val="20"/>
              </w:rPr>
              <w:t>22</w:t>
            </w:r>
            <w:bookmarkEnd w:id="24"/>
            <w:r w:rsidRPr="00464E2C">
              <w:rPr>
                <w:rFonts w:ascii="Arial" w:hAnsi="Arial" w:cs="Arial"/>
                <w:color w:val="000000" w:themeColor="text1"/>
                <w:sz w:val="20"/>
                <w:szCs w:val="20"/>
              </w:rPr>
              <w:t>.00</w:t>
            </w:r>
          </w:p>
        </w:tc>
      </w:tr>
      <w:tr w:rsidR="00920BED" w:rsidRPr="00464E2C" w14:paraId="4A0DC6E6" w14:textId="77777777" w:rsidTr="00D826B8">
        <w:tc>
          <w:tcPr>
            <w:tcW w:w="0" w:type="auto"/>
          </w:tcPr>
          <w:p w14:paraId="2B01D82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4</w:t>
            </w:r>
          </w:p>
        </w:tc>
        <w:tc>
          <w:tcPr>
            <w:tcW w:w="0" w:type="auto"/>
          </w:tcPr>
          <w:p w14:paraId="00CD992D" w14:textId="77777777" w:rsidR="00920BED" w:rsidRPr="00464E2C" w:rsidRDefault="00920BED" w:rsidP="00920BED">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0" w:type="auto"/>
          </w:tcPr>
          <w:p w14:paraId="6A79FA62" w14:textId="77777777" w:rsidR="00920BED" w:rsidRPr="00464E2C" w:rsidRDefault="00920BED" w:rsidP="00920BED">
            <w:pPr>
              <w:jc w:val="center"/>
              <w:rPr>
                <w:rFonts w:ascii="Arial" w:hAnsi="Arial" w:cs="Arial"/>
                <w:color w:val="000000" w:themeColor="text1"/>
                <w:sz w:val="20"/>
                <w:szCs w:val="20"/>
              </w:rPr>
            </w:pPr>
            <w:bookmarkStart w:id="25" w:name="_Hlk211023711"/>
            <w:r w:rsidRPr="00464E2C">
              <w:rPr>
                <w:rFonts w:ascii="Arial" w:hAnsi="Arial" w:cs="Arial"/>
                <w:color w:val="000000" w:themeColor="text1"/>
                <w:sz w:val="20"/>
                <w:szCs w:val="20"/>
              </w:rPr>
              <w:t>18.69</w:t>
            </w:r>
            <w:bookmarkEnd w:id="25"/>
            <w:r w:rsidRPr="00464E2C">
              <w:rPr>
                <w:rFonts w:ascii="Arial" w:hAnsi="Arial" w:cs="Arial"/>
                <w:color w:val="000000" w:themeColor="text1"/>
                <w:sz w:val="20"/>
                <w:szCs w:val="20"/>
              </w:rPr>
              <w:t>±0.83</w:t>
            </w:r>
          </w:p>
        </w:tc>
        <w:tc>
          <w:tcPr>
            <w:tcW w:w="0" w:type="auto"/>
          </w:tcPr>
          <w:p w14:paraId="648773CB" w14:textId="77777777" w:rsidR="00920BED" w:rsidRPr="00464E2C" w:rsidRDefault="00920BED" w:rsidP="00920BED">
            <w:pPr>
              <w:jc w:val="center"/>
              <w:rPr>
                <w:rFonts w:ascii="Arial" w:hAnsi="Arial" w:cs="Arial"/>
                <w:color w:val="000000" w:themeColor="text1"/>
                <w:sz w:val="20"/>
                <w:szCs w:val="20"/>
              </w:rPr>
            </w:pPr>
            <w:bookmarkStart w:id="26" w:name="_Hlk211023690"/>
            <w:r w:rsidRPr="00464E2C">
              <w:rPr>
                <w:rFonts w:ascii="Arial" w:hAnsi="Arial" w:cs="Arial"/>
                <w:color w:val="000000" w:themeColor="text1"/>
                <w:sz w:val="20"/>
                <w:szCs w:val="20"/>
              </w:rPr>
              <w:t>13.8</w:t>
            </w:r>
            <w:bookmarkEnd w:id="26"/>
          </w:p>
        </w:tc>
        <w:tc>
          <w:tcPr>
            <w:tcW w:w="0" w:type="auto"/>
          </w:tcPr>
          <w:p w14:paraId="3B721128" w14:textId="77777777" w:rsidR="00920BED" w:rsidRPr="00464E2C" w:rsidRDefault="00920BED" w:rsidP="00920BED">
            <w:pPr>
              <w:jc w:val="center"/>
              <w:rPr>
                <w:rFonts w:ascii="Arial" w:hAnsi="Arial" w:cs="Arial"/>
                <w:color w:val="000000" w:themeColor="text1"/>
                <w:sz w:val="20"/>
                <w:szCs w:val="20"/>
              </w:rPr>
            </w:pPr>
            <w:bookmarkStart w:id="27" w:name="_Hlk211023701"/>
            <w:r w:rsidRPr="00464E2C">
              <w:rPr>
                <w:rFonts w:ascii="Arial" w:hAnsi="Arial" w:cs="Arial"/>
                <w:color w:val="000000" w:themeColor="text1"/>
                <w:sz w:val="20"/>
                <w:szCs w:val="20"/>
              </w:rPr>
              <w:t>26.00</w:t>
            </w:r>
            <w:bookmarkEnd w:id="27"/>
          </w:p>
        </w:tc>
        <w:tc>
          <w:tcPr>
            <w:tcW w:w="0" w:type="auto"/>
          </w:tcPr>
          <w:p w14:paraId="22090047" w14:textId="77777777" w:rsidR="00920BED" w:rsidRPr="00464E2C" w:rsidRDefault="00920BED" w:rsidP="00920BED">
            <w:pPr>
              <w:jc w:val="center"/>
              <w:rPr>
                <w:rFonts w:ascii="Arial" w:hAnsi="Arial" w:cs="Arial"/>
                <w:color w:val="000000" w:themeColor="text1"/>
                <w:sz w:val="20"/>
                <w:szCs w:val="20"/>
              </w:rPr>
            </w:pPr>
            <w:bookmarkStart w:id="28" w:name="_Hlk211023725"/>
            <w:r w:rsidRPr="00464E2C">
              <w:rPr>
                <w:rFonts w:ascii="Arial" w:hAnsi="Arial" w:cs="Arial"/>
                <w:color w:val="000000" w:themeColor="text1"/>
                <w:sz w:val="20"/>
                <w:szCs w:val="20"/>
              </w:rPr>
              <w:t>0.652</w:t>
            </w:r>
            <w:bookmarkEnd w:id="28"/>
          </w:p>
        </w:tc>
        <w:tc>
          <w:tcPr>
            <w:tcW w:w="0" w:type="auto"/>
          </w:tcPr>
          <w:p w14:paraId="4E5C67F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12.20</w:t>
            </w:r>
          </w:p>
        </w:tc>
      </w:tr>
      <w:tr w:rsidR="00920BED" w:rsidRPr="00464E2C" w14:paraId="12340763" w14:textId="77777777" w:rsidTr="00D826B8">
        <w:tc>
          <w:tcPr>
            <w:tcW w:w="0" w:type="auto"/>
          </w:tcPr>
          <w:p w14:paraId="0D9440AC"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0" w:type="auto"/>
          </w:tcPr>
          <w:p w14:paraId="0B81B52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0" w:type="auto"/>
          </w:tcPr>
          <w:p w14:paraId="0A0FEC5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11.29±0.66</w:t>
            </w:r>
          </w:p>
        </w:tc>
        <w:tc>
          <w:tcPr>
            <w:tcW w:w="0" w:type="auto"/>
          </w:tcPr>
          <w:p w14:paraId="1FE9B406"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6.22</w:t>
            </w:r>
          </w:p>
        </w:tc>
        <w:tc>
          <w:tcPr>
            <w:tcW w:w="0" w:type="auto"/>
          </w:tcPr>
          <w:p w14:paraId="63AC006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19.80</w:t>
            </w:r>
          </w:p>
        </w:tc>
        <w:tc>
          <w:tcPr>
            <w:tcW w:w="0" w:type="auto"/>
          </w:tcPr>
          <w:p w14:paraId="589942E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1.202</w:t>
            </w:r>
          </w:p>
        </w:tc>
        <w:tc>
          <w:tcPr>
            <w:tcW w:w="0" w:type="auto"/>
          </w:tcPr>
          <w:p w14:paraId="0AA90BB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13.58</w:t>
            </w:r>
          </w:p>
        </w:tc>
      </w:tr>
      <w:tr w:rsidR="00920BED" w:rsidRPr="00464E2C" w14:paraId="752C8FA5" w14:textId="77777777" w:rsidTr="00D826B8">
        <w:tc>
          <w:tcPr>
            <w:tcW w:w="0" w:type="auto"/>
          </w:tcPr>
          <w:p w14:paraId="710C1D81"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0" w:type="auto"/>
          </w:tcPr>
          <w:p w14:paraId="78D4D512"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0" w:type="auto"/>
          </w:tcPr>
          <w:p w14:paraId="17FF137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45.02±1.66</w:t>
            </w:r>
          </w:p>
        </w:tc>
        <w:tc>
          <w:tcPr>
            <w:tcW w:w="0" w:type="auto"/>
          </w:tcPr>
          <w:p w14:paraId="2F99B2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0" w:type="auto"/>
          </w:tcPr>
          <w:p w14:paraId="36598B5D" w14:textId="77777777" w:rsidR="00920BED" w:rsidRPr="00464E2C" w:rsidRDefault="00920BED" w:rsidP="00920BED">
            <w:pPr>
              <w:jc w:val="center"/>
              <w:rPr>
                <w:rFonts w:ascii="Arial" w:hAnsi="Arial" w:cs="Arial"/>
                <w:color w:val="000000" w:themeColor="text1"/>
                <w:sz w:val="20"/>
                <w:szCs w:val="20"/>
              </w:rPr>
            </w:pPr>
            <w:bookmarkStart w:id="29" w:name="_Hlk211023851"/>
            <w:r w:rsidRPr="00464E2C">
              <w:rPr>
                <w:rFonts w:ascii="Arial" w:hAnsi="Arial" w:cs="Arial"/>
                <w:color w:val="000000" w:themeColor="text1"/>
                <w:sz w:val="20"/>
                <w:szCs w:val="20"/>
              </w:rPr>
              <w:t>55</w:t>
            </w:r>
            <w:bookmarkEnd w:id="29"/>
            <w:r w:rsidRPr="00464E2C">
              <w:rPr>
                <w:rFonts w:ascii="Arial" w:hAnsi="Arial" w:cs="Arial"/>
                <w:color w:val="000000" w:themeColor="text1"/>
                <w:sz w:val="20"/>
                <w:szCs w:val="20"/>
              </w:rPr>
              <w:t>.00</w:t>
            </w:r>
          </w:p>
        </w:tc>
        <w:tc>
          <w:tcPr>
            <w:tcW w:w="0" w:type="auto"/>
          </w:tcPr>
          <w:p w14:paraId="244437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0.677</w:t>
            </w:r>
          </w:p>
        </w:tc>
        <w:tc>
          <w:tcPr>
            <w:tcW w:w="0" w:type="auto"/>
          </w:tcPr>
          <w:p w14:paraId="680DD18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30.50</w:t>
            </w:r>
          </w:p>
        </w:tc>
      </w:tr>
      <w:tr w:rsidR="00920BED" w:rsidRPr="00464E2C" w14:paraId="4A9F5D3A" w14:textId="77777777" w:rsidTr="00D826B8">
        <w:trPr>
          <w:trHeight w:val="268"/>
        </w:trPr>
        <w:tc>
          <w:tcPr>
            <w:tcW w:w="0" w:type="auto"/>
          </w:tcPr>
          <w:p w14:paraId="498F981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0" w:type="auto"/>
          </w:tcPr>
          <w:p w14:paraId="24CA7A9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0" w:type="auto"/>
          </w:tcPr>
          <w:p w14:paraId="06CE54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4.33±0.29</w:t>
            </w:r>
          </w:p>
        </w:tc>
        <w:tc>
          <w:tcPr>
            <w:tcW w:w="0" w:type="auto"/>
          </w:tcPr>
          <w:p w14:paraId="3488502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2.12</w:t>
            </w:r>
          </w:p>
        </w:tc>
        <w:tc>
          <w:tcPr>
            <w:tcW w:w="0" w:type="auto"/>
          </w:tcPr>
          <w:p w14:paraId="6C76C69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7.13</w:t>
            </w:r>
          </w:p>
        </w:tc>
        <w:tc>
          <w:tcPr>
            <w:tcW w:w="0" w:type="auto"/>
          </w:tcPr>
          <w:p w14:paraId="23AEAA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1.157</w:t>
            </w:r>
          </w:p>
        </w:tc>
        <w:tc>
          <w:tcPr>
            <w:tcW w:w="0" w:type="auto"/>
          </w:tcPr>
          <w:p w14:paraId="7EC79B5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5.01</w:t>
            </w:r>
          </w:p>
        </w:tc>
      </w:tr>
      <w:tr w:rsidR="00920BED" w:rsidRPr="00464E2C" w14:paraId="73AF9699" w14:textId="77777777" w:rsidTr="00D826B8">
        <w:tc>
          <w:tcPr>
            <w:tcW w:w="0" w:type="auto"/>
          </w:tcPr>
          <w:p w14:paraId="5EC8676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0" w:type="auto"/>
          </w:tcPr>
          <w:p w14:paraId="493341B1"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0" w:type="auto"/>
          </w:tcPr>
          <w:p w14:paraId="4E6BFF6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19.98±0.86</w:t>
            </w:r>
          </w:p>
        </w:tc>
        <w:tc>
          <w:tcPr>
            <w:tcW w:w="0" w:type="auto"/>
          </w:tcPr>
          <w:p w14:paraId="20315BD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14.10</w:t>
            </w:r>
          </w:p>
        </w:tc>
        <w:tc>
          <w:tcPr>
            <w:tcW w:w="0" w:type="auto"/>
          </w:tcPr>
          <w:p w14:paraId="209E4AD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27.11</w:t>
            </w:r>
          </w:p>
        </w:tc>
        <w:tc>
          <w:tcPr>
            <w:tcW w:w="0" w:type="auto"/>
          </w:tcPr>
          <w:p w14:paraId="73AAB36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0.651</w:t>
            </w:r>
          </w:p>
        </w:tc>
        <w:tc>
          <w:tcPr>
            <w:tcW w:w="0" w:type="auto"/>
          </w:tcPr>
          <w:p w14:paraId="76B0B22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13.01</w:t>
            </w:r>
          </w:p>
        </w:tc>
      </w:tr>
      <w:tr w:rsidR="00920BED" w:rsidRPr="00464E2C" w14:paraId="15042CF6" w14:textId="77777777" w:rsidTr="00D826B8">
        <w:tc>
          <w:tcPr>
            <w:tcW w:w="0" w:type="auto"/>
          </w:tcPr>
          <w:p w14:paraId="3231655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0" w:type="auto"/>
          </w:tcPr>
          <w:p w14:paraId="2C099AE4"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0" w:type="auto"/>
          </w:tcPr>
          <w:p w14:paraId="0787DFF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35.65±0.80</w:t>
            </w:r>
          </w:p>
        </w:tc>
        <w:tc>
          <w:tcPr>
            <w:tcW w:w="0" w:type="auto"/>
          </w:tcPr>
          <w:p w14:paraId="02A7D6FC"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30.34</w:t>
            </w:r>
          </w:p>
        </w:tc>
        <w:tc>
          <w:tcPr>
            <w:tcW w:w="0" w:type="auto"/>
          </w:tcPr>
          <w:p w14:paraId="7BEF234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0" w:type="auto"/>
          </w:tcPr>
          <w:p w14:paraId="2028B78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0.311</w:t>
            </w:r>
          </w:p>
        </w:tc>
        <w:tc>
          <w:tcPr>
            <w:tcW w:w="0" w:type="auto"/>
          </w:tcPr>
          <w:p w14:paraId="5514AB80"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r>
      <w:tr w:rsidR="00920BED" w:rsidRPr="00464E2C" w14:paraId="06E7DD76" w14:textId="77777777" w:rsidTr="00D826B8">
        <w:tc>
          <w:tcPr>
            <w:tcW w:w="0" w:type="auto"/>
          </w:tcPr>
          <w:p w14:paraId="5C3D9C9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0" w:type="auto"/>
          </w:tcPr>
          <w:p w14:paraId="42ACB0F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0" w:type="auto"/>
          </w:tcPr>
          <w:p w14:paraId="760E778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30.51±1.08</w:t>
            </w:r>
          </w:p>
        </w:tc>
        <w:tc>
          <w:tcPr>
            <w:tcW w:w="0" w:type="auto"/>
          </w:tcPr>
          <w:p w14:paraId="240B866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22.09</w:t>
            </w:r>
          </w:p>
        </w:tc>
        <w:tc>
          <w:tcPr>
            <w:tcW w:w="0" w:type="auto"/>
          </w:tcPr>
          <w:p w14:paraId="692FDEA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38.76</w:t>
            </w:r>
          </w:p>
        </w:tc>
        <w:tc>
          <w:tcPr>
            <w:tcW w:w="0" w:type="auto"/>
          </w:tcPr>
          <w:p w14:paraId="6C7E9B1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0.546</w:t>
            </w:r>
          </w:p>
        </w:tc>
        <w:tc>
          <w:tcPr>
            <w:tcW w:w="0" w:type="auto"/>
          </w:tcPr>
          <w:p w14:paraId="500FBD8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16.66</w:t>
            </w:r>
          </w:p>
        </w:tc>
      </w:tr>
      <w:tr w:rsidR="00920BED" w:rsidRPr="00464E2C" w14:paraId="24EFBA5D" w14:textId="77777777" w:rsidTr="00D826B8">
        <w:tc>
          <w:tcPr>
            <w:tcW w:w="0" w:type="auto"/>
          </w:tcPr>
          <w:p w14:paraId="0827A86D"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0" w:type="auto"/>
          </w:tcPr>
          <w:p w14:paraId="747505AE"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w:t>
            </w:r>
            <w:r>
              <w:rPr>
                <w:rFonts w:ascii="Arial" w:hAnsi="Arial" w:cs="Arial"/>
                <w:b/>
                <w:bCs/>
                <w:color w:val="000000" w:themeColor="text1"/>
                <w:sz w:val="20"/>
                <w:szCs w:val="20"/>
              </w:rPr>
              <w:t xml:space="preserve">t </w:t>
            </w:r>
            <w:r w:rsidRPr="00464E2C">
              <w:rPr>
                <w:rFonts w:ascii="Arial" w:hAnsi="Arial" w:cs="Arial"/>
                <w:b/>
                <w:bCs/>
                <w:color w:val="000000" w:themeColor="text1"/>
                <w:sz w:val="20"/>
                <w:szCs w:val="20"/>
              </w:rPr>
              <w:t>(g)</w:t>
            </w:r>
          </w:p>
        </w:tc>
        <w:tc>
          <w:tcPr>
            <w:tcW w:w="0" w:type="auto"/>
          </w:tcPr>
          <w:p w14:paraId="4867EB3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7.09±0.32</w:t>
            </w:r>
          </w:p>
        </w:tc>
        <w:tc>
          <w:tcPr>
            <w:tcW w:w="0" w:type="auto"/>
          </w:tcPr>
          <w:p w14:paraId="55B81C8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5.28</w:t>
            </w:r>
          </w:p>
        </w:tc>
        <w:tc>
          <w:tcPr>
            <w:tcW w:w="0" w:type="auto"/>
          </w:tcPr>
          <w:p w14:paraId="132C89E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10.31</w:t>
            </w:r>
          </w:p>
        </w:tc>
        <w:tc>
          <w:tcPr>
            <w:tcW w:w="0" w:type="auto"/>
          </w:tcPr>
          <w:p w14:paraId="2EB2D7E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0.709</w:t>
            </w:r>
          </w:p>
        </w:tc>
        <w:tc>
          <w:tcPr>
            <w:tcW w:w="0" w:type="auto"/>
          </w:tcPr>
          <w:p w14:paraId="1E119E3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5.03</w:t>
            </w:r>
          </w:p>
        </w:tc>
      </w:tr>
      <w:bookmarkEnd w:id="14"/>
    </w:tbl>
    <w:p w14:paraId="64317CE8" w14:textId="77777777" w:rsidR="00920BED" w:rsidRDefault="00920BED" w:rsidP="00441B6F">
      <w:pPr>
        <w:pStyle w:val="Body"/>
        <w:spacing w:after="0"/>
        <w:rPr>
          <w:rFonts w:ascii="Arial" w:hAnsi="Arial" w:cs="Arial"/>
        </w:rPr>
      </w:pPr>
    </w:p>
    <w:p w14:paraId="13C21DAA" w14:textId="77777777" w:rsidR="00920BED" w:rsidRP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7B49982C" w14:textId="0C14B17F" w:rsidR="00AB1D24" w:rsidRPr="00AB1D24" w:rsidRDefault="00AB1D24" w:rsidP="00AB1D24">
      <w:pPr>
        <w:pStyle w:val="Body"/>
        <w:spacing w:before="240"/>
        <w:rPr>
          <w:rFonts w:ascii="Arial" w:hAnsi="Arial" w:cs="Arial"/>
          <w:b/>
          <w:bCs/>
        </w:rPr>
      </w:pPr>
      <w:r w:rsidRPr="00AB1D24">
        <w:rPr>
          <w:rFonts w:ascii="Arial" w:hAnsi="Arial" w:cs="Arial"/>
          <w:b/>
          <w:bCs/>
        </w:rPr>
        <w:t>Genetic parameters for oil yield and yield attributing traits of maintainer and restorer lines</w:t>
      </w:r>
    </w:p>
    <w:p w14:paraId="515FD50E" w14:textId="77777777" w:rsidR="00AB1D24" w:rsidRPr="00AB1D24" w:rsidRDefault="00AB1D24" w:rsidP="00AB1D24">
      <w:pPr>
        <w:pStyle w:val="Body"/>
        <w:rPr>
          <w:rFonts w:ascii="Arial" w:hAnsi="Arial" w:cs="Arial"/>
        </w:rPr>
      </w:pPr>
      <w:r w:rsidRPr="00AB1D24">
        <w:rPr>
          <w:rFonts w:ascii="Arial" w:hAnsi="Arial" w:cs="Arial"/>
        </w:rPr>
        <w:t>The classification of genetic parameters was as follows: GCV and PCV were grouped as low (0–10%), moderate (10–20%) and high (&gt;20%). Heritability was categorized as low (0–30%), moderate (30–60%) and high (&gt;60%). Whereas, genetic advance as percent of mean was classified as low (0–10%), moderate (10–20%) and high (&gt;20%).</w:t>
      </w:r>
    </w:p>
    <w:p w14:paraId="5B29DC79" w14:textId="77777777" w:rsidR="00920BED" w:rsidRDefault="00AB1D24" w:rsidP="00AB1D24">
      <w:pPr>
        <w:pStyle w:val="Body"/>
        <w:rPr>
          <w:rFonts w:ascii="Arial" w:hAnsi="Arial" w:cs="Arial"/>
        </w:rPr>
      </w:pPr>
      <w:r w:rsidRPr="00AB1D24">
        <w:rPr>
          <w:rFonts w:ascii="Arial" w:hAnsi="Arial" w:cs="Arial"/>
        </w:rPr>
        <w:t>The variability analysis revealed that phenotypic and genotypic coefficients of variation were high for seed yield per plant (25.70 %) and oil yield per plant (24.51 %). Plant height exhibited high PCV (20.23 %) and moderate GCV (19.51 %). Moderate PCV and GCV were recorded by stem girth (15.42 and 14.38 5), head diameter (18.39 and 17.39 %), volume weight (12.67 and 11.69%), hundred seed weight (19.66 and 17.39 %), hull content (17.25 and 15.34 %). The narrow difference between GCV and PCV values across all traits suggested minimal environmental influence on character expression.</w:t>
      </w:r>
    </w:p>
    <w:p w14:paraId="0509F33F" w14:textId="227AFAC8" w:rsidR="00AB1D24" w:rsidRDefault="00AB1D24" w:rsidP="00AB1D24">
      <w:pPr>
        <w:pStyle w:val="Body"/>
        <w:spacing w:after="0"/>
        <w:rPr>
          <w:rFonts w:ascii="Arial" w:hAnsi="Arial" w:cs="Arial"/>
        </w:rPr>
      </w:pPr>
      <w:r w:rsidRPr="00AB1D24">
        <w:rPr>
          <w:rFonts w:ascii="Arial" w:hAnsi="Arial" w:cs="Arial"/>
        </w:rPr>
        <w:t xml:space="preserve">High heritability coupled with high genetic advance was recorded for plant height (93.07 and 38.78 %), stem girth (91.24 and 30.40 %), head diameter (94.59 and 35.87 5), volume </w:t>
      </w:r>
      <w:r w:rsidRPr="00AB1D24">
        <w:rPr>
          <w:rFonts w:ascii="Arial" w:hAnsi="Arial" w:cs="Arial"/>
        </w:rPr>
        <w:lastRenderedPageBreak/>
        <w:t>weight (85.20 and 22.23 %), hundred seed weight (93.77 and 37.98 %), seed yield per plant (90.85 and 48.15 %), hull content (79.16 and 28.13 %) and oil yield per plant (92.62 and 35.12 %) indicating the predominance of additive gene action, which supports the effectiveness of selection for genetic improvement. Similar observations were reported by Hilli et al [</w:t>
      </w:r>
      <w:r w:rsidR="00152329">
        <w:rPr>
          <w:rFonts w:ascii="Arial" w:hAnsi="Arial" w:cs="Arial"/>
        </w:rPr>
        <w:t>1</w:t>
      </w:r>
      <w:r w:rsidR="00F548AA">
        <w:rPr>
          <w:rFonts w:ascii="Arial" w:hAnsi="Arial" w:cs="Arial"/>
        </w:rPr>
        <w:t>5</w:t>
      </w:r>
      <w:r w:rsidRPr="00AB1D24">
        <w:rPr>
          <w:rFonts w:ascii="Arial" w:hAnsi="Arial" w:cs="Arial"/>
        </w:rPr>
        <w:t>], who observed high PCV, GCV, heritability and GAM for seed yield per plant and oil yield per plant. Days to 50 % flowering, days to maturity, oil content showed least PCV, GCV with high heritability and low to moderate GAM, suggested the role of non-additive gene action, indicating limited improvement of these traits.</w:t>
      </w:r>
    </w:p>
    <w:p w14:paraId="0CA97451" w14:textId="77777777" w:rsidR="00920BED" w:rsidRDefault="00920BED" w:rsidP="00920BED">
      <w:pPr>
        <w:pStyle w:val="Heading1"/>
        <w:rPr>
          <w:sz w:val="20"/>
        </w:rPr>
      </w:pPr>
      <w:r w:rsidRPr="008E3FEA">
        <w:rPr>
          <w:sz w:val="20"/>
        </w:rPr>
        <w:t>Table 4: Genetic parameters for 1</w:t>
      </w:r>
      <w:r>
        <w:rPr>
          <w:sz w:val="20"/>
        </w:rPr>
        <w:t>1</w:t>
      </w:r>
      <w:r w:rsidRPr="008E3FEA">
        <w:rPr>
          <w:sz w:val="20"/>
        </w:rPr>
        <w:t xml:space="preserve"> yield and yield attributing traits of maintainer and restore lines</w:t>
      </w:r>
    </w:p>
    <w:tbl>
      <w:tblPr>
        <w:tblStyle w:val="TableGrid"/>
        <w:tblpPr w:leftFromText="180" w:rightFromText="180" w:vertAnchor="text" w:horzAnchor="margin" w:tblpY="92"/>
        <w:tblW w:w="0" w:type="auto"/>
        <w:tblLook w:val="04A0" w:firstRow="1" w:lastRow="0" w:firstColumn="1" w:lastColumn="0" w:noHBand="0" w:noVBand="1"/>
      </w:tblPr>
      <w:tblGrid>
        <w:gridCol w:w="832"/>
        <w:gridCol w:w="2530"/>
        <w:gridCol w:w="1230"/>
        <w:gridCol w:w="1230"/>
        <w:gridCol w:w="1659"/>
        <w:gridCol w:w="717"/>
      </w:tblGrid>
      <w:tr w:rsidR="00920BED" w:rsidRPr="008E3FEA" w14:paraId="0937E8E6" w14:textId="77777777" w:rsidTr="00920BED">
        <w:trPr>
          <w:trHeight w:val="225"/>
        </w:trPr>
        <w:tc>
          <w:tcPr>
            <w:tcW w:w="0" w:type="auto"/>
            <w:vMerge w:val="restart"/>
            <w:vAlign w:val="center"/>
          </w:tcPr>
          <w:p w14:paraId="5BDFF32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Sl. No.</w:t>
            </w:r>
          </w:p>
        </w:tc>
        <w:tc>
          <w:tcPr>
            <w:tcW w:w="0" w:type="auto"/>
            <w:vMerge w:val="restart"/>
            <w:vAlign w:val="center"/>
          </w:tcPr>
          <w:p w14:paraId="39812EE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Traits</w:t>
            </w:r>
          </w:p>
        </w:tc>
        <w:tc>
          <w:tcPr>
            <w:tcW w:w="0" w:type="auto"/>
            <w:gridSpan w:val="2"/>
            <w:vAlign w:val="center"/>
          </w:tcPr>
          <w:p w14:paraId="2BF17C82"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Coefficient of variability</w:t>
            </w:r>
          </w:p>
        </w:tc>
        <w:tc>
          <w:tcPr>
            <w:tcW w:w="0" w:type="auto"/>
            <w:vMerge w:val="restart"/>
            <w:vAlign w:val="center"/>
          </w:tcPr>
          <w:p w14:paraId="6A42553A" w14:textId="77777777" w:rsidR="00920BED" w:rsidRPr="008E3FEA" w:rsidRDefault="00920BED" w:rsidP="00D826B8">
            <w:pPr>
              <w:spacing w:line="360" w:lineRule="auto"/>
              <w:jc w:val="center"/>
              <w:rPr>
                <w:rFonts w:ascii="Arial" w:hAnsi="Arial" w:cs="Arial"/>
                <w:b/>
                <w:bCs/>
                <w:color w:val="000000" w:themeColor="text1"/>
                <w:sz w:val="20"/>
                <w:szCs w:val="20"/>
                <w:vertAlign w:val="superscript"/>
              </w:rPr>
            </w:pPr>
            <w:r w:rsidRPr="008E3FEA">
              <w:rPr>
                <w:rFonts w:ascii="Arial" w:hAnsi="Arial" w:cs="Arial"/>
                <w:b/>
                <w:bCs/>
                <w:color w:val="000000" w:themeColor="text1"/>
                <w:sz w:val="20"/>
                <w:szCs w:val="20"/>
              </w:rPr>
              <w:t>Broad-sense h</w:t>
            </w:r>
            <w:r w:rsidRPr="008E3FEA">
              <w:rPr>
                <w:rFonts w:ascii="Arial" w:hAnsi="Arial" w:cs="Arial"/>
                <w:b/>
                <w:bCs/>
                <w:color w:val="000000" w:themeColor="text1"/>
                <w:sz w:val="20"/>
                <w:szCs w:val="20"/>
                <w:vertAlign w:val="superscript"/>
              </w:rPr>
              <w:t>2</w:t>
            </w:r>
          </w:p>
        </w:tc>
        <w:tc>
          <w:tcPr>
            <w:tcW w:w="0" w:type="auto"/>
            <w:vMerge w:val="restart"/>
            <w:vAlign w:val="center"/>
          </w:tcPr>
          <w:p w14:paraId="0DCC6F4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GAM</w:t>
            </w:r>
          </w:p>
          <w:p w14:paraId="76D5F57E"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r>
      <w:tr w:rsidR="00920BED" w:rsidRPr="008E3FEA" w14:paraId="03697A57" w14:textId="77777777" w:rsidTr="00920BED">
        <w:trPr>
          <w:trHeight w:val="225"/>
        </w:trPr>
        <w:tc>
          <w:tcPr>
            <w:tcW w:w="0" w:type="auto"/>
            <w:vMerge/>
            <w:vAlign w:val="center"/>
          </w:tcPr>
          <w:p w14:paraId="40EE786D"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178EC245"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Align w:val="center"/>
          </w:tcPr>
          <w:p w14:paraId="5ABF8E48"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PCV</w:t>
            </w:r>
          </w:p>
          <w:p w14:paraId="01C2495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Align w:val="center"/>
          </w:tcPr>
          <w:p w14:paraId="158502CD"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GCV</w:t>
            </w:r>
          </w:p>
          <w:p w14:paraId="2AC924AE"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Merge/>
            <w:vAlign w:val="center"/>
          </w:tcPr>
          <w:p w14:paraId="0190E628"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2EDA2FD3" w14:textId="77777777" w:rsidR="00920BED" w:rsidRPr="008E3FEA" w:rsidRDefault="00920BED" w:rsidP="00D826B8">
            <w:pPr>
              <w:spacing w:line="360" w:lineRule="auto"/>
              <w:jc w:val="center"/>
              <w:rPr>
                <w:rFonts w:ascii="Arial" w:hAnsi="Arial" w:cs="Arial"/>
                <w:b/>
                <w:bCs/>
                <w:color w:val="000000" w:themeColor="text1"/>
                <w:sz w:val="20"/>
                <w:szCs w:val="20"/>
              </w:rPr>
            </w:pPr>
          </w:p>
        </w:tc>
      </w:tr>
      <w:tr w:rsidR="00920BED" w:rsidRPr="008E3FEA" w14:paraId="02D22030" w14:textId="77777777" w:rsidTr="00920BED">
        <w:tc>
          <w:tcPr>
            <w:tcW w:w="0" w:type="auto"/>
          </w:tcPr>
          <w:p w14:paraId="0086FB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w:t>
            </w:r>
          </w:p>
        </w:tc>
        <w:tc>
          <w:tcPr>
            <w:tcW w:w="0" w:type="auto"/>
          </w:tcPr>
          <w:p w14:paraId="556D9BFD"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Plant height (cm)</w:t>
            </w:r>
          </w:p>
        </w:tc>
        <w:tc>
          <w:tcPr>
            <w:tcW w:w="0" w:type="auto"/>
          </w:tcPr>
          <w:p w14:paraId="690624D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20.23</w:t>
            </w:r>
          </w:p>
        </w:tc>
        <w:tc>
          <w:tcPr>
            <w:tcW w:w="0" w:type="auto"/>
          </w:tcPr>
          <w:p w14:paraId="2BC05D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19.51</w:t>
            </w:r>
          </w:p>
        </w:tc>
        <w:tc>
          <w:tcPr>
            <w:tcW w:w="0" w:type="auto"/>
          </w:tcPr>
          <w:p w14:paraId="0DD7265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93.07</w:t>
            </w:r>
          </w:p>
        </w:tc>
        <w:tc>
          <w:tcPr>
            <w:tcW w:w="0" w:type="auto"/>
          </w:tcPr>
          <w:p w14:paraId="11E7C08A"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38.78</w:t>
            </w:r>
          </w:p>
        </w:tc>
      </w:tr>
      <w:tr w:rsidR="00920BED" w:rsidRPr="008E3FEA" w14:paraId="184483F3" w14:textId="77777777" w:rsidTr="00920BED">
        <w:tc>
          <w:tcPr>
            <w:tcW w:w="0" w:type="auto"/>
          </w:tcPr>
          <w:p w14:paraId="522991C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2</w:t>
            </w:r>
          </w:p>
        </w:tc>
        <w:tc>
          <w:tcPr>
            <w:tcW w:w="0" w:type="auto"/>
          </w:tcPr>
          <w:p w14:paraId="1FCB407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50% flowering</w:t>
            </w:r>
          </w:p>
        </w:tc>
        <w:tc>
          <w:tcPr>
            <w:tcW w:w="0" w:type="auto"/>
          </w:tcPr>
          <w:p w14:paraId="5373E6C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8.57</w:t>
            </w:r>
          </w:p>
        </w:tc>
        <w:tc>
          <w:tcPr>
            <w:tcW w:w="0" w:type="auto"/>
          </w:tcPr>
          <w:p w14:paraId="2069FF5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7.98</w:t>
            </w:r>
          </w:p>
        </w:tc>
        <w:tc>
          <w:tcPr>
            <w:tcW w:w="0" w:type="auto"/>
          </w:tcPr>
          <w:p w14:paraId="1D75A7A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86.89</w:t>
            </w:r>
          </w:p>
        </w:tc>
        <w:tc>
          <w:tcPr>
            <w:tcW w:w="0" w:type="auto"/>
          </w:tcPr>
          <w:p w14:paraId="45ACFBCB"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15.33</w:t>
            </w:r>
          </w:p>
        </w:tc>
      </w:tr>
      <w:tr w:rsidR="00920BED" w:rsidRPr="008E3FEA" w14:paraId="641580F2" w14:textId="77777777" w:rsidTr="00920BED">
        <w:tc>
          <w:tcPr>
            <w:tcW w:w="0" w:type="auto"/>
          </w:tcPr>
          <w:p w14:paraId="1786B5A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3</w:t>
            </w:r>
          </w:p>
        </w:tc>
        <w:tc>
          <w:tcPr>
            <w:tcW w:w="0" w:type="auto"/>
          </w:tcPr>
          <w:p w14:paraId="25F3A03C"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maturity</w:t>
            </w:r>
          </w:p>
        </w:tc>
        <w:tc>
          <w:tcPr>
            <w:tcW w:w="0" w:type="auto"/>
          </w:tcPr>
          <w:p w14:paraId="0E56EC1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5.01</w:t>
            </w:r>
          </w:p>
        </w:tc>
        <w:tc>
          <w:tcPr>
            <w:tcW w:w="0" w:type="auto"/>
          </w:tcPr>
          <w:p w14:paraId="37AC4DC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4.88</w:t>
            </w:r>
          </w:p>
        </w:tc>
        <w:tc>
          <w:tcPr>
            <w:tcW w:w="0" w:type="auto"/>
          </w:tcPr>
          <w:p w14:paraId="68319F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94.53</w:t>
            </w:r>
          </w:p>
        </w:tc>
        <w:tc>
          <w:tcPr>
            <w:tcW w:w="0" w:type="auto"/>
          </w:tcPr>
          <w:p w14:paraId="52C82A8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9.77</w:t>
            </w:r>
          </w:p>
        </w:tc>
      </w:tr>
      <w:tr w:rsidR="00920BED" w:rsidRPr="008E3FEA" w14:paraId="5B002783" w14:textId="77777777" w:rsidTr="00920BED">
        <w:tc>
          <w:tcPr>
            <w:tcW w:w="0" w:type="auto"/>
          </w:tcPr>
          <w:p w14:paraId="2800AB5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4</w:t>
            </w:r>
          </w:p>
        </w:tc>
        <w:tc>
          <w:tcPr>
            <w:tcW w:w="0" w:type="auto"/>
          </w:tcPr>
          <w:p w14:paraId="3CB90F6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Stem girth (mm)</w:t>
            </w:r>
          </w:p>
        </w:tc>
        <w:tc>
          <w:tcPr>
            <w:tcW w:w="0" w:type="auto"/>
          </w:tcPr>
          <w:p w14:paraId="228FC49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15.42</w:t>
            </w:r>
          </w:p>
        </w:tc>
        <w:tc>
          <w:tcPr>
            <w:tcW w:w="0" w:type="auto"/>
          </w:tcPr>
          <w:p w14:paraId="0076CD1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14.38</w:t>
            </w:r>
          </w:p>
        </w:tc>
        <w:tc>
          <w:tcPr>
            <w:tcW w:w="0" w:type="auto"/>
          </w:tcPr>
          <w:p w14:paraId="68A6060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91.24</w:t>
            </w:r>
          </w:p>
        </w:tc>
        <w:tc>
          <w:tcPr>
            <w:tcW w:w="0" w:type="auto"/>
          </w:tcPr>
          <w:p w14:paraId="44430AB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30.40</w:t>
            </w:r>
          </w:p>
        </w:tc>
      </w:tr>
      <w:tr w:rsidR="00920BED" w:rsidRPr="008E3FEA" w14:paraId="44AA8071" w14:textId="77777777" w:rsidTr="00920BED">
        <w:tc>
          <w:tcPr>
            <w:tcW w:w="0" w:type="auto"/>
          </w:tcPr>
          <w:p w14:paraId="2FF8BC8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5</w:t>
            </w:r>
          </w:p>
        </w:tc>
        <w:tc>
          <w:tcPr>
            <w:tcW w:w="0" w:type="auto"/>
          </w:tcPr>
          <w:p w14:paraId="7465957B"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Head diameter (cm)</w:t>
            </w:r>
          </w:p>
        </w:tc>
        <w:tc>
          <w:tcPr>
            <w:tcW w:w="0" w:type="auto"/>
          </w:tcPr>
          <w:p w14:paraId="782474F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18.39</w:t>
            </w:r>
          </w:p>
        </w:tc>
        <w:tc>
          <w:tcPr>
            <w:tcW w:w="0" w:type="auto"/>
          </w:tcPr>
          <w:p w14:paraId="29A8D7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17.39</w:t>
            </w:r>
          </w:p>
        </w:tc>
        <w:tc>
          <w:tcPr>
            <w:tcW w:w="0" w:type="auto"/>
          </w:tcPr>
          <w:p w14:paraId="4D629E6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94.59</w:t>
            </w:r>
          </w:p>
        </w:tc>
        <w:tc>
          <w:tcPr>
            <w:tcW w:w="0" w:type="auto"/>
          </w:tcPr>
          <w:p w14:paraId="5B64CA1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35.87</w:t>
            </w:r>
          </w:p>
        </w:tc>
      </w:tr>
      <w:tr w:rsidR="00920BED" w:rsidRPr="008E3FEA" w14:paraId="316E4BBD" w14:textId="77777777" w:rsidTr="00920BED">
        <w:tc>
          <w:tcPr>
            <w:tcW w:w="0" w:type="auto"/>
          </w:tcPr>
          <w:p w14:paraId="5C0E5AF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6</w:t>
            </w:r>
          </w:p>
        </w:tc>
        <w:tc>
          <w:tcPr>
            <w:tcW w:w="0" w:type="auto"/>
          </w:tcPr>
          <w:p w14:paraId="2DC3E555"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Volume weight (g/100ml)</w:t>
            </w:r>
          </w:p>
        </w:tc>
        <w:tc>
          <w:tcPr>
            <w:tcW w:w="0" w:type="auto"/>
          </w:tcPr>
          <w:p w14:paraId="4F41CB8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12.67</w:t>
            </w:r>
          </w:p>
        </w:tc>
        <w:tc>
          <w:tcPr>
            <w:tcW w:w="0" w:type="auto"/>
          </w:tcPr>
          <w:p w14:paraId="2A2A48E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11.69</w:t>
            </w:r>
          </w:p>
        </w:tc>
        <w:tc>
          <w:tcPr>
            <w:tcW w:w="0" w:type="auto"/>
          </w:tcPr>
          <w:p w14:paraId="333C4CC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85.20</w:t>
            </w:r>
          </w:p>
        </w:tc>
        <w:tc>
          <w:tcPr>
            <w:tcW w:w="0" w:type="auto"/>
          </w:tcPr>
          <w:p w14:paraId="2B59DC8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22.23</w:t>
            </w:r>
          </w:p>
        </w:tc>
      </w:tr>
      <w:tr w:rsidR="00920BED" w:rsidRPr="008E3FEA" w14:paraId="43F4A00E" w14:textId="77777777" w:rsidTr="00920BED">
        <w:trPr>
          <w:trHeight w:val="268"/>
        </w:trPr>
        <w:tc>
          <w:tcPr>
            <w:tcW w:w="0" w:type="auto"/>
          </w:tcPr>
          <w:p w14:paraId="6F5C4E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7</w:t>
            </w:r>
          </w:p>
        </w:tc>
        <w:tc>
          <w:tcPr>
            <w:tcW w:w="0" w:type="auto"/>
          </w:tcPr>
          <w:p w14:paraId="433F511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100-seed weight (g)</w:t>
            </w:r>
          </w:p>
        </w:tc>
        <w:tc>
          <w:tcPr>
            <w:tcW w:w="0" w:type="auto"/>
          </w:tcPr>
          <w:p w14:paraId="6F16CA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19.66</w:t>
            </w:r>
          </w:p>
        </w:tc>
        <w:tc>
          <w:tcPr>
            <w:tcW w:w="0" w:type="auto"/>
          </w:tcPr>
          <w:p w14:paraId="586666D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19.04</w:t>
            </w:r>
          </w:p>
        </w:tc>
        <w:tc>
          <w:tcPr>
            <w:tcW w:w="0" w:type="auto"/>
          </w:tcPr>
          <w:p w14:paraId="6B83D5E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93.77</w:t>
            </w:r>
          </w:p>
        </w:tc>
        <w:tc>
          <w:tcPr>
            <w:tcW w:w="0" w:type="auto"/>
          </w:tcPr>
          <w:p w14:paraId="3BB2585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37.98</w:t>
            </w:r>
          </w:p>
        </w:tc>
      </w:tr>
      <w:tr w:rsidR="00920BED" w:rsidRPr="008E3FEA" w14:paraId="095B91BA" w14:textId="77777777" w:rsidTr="00920BED">
        <w:tc>
          <w:tcPr>
            <w:tcW w:w="0" w:type="auto"/>
          </w:tcPr>
          <w:p w14:paraId="1AAD22B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8</w:t>
            </w:r>
          </w:p>
        </w:tc>
        <w:tc>
          <w:tcPr>
            <w:tcW w:w="0" w:type="auto"/>
          </w:tcPr>
          <w:p w14:paraId="7F1A647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Seed yield per plant (g)</w:t>
            </w:r>
          </w:p>
        </w:tc>
        <w:tc>
          <w:tcPr>
            <w:tcW w:w="0" w:type="auto"/>
          </w:tcPr>
          <w:p w14:paraId="328DA8E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25.70</w:t>
            </w:r>
          </w:p>
        </w:tc>
        <w:tc>
          <w:tcPr>
            <w:tcW w:w="0" w:type="auto"/>
          </w:tcPr>
          <w:p w14:paraId="7F94DD0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24.51</w:t>
            </w:r>
          </w:p>
        </w:tc>
        <w:tc>
          <w:tcPr>
            <w:tcW w:w="0" w:type="auto"/>
          </w:tcPr>
          <w:p w14:paraId="0CEFA00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90.85</w:t>
            </w:r>
          </w:p>
        </w:tc>
        <w:tc>
          <w:tcPr>
            <w:tcW w:w="0" w:type="auto"/>
          </w:tcPr>
          <w:p w14:paraId="5FDBABD2"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48.15</w:t>
            </w:r>
          </w:p>
        </w:tc>
      </w:tr>
      <w:tr w:rsidR="00920BED" w:rsidRPr="008E3FEA" w14:paraId="3B7C79AA" w14:textId="77777777" w:rsidTr="00920BED">
        <w:tc>
          <w:tcPr>
            <w:tcW w:w="0" w:type="auto"/>
          </w:tcPr>
          <w:p w14:paraId="18F2386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9</w:t>
            </w:r>
          </w:p>
        </w:tc>
        <w:tc>
          <w:tcPr>
            <w:tcW w:w="0" w:type="auto"/>
          </w:tcPr>
          <w:p w14:paraId="1F6AAB3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content (%)</w:t>
            </w:r>
          </w:p>
        </w:tc>
        <w:tc>
          <w:tcPr>
            <w:tcW w:w="0" w:type="auto"/>
          </w:tcPr>
          <w:p w14:paraId="5A37817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7.43</w:t>
            </w:r>
          </w:p>
        </w:tc>
        <w:tc>
          <w:tcPr>
            <w:tcW w:w="0" w:type="auto"/>
          </w:tcPr>
          <w:p w14:paraId="1E6DE72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6.97</w:t>
            </w:r>
          </w:p>
        </w:tc>
        <w:tc>
          <w:tcPr>
            <w:tcW w:w="0" w:type="auto"/>
          </w:tcPr>
          <w:p w14:paraId="79499CD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87.90</w:t>
            </w:r>
          </w:p>
        </w:tc>
        <w:tc>
          <w:tcPr>
            <w:tcW w:w="0" w:type="auto"/>
          </w:tcPr>
          <w:p w14:paraId="181367A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13.46</w:t>
            </w:r>
          </w:p>
        </w:tc>
      </w:tr>
      <w:tr w:rsidR="00920BED" w:rsidRPr="008E3FEA" w14:paraId="472795B4" w14:textId="77777777" w:rsidTr="00920BED">
        <w:tc>
          <w:tcPr>
            <w:tcW w:w="0" w:type="auto"/>
          </w:tcPr>
          <w:p w14:paraId="31543C3C" w14:textId="77777777" w:rsidR="00920BED" w:rsidRPr="008E3FEA" w:rsidRDefault="00920BED" w:rsidP="00D826B8">
            <w:pPr>
              <w:spacing w:line="360" w:lineRule="auto"/>
              <w:jc w:val="center"/>
              <w:rPr>
                <w:rFonts w:ascii="Arial" w:hAnsi="Arial" w:cs="Arial"/>
                <w:color w:val="000000" w:themeColor="text1"/>
                <w:sz w:val="20"/>
                <w:szCs w:val="20"/>
              </w:rPr>
            </w:pPr>
            <w:bookmarkStart w:id="30" w:name="_Hlk211159642"/>
            <w:r w:rsidRPr="008E3FEA">
              <w:rPr>
                <w:rFonts w:ascii="Arial" w:hAnsi="Arial" w:cs="Arial"/>
                <w:b/>
                <w:bCs/>
                <w:color w:val="000000" w:themeColor="text1"/>
                <w:sz w:val="20"/>
                <w:szCs w:val="20"/>
              </w:rPr>
              <w:t>10</w:t>
            </w:r>
          </w:p>
        </w:tc>
        <w:tc>
          <w:tcPr>
            <w:tcW w:w="0" w:type="auto"/>
          </w:tcPr>
          <w:p w14:paraId="07979C99"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Hull content (%)</w:t>
            </w:r>
          </w:p>
        </w:tc>
        <w:tc>
          <w:tcPr>
            <w:tcW w:w="0" w:type="auto"/>
          </w:tcPr>
          <w:p w14:paraId="5E5F420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17.25</w:t>
            </w:r>
          </w:p>
        </w:tc>
        <w:tc>
          <w:tcPr>
            <w:tcW w:w="0" w:type="auto"/>
          </w:tcPr>
          <w:p w14:paraId="07757D2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15.34</w:t>
            </w:r>
          </w:p>
        </w:tc>
        <w:tc>
          <w:tcPr>
            <w:tcW w:w="0" w:type="auto"/>
          </w:tcPr>
          <w:p w14:paraId="414E52B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79.16</w:t>
            </w:r>
          </w:p>
        </w:tc>
        <w:tc>
          <w:tcPr>
            <w:tcW w:w="0" w:type="auto"/>
          </w:tcPr>
          <w:p w14:paraId="74C86715"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28.13</w:t>
            </w:r>
          </w:p>
        </w:tc>
      </w:tr>
      <w:tr w:rsidR="00920BED" w:rsidRPr="008E3FEA" w14:paraId="7C5BB1E0" w14:textId="77777777" w:rsidTr="00920BED">
        <w:tc>
          <w:tcPr>
            <w:tcW w:w="0" w:type="auto"/>
          </w:tcPr>
          <w:p w14:paraId="54A6E4A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11</w:t>
            </w:r>
          </w:p>
        </w:tc>
        <w:tc>
          <w:tcPr>
            <w:tcW w:w="0" w:type="auto"/>
          </w:tcPr>
          <w:p w14:paraId="219E6802"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Autogamy (%)</w:t>
            </w:r>
          </w:p>
        </w:tc>
        <w:tc>
          <w:tcPr>
            <w:tcW w:w="0" w:type="auto"/>
          </w:tcPr>
          <w:p w14:paraId="5508D4F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18.63</w:t>
            </w:r>
          </w:p>
        </w:tc>
        <w:tc>
          <w:tcPr>
            <w:tcW w:w="0" w:type="auto"/>
          </w:tcPr>
          <w:p w14:paraId="4EDDEE9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16.97</w:t>
            </w:r>
          </w:p>
        </w:tc>
        <w:tc>
          <w:tcPr>
            <w:tcW w:w="0" w:type="auto"/>
          </w:tcPr>
          <w:p w14:paraId="3316731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82.93</w:t>
            </w:r>
          </w:p>
        </w:tc>
        <w:tc>
          <w:tcPr>
            <w:tcW w:w="0" w:type="auto"/>
          </w:tcPr>
          <w:p w14:paraId="7F4B0715"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31.90</w:t>
            </w:r>
          </w:p>
        </w:tc>
      </w:tr>
      <w:tr w:rsidR="00920BED" w:rsidRPr="008E3FEA" w14:paraId="3EDDE1DD" w14:textId="77777777" w:rsidTr="00920BED">
        <w:tc>
          <w:tcPr>
            <w:tcW w:w="0" w:type="auto"/>
          </w:tcPr>
          <w:p w14:paraId="64C3EB5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12</w:t>
            </w:r>
          </w:p>
        </w:tc>
        <w:tc>
          <w:tcPr>
            <w:tcW w:w="0" w:type="auto"/>
          </w:tcPr>
          <w:p w14:paraId="4B274F8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yield plant</w:t>
            </w:r>
            <w:r w:rsidRPr="008E3FEA">
              <w:rPr>
                <w:rFonts w:ascii="Arial" w:hAnsi="Arial" w:cs="Arial"/>
                <w:b/>
                <w:bCs/>
                <w:color w:val="000000" w:themeColor="text1"/>
                <w:sz w:val="20"/>
                <w:szCs w:val="20"/>
                <w:vertAlign w:val="superscript"/>
              </w:rPr>
              <w:t>-1</w:t>
            </w:r>
            <w:r w:rsidRPr="008E3FEA">
              <w:rPr>
                <w:rFonts w:ascii="Arial" w:hAnsi="Arial" w:cs="Arial"/>
                <w:b/>
                <w:bCs/>
                <w:color w:val="000000" w:themeColor="text1"/>
                <w:sz w:val="20"/>
                <w:szCs w:val="20"/>
              </w:rPr>
              <w:t>(g)</w:t>
            </w:r>
          </w:p>
        </w:tc>
        <w:tc>
          <w:tcPr>
            <w:tcW w:w="0" w:type="auto"/>
          </w:tcPr>
          <w:p w14:paraId="3E22C45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27.91</w:t>
            </w:r>
          </w:p>
        </w:tc>
        <w:tc>
          <w:tcPr>
            <w:tcW w:w="0" w:type="auto"/>
          </w:tcPr>
          <w:p w14:paraId="56D3E0D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25.45</w:t>
            </w:r>
          </w:p>
        </w:tc>
        <w:tc>
          <w:tcPr>
            <w:tcW w:w="0" w:type="auto"/>
          </w:tcPr>
          <w:p w14:paraId="1965E676"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92.62</w:t>
            </w:r>
          </w:p>
        </w:tc>
        <w:tc>
          <w:tcPr>
            <w:tcW w:w="0" w:type="auto"/>
          </w:tcPr>
          <w:p w14:paraId="7546F97B"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35.12</w:t>
            </w:r>
          </w:p>
        </w:tc>
      </w:tr>
      <w:bookmarkEnd w:id="30"/>
    </w:tbl>
    <w:p w14:paraId="592D0A56" w14:textId="024B502A" w:rsidR="00AB1D24" w:rsidRDefault="00AB1D24" w:rsidP="00441B6F">
      <w:pPr>
        <w:pStyle w:val="Body"/>
        <w:spacing w:after="0"/>
        <w:rPr>
          <w:rFonts w:ascii="Arial" w:hAnsi="Arial" w:cs="Arial"/>
        </w:rPr>
      </w:pPr>
    </w:p>
    <w:p w14:paraId="7F9DB641" w14:textId="5A5CA8A0" w:rsidR="00AB1D24" w:rsidRDefault="00AB1D24" w:rsidP="00441B6F">
      <w:pPr>
        <w:pStyle w:val="Body"/>
        <w:spacing w:after="0"/>
        <w:rPr>
          <w:rFonts w:ascii="Arial" w:hAnsi="Arial" w:cs="Arial"/>
        </w:rPr>
      </w:pPr>
      <w:r w:rsidRPr="00AB1D24">
        <w:rPr>
          <w:rFonts w:ascii="Arial" w:hAnsi="Arial" w:cs="Arial"/>
        </w:rPr>
        <w:t>Heritability estimates reflect the reliability of phenotypic values. In our study, all traits exhibited high broad sense heritability, implying these traits are more responsive to selection. Comparable findings were also reported by Hilli et al. [1</w:t>
      </w:r>
      <w:r w:rsidR="00F548AA">
        <w:rPr>
          <w:rFonts w:ascii="Arial" w:hAnsi="Arial" w:cs="Arial"/>
        </w:rPr>
        <w:t>5</w:t>
      </w:r>
      <w:r w:rsidRPr="00AB1D24">
        <w:rPr>
          <w:rFonts w:ascii="Arial" w:hAnsi="Arial" w:cs="Arial"/>
        </w:rPr>
        <w:t>], who noted high heritability and genetic advance for plant height, head diameter, days to 50 % flowering, oil content and oil yield</w:t>
      </w:r>
      <w:r w:rsidR="00152329">
        <w:rPr>
          <w:rFonts w:ascii="Arial" w:hAnsi="Arial" w:cs="Arial"/>
        </w:rPr>
        <w:t xml:space="preserve">. </w:t>
      </w:r>
      <w:r w:rsidRPr="00AB1D24">
        <w:rPr>
          <w:rFonts w:ascii="Arial" w:hAnsi="Arial" w:cs="Arial"/>
        </w:rPr>
        <w:t>Sree et al. [1</w:t>
      </w:r>
      <w:r w:rsidR="00F548AA">
        <w:rPr>
          <w:rFonts w:ascii="Arial" w:hAnsi="Arial" w:cs="Arial"/>
        </w:rPr>
        <w:t>6</w:t>
      </w:r>
      <w:r w:rsidRPr="00AB1D24">
        <w:rPr>
          <w:rFonts w:ascii="Arial" w:hAnsi="Arial" w:cs="Arial"/>
        </w:rPr>
        <w:t>], Vamsi et al [</w:t>
      </w:r>
      <w:r w:rsidR="00152329">
        <w:rPr>
          <w:rFonts w:ascii="Arial" w:hAnsi="Arial" w:cs="Arial"/>
        </w:rPr>
        <w:t>1</w:t>
      </w:r>
      <w:r w:rsidR="00F548AA">
        <w:rPr>
          <w:rFonts w:ascii="Arial" w:hAnsi="Arial" w:cs="Arial"/>
        </w:rPr>
        <w:t>3</w:t>
      </w:r>
      <w:r w:rsidRPr="00AB1D24">
        <w:rPr>
          <w:rFonts w:ascii="Arial" w:hAnsi="Arial" w:cs="Arial"/>
        </w:rPr>
        <w:t>] and Lakshmana et al. [</w:t>
      </w:r>
      <w:r w:rsidR="00152329">
        <w:rPr>
          <w:rFonts w:ascii="Arial" w:hAnsi="Arial" w:cs="Arial"/>
        </w:rPr>
        <w:t>1</w:t>
      </w:r>
      <w:r w:rsidR="00F548AA">
        <w:rPr>
          <w:rFonts w:ascii="Arial" w:hAnsi="Arial" w:cs="Arial"/>
        </w:rPr>
        <w:t>7</w:t>
      </w:r>
      <w:r w:rsidRPr="00AB1D24">
        <w:rPr>
          <w:rFonts w:ascii="Arial" w:hAnsi="Arial" w:cs="Arial"/>
        </w:rPr>
        <w:t>], who documented high broad-sense heritability with high genetic advance as percent of mean for similar traits. Whereas, El-</w:t>
      </w:r>
      <w:proofErr w:type="spellStart"/>
      <w:r w:rsidRPr="00AB1D24">
        <w:rPr>
          <w:rFonts w:ascii="Arial" w:hAnsi="Arial" w:cs="Arial"/>
        </w:rPr>
        <w:t>Nenny</w:t>
      </w:r>
      <w:proofErr w:type="spellEnd"/>
      <w:r w:rsidRPr="00AB1D24">
        <w:rPr>
          <w:rFonts w:ascii="Arial" w:hAnsi="Arial" w:cs="Arial"/>
        </w:rPr>
        <w:t xml:space="preserve"> et al. [</w:t>
      </w:r>
      <w:r w:rsidR="00152329">
        <w:rPr>
          <w:rFonts w:ascii="Arial" w:hAnsi="Arial" w:cs="Arial"/>
        </w:rPr>
        <w:t>1</w:t>
      </w:r>
      <w:r w:rsidR="00F548AA">
        <w:rPr>
          <w:rFonts w:ascii="Arial" w:hAnsi="Arial" w:cs="Arial"/>
        </w:rPr>
        <w:t>8</w:t>
      </w:r>
      <w:r w:rsidRPr="00AB1D24">
        <w:rPr>
          <w:rFonts w:ascii="Arial" w:hAnsi="Arial" w:cs="Arial"/>
        </w:rPr>
        <w:t>] reported low PCV, GCV, heritability and GAM for all the traits.</w:t>
      </w:r>
    </w:p>
    <w:p w14:paraId="5B026EC8" w14:textId="77777777" w:rsidR="00AB1D24" w:rsidRDefault="00AB1D24" w:rsidP="00441B6F">
      <w:pPr>
        <w:tabs>
          <w:tab w:val="left" w:pos="1080"/>
        </w:tabs>
        <w:jc w:val="both"/>
        <w:rPr>
          <w:rFonts w:ascii="Arial" w:hAnsi="Arial"/>
          <w:b/>
        </w:rPr>
      </w:pPr>
    </w:p>
    <w:p w14:paraId="696E53C4" w14:textId="77777777" w:rsidR="008E3FEA" w:rsidRDefault="008E3FEA" w:rsidP="00441B6F">
      <w:pPr>
        <w:tabs>
          <w:tab w:val="left" w:pos="1080"/>
        </w:tabs>
        <w:jc w:val="both"/>
        <w:rPr>
          <w:rFonts w:ascii="Arial" w:hAnsi="Arial"/>
          <w:b/>
        </w:rPr>
      </w:pPr>
    </w:p>
    <w:p w14:paraId="09B0C4F0" w14:textId="77777777" w:rsidR="008E3FEA" w:rsidRDefault="008E3FEA" w:rsidP="008E3FEA"/>
    <w:p w14:paraId="5E30DA0A" w14:textId="23539EF1" w:rsidR="008E3FEA" w:rsidRPr="008E3FEA" w:rsidRDefault="008E3FEA" w:rsidP="008E3FE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F05A807" w14:textId="0FED98FB" w:rsidR="0070254C" w:rsidRPr="008E3FEA" w:rsidRDefault="008E3FEA" w:rsidP="00152329">
      <w:pPr>
        <w:jc w:val="both"/>
        <w:sectPr w:rsidR="0070254C" w:rsidRPr="008E3FEA" w:rsidSect="00EC313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r w:rsidRPr="008E3FEA">
        <w:t xml:space="preserve">The assessment of genetic parameters in this study showed that seed yield per plant and oil yield per plant exhibited higher estimates of GCV, PCV, heritability and genetic advance as a percentage of the mean. Therefore, selection for these traits in this population could be effective. Moderate GCV and PCV values combined with high heritability and genetic advance were observed for plant height, stem girth, head diameter, volume weight, hundred </w:t>
      </w:r>
      <w:r w:rsidRPr="008E3FEA">
        <w:lastRenderedPageBreak/>
        <w:t xml:space="preserve">seed weight and hull content. In contrast, days to 50 % flowering and days to maturity recorded low GCV and PCV values along with high heritability but medium to low genetic advance, </w:t>
      </w:r>
      <w:r w:rsidR="0070254C" w:rsidRPr="008E3FEA">
        <w:t>respective</w:t>
      </w:r>
      <w:r w:rsidR="0070254C">
        <w:t>ly.</w:t>
      </w:r>
    </w:p>
    <w:p w14:paraId="11583166" w14:textId="2D56F492" w:rsidR="00860000" w:rsidRDefault="00860000" w:rsidP="00441B6F">
      <w:pPr>
        <w:pStyle w:val="ReferHead"/>
        <w:spacing w:after="0"/>
        <w:jc w:val="both"/>
        <w:rPr>
          <w:rFonts w:ascii="Arial" w:hAnsi="Arial" w:cs="Arial"/>
        </w:rPr>
      </w:pPr>
    </w:p>
    <w:p w14:paraId="7BF14300" w14:textId="77777777" w:rsidR="00EC313D" w:rsidRDefault="00EC313D" w:rsidP="00441B6F">
      <w:pPr>
        <w:pStyle w:val="ReferHead"/>
        <w:spacing w:after="0"/>
        <w:jc w:val="both"/>
        <w:rPr>
          <w:rFonts w:ascii="Arial" w:hAnsi="Arial" w:cs="Arial"/>
        </w:rPr>
      </w:pPr>
    </w:p>
    <w:p w14:paraId="2446C9EA" w14:textId="7C12E73D" w:rsidR="0070254C" w:rsidRDefault="0070254C" w:rsidP="00441B6F">
      <w:pPr>
        <w:pStyle w:val="ReferHead"/>
        <w:spacing w:after="0"/>
        <w:jc w:val="both"/>
        <w:rPr>
          <w:rFonts w:ascii="Arial" w:hAnsi="Arial" w:cs="Arial"/>
        </w:rPr>
      </w:pPr>
      <w:commentRangeStart w:id="31"/>
      <w:r w:rsidRPr="0070254C">
        <w:rPr>
          <w:rFonts w:ascii="Arial" w:hAnsi="Arial" w:cs="Arial"/>
        </w:rPr>
        <w:t>REFERENCES</w:t>
      </w:r>
      <w:commentRangeEnd w:id="31"/>
      <w:r w:rsidR="00354941">
        <w:rPr>
          <w:rStyle w:val="CommentReference"/>
          <w:rFonts w:ascii="Times New Roman" w:hAnsi="Times New Roman"/>
          <w:b w:val="0"/>
          <w:caps w:val="0"/>
          <w:lang w:val="nb-NO" w:eastAsia="nb-NO"/>
        </w:rPr>
        <w:commentReference w:id="31"/>
      </w:r>
    </w:p>
    <w:p w14:paraId="7E1D08C9" w14:textId="5BF20944" w:rsidR="00235320" w:rsidRDefault="0070254C" w:rsidP="00FA1A3C">
      <w:pPr>
        <w:pStyle w:val="ListParagraph"/>
        <w:numPr>
          <w:ilvl w:val="0"/>
          <w:numId w:val="31"/>
        </w:numPr>
        <w:spacing w:before="240" w:line="240" w:lineRule="auto"/>
        <w:jc w:val="both"/>
        <w:rPr>
          <w:rFonts w:cs="Times New Roman"/>
        </w:rPr>
      </w:pPr>
      <w:r w:rsidRPr="0070254C">
        <w:rPr>
          <w:rFonts w:ascii="Arial" w:hAnsi="Arial" w:cs="Arial"/>
          <w:sz w:val="20"/>
          <w:szCs w:val="20"/>
        </w:rPr>
        <w:t xml:space="preserve">Andrew, R. L., &amp; </w:t>
      </w:r>
      <w:proofErr w:type="spellStart"/>
      <w:r w:rsidRPr="0070254C">
        <w:rPr>
          <w:rFonts w:ascii="Arial" w:hAnsi="Arial" w:cs="Arial"/>
          <w:sz w:val="20"/>
          <w:szCs w:val="20"/>
        </w:rPr>
        <w:t>Rieseberg</w:t>
      </w:r>
      <w:proofErr w:type="spellEnd"/>
      <w:r w:rsidRPr="0070254C">
        <w:rPr>
          <w:rFonts w:ascii="Arial" w:hAnsi="Arial" w:cs="Arial"/>
          <w:sz w:val="20"/>
          <w:szCs w:val="20"/>
        </w:rPr>
        <w:t>, L. H. (2013). Divergence is focused on few genomic regions early in speciation: incipient speciation of sunflower ecotypes. Evolution, 67(9), 2468-2482</w:t>
      </w:r>
      <w:r w:rsidRPr="00C67ED3">
        <w:rPr>
          <w:rFonts w:cs="Times New Roman"/>
        </w:rPr>
        <w:t>.</w:t>
      </w:r>
    </w:p>
    <w:p w14:paraId="695E9B81" w14:textId="7765AE5F" w:rsidR="0070254C" w:rsidRPr="00FA1A3C" w:rsidRDefault="00F548AA" w:rsidP="00FA1A3C">
      <w:pPr>
        <w:pStyle w:val="ListParagraph"/>
        <w:numPr>
          <w:ilvl w:val="0"/>
          <w:numId w:val="31"/>
        </w:numPr>
        <w:spacing w:line="240" w:lineRule="auto"/>
        <w:jc w:val="both"/>
        <w:rPr>
          <w:rFonts w:ascii="Arial" w:hAnsi="Arial" w:cs="Arial"/>
          <w:sz w:val="20"/>
          <w:szCs w:val="20"/>
        </w:rPr>
      </w:pPr>
      <w:r w:rsidRPr="00FA1A3C">
        <w:rPr>
          <w:rFonts w:ascii="Arial" w:hAnsi="Arial" w:cs="Arial"/>
          <w:sz w:val="20"/>
          <w:szCs w:val="20"/>
        </w:rPr>
        <w:t xml:space="preserve">Meena, H. P., Sujatha, M., Yadav, P., </w:t>
      </w:r>
      <w:proofErr w:type="spellStart"/>
      <w:r w:rsidRPr="00FA1A3C">
        <w:rPr>
          <w:rFonts w:ascii="Arial" w:hAnsi="Arial" w:cs="Arial"/>
          <w:sz w:val="20"/>
          <w:szCs w:val="20"/>
        </w:rPr>
        <w:t>Dudhe</w:t>
      </w:r>
      <w:proofErr w:type="spellEnd"/>
      <w:r w:rsidRPr="00FA1A3C">
        <w:rPr>
          <w:rFonts w:ascii="Arial" w:hAnsi="Arial" w:cs="Arial"/>
          <w:sz w:val="20"/>
          <w:szCs w:val="20"/>
        </w:rPr>
        <w:t>, M. Y., Uma, M. S., Vikas, K., Sasikala, R., Ghodke, M. K., Neelima, S., Sakhare, S. B., &amp; Vineeta, K. (2023). Multivariate analysis among indigenous and exotic advanced inbred lines of sunflower (</w:t>
      </w:r>
      <w:r w:rsidRPr="00FA1A3C">
        <w:rPr>
          <w:rFonts w:ascii="Arial" w:hAnsi="Arial" w:cs="Arial"/>
          <w:i/>
          <w:iCs/>
          <w:sz w:val="20"/>
          <w:szCs w:val="20"/>
        </w:rPr>
        <w:t>Helianthus annuus</w:t>
      </w:r>
      <w:r w:rsidRPr="00FA1A3C">
        <w:rPr>
          <w:rFonts w:ascii="Arial" w:hAnsi="Arial" w:cs="Arial"/>
          <w:sz w:val="20"/>
          <w:szCs w:val="20"/>
        </w:rPr>
        <w:t xml:space="preserve"> L.) for genetic improvement. Indian Journal of Genetics and Plant Breeding, 83(04), 535-545.</w:t>
      </w:r>
      <w:r w:rsidR="00235320" w:rsidRPr="00FA1A3C">
        <w:rPr>
          <w:rFonts w:ascii="Arial" w:hAnsi="Arial" w:cs="Arial"/>
          <w:sz w:val="20"/>
          <w:szCs w:val="20"/>
        </w:rPr>
        <w:t xml:space="preserve"> </w:t>
      </w:r>
    </w:p>
    <w:p w14:paraId="44E043E0" w14:textId="77777777" w:rsidR="00235320" w:rsidRPr="00235320" w:rsidRDefault="00235320" w:rsidP="00FA1A3C">
      <w:pPr>
        <w:pStyle w:val="ListParagraph"/>
        <w:numPr>
          <w:ilvl w:val="0"/>
          <w:numId w:val="31"/>
        </w:numPr>
        <w:spacing w:line="240" w:lineRule="auto"/>
        <w:jc w:val="both"/>
        <w:rPr>
          <w:rFonts w:ascii="Arial" w:hAnsi="Arial" w:cs="Arial"/>
          <w:sz w:val="20"/>
          <w:szCs w:val="20"/>
        </w:rPr>
      </w:pPr>
      <w:r w:rsidRPr="00D949A1">
        <w:rPr>
          <w:rFonts w:ascii="Arial" w:hAnsi="Arial" w:cs="Arial"/>
          <w:sz w:val="20"/>
          <w:szCs w:val="20"/>
          <w:lang w:val="it-IT"/>
        </w:rPr>
        <w:t xml:space="preserve">Forleo, M. B., Palmieri, N., Suardi, A., Coaloa, D., &amp; Pari, L. (2018). </w:t>
      </w:r>
      <w:r w:rsidRPr="00235320">
        <w:rPr>
          <w:rFonts w:ascii="Arial" w:hAnsi="Arial" w:cs="Arial"/>
          <w:sz w:val="20"/>
          <w:szCs w:val="20"/>
        </w:rPr>
        <w:t>The eco-efficiency of rapeseed and sunflower cultivation in Italy. Joining environmental and economic assessment. Journal of Cleaner Production, 172,3138-3153.</w:t>
      </w:r>
    </w:p>
    <w:p w14:paraId="61AE5945" w14:textId="582211EF" w:rsidR="00D4017D" w:rsidRDefault="00235320" w:rsidP="00FA1A3C">
      <w:pPr>
        <w:pStyle w:val="ListParagraph"/>
        <w:numPr>
          <w:ilvl w:val="0"/>
          <w:numId w:val="31"/>
        </w:numPr>
        <w:spacing w:line="240" w:lineRule="auto"/>
        <w:jc w:val="both"/>
        <w:rPr>
          <w:rFonts w:ascii="Arial" w:hAnsi="Arial" w:cs="Arial"/>
          <w:sz w:val="20"/>
          <w:szCs w:val="20"/>
        </w:rPr>
      </w:pPr>
      <w:r w:rsidRPr="00D949A1">
        <w:rPr>
          <w:rFonts w:ascii="Arial" w:hAnsi="Arial" w:cs="Arial"/>
          <w:sz w:val="20"/>
          <w:szCs w:val="20"/>
          <w:lang w:val="it-IT"/>
        </w:rPr>
        <w:t xml:space="preserve">Pal, U. S., Patra, R. K., Sahoo, N. R., Bakhara, C. K., &amp; Panda, M. K. (2015). </w:t>
      </w:r>
      <w:r w:rsidRPr="00235320">
        <w:rPr>
          <w:rFonts w:ascii="Arial" w:hAnsi="Arial" w:cs="Arial"/>
          <w:sz w:val="20"/>
          <w:szCs w:val="20"/>
        </w:rPr>
        <w:t>Effect of refining on quality and composition of sunflower oil. Journal of food science and technology, 52(7), 4613-4618.</w:t>
      </w:r>
    </w:p>
    <w:p w14:paraId="31D6ADEC" w14:textId="0BAB6793" w:rsidR="00D4017D" w:rsidRPr="00FA1A3C" w:rsidRDefault="00F548AA" w:rsidP="00FA1A3C">
      <w:pPr>
        <w:pStyle w:val="ListParagraph"/>
        <w:numPr>
          <w:ilvl w:val="0"/>
          <w:numId w:val="31"/>
        </w:numPr>
        <w:spacing w:line="240" w:lineRule="auto"/>
        <w:jc w:val="both"/>
        <w:rPr>
          <w:rFonts w:ascii="Arial" w:hAnsi="Arial" w:cs="Arial"/>
          <w:sz w:val="20"/>
          <w:szCs w:val="20"/>
        </w:rPr>
      </w:pPr>
      <w:commentRangeStart w:id="32"/>
      <w:r w:rsidRPr="00D949A1">
        <w:rPr>
          <w:rFonts w:ascii="Arial" w:hAnsi="Arial" w:cs="Arial"/>
          <w:sz w:val="20"/>
          <w:szCs w:val="20"/>
          <w:lang w:val="it-IT"/>
        </w:rPr>
        <w:t xml:space="preserve">Sujatha, H. L., &amp; Nandini, R. (2002). </w:t>
      </w:r>
      <w:r w:rsidRPr="00F548AA">
        <w:rPr>
          <w:rFonts w:ascii="Arial" w:hAnsi="Arial" w:cs="Arial"/>
          <w:sz w:val="20"/>
          <w:szCs w:val="20"/>
        </w:rPr>
        <w:t>Genetic variability study in sunflower inbreds. Helia, 25(37), 93-100.</w:t>
      </w:r>
    </w:p>
    <w:p w14:paraId="6F158465"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(1940). Intra-sire correlations or regressions of offspring on dam as a method of estimating heritability of characteristics. Journal of animal science, 1940(1), 293-301.</w:t>
      </w:r>
    </w:p>
    <w:p w14:paraId="2784FDB8" w14:textId="54DF75F1" w:rsidR="00D4017D" w:rsidRPr="00280769" w:rsidRDefault="00D4017D" w:rsidP="00280769">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 xml:space="preserve">Chaudhary, L. B., &amp; Prasad, B. (1968). Genetic variation and </w:t>
      </w:r>
      <w:proofErr w:type="spellStart"/>
      <w:r w:rsidRPr="00D4017D">
        <w:rPr>
          <w:rFonts w:ascii="Arial" w:hAnsi="Arial" w:cs="Arial"/>
          <w:sz w:val="20"/>
          <w:szCs w:val="20"/>
        </w:rPr>
        <w:t>heritablity</w:t>
      </w:r>
      <w:proofErr w:type="spellEnd"/>
      <w:r w:rsidRPr="00D4017D">
        <w:rPr>
          <w:rFonts w:ascii="Arial" w:hAnsi="Arial" w:cs="Arial"/>
          <w:sz w:val="20"/>
          <w:szCs w:val="20"/>
        </w:rPr>
        <w:t xml:space="preserve"> of quantitative characters in Indian mustard (Brassica Juncea). </w:t>
      </w:r>
      <w:r w:rsidR="00280769" w:rsidRPr="00280769">
        <w:rPr>
          <w:rFonts w:ascii="Arial" w:hAnsi="Arial" w:cs="Arial"/>
          <w:sz w:val="20"/>
          <w:szCs w:val="20"/>
        </w:rPr>
        <w:t>Indian Journal of Agricultural Sciences</w:t>
      </w:r>
      <w:r w:rsidRPr="00280769">
        <w:rPr>
          <w:rFonts w:ascii="Arial" w:hAnsi="Arial" w:cs="Arial"/>
        </w:rPr>
        <w:t xml:space="preserve">. </w:t>
      </w:r>
      <w:r w:rsidRPr="00280769">
        <w:rPr>
          <w:rFonts w:ascii="Arial" w:hAnsi="Arial" w:cs="Arial"/>
          <w:sz w:val="20"/>
          <w:szCs w:val="20"/>
        </w:rPr>
        <w:t>38, 820-825</w:t>
      </w:r>
      <w:r w:rsidRPr="00280769">
        <w:rPr>
          <w:rFonts w:ascii="Arial" w:hAnsi="Arial" w:cs="Arial"/>
        </w:rPr>
        <w:t>.</w:t>
      </w:r>
      <w:r w:rsidR="00280769" w:rsidRPr="00280769">
        <w:rPr>
          <w:rFonts w:ascii="Arial" w:hAnsi="Arial" w:cs="Arial"/>
        </w:rPr>
        <w:t xml:space="preserve"> </w:t>
      </w:r>
    </w:p>
    <w:p w14:paraId="20370043"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1945 Animal Breeding Plans, Ed. 3. Iowa State University Press, Ames, IA.</w:t>
      </w:r>
    </w:p>
    <w:p w14:paraId="75430C64" w14:textId="62BFEC49"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t>Robinson, H. F., Comstock, R. E., &amp; Harvey, P. H. (1949). Estimates of heritability and the degree of dominance in corn.  Agron</w:t>
      </w:r>
      <w:r w:rsidR="00280769">
        <w:rPr>
          <w:rFonts w:ascii="Arial" w:hAnsi="Arial" w:cs="Arial"/>
          <w:sz w:val="20"/>
          <w:szCs w:val="20"/>
        </w:rPr>
        <w:t>omy</w:t>
      </w:r>
      <w:r w:rsidRPr="00152329">
        <w:rPr>
          <w:rFonts w:ascii="Arial" w:hAnsi="Arial" w:cs="Arial"/>
          <w:sz w:val="20"/>
          <w:szCs w:val="20"/>
        </w:rPr>
        <w:t>. J., 41, 353-59.</w:t>
      </w:r>
    </w:p>
    <w:p w14:paraId="311B9A16" w14:textId="170E1A7E"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t>Falconer, D. S., &amp; Mackay, T. F. C.</w:t>
      </w:r>
      <w:r>
        <w:rPr>
          <w:rFonts w:ascii="Arial" w:hAnsi="Arial" w:cs="Arial"/>
          <w:sz w:val="20"/>
          <w:szCs w:val="20"/>
        </w:rPr>
        <w:t>,</w:t>
      </w:r>
      <w:r w:rsidRPr="00152329">
        <w:rPr>
          <w:rFonts w:ascii="Arial" w:hAnsi="Arial" w:cs="Arial"/>
          <w:sz w:val="20"/>
          <w:szCs w:val="20"/>
        </w:rPr>
        <w:t xml:space="preserve"> (1996). An introduction to quantitative genetics. 4thed., Prentice Hall, London.</w:t>
      </w:r>
    </w:p>
    <w:p w14:paraId="69C0DB0D" w14:textId="5C60DD76"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Johnson, H. W., Robinson, H. F., &amp; Comstock, R. E. (1955). Estimates of genetic and environmental variability in soybeans. Agron</w:t>
      </w:r>
      <w:r w:rsidR="00280769">
        <w:rPr>
          <w:rFonts w:ascii="Arial" w:hAnsi="Arial" w:cs="Arial"/>
          <w:sz w:val="20"/>
          <w:szCs w:val="20"/>
        </w:rPr>
        <w:t>omy</w:t>
      </w:r>
      <w:r w:rsidRPr="00152329">
        <w:rPr>
          <w:rFonts w:ascii="Arial" w:hAnsi="Arial" w:cs="Arial"/>
          <w:sz w:val="20"/>
          <w:szCs w:val="20"/>
        </w:rPr>
        <w:t>. J., 47(7), 314-18.</w:t>
      </w:r>
      <w:commentRangeEnd w:id="32"/>
      <w:r w:rsidR="00354941">
        <w:rPr>
          <w:rStyle w:val="CommentReference"/>
          <w:rFonts w:eastAsia="Times New Roman" w:cs="Times New Roman"/>
          <w:lang w:val="nb-NO" w:eastAsia="nb-NO"/>
        </w:rPr>
        <w:commentReference w:id="32"/>
      </w:r>
    </w:p>
    <w:p w14:paraId="61642D2C" w14:textId="7BA1FD9E" w:rsidR="00152329" w:rsidRPr="00152329" w:rsidRDefault="00152329"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t xml:space="preserve">Umarani, E., Saritha, A., &amp; Ramanjaneyulu, A. V. (2022). </w:t>
      </w:r>
      <w:r w:rsidRPr="00152329">
        <w:rPr>
          <w:rFonts w:ascii="Arial" w:hAnsi="Arial" w:cs="Arial"/>
          <w:sz w:val="20"/>
          <w:szCs w:val="20"/>
        </w:rPr>
        <w:t>Estimation of genetic parameters in sunflower (</w:t>
      </w:r>
      <w:r w:rsidRPr="00FA1A3C">
        <w:rPr>
          <w:rFonts w:ascii="Arial" w:hAnsi="Arial" w:cs="Arial"/>
          <w:i/>
          <w:iCs/>
          <w:sz w:val="20"/>
          <w:szCs w:val="20"/>
        </w:rPr>
        <w:t>Helianthus annuus</w:t>
      </w:r>
      <w:r w:rsidRPr="00152329">
        <w:rPr>
          <w:rFonts w:ascii="Arial" w:hAnsi="Arial" w:cs="Arial"/>
          <w:sz w:val="20"/>
          <w:szCs w:val="20"/>
        </w:rPr>
        <w:t xml:space="preserve"> L.) germplasm lines for yield and its contributing traits. </w:t>
      </w:r>
      <w:r w:rsidR="00280769" w:rsidRPr="00280769">
        <w:rPr>
          <w:rFonts w:ascii="Arial" w:hAnsi="Arial" w:cs="Arial"/>
          <w:sz w:val="20"/>
          <w:szCs w:val="20"/>
        </w:rPr>
        <w:t>International Journal of Environment and Climate Change</w:t>
      </w:r>
      <w:r w:rsidR="00280769">
        <w:rPr>
          <w:rFonts w:ascii="Arial" w:hAnsi="Arial" w:cs="Arial"/>
          <w:sz w:val="20"/>
          <w:szCs w:val="20"/>
        </w:rPr>
        <w:t>.</w:t>
      </w:r>
      <w:r w:rsidRPr="00152329">
        <w:rPr>
          <w:rFonts w:ascii="Arial" w:hAnsi="Arial" w:cs="Arial"/>
          <w:sz w:val="20"/>
          <w:szCs w:val="20"/>
        </w:rPr>
        <w:t xml:space="preserve"> 12(12), 936-42.</w:t>
      </w:r>
    </w:p>
    <w:p w14:paraId="5B25ED84" w14:textId="77777777" w:rsidR="00152329" w:rsidRPr="00152329" w:rsidRDefault="00152329"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t xml:space="preserve">Vamsi, D. M., Meena, H. P., Sandhya Sree, G., &amp; Payasi, S. K. (2022). </w:t>
      </w:r>
      <w:r w:rsidRPr="00152329">
        <w:rPr>
          <w:rFonts w:ascii="Arial" w:hAnsi="Arial" w:cs="Arial"/>
          <w:sz w:val="20"/>
          <w:szCs w:val="20"/>
        </w:rPr>
        <w:t>Assessment of genetic variability, heritability and genetic advance in sunflower (</w:t>
      </w:r>
      <w:r w:rsidRPr="00FA1A3C">
        <w:rPr>
          <w:rFonts w:ascii="Arial" w:hAnsi="Arial" w:cs="Arial"/>
          <w:i/>
          <w:iCs/>
          <w:sz w:val="20"/>
          <w:szCs w:val="20"/>
        </w:rPr>
        <w:t>Helianthus annuus</w:t>
      </w:r>
      <w:r w:rsidRPr="00152329">
        <w:rPr>
          <w:rFonts w:ascii="Arial" w:hAnsi="Arial" w:cs="Arial"/>
          <w:sz w:val="20"/>
          <w:szCs w:val="20"/>
        </w:rPr>
        <w:t xml:space="preserve"> L.) genotypes for seed yield and other agronomic traits. Environment and Ecology, 40(2), 451-457.</w:t>
      </w:r>
    </w:p>
    <w:p w14:paraId="5915B672" w14:textId="3086132D"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Varshitha, V., Prabhavathi, K., Meena, H. P., &amp; Yadav, P. (2023). Study of Genetic Variability for Yield and Quality Parameters in Newly Developed Sunflower (</w:t>
      </w:r>
      <w:r w:rsidRPr="00FA1A3C">
        <w:rPr>
          <w:rFonts w:ascii="Arial" w:hAnsi="Arial" w:cs="Arial"/>
          <w:i/>
          <w:iCs/>
          <w:sz w:val="20"/>
          <w:szCs w:val="20"/>
        </w:rPr>
        <w:t>Helianthus annuus</w:t>
      </w:r>
      <w:r w:rsidRPr="00152329">
        <w:rPr>
          <w:rFonts w:ascii="Arial" w:hAnsi="Arial" w:cs="Arial"/>
          <w:sz w:val="20"/>
          <w:szCs w:val="20"/>
        </w:rPr>
        <w:t xml:space="preserve"> L.) Interspecific Derivatives Over Two Seasons. </w:t>
      </w:r>
      <w:r w:rsidR="004906CB" w:rsidRPr="004906CB">
        <w:rPr>
          <w:rFonts w:ascii="Arial" w:hAnsi="Arial" w:cs="Arial"/>
          <w:sz w:val="20"/>
          <w:szCs w:val="20"/>
        </w:rPr>
        <w:t>International Journal of Environment and Climate Change</w:t>
      </w:r>
      <w:r w:rsidR="004906CB">
        <w:rPr>
          <w:rFonts w:ascii="Arial" w:hAnsi="Arial" w:cs="Arial"/>
          <w:sz w:val="20"/>
          <w:szCs w:val="20"/>
        </w:rPr>
        <w:t xml:space="preserve">. </w:t>
      </w:r>
      <w:r w:rsidRPr="00152329">
        <w:rPr>
          <w:rFonts w:ascii="Arial" w:hAnsi="Arial" w:cs="Arial"/>
          <w:sz w:val="20"/>
          <w:szCs w:val="20"/>
        </w:rPr>
        <w:t>13(10): 3226-3234.</w:t>
      </w:r>
    </w:p>
    <w:p w14:paraId="126F44C4" w14:textId="5E743E78" w:rsidR="00D4017D" w:rsidRDefault="00F548AA" w:rsidP="00FA1A3C">
      <w:pPr>
        <w:pStyle w:val="ListParagraph"/>
        <w:numPr>
          <w:ilvl w:val="0"/>
          <w:numId w:val="31"/>
        </w:numPr>
        <w:jc w:val="both"/>
        <w:rPr>
          <w:rFonts w:ascii="Arial" w:hAnsi="Arial" w:cs="Arial"/>
          <w:sz w:val="20"/>
          <w:szCs w:val="20"/>
        </w:rPr>
      </w:pPr>
      <w:r w:rsidRPr="00D949A1">
        <w:rPr>
          <w:rFonts w:ascii="Arial" w:hAnsi="Arial" w:cs="Arial"/>
          <w:sz w:val="20"/>
          <w:szCs w:val="20"/>
          <w:lang w:val="it-IT"/>
        </w:rPr>
        <w:lastRenderedPageBreak/>
        <w:t xml:space="preserve">Hilli, H. J., &amp; Immadi, S. (2021). </w:t>
      </w:r>
      <w:r w:rsidRPr="00F548AA">
        <w:rPr>
          <w:rFonts w:ascii="Arial" w:hAnsi="Arial" w:cs="Arial"/>
          <w:sz w:val="20"/>
          <w:szCs w:val="20"/>
        </w:rPr>
        <w:t>Variability and correlation studies in sunflower lines (Helianthus annuus). Journal of Pharmacognosy and Phytochemistry, 10(3), 221-223</w:t>
      </w:r>
      <w:r>
        <w:rPr>
          <w:rFonts w:ascii="Arial" w:hAnsi="Arial" w:cs="Arial"/>
          <w:sz w:val="20"/>
          <w:szCs w:val="20"/>
        </w:rPr>
        <w:t>.</w:t>
      </w:r>
    </w:p>
    <w:p w14:paraId="6060313C" w14:textId="6B9F1192" w:rsidR="00F548AA" w:rsidRP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 xml:space="preserve">Sree, G. S., Roja, V., Meena, H. P., </w:t>
      </w:r>
      <w:proofErr w:type="spellStart"/>
      <w:r w:rsidRPr="00F548AA">
        <w:rPr>
          <w:rFonts w:ascii="Arial" w:hAnsi="Arial" w:cs="Arial"/>
          <w:sz w:val="20"/>
          <w:szCs w:val="20"/>
        </w:rPr>
        <w:t>reddy</w:t>
      </w:r>
      <w:proofErr w:type="spellEnd"/>
      <w:r w:rsidRPr="00F548AA">
        <w:rPr>
          <w:rFonts w:ascii="Arial" w:hAnsi="Arial" w:cs="Arial"/>
          <w:sz w:val="20"/>
          <w:szCs w:val="20"/>
        </w:rPr>
        <w:t>, A. V., &amp; Ramesh, D. (2021). Genetic variability, heritability and genetic advance studies for economically important traits in sunflower (</w:t>
      </w:r>
      <w:r w:rsidRPr="00FA1A3C">
        <w:rPr>
          <w:rFonts w:ascii="Arial" w:hAnsi="Arial" w:cs="Arial"/>
          <w:i/>
          <w:iCs/>
          <w:sz w:val="20"/>
          <w:szCs w:val="20"/>
        </w:rPr>
        <w:t>Helianthus annuus</w:t>
      </w:r>
      <w:r w:rsidRPr="00F548AA">
        <w:rPr>
          <w:rFonts w:ascii="Arial" w:hAnsi="Arial" w:cs="Arial"/>
          <w:sz w:val="20"/>
          <w:szCs w:val="20"/>
        </w:rPr>
        <w:t xml:space="preserve"> L.). Indian Society of Oilseeds Research, 92.</w:t>
      </w:r>
    </w:p>
    <w:p w14:paraId="2C8D6D0B" w14:textId="4754E2D7" w:rsidR="00F548AA" w:rsidRPr="00F548AA" w:rsidRDefault="00F548AA" w:rsidP="00FA1A3C">
      <w:pPr>
        <w:pStyle w:val="ListParagraph"/>
        <w:numPr>
          <w:ilvl w:val="0"/>
          <w:numId w:val="31"/>
        </w:numPr>
        <w:jc w:val="both"/>
        <w:rPr>
          <w:rFonts w:ascii="Arial" w:hAnsi="Arial" w:cs="Arial"/>
          <w:sz w:val="20"/>
          <w:szCs w:val="20"/>
        </w:rPr>
      </w:pPr>
      <w:r>
        <w:rPr>
          <w:rFonts w:ascii="Arial" w:hAnsi="Arial" w:cs="Arial"/>
          <w:color w:val="222222"/>
          <w:sz w:val="20"/>
          <w:szCs w:val="20"/>
          <w:shd w:val="clear" w:color="auto" w:fill="FFFFFF"/>
        </w:rPr>
        <w:t>Lakshman, S. S., Chakraborty, N. R., Debnath, S., &amp; Kant, A. (2021). Genetic variability, character association and divergence studies in sunflower (</w:t>
      </w:r>
      <w:r w:rsidRPr="0083301A">
        <w:rPr>
          <w:rFonts w:ascii="Arial" w:hAnsi="Arial" w:cs="Arial"/>
          <w:i/>
          <w:iCs/>
          <w:color w:val="222222"/>
          <w:sz w:val="20"/>
          <w:szCs w:val="20"/>
          <w:shd w:val="clear" w:color="auto" w:fill="FFFFFF"/>
        </w:rPr>
        <w:t>Helianthus annuus</w:t>
      </w:r>
      <w:r>
        <w:rPr>
          <w:rFonts w:ascii="Arial" w:hAnsi="Arial" w:cs="Arial"/>
          <w:color w:val="222222"/>
          <w:sz w:val="20"/>
          <w:szCs w:val="20"/>
          <w:shd w:val="clear" w:color="auto" w:fill="FFFFFF"/>
        </w:rPr>
        <w:t xml:space="preserve"> L.) for improvement in oil yield. </w:t>
      </w:r>
      <w:r w:rsidRPr="0083301A">
        <w:rPr>
          <w:rFonts w:ascii="Arial" w:hAnsi="Arial" w:cs="Arial"/>
          <w:color w:val="222222"/>
          <w:sz w:val="20"/>
          <w:szCs w:val="20"/>
          <w:shd w:val="clear" w:color="auto" w:fill="FFFFFF"/>
        </w:rPr>
        <w:t>African Journal of Biological Sciences, 3(1),</w:t>
      </w:r>
      <w:r>
        <w:rPr>
          <w:rFonts w:ascii="Arial" w:hAnsi="Arial" w:cs="Arial"/>
          <w:color w:val="222222"/>
          <w:sz w:val="20"/>
          <w:szCs w:val="20"/>
          <w:shd w:val="clear" w:color="auto" w:fill="FFFFFF"/>
        </w:rPr>
        <w:t xml:space="preserve"> </w:t>
      </w:r>
      <w:r w:rsidRPr="0083301A">
        <w:rPr>
          <w:rFonts w:ascii="Arial" w:hAnsi="Arial" w:cs="Arial"/>
          <w:color w:val="222222"/>
          <w:sz w:val="20"/>
          <w:szCs w:val="20"/>
          <w:shd w:val="clear" w:color="auto" w:fill="FFFFFF"/>
        </w:rPr>
        <w:t>129-145</w:t>
      </w:r>
      <w:r>
        <w:rPr>
          <w:rFonts w:ascii="Arial" w:hAnsi="Arial" w:cs="Arial"/>
          <w:color w:val="222222"/>
          <w:sz w:val="20"/>
          <w:szCs w:val="20"/>
          <w:shd w:val="clear" w:color="auto" w:fill="FFFFFF"/>
        </w:rPr>
        <w:t>.</w:t>
      </w:r>
    </w:p>
    <w:p w14:paraId="1E8F25E1" w14:textId="3FB8B0F7" w:rsid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El-</w:t>
      </w:r>
      <w:proofErr w:type="spellStart"/>
      <w:r w:rsidRPr="00F548AA">
        <w:rPr>
          <w:rFonts w:ascii="Arial" w:hAnsi="Arial" w:cs="Arial"/>
          <w:sz w:val="20"/>
          <w:szCs w:val="20"/>
        </w:rPr>
        <w:t>Nenny</w:t>
      </w:r>
      <w:proofErr w:type="spellEnd"/>
      <w:r w:rsidRPr="00F548AA">
        <w:rPr>
          <w:rFonts w:ascii="Arial" w:hAnsi="Arial" w:cs="Arial"/>
          <w:sz w:val="20"/>
          <w:szCs w:val="20"/>
        </w:rPr>
        <w:t>, E. M. M., Abou Mowafy, M. R., Shawky, A. M., &amp; Ibrahim, H. E. (2021). Genetic variability, evaluation and multivariate analysis for yield and yield components in Sunflower (</w:t>
      </w:r>
      <w:r w:rsidRPr="00FA1A3C">
        <w:rPr>
          <w:rFonts w:ascii="Arial" w:hAnsi="Arial" w:cs="Arial"/>
          <w:i/>
          <w:iCs/>
          <w:sz w:val="20"/>
          <w:szCs w:val="20"/>
        </w:rPr>
        <w:t>Helianthus annuus</w:t>
      </w:r>
      <w:r w:rsidRPr="00F548AA">
        <w:rPr>
          <w:rFonts w:ascii="Arial" w:hAnsi="Arial" w:cs="Arial"/>
          <w:sz w:val="20"/>
          <w:szCs w:val="20"/>
        </w:rPr>
        <w:t xml:space="preserve"> L.). International Journal of Agricultural Invention, 6(1), 162-171</w:t>
      </w:r>
      <w:r w:rsidR="001F569F">
        <w:rPr>
          <w:rFonts w:ascii="Arial" w:hAnsi="Arial" w:cs="Arial"/>
          <w:sz w:val="20"/>
          <w:szCs w:val="20"/>
        </w:rPr>
        <w:t>.</w:t>
      </w:r>
    </w:p>
    <w:p w14:paraId="2B69D451" w14:textId="7B118598" w:rsidR="001F569F" w:rsidRDefault="001F569F" w:rsidP="001F569F">
      <w:pPr>
        <w:ind w:left="360"/>
        <w:jc w:val="both"/>
        <w:rPr>
          <w:rFonts w:ascii="Arial" w:hAnsi="Arial" w:cs="Arial"/>
        </w:rPr>
      </w:pPr>
    </w:p>
    <w:sectPr w:rsidR="001F569F" w:rsidSect="00EC313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ida Hussain" w:date="2025-10-27T12:20:00Z" w:initials="FH">
    <w:p w14:paraId="0F807F75" w14:textId="3CC35664" w:rsidR="00D949A1" w:rsidRDefault="00D949A1">
      <w:pPr>
        <w:pStyle w:val="CommentText"/>
      </w:pPr>
      <w:r>
        <w:rPr>
          <w:rStyle w:val="CommentReference"/>
        </w:rPr>
        <w:annotationRef/>
      </w:r>
      <w:r>
        <w:t>Remove duplication</w:t>
      </w:r>
    </w:p>
  </w:comment>
  <w:comment w:id="1" w:author="Fida Hussain" w:date="2025-10-27T12:20:00Z" w:initials="FH">
    <w:p w14:paraId="2CD5FF0A" w14:textId="65E23553" w:rsidR="00D949A1" w:rsidRDefault="00D949A1">
      <w:pPr>
        <w:pStyle w:val="CommentText"/>
      </w:pPr>
      <w:r>
        <w:rPr>
          <w:rStyle w:val="CommentReference"/>
        </w:rPr>
        <w:annotationRef/>
      </w:r>
      <w:r>
        <w:t>Use full form at 1st place</w:t>
      </w:r>
    </w:p>
  </w:comment>
  <w:comment w:id="2" w:author="Fida Hussain" w:date="2025-10-27T12:21:00Z" w:initials="FH">
    <w:p w14:paraId="32249BA0" w14:textId="3ABA5212" w:rsidR="00D949A1" w:rsidRDefault="00D949A1">
      <w:pPr>
        <w:pStyle w:val="CommentText"/>
      </w:pPr>
      <w:r>
        <w:rPr>
          <w:rStyle w:val="CommentReference"/>
        </w:rPr>
        <w:annotationRef/>
      </w:r>
      <w:r>
        <w:t xml:space="preserve">Full form </w:t>
      </w:r>
    </w:p>
  </w:comment>
  <w:comment w:id="3" w:author="Fida Hussain" w:date="2025-10-27T12:29:00Z" w:initials="FH">
    <w:p w14:paraId="42DC022D" w14:textId="15788DA4" w:rsidR="00D949A1" w:rsidRDefault="00D949A1">
      <w:pPr>
        <w:pStyle w:val="CommentText"/>
      </w:pPr>
      <w:r>
        <w:rPr>
          <w:rStyle w:val="CommentReference"/>
        </w:rPr>
        <w:annotationRef/>
      </w:r>
      <w:r>
        <w:t>Give statistical interpretation</w:t>
      </w:r>
    </w:p>
  </w:comment>
  <w:comment w:id="4" w:author="Fida Hussain" w:date="2025-10-27T12:23:00Z" w:initials="FH">
    <w:p w14:paraId="18EB57E1" w14:textId="288CF692" w:rsidR="00D949A1" w:rsidRDefault="00D949A1">
      <w:pPr>
        <w:pStyle w:val="CommentText"/>
      </w:pPr>
      <w:r>
        <w:rPr>
          <w:rStyle w:val="CommentReference"/>
        </w:rPr>
        <w:annotationRef/>
      </w:r>
      <w:r>
        <w:t>Check the journal format thoroughly</w:t>
      </w:r>
    </w:p>
  </w:comment>
  <w:comment w:id="5" w:author="Fida Hussain" w:date="2025-10-27T12:32:00Z" w:initials="FH">
    <w:p w14:paraId="12F340A7" w14:textId="5D33691C" w:rsidR="00AE4C05" w:rsidRDefault="00AE4C05">
      <w:pPr>
        <w:pStyle w:val="CommentText"/>
      </w:pPr>
      <w:r>
        <w:rPr>
          <w:rStyle w:val="CommentReference"/>
        </w:rPr>
        <w:annotationRef/>
      </w:r>
      <w:r>
        <w:t>Introduce the problem statment</w:t>
      </w:r>
    </w:p>
  </w:comment>
  <w:comment w:id="6" w:author="Fida Hussain" w:date="2025-10-27T12:41:00Z" w:initials="FH">
    <w:p w14:paraId="1846149E" w14:textId="29A2DA34" w:rsidR="00354941" w:rsidRDefault="00354941">
      <w:pPr>
        <w:pStyle w:val="CommentText"/>
      </w:pPr>
      <w:r>
        <w:rPr>
          <w:rStyle w:val="CommentReference"/>
        </w:rPr>
        <w:annotationRef/>
      </w:r>
      <w:r>
        <w:t>Is this a one year study?</w:t>
      </w:r>
    </w:p>
  </w:comment>
  <w:comment w:id="7" w:author="Fida Hussain" w:date="2025-10-27T12:35:00Z" w:initials="FH">
    <w:p w14:paraId="185437AF" w14:textId="39CFDD0E" w:rsidR="00AE4C05" w:rsidRDefault="00AE4C05">
      <w:pPr>
        <w:pStyle w:val="CommentText"/>
      </w:pPr>
      <w:r>
        <w:rPr>
          <w:rStyle w:val="CommentReference"/>
        </w:rPr>
        <w:annotationRef/>
      </w:r>
      <w:r>
        <w:t>Give full form when used it for the 1st place. Correct this in whole document please</w:t>
      </w:r>
    </w:p>
  </w:comment>
  <w:comment w:id="9" w:author="Fida Hussain" w:date="2025-10-27T12:36:00Z" w:initials="FH">
    <w:p w14:paraId="766030E8" w14:textId="329819A4" w:rsidR="00AE4C05" w:rsidRDefault="00AE4C05">
      <w:pPr>
        <w:pStyle w:val="CommentText"/>
      </w:pPr>
      <w:r>
        <w:rPr>
          <w:rStyle w:val="CommentReference"/>
        </w:rPr>
        <w:annotationRef/>
      </w:r>
      <w:r>
        <w:t xml:space="preserve">Why used this design </w:t>
      </w:r>
    </w:p>
  </w:comment>
  <w:comment w:id="8" w:author="Fida Hussain" w:date="2025-10-27T12:38:00Z" w:initials="FH">
    <w:p w14:paraId="101C8531" w14:textId="49F5A6F4" w:rsidR="00AE4C05" w:rsidRDefault="00AE4C05">
      <w:pPr>
        <w:pStyle w:val="CommentText"/>
      </w:pPr>
      <w:r>
        <w:rPr>
          <w:rStyle w:val="CommentReference"/>
        </w:rPr>
        <w:annotationRef/>
      </w:r>
      <w:r>
        <w:t>Mention statistical model for this design</w:t>
      </w:r>
    </w:p>
  </w:comment>
  <w:comment w:id="10" w:author="Fida Hussain" w:date="2025-10-27T12:44:00Z" w:initials="FH">
    <w:p w14:paraId="6799C9D7" w14:textId="57CA4252" w:rsidR="00354941" w:rsidRDefault="00354941" w:rsidP="00354941">
      <w:pPr>
        <w:pStyle w:val="CommentText"/>
      </w:pPr>
      <w:r>
        <w:rPr>
          <w:rStyle w:val="CommentReference"/>
        </w:rPr>
        <w:annotationRef/>
      </w:r>
      <w:r w:rsidRPr="00354941">
        <w:rPr>
          <w:lang w:val="en-US"/>
        </w:rPr>
        <w:t xml:space="preserve">Should include </w:t>
      </w:r>
      <w:r w:rsidRPr="00354941">
        <w:rPr>
          <w:b/>
          <w:bCs/>
          <w:lang w:val="en-US"/>
        </w:rPr>
        <w:t>SE or CV%</w:t>
      </w:r>
      <w:r w:rsidRPr="00354941">
        <w:rPr>
          <w:lang w:val="en-US"/>
        </w:rPr>
        <w:t xml:space="preserve"> for better statistical transparency</w:t>
      </w:r>
    </w:p>
  </w:comment>
  <w:comment w:id="31" w:author="Fida Hussain" w:date="2025-10-27T12:47:00Z" w:initials="FH">
    <w:p w14:paraId="617C85B0" w14:textId="109F2F39" w:rsidR="00354941" w:rsidRDefault="00354941">
      <w:pPr>
        <w:pStyle w:val="CommentText"/>
      </w:pPr>
      <w:r>
        <w:rPr>
          <w:rStyle w:val="CommentReference"/>
        </w:rPr>
        <w:annotationRef/>
      </w:r>
      <w:r>
        <w:t>Check again the in text citations and update references.</w:t>
      </w:r>
    </w:p>
  </w:comment>
  <w:comment w:id="32" w:author="Fida Hussain" w:date="2025-10-27T12:49:00Z" w:initials="FH">
    <w:p w14:paraId="45E3541B" w14:textId="4C3BB330" w:rsidR="00354941" w:rsidRDefault="00354941">
      <w:pPr>
        <w:pStyle w:val="CommentText"/>
      </w:pPr>
      <w:r>
        <w:rPr>
          <w:rStyle w:val="CommentReference"/>
        </w:rPr>
        <w:annotationRef/>
      </w:r>
      <w:r>
        <w:t>Some of the references are too old and may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807F75" w15:done="0"/>
  <w15:commentEx w15:paraId="2CD5FF0A" w15:done="0"/>
  <w15:commentEx w15:paraId="32249BA0" w15:done="0"/>
  <w15:commentEx w15:paraId="42DC022D" w15:done="0"/>
  <w15:commentEx w15:paraId="18EB57E1" w15:done="0"/>
  <w15:commentEx w15:paraId="12F340A7" w15:done="0"/>
  <w15:commentEx w15:paraId="1846149E" w15:done="0"/>
  <w15:commentEx w15:paraId="185437AF" w15:done="0"/>
  <w15:commentEx w15:paraId="766030E8" w15:done="0"/>
  <w15:commentEx w15:paraId="101C8531" w15:done="0"/>
  <w15:commentEx w15:paraId="6799C9D7" w15:done="0"/>
  <w15:commentEx w15:paraId="617C85B0" w15:done="0"/>
  <w15:commentEx w15:paraId="45E354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847D3" w16cex:dateUtc="2025-10-27T07:20:00Z"/>
  <w16cex:commentExtensible w16cex:durableId="04EEDB88" w16cex:dateUtc="2025-10-27T07:20:00Z"/>
  <w16cex:commentExtensible w16cex:durableId="473160F4" w16cex:dateUtc="2025-10-27T07:21:00Z"/>
  <w16cex:commentExtensible w16cex:durableId="789C6831" w16cex:dateUtc="2025-10-27T07:29:00Z"/>
  <w16cex:commentExtensible w16cex:durableId="21CDB21D" w16cex:dateUtc="2025-10-27T07:23:00Z"/>
  <w16cex:commentExtensible w16cex:durableId="41EF5224" w16cex:dateUtc="2025-10-27T07:32:00Z"/>
  <w16cex:commentExtensible w16cex:durableId="221D3FEE" w16cex:dateUtc="2025-10-27T07:41:00Z"/>
  <w16cex:commentExtensible w16cex:durableId="13D52B3A" w16cex:dateUtc="2025-10-27T07:35:00Z"/>
  <w16cex:commentExtensible w16cex:durableId="7C32A831" w16cex:dateUtc="2025-10-27T07:36:00Z"/>
  <w16cex:commentExtensible w16cex:durableId="14D85665" w16cex:dateUtc="2025-10-27T07:38:00Z"/>
  <w16cex:commentExtensible w16cex:durableId="31EC9C6B" w16cex:dateUtc="2025-10-27T07:44:00Z"/>
  <w16cex:commentExtensible w16cex:durableId="52ED6B8E" w16cex:dateUtc="2025-10-27T07:47:00Z"/>
  <w16cex:commentExtensible w16cex:durableId="22237F6C" w16cex:dateUtc="2025-10-27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07F75" w16cid:durableId="11A847D3"/>
  <w16cid:commentId w16cid:paraId="2CD5FF0A" w16cid:durableId="04EEDB88"/>
  <w16cid:commentId w16cid:paraId="32249BA0" w16cid:durableId="473160F4"/>
  <w16cid:commentId w16cid:paraId="42DC022D" w16cid:durableId="789C6831"/>
  <w16cid:commentId w16cid:paraId="18EB57E1" w16cid:durableId="21CDB21D"/>
  <w16cid:commentId w16cid:paraId="12F340A7" w16cid:durableId="41EF5224"/>
  <w16cid:commentId w16cid:paraId="1846149E" w16cid:durableId="221D3FEE"/>
  <w16cid:commentId w16cid:paraId="185437AF" w16cid:durableId="13D52B3A"/>
  <w16cid:commentId w16cid:paraId="766030E8" w16cid:durableId="7C32A831"/>
  <w16cid:commentId w16cid:paraId="101C8531" w16cid:durableId="14D85665"/>
  <w16cid:commentId w16cid:paraId="6799C9D7" w16cid:durableId="31EC9C6B"/>
  <w16cid:commentId w16cid:paraId="617C85B0" w16cid:durableId="52ED6B8E"/>
  <w16cid:commentId w16cid:paraId="45E3541B" w16cid:durableId="22237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03D8" w14:textId="77777777" w:rsidR="00D14BC8" w:rsidRDefault="00D14BC8" w:rsidP="00C37E61">
      <w:r>
        <w:separator/>
      </w:r>
    </w:p>
  </w:endnote>
  <w:endnote w:type="continuationSeparator" w:id="0">
    <w:p w14:paraId="6AF9CF6A" w14:textId="77777777" w:rsidR="00D14BC8" w:rsidRDefault="00D14B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6F78" w14:textId="77777777" w:rsidR="00EC313D" w:rsidRDefault="00EC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38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DBA5" w14:textId="77777777" w:rsidR="00EC313D" w:rsidRDefault="00EC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92D6" w14:textId="77777777" w:rsidR="00D14BC8" w:rsidRDefault="00D14BC8" w:rsidP="00C37E61">
      <w:r>
        <w:separator/>
      </w:r>
    </w:p>
  </w:footnote>
  <w:footnote w:type="continuationSeparator" w:id="0">
    <w:p w14:paraId="618FDB37" w14:textId="77777777" w:rsidR="00D14BC8" w:rsidRDefault="00D14B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AA1A" w14:textId="36AD2FAE" w:rsidR="00EC313D" w:rsidRDefault="00000000">
    <w:pPr>
      <w:pStyle w:val="Header"/>
    </w:pPr>
    <w:r>
      <w:rPr>
        <w:noProof/>
      </w:rPr>
      <w:pict w14:anchorId="04972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2AFA" w14:textId="44A676DF" w:rsidR="00EC313D" w:rsidRDefault="00000000">
    <w:pPr>
      <w:pStyle w:val="Header"/>
    </w:pPr>
    <w:r>
      <w:rPr>
        <w:noProof/>
      </w:rPr>
      <w:pict w14:anchorId="059F2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D060" w14:textId="36021FE1" w:rsidR="00EC313D" w:rsidRDefault="00000000">
    <w:pPr>
      <w:pStyle w:val="Header"/>
    </w:pPr>
    <w:r>
      <w:rPr>
        <w:noProof/>
      </w:rPr>
      <w:pict w14:anchorId="2759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2"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5267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1790970">
    <w:abstractNumId w:val="17"/>
  </w:num>
  <w:num w:numId="3" w16cid:durableId="1318924635">
    <w:abstractNumId w:val="25"/>
  </w:num>
  <w:num w:numId="4" w16cid:durableId="5193929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7182778">
    <w:abstractNumId w:val="7"/>
  </w:num>
  <w:num w:numId="6" w16cid:durableId="1103962547">
    <w:abstractNumId w:val="6"/>
  </w:num>
  <w:num w:numId="7" w16cid:durableId="208498168">
    <w:abstractNumId w:val="1"/>
  </w:num>
  <w:num w:numId="8" w16cid:durableId="909925205">
    <w:abstractNumId w:val="13"/>
  </w:num>
  <w:num w:numId="9" w16cid:durableId="1065296455">
    <w:abstractNumId w:val="27"/>
  </w:num>
  <w:num w:numId="10" w16cid:durableId="1597247779">
    <w:abstractNumId w:val="2"/>
  </w:num>
  <w:num w:numId="11" w16cid:durableId="643462193">
    <w:abstractNumId w:val="20"/>
  </w:num>
  <w:num w:numId="12" w16cid:durableId="1165437002">
    <w:abstractNumId w:val="3"/>
  </w:num>
  <w:num w:numId="13" w16cid:durableId="197282422">
    <w:abstractNumId w:val="19"/>
  </w:num>
  <w:num w:numId="14" w16cid:durableId="3941602">
    <w:abstractNumId w:val="8"/>
  </w:num>
  <w:num w:numId="15" w16cid:durableId="674963145">
    <w:abstractNumId w:val="23"/>
  </w:num>
  <w:num w:numId="16" w16cid:durableId="1574731638">
    <w:abstractNumId w:val="5"/>
  </w:num>
  <w:num w:numId="17" w16cid:durableId="974336022">
    <w:abstractNumId w:val="24"/>
  </w:num>
  <w:num w:numId="18" w16cid:durableId="791167748">
    <w:abstractNumId w:val="15"/>
  </w:num>
  <w:num w:numId="19" w16cid:durableId="1433863683">
    <w:abstractNumId w:val="30"/>
  </w:num>
  <w:num w:numId="20" w16cid:durableId="1013261846">
    <w:abstractNumId w:val="12"/>
  </w:num>
  <w:num w:numId="21" w16cid:durableId="784077137">
    <w:abstractNumId w:val="9"/>
  </w:num>
  <w:num w:numId="22" w16cid:durableId="83039043">
    <w:abstractNumId w:val="14"/>
  </w:num>
  <w:num w:numId="23" w16cid:durableId="1290548232">
    <w:abstractNumId w:val="21"/>
  </w:num>
  <w:num w:numId="24" w16cid:durableId="287703192">
    <w:abstractNumId w:val="28"/>
  </w:num>
  <w:num w:numId="25" w16cid:durableId="691147820">
    <w:abstractNumId w:val="4"/>
  </w:num>
  <w:num w:numId="26" w16cid:durableId="1485119512">
    <w:abstractNumId w:val="18"/>
  </w:num>
  <w:num w:numId="27" w16cid:durableId="850680003">
    <w:abstractNumId w:val="22"/>
  </w:num>
  <w:num w:numId="28" w16cid:durableId="682322451">
    <w:abstractNumId w:val="29"/>
  </w:num>
  <w:num w:numId="29" w16cid:durableId="1756903221">
    <w:abstractNumId w:val="26"/>
  </w:num>
  <w:num w:numId="30" w16cid:durableId="896206947">
    <w:abstractNumId w:val="11"/>
  </w:num>
  <w:num w:numId="31" w16cid:durableId="2078823814">
    <w:abstractNumId w:val="16"/>
  </w:num>
  <w:num w:numId="32" w16cid:durableId="15387365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da Hussain">
    <w15:presenceInfo w15:providerId="Windows Live" w15:userId="b6f8070fa1051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zIzMjUxNjCxMDJW0lEKTi0uzszPAykwrAUAm3YqViwAAAA="/>
  </w:docVars>
  <w:rsids>
    <w:rsidRoot w:val="00AA6219"/>
    <w:rsid w:val="00000F8F"/>
    <w:rsid w:val="00030174"/>
    <w:rsid w:val="00030CA7"/>
    <w:rsid w:val="0004579C"/>
    <w:rsid w:val="000605BA"/>
    <w:rsid w:val="000A47FA"/>
    <w:rsid w:val="000A65D3"/>
    <w:rsid w:val="000B1E33"/>
    <w:rsid w:val="000D689F"/>
    <w:rsid w:val="000E6621"/>
    <w:rsid w:val="000E7B7B"/>
    <w:rsid w:val="000E7D62"/>
    <w:rsid w:val="00103357"/>
    <w:rsid w:val="00123C9F"/>
    <w:rsid w:val="00126190"/>
    <w:rsid w:val="00130F17"/>
    <w:rsid w:val="001320BF"/>
    <w:rsid w:val="00132BCF"/>
    <w:rsid w:val="00152329"/>
    <w:rsid w:val="00163BC4"/>
    <w:rsid w:val="00191062"/>
    <w:rsid w:val="00192B72"/>
    <w:rsid w:val="001A29D8"/>
    <w:rsid w:val="001A5CAA"/>
    <w:rsid w:val="001A62A3"/>
    <w:rsid w:val="001B0427"/>
    <w:rsid w:val="001D3A51"/>
    <w:rsid w:val="001E10D2"/>
    <w:rsid w:val="001E25B4"/>
    <w:rsid w:val="001E44FE"/>
    <w:rsid w:val="001F569F"/>
    <w:rsid w:val="00200595"/>
    <w:rsid w:val="00204835"/>
    <w:rsid w:val="002264A3"/>
    <w:rsid w:val="00231920"/>
    <w:rsid w:val="0023195C"/>
    <w:rsid w:val="00235320"/>
    <w:rsid w:val="0024282C"/>
    <w:rsid w:val="00245C02"/>
    <w:rsid w:val="002460DC"/>
    <w:rsid w:val="00250985"/>
    <w:rsid w:val="002556F6"/>
    <w:rsid w:val="00262DD9"/>
    <w:rsid w:val="00271953"/>
    <w:rsid w:val="00280769"/>
    <w:rsid w:val="00283105"/>
    <w:rsid w:val="00284C4C"/>
    <w:rsid w:val="00287E68"/>
    <w:rsid w:val="00296529"/>
    <w:rsid w:val="002B27FB"/>
    <w:rsid w:val="002B685A"/>
    <w:rsid w:val="002C57D2"/>
    <w:rsid w:val="002D4D09"/>
    <w:rsid w:val="002E0D56"/>
    <w:rsid w:val="00315186"/>
    <w:rsid w:val="0033343E"/>
    <w:rsid w:val="003512C2"/>
    <w:rsid w:val="00354941"/>
    <w:rsid w:val="00364E90"/>
    <w:rsid w:val="00371FB6"/>
    <w:rsid w:val="003763C1"/>
    <w:rsid w:val="00376BBE"/>
    <w:rsid w:val="0039224F"/>
    <w:rsid w:val="003A43A4"/>
    <w:rsid w:val="003A7E18"/>
    <w:rsid w:val="003B53FB"/>
    <w:rsid w:val="003C4C86"/>
    <w:rsid w:val="003C6258"/>
    <w:rsid w:val="003C65C3"/>
    <w:rsid w:val="003E2904"/>
    <w:rsid w:val="003F288B"/>
    <w:rsid w:val="00401927"/>
    <w:rsid w:val="0041027F"/>
    <w:rsid w:val="00412475"/>
    <w:rsid w:val="00423789"/>
    <w:rsid w:val="00440F43"/>
    <w:rsid w:val="00441B6F"/>
    <w:rsid w:val="00446221"/>
    <w:rsid w:val="00450E62"/>
    <w:rsid w:val="004539DB"/>
    <w:rsid w:val="00463A39"/>
    <w:rsid w:val="00464E2C"/>
    <w:rsid w:val="00471A80"/>
    <w:rsid w:val="004906CB"/>
    <w:rsid w:val="004D305E"/>
    <w:rsid w:val="004D4277"/>
    <w:rsid w:val="00502516"/>
    <w:rsid w:val="00505F06"/>
    <w:rsid w:val="00506828"/>
    <w:rsid w:val="0053056E"/>
    <w:rsid w:val="00554FDA"/>
    <w:rsid w:val="00565FEE"/>
    <w:rsid w:val="005A2672"/>
    <w:rsid w:val="005C784C"/>
    <w:rsid w:val="005D17F6"/>
    <w:rsid w:val="005E5539"/>
    <w:rsid w:val="00602BF5"/>
    <w:rsid w:val="0061290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25C8"/>
    <w:rsid w:val="007369E6"/>
    <w:rsid w:val="00746E59"/>
    <w:rsid w:val="00754C9A"/>
    <w:rsid w:val="0075599A"/>
    <w:rsid w:val="00761D52"/>
    <w:rsid w:val="0077749E"/>
    <w:rsid w:val="00790ADA"/>
    <w:rsid w:val="00790EC3"/>
    <w:rsid w:val="007D2288"/>
    <w:rsid w:val="007E088F"/>
    <w:rsid w:val="007F7B32"/>
    <w:rsid w:val="00804BC2"/>
    <w:rsid w:val="0081431A"/>
    <w:rsid w:val="0083216F"/>
    <w:rsid w:val="00860000"/>
    <w:rsid w:val="00863BD3"/>
    <w:rsid w:val="008641ED"/>
    <w:rsid w:val="00866D66"/>
    <w:rsid w:val="008671C6"/>
    <w:rsid w:val="00870F39"/>
    <w:rsid w:val="00875803"/>
    <w:rsid w:val="008B459E"/>
    <w:rsid w:val="008E13AE"/>
    <w:rsid w:val="008E1506"/>
    <w:rsid w:val="008E3FEA"/>
    <w:rsid w:val="008E710C"/>
    <w:rsid w:val="008F69D6"/>
    <w:rsid w:val="00902823"/>
    <w:rsid w:val="00915CA6"/>
    <w:rsid w:val="00920BED"/>
    <w:rsid w:val="00922432"/>
    <w:rsid w:val="00927834"/>
    <w:rsid w:val="009500A6"/>
    <w:rsid w:val="00957C18"/>
    <w:rsid w:val="009659BA"/>
    <w:rsid w:val="00973FAE"/>
    <w:rsid w:val="00983040"/>
    <w:rsid w:val="00984E95"/>
    <w:rsid w:val="009B3487"/>
    <w:rsid w:val="009B3FB9"/>
    <w:rsid w:val="009C2465"/>
    <w:rsid w:val="009D35A0"/>
    <w:rsid w:val="009D7EB7"/>
    <w:rsid w:val="009E048A"/>
    <w:rsid w:val="009E08E9"/>
    <w:rsid w:val="009E3DB9"/>
    <w:rsid w:val="009E6E35"/>
    <w:rsid w:val="009F0EDA"/>
    <w:rsid w:val="009F3424"/>
    <w:rsid w:val="00A03B96"/>
    <w:rsid w:val="00A05B19"/>
    <w:rsid w:val="00A1134E"/>
    <w:rsid w:val="00A24E7E"/>
    <w:rsid w:val="00A258C3"/>
    <w:rsid w:val="00A30764"/>
    <w:rsid w:val="00A347C0"/>
    <w:rsid w:val="00A51431"/>
    <w:rsid w:val="00A539AD"/>
    <w:rsid w:val="00A93636"/>
    <w:rsid w:val="00A94063"/>
    <w:rsid w:val="00AA6219"/>
    <w:rsid w:val="00AA74E0"/>
    <w:rsid w:val="00AB1D24"/>
    <w:rsid w:val="00AB4769"/>
    <w:rsid w:val="00AB703F"/>
    <w:rsid w:val="00AC199B"/>
    <w:rsid w:val="00AC6BB8"/>
    <w:rsid w:val="00AE008F"/>
    <w:rsid w:val="00AE4C05"/>
    <w:rsid w:val="00B01FCD"/>
    <w:rsid w:val="00B044EA"/>
    <w:rsid w:val="00B1776C"/>
    <w:rsid w:val="00B52583"/>
    <w:rsid w:val="00B52896"/>
    <w:rsid w:val="00B95236"/>
    <w:rsid w:val="00B96BD9"/>
    <w:rsid w:val="00BA1B01"/>
    <w:rsid w:val="00BA2641"/>
    <w:rsid w:val="00BB37AA"/>
    <w:rsid w:val="00BC53A0"/>
    <w:rsid w:val="00BE62AD"/>
    <w:rsid w:val="00BF121F"/>
    <w:rsid w:val="00BF1F80"/>
    <w:rsid w:val="00C033AC"/>
    <w:rsid w:val="00C166EF"/>
    <w:rsid w:val="00C17EB0"/>
    <w:rsid w:val="00C27F5F"/>
    <w:rsid w:val="00C30A0F"/>
    <w:rsid w:val="00C30CED"/>
    <w:rsid w:val="00C37E61"/>
    <w:rsid w:val="00C572D2"/>
    <w:rsid w:val="00C678E7"/>
    <w:rsid w:val="00C70F1B"/>
    <w:rsid w:val="00C71A47"/>
    <w:rsid w:val="00C7464C"/>
    <w:rsid w:val="00C85588"/>
    <w:rsid w:val="00CD6755"/>
    <w:rsid w:val="00CD6856"/>
    <w:rsid w:val="00CE0089"/>
    <w:rsid w:val="00CE793C"/>
    <w:rsid w:val="00CF193C"/>
    <w:rsid w:val="00D14BC8"/>
    <w:rsid w:val="00D173F1"/>
    <w:rsid w:val="00D4017D"/>
    <w:rsid w:val="00D41F5E"/>
    <w:rsid w:val="00D74CB0"/>
    <w:rsid w:val="00D8295D"/>
    <w:rsid w:val="00D86822"/>
    <w:rsid w:val="00D949A1"/>
    <w:rsid w:val="00DC2A65"/>
    <w:rsid w:val="00DE15F0"/>
    <w:rsid w:val="00DE5663"/>
    <w:rsid w:val="00DE78AA"/>
    <w:rsid w:val="00E053D0"/>
    <w:rsid w:val="00E15994"/>
    <w:rsid w:val="00E24E9C"/>
    <w:rsid w:val="00E2743C"/>
    <w:rsid w:val="00E3114E"/>
    <w:rsid w:val="00E31A70"/>
    <w:rsid w:val="00E35B02"/>
    <w:rsid w:val="00E41C6F"/>
    <w:rsid w:val="00E66496"/>
    <w:rsid w:val="00E66B35"/>
    <w:rsid w:val="00E66E10"/>
    <w:rsid w:val="00E769F6"/>
    <w:rsid w:val="00E8407C"/>
    <w:rsid w:val="00E84F3C"/>
    <w:rsid w:val="00EA012C"/>
    <w:rsid w:val="00EC313D"/>
    <w:rsid w:val="00EC6A55"/>
    <w:rsid w:val="00ED0288"/>
    <w:rsid w:val="00ED1822"/>
    <w:rsid w:val="00EE52CB"/>
    <w:rsid w:val="00EF581D"/>
    <w:rsid w:val="00EF7FD8"/>
    <w:rsid w:val="00F06F59"/>
    <w:rsid w:val="00F17988"/>
    <w:rsid w:val="00F469F0"/>
    <w:rsid w:val="00F53273"/>
    <w:rsid w:val="00F548AA"/>
    <w:rsid w:val="00F755E4"/>
    <w:rsid w:val="00F77D02"/>
    <w:rsid w:val="00FA1A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table" w:customStyle="1" w:styleId="TableGrid1">
    <w:name w:val="Table Grid1"/>
    <w:basedOn w:val="TableNormal"/>
    <w:next w:val="TableGrid"/>
    <w:uiPriority w:val="59"/>
    <w:rsid w:val="00463A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949A1"/>
    <w:rPr>
      <w:rFonts w:ascii="Helvetica" w:hAnsi="Helvetica"/>
      <w:b/>
      <w:bCs/>
      <w:lang w:val="en-US" w:eastAsia="en-US"/>
    </w:rPr>
  </w:style>
  <w:style w:type="character" w:customStyle="1" w:styleId="CommentSubjectChar">
    <w:name w:val="Comment Subject Char"/>
    <w:basedOn w:val="CommentTextChar"/>
    <w:link w:val="CommentSubject"/>
    <w:semiHidden/>
    <w:rsid w:val="00D949A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C1C5-2E7C-47EF-81AD-EAEA4112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Fida Hussain</cp:lastModifiedBy>
  <cp:revision>2</cp:revision>
  <cp:lastPrinted>1999-07-06T11:00:00Z</cp:lastPrinted>
  <dcterms:created xsi:type="dcterms:W3CDTF">2025-10-27T07:50:00Z</dcterms:created>
  <dcterms:modified xsi:type="dcterms:W3CDTF">2025-10-27T07:50:00Z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f2fc0a9a-c7c6-4505-9d2f-7ac8fbe58b93</vt:lpwstr>
  </property>
</Properties>
</file>