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Original Research Article </w:t>
      </w:r>
    </w:p>
    <w:p w:rsidR="00000000" w:rsidDel="00000000" w:rsidP="00000000" w:rsidRDefault="00000000" w:rsidRPr="00000000" w14:paraId="00000003">
      <w:pPr>
        <w:jc w:val="both"/>
        <w:rPr>
          <w:rFonts w:ascii="Times New Roman" w:cs="Times New Roman" w:eastAsia="Times New Roman" w:hAnsi="Times New Roman"/>
          <w:b w:val="1"/>
          <w:color w:val="ff0000"/>
        </w:rPr>
      </w:pPr>
      <w:sdt>
        <w:sdtPr>
          <w:id w:val="1500298084"/>
          <w:tag w:val="goog_rdk_0"/>
        </w:sdtPr>
        <w:sdtContent>
          <w:commentRangeStart w:id="0"/>
        </w:sdtContent>
      </w:sdt>
      <w:r w:rsidDel="00000000" w:rsidR="00000000" w:rsidRPr="00000000">
        <w:rPr>
          <w:rFonts w:ascii="Times New Roman" w:cs="Times New Roman" w:eastAsia="Times New Roman" w:hAnsi="Times New Roman"/>
          <w:b w:val="1"/>
          <w:color w:val="ff0000"/>
          <w:rtl w:val="0"/>
        </w:rPr>
        <w:t xml:space="preserve">Beetroot (</w:t>
      </w:r>
      <w:r w:rsidDel="00000000" w:rsidR="00000000" w:rsidRPr="00000000">
        <w:rPr>
          <w:rFonts w:ascii="Times New Roman" w:cs="Times New Roman" w:eastAsia="Times New Roman" w:hAnsi="Times New Roman"/>
          <w:b w:val="1"/>
          <w:i w:val="1"/>
          <w:color w:val="ff0000"/>
          <w:rtl w:val="0"/>
        </w:rPr>
        <w:t xml:space="preserve">Beta vulgaris</w:t>
      </w:r>
      <w:r w:rsidDel="00000000" w:rsidR="00000000" w:rsidRPr="00000000">
        <w:rPr>
          <w:rFonts w:ascii="Times New Roman" w:cs="Times New Roman" w:eastAsia="Times New Roman" w:hAnsi="Times New Roman"/>
          <w:b w:val="1"/>
          <w:color w:val="ff0000"/>
          <w:rtl w:val="0"/>
        </w:rPr>
        <w:t xml:space="preserve">) Supplementation Improves Lipid Metabolism and Body Weight in Experimental Metabolic Disorder Models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bookmarkStart w:colFirst="0" w:colLast="0" w:name="_heading=h.vtuy5p4q4w30" w:id="0"/>
      <w:bookmarkEnd w:id="0"/>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 </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Background:</w:t>
      </w:r>
      <w:r w:rsidDel="00000000" w:rsidR="00000000" w:rsidRPr="00000000">
        <w:rPr>
          <w:rFonts w:ascii="Times New Roman" w:cs="Times New Roman" w:eastAsia="Times New Roman" w:hAnsi="Times New Roman"/>
          <w:rtl w:val="0"/>
        </w:rPr>
        <w:t xml:space="preserve"> Beetroot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L.) is a functional food rich in nitrates, betalains, and flavonoids with antioxidant and hypolipidemic properties. While widely recognized for cardiovascular and anti-inflammatory benefits, its effect on body weight, lipid regulation, and oxidative balance under toxicant exposure remains underexplored.</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Methods:</w:t>
      </w:r>
      <w:r w:rsidDel="00000000" w:rsidR="00000000" w:rsidRPr="00000000">
        <w:rPr>
          <w:rFonts w:ascii="Times New Roman" w:cs="Times New Roman" w:eastAsia="Times New Roman" w:hAnsi="Times New Roman"/>
          <w:rtl w:val="0"/>
        </w:rPr>
        <w:t xml:space="preserve"> This randomized controlled study evaluated the effects of </w:t>
      </w:r>
      <w:r w:rsidDel="00000000" w:rsidR="00000000" w:rsidRPr="00000000">
        <w:rPr>
          <w:rFonts w:ascii="Times New Roman" w:cs="Times New Roman" w:eastAsia="Times New Roman" w:hAnsi="Times New Roman"/>
          <w:i w:val="1"/>
          <w:rtl w:val="0"/>
        </w:rPr>
        <w:t xml:space="preserve">B. vulgaris</w:t>
      </w:r>
      <w:r w:rsidDel="00000000" w:rsidR="00000000" w:rsidRPr="00000000">
        <w:rPr>
          <w:rFonts w:ascii="Times New Roman" w:cs="Times New Roman" w:eastAsia="Times New Roman" w:hAnsi="Times New Roman"/>
          <w:rtl w:val="0"/>
        </w:rPr>
        <w:t xml:space="preserve"> methanolic extract on body weight, lipid profile, and oxidative stress markers in Wistar rats (80–110 g). Animals were divided into eight groups, receiving distilled water, lead acetate (25 mg/kg), or varying doses of </w:t>
      </w:r>
      <w:r w:rsidDel="00000000" w:rsidR="00000000" w:rsidRPr="00000000">
        <w:rPr>
          <w:rFonts w:ascii="Times New Roman" w:cs="Times New Roman" w:eastAsia="Times New Roman" w:hAnsi="Times New Roman"/>
          <w:i w:val="1"/>
          <w:rtl w:val="0"/>
        </w:rPr>
        <w:t xml:space="preserve">B. vulgaris</w:t>
      </w:r>
      <w:r w:rsidDel="00000000" w:rsidR="00000000" w:rsidRPr="00000000">
        <w:rPr>
          <w:rFonts w:ascii="Times New Roman" w:cs="Times New Roman" w:eastAsia="Times New Roman" w:hAnsi="Times New Roman"/>
          <w:rtl w:val="0"/>
        </w:rPr>
        <w:t xml:space="preserve"> extract (100, 150, 200 mg/kg) alone or combined with lead for 28 days. Serum lipid profile (TC, TG, HDL, LDL, VLDL) and oxidative biomarkers (GSH, SOD, MDA) were analyzed using standard spectrophotometric assays.</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Results:</w:t>
      </w:r>
      <w:r w:rsidDel="00000000" w:rsidR="00000000" w:rsidRPr="00000000">
        <w:rPr>
          <w:rFonts w:ascii="Times New Roman" w:cs="Times New Roman" w:eastAsia="Times New Roman" w:hAnsi="Times New Roman"/>
          <w:rtl w:val="0"/>
        </w:rPr>
        <w:t xml:space="preserve"> Lead exposure disrupted lipid metabolism, lowering TC and LDL, and increased oxidative stress. </w:t>
      </w:r>
      <w:r w:rsidDel="00000000" w:rsidR="00000000" w:rsidRPr="00000000">
        <w:rPr>
          <w:rFonts w:ascii="Times New Roman" w:cs="Times New Roman" w:eastAsia="Times New Roman" w:hAnsi="Times New Roman"/>
          <w:i w:val="1"/>
          <w:rtl w:val="0"/>
        </w:rPr>
        <w:t xml:space="preserve">B. vulgaris</w:t>
      </w:r>
      <w:sdt>
        <w:sdtPr>
          <w:id w:val="873054390"/>
          <w:tag w:val="goog_rdk_1"/>
        </w:sdtPr>
        <w:sdtContent>
          <w:r w:rsidDel="00000000" w:rsidR="00000000" w:rsidRPr="00000000">
            <w:rPr>
              <w:rFonts w:ascii="Gungsuh" w:cs="Gungsuh" w:eastAsia="Gungsuh" w:hAnsi="Gungsuh"/>
              <w:rtl w:val="0"/>
            </w:rPr>
            <w:t xml:space="preserve"> supplementation significantly reduced TC, LDL, and MDA, while enhancing GSH and SOD (p ≤ 0.05). Higher doses promoted weight gain, with the combined 200 mg/kg </w:t>
          </w:r>
        </w:sdtContent>
      </w:sdt>
      <w:r w:rsidDel="00000000" w:rsidR="00000000" w:rsidRPr="00000000">
        <w:rPr>
          <w:rFonts w:ascii="Times New Roman" w:cs="Times New Roman" w:eastAsia="Times New Roman" w:hAnsi="Times New Roman"/>
          <w:i w:val="1"/>
          <w:rtl w:val="0"/>
        </w:rPr>
        <w:t xml:space="preserve">B. vulgaris</w:t>
      </w:r>
      <w:r w:rsidDel="00000000" w:rsidR="00000000" w:rsidRPr="00000000">
        <w:rPr>
          <w:rFonts w:ascii="Times New Roman" w:cs="Times New Roman" w:eastAsia="Times New Roman" w:hAnsi="Times New Roman"/>
          <w:rtl w:val="0"/>
        </w:rPr>
        <w:t xml:space="preserve"> + lead group showing the most pronounced protective effects.</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Conclusion:</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demonstrated dose-dependent hypolipidemic, antioxidant, and growth-promoting effects, suggesting therapeutic potential against metabolic disturbances and heavy metal toxicity.</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Beta vulgaris, beetroot extract, lipid profile, oxidative stress, lead toxicity, body weight</w:t>
      </w:r>
    </w:p>
    <w:p w:rsidR="00000000" w:rsidDel="00000000" w:rsidP="00000000" w:rsidRDefault="00000000" w:rsidRPr="00000000" w14:paraId="0000000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w:t>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L.), locally referred to as chukander in some regions, has attracted global recognition not only for its culinary versatility but also for its medicinal potential. Traditionally consumed in salads, soups, juices, and pickled preparations, beetroot is valued for its natural sweetness, vibrant pigmentation, and use as a food colorant in the food industry (Murphy et al., 2012; Diamantis, 2017). Beyond its nutritional role, beetroot is rich in bioactive compounds such as nitrates, betalains, flavonoids, and anthocyanins, which are known to possess antioxidant, anti-inflammatory, and vasodilatory properties (Ninfali &amp; Angelino, 2013; Chen et al., 2021). Over the last decade, scientific interest in beetroot has expanded, with growing evidence linking its bioactive constituents to cardiovascular health, blood pressure regulation, and enhanced exercise performance (Clifford et al., 2015; Stoica et al., 2025).</w:t>
      </w:r>
    </w:p>
    <w:p w:rsidR="00000000" w:rsidDel="00000000" w:rsidP="00000000" w:rsidRDefault="00000000" w:rsidRPr="00000000" w14:paraId="0000000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Parallel to this, the prevalence of metabolic disorders such as obesity, type 2 diabetes, dyslipidemia, and hypertension has become a pressing global health concern (Wedeh et al., 2025). These conditions are commonly associated with impaired body weight regulation and lipid metabolism. Body weight, often assessed through indices such as body mass index (BMI), waist circumference, and body fat percentage, is a critical determinant of health outcomes, with obesity strongly linked to chronic diseases and underweight states also posing risks (Chhikara et al., 2019). Similarly, lipid profiles (encompassing total cholesterol, triglycerides, high-density lipoprotein (HDL), and low-density lipoprotein (LDL)) remain vital markers of cardiovascular health. An imbalance in these parameters, particularly elevated LDL and triglycerides with reduced HDL, contributes significantly to cardiovascular morbidity and mortality (Chen et al., 2021).</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the heavy burden of these disorders, there is an urgent need for safe, affordable, and culturally acceptable interventions that can improve metabolic health. While pharmacological therapies are available, they often present financial challenges and long-term side effects. Dietary interventions therefore represent a promising alternative, and beetroot, with its unique nutrient profile, has emerged as a potential “functional food.” Its high nitrate content enhances nitric oxide production, which supports vascular function, while its antioxidant capacity may reduce oxidative stress and chronic inflammation, both central features of metabolic dysfunction (Clifford et al., 2015; Stoica et al., 2025).</w:t>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this promise, existing evidence on the impact of beetroot on weight regulation and lipid metabolism remains inconclusive. For example, Singh et al. (2015) reported that short-term beetroot supplementation improved HDL levels while lowering LDL cholesterol, whereas Amirpoor (2022) found no significant changes in lipid markers across randomized clinical trials. Moreover, although beetroot is well-documented for its role in blood pressure regulation and exercise performance, its influence on lipid metabolism and body weight in individuals already affected by metabolic disorders is poorly defined. These inconsistencies highlight the need for further well-controlled studies to establish beetroot’s therapeutic potential more clearly.</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present study is justified by both its scientific importance and public health relevance. Metabolic disorders continue to rise globally, contributing substantially to the burden of non-communicable diseases. Beetroot, being inexpensive, widely available, and culturally accepted, offers a promising dietary intervention that could be seamlessly incorporated into daily nutrition. Establishing its efficacy in regulating body weight and lipid profiles could not only improve individual health outcomes but also provide evidence-based support for functional food recommendations in preventive health policies. Therefore, this study seeks to investigate the effects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supplementation on body weight and lipid profile in individuals with metabolic disorders by examining BMI, waist circumference, body fat percentage, and lipid parameters including total cholesterol, LDL, HDL, and triglycerides.</w:t>
      </w:r>
    </w:p>
    <w:p w:rsidR="00000000" w:rsidDel="00000000" w:rsidP="00000000" w:rsidRDefault="00000000" w:rsidRPr="00000000" w14:paraId="0000001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 and methods </w:t>
      </w:r>
    </w:p>
    <w:p w:rsidR="00000000" w:rsidDel="00000000" w:rsidP="00000000" w:rsidRDefault="00000000" w:rsidRPr="00000000" w14:paraId="00000013">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Experimental materials</w:t>
      </w:r>
    </w:p>
    <w:p w:rsidR="00000000" w:rsidDel="00000000" w:rsidP="00000000" w:rsidRDefault="00000000" w:rsidRPr="00000000" w14:paraId="00000014">
      <w:pPr>
        <w:tabs>
          <w:tab w:val="left" w:leader="none" w:pos="0"/>
        </w:tabs>
        <w:spacing w:after="100" w:before="10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Animals weighing between 80 – 110g acquired from the animal house of the Faculty of Basic Medical Sciences, University of Port Harcourt were used for this experiments. After weaning, animals received standard laboratory rat feeds and water </w:t>
      </w:r>
      <w:r w:rsidDel="00000000" w:rsidR="00000000" w:rsidRPr="00000000">
        <w:rPr>
          <w:rFonts w:ascii="Times New Roman" w:cs="Times New Roman" w:eastAsia="Times New Roman" w:hAnsi="Times New Roman"/>
          <w:i w:val="1"/>
          <w:rtl w:val="0"/>
        </w:rPr>
        <w:t xml:space="preserve">ad libitum</w:t>
      </w:r>
      <w:r w:rsidDel="00000000" w:rsidR="00000000" w:rsidRPr="00000000">
        <w:rPr>
          <w:rFonts w:ascii="Times New Roman" w:cs="Times New Roman" w:eastAsia="Times New Roman" w:hAnsi="Times New Roman"/>
          <w:rtl w:val="0"/>
        </w:rPr>
        <w:t xml:space="preserve">. The wistar rats were housed in approved cages and kept on a regular 12-hours dark/light cycle. All animals models received care in accordance with the Nigerian law on experimentation with laboratory animals which is based on the US National Institutes of Health guidelines.</w:t>
      </w:r>
    </w:p>
    <w:p w:rsidR="00000000" w:rsidDel="00000000" w:rsidP="00000000" w:rsidRDefault="00000000" w:rsidRPr="00000000" w14:paraId="00000015">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Plant Preparation</w:t>
      </w:r>
    </w:p>
    <w:p w:rsidR="00000000" w:rsidDel="00000000" w:rsidP="00000000" w:rsidRDefault="00000000" w:rsidRPr="00000000" w14:paraId="00000016">
      <w:pPr>
        <w:tabs>
          <w:tab w:val="left" w:leader="none" w:pos="0"/>
        </w:tabs>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(B.Vulgaris) basket was ordered from the north, then the samples of fresh beetroot (Beta vulgaris were washed with distilled water to ensure there is no stems and contaminants. Then after the outer skin was peeled then the beetroot was cut into small pieces. The beetroot samples were then dried in a hot air oven at 40 °C and then ground to powder using an electronic blender. Then, 500 g of the powder was extracted and transferred into a sterile bottle contained 1 L of methanol </w:t>
      </w:r>
      <w:r w:rsidDel="00000000" w:rsidR="00000000" w:rsidRPr="00000000">
        <w:rPr>
          <w:rFonts w:ascii="Times New Roman" w:cs="Times New Roman" w:eastAsia="Times New Roman" w:hAnsi="Times New Roman"/>
          <w:color w:val="000000"/>
          <w:rtl w:val="0"/>
        </w:rPr>
        <w:t xml:space="preserve">(Sigma, St. Louis, MO, USA) for 24 h at room temperature on a shaker and the action is repeated three times. Afterwards, a Whatman filter (Whatman, Clifton, NJ, USA) was used </w:t>
      </w:r>
      <w:r w:rsidDel="00000000" w:rsidR="00000000" w:rsidRPr="00000000">
        <w:rPr>
          <w:rFonts w:ascii="Times New Roman" w:cs="Times New Roman" w:eastAsia="Times New Roman" w:hAnsi="Times New Roman"/>
          <w:rtl w:val="0"/>
        </w:rPr>
        <w:t xml:space="preserve">to filter the extract. Then the composition is allowed to rest, making the solvent separated from the extract, and finally the extract was collected as a solid dry substance after evaporation of methanol. Then the extracted sample was stored in a refrigerator at 4 °C until further use.</w:t>
      </w:r>
    </w:p>
    <w:p w:rsidR="00000000" w:rsidDel="00000000" w:rsidP="00000000" w:rsidRDefault="00000000" w:rsidRPr="00000000" w14:paraId="00000017">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w:t>
      </w:r>
      <w:sdt>
        <w:sdtPr>
          <w:id w:val="1573280453"/>
          <w:tag w:val="goog_rdk_2"/>
        </w:sdtPr>
        <w:sdtContent>
          <w:commentRangeStart w:id="1"/>
        </w:sdtContent>
      </w:sdt>
      <w:r w:rsidDel="00000000" w:rsidR="00000000" w:rsidRPr="00000000">
        <w:rPr>
          <w:rFonts w:ascii="Times New Roman" w:cs="Times New Roman" w:eastAsia="Times New Roman" w:hAnsi="Times New Roman"/>
          <w:b w:val="1"/>
          <w:rtl w:val="0"/>
        </w:rPr>
        <w:t xml:space="preserve">Design</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8">
      <w:pPr>
        <w:tabs>
          <w:tab w:val="left" w:leader="none" w:pos="0"/>
        </w:tabs>
        <w:spacing w:after="100" w:before="10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employed a randomized, controlled  experimental design to evaluate the effect of Beta vulgaris (beetroot) supplementation on body weight and lipid profile in individuals diagnosed with metabolic disorders. Rat models were randomly assigned into treatment and control groups to minimize bias and confounding factors. The animals were acclimatized for 14 days before the extract was administered to the rats. The administration lasted for a period of 28 days.</w:t>
      </w:r>
    </w:p>
    <w:p w:rsidR="00000000" w:rsidDel="00000000" w:rsidP="00000000" w:rsidRDefault="00000000" w:rsidRPr="00000000" w14:paraId="00000019">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1. Grouping of research rats</w:t>
      </w:r>
    </w:p>
    <w:tbl>
      <w:tblPr>
        <w:tblStyle w:val="Table1"/>
        <w:tblW w:w="10795.0" w:type="dxa"/>
        <w:jc w:val="center"/>
        <w:tblLayout w:type="fixed"/>
        <w:tblLook w:val="0400"/>
      </w:tblPr>
      <w:tblGrid>
        <w:gridCol w:w="1383"/>
        <w:gridCol w:w="1989"/>
        <w:gridCol w:w="2563"/>
        <w:gridCol w:w="4860"/>
        <w:tblGridChange w:id="0">
          <w:tblGrid>
            <w:gridCol w:w="1383"/>
            <w:gridCol w:w="1989"/>
            <w:gridCol w:w="2563"/>
            <w:gridCol w:w="4860"/>
          </w:tblGrid>
        </w:tblGridChange>
      </w:tblGrid>
      <w:tr>
        <w:trPr>
          <w:cantSplit w:val="0"/>
          <w:trHeight w:val="872" w:hRule="atLeast"/>
          <w:tblHeader w:val="0"/>
        </w:trPr>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A">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GROUPS</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B">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DIVISION</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C">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TREATMENT</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D">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 AND DURATION</w:t>
            </w:r>
          </w:p>
        </w:tc>
      </w:tr>
      <w:tr>
        <w:trPr>
          <w:cantSplit w:val="0"/>
          <w:trHeight w:val="791" w:hRule="atLeast"/>
          <w:tblHeader w:val="0"/>
        </w:trPr>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1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1</w:t>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1F">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 (6 rats)</w:t>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Distilled water</w:t>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Stress free throughout the experiment</w:t>
            </w:r>
          </w:p>
        </w:tc>
      </w:tr>
      <w:tr>
        <w:trPr>
          <w:cantSplit w:val="0"/>
          <w:trHeight w:val="788" w:hRule="atLeast"/>
          <w:tblHeader w:val="0"/>
        </w:trPr>
        <w:tc>
          <w:tcPr>
            <w:vMerge w:val="restart"/>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2</w:t>
            </w:r>
          </w:p>
        </w:tc>
        <w:tc>
          <w:tcPr>
            <w:vMerge w:val="restart"/>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3">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 Alone</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(25mg/kg)</w:t>
            </w:r>
          </w:p>
        </w:tc>
        <w:tc>
          <w:tcPr>
            <w:vMerge w:val="restart"/>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rats were administered orally with Lead Acetate alone.</w:t>
            </w:r>
          </w:p>
        </w:tc>
      </w:tr>
      <w:tr>
        <w:trPr>
          <w:cantSplit w:val="0"/>
          <w:trHeight w:val="434" w:hRule="atLeast"/>
          <w:tblHeader w:val="0"/>
        </w:trPr>
        <w:tc>
          <w:tcPr>
            <w:vMerge w:val="continue"/>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w:t>
            </w:r>
          </w:p>
        </w:tc>
        <w:tc>
          <w:tcPr>
            <w:vMerge w:val="continue"/>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788" w:hRule="atLeast"/>
          <w:tblHeader w:val="0"/>
        </w:trPr>
        <w:tc>
          <w:tcPr>
            <w:vMerge w:val="restart"/>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3</w:t>
            </w:r>
          </w:p>
        </w:tc>
        <w:tc>
          <w:tcPr>
            <w:vMerge w:val="restart"/>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B">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Extract </w:t>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Dose B.V Extract(100mg/kg)</w:t>
            </w:r>
          </w:p>
        </w:tc>
        <w:tc>
          <w:tcPr>
            <w:vMerge w:val="restart"/>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rats were administered orally Beetroot extract for 2 weeks (14 days).</w:t>
            </w:r>
          </w:p>
        </w:tc>
      </w:tr>
      <w:tr>
        <w:trPr>
          <w:cantSplit w:val="0"/>
          <w:trHeight w:val="434" w:hRule="atLeast"/>
          <w:tblHeader w:val="0"/>
        </w:trPr>
        <w:tc>
          <w:tcPr>
            <w:vMerge w:val="continue"/>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w:t>
            </w:r>
          </w:p>
        </w:tc>
        <w:tc>
          <w:tcPr>
            <w:vMerge w:val="continue"/>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788" w:hRule="atLeast"/>
          <w:tblHeader w:val="0"/>
        </w:trPr>
        <w:tc>
          <w:tcPr>
            <w:vMerge w:val="restart"/>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3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4</w:t>
            </w:r>
          </w:p>
        </w:tc>
        <w:tc>
          <w:tcPr>
            <w:vMerge w:val="restart"/>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33">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Extract </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3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Dose B.V Extract(150mg/kg)</w:t>
            </w:r>
          </w:p>
        </w:tc>
        <w:tc>
          <w:tcPr>
            <w:vMerge w:val="restart"/>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3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rats were administered orally Beetroot extract for 2 weeks (14 days).</w:t>
            </w:r>
          </w:p>
        </w:tc>
      </w:tr>
      <w:tr>
        <w:trPr>
          <w:cantSplit w:val="0"/>
          <w:trHeight w:val="434" w:hRule="atLeast"/>
          <w:tblHeader w:val="0"/>
        </w:trPr>
        <w:tc>
          <w:tcPr>
            <w:vMerge w:val="continue"/>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w:t>
            </w:r>
          </w:p>
        </w:tc>
        <w:tc>
          <w:tcPr>
            <w:vMerge w:val="continue"/>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788" w:hRule="atLeast"/>
          <w:tblHeader w:val="0"/>
        </w:trPr>
        <w:tc>
          <w:tcPr>
            <w:vMerge w:val="restart"/>
            <w:tcBorders>
              <w:top w:color="7f7f7f"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5</w:t>
            </w:r>
          </w:p>
        </w:tc>
        <w:tc>
          <w:tcPr>
            <w:vMerge w:val="restart"/>
            <w:tcBorders>
              <w:top w:color="7f7f7f"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B">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Extract</w:t>
            </w:r>
          </w:p>
        </w:tc>
        <w:tc>
          <w:tcPr>
            <w:vMerge w:val="restart"/>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Dose B.V Extract(200mg/kg)</w:t>
            </w:r>
          </w:p>
        </w:tc>
        <w:tc>
          <w:tcPr>
            <w:vMerge w:val="restart"/>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rats were administered orally Beetroot extract for 2 weeks (14 days).</w:t>
            </w:r>
          </w:p>
        </w:tc>
      </w:tr>
      <w:tr>
        <w:trPr>
          <w:cantSplit w:val="0"/>
          <w:trHeight w:val="434" w:hRule="atLeast"/>
          <w:tblHeader w:val="0"/>
        </w:trPr>
        <w:tc>
          <w:tcPr>
            <w:vMerge w:val="continue"/>
            <w:tcBorders>
              <w:top w:color="7f7f7f"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7f7f7f"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213" w:hRule="atLeast"/>
          <w:tblHeader w:val="0"/>
        </w:trPr>
        <w:tc>
          <w:tcPr>
            <w:tcBorders>
              <w:top w:color="7f7f7f"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6</w:t>
            </w:r>
          </w:p>
        </w:tc>
        <w:tc>
          <w:tcPr>
            <w:tcBorders>
              <w:top w:color="7f7f7f"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Extract and Lead</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Dose B.V Extract(100mg/kg) and Lead (25mg/kg)</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rats were administered orally Beetroot extract and Lead Acetate for 2 weeks (14 days)</w:t>
            </w:r>
          </w:p>
        </w:tc>
      </w:tr>
      <w:tr>
        <w:trPr>
          <w:cantSplit w:val="0"/>
          <w:trHeight w:val="1213" w:hRule="atLeast"/>
          <w:tblHeader w:val="0"/>
        </w:trPr>
        <w:tc>
          <w:tcPr>
            <w:tcBorders>
              <w:top w:color="7f7f7f"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7</w:t>
            </w:r>
          </w:p>
        </w:tc>
        <w:tc>
          <w:tcPr>
            <w:tcBorders>
              <w:top w:color="7f7f7f"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7">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Extract and Lead</w:t>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Dose B.V Extract(150mg/kg) and Lead (25mg/kg)</w:t>
            </w:r>
          </w:p>
        </w:tc>
        <w:tc>
          <w:tcPr>
            <w:tcBorders>
              <w:top w:color="7f7f7f" w:space="0" w:sz="4" w:val="single"/>
              <w:left w:color="000000" w:space="0" w:sz="4" w:val="single"/>
              <w:bottom w:color="7f7f7f"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rats were administered orally Beetroot extract and Lead Acetate for 2 weeks (14 days)</w:t>
            </w:r>
          </w:p>
        </w:tc>
      </w:tr>
      <w:tr>
        <w:trPr>
          <w:cantSplit w:val="0"/>
          <w:trHeight w:val="1213" w:hRule="atLeast"/>
          <w:tblHeader w:val="0"/>
        </w:trPr>
        <w:tc>
          <w:tcPr>
            <w:tcBorders>
              <w:top w:color="7f7f7f"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8</w:t>
            </w:r>
          </w:p>
        </w:tc>
        <w:tc>
          <w:tcPr>
            <w:tcBorders>
              <w:top w:color="7f7f7f"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B">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Beetroot Extract and Lead</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Dose B.V Extract(200mg/kg) and Lead (25mg/kg)</w:t>
            </w:r>
          </w:p>
        </w:tc>
        <w:tc>
          <w:tcPr>
            <w:tcBorders>
              <w:top w:color="7f7f7f" w:space="0" w:sz="4" w:val="single"/>
              <w:left w:color="000000" w:space="0" w:sz="4" w:val="single"/>
              <w:bottom w:color="7f7f7f"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4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rats were administered orally Beetroot extract and Lead Acetate for 2 weeks (14 days)</w:t>
            </w:r>
          </w:p>
        </w:tc>
      </w:tr>
    </w:tbl>
    <w:p w:rsidR="00000000" w:rsidDel="00000000" w:rsidP="00000000" w:rsidRDefault="00000000" w:rsidRPr="00000000" w14:paraId="0000004E">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59"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Rationale for Dose Selection</w:t>
      </w:r>
    </w:p>
    <w:p w:rsidR="00000000" w:rsidDel="00000000" w:rsidP="00000000" w:rsidRDefault="00000000" w:rsidRPr="00000000" w14:paraId="00000050">
      <w:pPr>
        <w:tabs>
          <w:tab w:val="left" w:leader="none" w:pos="0"/>
        </w:tabs>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investigated the effects of beetroot hydromethanolic extract on lactate concentration, endurance pattern, and cognitive function in Wistar rats. The choice of doses was based on previous studies that have demonstrated the bioactive compounds present in beetroot. Beetroot contains 2500mg/kg of NO</w:t>
      </w:r>
      <w:r w:rsidDel="00000000" w:rsidR="00000000" w:rsidRPr="00000000">
        <w:rPr>
          <w:rFonts w:ascii="Times New Roman" w:cs="Times New Roman" w:eastAsia="Times New Roman" w:hAnsi="Times New Roman"/>
          <w:vertAlign w:val="superscript"/>
          <w:rtl w:val="0"/>
        </w:rPr>
        <w:t xml:space="preserve">-</w:t>
      </w:r>
      <w:r w:rsidDel="00000000" w:rsidR="00000000" w:rsidRPr="00000000">
        <w:rPr>
          <w:rFonts w:ascii="Times New Roman" w:cs="Times New Roman" w:eastAsia="Times New Roman" w:hAnsi="Times New Roman"/>
          <w:vertAlign w:val="subscript"/>
          <w:rtl w:val="0"/>
        </w:rPr>
        <w:t xml:space="preserve">3</w:t>
      </w:r>
      <w:r w:rsidDel="00000000" w:rsidR="00000000" w:rsidRPr="00000000">
        <w:rPr>
          <w:rFonts w:ascii="Times New Roman" w:cs="Times New Roman" w:eastAsia="Times New Roman" w:hAnsi="Times New Roman"/>
          <w:rtl w:val="0"/>
        </w:rPr>
        <w:t xml:space="preserve"> and is considered a very high nitric oxide containing vegetable (Milton-Laskibar, 2021) which helps in adjusting body lactate concentration. Betanin is usually obtained from the extract of beet juice; the concentration of betanin in red beet can reach 300–600 mg/kg (Wikipedia contributors, 2024)</w:t>
      </w:r>
    </w:p>
    <w:p w:rsidR="00000000" w:rsidDel="00000000" w:rsidP="00000000" w:rsidRDefault="00000000" w:rsidRPr="00000000" w14:paraId="00000051">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Body Weight Measurement</w:t>
      </w:r>
    </w:p>
    <w:p w:rsidR="00000000" w:rsidDel="00000000" w:rsidP="00000000" w:rsidRDefault="00000000" w:rsidRPr="00000000" w14:paraId="00000052">
      <w:pPr>
        <w:tabs>
          <w:tab w:val="left" w:leader="none" w:pos="0"/>
        </w:tabs>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body weight of each rat was measured using a calibrated digital weighing balance with a precision of 0.01 g. Measurements were recorded at baseline prior to treatment and subsequently on a weekly basis for the duration of the study. Weighing was performed at the same time each week to minimize diurnal variation. The animals were gently handled in a calm environment to reduce stress, and data were recorded in kilograms for each individual rat. These measurements allowed monitoring of weight progression over the experimental period and assessment of the effects of beetroot supplementation and/or lead exposure.</w:t>
      </w:r>
    </w:p>
    <w:p w:rsidR="00000000" w:rsidDel="00000000" w:rsidP="00000000" w:rsidRDefault="00000000" w:rsidRPr="00000000" w14:paraId="00000053">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Sample Collection</w:t>
      </w:r>
    </w:p>
    <w:p w:rsidR="00000000" w:rsidDel="00000000" w:rsidP="00000000" w:rsidRDefault="00000000" w:rsidRPr="00000000" w14:paraId="00000054">
      <w:pPr>
        <w:tabs>
          <w:tab w:val="left" w:leader="none" w:pos="0"/>
        </w:tabs>
        <w:spacing w:after="0" w:line="480" w:lineRule="auto"/>
        <w:jc w:val="both"/>
        <w:rPr>
          <w:rFonts w:ascii="Times New Roman" w:cs="Times New Roman" w:eastAsia="Times New Roman" w:hAnsi="Times New Roman"/>
        </w:rPr>
      </w:pPr>
      <w:sdt>
        <w:sdtPr>
          <w:id w:val="-1426039353"/>
          <w:tag w:val="goog_rdk_3"/>
        </w:sdtPr>
        <w:sdtContent>
          <w:r w:rsidDel="00000000" w:rsidR="00000000" w:rsidRPr="00000000">
            <w:rPr>
              <w:rFonts w:ascii="Gungsuh" w:cs="Gungsuh" w:eastAsia="Gungsuh" w:hAnsi="Gungsuh"/>
              <w:rtl w:val="0"/>
            </w:rPr>
            <w:t xml:space="preserve">At the end of the 28-day treatment period, the animals were fasted overnight but had free access to water. Blood samples were collected under light anesthesia by cardiac puncture using sterile syringes. Approximately 4–6 mL of blood was withdrawn from each rat into plain tubes and allowed to clot at room temperature for 30 minutes. Serum was separated by centrifugation at 3000 rpm for 10 minutes, aliquoted into sterile tubes, and stored at −20 °C until biochemical analysis. Where required, organ tissues such as the liver were harvested, rinsed in cold saline to remove blood, and either stored at −80 °C for biochemical assays or fixed in 10% buffered formalin for histological analysis.</w:t>
          </w:r>
        </w:sdtContent>
      </w:sdt>
    </w:p>
    <w:p w:rsidR="00000000" w:rsidDel="00000000" w:rsidP="00000000" w:rsidRDefault="00000000" w:rsidRPr="00000000" w14:paraId="00000055">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Biochemical Analysis</w:t>
      </w:r>
    </w:p>
    <w:p w:rsidR="00000000" w:rsidDel="00000000" w:rsidP="00000000" w:rsidRDefault="00000000" w:rsidRPr="00000000" w14:paraId="00000056">
      <w:pPr>
        <w:tabs>
          <w:tab w:val="left" w:leader="none" w:pos="0"/>
        </w:tabs>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Serum lipid profile was determined using enzymatic colorimetric methods with commercial diagnostic kits (Randox, UK). The parameters assessed included total cholesterol (TC), triglycerides (TG), and high-density lipoprotein cholesterol (HDL-C). Low-density lipoprotein cholesterol (LDL-C) and very low-density lipoprotein cholesterol (VLDL-C) were calculated using the Friedewald equation, provided TG levels were below 400 mg/dL. Absorbance readings were taken with a spectrophotometer at the wavelengths specified by the kit manufacturers, and all assays were conducted in duplicate for accuracy.</w:t>
      </w:r>
    </w:p>
    <w:p w:rsidR="00000000" w:rsidDel="00000000" w:rsidP="00000000" w:rsidRDefault="00000000" w:rsidRPr="00000000" w14:paraId="00000057">
      <w:pPr>
        <w:tabs>
          <w:tab w:val="left" w:leader="none" w:pos="0"/>
        </w:tabs>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Oxidative stress biomarkers were also analyzed in serum samples. Reduced glutathione (GSH) concentration was determined using Ellman’s method, which involves reaction with 5,5′-dithiobis(2-nitrobenzoic acid). Superoxide dismutase (SOD) activity was measured using a commercial kit based on the inhibition of pyrogallol auto-oxidation, while malondialdehyde (MDA) levels were estimated by thiobarbituric acid reactive substances (TBARS) assay, which detects lipid peroxidation products at 532 nm. All assays were performed according to standard protocols, and appropriate standards and controls were included.</w:t>
      </w:r>
    </w:p>
    <w:p w:rsidR="00000000" w:rsidDel="00000000" w:rsidP="00000000" w:rsidRDefault="00000000" w:rsidRPr="00000000" w14:paraId="00000058">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Analysis</w:t>
      </w:r>
    </w:p>
    <w:p w:rsidR="00000000" w:rsidDel="00000000" w:rsidP="00000000" w:rsidRDefault="00000000" w:rsidRPr="00000000" w14:paraId="00000059">
      <w:pPr>
        <w:tabs>
          <w:tab w:val="left" w:leader="none" w:pos="0"/>
        </w:tabs>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data were expressed as mean ± standard error of the mean (SEM), with a group size of five rats. Statistical comparisons between groups were performed using one-way analysis of variance (ANOVA). When ANOVA revealed significant differences, Newman–Keuls post hoc multiple comparison test was applied to identify specific inter-group differences. Significance was accepted at </w:t>
      </w:r>
      <w:r w:rsidDel="00000000" w:rsidR="00000000" w:rsidRPr="00000000">
        <w:rPr>
          <w:rFonts w:ascii="Times New Roman" w:cs="Times New Roman" w:eastAsia="Times New Roman" w:hAnsi="Times New Roman"/>
          <w:i w:val="1"/>
          <w:rtl w:val="0"/>
        </w:rPr>
        <w:t xml:space="preserve">p</w:t>
      </w:r>
      <w:sdt>
        <w:sdtPr>
          <w:id w:val="1531209695"/>
          <w:tag w:val="goog_rdk_4"/>
        </w:sdtPr>
        <w:sdtContent>
          <w:r w:rsidDel="00000000" w:rsidR="00000000" w:rsidRPr="00000000">
            <w:rPr>
              <w:rFonts w:ascii="Gungsuh" w:cs="Gungsuh" w:eastAsia="Gungsuh" w:hAnsi="Gungsuh"/>
              <w:rtl w:val="0"/>
            </w:rPr>
            <w:t xml:space="preserve"> ≤ 0.05. In data tables, values significantly different from the control group were denoted by an asterisk (*), while those significantly different from the lead-only group were indicated by a hash symbol (#). Statistical analyses were conducted using SPSS version 25 (IBM Corp., Armonk, NY, USA).</w:t>
          </w:r>
        </w:sdtContent>
      </w:sdt>
    </w:p>
    <w:p w:rsidR="00000000" w:rsidDel="00000000" w:rsidP="00000000" w:rsidRDefault="00000000" w:rsidRPr="00000000" w14:paraId="0000005A">
      <w:pPr>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rPr>
      </w:pPr>
      <w:sdt>
        <w:sdtPr>
          <w:id w:val="1470938103"/>
          <w:tag w:val="goog_rdk_5"/>
        </w:sdtPr>
        <w:sdtContent>
          <w:commentRangeStart w:id="2"/>
        </w:sdtContent>
      </w:sdt>
      <w:r w:rsidDel="00000000" w:rsidR="00000000" w:rsidRPr="00000000">
        <w:rPr>
          <w:rFonts w:ascii="Times New Roman" w:cs="Times New Roman" w:eastAsia="Times New Roman" w:hAnsi="Times New Roman"/>
          <w:b w:val="1"/>
          <w:rtl w:val="0"/>
        </w:rPr>
        <w:t xml:space="preserve">Results</w:t>
      </w:r>
      <w:commentRangeEnd w:id="2"/>
      <w:r w:rsidDel="00000000" w:rsidR="00000000" w:rsidRPr="00000000">
        <w:commentReference w:id="2"/>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C">
      <w:pPr>
        <w:spacing w:after="0" w:line="360" w:lineRule="auto"/>
        <w:ind w:hanging="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Table 2 Lipid profile following administration of test substances</w:t>
      </w:r>
      <w:r w:rsidDel="00000000" w:rsidR="00000000" w:rsidRPr="00000000">
        <w:rPr>
          <w:rtl w:val="0"/>
        </w:rPr>
      </w:r>
    </w:p>
    <w:tbl>
      <w:tblPr>
        <w:tblStyle w:val="Table2"/>
        <w:tblW w:w="10945.0" w:type="dxa"/>
        <w:jc w:val="center"/>
        <w:tblBorders>
          <w:top w:color="000000" w:space="0" w:sz="4" w:val="single"/>
          <w:bottom w:color="000000" w:space="0" w:sz="4" w:val="single"/>
        </w:tblBorders>
        <w:tblLayout w:type="fixed"/>
        <w:tblLook w:val="04A0"/>
      </w:tblPr>
      <w:tblGrid>
        <w:gridCol w:w="3072"/>
        <w:gridCol w:w="1564"/>
        <w:gridCol w:w="1614"/>
        <w:gridCol w:w="1565"/>
        <w:gridCol w:w="1565"/>
        <w:gridCol w:w="1565"/>
        <w:tblGridChange w:id="0">
          <w:tblGrid>
            <w:gridCol w:w="3072"/>
            <w:gridCol w:w="1564"/>
            <w:gridCol w:w="1614"/>
            <w:gridCol w:w="1565"/>
            <w:gridCol w:w="1565"/>
            <w:gridCol w:w="1565"/>
          </w:tblGrid>
        </w:tblGridChange>
      </w:tblGrid>
      <w:tr>
        <w:trPr>
          <w:cantSplit w:val="0"/>
          <w:trHeight w:val="752" w:hRule="atLeast"/>
          <w:tblHeader w:val="0"/>
        </w:trPr>
        <w:tc>
          <w:tcPr>
            <w:tcBorders>
              <w:top w:color="000000" w:space="0" w:sz="4" w:val="single"/>
              <w:left w:color="000000" w:space="0" w:sz="0" w:val="nil"/>
              <w:right w:color="000000" w:space="0" w:sz="0" w:val="nil"/>
            </w:tcBorders>
          </w:tcPr>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Groups/Treatment</w:t>
            </w:r>
          </w:p>
        </w:tc>
        <w:tc>
          <w:tcPr>
            <w:tcBorders>
              <w:top w:color="000000" w:space="0" w:sz="4" w:val="single"/>
              <w:left w:color="000000" w:space="0" w:sz="0" w:val="nil"/>
              <w:right w:color="000000" w:space="0" w:sz="0" w:val="nil"/>
            </w:tcBorders>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highlight w:val="white"/>
                <w:rtl w:val="0"/>
              </w:rPr>
              <w:t xml:space="preserve">(mg/dL)</w:t>
            </w:r>
            <w:r w:rsidDel="00000000" w:rsidR="00000000" w:rsidRPr="00000000">
              <w:rPr>
                <w:rtl w:val="0"/>
              </w:rPr>
            </w:r>
          </w:p>
        </w:tc>
        <w:tc>
          <w:tcPr>
            <w:tcBorders>
              <w:top w:color="000000" w:space="0" w:sz="4" w:val="single"/>
              <w:left w:color="000000" w:space="0" w:sz="0" w:val="nil"/>
              <w:right w:color="000000" w:space="0" w:sz="0" w:val="nil"/>
            </w:tcBorders>
          </w:tcPr>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TG</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highlight w:val="white"/>
                <w:rtl w:val="0"/>
              </w:rPr>
              <w:t xml:space="preserve">(mg/dL)</w:t>
            </w:r>
            <w:r w:rsidDel="00000000" w:rsidR="00000000" w:rsidRPr="00000000">
              <w:rPr>
                <w:rtl w:val="0"/>
              </w:rPr>
            </w:r>
          </w:p>
        </w:tc>
        <w:tc>
          <w:tcPr>
            <w:tcBorders>
              <w:top w:color="000000" w:space="0" w:sz="4" w:val="single"/>
              <w:left w:color="000000" w:space="0" w:sz="0" w:val="nil"/>
              <w:right w:color="000000" w:space="0" w:sz="0" w:val="nil"/>
            </w:tcBorders>
          </w:tcPr>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HDL</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highlight w:val="white"/>
                <w:rtl w:val="0"/>
              </w:rPr>
              <w:t xml:space="preserve">(mg/dL)</w:t>
            </w:r>
            <w:r w:rsidDel="00000000" w:rsidR="00000000" w:rsidRPr="00000000">
              <w:rPr>
                <w:rtl w:val="0"/>
              </w:rPr>
            </w:r>
          </w:p>
        </w:tc>
        <w:tc>
          <w:tcPr>
            <w:tcBorders>
              <w:top w:color="000000" w:space="0" w:sz="4" w:val="single"/>
              <w:left w:color="000000" w:space="0" w:sz="0" w:val="nil"/>
              <w:right w:color="000000" w:space="0" w:sz="0" w:val="nil"/>
            </w:tcBorders>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LDL</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highlight w:val="white"/>
                <w:rtl w:val="0"/>
              </w:rPr>
              <w:t xml:space="preserve">(mg/dL)</w:t>
            </w:r>
            <w:r w:rsidDel="00000000" w:rsidR="00000000" w:rsidRPr="00000000">
              <w:rPr>
                <w:rtl w:val="0"/>
              </w:rPr>
            </w:r>
          </w:p>
        </w:tc>
        <w:tc>
          <w:tcPr>
            <w:tcBorders>
              <w:top w:color="000000" w:space="0" w:sz="4" w:val="single"/>
              <w:left w:color="000000" w:space="0" w:sz="0" w:val="nil"/>
              <w:right w:color="000000" w:space="0" w:sz="0" w:val="nil"/>
            </w:tcBorders>
          </w:tcPr>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VLDL</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1"/>
                <w:szCs w:val="21"/>
                <w:highlight w:val="white"/>
                <w:rtl w:val="0"/>
              </w:rPr>
              <w:t xml:space="preserve">(mg/dL)</w:t>
            </w:r>
            <w:r w:rsidDel="00000000" w:rsidR="00000000" w:rsidRPr="00000000">
              <w:rPr>
                <w:rtl w:val="0"/>
              </w:rPr>
            </w:r>
          </w:p>
        </w:tc>
      </w:tr>
      <w:tr>
        <w:trPr>
          <w:cantSplit w:val="0"/>
          <w:trHeight w:val="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Group1 (Control)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0.60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 0.08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2.69#±0.25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0.58±0.03</w:t>
            </w:r>
          </w:p>
        </w:tc>
      </w:tr>
      <w:tr>
        <w:trPr>
          <w:cantSplit w:val="0"/>
          <w:trHeight w:val="7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Group2</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25mg/kg)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2.57*±0.67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1.13±0.05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0.05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1.88*±0.04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0.51±0.02</w:t>
            </w:r>
          </w:p>
        </w:tc>
      </w:tr>
      <w:tr>
        <w:trPr>
          <w:cantSplit w:val="0"/>
          <w:trHeight w:val="7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Group3</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2.73*±0.27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1.29±0.10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1.98*±0.22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B">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0.54±0.06</w:t>
            </w:r>
          </w:p>
        </w:tc>
      </w:tr>
      <w:tr>
        <w:trPr>
          <w:cantSplit w:val="0"/>
          <w:trHeight w:val="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Group4</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2.70*±0.30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F">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1.22±0.12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0">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1.36±0.09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1">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1.89*±0.26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0.56±0.06</w:t>
            </w:r>
          </w:p>
        </w:tc>
      </w:tr>
      <w:tr>
        <w:trPr>
          <w:cantSplit w:val="0"/>
          <w:trHeight w:val="7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Group5</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2.33*±0.13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6">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1.01*±0.09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7">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1.03*±0.05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1.77*±0.13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0.46*±0.04</w:t>
            </w:r>
          </w:p>
        </w:tc>
      </w:tr>
      <w:tr>
        <w:trPr>
          <w:cantSplit w:val="0"/>
          <w:trHeight w:val="7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Group6</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+ 100mg/kg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2.53*±0.13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1.04*±0.17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1.09*±0.04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2.12*±0.31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0.47*±0.01</w:t>
            </w:r>
          </w:p>
        </w:tc>
      </w:tr>
      <w:tr>
        <w:trPr>
          <w:cantSplit w:val="0"/>
          <w:trHeight w:val="7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Group7</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+ 150mg/kg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2.23*±0.13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0.96*±0.09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1.64*± 0.09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0.44*±0.04</w:t>
            </w:r>
          </w:p>
        </w:tc>
      </w:tr>
      <w:tr>
        <w:trPr>
          <w:cantSplit w:val="0"/>
          <w:trHeight w:val="752"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Group8</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+ 200mg/kg Beta vulgaris)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A">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2.23*±0.03</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B">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0.92*±0.02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C">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1.08*±0.02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D">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1.57*±0.06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E">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0.42*±0.01</w:t>
            </w:r>
          </w:p>
        </w:tc>
      </w:tr>
    </w:tbl>
    <w:p w:rsidR="00000000" w:rsidDel="00000000" w:rsidP="00000000" w:rsidRDefault="00000000" w:rsidRPr="00000000" w14:paraId="0000009F">
      <w:pPr>
        <w:spacing w:line="240" w:lineRule="auto"/>
        <w:ind w:left="-360" w:right="-540" w:firstLine="0"/>
        <w:jc w:val="both"/>
        <w:rPr>
          <w:rFonts w:ascii="Times New Roman" w:cs="Times New Roman" w:eastAsia="Times New Roman" w:hAnsi="Times New Roman"/>
        </w:rPr>
      </w:pPr>
      <w:sdt>
        <w:sdtPr>
          <w:id w:val="-2017439345"/>
          <w:tag w:val="goog_rdk_6"/>
        </w:sdtPr>
        <w:sdtContent>
          <w:r w:rsidDel="00000000" w:rsidR="00000000" w:rsidRPr="00000000">
            <w:rPr>
              <w:rFonts w:ascii="Gungsuh" w:cs="Gungsuh" w:eastAsia="Gungsuh" w:hAnsi="Gungsuh"/>
              <w:rtl w:val="0"/>
            </w:rPr>
            <w:t xml:space="preserve">Values are presented in mean ± sem, n= 5. * Means values are statistically significant (p≤0.05) when compared to the control group 1, # means values are statistically significant (p≤0.05) when compared to lead</w:t>
          </w:r>
        </w:sdtContent>
      </w:sdt>
      <w:r w:rsidDel="00000000" w:rsidR="00000000" w:rsidRPr="00000000">
        <w:rPr>
          <w:rFonts w:ascii="Times New Roman" w:cs="Times New Roman" w:eastAsia="Times New Roman" w:hAnsi="Times New Roman"/>
          <w:vertAlign w:val="subscript"/>
          <w:rtl w:val="0"/>
        </w:rPr>
        <w:t xml:space="preserve"> </w:t>
      </w:r>
      <w:r w:rsidDel="00000000" w:rsidR="00000000" w:rsidRPr="00000000">
        <w:rPr>
          <w:rFonts w:ascii="Times New Roman" w:cs="Times New Roman" w:eastAsia="Times New Roman" w:hAnsi="Times New Roman"/>
          <w:rtl w:val="0"/>
        </w:rPr>
        <w:t xml:space="preserve">only group.</w:t>
      </w:r>
    </w:p>
    <w:p w:rsidR="00000000" w:rsidDel="00000000" w:rsidP="00000000" w:rsidRDefault="00000000" w:rsidRPr="00000000" w14:paraId="000000A0">
      <w:pPr>
        <w:spacing w:line="480" w:lineRule="auto"/>
        <w:ind w:left="-360" w:righ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480" w:lineRule="auto"/>
        <w:ind w:left="-360" w:righ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480" w:lineRule="auto"/>
        <w:ind w:left="-360" w:righ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480" w:lineRule="auto"/>
        <w:ind w:left="-360" w:right="-5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ind w:left="-709"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3 Body weight following administration of test substances</w:t>
      </w:r>
    </w:p>
    <w:tbl>
      <w:tblPr>
        <w:tblStyle w:val="Table3"/>
        <w:tblW w:w="10801.0" w:type="dxa"/>
        <w:jc w:val="center"/>
        <w:tblBorders>
          <w:top w:color="000000" w:space="0" w:sz="4" w:val="single"/>
          <w:bottom w:color="000000" w:space="0" w:sz="4" w:val="single"/>
        </w:tblBorders>
        <w:tblLayout w:type="fixed"/>
        <w:tblLook w:val="04A0"/>
      </w:tblPr>
      <w:tblGrid>
        <w:gridCol w:w="2150"/>
        <w:gridCol w:w="1735"/>
        <w:gridCol w:w="1669"/>
        <w:gridCol w:w="1669"/>
        <w:gridCol w:w="1789"/>
        <w:gridCol w:w="1789"/>
        <w:tblGridChange w:id="0">
          <w:tblGrid>
            <w:gridCol w:w="2150"/>
            <w:gridCol w:w="1735"/>
            <w:gridCol w:w="1669"/>
            <w:gridCol w:w="1669"/>
            <w:gridCol w:w="1789"/>
            <w:gridCol w:w="1789"/>
          </w:tblGrid>
        </w:tblGridChange>
      </w:tblGrid>
      <w:tr>
        <w:trPr>
          <w:cantSplit w:val="0"/>
          <w:trHeight w:val="485" w:hRule="atLeast"/>
          <w:tblHeader w:val="0"/>
        </w:trPr>
        <w:tc>
          <w:tcPr>
            <w:tcBorders>
              <w:top w:color="000000" w:space="0" w:sz="4" w:val="single"/>
              <w:left w:color="000000" w:space="0" w:sz="0" w:val="nil"/>
              <w:right w:color="000000" w:space="0" w:sz="0" w:val="nil"/>
            </w:tcBorders>
          </w:tcPr>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Groups/Treatment</w:t>
            </w:r>
          </w:p>
        </w:tc>
        <w:tc>
          <w:tcPr>
            <w:tcBorders>
              <w:top w:color="000000" w:space="0" w:sz="4" w:val="single"/>
              <w:left w:color="000000" w:space="0" w:sz="0" w:val="nil"/>
              <w:right w:color="000000" w:space="0" w:sz="0" w:val="nil"/>
            </w:tcBorders>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weight(kg)</w:t>
            </w:r>
          </w:p>
        </w:tc>
        <w:tc>
          <w:tcPr>
            <w:tcBorders>
              <w:top w:color="000000" w:space="0" w:sz="4" w:val="single"/>
              <w:left w:color="000000" w:space="0" w:sz="0" w:val="nil"/>
              <w:right w:color="000000" w:space="0" w:sz="0" w:val="nil"/>
            </w:tcBorders>
          </w:tcPr>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(kg)</w:t>
            </w:r>
          </w:p>
        </w:tc>
        <w:tc>
          <w:tcPr>
            <w:tcBorders>
              <w:top w:color="000000" w:space="0" w:sz="4" w:val="single"/>
              <w:left w:color="000000" w:space="0" w:sz="0" w:val="nil"/>
              <w:right w:color="000000" w:space="0" w:sz="0" w:val="nil"/>
            </w:tcBorders>
          </w:tcPr>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Week3</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(kg)</w:t>
            </w:r>
          </w:p>
        </w:tc>
        <w:tc>
          <w:tcPr>
            <w:tcBorders>
              <w:top w:color="000000" w:space="0" w:sz="4" w:val="single"/>
              <w:left w:color="000000" w:space="0" w:sz="0" w:val="nil"/>
              <w:right w:color="000000" w:space="0" w:sz="0" w:val="nil"/>
            </w:tcBorders>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Week4</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(kg)</w:t>
            </w:r>
          </w:p>
        </w:tc>
        <w:tc>
          <w:tcPr>
            <w:tcBorders>
              <w:top w:color="000000" w:space="0" w:sz="4" w:val="single"/>
              <w:left w:color="000000" w:space="0" w:sz="0" w:val="nil"/>
              <w:right w:color="000000" w:space="0" w:sz="0" w:val="nil"/>
            </w:tcBorders>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Week5</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 (kg)</w:t>
            </w:r>
          </w:p>
        </w:tc>
      </w:tr>
      <w:tr>
        <w:trPr>
          <w:cantSplit w:val="0"/>
          <w:trHeight w:val="5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Group1 (Control)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53.80±4.54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60.00±4.49</w:t>
            </w:r>
          </w:p>
          <w:p w:rsidR="00000000" w:rsidDel="00000000" w:rsidP="00000000" w:rsidRDefault="00000000" w:rsidRPr="00000000" w14:paraId="000000B5">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82.80±7.21</w:t>
            </w:r>
          </w:p>
          <w:p w:rsidR="00000000" w:rsidDel="00000000" w:rsidP="00000000" w:rsidRDefault="00000000" w:rsidRPr="00000000" w14:paraId="000000B7">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84.00±11.62</w:t>
            </w:r>
          </w:p>
          <w:p w:rsidR="00000000" w:rsidDel="00000000" w:rsidP="00000000" w:rsidRDefault="00000000" w:rsidRPr="00000000" w14:paraId="000000B9">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95.00±11.60</w:t>
            </w:r>
          </w:p>
          <w:p w:rsidR="00000000" w:rsidDel="00000000" w:rsidP="00000000" w:rsidRDefault="00000000" w:rsidRPr="00000000" w14:paraId="000000BB">
            <w:pPr>
              <w:ind w:left="6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Group2</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25mg/kg)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59.00±2.49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64.80±3.48</w:t>
            </w:r>
          </w:p>
          <w:p w:rsidR="00000000" w:rsidDel="00000000" w:rsidP="00000000" w:rsidRDefault="00000000" w:rsidRPr="00000000" w14:paraId="000000C0">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77.60±4.49</w:t>
            </w:r>
          </w:p>
          <w:p w:rsidR="00000000" w:rsidDel="00000000" w:rsidP="00000000" w:rsidRDefault="00000000" w:rsidRPr="00000000" w14:paraId="000000C2">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84.20±5.70</w:t>
            </w:r>
          </w:p>
          <w:p w:rsidR="00000000" w:rsidDel="00000000" w:rsidP="00000000" w:rsidRDefault="00000000" w:rsidRPr="00000000" w14:paraId="000000C4">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93.80±8.08</w:t>
            </w:r>
          </w:p>
          <w:p w:rsidR="00000000" w:rsidDel="00000000" w:rsidP="00000000" w:rsidRDefault="00000000" w:rsidRPr="00000000" w14:paraId="000000C6">
            <w:pPr>
              <w:ind w:left="6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Group3</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68.60*#±3.28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74.00*#±3.18</w:t>
            </w:r>
          </w:p>
          <w:p w:rsidR="00000000" w:rsidDel="00000000" w:rsidP="00000000" w:rsidRDefault="00000000" w:rsidRPr="00000000" w14:paraId="000000CB">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89.20±9.14</w:t>
            </w:r>
          </w:p>
          <w:p w:rsidR="00000000" w:rsidDel="00000000" w:rsidP="00000000" w:rsidRDefault="00000000" w:rsidRPr="00000000" w14:paraId="000000CD">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97.20±12.00</w:t>
            </w:r>
          </w:p>
          <w:p w:rsidR="00000000" w:rsidDel="00000000" w:rsidP="00000000" w:rsidRDefault="00000000" w:rsidRPr="00000000" w14:paraId="000000CF">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112.20±10.33</w:t>
            </w:r>
          </w:p>
          <w:p w:rsidR="00000000" w:rsidDel="00000000" w:rsidP="00000000" w:rsidRDefault="00000000" w:rsidRPr="00000000" w14:paraId="000000D1">
            <w:pPr>
              <w:ind w:left="6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5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Group4</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4">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79.60*#±1.99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85.20*#±0.97</w:t>
            </w:r>
          </w:p>
          <w:p w:rsidR="00000000" w:rsidDel="00000000" w:rsidP="00000000" w:rsidRDefault="00000000" w:rsidRPr="00000000" w14:paraId="000000D6">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104.00*#±7.05</w:t>
            </w:r>
          </w:p>
          <w:p w:rsidR="00000000" w:rsidDel="00000000" w:rsidP="00000000" w:rsidRDefault="00000000" w:rsidRPr="00000000" w14:paraId="000000D8">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113.40*#±7.99</w:t>
            </w:r>
          </w:p>
          <w:p w:rsidR="00000000" w:rsidDel="00000000" w:rsidP="00000000" w:rsidRDefault="00000000" w:rsidRPr="00000000" w14:paraId="000000DA">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117.20±9.59</w:t>
            </w:r>
          </w:p>
          <w:p w:rsidR="00000000" w:rsidDel="00000000" w:rsidP="00000000" w:rsidRDefault="00000000" w:rsidRPr="00000000" w14:paraId="000000DC">
            <w:pPr>
              <w:ind w:left="6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Group5</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78.60*#±1.99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81.60*#±0.87</w:t>
            </w:r>
          </w:p>
          <w:p w:rsidR="00000000" w:rsidDel="00000000" w:rsidP="00000000" w:rsidRDefault="00000000" w:rsidRPr="00000000" w14:paraId="000000E1">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118.00*#±9.19</w:t>
            </w:r>
          </w:p>
          <w:p w:rsidR="00000000" w:rsidDel="00000000" w:rsidP="00000000" w:rsidRDefault="00000000" w:rsidRPr="00000000" w14:paraId="000000E3">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120.20*#±13.04</w:t>
            </w:r>
          </w:p>
          <w:p w:rsidR="00000000" w:rsidDel="00000000" w:rsidP="00000000" w:rsidRDefault="00000000" w:rsidRPr="00000000" w14:paraId="000000E5">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119.40±13.05</w:t>
            </w:r>
          </w:p>
          <w:p w:rsidR="00000000" w:rsidDel="00000000" w:rsidP="00000000" w:rsidRDefault="00000000" w:rsidRPr="00000000" w14:paraId="000000E7">
            <w:pPr>
              <w:ind w:left="6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5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Group6</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+ 100mg/kg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A">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81.80*#±2.01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86.40*#±1.47</w:t>
            </w:r>
          </w:p>
          <w:p w:rsidR="00000000" w:rsidDel="00000000" w:rsidP="00000000" w:rsidRDefault="00000000" w:rsidRPr="00000000" w14:paraId="000000EC">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115.40*#±3.36</w:t>
            </w:r>
          </w:p>
          <w:p w:rsidR="00000000" w:rsidDel="00000000" w:rsidP="00000000" w:rsidRDefault="00000000" w:rsidRPr="00000000" w14:paraId="000000EE">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130.20*#±6.73</w:t>
            </w:r>
          </w:p>
          <w:p w:rsidR="00000000" w:rsidDel="00000000" w:rsidP="00000000" w:rsidRDefault="00000000" w:rsidRPr="00000000" w14:paraId="000000F0">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136.60*#±4.71</w:t>
            </w:r>
          </w:p>
          <w:p w:rsidR="00000000" w:rsidDel="00000000" w:rsidP="00000000" w:rsidRDefault="00000000" w:rsidRPr="00000000" w14:paraId="000000F2">
            <w:pPr>
              <w:ind w:left="6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Group7</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+ 150mg/kg Beta Vulgaris)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5">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87.20*#±1.07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89.80*#±1.07</w:t>
            </w:r>
          </w:p>
          <w:p w:rsidR="00000000" w:rsidDel="00000000" w:rsidP="00000000" w:rsidRDefault="00000000" w:rsidRPr="00000000" w14:paraId="000000F7">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116.40*#±3.61</w:t>
            </w:r>
          </w:p>
          <w:p w:rsidR="00000000" w:rsidDel="00000000" w:rsidP="00000000" w:rsidRDefault="00000000" w:rsidRPr="00000000" w14:paraId="000000F9">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120.60*#±4.09</w:t>
            </w:r>
          </w:p>
          <w:p w:rsidR="00000000" w:rsidDel="00000000" w:rsidP="00000000" w:rsidRDefault="00000000" w:rsidRPr="00000000" w14:paraId="000000FB">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120.40±4.39</w:t>
            </w:r>
          </w:p>
          <w:p w:rsidR="00000000" w:rsidDel="00000000" w:rsidP="00000000" w:rsidRDefault="00000000" w:rsidRPr="00000000" w14:paraId="000000FD">
            <w:pPr>
              <w:ind w:left="60" w:right="6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Group8</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+ 200mg/kg Beta Vulgaris)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0">
            <w:pPr>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101.20*#±2.29</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105.40*#±3.14</w:t>
            </w:r>
          </w:p>
          <w:p w:rsidR="00000000" w:rsidDel="00000000" w:rsidP="00000000" w:rsidRDefault="00000000" w:rsidRPr="00000000" w14:paraId="00000102">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121.00*#±7.93</w:t>
            </w:r>
          </w:p>
          <w:p w:rsidR="00000000" w:rsidDel="00000000" w:rsidP="00000000" w:rsidRDefault="00000000" w:rsidRPr="00000000" w14:paraId="00000104">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133.00*#±11.79</w:t>
            </w:r>
          </w:p>
          <w:p w:rsidR="00000000" w:rsidDel="00000000" w:rsidP="00000000" w:rsidRDefault="00000000" w:rsidRPr="00000000" w14:paraId="00000106">
            <w:pPr>
              <w:ind w:left="60" w:right="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129.40*#±11.37</w:t>
            </w:r>
          </w:p>
          <w:p w:rsidR="00000000" w:rsidDel="00000000" w:rsidP="00000000" w:rsidRDefault="00000000" w:rsidRPr="00000000" w14:paraId="00000108">
            <w:pPr>
              <w:ind w:left="60" w:right="6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9">
      <w:pPr>
        <w:spacing w:line="240" w:lineRule="auto"/>
        <w:ind w:left="-360" w:right="-540" w:firstLine="0"/>
        <w:jc w:val="both"/>
        <w:rPr>
          <w:rFonts w:ascii="Times New Roman" w:cs="Times New Roman" w:eastAsia="Times New Roman" w:hAnsi="Times New Roman"/>
        </w:rPr>
      </w:pPr>
      <w:sdt>
        <w:sdtPr>
          <w:id w:val="-445871544"/>
          <w:tag w:val="goog_rdk_7"/>
        </w:sdtPr>
        <w:sdtContent>
          <w:r w:rsidDel="00000000" w:rsidR="00000000" w:rsidRPr="00000000">
            <w:rPr>
              <w:rFonts w:ascii="Gungsuh" w:cs="Gungsuh" w:eastAsia="Gungsuh" w:hAnsi="Gungsuh"/>
              <w:rtl w:val="0"/>
            </w:rPr>
            <w:t xml:space="preserve">Values are presented in mean ± sem, n= 5. * Means values are statistically significant (p≤0.05) when compared to the control group 1, # means values are statistically significant (p≤0.05) when compared to lead</w:t>
          </w:r>
        </w:sdtContent>
      </w:sdt>
      <w:r w:rsidDel="00000000" w:rsidR="00000000" w:rsidRPr="00000000">
        <w:rPr>
          <w:rFonts w:ascii="Times New Roman" w:cs="Times New Roman" w:eastAsia="Times New Roman" w:hAnsi="Times New Roman"/>
          <w:vertAlign w:val="subscript"/>
          <w:rtl w:val="0"/>
        </w:rPr>
        <w:t xml:space="preserve"> </w:t>
      </w:r>
      <w:r w:rsidDel="00000000" w:rsidR="00000000" w:rsidRPr="00000000">
        <w:rPr>
          <w:rFonts w:ascii="Times New Roman" w:cs="Times New Roman" w:eastAsia="Times New Roman" w:hAnsi="Times New Roman"/>
          <w:rtl w:val="0"/>
        </w:rPr>
        <w:t xml:space="preserve">only group.</w:t>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ind w:left="-426"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4:</w:t>
        <w:tab/>
        <w:t xml:space="preserve">oxidative stress marker following administration of test substances</w:t>
      </w:r>
    </w:p>
    <w:tbl>
      <w:tblPr>
        <w:tblStyle w:val="Table4"/>
        <w:tblW w:w="9693.999999999998" w:type="dxa"/>
        <w:jc w:val="center"/>
        <w:tblBorders>
          <w:top w:color="000000" w:space="0" w:sz="4" w:val="single"/>
          <w:bottom w:color="000000" w:space="0" w:sz="4" w:val="single"/>
        </w:tblBorders>
        <w:tblLayout w:type="fixed"/>
        <w:tblLook w:val="04A0"/>
      </w:tblPr>
      <w:tblGrid>
        <w:gridCol w:w="3391"/>
        <w:gridCol w:w="2167"/>
        <w:gridCol w:w="2068"/>
        <w:gridCol w:w="2068"/>
        <w:tblGridChange w:id="0">
          <w:tblGrid>
            <w:gridCol w:w="3391"/>
            <w:gridCol w:w="2167"/>
            <w:gridCol w:w="2068"/>
            <w:gridCol w:w="2068"/>
          </w:tblGrid>
        </w:tblGridChange>
      </w:tblGrid>
      <w:tr>
        <w:trPr>
          <w:cantSplit w:val="0"/>
          <w:trHeight w:val="610" w:hRule="atLeast"/>
          <w:tblHeader w:val="0"/>
        </w:trPr>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Groups/Treatment</w:t>
            </w:r>
          </w:p>
        </w:tc>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GSH</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(mmo/l)</w:t>
            </w:r>
          </w:p>
        </w:tc>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(mmo/l)</w:t>
            </w:r>
          </w:p>
        </w:tc>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MDA</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(mmo/l)</w:t>
            </w:r>
          </w:p>
        </w:tc>
      </w:tr>
      <w:tr>
        <w:trPr>
          <w:cantSplit w:val="0"/>
          <w:trHeight w:val="64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Group1 (Control)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A">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2.88±0.05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C">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0.47±0.01</w:t>
            </w:r>
          </w:p>
        </w:tc>
      </w:tr>
      <w:tr>
        <w:trPr>
          <w:cantSplit w:val="0"/>
          <w:trHeight w:val="61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Group2</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 25mg/kg)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0">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0.60±0.01</w:t>
            </w:r>
          </w:p>
        </w:tc>
      </w:tr>
      <w:tr>
        <w:trPr>
          <w:cantSplit w:val="0"/>
          <w:trHeight w:val="61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Group3</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(100mg/kg Beta Vulgaris)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4">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3.53*#±0.12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0.14±0.00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6">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0.56±0.02</w:t>
            </w:r>
          </w:p>
        </w:tc>
      </w:tr>
      <w:tr>
        <w:trPr>
          <w:cantSplit w:val="0"/>
          <w:trHeight w:val="64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Group4</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(150mg/kg Beta Vulgaris)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9">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3.56*#±0.13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A">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B">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0.55±0.03</w:t>
            </w:r>
          </w:p>
        </w:tc>
      </w:tr>
      <w:tr>
        <w:trPr>
          <w:cantSplit w:val="0"/>
          <w:trHeight w:val="61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Group5</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(200mg/kg Beta Vulgaris)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E">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2.97±0.23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0">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0.56±0.02</w:t>
            </w:r>
          </w:p>
        </w:tc>
      </w:tr>
      <w:tr>
        <w:trPr>
          <w:cantSplit w:val="0"/>
          <w:trHeight w:val="64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Group6</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+ 100mg/kg Beta Vulgaris)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2.81±0.16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4">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0.59±0.02</w:t>
            </w:r>
          </w:p>
        </w:tc>
      </w:tr>
      <w:tr>
        <w:trPr>
          <w:cantSplit w:val="0"/>
          <w:trHeight w:val="61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Group7</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+ 150mg/kg Beta Vulgaris)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8">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2.80±0.15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0.15±0.03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A">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0.58±0.03</w:t>
            </w:r>
          </w:p>
        </w:tc>
      </w:tr>
      <w:tr>
        <w:trPr>
          <w:cantSplit w:val="0"/>
          <w:trHeight w:val="610"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Group8</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(25mg/kg Pb + 200mg/kg Beta Vulgaris)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D">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3.96*#±0.01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E">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0.60±0.37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F">
            <w:pPr>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0.48±0.02</w:t>
            </w:r>
          </w:p>
        </w:tc>
      </w:tr>
    </w:tbl>
    <w:p w:rsidR="00000000" w:rsidDel="00000000" w:rsidP="00000000" w:rsidRDefault="00000000" w:rsidRPr="00000000" w14:paraId="00000140">
      <w:pPr>
        <w:spacing w:line="240" w:lineRule="auto"/>
        <w:ind w:left="-360" w:right="-540" w:firstLine="0"/>
        <w:jc w:val="both"/>
        <w:rPr>
          <w:rFonts w:ascii="Times New Roman" w:cs="Times New Roman" w:eastAsia="Times New Roman" w:hAnsi="Times New Roman"/>
        </w:rPr>
      </w:pPr>
      <w:sdt>
        <w:sdtPr>
          <w:id w:val="918952406"/>
          <w:tag w:val="goog_rdk_8"/>
        </w:sdtPr>
        <w:sdtContent>
          <w:r w:rsidDel="00000000" w:rsidR="00000000" w:rsidRPr="00000000">
            <w:rPr>
              <w:rFonts w:ascii="Gungsuh" w:cs="Gungsuh" w:eastAsia="Gungsuh" w:hAnsi="Gungsuh"/>
              <w:rtl w:val="0"/>
            </w:rPr>
            <w:t xml:space="preserve">Values are presented in mean ± sem, n= 5. * Means values are statistically significant (p≤0.05) when compared to the control group 1, # means values are statistically significant (p≤0.05) when compared to lead</w:t>
          </w:r>
        </w:sdtContent>
      </w:sdt>
      <w:r w:rsidDel="00000000" w:rsidR="00000000" w:rsidRPr="00000000">
        <w:rPr>
          <w:rFonts w:ascii="Times New Roman" w:cs="Times New Roman" w:eastAsia="Times New Roman" w:hAnsi="Times New Roman"/>
          <w:vertAlign w:val="subscript"/>
          <w:rtl w:val="0"/>
        </w:rPr>
        <w:t xml:space="preserve"> </w:t>
      </w:r>
      <w:r w:rsidDel="00000000" w:rsidR="00000000" w:rsidRPr="00000000">
        <w:rPr>
          <w:rFonts w:ascii="Times New Roman" w:cs="Times New Roman" w:eastAsia="Times New Roman" w:hAnsi="Times New Roman"/>
          <w:rtl w:val="0"/>
        </w:rPr>
        <w:t xml:space="preserve">only group.</w:t>
      </w:r>
    </w:p>
    <w:p w:rsidR="00000000" w:rsidDel="00000000" w:rsidP="00000000" w:rsidRDefault="00000000" w:rsidRPr="00000000" w14:paraId="0000014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of Findings </w:t>
      </w:r>
    </w:p>
    <w:p w:rsidR="00000000" w:rsidDel="00000000" w:rsidP="00000000" w:rsidRDefault="00000000" w:rsidRPr="00000000" w14:paraId="000001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lipid profile analysis in this study revealed significant changes across the treatment groups, indicating both the deleterious impact of lead exposure and the protective effects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The control group displayed normal levels of total cholesterol (TC) and low-density lipoprotein (LDL), while lead exposure (25 mg/kg) produced a marked decrease in both TC and LDL. This is consistent with earlier reports that lead toxicity disrupts lipid metabolism, often leading to abnormal lipid levels through interference with hepatic enzyme activity and oxidative modification of lipids (Firoozichahak et al., 2022; Skoczyńska et al., 1993). Administration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at increasing doses significantly lowered TC and LDL, with the most profound effects observed at 200 mg/kg. This aligns with previous findings that beetroot supplementation exerts hypolipidemic effects by enhancing bile acid excretion, suppressing lipogenesis, and modulating lipid clearance pathways (Kubis et al., 2023; Mohsen et al., 2024). Thus,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appears to mitigate the lipid disturbances caused by lead, while independently promoting favorable lipid regulation.</w:t>
      </w:r>
    </w:p>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Body weight changes observed over the five-week period further emphasize the beneficial role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While both the control and lead-treated groups showed gradual increases in body weight, the beetroot-treated groups exhibited significantly greater weight gains, particularly at higher doses. Notably, animals in the combined lead and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treatment groups, especially at 200 mg/kg, displayed the highest weight gain, suggesting that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not only offset lead-induced metabolic stress but also enhanced growth. Similar observations have been reported in experimental models where phytochemicals rich in antioxidants improved feed efficiency, nutrient absorption, and metabolic health under toxicant exposure (Clifford et al., 2015; Kubis et al., 2023). However, the effect of beetroot on body weight is context dependent, as some studies show weight reduction in high-fat diet models due to improved metabolic efficiency, while others demonstrate weight gain in toxin-stressed or nutrient-deficient </w:t>
      </w:r>
      <w:sdt>
        <w:sdtPr>
          <w:id w:val="-690317409"/>
          <w:tag w:val="goog_rdk_9"/>
        </w:sdtPr>
        <w:sdtContent>
          <w:commentRangeStart w:id="3"/>
        </w:sdtContent>
      </w:sdt>
      <w:r w:rsidDel="00000000" w:rsidR="00000000" w:rsidRPr="00000000">
        <w:rPr>
          <w:rFonts w:ascii="Times New Roman" w:cs="Times New Roman" w:eastAsia="Times New Roman" w:hAnsi="Times New Roman"/>
          <w:rtl w:val="0"/>
        </w:rPr>
        <w:t xml:space="preserve">conditions</w:t>
      </w:r>
      <w:commentRangeEnd w:id="3"/>
      <w:r w:rsidDel="00000000" w:rsidR="00000000" w:rsidRPr="00000000">
        <w:commentReference w:id="3"/>
      </w:r>
      <w:r w:rsidDel="00000000" w:rsidR="00000000" w:rsidRPr="00000000">
        <w:rPr>
          <w:rFonts w:ascii="Times New Roman" w:cs="Times New Roman" w:eastAsia="Times New Roman" w:hAnsi="Times New Roman"/>
          <w:rtl w:val="0"/>
        </w:rPr>
        <w:t xml:space="preserve"> (Mohsen et al., 2024). These findings suggest a regulatory rather than unidirectional effect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on body mass.</w:t>
      </w:r>
    </w:p>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oxidative stress biomarkers measured in this study provide further insight into the protective mechanisms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Lead exposure significantly decreased superoxide dismutase (SOD) activity and elevated malondialdehyde (MDA), consistent with the well-established role of lead in inducing oxidative stress through free radical generation and inhibition of antioxidant enzymes (Akinrinde &amp; Oyewole, 2015; Firoozichahak et al., 2022). In contrast, beetroot supplementation significantly increased glutathione (GSH) and SOD levels while reducing MDA, particularly at 100–150 mg/kg. These results support the antioxidant capacity of betalains and other bioactive compounds in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which have been shown to scavenge free radicals, enhance endogenous antioxidant defenses, and reduce lipid peroxidation (Clifford et al., 2015; Martínez-Rodríguez et al., 2024; Muñoz et al., 2022). Interestingly, at the highest dose of 200 mg/kg, the antioxidant effects appeared to plateau, suggesting a possible biphasic or dose-dependent effect, as previously documented in other phytochemical interventions (Mohsen et al., 2024). Nonetheless, the combined treatment of lead and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at 200 mg/kg yielded the most robust antioxidant response, with significant elevations in GSH and SOD alongside reductions in MDA. This demonstrates the ability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to counteract lead-induced oxidative stress and restore redox balance.</w:t>
      </w:r>
    </w:p>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Taken together, these findings confirm that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possesses both hypolipidemic and antioxidant properties, consistent with reports in both animal and human studies (Clifford et al., 2015; Kubis et al., 2023). Moreover, its ability to improve body weight and metabolic indices in lead-exposed animals suggests its therapeutic potential in mitigating the toxicological impacts of heavy metals. The dose-dependent responses observed underscore the importance of optimizing supplementation levels, as intermediate doses may yield more consistent benefits than higher concentrations. Overall, the results of this study not only reinforce the role of </w:t>
      </w:r>
      <w:r w:rsidDel="00000000" w:rsidR="00000000" w:rsidRPr="00000000">
        <w:rPr>
          <w:rFonts w:ascii="Times New Roman" w:cs="Times New Roman" w:eastAsia="Times New Roman" w:hAnsi="Times New Roman"/>
          <w:i w:val="1"/>
          <w:rtl w:val="0"/>
        </w:rPr>
        <w:t xml:space="preserve">Beta vulgaris</w:t>
      </w:r>
      <w:r w:rsidDel="00000000" w:rsidR="00000000" w:rsidRPr="00000000">
        <w:rPr>
          <w:rFonts w:ascii="Times New Roman" w:cs="Times New Roman" w:eastAsia="Times New Roman" w:hAnsi="Times New Roman"/>
          <w:rtl w:val="0"/>
        </w:rPr>
        <w:t xml:space="preserve"> as a functional food with cardiometabolic benefits but also highlight its promise as a natural protective agent against heavy metal toxicity.</w:t>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 </w:t>
      </w:r>
    </w:p>
    <w:p w:rsidR="00000000" w:rsidDel="00000000" w:rsidP="00000000" w:rsidRDefault="00000000" w:rsidRPr="00000000" w14:paraId="00000148">
      <w:pPr>
        <w:spacing w:after="20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the results of this study suggest that Beta vulgaris (beetroot extract) has a beneficial impact on lipid profiles, body weight, and oxidative stress markers in rats exposed to lead. The control group showed normal lipid levels, while the lead-exposed group exhibited reduced total cholesterol (TC) and low-density lipoprotein (LDL) levels, indicative of impaired lipid metabolism. Conversely, administration of Beta vulgaris resulted in statistically significant reductions in TC and LDL levels, particularly at higher dosages, demonstrating its potential to counteract lead-induced lipid dysregulation. Additionally, the body weight measurements indicated that rats receiving Beta vulgaris consistently gained weight, suggesting improved overall health. Furthermore, the extract also enhanced antioxidant levels (GSH and SOD) and decreased oxidative stress markers (MDA), providing a protective effect against lead-induced oxidative damage. These findings support the idea that incorporating Beta vulgaris could be a practical approach for managing lipid profiles and mitigating the adverse health impacts of toxic substances like lead.</w:t>
      </w:r>
    </w:p>
    <w:p w:rsidR="00000000" w:rsidDel="00000000" w:rsidP="00000000" w:rsidRDefault="00000000" w:rsidRPr="00000000" w14:paraId="00000149">
      <w:pPr>
        <w:tabs>
          <w:tab w:val="left" w:leader="none" w:pos="0"/>
        </w:tabs>
        <w:spacing w:after="0"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Ethical Approval</w:t>
      </w:r>
    </w:p>
    <w:p w:rsidR="00000000" w:rsidDel="00000000" w:rsidP="00000000" w:rsidRDefault="00000000" w:rsidRPr="00000000" w14:paraId="0000014A">
      <w:pPr>
        <w:tabs>
          <w:tab w:val="left" w:leader="none" w:pos="0"/>
        </w:tabs>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experimental protocols met the Guidelines for Animal Experimentation and were approved by the Ethical Committee of the University of Port Harcourt, following the  Institutional Animal Ethics Committee. This study was conducted in accordance with the National Health Research Ethics Committee (NHREC), 2014.</w:t>
      </w:r>
    </w:p>
    <w:p w:rsidR="00000000" w:rsidDel="00000000" w:rsidP="00000000" w:rsidRDefault="00000000" w:rsidRPr="00000000" w14:paraId="0000014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 </w:t>
      </w:r>
    </w:p>
    <w:p w:rsidR="00000000" w:rsidDel="00000000" w:rsidP="00000000" w:rsidRDefault="00000000" w:rsidRPr="00000000" w14:paraId="0000014C">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Akinrinde, A. S., &amp; Oyewole, O. I. (2015). Lead exposure: A contributor to oxidative stress and cardiovascular diseases. African Journal of Medicine and Medical Sciences, 44(1), 61–70. </w:t>
      </w:r>
    </w:p>
    <w:p w:rsidR="00000000" w:rsidDel="00000000" w:rsidP="00000000" w:rsidRDefault="00000000" w:rsidRPr="00000000" w14:paraId="0000014D">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Amirpoor, S. (2022). Effects of beetroot supplementation on lipid profile: A systematic review and meta-analysis of randomized clinical trials. </w:t>
      </w:r>
      <w:r w:rsidDel="00000000" w:rsidR="00000000" w:rsidRPr="00000000">
        <w:rPr>
          <w:rFonts w:ascii="Times New Roman" w:cs="Times New Roman" w:eastAsia="Times New Roman" w:hAnsi="Times New Roman"/>
          <w:i w:val="1"/>
          <w:rtl w:val="0"/>
        </w:rPr>
        <w:t xml:space="preserve">Journal of Food Biochemistry, 46</w:t>
      </w:r>
      <w:r w:rsidDel="00000000" w:rsidR="00000000" w:rsidRPr="00000000">
        <w:rPr>
          <w:rFonts w:ascii="Times New Roman" w:cs="Times New Roman" w:eastAsia="Times New Roman" w:hAnsi="Times New Roman"/>
          <w:rtl w:val="0"/>
        </w:rPr>
        <w:t xml:space="preserve">(5), e14101. </w:t>
      </w:r>
      <w:hyperlink r:id="rId9">
        <w:r w:rsidDel="00000000" w:rsidR="00000000" w:rsidRPr="00000000">
          <w:rPr>
            <w:rFonts w:ascii="Times New Roman" w:cs="Times New Roman" w:eastAsia="Times New Roman" w:hAnsi="Times New Roman"/>
            <w:color w:val="0563c1"/>
            <w:u w:val="single"/>
            <w:rtl w:val="0"/>
          </w:rPr>
          <w:t xml:space="preserve">https://doi.org/10.1111/jfbc.14101</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E">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Chen, L., Chen, X., &amp; Wang, L. (2021). Nutritional composition and health benefits of beetroot: A review. </w:t>
      </w:r>
      <w:r w:rsidDel="00000000" w:rsidR="00000000" w:rsidRPr="00000000">
        <w:rPr>
          <w:rFonts w:ascii="Times New Roman" w:cs="Times New Roman" w:eastAsia="Times New Roman" w:hAnsi="Times New Roman"/>
          <w:i w:val="1"/>
          <w:rtl w:val="0"/>
        </w:rPr>
        <w:t xml:space="preserve">Food Science &amp; Nutrition, 9</w:t>
      </w:r>
      <w:r w:rsidDel="00000000" w:rsidR="00000000" w:rsidRPr="00000000">
        <w:rPr>
          <w:rFonts w:ascii="Times New Roman" w:cs="Times New Roman" w:eastAsia="Times New Roman" w:hAnsi="Times New Roman"/>
          <w:rtl w:val="0"/>
        </w:rPr>
        <w:t xml:space="preserve">(9), 5206–5220. </w:t>
      </w:r>
      <w:hyperlink r:id="rId10">
        <w:r w:rsidDel="00000000" w:rsidR="00000000" w:rsidRPr="00000000">
          <w:rPr>
            <w:rFonts w:ascii="Times New Roman" w:cs="Times New Roman" w:eastAsia="Times New Roman" w:hAnsi="Times New Roman"/>
            <w:color w:val="0563c1"/>
            <w:u w:val="single"/>
            <w:rtl w:val="0"/>
          </w:rPr>
          <w:t xml:space="preserve">https://doi.org/10.1002/fsn3.2437</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F">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Chhikara, N., Kushwaha, K., Sharma, P., Gat, Y., &amp; Panghal, A. (2019). Bioactive compounds of beetroot and their health benefits. </w:t>
      </w:r>
      <w:r w:rsidDel="00000000" w:rsidR="00000000" w:rsidRPr="00000000">
        <w:rPr>
          <w:rFonts w:ascii="Times New Roman" w:cs="Times New Roman" w:eastAsia="Times New Roman" w:hAnsi="Times New Roman"/>
          <w:i w:val="1"/>
          <w:rtl w:val="0"/>
        </w:rPr>
        <w:t xml:space="preserve">Critical Reviews in Food Science and Nutrition, 59</w:t>
      </w:r>
      <w:r w:rsidDel="00000000" w:rsidR="00000000" w:rsidRPr="00000000">
        <w:rPr>
          <w:rFonts w:ascii="Times New Roman" w:cs="Times New Roman" w:eastAsia="Times New Roman" w:hAnsi="Times New Roman"/>
          <w:rtl w:val="0"/>
        </w:rPr>
        <w:t xml:space="preserve">(6), 903–916. </w:t>
      </w:r>
      <w:hyperlink r:id="rId11">
        <w:r w:rsidDel="00000000" w:rsidR="00000000" w:rsidRPr="00000000">
          <w:rPr>
            <w:rFonts w:ascii="Times New Roman" w:cs="Times New Roman" w:eastAsia="Times New Roman" w:hAnsi="Times New Roman"/>
            <w:color w:val="0563c1"/>
            <w:u w:val="single"/>
            <w:rtl w:val="0"/>
          </w:rPr>
          <w:t xml:space="preserve">https://doi.org/10.1080/10408398.2017.1394815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0">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Clifford, T., Howatson, G., West, D. J., &amp; Stevenson, E. J. (2015). The potential benefits of red beetroot supplementation in health and disease. Nutrients, 7(4), 2801–2822. </w:t>
      </w:r>
      <w:hyperlink r:id="rId12">
        <w:r w:rsidDel="00000000" w:rsidR="00000000" w:rsidRPr="00000000">
          <w:rPr>
            <w:rFonts w:ascii="Times New Roman" w:cs="Times New Roman" w:eastAsia="Times New Roman" w:hAnsi="Times New Roman"/>
            <w:color w:val="0563c1"/>
            <w:u w:val="single"/>
            <w:rtl w:val="0"/>
          </w:rPr>
          <w:t xml:space="preserve">https://doi.org/10.3390/nu7042801</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1">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Clifford, T., Howatson, G., West, D. J., &amp; Stevenson, E. J. (2015). The potential benefits of red beetroot supplementation in health and disease. </w:t>
      </w:r>
      <w:r w:rsidDel="00000000" w:rsidR="00000000" w:rsidRPr="00000000">
        <w:rPr>
          <w:rFonts w:ascii="Times New Roman" w:cs="Times New Roman" w:eastAsia="Times New Roman" w:hAnsi="Times New Roman"/>
          <w:i w:val="1"/>
          <w:rtl w:val="0"/>
        </w:rPr>
        <w:t xml:space="preserve">Nutrients, 7</w:t>
      </w:r>
      <w:r w:rsidDel="00000000" w:rsidR="00000000" w:rsidRPr="00000000">
        <w:rPr>
          <w:rFonts w:ascii="Times New Roman" w:cs="Times New Roman" w:eastAsia="Times New Roman" w:hAnsi="Times New Roman"/>
          <w:rtl w:val="0"/>
        </w:rPr>
        <w:t xml:space="preserve">(4), 2801–2822. </w:t>
      </w:r>
      <w:hyperlink r:id="rId13">
        <w:r w:rsidDel="00000000" w:rsidR="00000000" w:rsidRPr="00000000">
          <w:rPr>
            <w:rFonts w:ascii="Times New Roman" w:cs="Times New Roman" w:eastAsia="Times New Roman" w:hAnsi="Times New Roman"/>
            <w:color w:val="0563c1"/>
            <w:u w:val="single"/>
            <w:rtl w:val="0"/>
          </w:rPr>
          <w:t xml:space="preserve">https://doi.org/10.3390/nu7042801</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2">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Diamantis, P. (2017). Beetroot as a functional food: Nutritional and medicinal values. </w:t>
      </w:r>
      <w:r w:rsidDel="00000000" w:rsidR="00000000" w:rsidRPr="00000000">
        <w:rPr>
          <w:rFonts w:ascii="Times New Roman" w:cs="Times New Roman" w:eastAsia="Times New Roman" w:hAnsi="Times New Roman"/>
          <w:i w:val="1"/>
          <w:rtl w:val="0"/>
        </w:rPr>
        <w:t xml:space="preserve">International Journal of Food Science and Nutrition, 2</w:t>
      </w:r>
      <w:r w:rsidDel="00000000" w:rsidR="00000000" w:rsidRPr="00000000">
        <w:rPr>
          <w:rFonts w:ascii="Times New Roman" w:cs="Times New Roman" w:eastAsia="Times New Roman" w:hAnsi="Times New Roman"/>
          <w:rtl w:val="0"/>
        </w:rPr>
        <w:t xml:space="preserve">(3), 45–50. </w:t>
      </w:r>
    </w:p>
    <w:p w:rsidR="00000000" w:rsidDel="00000000" w:rsidP="00000000" w:rsidRDefault="00000000" w:rsidRPr="00000000" w14:paraId="00000153">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Firoozichahak, A., Zendehdel, R., Zarei, S., &amp; Firoozichahak, H. (2022). Effect of occupational exposure to lead on serum levels of lipids, lipoproteins and liver enzymes. Scientific Reports, 12(1), 3254. </w:t>
      </w:r>
      <w:hyperlink r:id="rId14">
        <w:r w:rsidDel="00000000" w:rsidR="00000000" w:rsidRPr="00000000">
          <w:rPr>
            <w:rFonts w:ascii="Times New Roman" w:cs="Times New Roman" w:eastAsia="Times New Roman" w:hAnsi="Times New Roman"/>
            <w:color w:val="0563c1"/>
            <w:u w:val="single"/>
            <w:rtl w:val="0"/>
          </w:rPr>
          <w:t xml:space="preserve">https://doi.org/10.1038/s41598-022-07297-6</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4">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Kubis, H., Veselá, K., Pecháňová, O., &amp; Zicha, J. (2023). Hypolipidemic and vascular effects of beetroot juice in experimental rat models. Nutrients, 15(3), 678. </w:t>
      </w:r>
      <w:hyperlink r:id="rId15">
        <w:r w:rsidDel="00000000" w:rsidR="00000000" w:rsidRPr="00000000">
          <w:rPr>
            <w:rFonts w:ascii="Times New Roman" w:cs="Times New Roman" w:eastAsia="Times New Roman" w:hAnsi="Times New Roman"/>
            <w:color w:val="0563c1"/>
            <w:u w:val="single"/>
            <w:rtl w:val="0"/>
          </w:rPr>
          <w:t xml:space="preserve">https://doi.org/10.3390/nu15030678</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5">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Martínez-Rodríguez, P., Abellán-Victorio, A., &amp; López-Nicolás, J. M. (2024). Betalains: A narrative review on pharmacological mechanisms and biomedical potential. Foods, 13(23), 3909. </w:t>
      </w:r>
      <w:hyperlink r:id="rId16">
        <w:r w:rsidDel="00000000" w:rsidR="00000000" w:rsidRPr="00000000">
          <w:rPr>
            <w:rFonts w:ascii="Times New Roman" w:cs="Times New Roman" w:eastAsia="Times New Roman" w:hAnsi="Times New Roman"/>
            <w:color w:val="0563c1"/>
            <w:u w:val="single"/>
            <w:rtl w:val="0"/>
          </w:rPr>
          <w:t xml:space="preserve">https://doi.org/10.3390/foods13233909</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6">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Mohsen, E., El-Sheikh, S. M., &amp; Hussein, H. A. (2024). Impact of thermal processing on phytochemical profile and cardiovascular protection of Beta vulgaris in hyperlipidemic rats. Scientific Reports, 14, 2345. </w:t>
      </w:r>
      <w:hyperlink r:id="rId17">
        <w:r w:rsidDel="00000000" w:rsidR="00000000" w:rsidRPr="00000000">
          <w:rPr>
            <w:rFonts w:ascii="Times New Roman" w:cs="Times New Roman" w:eastAsia="Times New Roman" w:hAnsi="Times New Roman"/>
            <w:color w:val="0563c1"/>
            <w:u w:val="single"/>
            <w:rtl w:val="0"/>
          </w:rPr>
          <w:t xml:space="preserve">https://doi.org/10.1038/s41598-024-77860-2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7">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Muñoz, O., Calderón, L., &amp; Valenzuela, A. (2022). Red beet betalains: Extraction, bioavailability, and antioxidant capacity. Food Chemistry, 372, 131–139. </w:t>
      </w:r>
      <w:hyperlink r:id="rId18">
        <w:r w:rsidDel="00000000" w:rsidR="00000000" w:rsidRPr="00000000">
          <w:rPr>
            <w:rFonts w:ascii="Times New Roman" w:cs="Times New Roman" w:eastAsia="Times New Roman" w:hAnsi="Times New Roman"/>
            <w:color w:val="0563c1"/>
            <w:u w:val="single"/>
            <w:rtl w:val="0"/>
          </w:rPr>
          <w:t xml:space="preserve">https://doi.org/10.1016/j.foodchem.2021.131–139</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8">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M., Eliot, K., Heuertz, R. M., &amp; Weiss, E. (2012). Whole beetroot consumption lowers blood pressure in free-living, disease-free adults. </w:t>
      </w:r>
      <w:r w:rsidDel="00000000" w:rsidR="00000000" w:rsidRPr="00000000">
        <w:rPr>
          <w:rFonts w:ascii="Times New Roman" w:cs="Times New Roman" w:eastAsia="Times New Roman" w:hAnsi="Times New Roman"/>
          <w:i w:val="1"/>
          <w:rtl w:val="0"/>
        </w:rPr>
        <w:t xml:space="preserve">Journal of Nutrition, 142</w:t>
      </w:r>
      <w:r w:rsidDel="00000000" w:rsidR="00000000" w:rsidRPr="00000000">
        <w:rPr>
          <w:rFonts w:ascii="Times New Roman" w:cs="Times New Roman" w:eastAsia="Times New Roman" w:hAnsi="Times New Roman"/>
          <w:rtl w:val="0"/>
        </w:rPr>
        <w:t xml:space="preserve">(9), 1626–1632. </w:t>
      </w:r>
      <w:hyperlink r:id="rId19">
        <w:r w:rsidDel="00000000" w:rsidR="00000000" w:rsidRPr="00000000">
          <w:rPr>
            <w:rFonts w:ascii="Times New Roman" w:cs="Times New Roman" w:eastAsia="Times New Roman" w:hAnsi="Times New Roman"/>
            <w:color w:val="0563c1"/>
            <w:u w:val="single"/>
            <w:rtl w:val="0"/>
          </w:rPr>
          <w:t xml:space="preserve">https://doi.org/10.3945/jn.112.161093</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9">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Ninfali, P., &amp; Angelino, D. (2013). Nutritional and functional potential of Beta vulgaris cicla and rubra. </w:t>
      </w:r>
      <w:r w:rsidDel="00000000" w:rsidR="00000000" w:rsidRPr="00000000">
        <w:rPr>
          <w:rFonts w:ascii="Times New Roman" w:cs="Times New Roman" w:eastAsia="Times New Roman" w:hAnsi="Times New Roman"/>
          <w:i w:val="1"/>
          <w:rtl w:val="0"/>
        </w:rPr>
        <w:t xml:space="preserve">Fitoterapia, 89</w:t>
      </w:r>
      <w:r w:rsidDel="00000000" w:rsidR="00000000" w:rsidRPr="00000000">
        <w:rPr>
          <w:rFonts w:ascii="Times New Roman" w:cs="Times New Roman" w:eastAsia="Times New Roman" w:hAnsi="Times New Roman"/>
          <w:rtl w:val="0"/>
        </w:rPr>
        <w:t xml:space="preserve">, 188–199. </w:t>
      </w:r>
      <w:hyperlink r:id="rId20">
        <w:r w:rsidDel="00000000" w:rsidR="00000000" w:rsidRPr="00000000">
          <w:rPr>
            <w:rFonts w:ascii="Times New Roman" w:cs="Times New Roman" w:eastAsia="Times New Roman" w:hAnsi="Times New Roman"/>
            <w:color w:val="0563c1"/>
            <w:u w:val="single"/>
            <w:rtl w:val="0"/>
          </w:rPr>
          <w:t xml:space="preserve">https://doi.org/10.1016/j.fitote.2013.06.004</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A">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Singh, R., Makanjuola, V. O., &amp; Arora, R. (2015). Effect of beetroot juice supplementation on lipid profile and antioxidant status in dyslipidemic individuals. </w:t>
      </w:r>
      <w:r w:rsidDel="00000000" w:rsidR="00000000" w:rsidRPr="00000000">
        <w:rPr>
          <w:rFonts w:ascii="Times New Roman" w:cs="Times New Roman" w:eastAsia="Times New Roman" w:hAnsi="Times New Roman"/>
          <w:i w:val="1"/>
          <w:rtl w:val="0"/>
        </w:rPr>
        <w:t xml:space="preserve">Journal of Clinical and Diagnostic Research, 9</w:t>
      </w:r>
      <w:r w:rsidDel="00000000" w:rsidR="00000000" w:rsidRPr="00000000">
        <w:rPr>
          <w:rFonts w:ascii="Times New Roman" w:cs="Times New Roman" w:eastAsia="Times New Roman" w:hAnsi="Times New Roman"/>
          <w:rtl w:val="0"/>
        </w:rPr>
        <w:t xml:space="preserve">(12), BC01–BC04. </w:t>
      </w:r>
      <w:hyperlink r:id="rId21">
        <w:r w:rsidDel="00000000" w:rsidR="00000000" w:rsidRPr="00000000">
          <w:rPr>
            <w:rFonts w:ascii="Times New Roman" w:cs="Times New Roman" w:eastAsia="Times New Roman" w:hAnsi="Times New Roman"/>
            <w:color w:val="0563c1"/>
            <w:u w:val="single"/>
            <w:rtl w:val="0"/>
          </w:rPr>
          <w:t xml:space="preserve">https://doi.org/10.7860/JCDR/2015/16203.6894</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B">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Skoczyńska, A., Wójcik, K., &amp; Jędrychowska, I. (1993). Lipid abnormalities in rats given small doses of lead. Toxicology Letters, 69(3), 279–285. </w:t>
      </w:r>
      <w:hyperlink r:id="rId22">
        <w:r w:rsidDel="00000000" w:rsidR="00000000" w:rsidRPr="00000000">
          <w:rPr>
            <w:rFonts w:ascii="Times New Roman" w:cs="Times New Roman" w:eastAsia="Times New Roman" w:hAnsi="Times New Roman"/>
            <w:color w:val="0563c1"/>
            <w:u w:val="single"/>
            <w:rtl w:val="0"/>
          </w:rPr>
          <w:t xml:space="preserve">https://doi.org/10.1016/0378-4274(93)90123-f</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C">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Stoica, R., Muntean, D. M., &amp; Catană, C. S. (2025). Beetroot and metabolic health: Mechanistic insights and clinical perspectives. </w:t>
      </w:r>
      <w:r w:rsidDel="00000000" w:rsidR="00000000" w:rsidRPr="00000000">
        <w:rPr>
          <w:rFonts w:ascii="Times New Roman" w:cs="Times New Roman" w:eastAsia="Times New Roman" w:hAnsi="Times New Roman"/>
          <w:i w:val="1"/>
          <w:rtl w:val="0"/>
        </w:rPr>
        <w:t xml:space="preserve">Frontiers in Nutrition, 12,</w:t>
      </w:r>
      <w:r w:rsidDel="00000000" w:rsidR="00000000" w:rsidRPr="00000000">
        <w:rPr>
          <w:rFonts w:ascii="Times New Roman" w:cs="Times New Roman" w:eastAsia="Times New Roman" w:hAnsi="Times New Roman"/>
          <w:rtl w:val="0"/>
        </w:rPr>
        <w:t xml:space="preserve"> 1584321. </w:t>
      </w:r>
      <w:hyperlink r:id="rId23">
        <w:r w:rsidDel="00000000" w:rsidR="00000000" w:rsidRPr="00000000">
          <w:rPr>
            <w:rFonts w:ascii="Times New Roman" w:cs="Times New Roman" w:eastAsia="Times New Roman" w:hAnsi="Times New Roman"/>
            <w:color w:val="0563c1"/>
            <w:u w:val="single"/>
            <w:rtl w:val="0"/>
          </w:rPr>
          <w:t xml:space="preserve">https://doi.org/10.3389/fnut.2025.1584321</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D">
      <w:pPr>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Wedeh, M. S.,  Omuruka T.C., and Asiwe N. (2025). “Prevalence of Dyslipidemia Among International Oil Company Workers: A Cross-Sectional Study in Lagos and Port Harcourt, Nigeria”. Asian Journal of Research in Cardiovascular Diseases 7 (1):39-45. </w:t>
      </w:r>
      <w:hyperlink r:id="rId24">
        <w:r w:rsidDel="00000000" w:rsidR="00000000" w:rsidRPr="00000000">
          <w:rPr>
            <w:rFonts w:ascii="Times New Roman" w:cs="Times New Roman" w:eastAsia="Times New Roman" w:hAnsi="Times New Roman"/>
            <w:color w:val="0563c1"/>
            <w:u w:val="single"/>
            <w:rtl w:val="0"/>
          </w:rPr>
          <w:t xml:space="preserve">https://doi.org/10.9734/ajrcd/2025/v7i1115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aquel Casaes" w:id="0" w:date="2025-09-27T14:23:13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Beetroot (Beta vulgaris) as a Nutritional Strategy for Metabolic Disorders: Effects on Lipid Metabolism and Body Weight</w:t>
      </w:r>
    </w:p>
  </w:comment>
  <w:comment w:author="Raquel Casaes" w:id="1" w:date="2025-09-27T14:21:54Z">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suggest converting the two tables into separate graphs in order to better illustrate and highlight the results</w:t>
      </w:r>
    </w:p>
  </w:comment>
  <w:comment w:author="Raquel Casaes" w:id="3" w:date="2025-09-27T14:19:44Z">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could further expand the discussion by emphasizing the importance of the study Beetroot (Beta vulgaris) Supplementation Improves Lipid Metabolism.</w:t>
      </w:r>
    </w:p>
  </w:comment>
  <w:comment w:author="Raquel Casaes" w:id="2" w:date="2025-09-27T14:21:31Z">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improve the understanding of the methodological approach, we suggest the inclusion of a flowchart that visually summarizes the main steps of the study. The flowchart should illustrate the sequence from data collection and preprocessing to the application of the Fisher–Shannon method, followed by statistical analyses and interpretation of results. Such a visual representation will provide readers with a clearer overview of the procedures undertaken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65" w15:done="0"/>
  <w15:commentEx w15:paraId="00000166" w15:done="0"/>
  <w15:commentEx w15:paraId="00000167" w15:done="0"/>
  <w15:commentEx w15:paraId="0000016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555.6pt;height:104.1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471D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471D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471D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71D6"/>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471D6"/>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471D6"/>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471D6"/>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471D6"/>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471D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471D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471D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471D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471D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471D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471D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471D6"/>
    <w:rPr>
      <w:i w:val="1"/>
      <w:iCs w:val="1"/>
      <w:color w:val="404040" w:themeColor="text1" w:themeTint="0000BF"/>
    </w:rPr>
  </w:style>
  <w:style w:type="paragraph" w:styleId="ListParagraph">
    <w:name w:val="List Paragraph"/>
    <w:basedOn w:val="Normal"/>
    <w:uiPriority w:val="34"/>
    <w:qFormat w:val="1"/>
    <w:rsid w:val="003471D6"/>
    <w:pPr>
      <w:ind w:left="720"/>
      <w:contextualSpacing w:val="1"/>
    </w:pPr>
  </w:style>
  <w:style w:type="character" w:styleId="IntenseEmphasis">
    <w:name w:val="Intense Emphasis"/>
    <w:basedOn w:val="DefaultParagraphFont"/>
    <w:uiPriority w:val="21"/>
    <w:qFormat w:val="1"/>
    <w:rsid w:val="003471D6"/>
    <w:rPr>
      <w:i w:val="1"/>
      <w:iCs w:val="1"/>
      <w:color w:val="2f5496" w:themeColor="accent1" w:themeShade="0000BF"/>
    </w:rPr>
  </w:style>
  <w:style w:type="paragraph" w:styleId="IntenseQuote">
    <w:name w:val="Intense Quote"/>
    <w:basedOn w:val="Normal"/>
    <w:next w:val="Normal"/>
    <w:link w:val="IntenseQuoteChar"/>
    <w:uiPriority w:val="30"/>
    <w:qFormat w:val="1"/>
    <w:rsid w:val="003471D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471D6"/>
    <w:rPr>
      <w:i w:val="1"/>
      <w:iCs w:val="1"/>
      <w:color w:val="2f5496" w:themeColor="accent1" w:themeShade="0000BF"/>
    </w:rPr>
  </w:style>
  <w:style w:type="character" w:styleId="IntenseReference">
    <w:name w:val="Intense Reference"/>
    <w:basedOn w:val="DefaultParagraphFont"/>
    <w:uiPriority w:val="32"/>
    <w:qFormat w:val="1"/>
    <w:rsid w:val="003471D6"/>
    <w:rPr>
      <w:b w:val="1"/>
      <w:bCs w:val="1"/>
      <w:smallCaps w:val="1"/>
      <w:color w:val="2f5496" w:themeColor="accent1" w:themeShade="0000BF"/>
      <w:spacing w:val="5"/>
    </w:rPr>
  </w:style>
  <w:style w:type="character" w:styleId="Hyperlink">
    <w:name w:val="Hyperlink"/>
    <w:basedOn w:val="DefaultParagraphFont"/>
    <w:uiPriority w:val="99"/>
    <w:unhideWhenUsed w:val="1"/>
    <w:rsid w:val="00893347"/>
    <w:rPr>
      <w:color w:val="0563c1" w:themeColor="hyperlink"/>
      <w:u w:val="single"/>
    </w:rPr>
  </w:style>
  <w:style w:type="table" w:styleId="ListTable6Colorful">
    <w:name w:val="List Table 6 Colorful"/>
    <w:basedOn w:val="TableNormal"/>
    <w:uiPriority w:val="51"/>
    <w:rsid w:val="00CA06DA"/>
    <w:pPr>
      <w:spacing w:after="0" w:line="240" w:lineRule="auto"/>
    </w:pPr>
    <w:rPr>
      <w:color w:val="000000" w:themeColor="text1"/>
      <w:kern w:val="0"/>
      <w:sz w:val="22"/>
      <w:szCs w:val="22"/>
    </w:rPr>
    <w:tblPr>
      <w:tblStyleRowBandSize w:val="1"/>
      <w:tblStyleColBandSize w:val="1"/>
      <w:tblInd w:w="0.0" w:type="nil"/>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UnresolvedMention">
    <w:name w:val="Unresolved Mention"/>
    <w:basedOn w:val="DefaultParagraphFont"/>
    <w:uiPriority w:val="99"/>
    <w:semiHidden w:val="1"/>
    <w:unhideWhenUsed w:val="1"/>
    <w:rsid w:val="00594292"/>
    <w:rPr>
      <w:color w:val="605e5c"/>
      <w:shd w:color="auto" w:fill="e1dfdd" w:val="clear"/>
    </w:rPr>
  </w:style>
  <w:style w:type="paragraph" w:styleId="Header">
    <w:name w:val="header"/>
    <w:basedOn w:val="Normal"/>
    <w:link w:val="HeaderChar"/>
    <w:uiPriority w:val="99"/>
    <w:unhideWhenUsed w:val="1"/>
    <w:rsid w:val="003D72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72DC"/>
  </w:style>
  <w:style w:type="paragraph" w:styleId="Footer">
    <w:name w:val="footer"/>
    <w:basedOn w:val="Normal"/>
    <w:link w:val="FooterChar"/>
    <w:uiPriority w:val="99"/>
    <w:unhideWhenUsed w:val="1"/>
    <w:rsid w:val="003D72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72DC"/>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3">
    <w:basedOn w:val="TableNormal"/>
    <w:pPr>
      <w:spacing w:after="0" w:line="240" w:lineRule="auto"/>
    </w:pPr>
    <w:rPr>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4">
    <w:basedOn w:val="TableNormal"/>
    <w:pPr>
      <w:spacing w:after="0" w:line="240" w:lineRule="auto"/>
    </w:pPr>
    <w:rPr>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fitote.2013.06.004" TargetMode="External"/><Relationship Id="rId22" Type="http://schemas.openxmlformats.org/officeDocument/2006/relationships/hyperlink" Target="https://doi.org/10.1016/0378-4274(93)90123-f" TargetMode="External"/><Relationship Id="rId21" Type="http://schemas.openxmlformats.org/officeDocument/2006/relationships/hyperlink" Target="https://doi.org/10.7860/JCDR/2015/16203.6894" TargetMode="External"/><Relationship Id="rId24" Type="http://schemas.openxmlformats.org/officeDocument/2006/relationships/hyperlink" Target="https://doi.org/10.9734/ajrcd/2025/v7i1115" TargetMode="External"/><Relationship Id="rId23" Type="http://schemas.openxmlformats.org/officeDocument/2006/relationships/hyperlink" Target="https://doi.org/10.3389/fnut.2025.158432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111/jfbc.14101"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3.xml"/><Relationship Id="rId7" Type="http://schemas.openxmlformats.org/officeDocument/2006/relationships/customXml" Target="../customXML/item1.xml"/><Relationship Id="rId8" Type="http://schemas.microsoft.com/office/2011/relationships/commentsExtended" Target="commentsExtended.xml"/><Relationship Id="rId30" Type="http://schemas.openxmlformats.org/officeDocument/2006/relationships/footer" Target="footer1.xml"/><Relationship Id="rId11" Type="http://schemas.openxmlformats.org/officeDocument/2006/relationships/hyperlink" Target="https://doi.org/10.1080/10408398.2017.1394815" TargetMode="External"/><Relationship Id="rId10" Type="http://schemas.openxmlformats.org/officeDocument/2006/relationships/hyperlink" Target="https://doi.org/10.1002/fsn3.2437" TargetMode="External"/><Relationship Id="rId13" Type="http://schemas.openxmlformats.org/officeDocument/2006/relationships/hyperlink" Target="https://doi.org/10.3390/nu7042801" TargetMode="External"/><Relationship Id="rId12" Type="http://schemas.openxmlformats.org/officeDocument/2006/relationships/hyperlink" Target="https://doi.org/10.3390/nu7042801" TargetMode="External"/><Relationship Id="rId15" Type="http://schemas.openxmlformats.org/officeDocument/2006/relationships/hyperlink" Target="https://doi.org/10.3390/nu15030678" TargetMode="External"/><Relationship Id="rId14" Type="http://schemas.openxmlformats.org/officeDocument/2006/relationships/hyperlink" Target="https://doi.org/10.1038/s41598-022-07297-6" TargetMode="External"/><Relationship Id="rId17" Type="http://schemas.openxmlformats.org/officeDocument/2006/relationships/hyperlink" Target="https://doi.org/10.1038/s41598-024-77860-2" TargetMode="External"/><Relationship Id="rId16" Type="http://schemas.openxmlformats.org/officeDocument/2006/relationships/hyperlink" Target="https://doi.org/10.3390/foods13233909" TargetMode="External"/><Relationship Id="rId19" Type="http://schemas.openxmlformats.org/officeDocument/2006/relationships/hyperlink" Target="https://doi.org/10.3945/jn.112.161093" TargetMode="External"/><Relationship Id="rId18" Type="http://schemas.openxmlformats.org/officeDocument/2006/relationships/hyperlink" Target="https://doi.org/10.1016/j.foodchem.2021.131%E2%80%93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3++7haqvwZDm+86FUN6Vax9SSw==">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2025-09-24T03:35:00Z</dcterms:created>
  <dc:creator>Nicholas Asiwe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dd6b417c-881f-49ba-a9bd-2291b0a1870f</vt:lpwstr>
  </property>
</Properties>
</file>