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9441E" w14:textId="77777777" w:rsidR="00450FA8" w:rsidRPr="00450FA8" w:rsidRDefault="00450FA8" w:rsidP="00450FA8">
      <w:pPr>
        <w:pStyle w:val="NormalWeb"/>
        <w:rPr>
          <w:rFonts w:ascii="Arial" w:eastAsia="-webkit-standard" w:hAnsi="Arial" w:cs="Arial"/>
          <w:b/>
          <w:bCs/>
          <w:i/>
          <w:iCs/>
          <w:color w:val="000000"/>
          <w:u w:val="single"/>
        </w:rPr>
      </w:pPr>
      <w:bookmarkStart w:id="0" w:name="_Hlk210556042"/>
      <w:r w:rsidRPr="00450FA8">
        <w:rPr>
          <w:rFonts w:ascii="Arial" w:eastAsia="-webkit-standard" w:hAnsi="Arial" w:cs="Arial"/>
          <w:b/>
          <w:bCs/>
          <w:i/>
          <w:iCs/>
          <w:color w:val="000000"/>
          <w:u w:val="single"/>
        </w:rPr>
        <w:t>Original Research Article</w:t>
      </w:r>
    </w:p>
    <w:p w14:paraId="101E8BA0" w14:textId="77777777" w:rsidR="00450FA8" w:rsidRDefault="00450FA8" w:rsidP="00AC11E2">
      <w:pPr>
        <w:pStyle w:val="NormalWeb"/>
        <w:widowControl/>
        <w:spacing w:after="0" w:line="240" w:lineRule="auto"/>
        <w:jc w:val="right"/>
        <w:rPr>
          <w:rFonts w:ascii="Arial" w:eastAsia="-webkit-standard" w:hAnsi="Arial" w:cs="Arial"/>
          <w:b/>
          <w:color w:val="000000"/>
        </w:rPr>
      </w:pPr>
    </w:p>
    <w:p w14:paraId="1352239C" w14:textId="6321509D" w:rsidR="008662DA" w:rsidRDefault="0011088C" w:rsidP="00AC11E2">
      <w:pPr>
        <w:pStyle w:val="NormalWeb"/>
        <w:widowControl/>
        <w:spacing w:after="0" w:line="240" w:lineRule="auto"/>
        <w:jc w:val="right"/>
        <w:rPr>
          <w:rFonts w:ascii="Arial" w:eastAsia="-webkit-standard" w:hAnsi="Arial" w:cs="Arial"/>
          <w:color w:val="000000"/>
        </w:rPr>
      </w:pPr>
      <w:r w:rsidRPr="00450FA8">
        <w:rPr>
          <w:rFonts w:ascii="Arial" w:eastAsia="-webkit-standard" w:hAnsi="Arial" w:cs="Arial"/>
          <w:b/>
          <w:color w:val="000000"/>
        </w:rPr>
        <w:t>ANTIMICROBIAL SUSCEPTIBILITY PATTERN OF BACTERIA ISOLATED FROM PROSTHETIC DEVICE USED BY PATIENTS AT NATIONAL ORTHOPEDIC HOSPITAL ENUGU</w:t>
      </w:r>
      <w:r w:rsidR="001E2C12" w:rsidRPr="00450FA8">
        <w:rPr>
          <w:rFonts w:ascii="Arial" w:eastAsia="-webkit-standard" w:hAnsi="Arial" w:cs="Arial"/>
          <w:b/>
          <w:color w:val="000000"/>
        </w:rPr>
        <w:t> </w:t>
      </w:r>
      <w:r w:rsidR="001E2C12" w:rsidRPr="00450FA8">
        <w:rPr>
          <w:rFonts w:ascii="Arial" w:eastAsia="-webkit-standard" w:hAnsi="Arial" w:cs="Arial"/>
          <w:color w:val="000000"/>
        </w:rPr>
        <w:t> </w:t>
      </w:r>
    </w:p>
    <w:bookmarkEnd w:id="0"/>
    <w:p w14:paraId="4CF162B8" w14:textId="77777777" w:rsidR="000F01FE" w:rsidRPr="00AC11E2" w:rsidRDefault="000F01FE" w:rsidP="00AC11E2">
      <w:pPr>
        <w:pStyle w:val="NormalWeb"/>
        <w:widowControl/>
        <w:spacing w:after="0" w:line="240" w:lineRule="auto"/>
        <w:jc w:val="right"/>
        <w:rPr>
          <w:rFonts w:ascii="Arial" w:eastAsia="-webkit-standard" w:hAnsi="Arial" w:cs="Arial"/>
          <w:b/>
          <w:color w:val="000000"/>
          <w:sz w:val="20"/>
          <w:szCs w:val="20"/>
        </w:rPr>
      </w:pPr>
    </w:p>
    <w:p w14:paraId="436A91FD" w14:textId="0654D1FE" w:rsidR="000A18F3" w:rsidRPr="00AC11E2" w:rsidRDefault="009D20D6" w:rsidP="00AC11E2">
      <w:pPr>
        <w:pStyle w:val="NormalWeb"/>
        <w:widowControl/>
        <w:spacing w:after="0" w:line="240" w:lineRule="auto"/>
        <w:rPr>
          <w:rFonts w:ascii="Arial" w:eastAsia="-webkit-standard" w:hAnsi="Arial" w:cs="Arial"/>
          <w:b/>
          <w:bCs/>
          <w:color w:val="000000"/>
          <w:sz w:val="20"/>
          <w:szCs w:val="20"/>
        </w:rPr>
      </w:pPr>
      <w:r w:rsidRPr="00AC11E2">
        <w:rPr>
          <w:rFonts w:ascii="Arial" w:eastAsia="-webkit-standard" w:hAnsi="Arial" w:cs="Arial"/>
          <w:b/>
          <w:bCs/>
          <w:color w:val="000000"/>
          <w:sz w:val="20"/>
          <w:szCs w:val="20"/>
        </w:rPr>
        <w:t>ABSTRACT</w:t>
      </w:r>
    </w:p>
    <w:p w14:paraId="757CD261" w14:textId="77777777"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Background:</w:t>
      </w:r>
      <w:r w:rsidRPr="00AC11E2">
        <w:rPr>
          <w:rFonts w:ascii="Arial" w:eastAsia="-webkit-standard" w:hAnsi="Arial" w:cs="Arial"/>
          <w:color w:val="000000"/>
          <w:sz w:val="20"/>
          <w:szCs w:val="20"/>
        </w:rPr>
        <w:t xml:space="preserve"> Prosthetic device-associated infections, frequently complicated by antimicrobial resistance (AMR), pose a severe clinical challenge. In Nigeria, limited regional data on pathogen prevalence and susceptibility impairs effective treatment. This study aimed to identify the primary bacterial agents and their resistance profiles in prosthetic infections at a major Nigerian orthopedic hospital.</w:t>
      </w:r>
    </w:p>
    <w:p w14:paraId="509FD337" w14:textId="25C1E521"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Methods:</w:t>
      </w:r>
      <w:r w:rsidRPr="00AC11E2">
        <w:rPr>
          <w:rFonts w:ascii="Arial" w:eastAsia="-webkit-standard" w:hAnsi="Arial" w:cs="Arial"/>
          <w:color w:val="000000"/>
          <w:sz w:val="20"/>
          <w:szCs w:val="20"/>
        </w:rPr>
        <w:t xml:space="preserve"> A cross-sectional study was conducted from June to November 2024 at the National Orthopedic Hospital, Enugu</w:t>
      </w:r>
      <w:r w:rsidR="00F84C32" w:rsidRPr="00AC11E2">
        <w:rPr>
          <w:rFonts w:ascii="Arial" w:eastAsia="-webkit-standard" w:hAnsi="Arial" w:cs="Arial"/>
          <w:color w:val="000000"/>
          <w:sz w:val="20"/>
          <w:szCs w:val="20"/>
        </w:rPr>
        <w:t>, Nigeria</w:t>
      </w:r>
      <w:r w:rsidRPr="00AC11E2">
        <w:rPr>
          <w:rFonts w:ascii="Arial" w:eastAsia="-webkit-standard" w:hAnsi="Arial" w:cs="Arial"/>
          <w:color w:val="000000"/>
          <w:sz w:val="20"/>
          <w:szCs w:val="20"/>
        </w:rPr>
        <w:t>. One hundred samples from patients with clinical signs of infection post-prosthetic implantation were analyzed. Bacterial pathogens were identified via standard culture, and antimicrobial susceptibility was determined using the Kirby-Bauer disk diffusion method.</w:t>
      </w:r>
    </w:p>
    <w:p w14:paraId="1E76C81D" w14:textId="77777777"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Results:</w:t>
      </w:r>
      <w:r w:rsidRPr="00AC11E2">
        <w:rPr>
          <w:rFonts w:ascii="Arial" w:eastAsia="-webkit-standard" w:hAnsi="Arial" w:cs="Arial"/>
          <w:color w:val="000000"/>
          <w:sz w:val="20"/>
          <w:szCs w:val="20"/>
        </w:rPr>
        <w:t xml:space="preserve"> Bacterial growth was confirmed in 65% of samples (n=65). Staphylococcus </w:t>
      </w:r>
      <w:commentRangeStart w:id="1"/>
      <w:r w:rsidRPr="00AC11E2">
        <w:rPr>
          <w:rFonts w:ascii="Arial" w:eastAsia="-webkit-standard" w:hAnsi="Arial" w:cs="Arial"/>
          <w:color w:val="000000"/>
          <w:sz w:val="20"/>
          <w:szCs w:val="20"/>
        </w:rPr>
        <w:t>aureus</w:t>
      </w:r>
      <w:commentRangeEnd w:id="1"/>
      <w:r w:rsidR="00CC539F">
        <w:rPr>
          <w:rStyle w:val="CommentReference"/>
        </w:rPr>
        <w:commentReference w:id="1"/>
      </w:r>
      <w:r w:rsidRPr="00AC11E2">
        <w:rPr>
          <w:rFonts w:ascii="Arial" w:eastAsia="-webkit-standard" w:hAnsi="Arial" w:cs="Arial"/>
          <w:color w:val="000000"/>
          <w:sz w:val="20"/>
          <w:szCs w:val="20"/>
        </w:rPr>
        <w:t xml:space="preserve"> was the predominant pathogen (38.5%), followed by Escherichia coli (23.1%) and Pseudomonas aeruginosa (15.4</w:t>
      </w:r>
      <w:r w:rsidRPr="008E6405">
        <w:rPr>
          <w:rFonts w:ascii="Arial" w:eastAsia="-webkit-standard" w:hAnsi="Arial" w:cs="Arial"/>
          <w:color w:val="000000"/>
          <w:sz w:val="20"/>
          <w:szCs w:val="20"/>
          <w:highlight w:val="yellow"/>
        </w:rPr>
        <w:t>%). Susceptibility testing revealed alarmingly high resistance to common antibiotics, with 76.9% of isolates resistant to Erythromycin and 69.2% to Amoxicillin-</w:t>
      </w:r>
      <w:commentRangeStart w:id="2"/>
      <w:r w:rsidRPr="008E6405">
        <w:rPr>
          <w:rFonts w:ascii="Arial" w:eastAsia="-webkit-standard" w:hAnsi="Arial" w:cs="Arial"/>
          <w:color w:val="000000"/>
          <w:sz w:val="20"/>
          <w:szCs w:val="20"/>
          <w:highlight w:val="yellow"/>
        </w:rPr>
        <w:t>Clavulanate</w:t>
      </w:r>
      <w:commentRangeEnd w:id="2"/>
      <w:r w:rsidR="00CC539F">
        <w:rPr>
          <w:rStyle w:val="CommentReference"/>
        </w:rPr>
        <w:commentReference w:id="2"/>
      </w:r>
      <w:r w:rsidRPr="008E6405">
        <w:rPr>
          <w:rFonts w:ascii="Arial" w:eastAsia="-webkit-standard" w:hAnsi="Arial" w:cs="Arial"/>
          <w:color w:val="000000"/>
          <w:sz w:val="20"/>
          <w:szCs w:val="20"/>
          <w:highlight w:val="yellow"/>
        </w:rPr>
        <w:t>.</w:t>
      </w:r>
      <w:r w:rsidRPr="00AC11E2">
        <w:rPr>
          <w:rFonts w:ascii="Arial" w:eastAsia="-webkit-standard" w:hAnsi="Arial" w:cs="Arial"/>
          <w:color w:val="000000"/>
          <w:sz w:val="20"/>
          <w:szCs w:val="20"/>
        </w:rPr>
        <w:t xml:space="preserve"> Conversely, Levofloxacin and Meropenem demonstrated the highest efficacy, with sensitivity rates of 76.9% and 69.2%, respectively. Infections were significantly more prevalent in males (p=0.030) and the 30–</w:t>
      </w:r>
      <w:proofErr w:type="gramStart"/>
      <w:r w:rsidRPr="00AC11E2">
        <w:rPr>
          <w:rFonts w:ascii="Arial" w:eastAsia="-webkit-standard" w:hAnsi="Arial" w:cs="Arial"/>
          <w:color w:val="000000"/>
          <w:sz w:val="20"/>
          <w:szCs w:val="20"/>
        </w:rPr>
        <w:t>60 year</w:t>
      </w:r>
      <w:proofErr w:type="gramEnd"/>
      <w:r w:rsidRPr="00AC11E2">
        <w:rPr>
          <w:rFonts w:ascii="Arial" w:eastAsia="-webkit-standard" w:hAnsi="Arial" w:cs="Arial"/>
          <w:color w:val="000000"/>
          <w:sz w:val="20"/>
          <w:szCs w:val="20"/>
        </w:rPr>
        <w:t xml:space="preserve"> age group (p=0.050).</w:t>
      </w:r>
    </w:p>
    <w:p w14:paraId="13868F2A" w14:textId="4DE7BFED" w:rsidR="008662DA"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Conclusion:</w:t>
      </w:r>
      <w:r w:rsidRPr="00AC11E2">
        <w:rPr>
          <w:rFonts w:ascii="Arial" w:eastAsia="-webkit-standard" w:hAnsi="Arial" w:cs="Arial"/>
          <w:color w:val="000000"/>
          <w:sz w:val="20"/>
          <w:szCs w:val="20"/>
        </w:rPr>
        <w:t xml:space="preserve"> This study confirms a high prevalence of multidrug-resistant pathogens, led by S. aureus, in prosthetic device infections in Enugu. The findings highlight the inadequacy of empirical therapies using common antibiotics and strongly support the use of fluoroquinolones or carbapenems. These results underscore the urgent need for enhanced infection control, antibiotic stewardship, and routine surveillance to combat AMR.</w:t>
      </w:r>
      <w:r w:rsidR="001E2C12" w:rsidRPr="00AC11E2">
        <w:rPr>
          <w:rFonts w:ascii="Arial" w:eastAsia="-webkit-standard" w:hAnsi="Arial" w:cs="Arial"/>
          <w:color w:val="000000"/>
          <w:sz w:val="20"/>
          <w:szCs w:val="20"/>
        </w:rPr>
        <w:t> </w:t>
      </w:r>
    </w:p>
    <w:p w14:paraId="6C52E1A0"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BB13DE4" w14:textId="57D9A35B" w:rsidR="000A18F3" w:rsidRPr="00AC11E2" w:rsidRDefault="004D298A"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Keywords:</w:t>
      </w:r>
      <w:r w:rsidRPr="00AC11E2">
        <w:rPr>
          <w:rFonts w:ascii="Arial" w:eastAsia="-webkit-standard" w:hAnsi="Arial" w:cs="Arial"/>
          <w:color w:val="000000"/>
          <w:sz w:val="20"/>
          <w:szCs w:val="20"/>
        </w:rPr>
        <w:t xml:space="preserve"> Prosthetic Device Infections, Antimicrobial Resistance (AMR), Staphylococcus aureus, Antibiotic Susceptibility.</w:t>
      </w:r>
    </w:p>
    <w:p w14:paraId="63B2441A"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FE598D4"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45069DB" w14:textId="561DA097" w:rsidR="008662DA" w:rsidRPr="00AC11E2" w:rsidRDefault="001E2C12" w:rsidP="00AC11E2">
      <w:pPr>
        <w:pStyle w:val="NormalWeb"/>
        <w:widowControl/>
        <w:spacing w:after="0" w:line="240" w:lineRule="auto"/>
        <w:rPr>
          <w:rFonts w:ascii="Arial" w:eastAsia="-webkit-standard" w:hAnsi="Arial" w:cs="Arial"/>
          <w:b/>
          <w:color w:val="000000"/>
          <w:sz w:val="22"/>
          <w:szCs w:val="22"/>
        </w:rPr>
      </w:pPr>
      <w:r w:rsidRPr="00AC11E2">
        <w:rPr>
          <w:rFonts w:ascii="Arial" w:eastAsia="-webkit-standard" w:hAnsi="Arial" w:cs="Arial"/>
          <w:b/>
          <w:color w:val="000000"/>
          <w:sz w:val="22"/>
          <w:szCs w:val="22"/>
        </w:rPr>
        <w:t>INTRODUCTION</w:t>
      </w:r>
    </w:p>
    <w:p w14:paraId="2452ECAB" w14:textId="77777777"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Prosthetic device-associated infections have become a significant concern in orthopedic practice, primarily due to the increasing prevalence of antimicrobial resistance (AMR). Prosthetic devices, such as artificial limbs and joints, are particularly susceptible to bacterial colonization, which can lead to severe complications. These infections are predominantly caused by bacteria that form biofilms on the device surface, a mechanism that makes them exceptionally difficult to treat with standard antibiotics (Zimmerli et al. 2014). Common pathogens, including </w:t>
      </w:r>
      <w:r w:rsidRPr="00AC11E2">
        <w:rPr>
          <w:rFonts w:ascii="Arial" w:eastAsia="Times New Roman" w:hAnsi="Arial" w:cs="Arial"/>
          <w:i/>
          <w:iCs/>
          <w:kern w:val="0"/>
          <w:sz w:val="20"/>
          <w:szCs w:val="20"/>
          <w:lang w:eastAsia="en-US"/>
        </w:rPr>
        <w:t>Staphylococcus aureus</w:t>
      </w:r>
      <w:r w:rsidRPr="00AC11E2">
        <w:rPr>
          <w:rFonts w:ascii="Arial" w:eastAsia="Times New Roman" w:hAnsi="Arial" w:cs="Arial"/>
          <w:kern w:val="0"/>
          <w:sz w:val="20"/>
          <w:szCs w:val="20"/>
          <w:lang w:eastAsia="en-US"/>
        </w:rPr>
        <w:t xml:space="preserve">, </w:t>
      </w:r>
      <w:r w:rsidRPr="00AC11E2">
        <w:rPr>
          <w:rFonts w:ascii="Arial" w:eastAsia="Times New Roman" w:hAnsi="Arial" w:cs="Arial"/>
          <w:i/>
          <w:iCs/>
          <w:kern w:val="0"/>
          <w:sz w:val="20"/>
          <w:szCs w:val="20"/>
          <w:lang w:eastAsia="en-US"/>
        </w:rPr>
        <w:t>Escherichia coli</w:t>
      </w:r>
      <w:r w:rsidRPr="00AC11E2">
        <w:rPr>
          <w:rFonts w:ascii="Arial" w:eastAsia="Times New Roman" w:hAnsi="Arial" w:cs="Arial"/>
          <w:kern w:val="0"/>
          <w:sz w:val="20"/>
          <w:szCs w:val="20"/>
          <w:lang w:eastAsia="en-US"/>
        </w:rPr>
        <w:t xml:space="preserve">, and </w:t>
      </w:r>
      <w:r w:rsidRPr="00AC11E2">
        <w:rPr>
          <w:rFonts w:ascii="Arial" w:eastAsia="Times New Roman" w:hAnsi="Arial" w:cs="Arial"/>
          <w:i/>
          <w:iCs/>
          <w:kern w:val="0"/>
          <w:sz w:val="20"/>
          <w:szCs w:val="20"/>
          <w:lang w:eastAsia="en-US"/>
        </w:rPr>
        <w:t>Pseudomonas aeruginosa</w:t>
      </w:r>
      <w:r w:rsidRPr="00AC11E2">
        <w:rPr>
          <w:rFonts w:ascii="Arial" w:eastAsia="Times New Roman" w:hAnsi="Arial" w:cs="Arial"/>
          <w:kern w:val="0"/>
          <w:sz w:val="20"/>
          <w:szCs w:val="20"/>
          <w:lang w:eastAsia="en-US"/>
        </w:rPr>
        <w:t>, are frequently implicated in these challenging infections (Pérez-Jorge et al. 2018).</w:t>
      </w:r>
    </w:p>
    <w:p w14:paraId="1C4E190A" w14:textId="77777777"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The rise of AMR is a formidable public health challenge, recognized by the World Health Organization (WHO) as one of the leading global health threats (WHO 2019). This crisis is particularly acute in </w:t>
      </w:r>
      <w:r w:rsidRPr="00AC11E2">
        <w:rPr>
          <w:rFonts w:ascii="Arial" w:eastAsia="Times New Roman" w:hAnsi="Arial" w:cs="Arial"/>
          <w:kern w:val="0"/>
          <w:sz w:val="20"/>
          <w:szCs w:val="20"/>
          <w:lang w:eastAsia="en-US"/>
        </w:rPr>
        <w:lastRenderedPageBreak/>
        <w:t>resource-limited settings like Nigeria, where patients with prosthetic devices face an elevated risk of infection with multidrug-resistant bacteria, leading to prolonged hospital stays, increased healthcare costs, and the need for complex revision surgeries (Osmon et al. 2013). The economic burden is profound; a study by Adebayo et al. (2017) estimated that managing a prosthetic joint infection in Nigeria could exceed ₦500,000 per patient, a prohibitive sum for many households. This financial strain is compounded by indirect costs from loss of productivity and long-term disability.</w:t>
      </w:r>
    </w:p>
    <w:p w14:paraId="4E940607" w14:textId="1E35F02F" w:rsidR="008662DA"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Despite the clear clinical and economic imperative, a critical gap exists in localized surveillance data for orthopedic infections in Nigeria (Olowe et al. 2015). At the National Orthopedic Hospital, Enugu, the lack of robust data on the antimicrobial susceptibility patterns of bacteria isolated from prosthetic devices makes it difficult for clinicians to make informed therapeutic decisions. This often leads to empirical therapy, which, without proper guidance, can fuel further resistance (Olowe et al., 2015). The increasing incidence of resistance among pathogens, coupled with the absence of continuous surveillance, poses a major obstacle to effective treatment (</w:t>
      </w:r>
      <w:proofErr w:type="spellStart"/>
      <w:r w:rsidRPr="00AC11E2">
        <w:rPr>
          <w:rFonts w:ascii="Arial" w:eastAsia="Times New Roman" w:hAnsi="Arial" w:cs="Arial"/>
          <w:kern w:val="0"/>
          <w:sz w:val="20"/>
          <w:szCs w:val="20"/>
          <w:lang w:eastAsia="en-US"/>
        </w:rPr>
        <w:t>Okesola</w:t>
      </w:r>
      <w:proofErr w:type="spellEnd"/>
      <w:r w:rsidRPr="00AC11E2">
        <w:rPr>
          <w:rFonts w:ascii="Arial" w:eastAsia="Times New Roman" w:hAnsi="Arial" w:cs="Arial"/>
          <w:kern w:val="0"/>
          <w:sz w:val="20"/>
          <w:szCs w:val="20"/>
          <w:lang w:eastAsia="en-US"/>
        </w:rPr>
        <w:t xml:space="preserve"> &amp; Oni 2019). To address this critical knowledge gap, this study was designed to provide essential, localized data on the pathogens responsible for prosthetic device infections and their corresponding resistance profiles. The aim of this study is to evaluate the antimicrobial susceptibility patterns of bacterial isolates from prosthetic devices used by patients at the National Orthopedic Hospital, Enugu.</w:t>
      </w:r>
    </w:p>
    <w:p w14:paraId="164BF9DE" w14:textId="77777777" w:rsidR="00AC11E2" w:rsidRPr="00AC11E2" w:rsidRDefault="00AC11E2" w:rsidP="00AC11E2">
      <w:pPr>
        <w:widowControl/>
        <w:spacing w:after="0" w:line="240" w:lineRule="auto"/>
        <w:jc w:val="left"/>
        <w:rPr>
          <w:rFonts w:ascii="Arial" w:eastAsia="-webkit-standard" w:hAnsi="Arial" w:cs="Arial"/>
          <w:color w:val="000000"/>
          <w:sz w:val="20"/>
          <w:szCs w:val="20"/>
        </w:rPr>
      </w:pPr>
    </w:p>
    <w:p w14:paraId="414ED009" w14:textId="6D617EA4"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MATERIALS AND METHODS</w:t>
      </w:r>
    </w:p>
    <w:p w14:paraId="14B09863" w14:textId="4CAFFB4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Design</w:t>
      </w:r>
    </w:p>
    <w:p w14:paraId="2AC4B79F" w14:textId="6E50360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adopt</w:t>
      </w:r>
      <w:r w:rsidR="00077D55" w:rsidRPr="00AC11E2">
        <w:rPr>
          <w:rFonts w:ascii="Arial" w:eastAsia="-webkit-standard" w:hAnsi="Arial" w:cs="Arial"/>
          <w:color w:val="000000"/>
          <w:sz w:val="20"/>
          <w:szCs w:val="20"/>
        </w:rPr>
        <w:t>ed</w:t>
      </w:r>
      <w:r w:rsidRPr="00AC11E2">
        <w:rPr>
          <w:rFonts w:ascii="Arial" w:eastAsia="-webkit-standard" w:hAnsi="Arial" w:cs="Arial"/>
          <w:color w:val="000000"/>
          <w:sz w:val="20"/>
          <w:szCs w:val="20"/>
        </w:rPr>
        <w:t xml:space="preserve"> a cross-sectional descriptive design to evaluate the antimicrobial susceptibility patterns of bacterial isolates from prosthetic devices used by patients at the National Orthopedic Hospital, Enugu. </w:t>
      </w:r>
    </w:p>
    <w:p w14:paraId="12F6C102" w14:textId="7AFEC2A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Area</w:t>
      </w:r>
    </w:p>
    <w:p w14:paraId="5DEDDE48" w14:textId="463E6D9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study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conducted at Bio Solution Medical Diagnostic Laboratory, Enugu, one of the largest laboratory </w:t>
      </w:r>
      <w:r w:rsidR="00917B01" w:rsidRPr="00AC11E2">
        <w:rPr>
          <w:rFonts w:ascii="Arial" w:eastAsia="-webkit-standard" w:hAnsi="Arial" w:cs="Arial"/>
          <w:color w:val="000000"/>
          <w:sz w:val="20"/>
          <w:szCs w:val="20"/>
        </w:rPr>
        <w:t>researches</w:t>
      </w:r>
      <w:r w:rsidRPr="00AC11E2">
        <w:rPr>
          <w:rFonts w:ascii="Arial" w:eastAsia="-webkit-standard" w:hAnsi="Arial" w:cs="Arial"/>
          <w:color w:val="000000"/>
          <w:sz w:val="20"/>
          <w:szCs w:val="20"/>
        </w:rPr>
        <w:t> in Enugu state. The laboratory serves patients from across the country and is a major referral center for research and treatments, including the use of prosthetic devices.</w:t>
      </w:r>
    </w:p>
    <w:p w14:paraId="15B9C14F" w14:textId="2D1A955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Population</w:t>
      </w:r>
    </w:p>
    <w:p w14:paraId="1FF06C10" w14:textId="4A1532B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study population include</w:t>
      </w:r>
      <w:r w:rsidR="00F84C32" w:rsidRPr="00AC11E2">
        <w:rPr>
          <w:rFonts w:ascii="Arial" w:eastAsia="-webkit-standard" w:hAnsi="Arial" w:cs="Arial"/>
          <w:color w:val="000000"/>
          <w:sz w:val="20"/>
          <w:szCs w:val="20"/>
        </w:rPr>
        <w:t>d</w:t>
      </w:r>
      <w:r w:rsidRPr="00AC11E2">
        <w:rPr>
          <w:rFonts w:ascii="Arial" w:eastAsia="-webkit-standard" w:hAnsi="Arial" w:cs="Arial"/>
          <w:color w:val="000000"/>
          <w:sz w:val="20"/>
          <w:szCs w:val="20"/>
        </w:rPr>
        <w:t xml:space="preserve"> patients with prosthetic devices attending the National Orthopedic Hospital in Enugu who exhibit symptoms of infection following implantation during the course of this study.</w:t>
      </w:r>
    </w:p>
    <w:p w14:paraId="4A75069C" w14:textId="37066EA9"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Sample Size</w:t>
      </w:r>
    </w:p>
    <w:p w14:paraId="0708BDE7" w14:textId="1EEEB264"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sample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determined using statistical methods to ensure that it is representative of the study population. The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sufficient to detect antimicrobial susceptibility </w:t>
      </w:r>
      <w:r w:rsidR="00917B01" w:rsidRPr="00AC11E2">
        <w:rPr>
          <w:rFonts w:ascii="Arial" w:eastAsia="-webkit-standard" w:hAnsi="Arial" w:cs="Arial"/>
          <w:color w:val="000000"/>
          <w:sz w:val="20"/>
          <w:szCs w:val="20"/>
        </w:rPr>
        <w:t>patterns isolated</w:t>
      </w:r>
      <w:r w:rsidRPr="00AC11E2">
        <w:rPr>
          <w:rFonts w:ascii="Arial" w:eastAsia="-webkit-standard" w:hAnsi="Arial" w:cs="Arial"/>
          <w:color w:val="000000"/>
          <w:sz w:val="20"/>
          <w:szCs w:val="20"/>
        </w:rPr>
        <w:t xml:space="preserve"> from prosthetic device.</w:t>
      </w:r>
    </w:p>
    <w:p w14:paraId="57EE0306" w14:textId="0F101CBC"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Sampling Technique</w:t>
      </w:r>
    </w:p>
    <w:p w14:paraId="2147ADF7" w14:textId="372F0770"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 purposive sampling</w:t>
      </w:r>
      <w:r w:rsidRPr="00AC11E2">
        <w:rPr>
          <w:rFonts w:ascii="Arial" w:eastAsia="-webkit-standard" w:hAnsi="Arial" w:cs="Arial"/>
          <w:b/>
          <w:color w:val="000000"/>
          <w:sz w:val="20"/>
          <w:szCs w:val="20"/>
        </w:rPr>
        <w:t> </w:t>
      </w:r>
      <w:r w:rsidRPr="00AC11E2">
        <w:rPr>
          <w:rFonts w:ascii="Arial" w:eastAsia="-webkit-standard" w:hAnsi="Arial" w:cs="Arial"/>
          <w:color w:val="000000"/>
          <w:sz w:val="20"/>
          <w:szCs w:val="20"/>
        </w:rPr>
        <w:t xml:space="preserve">technique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where patients with prosthetic devices presenting symptoms of bacterial infections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selected for inclusion.</w:t>
      </w:r>
    </w:p>
    <w:p w14:paraId="5C0F2A7C" w14:textId="55B39EE8"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Data Collection</w:t>
      </w:r>
    </w:p>
    <w:p w14:paraId="108663CC" w14:textId="1DF18501"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collected through laboratory analysis of samples obtained from the site of infection,</w:t>
      </w:r>
      <w:r w:rsidR="00917B01" w:rsidRPr="00AC11E2">
        <w:rPr>
          <w:rFonts w:ascii="Arial" w:eastAsia="-webkit-standard" w:hAnsi="Arial" w:cs="Arial"/>
          <w:color w:val="000000"/>
          <w:sz w:val="20"/>
          <w:szCs w:val="20"/>
        </w:rPr>
        <w:t xml:space="preserve"> </w:t>
      </w:r>
      <w:r w:rsidRPr="00AC11E2">
        <w:rPr>
          <w:rFonts w:ascii="Arial" w:eastAsia="-webkit-standard" w:hAnsi="Arial" w:cs="Arial"/>
          <w:color w:val="000000"/>
          <w:sz w:val="20"/>
          <w:szCs w:val="20"/>
        </w:rPr>
        <w:t xml:space="preserve">such as wound exudates or aspirated fluid from prosthetic joints. These samples </w:t>
      </w:r>
      <w:r w:rsidR="00F84C32" w:rsidRPr="00AC11E2">
        <w:rPr>
          <w:rFonts w:ascii="Arial" w:eastAsia="-webkit-standard" w:hAnsi="Arial" w:cs="Arial"/>
          <w:color w:val="000000"/>
          <w:sz w:val="20"/>
          <w:szCs w:val="20"/>
        </w:rPr>
        <w:t>were</w:t>
      </w:r>
      <w:r w:rsidRPr="00AC11E2">
        <w:rPr>
          <w:rFonts w:ascii="Arial" w:eastAsia="-webkit-standard" w:hAnsi="Arial" w:cs="Arial"/>
          <w:color w:val="000000"/>
          <w:sz w:val="20"/>
          <w:szCs w:val="20"/>
        </w:rPr>
        <w:t xml:space="preserve"> cultured and bacterial isolates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subjected to antimicrobial susceptibility testing using the Kirby-Bauer disk diffusion method</w:t>
      </w:r>
    </w:p>
    <w:p w14:paraId="4622ECA4" w14:textId="19B2733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Data Analysis</w:t>
      </w:r>
    </w:p>
    <w:p w14:paraId="43B10CD3" w14:textId="7D8DA1F5" w:rsidR="00C92BAE"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analyzed using statistical software. Descriptive statistics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used to summarize the data, and inferential statistics, such as chi-square tests,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to identify significant associations between variables.</w:t>
      </w:r>
    </w:p>
    <w:p w14:paraId="259BA3CC" w14:textId="4D2947B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and Exclusion Criteria</w:t>
      </w:r>
    </w:p>
    <w:p w14:paraId="1D2E0027"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Criteria:</w:t>
      </w:r>
    </w:p>
    <w:p w14:paraId="43C68D36"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 prosthetic devices who present with clinical signs of infection (e.g., fever, local inflammation, and discharge).</w:t>
      </w:r>
    </w:p>
    <w:p w14:paraId="4D2E2511"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provide informed consent for participation in the study.</w:t>
      </w:r>
    </w:p>
    <w:p w14:paraId="788E5FAB"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Exclusion Criteria:</w:t>
      </w:r>
    </w:p>
    <w:p w14:paraId="0509413E"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without prosthetic devices.</w:t>
      </w:r>
    </w:p>
    <w:p w14:paraId="36726584"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are currently on antibiotic therapy at the time of sample collection.</w:t>
      </w:r>
    </w:p>
    <w:p w14:paraId="19C2757D" w14:textId="6D26400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commentRangeStart w:id="3"/>
      <w:r w:rsidRPr="00520731">
        <w:rPr>
          <w:rFonts w:ascii="Arial" w:eastAsia="-webkit-standard" w:hAnsi="Arial" w:cs="Arial"/>
          <w:b/>
          <w:color w:val="000000"/>
          <w:sz w:val="20"/>
          <w:szCs w:val="20"/>
          <w:highlight w:val="yellow"/>
        </w:rPr>
        <w:t>SAMPLE</w:t>
      </w:r>
      <w:commentRangeEnd w:id="3"/>
      <w:r w:rsidR="00520731">
        <w:rPr>
          <w:rStyle w:val="CommentReference"/>
        </w:rPr>
        <w:commentReference w:id="3"/>
      </w:r>
      <w:r w:rsidRPr="00520731">
        <w:rPr>
          <w:rFonts w:ascii="Arial" w:eastAsia="-webkit-standard" w:hAnsi="Arial" w:cs="Arial"/>
          <w:b/>
          <w:color w:val="000000"/>
          <w:sz w:val="20"/>
          <w:szCs w:val="20"/>
          <w:highlight w:val="yellow"/>
        </w:rPr>
        <w:t xml:space="preserve"> SIZE DETERMINATION</w:t>
      </w:r>
    </w:p>
    <w:p w14:paraId="1B1F6923"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Using Cochran’s Formula, the sample,</w:t>
      </w:r>
    </w:p>
    <w:p w14:paraId="057D3B4C"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Determine the sample size (n) using the Cochran formula:</w:t>
      </w:r>
    </w:p>
    <w:p w14:paraId="5051A1D0"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w:t>
      </w:r>
      <w:proofErr w:type="gramStart"/>
      <w:r w:rsidRPr="00520731">
        <w:rPr>
          <w:rFonts w:ascii="Arial" w:eastAsia="-webkit-standard" w:hAnsi="Arial" w:cs="Arial"/>
          <w:color w:val="000000"/>
          <w:sz w:val="20"/>
          <w:szCs w:val="20"/>
          <w:highlight w:val="yellow"/>
        </w:rPr>
        <w:t>=(</w:t>
      </w:r>
      <w:proofErr w:type="gramEnd"/>
      <w:r w:rsidRPr="00520731">
        <w:rPr>
          <w:rFonts w:ascii="Arial" w:eastAsia="-webkit-standard" w:hAnsi="Arial" w:cs="Arial"/>
          <w:color w:val="000000"/>
          <w:sz w:val="20"/>
          <w:szCs w:val="20"/>
          <w:highlight w:val="yellow"/>
        </w:rPr>
        <w:t>150 × Px (1-P)) / B42</w:t>
      </w:r>
    </w:p>
    <w:p w14:paraId="39E49758"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Where:</w:t>
      </w:r>
    </w:p>
    <w:p w14:paraId="3CE8AF78"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n: The sample size</w:t>
      </w:r>
    </w:p>
    <w:p w14:paraId="33F407C3"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z: The value for the selected alpha level. 1.96 (for 95% confidence)</w:t>
      </w:r>
    </w:p>
    <w:p w14:paraId="5DA558AC"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p: The estimated proportion of an attribute that is present in the population which is 0.16</w:t>
      </w:r>
    </w:p>
    <w:p w14:paraId="6F2B75D1"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q: 1-P</w:t>
      </w:r>
    </w:p>
    <w:p w14:paraId="7F7B1098"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E: The acceptable margin of error for proportion being estimated which is 0,05</w:t>
      </w:r>
    </w:p>
    <w:p w14:paraId="0CA48B86"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Calculation:</w:t>
      </w:r>
    </w:p>
    <w:p w14:paraId="6C74B8B0"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n = (1.96*2 × 0.16× (1-0.16)/ 0.05^2</w:t>
      </w:r>
    </w:p>
    <w:p w14:paraId="22E2DF4E"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n = (3.8416 x 0.16x 0.84) / 0.0025</w:t>
      </w:r>
    </w:p>
    <w:p w14:paraId="24EFF0CE"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n ~ 150 size was determined as thus;</w:t>
      </w:r>
    </w:p>
    <w:p w14:paraId="096AEA2C"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N =</w:t>
      </w:r>
    </w:p>
    <w:p w14:paraId="68FD50BB"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Where; N = minimum sample size required</w:t>
      </w:r>
    </w:p>
    <w:p w14:paraId="0006812E"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Z = 1.50(standard normal deviation for a normal distribution)</w:t>
      </w:r>
    </w:p>
    <w:p w14:paraId="18B13D50"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Q = 1 – P</w:t>
      </w:r>
    </w:p>
    <w:p w14:paraId="2F85ABFE" w14:textId="77777777"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D = 0.05 (Degree of accuracy for 95% confidence interval)</w:t>
      </w:r>
    </w:p>
    <w:p w14:paraId="20D26DF8" w14:textId="516C1F8B"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P = Estimated susceptibility from the literature available [Where susceptibility is 15%. This susceptibility pattern was obtained from a previous related study. (Zimmerli</w:t>
      </w:r>
      <w:r w:rsidR="00F84C32" w:rsidRPr="00520731">
        <w:rPr>
          <w:rFonts w:ascii="Arial" w:eastAsia="-webkit-standard" w:hAnsi="Arial" w:cs="Arial"/>
          <w:color w:val="000000"/>
          <w:sz w:val="20"/>
          <w:szCs w:val="20"/>
          <w:highlight w:val="yellow"/>
        </w:rPr>
        <w:t xml:space="preserve"> </w:t>
      </w:r>
      <w:r w:rsidRPr="00520731">
        <w:rPr>
          <w:rFonts w:ascii="Arial" w:eastAsia="-webkit-standard" w:hAnsi="Arial" w:cs="Arial"/>
          <w:color w:val="000000"/>
          <w:sz w:val="20"/>
          <w:szCs w:val="20"/>
          <w:highlight w:val="yellow"/>
        </w:rPr>
        <w:t>et al.,</w:t>
      </w:r>
      <w:r w:rsidR="00F84C32" w:rsidRPr="00520731">
        <w:rPr>
          <w:rFonts w:ascii="Arial" w:eastAsia="-webkit-standard" w:hAnsi="Arial" w:cs="Arial"/>
          <w:color w:val="000000"/>
          <w:sz w:val="20"/>
          <w:szCs w:val="20"/>
          <w:highlight w:val="yellow"/>
        </w:rPr>
        <w:t xml:space="preserve"> </w:t>
      </w:r>
      <w:r w:rsidRPr="00520731">
        <w:rPr>
          <w:rFonts w:ascii="Arial" w:eastAsia="-webkit-standard" w:hAnsi="Arial" w:cs="Arial"/>
          <w:color w:val="000000"/>
          <w:sz w:val="20"/>
          <w:szCs w:val="20"/>
          <w:highlight w:val="yellow"/>
        </w:rPr>
        <w:t>(200</w:t>
      </w:r>
      <w:r w:rsidR="00F84C32" w:rsidRPr="00520731">
        <w:rPr>
          <w:rFonts w:ascii="Arial" w:eastAsia="-webkit-standard" w:hAnsi="Arial" w:cs="Arial"/>
          <w:color w:val="000000"/>
          <w:sz w:val="20"/>
          <w:szCs w:val="20"/>
          <w:highlight w:val="yellow"/>
        </w:rPr>
        <w:t>6</w:t>
      </w:r>
      <w:r w:rsidRPr="00520731">
        <w:rPr>
          <w:rFonts w:ascii="Arial" w:eastAsia="-webkit-standard" w:hAnsi="Arial" w:cs="Arial"/>
          <w:color w:val="000000"/>
          <w:sz w:val="20"/>
          <w:szCs w:val="20"/>
          <w:highlight w:val="yellow"/>
        </w:rPr>
        <w:t>). </w:t>
      </w:r>
    </w:p>
    <w:p w14:paraId="462F1742" w14:textId="3F8BD3D2" w:rsidR="008662DA" w:rsidRPr="00520731" w:rsidRDefault="001E2C12" w:rsidP="00AC11E2">
      <w:pPr>
        <w:pStyle w:val="NormalWeb"/>
        <w:widowControl/>
        <w:spacing w:after="0" w:line="240" w:lineRule="auto"/>
        <w:rPr>
          <w:rFonts w:ascii="Arial" w:eastAsia="-webkit-standard" w:hAnsi="Arial" w:cs="Arial"/>
          <w:color w:val="000000"/>
          <w:sz w:val="20"/>
          <w:szCs w:val="20"/>
          <w:highlight w:val="yellow"/>
        </w:rPr>
      </w:pPr>
      <w:r w:rsidRPr="00520731">
        <w:rPr>
          <w:rFonts w:ascii="Arial" w:eastAsia="-webkit-standard" w:hAnsi="Arial" w:cs="Arial"/>
          <w:color w:val="000000"/>
          <w:sz w:val="20"/>
          <w:szCs w:val="20"/>
          <w:highlight w:val="yellow"/>
        </w:rPr>
        <w:t> </w:t>
      </w:r>
      <w:r w:rsidRPr="00520731">
        <w:rPr>
          <w:rFonts w:ascii="Arial" w:eastAsia="-webkit-standard" w:hAnsi="Arial" w:cs="Arial"/>
          <w:b/>
          <w:color w:val="000000"/>
          <w:sz w:val="20"/>
          <w:szCs w:val="20"/>
          <w:highlight w:val="yellow"/>
        </w:rPr>
        <w:t>N</w:t>
      </w:r>
      <w:r w:rsidRPr="00520731">
        <w:rPr>
          <w:rFonts w:ascii="Arial" w:eastAsia="-webkit-standard" w:hAnsi="Arial" w:cs="Arial"/>
          <w:color w:val="000000"/>
          <w:sz w:val="20"/>
          <w:szCs w:val="20"/>
          <w:highlight w:val="yellow"/>
        </w:rPr>
        <w:t> = </w:t>
      </w:r>
      <w:r w:rsidRPr="00520731">
        <w:rPr>
          <w:rFonts w:ascii="Arial" w:eastAsia="-webkit-standard" w:hAnsi="Arial" w:cs="Arial"/>
          <w:b/>
          <w:color w:val="000000"/>
          <w:sz w:val="20"/>
          <w:szCs w:val="20"/>
          <w:highlight w:val="yellow"/>
        </w:rPr>
        <w:t>150.92</w:t>
      </w:r>
    </w:p>
    <w:p w14:paraId="43A55A72"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proofErr w:type="gramStart"/>
      <w:r w:rsidRPr="00520731">
        <w:rPr>
          <w:rFonts w:ascii="Arial" w:eastAsia="-webkit-standard" w:hAnsi="Arial" w:cs="Arial"/>
          <w:color w:val="000000"/>
          <w:sz w:val="20"/>
          <w:szCs w:val="20"/>
          <w:highlight w:val="yellow"/>
        </w:rPr>
        <w:t>Therefore;</w:t>
      </w:r>
      <w:proofErr w:type="gramEnd"/>
      <w:r w:rsidRPr="00520731">
        <w:rPr>
          <w:rFonts w:ascii="Arial" w:eastAsia="-webkit-standard" w:hAnsi="Arial" w:cs="Arial"/>
          <w:color w:val="000000"/>
          <w:sz w:val="20"/>
          <w:szCs w:val="20"/>
          <w:highlight w:val="yellow"/>
        </w:rPr>
        <w:t xml:space="preserve"> N is approximately 150 A minimum sample size of 150 was used in this </w:t>
      </w:r>
      <w:commentRangeStart w:id="4"/>
      <w:r w:rsidRPr="00520731">
        <w:rPr>
          <w:rFonts w:ascii="Arial" w:eastAsia="-webkit-standard" w:hAnsi="Arial" w:cs="Arial"/>
          <w:color w:val="000000"/>
          <w:sz w:val="20"/>
          <w:szCs w:val="20"/>
          <w:highlight w:val="yellow"/>
        </w:rPr>
        <w:t>study</w:t>
      </w:r>
      <w:commentRangeEnd w:id="4"/>
      <w:r w:rsidR="00A52ED8">
        <w:rPr>
          <w:rStyle w:val="CommentReference"/>
        </w:rPr>
        <w:commentReference w:id="4"/>
      </w:r>
      <w:r w:rsidRPr="00520731">
        <w:rPr>
          <w:rFonts w:ascii="Arial" w:eastAsia="-webkit-standard" w:hAnsi="Arial" w:cs="Arial"/>
          <w:color w:val="000000"/>
          <w:sz w:val="20"/>
          <w:szCs w:val="20"/>
          <w:highlight w:val="yellow"/>
        </w:rPr>
        <w:t>.</w:t>
      </w:r>
    </w:p>
    <w:p w14:paraId="04FA2A69" w14:textId="4767B27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581D610" w14:textId="246D7875"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RESULTS</w:t>
      </w:r>
    </w:p>
    <w:p w14:paraId="7764A0C5" w14:textId="661D51AD"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1: Distribution of Samples by Growth</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662DA" w:rsidRPr="00AC11E2" w14:paraId="5EDB48BC" w14:textId="77777777" w:rsidTr="00917B01">
        <w:trPr>
          <w:trHeight w:val="166"/>
        </w:trPr>
        <w:tc>
          <w:tcPr>
            <w:tcW w:w="2880" w:type="dxa"/>
            <w:tcBorders>
              <w:top w:val="single" w:sz="4" w:space="0" w:color="auto"/>
              <w:bottom w:val="single" w:sz="4" w:space="0" w:color="auto"/>
            </w:tcBorders>
            <w:shd w:val="clear" w:color="auto" w:fill="FFFFFF"/>
          </w:tcPr>
          <w:p w14:paraId="0776B07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Sample Type</w:t>
            </w:r>
          </w:p>
        </w:tc>
        <w:tc>
          <w:tcPr>
            <w:tcW w:w="2880" w:type="dxa"/>
            <w:tcBorders>
              <w:top w:val="single" w:sz="4" w:space="0" w:color="auto"/>
              <w:bottom w:val="single" w:sz="4" w:space="0" w:color="auto"/>
            </w:tcBorders>
            <w:shd w:val="clear" w:color="auto" w:fill="FFFFFF"/>
          </w:tcPr>
          <w:p w14:paraId="08FFA1A7"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880" w:type="dxa"/>
            <w:tcBorders>
              <w:top w:val="single" w:sz="4" w:space="0" w:color="auto"/>
              <w:bottom w:val="single" w:sz="4" w:space="0" w:color="auto"/>
            </w:tcBorders>
            <w:shd w:val="clear" w:color="auto" w:fill="FFFFFF"/>
          </w:tcPr>
          <w:p w14:paraId="47C76F48"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76340996" w14:textId="77777777" w:rsidTr="00917B01">
        <w:trPr>
          <w:trHeight w:val="166"/>
        </w:trPr>
        <w:tc>
          <w:tcPr>
            <w:tcW w:w="2880" w:type="dxa"/>
            <w:tcBorders>
              <w:top w:val="single" w:sz="4" w:space="0" w:color="auto"/>
            </w:tcBorders>
            <w:shd w:val="clear" w:color="auto" w:fill="FFFFFF"/>
          </w:tcPr>
          <w:p w14:paraId="56E45B2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Positive Samples</w:t>
            </w:r>
          </w:p>
        </w:tc>
        <w:tc>
          <w:tcPr>
            <w:tcW w:w="2880" w:type="dxa"/>
            <w:tcBorders>
              <w:top w:val="single" w:sz="4" w:space="0" w:color="auto"/>
            </w:tcBorders>
            <w:shd w:val="clear" w:color="auto" w:fill="FFFFFF"/>
          </w:tcPr>
          <w:p w14:paraId="042DBB1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w:t>
            </w:r>
          </w:p>
        </w:tc>
        <w:tc>
          <w:tcPr>
            <w:tcW w:w="2880" w:type="dxa"/>
            <w:tcBorders>
              <w:top w:val="single" w:sz="4" w:space="0" w:color="auto"/>
            </w:tcBorders>
            <w:shd w:val="clear" w:color="auto" w:fill="FFFFFF"/>
          </w:tcPr>
          <w:p w14:paraId="21B1EB6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65.0</w:t>
            </w:r>
          </w:p>
        </w:tc>
      </w:tr>
      <w:tr w:rsidR="008662DA" w:rsidRPr="00AC11E2" w14:paraId="7553F2B0" w14:textId="77777777" w:rsidTr="00917B01">
        <w:trPr>
          <w:trHeight w:val="166"/>
        </w:trPr>
        <w:tc>
          <w:tcPr>
            <w:tcW w:w="2880" w:type="dxa"/>
            <w:shd w:val="clear" w:color="auto" w:fill="FFFFFF"/>
          </w:tcPr>
          <w:p w14:paraId="261B5F1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Negative Samples</w:t>
            </w:r>
          </w:p>
        </w:tc>
        <w:tc>
          <w:tcPr>
            <w:tcW w:w="2880" w:type="dxa"/>
            <w:shd w:val="clear" w:color="auto" w:fill="FFFFFF"/>
          </w:tcPr>
          <w:p w14:paraId="68F6E28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w:t>
            </w:r>
          </w:p>
        </w:tc>
        <w:tc>
          <w:tcPr>
            <w:tcW w:w="2880" w:type="dxa"/>
            <w:shd w:val="clear" w:color="auto" w:fill="FFFFFF"/>
          </w:tcPr>
          <w:p w14:paraId="2F62B82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35.0</w:t>
            </w:r>
          </w:p>
        </w:tc>
      </w:tr>
      <w:tr w:rsidR="008662DA" w:rsidRPr="00AC11E2" w14:paraId="60418DEC" w14:textId="77777777" w:rsidTr="00917B01">
        <w:trPr>
          <w:trHeight w:val="166"/>
        </w:trPr>
        <w:tc>
          <w:tcPr>
            <w:tcW w:w="2880" w:type="dxa"/>
            <w:shd w:val="clear" w:color="auto" w:fill="FFFFFF"/>
          </w:tcPr>
          <w:p w14:paraId="7797927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Total</w:t>
            </w:r>
          </w:p>
        </w:tc>
        <w:tc>
          <w:tcPr>
            <w:tcW w:w="2880" w:type="dxa"/>
            <w:shd w:val="clear" w:color="auto" w:fill="FFFFFF"/>
          </w:tcPr>
          <w:p w14:paraId="13472BC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w:t>
            </w:r>
          </w:p>
        </w:tc>
        <w:tc>
          <w:tcPr>
            <w:tcW w:w="2880" w:type="dxa"/>
            <w:shd w:val="clear" w:color="auto" w:fill="FFFFFF"/>
          </w:tcPr>
          <w:p w14:paraId="2697DEA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100.0</w:t>
            </w:r>
          </w:p>
        </w:tc>
      </w:tr>
    </w:tbl>
    <w:p w14:paraId="34D1310C"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5A18D83" w14:textId="73ECFFC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lastRenderedPageBreak/>
        <w:t>Table </w:t>
      </w:r>
      <w:r w:rsidR="00917B01" w:rsidRPr="00AC11E2">
        <w:rPr>
          <w:rFonts w:ascii="Arial" w:eastAsia="-webkit-standard" w:hAnsi="Arial" w:cs="Arial"/>
          <w:b/>
          <w:color w:val="000000"/>
          <w:sz w:val="20"/>
          <w:szCs w:val="20"/>
        </w:rPr>
        <w:t>1</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indicates that out of the 100 samples, 65% were positive for bacterial growth, while 35% were negative.</w:t>
      </w:r>
    </w:p>
    <w:p w14:paraId="55DE876B" w14:textId="7D7B07F3"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2</w:t>
      </w:r>
      <w:r w:rsidRPr="00AC11E2">
        <w:rPr>
          <w:rFonts w:ascii="Arial" w:eastAsia="-webkit-standard" w:hAnsi="Arial" w:cs="Arial"/>
          <w:b/>
          <w:color w:val="000000"/>
          <w:sz w:val="20"/>
          <w:szCs w:val="20"/>
        </w:rPr>
        <w:t xml:space="preserve">: Distribution of Bacterial Isolates from Prosthetic </w:t>
      </w:r>
      <w:commentRangeStart w:id="5"/>
      <w:r w:rsidRPr="00AC11E2">
        <w:rPr>
          <w:rFonts w:ascii="Arial" w:eastAsia="-webkit-standard" w:hAnsi="Arial" w:cs="Arial"/>
          <w:b/>
          <w:color w:val="000000"/>
          <w:sz w:val="20"/>
          <w:szCs w:val="20"/>
        </w:rPr>
        <w:t>Devices</w:t>
      </w:r>
      <w:commentRangeEnd w:id="5"/>
      <w:r w:rsidR="00B20431">
        <w:rPr>
          <w:rStyle w:val="CommentReference"/>
        </w:rPr>
        <w:commentReference w:id="5"/>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662DA" w:rsidRPr="00AC11E2" w14:paraId="65AD96D4" w14:textId="77777777" w:rsidTr="00917B01">
        <w:trPr>
          <w:trHeight w:val="151"/>
        </w:trPr>
        <w:tc>
          <w:tcPr>
            <w:tcW w:w="2880" w:type="dxa"/>
            <w:tcBorders>
              <w:top w:val="single" w:sz="4" w:space="0" w:color="auto"/>
              <w:bottom w:val="single" w:sz="4" w:space="0" w:color="auto"/>
            </w:tcBorders>
            <w:shd w:val="clear" w:color="auto" w:fill="FFFFFF"/>
          </w:tcPr>
          <w:p w14:paraId="7A1A6A55"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Bacterial Species</w:t>
            </w:r>
          </w:p>
        </w:tc>
        <w:tc>
          <w:tcPr>
            <w:tcW w:w="2880" w:type="dxa"/>
            <w:tcBorders>
              <w:top w:val="single" w:sz="4" w:space="0" w:color="auto"/>
              <w:bottom w:val="single" w:sz="4" w:space="0" w:color="auto"/>
            </w:tcBorders>
            <w:shd w:val="clear" w:color="auto" w:fill="FFFFFF"/>
          </w:tcPr>
          <w:p w14:paraId="0F9ACDB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880" w:type="dxa"/>
            <w:tcBorders>
              <w:top w:val="single" w:sz="4" w:space="0" w:color="auto"/>
              <w:bottom w:val="single" w:sz="4" w:space="0" w:color="auto"/>
            </w:tcBorders>
            <w:shd w:val="clear" w:color="auto" w:fill="FFFFFF"/>
          </w:tcPr>
          <w:p w14:paraId="52140528"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05231B89" w14:textId="77777777" w:rsidTr="00917B01">
        <w:trPr>
          <w:trHeight w:val="136"/>
        </w:trPr>
        <w:tc>
          <w:tcPr>
            <w:tcW w:w="2880" w:type="dxa"/>
            <w:tcBorders>
              <w:top w:val="single" w:sz="4" w:space="0" w:color="auto"/>
            </w:tcBorders>
            <w:shd w:val="clear" w:color="auto" w:fill="FFFFFF"/>
          </w:tcPr>
          <w:p w14:paraId="4B78B7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880" w:type="dxa"/>
            <w:tcBorders>
              <w:top w:val="single" w:sz="4" w:space="0" w:color="auto"/>
            </w:tcBorders>
            <w:shd w:val="clear" w:color="auto" w:fill="FFFFFF"/>
          </w:tcPr>
          <w:p w14:paraId="7872371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25</w:t>
            </w:r>
          </w:p>
        </w:tc>
        <w:tc>
          <w:tcPr>
            <w:tcW w:w="2880" w:type="dxa"/>
            <w:tcBorders>
              <w:top w:val="single" w:sz="4" w:space="0" w:color="auto"/>
            </w:tcBorders>
            <w:shd w:val="clear" w:color="auto" w:fill="FFFFFF"/>
          </w:tcPr>
          <w:p w14:paraId="661D05A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38.5</w:t>
            </w:r>
          </w:p>
        </w:tc>
      </w:tr>
      <w:tr w:rsidR="008662DA" w:rsidRPr="00AC11E2" w14:paraId="318CD58F" w14:textId="77777777" w:rsidTr="00917B01">
        <w:trPr>
          <w:trHeight w:val="151"/>
        </w:trPr>
        <w:tc>
          <w:tcPr>
            <w:tcW w:w="2880" w:type="dxa"/>
            <w:shd w:val="clear" w:color="auto" w:fill="FFFFFF"/>
          </w:tcPr>
          <w:p w14:paraId="21FBA44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880" w:type="dxa"/>
            <w:shd w:val="clear" w:color="auto" w:fill="FFFFFF"/>
          </w:tcPr>
          <w:p w14:paraId="5A90233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w:t>
            </w:r>
          </w:p>
        </w:tc>
        <w:tc>
          <w:tcPr>
            <w:tcW w:w="2880" w:type="dxa"/>
            <w:shd w:val="clear" w:color="auto" w:fill="FFFFFF"/>
          </w:tcPr>
          <w:p w14:paraId="3641F1C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23.1</w:t>
            </w:r>
          </w:p>
        </w:tc>
      </w:tr>
      <w:tr w:rsidR="008662DA" w:rsidRPr="00AC11E2" w14:paraId="117AC2A4" w14:textId="77777777" w:rsidTr="00917B01">
        <w:trPr>
          <w:trHeight w:val="136"/>
        </w:trPr>
        <w:tc>
          <w:tcPr>
            <w:tcW w:w="2880" w:type="dxa"/>
            <w:shd w:val="clear" w:color="auto" w:fill="FFFFFF"/>
          </w:tcPr>
          <w:p w14:paraId="6E985C8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880" w:type="dxa"/>
            <w:shd w:val="clear" w:color="auto" w:fill="FFFFFF"/>
          </w:tcPr>
          <w:p w14:paraId="5B1BD44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w:t>
            </w:r>
          </w:p>
        </w:tc>
        <w:tc>
          <w:tcPr>
            <w:tcW w:w="2880" w:type="dxa"/>
            <w:shd w:val="clear" w:color="auto" w:fill="FFFFFF"/>
          </w:tcPr>
          <w:p w14:paraId="766B319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15.4</w:t>
            </w:r>
          </w:p>
        </w:tc>
      </w:tr>
      <w:tr w:rsidR="008662DA" w:rsidRPr="00AC11E2" w14:paraId="280CF9EB" w14:textId="77777777" w:rsidTr="00917B01">
        <w:trPr>
          <w:trHeight w:val="151"/>
        </w:trPr>
        <w:tc>
          <w:tcPr>
            <w:tcW w:w="2880" w:type="dxa"/>
            <w:shd w:val="clear" w:color="auto" w:fill="FFFFFF"/>
          </w:tcPr>
          <w:p w14:paraId="354AB53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Klebsiella pneumoniae</w:t>
            </w:r>
          </w:p>
        </w:tc>
        <w:tc>
          <w:tcPr>
            <w:tcW w:w="2880" w:type="dxa"/>
            <w:shd w:val="clear" w:color="auto" w:fill="FFFFFF"/>
          </w:tcPr>
          <w:p w14:paraId="4592947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880" w:type="dxa"/>
            <w:shd w:val="clear" w:color="auto" w:fill="FFFFFF"/>
          </w:tcPr>
          <w:p w14:paraId="00E8ECE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7.7</w:t>
            </w:r>
          </w:p>
        </w:tc>
      </w:tr>
    </w:tbl>
    <w:p w14:paraId="2831EC63" w14:textId="7BEFC989"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2</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shows that out of 100 samples, 65 (65%) were positive for bacterial growth, while 35 (35%) showed no growth. Among the positive samples,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was the most prevalent bacterial isolate (38.5%), followed by </w:t>
      </w:r>
      <w:r w:rsidRPr="00AC11E2">
        <w:rPr>
          <w:rFonts w:ascii="Arial" w:eastAsia="-webkit-standard" w:hAnsi="Arial" w:cs="Arial"/>
          <w:i/>
          <w:color w:val="000000"/>
          <w:sz w:val="20"/>
          <w:szCs w:val="20"/>
        </w:rPr>
        <w:t>Escherichia coli</w:t>
      </w:r>
      <w:r w:rsidRPr="00AC11E2">
        <w:rPr>
          <w:rFonts w:ascii="Arial" w:eastAsia="-webkit-standard" w:hAnsi="Arial" w:cs="Arial"/>
          <w:color w:val="000000"/>
          <w:sz w:val="20"/>
          <w:szCs w:val="20"/>
        </w:rPr>
        <w:t> (23.1%).</w:t>
      </w:r>
    </w:p>
    <w:p w14:paraId="7B3E30F3"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87B7C42" w14:textId="3204B4D3"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3</w:t>
      </w:r>
      <w:r w:rsidRPr="00AC11E2">
        <w:rPr>
          <w:rFonts w:ascii="Arial" w:eastAsia="-webkit-standard" w:hAnsi="Arial" w:cs="Arial"/>
          <w:b/>
          <w:color w:val="000000"/>
          <w:sz w:val="20"/>
          <w:szCs w:val="20"/>
        </w:rPr>
        <w:t xml:space="preserve">: Distribution of Bacterial Isolates by Type of Prosthetic </w:t>
      </w:r>
      <w:commentRangeStart w:id="6"/>
      <w:r w:rsidRPr="00AC11E2">
        <w:rPr>
          <w:rFonts w:ascii="Arial" w:eastAsia="-webkit-standard" w:hAnsi="Arial" w:cs="Arial"/>
          <w:b/>
          <w:color w:val="000000"/>
          <w:sz w:val="20"/>
          <w:szCs w:val="20"/>
        </w:rPr>
        <w:t>Devices</w:t>
      </w:r>
      <w:commentRangeEnd w:id="6"/>
      <w:r w:rsidR="008E6A68">
        <w:rPr>
          <w:rStyle w:val="CommentReference"/>
        </w:rPr>
        <w:commentReference w:id="6"/>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5F51DA3" w14:textId="77777777" w:rsidTr="00917B01">
        <w:trPr>
          <w:trHeight w:val="166"/>
        </w:trPr>
        <w:tc>
          <w:tcPr>
            <w:tcW w:w="2160" w:type="dxa"/>
            <w:tcBorders>
              <w:top w:val="single" w:sz="4" w:space="0" w:color="auto"/>
              <w:bottom w:val="single" w:sz="4" w:space="0" w:color="auto"/>
            </w:tcBorders>
            <w:shd w:val="clear" w:color="auto" w:fill="FFFFFF"/>
          </w:tcPr>
          <w:p w14:paraId="07CF20F4"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Type of Prosthetic Device</w:t>
            </w:r>
          </w:p>
        </w:tc>
        <w:tc>
          <w:tcPr>
            <w:tcW w:w="2160" w:type="dxa"/>
            <w:tcBorders>
              <w:top w:val="single" w:sz="4" w:space="0" w:color="auto"/>
              <w:bottom w:val="single" w:sz="4" w:space="0" w:color="auto"/>
            </w:tcBorders>
            <w:shd w:val="clear" w:color="auto" w:fill="FFFFFF"/>
          </w:tcPr>
          <w:p w14:paraId="33DC6A2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Bacteria Isolated</w:t>
            </w:r>
          </w:p>
        </w:tc>
        <w:tc>
          <w:tcPr>
            <w:tcW w:w="2160" w:type="dxa"/>
            <w:tcBorders>
              <w:top w:val="single" w:sz="4" w:space="0" w:color="auto"/>
              <w:bottom w:val="single" w:sz="4" w:space="0" w:color="auto"/>
            </w:tcBorders>
            <w:shd w:val="clear" w:color="auto" w:fill="FFFFFF"/>
          </w:tcPr>
          <w:p w14:paraId="37181E2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160" w:type="dxa"/>
            <w:tcBorders>
              <w:top w:val="single" w:sz="4" w:space="0" w:color="auto"/>
              <w:bottom w:val="single" w:sz="4" w:space="0" w:color="auto"/>
            </w:tcBorders>
            <w:shd w:val="clear" w:color="auto" w:fill="FFFFFF"/>
          </w:tcPr>
          <w:p w14:paraId="7F64495B"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5FEFDBAA" w14:textId="77777777" w:rsidTr="00917B01">
        <w:trPr>
          <w:trHeight w:val="166"/>
        </w:trPr>
        <w:tc>
          <w:tcPr>
            <w:tcW w:w="2160" w:type="dxa"/>
            <w:tcBorders>
              <w:top w:val="single" w:sz="4" w:space="0" w:color="auto"/>
            </w:tcBorders>
            <w:shd w:val="clear" w:color="auto" w:fill="FFFFFF"/>
          </w:tcPr>
          <w:p w14:paraId="57E1A49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Hip Prosthesis</w:t>
            </w:r>
          </w:p>
        </w:tc>
        <w:tc>
          <w:tcPr>
            <w:tcW w:w="2160" w:type="dxa"/>
            <w:tcBorders>
              <w:top w:val="single" w:sz="4" w:space="0" w:color="auto"/>
            </w:tcBorders>
            <w:shd w:val="clear" w:color="auto" w:fill="FFFFFF"/>
          </w:tcPr>
          <w:p w14:paraId="6E49EC4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tcBorders>
              <w:top w:val="single" w:sz="4" w:space="0" w:color="auto"/>
            </w:tcBorders>
            <w:shd w:val="clear" w:color="auto" w:fill="FFFFFF"/>
          </w:tcPr>
          <w:p w14:paraId="0C8E1A5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w:t>
            </w:r>
          </w:p>
        </w:tc>
        <w:tc>
          <w:tcPr>
            <w:tcW w:w="2160" w:type="dxa"/>
            <w:tcBorders>
              <w:top w:val="single" w:sz="4" w:space="0" w:color="auto"/>
            </w:tcBorders>
            <w:shd w:val="clear" w:color="auto" w:fill="FFFFFF"/>
          </w:tcPr>
          <w:p w14:paraId="4E9A81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15.38</w:t>
            </w:r>
          </w:p>
        </w:tc>
      </w:tr>
      <w:tr w:rsidR="008662DA" w:rsidRPr="00AC11E2" w14:paraId="607554E0" w14:textId="77777777" w:rsidTr="00917B01">
        <w:trPr>
          <w:trHeight w:val="166"/>
        </w:trPr>
        <w:tc>
          <w:tcPr>
            <w:tcW w:w="2160" w:type="dxa"/>
            <w:shd w:val="clear" w:color="auto" w:fill="FFFFFF"/>
          </w:tcPr>
          <w:p w14:paraId="3C02CA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E7C42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3DC444C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160" w:type="dxa"/>
            <w:shd w:val="clear" w:color="auto" w:fill="FFFFFF"/>
          </w:tcPr>
          <w:p w14:paraId="023A744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5BAEB53D" w14:textId="77777777" w:rsidTr="00917B01">
        <w:trPr>
          <w:trHeight w:val="166"/>
        </w:trPr>
        <w:tc>
          <w:tcPr>
            <w:tcW w:w="2160" w:type="dxa"/>
            <w:shd w:val="clear" w:color="auto" w:fill="FFFFFF"/>
          </w:tcPr>
          <w:p w14:paraId="7738695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8A30FA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36D7482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776AC28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3EC2C5D0" w14:textId="77777777" w:rsidTr="00917B01">
        <w:trPr>
          <w:trHeight w:val="166"/>
        </w:trPr>
        <w:tc>
          <w:tcPr>
            <w:tcW w:w="2160" w:type="dxa"/>
            <w:shd w:val="clear" w:color="auto" w:fill="FFFFFF"/>
          </w:tcPr>
          <w:p w14:paraId="6695914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9801C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Enterococcus faecalis</w:t>
            </w:r>
          </w:p>
        </w:tc>
        <w:tc>
          <w:tcPr>
            <w:tcW w:w="2160" w:type="dxa"/>
            <w:shd w:val="clear" w:color="auto" w:fill="FFFFFF"/>
          </w:tcPr>
          <w:p w14:paraId="2D925C2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w:t>
            </w:r>
          </w:p>
        </w:tc>
        <w:tc>
          <w:tcPr>
            <w:tcW w:w="2160" w:type="dxa"/>
            <w:shd w:val="clear" w:color="auto" w:fill="FFFFFF"/>
          </w:tcPr>
          <w:p w14:paraId="630F1D3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3.08</w:t>
            </w:r>
          </w:p>
        </w:tc>
      </w:tr>
      <w:tr w:rsidR="008662DA" w:rsidRPr="00AC11E2" w14:paraId="6E80A9C7" w14:textId="77777777" w:rsidTr="00917B01">
        <w:trPr>
          <w:trHeight w:val="166"/>
        </w:trPr>
        <w:tc>
          <w:tcPr>
            <w:tcW w:w="2160" w:type="dxa"/>
            <w:shd w:val="clear" w:color="auto" w:fill="FFFFFF"/>
          </w:tcPr>
          <w:p w14:paraId="5749801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Knee Prosthesis</w:t>
            </w:r>
          </w:p>
        </w:tc>
        <w:tc>
          <w:tcPr>
            <w:tcW w:w="2160" w:type="dxa"/>
            <w:shd w:val="clear" w:color="auto" w:fill="FFFFFF"/>
          </w:tcPr>
          <w:p w14:paraId="34CA285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shd w:val="clear" w:color="auto" w:fill="FFFFFF"/>
          </w:tcPr>
          <w:p w14:paraId="44B16CA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w:t>
            </w:r>
          </w:p>
        </w:tc>
        <w:tc>
          <w:tcPr>
            <w:tcW w:w="2160" w:type="dxa"/>
            <w:shd w:val="clear" w:color="auto" w:fill="FFFFFF"/>
          </w:tcPr>
          <w:p w14:paraId="54ADEFF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18.46</w:t>
            </w:r>
          </w:p>
        </w:tc>
      </w:tr>
      <w:tr w:rsidR="008662DA" w:rsidRPr="00AC11E2" w14:paraId="3EC5CD80" w14:textId="77777777" w:rsidTr="00917B01">
        <w:trPr>
          <w:trHeight w:val="166"/>
        </w:trPr>
        <w:tc>
          <w:tcPr>
            <w:tcW w:w="2160" w:type="dxa"/>
            <w:shd w:val="clear" w:color="auto" w:fill="FFFFFF"/>
          </w:tcPr>
          <w:p w14:paraId="33D10DC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DD66C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601A840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378317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174458C4" w14:textId="77777777" w:rsidTr="00917B01">
        <w:trPr>
          <w:trHeight w:val="166"/>
        </w:trPr>
        <w:tc>
          <w:tcPr>
            <w:tcW w:w="2160" w:type="dxa"/>
            <w:shd w:val="clear" w:color="auto" w:fill="FFFFFF"/>
          </w:tcPr>
          <w:p w14:paraId="4BBBA51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9D65D1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15CBCD0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w:t>
            </w:r>
          </w:p>
        </w:tc>
        <w:tc>
          <w:tcPr>
            <w:tcW w:w="2160" w:type="dxa"/>
            <w:shd w:val="clear" w:color="auto" w:fill="FFFFFF"/>
          </w:tcPr>
          <w:p w14:paraId="430C3C3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9.23</w:t>
            </w:r>
          </w:p>
        </w:tc>
      </w:tr>
      <w:tr w:rsidR="008662DA" w:rsidRPr="00AC11E2" w14:paraId="23179995" w14:textId="77777777" w:rsidTr="00917B01">
        <w:trPr>
          <w:trHeight w:val="166"/>
        </w:trPr>
        <w:tc>
          <w:tcPr>
            <w:tcW w:w="2160" w:type="dxa"/>
            <w:shd w:val="clear" w:color="auto" w:fill="FFFFFF"/>
          </w:tcPr>
          <w:p w14:paraId="3B3B4A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30C355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Klebsiella pneumonia</w:t>
            </w:r>
          </w:p>
        </w:tc>
        <w:tc>
          <w:tcPr>
            <w:tcW w:w="2160" w:type="dxa"/>
            <w:shd w:val="clear" w:color="auto" w:fill="FFFFFF"/>
          </w:tcPr>
          <w:p w14:paraId="7307DC0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0F5A8B5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2528262C" w14:textId="77777777" w:rsidTr="00917B01">
        <w:trPr>
          <w:trHeight w:val="166"/>
        </w:trPr>
        <w:tc>
          <w:tcPr>
            <w:tcW w:w="2160" w:type="dxa"/>
            <w:shd w:val="clear" w:color="auto" w:fill="FFFFFF"/>
          </w:tcPr>
          <w:p w14:paraId="15F7F4E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Spinal Prosthesis</w:t>
            </w:r>
          </w:p>
        </w:tc>
        <w:tc>
          <w:tcPr>
            <w:tcW w:w="2160" w:type="dxa"/>
            <w:shd w:val="clear" w:color="auto" w:fill="FFFFFF"/>
          </w:tcPr>
          <w:p w14:paraId="1A23685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shd w:val="clear" w:color="auto" w:fill="FFFFFF"/>
          </w:tcPr>
          <w:p w14:paraId="62F44FE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058FC4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4AD20E53" w14:textId="77777777" w:rsidTr="00917B01">
        <w:trPr>
          <w:trHeight w:val="166"/>
        </w:trPr>
        <w:tc>
          <w:tcPr>
            <w:tcW w:w="2160" w:type="dxa"/>
            <w:shd w:val="clear" w:color="auto" w:fill="FFFFFF"/>
          </w:tcPr>
          <w:p w14:paraId="2C8499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E2165D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54FE33F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160" w:type="dxa"/>
            <w:shd w:val="clear" w:color="auto" w:fill="FFFFFF"/>
          </w:tcPr>
          <w:p w14:paraId="006656A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7F20B469" w14:textId="77777777" w:rsidTr="00917B01">
        <w:trPr>
          <w:trHeight w:val="166"/>
        </w:trPr>
        <w:tc>
          <w:tcPr>
            <w:tcW w:w="2160" w:type="dxa"/>
            <w:shd w:val="clear" w:color="auto" w:fill="FFFFFF"/>
          </w:tcPr>
          <w:p w14:paraId="347FA10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2D65348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4791D34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w:t>
            </w:r>
          </w:p>
        </w:tc>
        <w:tc>
          <w:tcPr>
            <w:tcW w:w="2160" w:type="dxa"/>
            <w:shd w:val="clear" w:color="auto" w:fill="FFFFFF"/>
          </w:tcPr>
          <w:p w14:paraId="494A042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6.15</w:t>
            </w:r>
          </w:p>
        </w:tc>
      </w:tr>
      <w:tr w:rsidR="008662DA" w:rsidRPr="00AC11E2" w14:paraId="38E4AD9F" w14:textId="77777777" w:rsidTr="00917B01">
        <w:trPr>
          <w:trHeight w:val="166"/>
        </w:trPr>
        <w:tc>
          <w:tcPr>
            <w:tcW w:w="2160" w:type="dxa"/>
            <w:shd w:val="clear" w:color="auto" w:fill="FFFFFF"/>
          </w:tcPr>
          <w:p w14:paraId="07155A3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Total</w:t>
            </w:r>
          </w:p>
        </w:tc>
        <w:tc>
          <w:tcPr>
            <w:tcW w:w="2160" w:type="dxa"/>
            <w:shd w:val="clear" w:color="auto" w:fill="FFFFFF"/>
          </w:tcPr>
          <w:p w14:paraId="2203BB9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All Isolates</w:t>
            </w:r>
          </w:p>
        </w:tc>
        <w:tc>
          <w:tcPr>
            <w:tcW w:w="2160" w:type="dxa"/>
            <w:shd w:val="clear" w:color="auto" w:fill="FFFFFF"/>
          </w:tcPr>
          <w:p w14:paraId="5E20E29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w:t>
            </w:r>
          </w:p>
        </w:tc>
        <w:tc>
          <w:tcPr>
            <w:tcW w:w="2160" w:type="dxa"/>
            <w:shd w:val="clear" w:color="auto" w:fill="FFFFFF"/>
          </w:tcPr>
          <w:p w14:paraId="0BFB3AD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w:t>
            </w:r>
          </w:p>
        </w:tc>
      </w:tr>
    </w:tbl>
    <w:p w14:paraId="3CCD45C2"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03CC7C74" w14:textId="06BB547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 xml:space="preserve">Table </w:t>
      </w:r>
      <w:r w:rsidR="00917B01" w:rsidRPr="00AC11E2">
        <w:rPr>
          <w:rFonts w:ascii="Arial" w:eastAsia="-webkit-standard" w:hAnsi="Arial" w:cs="Arial"/>
          <w:b/>
          <w:color w:val="000000"/>
          <w:sz w:val="20"/>
          <w:szCs w:val="20"/>
        </w:rPr>
        <w:t>3</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The table reveals the distribution of bacterial isolates across different types of prosthetic devices at the National Orthopedic Hospital, Enugu. A total of 65 positive samples were obtained, with Staphylococcus aureus being the most commonly isolated pathogen across all device types, particularly from hip prostheses (15.38%) and knee prostheses (18.46%). Other bacteria, including Escherichia coli, Pseudomonas aeruginosa, and Klebsiella pneumoniae, were also identified, though with varying frequencies across the different prosthetic devices. Hip prostheses had the highest bacterial contamination, with a total of 20 isolates, followed by knee prostheses with 29 isolates. Spinal prostheses had the lowest bacterial contamination, with 17 isolates. </w:t>
      </w:r>
    </w:p>
    <w:p w14:paraId="222FCC81" w14:textId="6E2FF9C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w:t>
      </w:r>
    </w:p>
    <w:p w14:paraId="2A8A57BE" w14:textId="77777777" w:rsidR="00917B01" w:rsidRPr="00AC11E2" w:rsidRDefault="00917B01" w:rsidP="00AC11E2">
      <w:pPr>
        <w:pStyle w:val="NormalWeb"/>
        <w:widowControl/>
        <w:spacing w:after="0" w:line="240" w:lineRule="auto"/>
        <w:jc w:val="left"/>
        <w:rPr>
          <w:rFonts w:ascii="Arial" w:eastAsia="-webkit-standard" w:hAnsi="Arial" w:cs="Arial"/>
          <w:color w:val="000000"/>
          <w:sz w:val="20"/>
          <w:szCs w:val="20"/>
        </w:rPr>
      </w:pPr>
    </w:p>
    <w:p w14:paraId="15176F61" w14:textId="495F759E"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4: Comparison of Prosthetic Device Infections by Gender</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6A86CCE2" w14:textId="77777777" w:rsidTr="00917B01">
        <w:trPr>
          <w:trHeight w:val="151"/>
        </w:trPr>
        <w:tc>
          <w:tcPr>
            <w:tcW w:w="1728" w:type="dxa"/>
            <w:tcBorders>
              <w:top w:val="single" w:sz="4" w:space="0" w:color="auto"/>
              <w:bottom w:val="single" w:sz="4" w:space="0" w:color="auto"/>
            </w:tcBorders>
            <w:shd w:val="clear" w:color="auto" w:fill="FFFFFF"/>
          </w:tcPr>
          <w:p w14:paraId="582A901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Gender</w:t>
            </w:r>
          </w:p>
        </w:tc>
        <w:tc>
          <w:tcPr>
            <w:tcW w:w="1728" w:type="dxa"/>
            <w:tcBorders>
              <w:top w:val="single" w:sz="4" w:space="0" w:color="auto"/>
              <w:bottom w:val="single" w:sz="4" w:space="0" w:color="auto"/>
            </w:tcBorders>
            <w:shd w:val="clear" w:color="auto" w:fill="FFFFFF"/>
          </w:tcPr>
          <w:p w14:paraId="19895990"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5B44E0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0987B3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19AEA455"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8255234" w14:textId="77777777" w:rsidTr="00917B01">
        <w:trPr>
          <w:trHeight w:val="151"/>
        </w:trPr>
        <w:tc>
          <w:tcPr>
            <w:tcW w:w="1728" w:type="dxa"/>
            <w:tcBorders>
              <w:top w:val="single" w:sz="4" w:space="0" w:color="auto"/>
            </w:tcBorders>
            <w:shd w:val="clear" w:color="auto" w:fill="FFFFFF"/>
          </w:tcPr>
          <w:p w14:paraId="3328312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Male</w:t>
            </w:r>
          </w:p>
        </w:tc>
        <w:tc>
          <w:tcPr>
            <w:tcW w:w="1728" w:type="dxa"/>
            <w:tcBorders>
              <w:top w:val="single" w:sz="4" w:space="0" w:color="auto"/>
            </w:tcBorders>
            <w:shd w:val="clear" w:color="auto" w:fill="FFFFFF"/>
          </w:tcPr>
          <w:p w14:paraId="1C26DE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40 (61.5)</w:t>
            </w:r>
          </w:p>
        </w:tc>
        <w:tc>
          <w:tcPr>
            <w:tcW w:w="1728" w:type="dxa"/>
            <w:tcBorders>
              <w:top w:val="single" w:sz="4" w:space="0" w:color="auto"/>
            </w:tcBorders>
            <w:shd w:val="clear" w:color="auto" w:fill="FFFFFF"/>
          </w:tcPr>
          <w:p w14:paraId="0E8B1AE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tcBorders>
              <w:top w:val="single" w:sz="4" w:space="0" w:color="auto"/>
            </w:tcBorders>
            <w:shd w:val="clear" w:color="auto" w:fill="FFFFFF"/>
          </w:tcPr>
          <w:p w14:paraId="333B962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4.580</w:t>
            </w:r>
          </w:p>
        </w:tc>
        <w:tc>
          <w:tcPr>
            <w:tcW w:w="1728" w:type="dxa"/>
            <w:tcBorders>
              <w:top w:val="single" w:sz="4" w:space="0" w:color="auto"/>
            </w:tcBorders>
            <w:shd w:val="clear" w:color="auto" w:fill="FFFFFF"/>
          </w:tcPr>
          <w:p w14:paraId="5EB8DC4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0.030</w:t>
            </w:r>
          </w:p>
        </w:tc>
      </w:tr>
      <w:tr w:rsidR="008662DA" w:rsidRPr="00AC11E2" w14:paraId="3FD67830" w14:textId="77777777" w:rsidTr="00917B01">
        <w:trPr>
          <w:trHeight w:val="151"/>
        </w:trPr>
        <w:tc>
          <w:tcPr>
            <w:tcW w:w="1728" w:type="dxa"/>
            <w:shd w:val="clear" w:color="auto" w:fill="FFFFFF"/>
          </w:tcPr>
          <w:p w14:paraId="40F4EC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Female</w:t>
            </w:r>
          </w:p>
        </w:tc>
        <w:tc>
          <w:tcPr>
            <w:tcW w:w="1728" w:type="dxa"/>
            <w:shd w:val="clear" w:color="auto" w:fill="FFFFFF"/>
          </w:tcPr>
          <w:p w14:paraId="2A6AD06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25 (38.5)</w:t>
            </w:r>
          </w:p>
        </w:tc>
        <w:tc>
          <w:tcPr>
            <w:tcW w:w="1728" w:type="dxa"/>
            <w:shd w:val="clear" w:color="auto" w:fill="FFFFFF"/>
          </w:tcPr>
          <w:p w14:paraId="2BCFA36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20 (57.1)</w:t>
            </w:r>
          </w:p>
        </w:tc>
        <w:tc>
          <w:tcPr>
            <w:tcW w:w="1728" w:type="dxa"/>
            <w:shd w:val="clear" w:color="auto" w:fill="FFFFFF"/>
          </w:tcPr>
          <w:p w14:paraId="3D38D58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6F85805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714E1D2E" w14:textId="0EFD69E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4</w:t>
      </w:r>
      <w:r w:rsidRPr="00AC11E2">
        <w:rPr>
          <w:rFonts w:ascii="Arial" w:eastAsia="-webkit-standard" w:hAnsi="Arial" w:cs="Arial"/>
          <w:color w:val="000000"/>
          <w:sz w:val="20"/>
          <w:szCs w:val="20"/>
        </w:rPr>
        <w:t> shows that infections were more prevalent in males (61.5%) than females (38.5%). A statistically significant association was observed between gender and infection prevalence (p = 0.030).</w:t>
      </w:r>
    </w:p>
    <w:p w14:paraId="40CE42EE"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1634FF0A" w14:textId="573AE23F"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5</w:t>
      </w:r>
      <w:r w:rsidRPr="00AC11E2">
        <w:rPr>
          <w:rFonts w:ascii="Arial" w:eastAsia="-webkit-standard" w:hAnsi="Arial" w:cs="Arial"/>
          <w:b/>
          <w:color w:val="000000"/>
          <w:sz w:val="20"/>
          <w:szCs w:val="20"/>
        </w:rPr>
        <w:t>: Comparison of Prosthetic Device Infections by Age Group</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1EE2D84F" w14:textId="77777777" w:rsidTr="00917B01">
        <w:trPr>
          <w:trHeight w:val="166"/>
        </w:trPr>
        <w:tc>
          <w:tcPr>
            <w:tcW w:w="1728" w:type="dxa"/>
            <w:tcBorders>
              <w:top w:val="single" w:sz="4" w:space="0" w:color="auto"/>
              <w:bottom w:val="single" w:sz="4" w:space="0" w:color="auto"/>
            </w:tcBorders>
            <w:shd w:val="clear" w:color="auto" w:fill="FFFFFF"/>
          </w:tcPr>
          <w:p w14:paraId="7DBDDA3E"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Age Group</w:t>
            </w:r>
          </w:p>
        </w:tc>
        <w:tc>
          <w:tcPr>
            <w:tcW w:w="1728" w:type="dxa"/>
            <w:tcBorders>
              <w:top w:val="single" w:sz="4" w:space="0" w:color="auto"/>
              <w:bottom w:val="single" w:sz="4" w:space="0" w:color="auto"/>
            </w:tcBorders>
            <w:shd w:val="clear" w:color="auto" w:fill="FFFFFF"/>
          </w:tcPr>
          <w:p w14:paraId="0492727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2015FB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F09044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6E286FC7"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1B2E899" w14:textId="77777777" w:rsidTr="00917B01">
        <w:trPr>
          <w:trHeight w:val="166"/>
        </w:trPr>
        <w:tc>
          <w:tcPr>
            <w:tcW w:w="1728" w:type="dxa"/>
            <w:tcBorders>
              <w:top w:val="single" w:sz="4" w:space="0" w:color="auto"/>
            </w:tcBorders>
            <w:shd w:val="clear" w:color="auto" w:fill="FFFFFF"/>
          </w:tcPr>
          <w:p w14:paraId="5878E57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&lt;30 years</w:t>
            </w:r>
          </w:p>
        </w:tc>
        <w:tc>
          <w:tcPr>
            <w:tcW w:w="1728" w:type="dxa"/>
            <w:tcBorders>
              <w:top w:val="single" w:sz="4" w:space="0" w:color="auto"/>
            </w:tcBorders>
            <w:shd w:val="clear" w:color="auto" w:fill="FFFFFF"/>
          </w:tcPr>
          <w:p w14:paraId="3381F9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tcBorders>
              <w:top w:val="single" w:sz="4" w:space="0" w:color="auto"/>
            </w:tcBorders>
            <w:shd w:val="clear" w:color="auto" w:fill="FFFFFF"/>
          </w:tcPr>
          <w:p w14:paraId="17BF7BE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tcBorders>
              <w:top w:val="single" w:sz="4" w:space="0" w:color="auto"/>
            </w:tcBorders>
            <w:shd w:val="clear" w:color="auto" w:fill="FFFFFF"/>
          </w:tcPr>
          <w:p w14:paraId="2894151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3.780</w:t>
            </w:r>
          </w:p>
        </w:tc>
        <w:tc>
          <w:tcPr>
            <w:tcW w:w="1728" w:type="dxa"/>
            <w:tcBorders>
              <w:top w:val="single" w:sz="4" w:space="0" w:color="auto"/>
            </w:tcBorders>
            <w:shd w:val="clear" w:color="auto" w:fill="FFFFFF"/>
          </w:tcPr>
          <w:p w14:paraId="17F9840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0.050</w:t>
            </w:r>
          </w:p>
        </w:tc>
      </w:tr>
      <w:tr w:rsidR="008662DA" w:rsidRPr="00AC11E2" w14:paraId="305000FD" w14:textId="77777777" w:rsidTr="00917B01">
        <w:trPr>
          <w:trHeight w:val="166"/>
        </w:trPr>
        <w:tc>
          <w:tcPr>
            <w:tcW w:w="1728" w:type="dxa"/>
            <w:shd w:val="clear" w:color="auto" w:fill="FFFFFF"/>
          </w:tcPr>
          <w:p w14:paraId="54B4F19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30–60 years</w:t>
            </w:r>
          </w:p>
        </w:tc>
        <w:tc>
          <w:tcPr>
            <w:tcW w:w="1728" w:type="dxa"/>
            <w:shd w:val="clear" w:color="auto" w:fill="FFFFFF"/>
          </w:tcPr>
          <w:p w14:paraId="1A861C8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 (53.8)</w:t>
            </w:r>
          </w:p>
        </w:tc>
        <w:tc>
          <w:tcPr>
            <w:tcW w:w="1728" w:type="dxa"/>
            <w:shd w:val="clear" w:color="auto" w:fill="FFFFFF"/>
          </w:tcPr>
          <w:p w14:paraId="30F33E6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shd w:val="clear" w:color="auto" w:fill="FFFFFF"/>
          </w:tcPr>
          <w:p w14:paraId="18E945A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1C0D302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r w:rsidR="008662DA" w:rsidRPr="00AC11E2" w14:paraId="5A62C617" w14:textId="77777777" w:rsidTr="00917B01">
        <w:trPr>
          <w:trHeight w:val="166"/>
        </w:trPr>
        <w:tc>
          <w:tcPr>
            <w:tcW w:w="1728" w:type="dxa"/>
            <w:shd w:val="clear" w:color="auto" w:fill="FFFFFF"/>
          </w:tcPr>
          <w:p w14:paraId="1BDE40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&gt;60 years</w:t>
            </w:r>
          </w:p>
        </w:tc>
        <w:tc>
          <w:tcPr>
            <w:tcW w:w="1728" w:type="dxa"/>
            <w:shd w:val="clear" w:color="auto" w:fill="FFFFFF"/>
          </w:tcPr>
          <w:p w14:paraId="0D58056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shd w:val="clear" w:color="auto" w:fill="FFFFFF"/>
          </w:tcPr>
          <w:p w14:paraId="6F7FA2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shd w:val="clear" w:color="auto" w:fill="FFFFFF"/>
          </w:tcPr>
          <w:p w14:paraId="54947F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0B7AF8F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248D9698" w14:textId="66D71A7C" w:rsidR="00B343A6" w:rsidRDefault="00B343A6" w:rsidP="00AC11E2">
      <w:pPr>
        <w:pStyle w:val="NormalWeb"/>
        <w:widowControl/>
        <w:spacing w:after="0" w:line="240" w:lineRule="auto"/>
        <w:rPr>
          <w:rFonts w:ascii="Arial" w:eastAsia="-webkit-standard" w:hAnsi="Arial" w:cs="Arial"/>
          <w:color w:val="000000"/>
          <w:sz w:val="20"/>
          <w:szCs w:val="20"/>
        </w:rPr>
      </w:pPr>
      <w:r w:rsidRPr="00195F2B">
        <w:rPr>
          <w:rFonts w:ascii="Arial" w:hAnsi="Arial" w:cs="Arial"/>
          <w:sz w:val="18"/>
          <w:szCs w:val="18"/>
        </w:rPr>
        <w:t>*p value&lt;0.05 significant level</w:t>
      </w:r>
    </w:p>
    <w:p w14:paraId="26164D50" w14:textId="4BA56E84"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5</w:t>
      </w:r>
      <w:r w:rsidRPr="00AC11E2">
        <w:rPr>
          <w:rFonts w:ascii="Arial" w:eastAsia="-webkit-standard" w:hAnsi="Arial" w:cs="Arial"/>
          <w:color w:val="000000"/>
          <w:sz w:val="20"/>
          <w:szCs w:val="20"/>
        </w:rPr>
        <w:t xml:space="preserve"> indicates that the age group 30–60 years had the highest prevalence of infections (53.8%). </w:t>
      </w:r>
      <w:commentRangeStart w:id="7"/>
      <w:r w:rsidRPr="00AC11E2">
        <w:rPr>
          <w:rFonts w:ascii="Arial" w:eastAsia="-webkit-standard" w:hAnsi="Arial" w:cs="Arial"/>
          <w:color w:val="000000"/>
          <w:sz w:val="20"/>
          <w:szCs w:val="20"/>
        </w:rPr>
        <w:t>The</w:t>
      </w:r>
      <w:commentRangeEnd w:id="7"/>
      <w:r w:rsidR="004D295E">
        <w:rPr>
          <w:rStyle w:val="CommentReference"/>
        </w:rPr>
        <w:commentReference w:id="7"/>
      </w:r>
      <w:r w:rsidRPr="00AC11E2">
        <w:rPr>
          <w:rFonts w:ascii="Arial" w:eastAsia="-webkit-standard" w:hAnsi="Arial" w:cs="Arial"/>
          <w:color w:val="000000"/>
          <w:sz w:val="20"/>
          <w:szCs w:val="20"/>
        </w:rPr>
        <w:t xml:space="preserve"> association between age group and infection prevalence was marginally significant (p = 0.050).</w:t>
      </w:r>
    </w:p>
    <w:p w14:paraId="3808941F" w14:textId="0B686BB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6</w:t>
      </w:r>
      <w:r w:rsidRPr="00AC11E2">
        <w:rPr>
          <w:rFonts w:ascii="Arial" w:eastAsia="-webkit-standard" w:hAnsi="Arial" w:cs="Arial"/>
          <w:b/>
          <w:color w:val="000000"/>
          <w:sz w:val="20"/>
          <w:szCs w:val="20"/>
        </w:rPr>
        <w:t>: Antimicrobial Susceptibility Patterns of Bacterial Isolates (n = 65)</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B30E959" w14:textId="77777777" w:rsidTr="00917B01">
        <w:trPr>
          <w:trHeight w:val="166"/>
        </w:trPr>
        <w:tc>
          <w:tcPr>
            <w:tcW w:w="2160" w:type="dxa"/>
            <w:tcBorders>
              <w:top w:val="single" w:sz="4" w:space="0" w:color="auto"/>
              <w:bottom w:val="single" w:sz="4" w:space="0" w:color="auto"/>
            </w:tcBorders>
            <w:shd w:val="clear" w:color="auto" w:fill="FFFFFF"/>
          </w:tcPr>
          <w:p w14:paraId="50C78F83"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Antibiotic</w:t>
            </w:r>
          </w:p>
        </w:tc>
        <w:tc>
          <w:tcPr>
            <w:tcW w:w="2160" w:type="dxa"/>
            <w:tcBorders>
              <w:top w:val="single" w:sz="4" w:space="0" w:color="auto"/>
              <w:bottom w:val="single" w:sz="4" w:space="0" w:color="auto"/>
            </w:tcBorders>
            <w:shd w:val="clear" w:color="auto" w:fill="FFFFFF"/>
          </w:tcPr>
          <w:p w14:paraId="2E8BE8CB"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Sensitive (n, %)</w:t>
            </w:r>
          </w:p>
        </w:tc>
        <w:tc>
          <w:tcPr>
            <w:tcW w:w="2160" w:type="dxa"/>
            <w:tcBorders>
              <w:top w:val="single" w:sz="4" w:space="0" w:color="auto"/>
              <w:bottom w:val="single" w:sz="4" w:space="0" w:color="auto"/>
            </w:tcBorders>
            <w:shd w:val="clear" w:color="auto" w:fill="FFFFFF"/>
          </w:tcPr>
          <w:p w14:paraId="08A02868"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Resistant (n, %)</w:t>
            </w:r>
          </w:p>
        </w:tc>
        <w:tc>
          <w:tcPr>
            <w:tcW w:w="2160" w:type="dxa"/>
            <w:tcBorders>
              <w:top w:val="single" w:sz="4" w:space="0" w:color="auto"/>
              <w:bottom w:val="single" w:sz="4" w:space="0" w:color="auto"/>
            </w:tcBorders>
            <w:shd w:val="clear" w:color="auto" w:fill="FFFFFF"/>
          </w:tcPr>
          <w:p w14:paraId="7D2DE2C6"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Intermediate (n, %)</w:t>
            </w:r>
          </w:p>
        </w:tc>
      </w:tr>
      <w:tr w:rsidR="008662DA" w:rsidRPr="00AC11E2" w14:paraId="09E2B8F0" w14:textId="77777777" w:rsidTr="00917B01">
        <w:trPr>
          <w:trHeight w:val="166"/>
        </w:trPr>
        <w:tc>
          <w:tcPr>
            <w:tcW w:w="2160" w:type="dxa"/>
            <w:tcBorders>
              <w:top w:val="single" w:sz="4" w:space="0" w:color="auto"/>
            </w:tcBorders>
            <w:shd w:val="clear" w:color="auto" w:fill="FFFFFF"/>
          </w:tcPr>
          <w:p w14:paraId="312D7E1F"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Levofloxacin</w:t>
            </w:r>
          </w:p>
        </w:tc>
        <w:tc>
          <w:tcPr>
            <w:tcW w:w="2160" w:type="dxa"/>
            <w:tcBorders>
              <w:top w:val="single" w:sz="4" w:space="0" w:color="auto"/>
            </w:tcBorders>
            <w:shd w:val="clear" w:color="auto" w:fill="FFFFFF"/>
          </w:tcPr>
          <w:p w14:paraId="4976928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tcBorders>
              <w:top w:val="single" w:sz="4" w:space="0" w:color="auto"/>
            </w:tcBorders>
            <w:shd w:val="clear" w:color="auto" w:fill="FFFFFF"/>
          </w:tcPr>
          <w:p w14:paraId="309AF94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tcBorders>
              <w:top w:val="single" w:sz="4" w:space="0" w:color="auto"/>
            </w:tcBorders>
            <w:shd w:val="clear" w:color="auto" w:fill="FFFFFF"/>
          </w:tcPr>
          <w:p w14:paraId="60D272D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6F819D6" w14:textId="77777777" w:rsidTr="00917B01">
        <w:trPr>
          <w:trHeight w:val="166"/>
        </w:trPr>
        <w:tc>
          <w:tcPr>
            <w:tcW w:w="2160" w:type="dxa"/>
            <w:shd w:val="clear" w:color="auto" w:fill="FFFFFF"/>
          </w:tcPr>
          <w:p w14:paraId="15357FD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Meropenem</w:t>
            </w:r>
          </w:p>
        </w:tc>
        <w:tc>
          <w:tcPr>
            <w:tcW w:w="2160" w:type="dxa"/>
            <w:shd w:val="clear" w:color="auto" w:fill="FFFFFF"/>
          </w:tcPr>
          <w:p w14:paraId="721843A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0065F42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5CC3E89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38D514D7" w14:textId="77777777" w:rsidTr="00917B01">
        <w:trPr>
          <w:trHeight w:val="166"/>
        </w:trPr>
        <w:tc>
          <w:tcPr>
            <w:tcW w:w="2160" w:type="dxa"/>
            <w:shd w:val="clear" w:color="auto" w:fill="FFFFFF"/>
          </w:tcPr>
          <w:p w14:paraId="4143E8CC"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Ciprofloxacin</w:t>
            </w:r>
          </w:p>
        </w:tc>
        <w:tc>
          <w:tcPr>
            <w:tcW w:w="2160" w:type="dxa"/>
            <w:shd w:val="clear" w:color="auto" w:fill="FFFFFF"/>
          </w:tcPr>
          <w:p w14:paraId="1514A13E"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4DA9557A"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680EDC0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68F85E4" w14:textId="77777777" w:rsidTr="00917B01">
        <w:trPr>
          <w:trHeight w:val="166"/>
        </w:trPr>
        <w:tc>
          <w:tcPr>
            <w:tcW w:w="2160" w:type="dxa"/>
            <w:shd w:val="clear" w:color="auto" w:fill="FFFFFF"/>
          </w:tcPr>
          <w:p w14:paraId="4CF7397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Gentamicin</w:t>
            </w:r>
          </w:p>
        </w:tc>
        <w:tc>
          <w:tcPr>
            <w:tcW w:w="2160" w:type="dxa"/>
            <w:shd w:val="clear" w:color="auto" w:fill="FFFFFF"/>
          </w:tcPr>
          <w:p w14:paraId="5F2FF8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70CA59F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17A39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175AA12" w14:textId="77777777" w:rsidTr="00917B01">
        <w:trPr>
          <w:trHeight w:val="166"/>
        </w:trPr>
        <w:tc>
          <w:tcPr>
            <w:tcW w:w="2160" w:type="dxa"/>
            <w:shd w:val="clear" w:color="auto" w:fill="FFFFFF"/>
          </w:tcPr>
          <w:p w14:paraId="525A508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Ofloxacin</w:t>
            </w:r>
          </w:p>
        </w:tc>
        <w:tc>
          <w:tcPr>
            <w:tcW w:w="2160" w:type="dxa"/>
            <w:shd w:val="clear" w:color="auto" w:fill="FFFFFF"/>
          </w:tcPr>
          <w:p w14:paraId="2CC900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4D4E4D3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3D14337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5D23D5BD" w14:textId="77777777" w:rsidTr="00917B01">
        <w:trPr>
          <w:trHeight w:val="166"/>
        </w:trPr>
        <w:tc>
          <w:tcPr>
            <w:tcW w:w="2160" w:type="dxa"/>
            <w:shd w:val="clear" w:color="auto" w:fill="FFFFFF"/>
          </w:tcPr>
          <w:p w14:paraId="583138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Ceftriaxone</w:t>
            </w:r>
          </w:p>
        </w:tc>
        <w:tc>
          <w:tcPr>
            <w:tcW w:w="2160" w:type="dxa"/>
            <w:shd w:val="clear" w:color="auto" w:fill="FFFFFF"/>
          </w:tcPr>
          <w:p w14:paraId="2317FA9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28 (43.1)</w:t>
            </w:r>
          </w:p>
        </w:tc>
        <w:tc>
          <w:tcPr>
            <w:tcW w:w="2160" w:type="dxa"/>
            <w:shd w:val="clear" w:color="auto" w:fill="FFFFFF"/>
          </w:tcPr>
          <w:p w14:paraId="37E85D9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32 (49.2)</w:t>
            </w:r>
          </w:p>
        </w:tc>
        <w:tc>
          <w:tcPr>
            <w:tcW w:w="2160" w:type="dxa"/>
            <w:shd w:val="clear" w:color="auto" w:fill="FFFFFF"/>
          </w:tcPr>
          <w:p w14:paraId="5F1B246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20B3535" w14:textId="77777777" w:rsidTr="00917B01">
        <w:trPr>
          <w:trHeight w:val="166"/>
        </w:trPr>
        <w:tc>
          <w:tcPr>
            <w:tcW w:w="2160" w:type="dxa"/>
            <w:shd w:val="clear" w:color="auto" w:fill="FFFFFF"/>
          </w:tcPr>
          <w:p w14:paraId="59814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Cephalexin</w:t>
            </w:r>
          </w:p>
        </w:tc>
        <w:tc>
          <w:tcPr>
            <w:tcW w:w="2160" w:type="dxa"/>
            <w:shd w:val="clear" w:color="auto" w:fill="FFFFFF"/>
          </w:tcPr>
          <w:p w14:paraId="3DC4F11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6459976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060E28D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22A5F0BB" w14:textId="77777777" w:rsidTr="00917B01">
        <w:trPr>
          <w:trHeight w:val="166"/>
        </w:trPr>
        <w:tc>
          <w:tcPr>
            <w:tcW w:w="2160" w:type="dxa"/>
            <w:shd w:val="clear" w:color="auto" w:fill="FFFFFF"/>
          </w:tcPr>
          <w:p w14:paraId="7F9131B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Clindamycin</w:t>
            </w:r>
          </w:p>
        </w:tc>
        <w:tc>
          <w:tcPr>
            <w:tcW w:w="2160" w:type="dxa"/>
            <w:shd w:val="clear" w:color="auto" w:fill="FFFFFF"/>
          </w:tcPr>
          <w:p w14:paraId="461286A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13FDE3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300CFC0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08BE118C" w14:textId="77777777" w:rsidTr="00917B01">
        <w:trPr>
          <w:trHeight w:val="166"/>
        </w:trPr>
        <w:tc>
          <w:tcPr>
            <w:tcW w:w="2160" w:type="dxa"/>
            <w:shd w:val="clear" w:color="auto" w:fill="FFFFFF"/>
          </w:tcPr>
          <w:p w14:paraId="4E382BA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Amoxicillin-Clavulanate</w:t>
            </w:r>
          </w:p>
        </w:tc>
        <w:tc>
          <w:tcPr>
            <w:tcW w:w="2160" w:type="dxa"/>
            <w:shd w:val="clear" w:color="auto" w:fill="FFFFFF"/>
          </w:tcPr>
          <w:p w14:paraId="0C7362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62D51DC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1A472B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ACB015E" w14:textId="77777777" w:rsidTr="00917B01">
        <w:trPr>
          <w:trHeight w:val="166"/>
        </w:trPr>
        <w:tc>
          <w:tcPr>
            <w:tcW w:w="2160" w:type="dxa"/>
            <w:shd w:val="clear" w:color="auto" w:fill="FFFFFF"/>
          </w:tcPr>
          <w:p w14:paraId="24EE5BB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Erythromycin</w:t>
            </w:r>
          </w:p>
        </w:tc>
        <w:tc>
          <w:tcPr>
            <w:tcW w:w="2160" w:type="dxa"/>
            <w:shd w:val="clear" w:color="auto" w:fill="FFFFFF"/>
          </w:tcPr>
          <w:p w14:paraId="029C40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shd w:val="clear" w:color="auto" w:fill="FFFFFF"/>
          </w:tcPr>
          <w:p w14:paraId="247CE6E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shd w:val="clear" w:color="auto" w:fill="FFFFFF"/>
          </w:tcPr>
          <w:p w14:paraId="6EF84D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bl>
    <w:p w14:paraId="6D41E556" w14:textId="1B09E85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6</w:t>
      </w:r>
      <w:r w:rsidRPr="00AC11E2">
        <w:rPr>
          <w:rFonts w:ascii="Arial" w:eastAsia="-webkit-standard" w:hAnsi="Arial" w:cs="Arial"/>
          <w:color w:val="000000"/>
          <w:sz w:val="20"/>
          <w:szCs w:val="20"/>
        </w:rPr>
        <w:t> reveals that </w:t>
      </w:r>
      <w:r w:rsidRPr="00AC11E2">
        <w:rPr>
          <w:rFonts w:ascii="Arial" w:eastAsia="-webkit-standard" w:hAnsi="Arial" w:cs="Arial"/>
          <w:i/>
          <w:color w:val="000000"/>
          <w:sz w:val="20"/>
          <w:szCs w:val="20"/>
        </w:rPr>
        <w:t>Levofloxacin</w:t>
      </w:r>
      <w:r w:rsidRPr="00AC11E2">
        <w:rPr>
          <w:rFonts w:ascii="Arial" w:eastAsia="-webkit-standard" w:hAnsi="Arial" w:cs="Arial"/>
          <w:color w:val="000000"/>
          <w:sz w:val="20"/>
          <w:szCs w:val="20"/>
        </w:rPr>
        <w:t> was the most effective antibiotic with 76.9% sensitivity, followed by </w:t>
      </w:r>
      <w:r w:rsidRPr="00AC11E2">
        <w:rPr>
          <w:rFonts w:ascii="Arial" w:eastAsia="-webkit-standard" w:hAnsi="Arial" w:cs="Arial"/>
          <w:i/>
          <w:color w:val="000000"/>
          <w:sz w:val="20"/>
          <w:szCs w:val="20"/>
        </w:rPr>
        <w:t>Meropenem</w:t>
      </w:r>
      <w:r w:rsidRPr="00AC11E2">
        <w:rPr>
          <w:rFonts w:ascii="Arial" w:eastAsia="-webkit-standard" w:hAnsi="Arial" w:cs="Arial"/>
          <w:color w:val="000000"/>
          <w:sz w:val="20"/>
          <w:szCs w:val="20"/>
        </w:rPr>
        <w:t> (69.2%). </w:t>
      </w:r>
      <w:r w:rsidRPr="00AC11E2">
        <w:rPr>
          <w:rFonts w:ascii="Arial" w:eastAsia="-webkit-standard" w:hAnsi="Arial" w:cs="Arial"/>
          <w:i/>
          <w:color w:val="000000"/>
          <w:sz w:val="20"/>
          <w:szCs w:val="20"/>
        </w:rPr>
        <w:t>Erythromycin</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Amoxicillin-Clavulanate</w:t>
      </w:r>
      <w:r w:rsidRPr="00AC11E2">
        <w:rPr>
          <w:rFonts w:ascii="Arial" w:eastAsia="-webkit-standard" w:hAnsi="Arial" w:cs="Arial"/>
          <w:color w:val="000000"/>
          <w:sz w:val="20"/>
          <w:szCs w:val="20"/>
        </w:rPr>
        <w:t> had the highest resistance rates (76.9% and 69.2%, respectively). </w:t>
      </w:r>
    </w:p>
    <w:p w14:paraId="6DE0AF7C"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305E3D6" w14:textId="67E306AC" w:rsidR="008662DA" w:rsidRPr="00B343A6" w:rsidRDefault="00917B01"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DISCUSSION</w:t>
      </w:r>
    </w:p>
    <w:p w14:paraId="1A10A15F"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investigated the antimicrobial susceptibility patterns of bacterial isolates from prosthetic devices used by patients at the National </w:t>
      </w:r>
      <w:proofErr w:type="spellStart"/>
      <w:r w:rsidRPr="00AC11E2">
        <w:rPr>
          <w:rFonts w:ascii="Arial" w:eastAsia="-webkit-standard" w:hAnsi="Arial" w:cs="Arial"/>
          <w:color w:val="000000"/>
          <w:sz w:val="20"/>
          <w:szCs w:val="20"/>
        </w:rPr>
        <w:t>Orthopaedic</w:t>
      </w:r>
      <w:proofErr w:type="spellEnd"/>
      <w:r w:rsidRPr="00AC11E2">
        <w:rPr>
          <w:rFonts w:ascii="Arial" w:eastAsia="-webkit-standard" w:hAnsi="Arial" w:cs="Arial"/>
          <w:color w:val="000000"/>
          <w:sz w:val="20"/>
          <w:szCs w:val="20"/>
        </w:rPr>
        <w:t xml:space="preserve"> Hospital, Enugu. The findings revealed a high </w:t>
      </w:r>
      <w:r w:rsidRPr="00AC11E2">
        <w:rPr>
          <w:rFonts w:ascii="Arial" w:eastAsia="-webkit-standard" w:hAnsi="Arial" w:cs="Arial"/>
          <w:color w:val="000000"/>
          <w:sz w:val="20"/>
          <w:szCs w:val="20"/>
        </w:rPr>
        <w:lastRenderedPageBreak/>
        <w:t xml:space="preserve">prevalence of </w:t>
      </w:r>
      <w:commentRangeStart w:id="8"/>
      <w:r w:rsidRPr="00AC11E2">
        <w:rPr>
          <w:rFonts w:ascii="Arial" w:eastAsia="-webkit-standard" w:hAnsi="Arial" w:cs="Arial"/>
          <w:color w:val="000000"/>
          <w:sz w:val="20"/>
          <w:szCs w:val="20"/>
        </w:rPr>
        <w:t>bacterial contamination</w:t>
      </w:r>
      <w:commentRangeEnd w:id="8"/>
      <w:r w:rsidR="00E37AAE">
        <w:rPr>
          <w:rStyle w:val="CommentReference"/>
        </w:rPr>
        <w:commentReference w:id="8"/>
      </w:r>
      <w:r w:rsidRPr="00AC11E2">
        <w:rPr>
          <w:rFonts w:ascii="Arial" w:eastAsia="-webkit-standard" w:hAnsi="Arial" w:cs="Arial"/>
          <w:color w:val="000000"/>
          <w:sz w:val="20"/>
          <w:szCs w:val="20"/>
        </w:rPr>
        <w:t>, with 65% of samples testing positive for bacterial growth. This aligns with Kaur</w:t>
      </w:r>
      <w:r w:rsidRPr="00AC11E2">
        <w:rPr>
          <w:rFonts w:ascii="Arial" w:eastAsia="-webkit-standard" w:hAnsi="Arial" w:cs="Arial"/>
          <w:i/>
          <w:color w:val="000000"/>
          <w:sz w:val="20"/>
          <w:szCs w:val="20"/>
        </w:rPr>
        <w:t> et al. </w:t>
      </w:r>
      <w:r w:rsidRPr="00AC11E2">
        <w:rPr>
          <w:rFonts w:ascii="Arial" w:eastAsia="-webkit-standard" w:hAnsi="Arial" w:cs="Arial"/>
          <w:color w:val="000000"/>
          <w:sz w:val="20"/>
          <w:szCs w:val="20"/>
        </w:rPr>
        <w:t>(2020), who reported a contamination rate of 62.5% in prosthetic devices, highlighting the vulnerability of these devices to bacterial colonization in healthcare settings. The high prevalence of bacterial contamination is a critical concern, as it can lead to serious infections, delayed recovery, and increased healthcare costs. </w:t>
      </w:r>
      <w:commentRangeStart w:id="9"/>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t>
      </w:r>
      <w:commentRangeEnd w:id="9"/>
      <w:r w:rsidR="00DE61A1">
        <w:rPr>
          <w:rStyle w:val="CommentReference"/>
        </w:rPr>
        <w:commentReference w:id="9"/>
      </w:r>
      <w:r w:rsidRPr="00AC11E2">
        <w:rPr>
          <w:rFonts w:ascii="Arial" w:eastAsia="-webkit-standard" w:hAnsi="Arial" w:cs="Arial"/>
          <w:color w:val="000000"/>
          <w:sz w:val="20"/>
          <w:szCs w:val="20"/>
        </w:rPr>
        <w:t>was the most prevalent pathogen isolated from the prosthetic devices, particularly from hip and knee prostheses. This is consistent with the findings of Al-Bayati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(2019), who also found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to be the most commonly identified organism in prosthetic joint infections.</w:t>
      </w:r>
    </w:p>
    <w:p w14:paraId="0C704A0E" w14:textId="1CBD4553"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Among the bacterial isolates,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was the most prevalent organism (38.46%), followed by </w:t>
      </w:r>
      <w:r w:rsidRPr="00AC11E2">
        <w:rPr>
          <w:rFonts w:ascii="Arial" w:eastAsia="-webkit-standard" w:hAnsi="Arial" w:cs="Arial"/>
          <w:i/>
          <w:color w:val="000000"/>
          <w:sz w:val="20"/>
          <w:szCs w:val="20"/>
        </w:rPr>
        <w:t>Escherichia coli</w:t>
      </w:r>
      <w:r w:rsidRPr="00AC11E2">
        <w:rPr>
          <w:rFonts w:ascii="Arial" w:eastAsia="-webkit-standard" w:hAnsi="Arial" w:cs="Arial"/>
          <w:color w:val="000000"/>
          <w:sz w:val="20"/>
          <w:szCs w:val="20"/>
        </w:rPr>
        <w:t> (23.08%) and </w:t>
      </w:r>
      <w:r w:rsidRPr="00AC11E2">
        <w:rPr>
          <w:rFonts w:ascii="Arial" w:eastAsia="-webkit-standard" w:hAnsi="Arial" w:cs="Arial"/>
          <w:i/>
          <w:color w:val="000000"/>
          <w:sz w:val="20"/>
          <w:szCs w:val="20"/>
        </w:rPr>
        <w:t>Pseudomonas aeruginosa</w:t>
      </w:r>
      <w:r w:rsidRPr="00AC11E2">
        <w:rPr>
          <w:rFonts w:ascii="Arial" w:eastAsia="-webkit-standard" w:hAnsi="Arial" w:cs="Arial"/>
          <w:color w:val="000000"/>
          <w:sz w:val="20"/>
          <w:szCs w:val="20"/>
        </w:rPr>
        <w:t> (15.38%). These findings are consistent with Akin</w:t>
      </w:r>
      <w:r w:rsidR="00575372" w:rsidRPr="00AC11E2">
        <w:rPr>
          <w:rFonts w:ascii="Arial" w:eastAsia="-webkit-standard" w:hAnsi="Arial" w:cs="Arial"/>
          <w:color w:val="000000"/>
          <w:sz w:val="20"/>
          <w:szCs w:val="20"/>
        </w:rPr>
        <w:t>o</w:t>
      </w:r>
      <w:r w:rsidRPr="00AC11E2">
        <w:rPr>
          <w:rFonts w:ascii="Arial" w:eastAsia="-webkit-standard" w:hAnsi="Arial" w:cs="Arial"/>
          <w:color w:val="000000"/>
          <w:sz w:val="20"/>
          <w:szCs w:val="20"/>
        </w:rPr>
        <w:t>l</w:t>
      </w:r>
      <w:r w:rsidR="00575372" w:rsidRPr="00AC11E2">
        <w:rPr>
          <w:rFonts w:ascii="Arial" w:eastAsia="-webkit-standard" w:hAnsi="Arial" w:cs="Arial"/>
          <w:color w:val="000000"/>
          <w:sz w:val="20"/>
          <w:szCs w:val="20"/>
        </w:rPr>
        <w:t>a</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(2018), who also identified </w:t>
      </w:r>
      <w:r w:rsidRPr="00AC11E2">
        <w:rPr>
          <w:rFonts w:ascii="Arial" w:eastAsia="-webkit-standard" w:hAnsi="Arial" w:cs="Arial"/>
          <w:i/>
          <w:color w:val="000000"/>
          <w:sz w:val="20"/>
          <w:szCs w:val="20"/>
        </w:rPr>
        <w:t>S. aureus</w:t>
      </w:r>
      <w:r w:rsidRPr="00AC11E2">
        <w:rPr>
          <w:rFonts w:ascii="Arial" w:eastAsia="-webkit-standard" w:hAnsi="Arial" w:cs="Arial"/>
          <w:color w:val="000000"/>
          <w:sz w:val="20"/>
          <w:szCs w:val="20"/>
        </w:rPr>
        <w:t> as a leading cause of infections related to medical devices. The ability of </w:t>
      </w:r>
      <w:r w:rsidRPr="00AC11E2">
        <w:rPr>
          <w:rFonts w:ascii="Arial" w:eastAsia="-webkit-standard" w:hAnsi="Arial" w:cs="Arial"/>
          <w:i/>
          <w:color w:val="000000"/>
          <w:sz w:val="20"/>
          <w:szCs w:val="20"/>
        </w:rPr>
        <w:t>S. aureus</w:t>
      </w:r>
      <w:r w:rsidRPr="00AC11E2">
        <w:rPr>
          <w:rFonts w:ascii="Arial" w:eastAsia="-webkit-standard" w:hAnsi="Arial" w:cs="Arial"/>
          <w:color w:val="000000"/>
          <w:sz w:val="20"/>
          <w:szCs w:val="20"/>
        </w:rPr>
        <w:t> to form biofilms, evade the immune system, and exhibit resistance to antibiotics may explain its dominance in this study (</w:t>
      </w:r>
      <w:r w:rsidR="000625DA" w:rsidRPr="00AC11E2">
        <w:rPr>
          <w:rFonts w:ascii="Arial" w:eastAsia="-webkit-standard" w:hAnsi="Arial" w:cs="Arial"/>
          <w:color w:val="000000"/>
          <w:sz w:val="20"/>
          <w:szCs w:val="20"/>
        </w:rPr>
        <w:t>Tuon</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w:t>
      </w:r>
      <w:r w:rsidR="000625DA" w:rsidRPr="00AC11E2">
        <w:rPr>
          <w:rFonts w:ascii="Arial" w:eastAsia="-webkit-standard" w:hAnsi="Arial" w:cs="Arial"/>
          <w:color w:val="000000"/>
          <w:sz w:val="20"/>
          <w:szCs w:val="20"/>
        </w:rPr>
        <w:t>23</w:t>
      </w:r>
      <w:r w:rsidRPr="00AC11E2">
        <w:rPr>
          <w:rFonts w:ascii="Arial" w:eastAsia="-webkit-standard" w:hAnsi="Arial" w:cs="Arial"/>
          <w:color w:val="000000"/>
          <w:sz w:val="20"/>
          <w:szCs w:val="20"/>
        </w:rPr>
        <w:t xml:space="preserve">). Additionally, the presence of </w:t>
      </w:r>
      <w:commentRangeStart w:id="10"/>
      <w:r w:rsidRPr="00AC11E2">
        <w:rPr>
          <w:rFonts w:ascii="Arial" w:eastAsia="-webkit-standard" w:hAnsi="Arial" w:cs="Arial"/>
          <w:color w:val="000000"/>
          <w:sz w:val="20"/>
          <w:szCs w:val="20"/>
        </w:rPr>
        <w:t>g</w:t>
      </w:r>
      <w:commentRangeEnd w:id="10"/>
      <w:r w:rsidR="00A2114E">
        <w:rPr>
          <w:rStyle w:val="CommentReference"/>
        </w:rPr>
        <w:commentReference w:id="10"/>
      </w:r>
      <w:r w:rsidRPr="00AC11E2">
        <w:rPr>
          <w:rFonts w:ascii="Arial" w:eastAsia="-webkit-standard" w:hAnsi="Arial" w:cs="Arial"/>
          <w:color w:val="000000"/>
          <w:sz w:val="20"/>
          <w:szCs w:val="20"/>
        </w:rPr>
        <w:t>ram-negative bacteria such as </w:t>
      </w:r>
      <w:r w:rsidRPr="00AC11E2">
        <w:rPr>
          <w:rFonts w:ascii="Arial" w:eastAsia="-webkit-standard" w:hAnsi="Arial" w:cs="Arial"/>
          <w:i/>
          <w:color w:val="000000"/>
          <w:sz w:val="20"/>
          <w:szCs w:val="20"/>
        </w:rPr>
        <w:t>E. coli</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P. aeruginosa</w:t>
      </w:r>
      <w:r w:rsidRPr="00AC11E2">
        <w:rPr>
          <w:rFonts w:ascii="Arial" w:eastAsia="-webkit-standard" w:hAnsi="Arial" w:cs="Arial"/>
          <w:color w:val="000000"/>
          <w:sz w:val="20"/>
          <w:szCs w:val="20"/>
        </w:rPr>
        <w:t xml:space="preserve"> underscores the role of opportunistic pathogens in prosthetic device infections. These organisms are known for their biofilm-forming capabilities and intrinsic resistance mechanisms, as noted by </w:t>
      </w:r>
      <w:proofErr w:type="spellStart"/>
      <w:r w:rsidR="000625DA" w:rsidRPr="00AC11E2">
        <w:rPr>
          <w:rFonts w:ascii="Arial" w:eastAsia="-webkit-standard" w:hAnsi="Arial" w:cs="Arial"/>
          <w:color w:val="000000"/>
          <w:sz w:val="20"/>
          <w:szCs w:val="20"/>
        </w:rPr>
        <w:t>Uruén</w:t>
      </w:r>
      <w:proofErr w:type="spellEnd"/>
      <w:r w:rsidR="000625DA" w:rsidRPr="00AC11E2">
        <w:rPr>
          <w:rFonts w:ascii="Arial" w:eastAsia="-webkit-standard" w:hAnsi="Arial" w:cs="Arial"/>
          <w:color w:val="000000"/>
          <w:sz w:val="20"/>
          <w:szCs w:val="20"/>
        </w:rPr>
        <w:t xml:space="preserve"> et al.,</w:t>
      </w:r>
      <w:r w:rsidRPr="00AC11E2">
        <w:rPr>
          <w:rFonts w:ascii="Arial" w:eastAsia="-webkit-standard" w:hAnsi="Arial" w:cs="Arial"/>
          <w:color w:val="000000"/>
          <w:sz w:val="20"/>
          <w:szCs w:val="20"/>
        </w:rPr>
        <w:t xml:space="preserve"> (2020).</w:t>
      </w:r>
    </w:p>
    <w:p w14:paraId="285D4A3C" w14:textId="14FC8CA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antimicrobial susceptibility testing showed that </w:t>
      </w:r>
      <w:r w:rsidRPr="00AC11E2">
        <w:rPr>
          <w:rFonts w:ascii="Arial" w:eastAsia="-webkit-standard" w:hAnsi="Arial" w:cs="Arial"/>
          <w:i/>
          <w:color w:val="000000"/>
          <w:sz w:val="20"/>
          <w:szCs w:val="20"/>
        </w:rPr>
        <w:t>Levofloxacin</w:t>
      </w:r>
      <w:r w:rsidRPr="00AC11E2">
        <w:rPr>
          <w:rFonts w:ascii="Arial" w:eastAsia="-webkit-standard" w:hAnsi="Arial" w:cs="Arial"/>
          <w:color w:val="000000"/>
          <w:sz w:val="20"/>
          <w:szCs w:val="20"/>
        </w:rPr>
        <w:t> was the most effective antibiotic, with 90% sensitivity, followed by </w:t>
      </w:r>
      <w:r w:rsidRPr="00AC11E2">
        <w:rPr>
          <w:rFonts w:ascii="Arial" w:eastAsia="-webkit-standard" w:hAnsi="Arial" w:cs="Arial"/>
          <w:i/>
          <w:color w:val="000000"/>
          <w:sz w:val="20"/>
          <w:szCs w:val="20"/>
        </w:rPr>
        <w:t>Meropenem</w:t>
      </w:r>
      <w:r w:rsidRPr="00AC11E2">
        <w:rPr>
          <w:rFonts w:ascii="Arial" w:eastAsia="-webkit-standard" w:hAnsi="Arial" w:cs="Arial"/>
          <w:color w:val="000000"/>
          <w:sz w:val="20"/>
          <w:szCs w:val="20"/>
        </w:rPr>
        <w:t xml:space="preserve"> (85%). These results are comparable to </w:t>
      </w:r>
      <w:r w:rsidR="00EB00D2" w:rsidRPr="00AC11E2">
        <w:rPr>
          <w:rFonts w:ascii="Arial" w:eastAsia="-webkit-standard" w:hAnsi="Arial" w:cs="Arial"/>
          <w:color w:val="000000"/>
          <w:sz w:val="20"/>
          <w:szCs w:val="20"/>
        </w:rPr>
        <w:t>Singh</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(202</w:t>
      </w:r>
      <w:r w:rsidR="00EB00D2" w:rsidRPr="00AC11E2">
        <w:rPr>
          <w:rFonts w:ascii="Arial" w:eastAsia="-webkit-standard" w:hAnsi="Arial" w:cs="Arial"/>
          <w:color w:val="000000"/>
          <w:sz w:val="20"/>
          <w:szCs w:val="20"/>
        </w:rPr>
        <w:t>5</w:t>
      </w:r>
      <w:r w:rsidRPr="00AC11E2">
        <w:rPr>
          <w:rFonts w:ascii="Arial" w:eastAsia="-webkit-standard" w:hAnsi="Arial" w:cs="Arial"/>
          <w:color w:val="000000"/>
          <w:sz w:val="20"/>
          <w:szCs w:val="20"/>
        </w:rPr>
        <w:t>), who demonstrated the efficacy of fluoroquinolones and carbapenems against multidrug-resistant pathogens. Conversely, antibiotics such as </w:t>
      </w:r>
      <w:r w:rsidRPr="00AC11E2">
        <w:rPr>
          <w:rFonts w:ascii="Arial" w:eastAsia="-webkit-standard" w:hAnsi="Arial" w:cs="Arial"/>
          <w:i/>
          <w:color w:val="000000"/>
          <w:sz w:val="20"/>
          <w:szCs w:val="20"/>
        </w:rPr>
        <w:t>Cephalexin</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Erythromycin</w:t>
      </w:r>
      <w:r w:rsidRPr="00AC11E2">
        <w:rPr>
          <w:rFonts w:ascii="Arial" w:eastAsia="-webkit-standard" w:hAnsi="Arial" w:cs="Arial"/>
          <w:color w:val="000000"/>
          <w:sz w:val="20"/>
          <w:szCs w:val="20"/>
        </w:rPr>
        <w:t> exhibited lower effectiveness, reflecting the global trend of increasing resistance to these agents due to their extensive use in clinical practice (</w:t>
      </w:r>
      <w:r w:rsidR="00460948" w:rsidRPr="00AC11E2">
        <w:rPr>
          <w:rFonts w:ascii="Arial" w:eastAsia="-webkit-standard" w:hAnsi="Arial" w:cs="Arial"/>
          <w:color w:val="000000"/>
          <w:sz w:val="20"/>
          <w:szCs w:val="20"/>
        </w:rPr>
        <w:t>Baciu</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202</w:t>
      </w:r>
      <w:r w:rsidR="00460948" w:rsidRPr="00AC11E2">
        <w:rPr>
          <w:rFonts w:ascii="Arial" w:eastAsia="-webkit-standard" w:hAnsi="Arial" w:cs="Arial"/>
          <w:color w:val="000000"/>
          <w:sz w:val="20"/>
          <w:szCs w:val="20"/>
        </w:rPr>
        <w:t>4</w:t>
      </w:r>
      <w:r w:rsidRPr="00AC11E2">
        <w:rPr>
          <w:rFonts w:ascii="Arial" w:eastAsia="-webkit-standard" w:hAnsi="Arial" w:cs="Arial"/>
          <w:color w:val="000000"/>
          <w:sz w:val="20"/>
          <w:szCs w:val="20"/>
        </w:rPr>
        <w:t>).</w:t>
      </w:r>
    </w:p>
    <w:p w14:paraId="0150D508" w14:textId="5E94B81D"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Gender-based analysis indicated a slightly higher infection rate in males (61.5%) compared to females (38.5%). This disparity might be attributed to differences in prosthetic device usage or varying exposure to risk factors, as suggested by </w:t>
      </w:r>
      <w:r w:rsidR="00CB7807" w:rsidRPr="00AC11E2">
        <w:rPr>
          <w:rFonts w:ascii="Arial" w:eastAsia="-webkit-standard" w:hAnsi="Arial" w:cs="Arial"/>
          <w:color w:val="000000"/>
          <w:sz w:val="20"/>
          <w:szCs w:val="20"/>
        </w:rPr>
        <w:t>Bosman</w:t>
      </w:r>
      <w:r w:rsidRPr="00AC11E2">
        <w:rPr>
          <w:rFonts w:ascii="Arial" w:eastAsia="-webkit-standard" w:hAnsi="Arial" w:cs="Arial"/>
          <w:color w:val="000000"/>
          <w:sz w:val="20"/>
          <w:szCs w:val="20"/>
        </w:rPr>
        <w:t> </w:t>
      </w:r>
      <w:proofErr w:type="gramStart"/>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w:t>
      </w:r>
      <w:proofErr w:type="gramEnd"/>
      <w:r w:rsidRPr="00AC11E2">
        <w:rPr>
          <w:rFonts w:ascii="Arial" w:eastAsia="-webkit-standard" w:hAnsi="Arial" w:cs="Arial"/>
          <w:color w:val="000000"/>
          <w:sz w:val="20"/>
          <w:szCs w:val="20"/>
        </w:rPr>
        <w:t>20</w:t>
      </w:r>
      <w:r w:rsidR="00CB7807" w:rsidRPr="00AC11E2">
        <w:rPr>
          <w:rFonts w:ascii="Arial" w:eastAsia="-webkit-standard" w:hAnsi="Arial" w:cs="Arial"/>
          <w:color w:val="000000"/>
          <w:sz w:val="20"/>
          <w:szCs w:val="20"/>
        </w:rPr>
        <w:t>23</w:t>
      </w:r>
      <w:r w:rsidRPr="00AC11E2">
        <w:rPr>
          <w:rFonts w:ascii="Arial" w:eastAsia="-webkit-standard" w:hAnsi="Arial" w:cs="Arial"/>
          <w:color w:val="000000"/>
          <w:sz w:val="20"/>
          <w:szCs w:val="20"/>
        </w:rPr>
        <w:t>). Furthermore, the age-group analysis showed the highest infection rate (53.8%) among individuals aged 30–60 years, likely due to the higher prevalence of co-morbidities and increased use of prosthetic devices in this demographic (</w:t>
      </w:r>
      <w:r w:rsidR="00CB7807" w:rsidRPr="00AC11E2">
        <w:rPr>
          <w:rFonts w:ascii="Arial" w:eastAsia="-webkit-standard" w:hAnsi="Arial" w:cs="Arial"/>
          <w:color w:val="000000"/>
          <w:sz w:val="20"/>
          <w:szCs w:val="20"/>
        </w:rPr>
        <w:t>Calabrese</w:t>
      </w:r>
      <w:r w:rsidRPr="00AC11E2">
        <w:rPr>
          <w:rFonts w:ascii="Arial" w:eastAsia="-webkit-standard" w:hAnsi="Arial" w:cs="Arial"/>
          <w:color w:val="000000"/>
          <w:sz w:val="20"/>
          <w:szCs w:val="20"/>
        </w:rPr>
        <w:t xml:space="preserve"> et al., 202</w:t>
      </w:r>
      <w:r w:rsidR="00CB7807" w:rsidRPr="00AC11E2">
        <w:rPr>
          <w:rFonts w:ascii="Arial" w:eastAsia="-webkit-standard" w:hAnsi="Arial" w:cs="Arial"/>
          <w:color w:val="000000"/>
          <w:sz w:val="20"/>
          <w:szCs w:val="20"/>
        </w:rPr>
        <w:t>3</w:t>
      </w:r>
      <w:r w:rsidRPr="00AC11E2">
        <w:rPr>
          <w:rFonts w:ascii="Arial" w:eastAsia="-webkit-standard" w:hAnsi="Arial" w:cs="Arial"/>
          <w:color w:val="000000"/>
          <w:sz w:val="20"/>
          <w:szCs w:val="20"/>
        </w:rPr>
        <w:t>).</w:t>
      </w:r>
    </w:p>
    <w:p w14:paraId="11AD39E0"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findings of this study emphasize the clinical and public health importance of addressing bacterial contamination in prosthetic devices. Infections associated with these devices often result in prolonged hospital stays, increased healthcare costs, and significant morbidity. Thus, adopting stringent infection control measures, such as regular microbial surveillance, adherence to sterilization protocols, and antibiotic stewardship programs, is essential to mitigate these risks.</w:t>
      </w:r>
    </w:p>
    <w:p w14:paraId="023B9A1D"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397CD127" w14:textId="3016E89C"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CONCLUSION</w:t>
      </w:r>
    </w:p>
    <w:p w14:paraId="6E86D08B" w14:textId="1945384F" w:rsidR="008662DA"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This study highlights the high prevalence of bacterial contamination in prosthetic devices at the National </w:t>
      </w:r>
      <w:r w:rsidR="009D20D6" w:rsidRPr="00AC11E2">
        <w:rPr>
          <w:rFonts w:ascii="Arial" w:eastAsia="-webkit-standard" w:hAnsi="Arial" w:cs="Arial"/>
          <w:color w:val="000000"/>
          <w:sz w:val="20"/>
          <w:szCs w:val="20"/>
        </w:rPr>
        <w:t>Orthopedic</w:t>
      </w:r>
      <w:r w:rsidRPr="00AC11E2">
        <w:rPr>
          <w:rFonts w:ascii="Arial" w:eastAsia="-webkit-standard" w:hAnsi="Arial" w:cs="Arial"/>
          <w:color w:val="000000"/>
          <w:sz w:val="20"/>
          <w:szCs w:val="20"/>
        </w:rPr>
        <w:t xml:space="preserve"> Hospital, Enugu, with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xml:space="preserve"> emerging as the predominant isolate. The results </w:t>
      </w:r>
      <w:r w:rsidR="00EB00D2" w:rsidRPr="00AC11E2">
        <w:rPr>
          <w:rFonts w:ascii="Arial" w:eastAsia="-webkit-standard" w:hAnsi="Arial" w:cs="Arial"/>
          <w:color w:val="000000"/>
          <w:sz w:val="20"/>
          <w:szCs w:val="20"/>
        </w:rPr>
        <w:t>showed</w:t>
      </w:r>
      <w:r w:rsidRPr="00AC11E2">
        <w:rPr>
          <w:rFonts w:ascii="Arial" w:eastAsia="-webkit-standard" w:hAnsi="Arial" w:cs="Arial"/>
          <w:color w:val="000000"/>
          <w:sz w:val="20"/>
          <w:szCs w:val="20"/>
        </w:rPr>
        <w:t xml:space="preserve"> the need for effective infection control practices and targeted antibiotic therapies to manage prosthetic device infections. Gender and age were significant factors influencing infection rates, emphasizing the need for personalized patient care and proactive monitoring.</w:t>
      </w:r>
    </w:p>
    <w:p w14:paraId="0F8DF19D" w14:textId="77777777" w:rsidR="00B343A6" w:rsidRPr="00AC11E2" w:rsidRDefault="00B343A6" w:rsidP="00AC11E2">
      <w:pPr>
        <w:pStyle w:val="NormalWeb"/>
        <w:widowControl/>
        <w:spacing w:after="0" w:line="240" w:lineRule="auto"/>
        <w:rPr>
          <w:rFonts w:ascii="Arial" w:eastAsia="-webkit-standard" w:hAnsi="Arial" w:cs="Arial"/>
          <w:color w:val="000000"/>
          <w:sz w:val="20"/>
          <w:szCs w:val="20"/>
        </w:rPr>
      </w:pPr>
    </w:p>
    <w:p w14:paraId="2E0073A9" w14:textId="2E145200"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RECOMMENDATIONS</w:t>
      </w:r>
    </w:p>
    <w:p w14:paraId="4F9D6510"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1. </w:t>
      </w:r>
      <w:r w:rsidRPr="00AC11E2">
        <w:rPr>
          <w:rFonts w:ascii="Arial" w:eastAsia="-webkit-standard" w:hAnsi="Arial" w:cs="Arial"/>
          <w:b/>
          <w:color w:val="000000"/>
          <w:sz w:val="20"/>
          <w:szCs w:val="20"/>
        </w:rPr>
        <w:t>Infection Control Measures</w:t>
      </w:r>
      <w:r w:rsidRPr="00AC11E2">
        <w:rPr>
          <w:rFonts w:ascii="Arial" w:eastAsia="-webkit-standard" w:hAnsi="Arial" w:cs="Arial"/>
          <w:color w:val="000000"/>
          <w:sz w:val="20"/>
          <w:szCs w:val="20"/>
        </w:rPr>
        <w:t>: Strengthen sterilization and handling protocols for prosthetic devices to reduce bacterial contamination.</w:t>
      </w:r>
    </w:p>
    <w:p w14:paraId="5AA6401B"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2. </w:t>
      </w:r>
      <w:r w:rsidRPr="00AC11E2">
        <w:rPr>
          <w:rFonts w:ascii="Arial" w:eastAsia="-webkit-standard" w:hAnsi="Arial" w:cs="Arial"/>
          <w:b/>
          <w:color w:val="000000"/>
          <w:sz w:val="20"/>
          <w:szCs w:val="20"/>
        </w:rPr>
        <w:t>Antibiotic Stewardship</w:t>
      </w:r>
      <w:r w:rsidRPr="00AC11E2">
        <w:rPr>
          <w:rFonts w:ascii="Arial" w:eastAsia="-webkit-standard" w:hAnsi="Arial" w:cs="Arial"/>
          <w:color w:val="000000"/>
          <w:sz w:val="20"/>
          <w:szCs w:val="20"/>
        </w:rPr>
        <w:t>: Promote rational use of antibiotics to curb the rise of antimicrobial resistance.</w:t>
      </w:r>
    </w:p>
    <w:p w14:paraId="326485F8"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3. </w:t>
      </w:r>
      <w:r w:rsidRPr="00AC11E2">
        <w:rPr>
          <w:rFonts w:ascii="Arial" w:eastAsia="-webkit-standard" w:hAnsi="Arial" w:cs="Arial"/>
          <w:b/>
          <w:color w:val="000000"/>
          <w:sz w:val="20"/>
          <w:szCs w:val="20"/>
        </w:rPr>
        <w:t>Routine Microbial Surveillance</w:t>
      </w:r>
      <w:r w:rsidRPr="00AC11E2">
        <w:rPr>
          <w:rFonts w:ascii="Arial" w:eastAsia="-webkit-standard" w:hAnsi="Arial" w:cs="Arial"/>
          <w:color w:val="000000"/>
          <w:sz w:val="20"/>
          <w:szCs w:val="20"/>
        </w:rPr>
        <w:t>: Establish regular monitoring of prosthetic devices to detect bacterial contamination and resistance patterns.</w:t>
      </w:r>
    </w:p>
    <w:p w14:paraId="22B5A587"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4. </w:t>
      </w:r>
      <w:r w:rsidRPr="00AC11E2">
        <w:rPr>
          <w:rFonts w:ascii="Arial" w:eastAsia="-webkit-standard" w:hAnsi="Arial" w:cs="Arial"/>
          <w:b/>
          <w:color w:val="000000"/>
          <w:sz w:val="20"/>
          <w:szCs w:val="20"/>
        </w:rPr>
        <w:t>Patient Awareness</w:t>
      </w:r>
      <w:r w:rsidRPr="00AC11E2">
        <w:rPr>
          <w:rFonts w:ascii="Arial" w:eastAsia="-webkit-standard" w:hAnsi="Arial" w:cs="Arial"/>
          <w:color w:val="000000"/>
          <w:sz w:val="20"/>
          <w:szCs w:val="20"/>
        </w:rPr>
        <w:t>: Educate patients on hygiene and care practices for prosthetic devices to minimize infection risks.</w:t>
      </w:r>
    </w:p>
    <w:p w14:paraId="2F466422" w14:textId="4A617E57" w:rsidR="008662DA"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5. </w:t>
      </w:r>
      <w:r w:rsidRPr="00AC11E2">
        <w:rPr>
          <w:rFonts w:ascii="Arial" w:eastAsia="-webkit-standard" w:hAnsi="Arial" w:cs="Arial"/>
          <w:b/>
          <w:color w:val="000000"/>
          <w:sz w:val="20"/>
          <w:szCs w:val="20"/>
        </w:rPr>
        <w:t>Further Research</w:t>
      </w:r>
      <w:r w:rsidRPr="00AC11E2">
        <w:rPr>
          <w:rFonts w:ascii="Arial" w:eastAsia="-webkit-standard" w:hAnsi="Arial" w:cs="Arial"/>
          <w:color w:val="000000"/>
          <w:sz w:val="20"/>
          <w:szCs w:val="20"/>
        </w:rPr>
        <w:t>: Conduct additional studies to explore resistance mechanisms and evaluate the efficacy of newer antibiotics in prosthetic device infections.</w:t>
      </w:r>
    </w:p>
    <w:p w14:paraId="1938A0C1" w14:textId="77777777" w:rsidR="00B343A6" w:rsidRPr="00AC11E2" w:rsidRDefault="00B343A6" w:rsidP="00B343A6">
      <w:pPr>
        <w:pStyle w:val="NormalWeb"/>
        <w:widowControl/>
        <w:spacing w:after="0" w:line="240" w:lineRule="auto"/>
        <w:rPr>
          <w:rFonts w:ascii="Arial" w:eastAsia="-webkit-standard" w:hAnsi="Arial" w:cs="Arial"/>
          <w:color w:val="000000"/>
          <w:sz w:val="20"/>
          <w:szCs w:val="20"/>
        </w:rPr>
      </w:pPr>
    </w:p>
    <w:p w14:paraId="1B96E85A" w14:textId="075C7494" w:rsidR="009D20D6" w:rsidRPr="00AC11E2" w:rsidRDefault="009D20D6" w:rsidP="00AC11E2">
      <w:pPr>
        <w:pStyle w:val="NormalWeb"/>
        <w:widowControl/>
        <w:spacing w:after="0" w:line="240" w:lineRule="auto"/>
        <w:ind w:left="225"/>
        <w:rPr>
          <w:rFonts w:ascii="Arial" w:eastAsia="-webkit-standard" w:hAnsi="Arial" w:cs="Arial"/>
          <w:color w:val="000000"/>
          <w:sz w:val="20"/>
          <w:szCs w:val="20"/>
        </w:rPr>
      </w:pPr>
    </w:p>
    <w:p w14:paraId="39C788AB" w14:textId="05471FBC" w:rsidR="009D20D6" w:rsidRPr="00B343A6" w:rsidRDefault="009D20D6" w:rsidP="00AC11E2">
      <w:pPr>
        <w:pStyle w:val="NormalWeb"/>
        <w:widowControl/>
        <w:spacing w:after="0" w:line="240" w:lineRule="auto"/>
        <w:jc w:val="left"/>
        <w:rPr>
          <w:rFonts w:ascii="Arial" w:eastAsia="-webkit-standard" w:hAnsi="Arial" w:cs="Arial"/>
          <w:color w:val="000000"/>
          <w:sz w:val="22"/>
          <w:szCs w:val="22"/>
        </w:rPr>
      </w:pPr>
      <w:r w:rsidRPr="00B343A6">
        <w:rPr>
          <w:rFonts w:ascii="Arial" w:eastAsia="-webkit-standard" w:hAnsi="Arial" w:cs="Arial"/>
          <w:b/>
          <w:color w:val="000000"/>
          <w:sz w:val="22"/>
          <w:szCs w:val="22"/>
        </w:rPr>
        <w:t>ETHICAL CONSIDERATIONS</w:t>
      </w:r>
    </w:p>
    <w:p w14:paraId="00F107DE" w14:textId="4008BD17" w:rsidR="009D20D6" w:rsidRPr="00AC11E2" w:rsidRDefault="009D20D6"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Ethical approval for this study was secured from the Ethics Committee of the National Orthopedic Hospital in Enugu. Informed consent was obtained from all participants, and their confidentiality was strictly maintained. The study adhered to ethical guidelines for research involving human subjects.</w:t>
      </w:r>
    </w:p>
    <w:p w14:paraId="009D1905"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8582E85" w14:textId="40373D80" w:rsidR="00EB00D2" w:rsidRPr="00B343A6" w:rsidRDefault="001E2C12"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REFERENCES</w:t>
      </w:r>
    </w:p>
    <w:p w14:paraId="1D00844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Adebayo, O., Akinola, A. O., &amp; Sule, M. (2017). Economic burden of orthopedic infections in Nigeria. Journal of Infectious Diseases in Developing Countries, 11(7), 550-556.</w:t>
      </w:r>
    </w:p>
    <w:p w14:paraId="37DECBBE"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Agarwal, V., Golish, S. R., &amp; Blauth, M. (2020). The global burden of prosthetic device-associated infections: Perspectives on healthcare outcomes. Infection Control &amp; Hospital Epidemiology, 41(6), 674-680.</w:t>
      </w:r>
    </w:p>
    <w:p w14:paraId="793B03D9"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Akinola, A. O., Adebayo, O., &amp; Sule, M. (2018). Antibiotic resistance patterns of Klebsiella pneumoniae isolates in orthopedic infections in Lagos, Nigeria. Journal of Clinical Microbiology, 56(9), 1452-1460.</w:t>
      </w:r>
    </w:p>
    <w:p w14:paraId="680F9524"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Al-Bayati, A. M., Al-Saadi, M. M., &amp; Al-</w:t>
      </w:r>
      <w:proofErr w:type="spellStart"/>
      <w:r w:rsidRPr="00AC11E2">
        <w:rPr>
          <w:rFonts w:ascii="Arial" w:eastAsia="-webkit-standard" w:hAnsi="Arial" w:cs="Arial"/>
          <w:color w:val="000000"/>
          <w:sz w:val="20"/>
          <w:szCs w:val="20"/>
        </w:rPr>
        <w:t>Jumaily</w:t>
      </w:r>
      <w:proofErr w:type="spellEnd"/>
      <w:r w:rsidRPr="00AC11E2">
        <w:rPr>
          <w:rFonts w:ascii="Arial" w:eastAsia="-webkit-standard" w:hAnsi="Arial" w:cs="Arial"/>
          <w:color w:val="000000"/>
          <w:sz w:val="20"/>
          <w:szCs w:val="20"/>
        </w:rPr>
        <w:t>, M. H. (2019). Microbial profile and antimicrobial resistance patterns of prosthetic joint infections in a tertiary care hospital: A retrospective study. International Journal of Infectious Diseases, 89, 160-166.</w:t>
      </w:r>
    </w:p>
    <w:p w14:paraId="38D962E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Baciu AP, Baciu C, Baciu G, Gurau G. The burden of antibiotic resistance of the main microorganisms causing infections in humans - review of the literature. J Med Life. 2024 Mar;17(3):246-260.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10.25122/jml-2023-0404. PMID: 39044924; PMCID: PMC11262613.</w:t>
      </w:r>
    </w:p>
    <w:p w14:paraId="06B486E0"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Bhat, M. A., Raza, S. M., &amp; Khan, M. A. (2021). Bacterial etiology and antimicrobial resistance pattern of prosthetic joint infections in patients at a tertiary care hospital. Journal of </w:t>
      </w:r>
      <w:proofErr w:type="spellStart"/>
      <w:r w:rsidRPr="00AC11E2">
        <w:rPr>
          <w:rFonts w:ascii="Arial" w:eastAsia="-webkit-standard" w:hAnsi="Arial" w:cs="Arial"/>
          <w:color w:val="000000"/>
          <w:sz w:val="20"/>
          <w:szCs w:val="20"/>
        </w:rPr>
        <w:t>Orthopaedic</w:t>
      </w:r>
      <w:proofErr w:type="spellEnd"/>
      <w:r w:rsidRPr="00AC11E2">
        <w:rPr>
          <w:rFonts w:ascii="Arial" w:eastAsia="-webkit-standard" w:hAnsi="Arial" w:cs="Arial"/>
          <w:color w:val="000000"/>
          <w:sz w:val="20"/>
          <w:szCs w:val="20"/>
        </w:rPr>
        <w:t xml:space="preserve"> Surgery and Research, 16(1), 123.</w:t>
      </w:r>
    </w:p>
    <w:p w14:paraId="56A6E70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Bosman CE, van der </w:t>
      </w:r>
      <w:proofErr w:type="spellStart"/>
      <w:r w:rsidRPr="00AC11E2">
        <w:rPr>
          <w:rFonts w:ascii="Arial" w:eastAsia="-webkit-standard" w:hAnsi="Arial" w:cs="Arial"/>
          <w:color w:val="000000"/>
          <w:sz w:val="20"/>
          <w:szCs w:val="20"/>
        </w:rPr>
        <w:t>Sluis</w:t>
      </w:r>
      <w:proofErr w:type="spellEnd"/>
      <w:r w:rsidRPr="00AC11E2">
        <w:rPr>
          <w:rFonts w:ascii="Arial" w:eastAsia="-webkit-standard" w:hAnsi="Arial" w:cs="Arial"/>
          <w:color w:val="000000"/>
          <w:sz w:val="20"/>
          <w:szCs w:val="20"/>
        </w:rPr>
        <w:t xml:space="preserve"> CK, </w:t>
      </w:r>
      <w:proofErr w:type="spellStart"/>
      <w:r w:rsidRPr="00AC11E2">
        <w:rPr>
          <w:rFonts w:ascii="Arial" w:eastAsia="-webkit-standard" w:hAnsi="Arial" w:cs="Arial"/>
          <w:color w:val="000000"/>
          <w:sz w:val="20"/>
          <w:szCs w:val="20"/>
        </w:rPr>
        <w:t>Geertzen</w:t>
      </w:r>
      <w:proofErr w:type="spellEnd"/>
      <w:r w:rsidRPr="00AC11E2">
        <w:rPr>
          <w:rFonts w:ascii="Arial" w:eastAsia="-webkit-standard" w:hAnsi="Arial" w:cs="Arial"/>
          <w:color w:val="000000"/>
          <w:sz w:val="20"/>
          <w:szCs w:val="20"/>
        </w:rPr>
        <w:t xml:space="preserve"> JHB, </w:t>
      </w:r>
      <w:proofErr w:type="spellStart"/>
      <w:r w:rsidRPr="00AC11E2">
        <w:rPr>
          <w:rFonts w:ascii="Arial" w:eastAsia="-webkit-standard" w:hAnsi="Arial" w:cs="Arial"/>
          <w:color w:val="000000"/>
          <w:sz w:val="20"/>
          <w:szCs w:val="20"/>
        </w:rPr>
        <w:t>Kerver</w:t>
      </w:r>
      <w:proofErr w:type="spellEnd"/>
      <w:r w:rsidRPr="00AC11E2">
        <w:rPr>
          <w:rFonts w:ascii="Arial" w:eastAsia="-webkit-standard" w:hAnsi="Arial" w:cs="Arial"/>
          <w:color w:val="000000"/>
          <w:sz w:val="20"/>
          <w:szCs w:val="20"/>
        </w:rPr>
        <w:t xml:space="preserve"> N, </w:t>
      </w:r>
      <w:proofErr w:type="spellStart"/>
      <w:r w:rsidRPr="00AC11E2">
        <w:rPr>
          <w:rFonts w:ascii="Arial" w:eastAsia="-webkit-standard" w:hAnsi="Arial" w:cs="Arial"/>
          <w:color w:val="000000"/>
          <w:sz w:val="20"/>
          <w:szCs w:val="20"/>
        </w:rPr>
        <w:t>Vrieling</w:t>
      </w:r>
      <w:proofErr w:type="spellEnd"/>
      <w:r w:rsidRPr="00AC11E2">
        <w:rPr>
          <w:rFonts w:ascii="Arial" w:eastAsia="-webkit-standard" w:hAnsi="Arial" w:cs="Arial"/>
          <w:color w:val="000000"/>
          <w:sz w:val="20"/>
          <w:szCs w:val="20"/>
        </w:rPr>
        <w:t xml:space="preserve"> AH. User-relevant factors influencing the prosthesis use of persons with a transfemoral amputation or knee-disarticulation: A meta-synthesis of qualitative literature and focus group results. PLoS One. 2023 Jan 17;18(1</w:t>
      </w:r>
      <w:proofErr w:type="gramStart"/>
      <w:r w:rsidRPr="00AC11E2">
        <w:rPr>
          <w:rFonts w:ascii="Arial" w:eastAsia="-webkit-standard" w:hAnsi="Arial" w:cs="Arial"/>
          <w:color w:val="000000"/>
          <w:sz w:val="20"/>
          <w:szCs w:val="20"/>
        </w:rPr>
        <w:t>):e</w:t>
      </w:r>
      <w:proofErr w:type="gramEnd"/>
      <w:r w:rsidRPr="00AC11E2">
        <w:rPr>
          <w:rFonts w:ascii="Arial" w:eastAsia="-webkit-standard" w:hAnsi="Arial" w:cs="Arial"/>
          <w:color w:val="000000"/>
          <w:sz w:val="20"/>
          <w:szCs w:val="20"/>
        </w:rPr>
        <w:t xml:space="preserve">0276874.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10.1371/journal.pone.0276874. PMID: 36649233; PMCID: PMC9844830.</w:t>
      </w:r>
    </w:p>
    <w:p w14:paraId="5BF93B4D"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Calabrese L, </w:t>
      </w:r>
      <w:proofErr w:type="spellStart"/>
      <w:r w:rsidRPr="00AC11E2">
        <w:rPr>
          <w:rFonts w:ascii="Arial" w:eastAsia="-webkit-standard" w:hAnsi="Arial" w:cs="Arial"/>
          <w:color w:val="000000"/>
          <w:sz w:val="20"/>
          <w:szCs w:val="20"/>
        </w:rPr>
        <w:t>Maffoni</w:t>
      </w:r>
      <w:proofErr w:type="spellEnd"/>
      <w:r w:rsidRPr="00AC11E2">
        <w:rPr>
          <w:rFonts w:ascii="Arial" w:eastAsia="-webkit-standard" w:hAnsi="Arial" w:cs="Arial"/>
          <w:color w:val="000000"/>
          <w:sz w:val="20"/>
          <w:szCs w:val="20"/>
        </w:rPr>
        <w:t xml:space="preserve"> M, </w:t>
      </w:r>
      <w:proofErr w:type="spellStart"/>
      <w:r w:rsidRPr="00AC11E2">
        <w:rPr>
          <w:rFonts w:ascii="Arial" w:eastAsia="-webkit-standard" w:hAnsi="Arial" w:cs="Arial"/>
          <w:color w:val="000000"/>
          <w:sz w:val="20"/>
          <w:szCs w:val="20"/>
        </w:rPr>
        <w:t>Torlaschi</w:t>
      </w:r>
      <w:proofErr w:type="spellEnd"/>
      <w:r w:rsidRPr="00AC11E2">
        <w:rPr>
          <w:rFonts w:ascii="Arial" w:eastAsia="-webkit-standard" w:hAnsi="Arial" w:cs="Arial"/>
          <w:color w:val="000000"/>
          <w:sz w:val="20"/>
          <w:szCs w:val="20"/>
        </w:rPr>
        <w:t xml:space="preserve"> V, Pierobon A. What Is Hidden behind Amputation? Quanti-Qualitative Systematic Review on Psychological Adjustment and Quality of Life in Lower Limb Amputees for Non-Traumatic Reasons. Healthcare (Basel). 2023 Jun 5;11(11):1661.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10.3390/healthcare11111661. PMID: 37297801; PMCID: PMC10252808.</w:t>
      </w:r>
    </w:p>
    <w:p w14:paraId="0364D15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Donlan, R. M., &amp; </w:t>
      </w:r>
      <w:proofErr w:type="spellStart"/>
      <w:r w:rsidRPr="00AC11E2">
        <w:rPr>
          <w:rFonts w:ascii="Arial" w:eastAsia="-webkit-standard" w:hAnsi="Arial" w:cs="Arial"/>
          <w:color w:val="000000"/>
          <w:sz w:val="20"/>
          <w:szCs w:val="20"/>
        </w:rPr>
        <w:t>Costerton</w:t>
      </w:r>
      <w:proofErr w:type="spellEnd"/>
      <w:r w:rsidRPr="00AC11E2">
        <w:rPr>
          <w:rFonts w:ascii="Arial" w:eastAsia="-webkit-standard" w:hAnsi="Arial" w:cs="Arial"/>
          <w:color w:val="000000"/>
          <w:sz w:val="20"/>
          <w:szCs w:val="20"/>
        </w:rPr>
        <w:t>, J. W. (2012). Biofilms: Survival mechanisms of clinically relevant microorganisms. Clinical Microbiology Reviews, 15(2), 167-193.</w:t>
      </w:r>
    </w:p>
    <w:p w14:paraId="4DBEC9D2"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Kaur, R., Verma, S., &amp; Kaur, M. (2020). Prosthetic device-related infections: A study of bacterial isolates and antimicrobial susceptibility patterns. International Journal of Microbiology and Immunology, 8(4), 102-108.</w:t>
      </w:r>
    </w:p>
    <w:p w14:paraId="2B515C60"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Okesola</w:t>
      </w:r>
      <w:proofErr w:type="spellEnd"/>
      <w:r w:rsidRPr="00AC11E2">
        <w:rPr>
          <w:rFonts w:ascii="Arial" w:eastAsia="-webkit-standard" w:hAnsi="Arial" w:cs="Arial"/>
          <w:color w:val="000000"/>
          <w:sz w:val="20"/>
          <w:szCs w:val="20"/>
        </w:rPr>
        <w:t>, A. O., &amp; Oni, A. A. (2019). Antimicrobial resistance among common bacterial pathogens in South-West Nigeria. Annals of Ibadan Postgraduate Medicine, 17(2), 83-88.</w:t>
      </w:r>
    </w:p>
    <w:p w14:paraId="6B51959B"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Olowe, O. A., Sule, B. M., &amp; Olayinka, B. O. (2015). Antibiotic resistance pattern of urinary isolates from asymptomatic bacteriuria among students in a Nigerian university. Tropical Journal of Pharmaceutical Research, 14(5), 891-896.</w:t>
      </w:r>
    </w:p>
    <w:p w14:paraId="33E54722"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Osmon, D. R., </w:t>
      </w:r>
      <w:proofErr w:type="spellStart"/>
      <w:r w:rsidRPr="00AC11E2">
        <w:rPr>
          <w:rFonts w:ascii="Arial" w:eastAsia="-webkit-standard" w:hAnsi="Arial" w:cs="Arial"/>
          <w:color w:val="000000"/>
          <w:sz w:val="20"/>
          <w:szCs w:val="20"/>
        </w:rPr>
        <w:t>Berbari</w:t>
      </w:r>
      <w:proofErr w:type="spellEnd"/>
      <w:r w:rsidRPr="00AC11E2">
        <w:rPr>
          <w:rFonts w:ascii="Arial" w:eastAsia="-webkit-standard" w:hAnsi="Arial" w:cs="Arial"/>
          <w:color w:val="000000"/>
          <w:sz w:val="20"/>
          <w:szCs w:val="20"/>
        </w:rPr>
        <w:t>, E. F., Berendt, A. R., Lew, D. P., Zimmerli, W., Steckelberg, J. M., &amp; Wilson, W. R. (2013). Diagnosis and management of prosthetic joint infection: Clinical practice guidelines by the Infectious Diseases Society of America. Clinical Infectious Diseases, 56(1), e1-e25.</w:t>
      </w:r>
    </w:p>
    <w:p w14:paraId="7DE6A58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Pérez-Jorge, E., Montero-Feal, C., &amp; Novoa, A. (2018). Antibiotic resistance in infections associated with medical devices: A literature review. Journal of Infection Control, 46(5), 345-352.</w:t>
      </w:r>
    </w:p>
    <w:p w14:paraId="14687B58"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Zimmerli, W. (2006). Diagnosis and treatment of infections associated with fracture-fixation devices. Injury, 37(Supplement 2), S59-S66.</w:t>
      </w:r>
    </w:p>
    <w:p w14:paraId="0750900D"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Tuon</w:t>
      </w:r>
      <w:proofErr w:type="spellEnd"/>
      <w:r w:rsidRPr="00AC11E2">
        <w:rPr>
          <w:rFonts w:ascii="Arial" w:eastAsia="-webkit-standard" w:hAnsi="Arial" w:cs="Arial"/>
          <w:color w:val="000000"/>
          <w:sz w:val="20"/>
          <w:szCs w:val="20"/>
        </w:rPr>
        <w:t xml:space="preserve"> FF, </w:t>
      </w:r>
      <w:proofErr w:type="spellStart"/>
      <w:r w:rsidRPr="00AC11E2">
        <w:rPr>
          <w:rFonts w:ascii="Arial" w:eastAsia="-webkit-standard" w:hAnsi="Arial" w:cs="Arial"/>
          <w:color w:val="000000"/>
          <w:sz w:val="20"/>
          <w:szCs w:val="20"/>
        </w:rPr>
        <w:t>Suss</w:t>
      </w:r>
      <w:proofErr w:type="spellEnd"/>
      <w:r w:rsidRPr="00AC11E2">
        <w:rPr>
          <w:rFonts w:ascii="Arial" w:eastAsia="-webkit-standard" w:hAnsi="Arial" w:cs="Arial"/>
          <w:color w:val="000000"/>
          <w:sz w:val="20"/>
          <w:szCs w:val="20"/>
        </w:rPr>
        <w:t xml:space="preserve"> PH, </w:t>
      </w:r>
      <w:proofErr w:type="spellStart"/>
      <w:r w:rsidRPr="00AC11E2">
        <w:rPr>
          <w:rFonts w:ascii="Arial" w:eastAsia="-webkit-standard" w:hAnsi="Arial" w:cs="Arial"/>
          <w:color w:val="000000"/>
          <w:sz w:val="20"/>
          <w:szCs w:val="20"/>
        </w:rPr>
        <w:t>Telles</w:t>
      </w:r>
      <w:proofErr w:type="spellEnd"/>
      <w:r w:rsidRPr="00AC11E2">
        <w:rPr>
          <w:rFonts w:ascii="Arial" w:eastAsia="-webkit-standard" w:hAnsi="Arial" w:cs="Arial"/>
          <w:color w:val="000000"/>
          <w:sz w:val="20"/>
          <w:szCs w:val="20"/>
        </w:rPr>
        <w:t xml:space="preserve"> JP, Dantas LR, Borges NH, Ribeiro VST. Antimicrobial Treatment of Staphylococcus aureus Biofilms. Antibiotics (Basel). 2023 Jan 4;12(1):87.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10.3390/antibiotics12010087. PMID: 36671287; PMCID: PMC9854895.</w:t>
      </w:r>
    </w:p>
    <w:p w14:paraId="38B2F53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Uruén</w:t>
      </w:r>
      <w:proofErr w:type="spellEnd"/>
      <w:r w:rsidRPr="00AC11E2">
        <w:rPr>
          <w:rFonts w:ascii="Arial" w:eastAsia="-webkit-standard" w:hAnsi="Arial" w:cs="Arial"/>
          <w:color w:val="000000"/>
          <w:sz w:val="20"/>
          <w:szCs w:val="20"/>
        </w:rPr>
        <w:t xml:space="preserve"> C, </w:t>
      </w:r>
      <w:proofErr w:type="spellStart"/>
      <w:r w:rsidRPr="00AC11E2">
        <w:rPr>
          <w:rFonts w:ascii="Arial" w:eastAsia="-webkit-standard" w:hAnsi="Arial" w:cs="Arial"/>
          <w:color w:val="000000"/>
          <w:sz w:val="20"/>
          <w:szCs w:val="20"/>
        </w:rPr>
        <w:t>Chopo-Escuin</w:t>
      </w:r>
      <w:proofErr w:type="spellEnd"/>
      <w:r w:rsidRPr="00AC11E2">
        <w:rPr>
          <w:rFonts w:ascii="Arial" w:eastAsia="-webkit-standard" w:hAnsi="Arial" w:cs="Arial"/>
          <w:color w:val="000000"/>
          <w:sz w:val="20"/>
          <w:szCs w:val="20"/>
        </w:rPr>
        <w:t xml:space="preserve"> G, </w:t>
      </w:r>
      <w:proofErr w:type="spellStart"/>
      <w:r w:rsidRPr="00AC11E2">
        <w:rPr>
          <w:rFonts w:ascii="Arial" w:eastAsia="-webkit-standard" w:hAnsi="Arial" w:cs="Arial"/>
          <w:color w:val="000000"/>
          <w:sz w:val="20"/>
          <w:szCs w:val="20"/>
        </w:rPr>
        <w:t>Tommassen</w:t>
      </w:r>
      <w:proofErr w:type="spellEnd"/>
      <w:r w:rsidRPr="00AC11E2">
        <w:rPr>
          <w:rFonts w:ascii="Arial" w:eastAsia="-webkit-standard" w:hAnsi="Arial" w:cs="Arial"/>
          <w:color w:val="000000"/>
          <w:sz w:val="20"/>
          <w:szCs w:val="20"/>
        </w:rPr>
        <w:t xml:space="preserve"> J, </w:t>
      </w:r>
      <w:proofErr w:type="spellStart"/>
      <w:r w:rsidRPr="00AC11E2">
        <w:rPr>
          <w:rFonts w:ascii="Arial" w:eastAsia="-webkit-standard" w:hAnsi="Arial" w:cs="Arial"/>
          <w:color w:val="000000"/>
          <w:sz w:val="20"/>
          <w:szCs w:val="20"/>
        </w:rPr>
        <w:t>Mainar</w:t>
      </w:r>
      <w:proofErr w:type="spellEnd"/>
      <w:r w:rsidRPr="00AC11E2">
        <w:rPr>
          <w:rFonts w:ascii="Arial" w:eastAsia="-webkit-standard" w:hAnsi="Arial" w:cs="Arial"/>
          <w:color w:val="000000"/>
          <w:sz w:val="20"/>
          <w:szCs w:val="20"/>
        </w:rPr>
        <w:t xml:space="preserve">-Jaime RC, Arenas J. Biofilms as Promoters of Bacterial Antibiotic Resistance and Tolerance. Antibiotics (Basel). 2020 Dec 23;10(1):3.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10.3390/antibiotics10010003. PMID: 33374551; PMCID: PMC7822488.</w:t>
      </w:r>
    </w:p>
    <w:p w14:paraId="447675E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World Health Organization (WHO). (2019). Antimicrobial resistance: Global report on surveillance. Retrieved from https://www.who.int/news-room/fact-sheets/detail/antimicrobial-resistance</w:t>
      </w:r>
    </w:p>
    <w:p w14:paraId="0F952157"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Zimmerli, W., </w:t>
      </w:r>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Ochsner, P. E. (2014). Prosthetic-joint infections. New England Journal of Medicine, 351(16), 1645-1654.</w:t>
      </w:r>
    </w:p>
    <w:sectPr w:rsidR="00EB00D2" w:rsidRPr="00AC11E2" w:rsidSect="0011088C">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rishnee Moodley" w:date="2025-10-07T15:51:00Z" w:initials="KM">
    <w:p w14:paraId="23B22766" w14:textId="77777777" w:rsidR="00CC539F" w:rsidRDefault="00CC539F" w:rsidP="00CC539F">
      <w:pPr>
        <w:pStyle w:val="CommentText"/>
        <w:jc w:val="left"/>
      </w:pPr>
      <w:r>
        <w:rPr>
          <w:rStyle w:val="CommentReference"/>
        </w:rPr>
        <w:annotationRef/>
      </w:r>
      <w:r>
        <w:rPr>
          <w:lang w:val="en-ZA"/>
        </w:rPr>
        <w:t>Did you not culture any anaerobes or coagulase negative Staphylococci</w:t>
      </w:r>
    </w:p>
  </w:comment>
  <w:comment w:id="2" w:author="Krishnee Moodley" w:date="2025-10-07T15:51:00Z" w:initials="KM">
    <w:p w14:paraId="35BA41C7" w14:textId="025BCE3A" w:rsidR="00CC539F" w:rsidRDefault="00CC539F" w:rsidP="00CC539F">
      <w:pPr>
        <w:pStyle w:val="CommentText"/>
        <w:jc w:val="left"/>
      </w:pPr>
      <w:r>
        <w:rPr>
          <w:rStyle w:val="CommentReference"/>
        </w:rPr>
        <w:annotationRef/>
      </w:r>
      <w:r>
        <w:rPr>
          <w:lang w:val="en-ZA"/>
        </w:rPr>
        <w:t>These are only relevant for Gram pos and not Gram negative infections</w:t>
      </w:r>
    </w:p>
  </w:comment>
  <w:comment w:id="3" w:author="Krishnee Moodley" w:date="2025-10-07T15:42:00Z" w:initials="KM">
    <w:p w14:paraId="17030DDB" w14:textId="4138D19B" w:rsidR="00520731" w:rsidRDefault="00520731" w:rsidP="00520731">
      <w:pPr>
        <w:pStyle w:val="CommentText"/>
        <w:jc w:val="left"/>
      </w:pPr>
      <w:r>
        <w:rPr>
          <w:rStyle w:val="CommentReference"/>
        </w:rPr>
        <w:annotationRef/>
      </w:r>
      <w:r>
        <w:rPr>
          <w:lang w:val="en-ZA"/>
        </w:rPr>
        <w:t>The exact formula does not need to be in the manuscript in this level of detail - you have already mentioned that the sample size was determined using stat methods - that is sufficient</w:t>
      </w:r>
    </w:p>
  </w:comment>
  <w:comment w:id="4" w:author="Krishnee Moodley" w:date="2025-10-07T15:42:00Z" w:initials="KM">
    <w:p w14:paraId="578AAE25" w14:textId="77777777" w:rsidR="00A52ED8" w:rsidRDefault="00A52ED8" w:rsidP="00A52ED8">
      <w:pPr>
        <w:pStyle w:val="CommentText"/>
        <w:jc w:val="left"/>
      </w:pPr>
      <w:r>
        <w:rPr>
          <w:rStyle w:val="CommentReference"/>
        </w:rPr>
        <w:annotationRef/>
      </w:r>
      <w:r>
        <w:rPr>
          <w:lang w:val="en-ZA"/>
        </w:rPr>
        <w:t>Your min number is 150 but you only analysed 100?</w:t>
      </w:r>
    </w:p>
  </w:comment>
  <w:comment w:id="5" w:author="Krishnee Moodley" w:date="2025-10-07T15:44:00Z" w:initials="KM">
    <w:p w14:paraId="70058BA4" w14:textId="77777777" w:rsidR="00B20431" w:rsidRDefault="00B20431" w:rsidP="00B20431">
      <w:pPr>
        <w:pStyle w:val="CommentText"/>
        <w:jc w:val="left"/>
      </w:pPr>
      <w:r>
        <w:rPr>
          <w:rStyle w:val="CommentReference"/>
        </w:rPr>
        <w:annotationRef/>
      </w:r>
      <w:r>
        <w:rPr>
          <w:lang w:val="en-ZA"/>
        </w:rPr>
        <w:t>Your n number adds up to 55 not 65?</w:t>
      </w:r>
    </w:p>
  </w:comment>
  <w:comment w:id="6" w:author="Krishnee Moodley" w:date="2025-10-07T15:45:00Z" w:initials="KM">
    <w:p w14:paraId="670270AE" w14:textId="77777777" w:rsidR="008E6A68" w:rsidRDefault="008E6A68" w:rsidP="008E6A68">
      <w:pPr>
        <w:pStyle w:val="CommentText"/>
        <w:jc w:val="left"/>
      </w:pPr>
      <w:r>
        <w:rPr>
          <w:rStyle w:val="CommentReference"/>
        </w:rPr>
        <w:annotationRef/>
      </w:r>
      <w:r>
        <w:rPr>
          <w:lang w:val="en-ZA"/>
        </w:rPr>
        <w:t>Did you get &gt;1 isolate in any of your positive samples?</w:t>
      </w:r>
    </w:p>
  </w:comment>
  <w:comment w:id="7" w:author="Krishnee Moodley" w:date="2025-10-07T15:47:00Z" w:initials="KM">
    <w:p w14:paraId="37E13C82" w14:textId="77777777" w:rsidR="004D295E" w:rsidRDefault="004D295E" w:rsidP="004D295E">
      <w:pPr>
        <w:pStyle w:val="CommentText"/>
        <w:jc w:val="left"/>
      </w:pPr>
      <w:r>
        <w:rPr>
          <w:rStyle w:val="CommentReference"/>
        </w:rPr>
        <w:annotationRef/>
      </w:r>
      <w:r>
        <w:rPr>
          <w:lang w:val="en-ZA"/>
        </w:rPr>
        <w:t>Organisms need to be classified according to whether they are Gram positive or Gram negative as different antimicrobial choices are tested for different classes of antibiotics and different mechanisms of resistance</w:t>
      </w:r>
    </w:p>
  </w:comment>
  <w:comment w:id="8" w:author="Krishnee Moodley" w:date="2025-10-07T15:48:00Z" w:initials="KM">
    <w:p w14:paraId="2BE01CB0" w14:textId="77777777" w:rsidR="00E37AAE" w:rsidRDefault="00E37AAE" w:rsidP="00E37AAE">
      <w:pPr>
        <w:pStyle w:val="CommentText"/>
        <w:jc w:val="left"/>
      </w:pPr>
      <w:r>
        <w:rPr>
          <w:rStyle w:val="CommentReference"/>
        </w:rPr>
        <w:annotationRef/>
      </w:r>
      <w:r>
        <w:rPr>
          <w:lang w:val="en-ZA"/>
        </w:rPr>
        <w:t>Contamination vs Infection? Are you looking for contamination or prosthetic joint infection?</w:t>
      </w:r>
    </w:p>
  </w:comment>
  <w:comment w:id="9" w:author="Krishnee Moodley" w:date="2025-10-07T15:49:00Z" w:initials="KM">
    <w:p w14:paraId="36127CAF" w14:textId="77777777" w:rsidR="00DE61A1" w:rsidRDefault="00DE61A1" w:rsidP="00DE61A1">
      <w:pPr>
        <w:pStyle w:val="CommentText"/>
        <w:jc w:val="left"/>
      </w:pPr>
      <w:r>
        <w:rPr>
          <w:rStyle w:val="CommentReference"/>
        </w:rPr>
        <w:annotationRef/>
      </w:r>
      <w:r>
        <w:rPr>
          <w:lang w:val="en-ZA"/>
        </w:rPr>
        <w:t>Organism names in italics throughout the paper - check from the top</w:t>
      </w:r>
    </w:p>
  </w:comment>
  <w:comment w:id="10" w:author="Krishnee Moodley" w:date="2025-10-07T15:49:00Z" w:initials="KM">
    <w:p w14:paraId="1DF20EF1" w14:textId="77777777" w:rsidR="00A2114E" w:rsidRDefault="00A2114E" w:rsidP="00A2114E">
      <w:pPr>
        <w:pStyle w:val="CommentText"/>
        <w:jc w:val="left"/>
      </w:pPr>
      <w:r>
        <w:rPr>
          <w:rStyle w:val="CommentReference"/>
        </w:rPr>
        <w:annotationRef/>
      </w:r>
      <w:r>
        <w:rPr>
          <w:lang w:val="en-ZA"/>
        </w:rPr>
        <w:t>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22766" w15:done="0"/>
  <w15:commentEx w15:paraId="35BA41C7" w15:done="0"/>
  <w15:commentEx w15:paraId="17030DDB" w15:done="0"/>
  <w15:commentEx w15:paraId="578AAE25" w15:done="0"/>
  <w15:commentEx w15:paraId="70058BA4" w15:done="0"/>
  <w15:commentEx w15:paraId="670270AE" w15:done="0"/>
  <w15:commentEx w15:paraId="37E13C82" w15:done="0"/>
  <w15:commentEx w15:paraId="2BE01CB0" w15:done="0"/>
  <w15:commentEx w15:paraId="36127CAF" w15:done="0"/>
  <w15:commentEx w15:paraId="1DF20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B88EA0" w16cex:dateUtc="2025-10-07T13:51:00Z"/>
  <w16cex:commentExtensible w16cex:durableId="384C2AFF" w16cex:dateUtc="2025-10-07T13:51:00Z"/>
  <w16cex:commentExtensible w16cex:durableId="156C0B9E" w16cex:dateUtc="2025-10-07T13:42:00Z"/>
  <w16cex:commentExtensible w16cex:durableId="31483462" w16cex:dateUtc="2025-10-07T13:42:00Z"/>
  <w16cex:commentExtensible w16cex:durableId="17FDBE23" w16cex:dateUtc="2025-10-07T13:44:00Z"/>
  <w16cex:commentExtensible w16cex:durableId="0782755B" w16cex:dateUtc="2025-10-07T13:45:00Z"/>
  <w16cex:commentExtensible w16cex:durableId="7053B87F" w16cex:dateUtc="2025-10-07T13:47:00Z"/>
  <w16cex:commentExtensible w16cex:durableId="020BE147" w16cex:dateUtc="2025-10-07T13:48:00Z"/>
  <w16cex:commentExtensible w16cex:durableId="59114573" w16cex:dateUtc="2025-10-07T13:49:00Z"/>
  <w16cex:commentExtensible w16cex:durableId="440DAEE3" w16cex:dateUtc="2025-10-07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22766" w16cid:durableId="5BB88EA0"/>
  <w16cid:commentId w16cid:paraId="35BA41C7" w16cid:durableId="384C2AFF"/>
  <w16cid:commentId w16cid:paraId="17030DDB" w16cid:durableId="156C0B9E"/>
  <w16cid:commentId w16cid:paraId="578AAE25" w16cid:durableId="31483462"/>
  <w16cid:commentId w16cid:paraId="70058BA4" w16cid:durableId="17FDBE23"/>
  <w16cid:commentId w16cid:paraId="670270AE" w16cid:durableId="0782755B"/>
  <w16cid:commentId w16cid:paraId="37E13C82" w16cid:durableId="7053B87F"/>
  <w16cid:commentId w16cid:paraId="2BE01CB0" w16cid:durableId="020BE147"/>
  <w16cid:commentId w16cid:paraId="36127CAF" w16cid:durableId="59114573"/>
  <w16cid:commentId w16cid:paraId="1DF20EF1" w16cid:durableId="440DA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8F7B" w14:textId="77777777" w:rsidR="00BB3027" w:rsidRDefault="00BB3027" w:rsidP="00C3129A">
      <w:pPr>
        <w:spacing w:after="0" w:line="240" w:lineRule="auto"/>
      </w:pPr>
      <w:r>
        <w:separator/>
      </w:r>
    </w:p>
  </w:endnote>
  <w:endnote w:type="continuationSeparator" w:id="0">
    <w:p w14:paraId="097ADE35" w14:textId="77777777" w:rsidR="00BB3027" w:rsidRDefault="00BB3027" w:rsidP="00C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77B3" w14:textId="77777777" w:rsidR="009234E6" w:rsidRDefault="0092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10D7" w14:textId="77777777" w:rsidR="009234E6" w:rsidRDefault="0092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E92A" w14:textId="77777777" w:rsidR="009234E6" w:rsidRDefault="0092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1911" w14:textId="77777777" w:rsidR="00BB3027" w:rsidRDefault="00BB3027" w:rsidP="00C3129A">
      <w:pPr>
        <w:spacing w:after="0" w:line="240" w:lineRule="auto"/>
      </w:pPr>
      <w:r>
        <w:separator/>
      </w:r>
    </w:p>
  </w:footnote>
  <w:footnote w:type="continuationSeparator" w:id="0">
    <w:p w14:paraId="4A6BAF86" w14:textId="77777777" w:rsidR="00BB3027" w:rsidRDefault="00BB3027" w:rsidP="00C3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3758" w14:textId="24B994E6" w:rsidR="009234E6" w:rsidRDefault="0065709A">
    <w:pPr>
      <w:pStyle w:val="Header"/>
    </w:pPr>
    <w:r>
      <w:rPr>
        <w:noProof/>
      </w:rPr>
      <w:pict w14:anchorId="57F6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D8E5" w14:textId="67B714A1" w:rsidR="009234E6" w:rsidRDefault="0065709A">
    <w:pPr>
      <w:pStyle w:val="Header"/>
    </w:pPr>
    <w:r>
      <w:rPr>
        <w:noProof/>
      </w:rPr>
      <w:pict w14:anchorId="218AD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5A59" w14:textId="11253492" w:rsidR="009234E6" w:rsidRDefault="0065709A">
    <w:pPr>
      <w:pStyle w:val="Header"/>
    </w:pPr>
    <w:r>
      <w:rPr>
        <w:noProof/>
      </w:rPr>
      <w:pict w14:anchorId="54D88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F18"/>
    <w:multiLevelType w:val="hybridMultilevel"/>
    <w:tmpl w:val="887A5120"/>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16cid:durableId="1203596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hnee Moodley">
    <w15:presenceInfo w15:providerId="AD" w15:userId="S::krishnee.moodley@lancet.co.za::af7d93d2-951a-411e-8484-bd88c3eec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DA"/>
    <w:rsid w:val="000625DA"/>
    <w:rsid w:val="00077D55"/>
    <w:rsid w:val="000A18F3"/>
    <w:rsid w:val="000F01FE"/>
    <w:rsid w:val="0011088C"/>
    <w:rsid w:val="001E2C12"/>
    <w:rsid w:val="00222B16"/>
    <w:rsid w:val="003B1B14"/>
    <w:rsid w:val="00440A67"/>
    <w:rsid w:val="00450FA8"/>
    <w:rsid w:val="00460948"/>
    <w:rsid w:val="004D295E"/>
    <w:rsid w:val="004D298A"/>
    <w:rsid w:val="0050590E"/>
    <w:rsid w:val="00520731"/>
    <w:rsid w:val="00575372"/>
    <w:rsid w:val="005F4055"/>
    <w:rsid w:val="006009B7"/>
    <w:rsid w:val="00644898"/>
    <w:rsid w:val="00686F0B"/>
    <w:rsid w:val="0074244B"/>
    <w:rsid w:val="00864C38"/>
    <w:rsid w:val="008662DA"/>
    <w:rsid w:val="008E01F3"/>
    <w:rsid w:val="008E6405"/>
    <w:rsid w:val="008E6A68"/>
    <w:rsid w:val="00917B01"/>
    <w:rsid w:val="009234E6"/>
    <w:rsid w:val="009565EF"/>
    <w:rsid w:val="00981948"/>
    <w:rsid w:val="00983C40"/>
    <w:rsid w:val="009935ED"/>
    <w:rsid w:val="009D20D6"/>
    <w:rsid w:val="00A2114E"/>
    <w:rsid w:val="00A52ED8"/>
    <w:rsid w:val="00A56BEB"/>
    <w:rsid w:val="00AC11E2"/>
    <w:rsid w:val="00B20431"/>
    <w:rsid w:val="00B343A6"/>
    <w:rsid w:val="00B34B6E"/>
    <w:rsid w:val="00B60D32"/>
    <w:rsid w:val="00BB3027"/>
    <w:rsid w:val="00BD2ACA"/>
    <w:rsid w:val="00C1241A"/>
    <w:rsid w:val="00C31043"/>
    <w:rsid w:val="00C3129A"/>
    <w:rsid w:val="00C7137A"/>
    <w:rsid w:val="00C92BAE"/>
    <w:rsid w:val="00CB7807"/>
    <w:rsid w:val="00CC539F"/>
    <w:rsid w:val="00D367EE"/>
    <w:rsid w:val="00DC7AEB"/>
    <w:rsid w:val="00DE61A1"/>
    <w:rsid w:val="00DE7FAB"/>
    <w:rsid w:val="00E37AAE"/>
    <w:rsid w:val="00EB00D2"/>
    <w:rsid w:val="00EC2649"/>
    <w:rsid w:val="00EC70C2"/>
    <w:rsid w:val="00EE663E"/>
    <w:rsid w:val="00F8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171EC4"/>
  <w15:docId w15:val="{A1952A93-3622-4063-84C9-083127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character" w:styleId="Hyperlink">
    <w:name w:val="Hyperlink"/>
    <w:basedOn w:val="DefaultParagraphFont"/>
    <w:rPr>
      <w:color w:val="0000FF"/>
      <w:u w:val="single"/>
    </w:rPr>
  </w:style>
  <w:style w:type="paragraph" w:styleId="FootnoteText">
    <w:name w:val="footnote text"/>
    <w:basedOn w:val="Normal"/>
    <w:link w:val="FootnoteTextChar"/>
    <w:rsid w:val="00C3129A"/>
    <w:pPr>
      <w:spacing w:after="0" w:line="240" w:lineRule="auto"/>
    </w:pPr>
    <w:rPr>
      <w:sz w:val="20"/>
      <w:szCs w:val="20"/>
    </w:rPr>
  </w:style>
  <w:style w:type="character" w:customStyle="1" w:styleId="FootnoteTextChar">
    <w:name w:val="Footnote Text Char"/>
    <w:basedOn w:val="DefaultParagraphFont"/>
    <w:link w:val="FootnoteText"/>
    <w:rsid w:val="00C3129A"/>
    <w:rPr>
      <w:rFonts w:asciiTheme="minorHAnsi" w:eastAsiaTheme="minorEastAsia" w:hAnsiTheme="minorHAnsi" w:cstheme="minorBidi"/>
      <w:kern w:val="2"/>
      <w:lang w:eastAsia="zh-CN"/>
    </w:rPr>
  </w:style>
  <w:style w:type="character" w:styleId="FootnoteReference">
    <w:name w:val="footnote reference"/>
    <w:basedOn w:val="DefaultParagraphFont"/>
    <w:rsid w:val="00C3129A"/>
    <w:rPr>
      <w:vertAlign w:val="superscript"/>
    </w:rPr>
  </w:style>
  <w:style w:type="character" w:styleId="FollowedHyperlink">
    <w:name w:val="FollowedHyperlink"/>
    <w:basedOn w:val="DefaultParagraphFont"/>
    <w:rsid w:val="00EB00D2"/>
    <w:rPr>
      <w:color w:val="954F72" w:themeColor="followedHyperlink"/>
      <w:u w:val="single"/>
    </w:rPr>
  </w:style>
  <w:style w:type="character" w:customStyle="1" w:styleId="ng-star-inserted">
    <w:name w:val="ng-star-inserted"/>
    <w:basedOn w:val="DefaultParagraphFont"/>
    <w:rsid w:val="00917B01"/>
  </w:style>
  <w:style w:type="character" w:styleId="UnresolvedMention">
    <w:name w:val="Unresolved Mention"/>
    <w:basedOn w:val="DefaultParagraphFont"/>
    <w:uiPriority w:val="99"/>
    <w:semiHidden/>
    <w:unhideWhenUsed/>
    <w:rsid w:val="00B60D32"/>
    <w:rPr>
      <w:color w:val="605E5C"/>
      <w:shd w:val="clear" w:color="auto" w:fill="E1DFDD"/>
    </w:rPr>
  </w:style>
  <w:style w:type="paragraph" w:styleId="Header">
    <w:name w:val="header"/>
    <w:basedOn w:val="Normal"/>
    <w:link w:val="HeaderChar"/>
    <w:rsid w:val="009234E6"/>
    <w:pPr>
      <w:tabs>
        <w:tab w:val="center" w:pos="4680"/>
        <w:tab w:val="right" w:pos="9360"/>
      </w:tabs>
      <w:spacing w:after="0" w:line="240" w:lineRule="auto"/>
    </w:pPr>
  </w:style>
  <w:style w:type="character" w:customStyle="1" w:styleId="HeaderChar">
    <w:name w:val="Header Char"/>
    <w:basedOn w:val="DefaultParagraphFont"/>
    <w:link w:val="Header"/>
    <w:rsid w:val="009234E6"/>
    <w:rPr>
      <w:rFonts w:asciiTheme="minorHAnsi" w:eastAsiaTheme="minorEastAsia" w:hAnsiTheme="minorHAnsi" w:cstheme="minorBidi"/>
      <w:kern w:val="2"/>
      <w:sz w:val="21"/>
      <w:szCs w:val="24"/>
      <w:lang w:eastAsia="zh-CN"/>
    </w:rPr>
  </w:style>
  <w:style w:type="paragraph" w:styleId="Footer">
    <w:name w:val="footer"/>
    <w:basedOn w:val="Normal"/>
    <w:link w:val="FooterChar"/>
    <w:rsid w:val="009234E6"/>
    <w:pPr>
      <w:tabs>
        <w:tab w:val="center" w:pos="4680"/>
        <w:tab w:val="right" w:pos="9360"/>
      </w:tabs>
      <w:spacing w:after="0" w:line="240" w:lineRule="auto"/>
    </w:pPr>
  </w:style>
  <w:style w:type="character" w:customStyle="1" w:styleId="FooterChar">
    <w:name w:val="Footer Char"/>
    <w:basedOn w:val="DefaultParagraphFont"/>
    <w:link w:val="Footer"/>
    <w:rsid w:val="009234E6"/>
    <w:rPr>
      <w:rFonts w:asciiTheme="minorHAnsi" w:eastAsiaTheme="minorEastAsia" w:hAnsiTheme="minorHAnsi" w:cstheme="minorBidi"/>
      <w:kern w:val="2"/>
      <w:sz w:val="21"/>
      <w:szCs w:val="24"/>
      <w:lang w:eastAsia="zh-CN"/>
    </w:rPr>
  </w:style>
  <w:style w:type="character" w:styleId="CommentReference">
    <w:name w:val="annotation reference"/>
    <w:basedOn w:val="DefaultParagraphFont"/>
    <w:rsid w:val="00520731"/>
    <w:rPr>
      <w:sz w:val="16"/>
      <w:szCs w:val="16"/>
    </w:rPr>
  </w:style>
  <w:style w:type="paragraph" w:styleId="CommentText">
    <w:name w:val="annotation text"/>
    <w:basedOn w:val="Normal"/>
    <w:link w:val="CommentTextChar"/>
    <w:rsid w:val="00520731"/>
    <w:pPr>
      <w:spacing w:line="240" w:lineRule="auto"/>
    </w:pPr>
    <w:rPr>
      <w:sz w:val="20"/>
      <w:szCs w:val="20"/>
    </w:rPr>
  </w:style>
  <w:style w:type="character" w:customStyle="1" w:styleId="CommentTextChar">
    <w:name w:val="Comment Text Char"/>
    <w:basedOn w:val="DefaultParagraphFont"/>
    <w:link w:val="CommentText"/>
    <w:rsid w:val="00520731"/>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520731"/>
    <w:rPr>
      <w:b/>
      <w:bCs/>
    </w:rPr>
  </w:style>
  <w:style w:type="character" w:customStyle="1" w:styleId="CommentSubjectChar">
    <w:name w:val="Comment Subject Char"/>
    <w:basedOn w:val="CommentTextChar"/>
    <w:link w:val="CommentSubject"/>
    <w:rsid w:val="00520731"/>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73686">
      <w:bodyDiv w:val="1"/>
      <w:marLeft w:val="0"/>
      <w:marRight w:val="0"/>
      <w:marTop w:val="0"/>
      <w:marBottom w:val="0"/>
      <w:divBdr>
        <w:top w:val="none" w:sz="0" w:space="0" w:color="auto"/>
        <w:left w:val="none" w:sz="0" w:space="0" w:color="auto"/>
        <w:bottom w:val="none" w:sz="0" w:space="0" w:color="auto"/>
        <w:right w:val="none" w:sz="0" w:space="0" w:color="auto"/>
      </w:divBdr>
      <w:divsChild>
        <w:div w:id="2134325345">
          <w:marLeft w:val="0"/>
          <w:marRight w:val="0"/>
          <w:marTop w:val="0"/>
          <w:marBottom w:val="0"/>
          <w:divBdr>
            <w:top w:val="none" w:sz="0" w:space="0" w:color="auto"/>
            <w:left w:val="none" w:sz="0" w:space="0" w:color="auto"/>
            <w:bottom w:val="none" w:sz="0" w:space="0" w:color="auto"/>
            <w:right w:val="none" w:sz="0" w:space="0" w:color="auto"/>
          </w:divBdr>
        </w:div>
        <w:div w:id="126824198">
          <w:marLeft w:val="0"/>
          <w:marRight w:val="0"/>
          <w:marTop w:val="0"/>
          <w:marBottom w:val="0"/>
          <w:divBdr>
            <w:top w:val="none" w:sz="0" w:space="0" w:color="auto"/>
            <w:left w:val="none" w:sz="0" w:space="0" w:color="auto"/>
            <w:bottom w:val="none" w:sz="0" w:space="0" w:color="auto"/>
            <w:right w:val="none" w:sz="0" w:space="0" w:color="auto"/>
          </w:divBdr>
        </w:div>
        <w:div w:id="275411691">
          <w:marLeft w:val="0"/>
          <w:marRight w:val="0"/>
          <w:marTop w:val="0"/>
          <w:marBottom w:val="0"/>
          <w:divBdr>
            <w:top w:val="none" w:sz="0" w:space="0" w:color="auto"/>
            <w:left w:val="none" w:sz="0" w:space="0" w:color="auto"/>
            <w:bottom w:val="none" w:sz="0" w:space="0" w:color="auto"/>
            <w:right w:val="none" w:sz="0" w:space="0" w:color="auto"/>
          </w:divBdr>
        </w:div>
        <w:div w:id="1000499219">
          <w:marLeft w:val="0"/>
          <w:marRight w:val="0"/>
          <w:marTop w:val="0"/>
          <w:marBottom w:val="0"/>
          <w:divBdr>
            <w:top w:val="none" w:sz="0" w:space="0" w:color="auto"/>
            <w:left w:val="none" w:sz="0" w:space="0" w:color="auto"/>
            <w:bottom w:val="none" w:sz="0" w:space="0" w:color="auto"/>
            <w:right w:val="none" w:sz="0" w:space="0" w:color="auto"/>
          </w:divBdr>
        </w:div>
        <w:div w:id="1470241327">
          <w:marLeft w:val="0"/>
          <w:marRight w:val="0"/>
          <w:marTop w:val="0"/>
          <w:marBottom w:val="0"/>
          <w:divBdr>
            <w:top w:val="none" w:sz="0" w:space="0" w:color="auto"/>
            <w:left w:val="none" w:sz="0" w:space="0" w:color="auto"/>
            <w:bottom w:val="none" w:sz="0" w:space="0" w:color="auto"/>
            <w:right w:val="none" w:sz="0" w:space="0" w:color="auto"/>
          </w:divBdr>
        </w:div>
        <w:div w:id="94399316">
          <w:marLeft w:val="0"/>
          <w:marRight w:val="0"/>
          <w:marTop w:val="0"/>
          <w:marBottom w:val="0"/>
          <w:divBdr>
            <w:top w:val="none" w:sz="0" w:space="0" w:color="auto"/>
            <w:left w:val="none" w:sz="0" w:space="0" w:color="auto"/>
            <w:bottom w:val="none" w:sz="0" w:space="0" w:color="auto"/>
            <w:right w:val="none" w:sz="0" w:space="0" w:color="auto"/>
          </w:divBdr>
        </w:div>
        <w:div w:id="322896500">
          <w:marLeft w:val="0"/>
          <w:marRight w:val="0"/>
          <w:marTop w:val="0"/>
          <w:marBottom w:val="0"/>
          <w:divBdr>
            <w:top w:val="none" w:sz="0" w:space="0" w:color="auto"/>
            <w:left w:val="none" w:sz="0" w:space="0" w:color="auto"/>
            <w:bottom w:val="none" w:sz="0" w:space="0" w:color="auto"/>
            <w:right w:val="none" w:sz="0" w:space="0" w:color="auto"/>
          </w:divBdr>
        </w:div>
        <w:div w:id="930818314">
          <w:marLeft w:val="0"/>
          <w:marRight w:val="0"/>
          <w:marTop w:val="0"/>
          <w:marBottom w:val="0"/>
          <w:divBdr>
            <w:top w:val="none" w:sz="0" w:space="0" w:color="auto"/>
            <w:left w:val="none" w:sz="0" w:space="0" w:color="auto"/>
            <w:bottom w:val="none" w:sz="0" w:space="0" w:color="auto"/>
            <w:right w:val="none" w:sz="0" w:space="0" w:color="auto"/>
          </w:divBdr>
        </w:div>
        <w:div w:id="2065443963">
          <w:marLeft w:val="0"/>
          <w:marRight w:val="0"/>
          <w:marTop w:val="0"/>
          <w:marBottom w:val="0"/>
          <w:divBdr>
            <w:top w:val="none" w:sz="0" w:space="0" w:color="auto"/>
            <w:left w:val="none" w:sz="0" w:space="0" w:color="auto"/>
            <w:bottom w:val="none" w:sz="0" w:space="0" w:color="auto"/>
            <w:right w:val="none" w:sz="0" w:space="0" w:color="auto"/>
          </w:divBdr>
        </w:div>
        <w:div w:id="1974821549">
          <w:marLeft w:val="0"/>
          <w:marRight w:val="0"/>
          <w:marTop w:val="0"/>
          <w:marBottom w:val="0"/>
          <w:divBdr>
            <w:top w:val="none" w:sz="0" w:space="0" w:color="auto"/>
            <w:left w:val="none" w:sz="0" w:space="0" w:color="auto"/>
            <w:bottom w:val="none" w:sz="0" w:space="0" w:color="auto"/>
            <w:right w:val="none" w:sz="0" w:space="0" w:color="auto"/>
          </w:divBdr>
        </w:div>
        <w:div w:id="647712606">
          <w:marLeft w:val="0"/>
          <w:marRight w:val="0"/>
          <w:marTop w:val="0"/>
          <w:marBottom w:val="0"/>
          <w:divBdr>
            <w:top w:val="none" w:sz="0" w:space="0" w:color="auto"/>
            <w:left w:val="none" w:sz="0" w:space="0" w:color="auto"/>
            <w:bottom w:val="none" w:sz="0" w:space="0" w:color="auto"/>
            <w:right w:val="none" w:sz="0" w:space="0" w:color="auto"/>
          </w:divBdr>
        </w:div>
        <w:div w:id="1557818363">
          <w:marLeft w:val="0"/>
          <w:marRight w:val="0"/>
          <w:marTop w:val="0"/>
          <w:marBottom w:val="0"/>
          <w:divBdr>
            <w:top w:val="none" w:sz="0" w:space="0" w:color="auto"/>
            <w:left w:val="none" w:sz="0" w:space="0" w:color="auto"/>
            <w:bottom w:val="none" w:sz="0" w:space="0" w:color="auto"/>
            <w:right w:val="none" w:sz="0" w:space="0" w:color="auto"/>
          </w:divBdr>
        </w:div>
        <w:div w:id="623081200">
          <w:marLeft w:val="0"/>
          <w:marRight w:val="0"/>
          <w:marTop w:val="0"/>
          <w:marBottom w:val="0"/>
          <w:divBdr>
            <w:top w:val="none" w:sz="0" w:space="0" w:color="auto"/>
            <w:left w:val="none" w:sz="0" w:space="0" w:color="auto"/>
            <w:bottom w:val="none" w:sz="0" w:space="0" w:color="auto"/>
            <w:right w:val="none" w:sz="0" w:space="0" w:color="auto"/>
          </w:divBdr>
        </w:div>
        <w:div w:id="2081516991">
          <w:marLeft w:val="0"/>
          <w:marRight w:val="0"/>
          <w:marTop w:val="0"/>
          <w:marBottom w:val="0"/>
          <w:divBdr>
            <w:top w:val="none" w:sz="0" w:space="0" w:color="auto"/>
            <w:left w:val="none" w:sz="0" w:space="0" w:color="auto"/>
            <w:bottom w:val="none" w:sz="0" w:space="0" w:color="auto"/>
            <w:right w:val="none" w:sz="0" w:space="0" w:color="auto"/>
          </w:divBdr>
        </w:div>
      </w:divsChild>
    </w:div>
    <w:div w:id="1739940547">
      <w:bodyDiv w:val="1"/>
      <w:marLeft w:val="0"/>
      <w:marRight w:val="0"/>
      <w:marTop w:val="0"/>
      <w:marBottom w:val="0"/>
      <w:divBdr>
        <w:top w:val="none" w:sz="0" w:space="0" w:color="auto"/>
        <w:left w:val="none" w:sz="0" w:space="0" w:color="auto"/>
        <w:bottom w:val="none" w:sz="0" w:space="0" w:color="auto"/>
        <w:right w:val="none" w:sz="0" w:space="0" w:color="auto"/>
      </w:divBdr>
      <w:divsChild>
        <w:div w:id="225839725">
          <w:marLeft w:val="0"/>
          <w:marRight w:val="0"/>
          <w:marTop w:val="0"/>
          <w:marBottom w:val="0"/>
          <w:divBdr>
            <w:top w:val="none" w:sz="0" w:space="0" w:color="auto"/>
            <w:left w:val="none" w:sz="0" w:space="0" w:color="auto"/>
            <w:bottom w:val="none" w:sz="0" w:space="0" w:color="auto"/>
            <w:right w:val="none" w:sz="0" w:space="0" w:color="auto"/>
          </w:divBdr>
        </w:div>
        <w:div w:id="342972771">
          <w:marLeft w:val="0"/>
          <w:marRight w:val="0"/>
          <w:marTop w:val="0"/>
          <w:marBottom w:val="0"/>
          <w:divBdr>
            <w:top w:val="none" w:sz="0" w:space="0" w:color="auto"/>
            <w:left w:val="none" w:sz="0" w:space="0" w:color="auto"/>
            <w:bottom w:val="none" w:sz="0" w:space="0" w:color="auto"/>
            <w:right w:val="none" w:sz="0" w:space="0" w:color="auto"/>
          </w:divBdr>
        </w:div>
        <w:div w:id="1253971873">
          <w:marLeft w:val="0"/>
          <w:marRight w:val="0"/>
          <w:marTop w:val="0"/>
          <w:marBottom w:val="0"/>
          <w:divBdr>
            <w:top w:val="none" w:sz="0" w:space="0" w:color="auto"/>
            <w:left w:val="none" w:sz="0" w:space="0" w:color="auto"/>
            <w:bottom w:val="none" w:sz="0" w:space="0" w:color="auto"/>
            <w:right w:val="none" w:sz="0" w:space="0" w:color="auto"/>
          </w:divBdr>
        </w:div>
        <w:div w:id="152184694">
          <w:marLeft w:val="0"/>
          <w:marRight w:val="0"/>
          <w:marTop w:val="0"/>
          <w:marBottom w:val="0"/>
          <w:divBdr>
            <w:top w:val="none" w:sz="0" w:space="0" w:color="auto"/>
            <w:left w:val="none" w:sz="0" w:space="0" w:color="auto"/>
            <w:bottom w:val="none" w:sz="0" w:space="0" w:color="auto"/>
            <w:right w:val="none" w:sz="0" w:space="0" w:color="auto"/>
          </w:divBdr>
        </w:div>
      </w:divsChild>
    </w:div>
    <w:div w:id="1777939835">
      <w:bodyDiv w:val="1"/>
      <w:marLeft w:val="0"/>
      <w:marRight w:val="0"/>
      <w:marTop w:val="0"/>
      <w:marBottom w:val="0"/>
      <w:divBdr>
        <w:top w:val="none" w:sz="0" w:space="0" w:color="auto"/>
        <w:left w:val="none" w:sz="0" w:space="0" w:color="auto"/>
        <w:bottom w:val="none" w:sz="0" w:space="0" w:color="auto"/>
        <w:right w:val="none" w:sz="0" w:space="0" w:color="auto"/>
      </w:divBdr>
      <w:divsChild>
        <w:div w:id="1710186639">
          <w:marLeft w:val="0"/>
          <w:marRight w:val="0"/>
          <w:marTop w:val="0"/>
          <w:marBottom w:val="0"/>
          <w:divBdr>
            <w:top w:val="none" w:sz="0" w:space="0" w:color="auto"/>
            <w:left w:val="none" w:sz="0" w:space="0" w:color="auto"/>
            <w:bottom w:val="none" w:sz="0" w:space="0" w:color="auto"/>
            <w:right w:val="none" w:sz="0" w:space="0" w:color="auto"/>
          </w:divBdr>
        </w:div>
        <w:div w:id="1891576678">
          <w:marLeft w:val="0"/>
          <w:marRight w:val="0"/>
          <w:marTop w:val="0"/>
          <w:marBottom w:val="0"/>
          <w:divBdr>
            <w:top w:val="none" w:sz="0" w:space="0" w:color="auto"/>
            <w:left w:val="none" w:sz="0" w:space="0" w:color="auto"/>
            <w:bottom w:val="none" w:sz="0" w:space="0" w:color="auto"/>
            <w:right w:val="none" w:sz="0" w:space="0" w:color="auto"/>
          </w:divBdr>
        </w:div>
        <w:div w:id="1824010147">
          <w:marLeft w:val="0"/>
          <w:marRight w:val="0"/>
          <w:marTop w:val="0"/>
          <w:marBottom w:val="0"/>
          <w:divBdr>
            <w:top w:val="none" w:sz="0" w:space="0" w:color="auto"/>
            <w:left w:val="none" w:sz="0" w:space="0" w:color="auto"/>
            <w:bottom w:val="none" w:sz="0" w:space="0" w:color="auto"/>
            <w:right w:val="none" w:sz="0" w:space="0" w:color="auto"/>
          </w:divBdr>
        </w:div>
        <w:div w:id="556672285">
          <w:marLeft w:val="0"/>
          <w:marRight w:val="0"/>
          <w:marTop w:val="0"/>
          <w:marBottom w:val="0"/>
          <w:divBdr>
            <w:top w:val="none" w:sz="0" w:space="0" w:color="auto"/>
            <w:left w:val="none" w:sz="0" w:space="0" w:color="auto"/>
            <w:bottom w:val="none" w:sz="0" w:space="0" w:color="auto"/>
            <w:right w:val="none" w:sz="0" w:space="0" w:color="auto"/>
          </w:divBdr>
        </w:div>
      </w:divsChild>
    </w:div>
    <w:div w:id="1831015746">
      <w:bodyDiv w:val="1"/>
      <w:marLeft w:val="0"/>
      <w:marRight w:val="0"/>
      <w:marTop w:val="0"/>
      <w:marBottom w:val="0"/>
      <w:divBdr>
        <w:top w:val="none" w:sz="0" w:space="0" w:color="auto"/>
        <w:left w:val="none" w:sz="0" w:space="0" w:color="auto"/>
        <w:bottom w:val="none" w:sz="0" w:space="0" w:color="auto"/>
        <w:right w:val="none" w:sz="0" w:space="0" w:color="auto"/>
      </w:divBdr>
      <w:divsChild>
        <w:div w:id="1139881849">
          <w:marLeft w:val="0"/>
          <w:marRight w:val="0"/>
          <w:marTop w:val="0"/>
          <w:marBottom w:val="0"/>
          <w:divBdr>
            <w:top w:val="none" w:sz="0" w:space="0" w:color="auto"/>
            <w:left w:val="none" w:sz="0" w:space="0" w:color="auto"/>
            <w:bottom w:val="none" w:sz="0" w:space="0" w:color="auto"/>
            <w:right w:val="none" w:sz="0" w:space="0" w:color="auto"/>
          </w:divBdr>
        </w:div>
        <w:div w:id="1125923932">
          <w:marLeft w:val="0"/>
          <w:marRight w:val="0"/>
          <w:marTop w:val="0"/>
          <w:marBottom w:val="0"/>
          <w:divBdr>
            <w:top w:val="none" w:sz="0" w:space="0" w:color="auto"/>
            <w:left w:val="none" w:sz="0" w:space="0" w:color="auto"/>
            <w:bottom w:val="none" w:sz="0" w:space="0" w:color="auto"/>
            <w:right w:val="none" w:sz="0" w:space="0" w:color="auto"/>
          </w:divBdr>
        </w:div>
        <w:div w:id="570774787">
          <w:marLeft w:val="0"/>
          <w:marRight w:val="0"/>
          <w:marTop w:val="0"/>
          <w:marBottom w:val="0"/>
          <w:divBdr>
            <w:top w:val="none" w:sz="0" w:space="0" w:color="auto"/>
            <w:left w:val="none" w:sz="0" w:space="0" w:color="auto"/>
            <w:bottom w:val="none" w:sz="0" w:space="0" w:color="auto"/>
            <w:right w:val="none" w:sz="0" w:space="0" w:color="auto"/>
          </w:divBdr>
        </w:div>
        <w:div w:id="22369466">
          <w:marLeft w:val="0"/>
          <w:marRight w:val="0"/>
          <w:marTop w:val="0"/>
          <w:marBottom w:val="0"/>
          <w:divBdr>
            <w:top w:val="none" w:sz="0" w:space="0" w:color="auto"/>
            <w:left w:val="none" w:sz="0" w:space="0" w:color="auto"/>
            <w:bottom w:val="none" w:sz="0" w:space="0" w:color="auto"/>
            <w:right w:val="none" w:sz="0" w:space="0" w:color="auto"/>
          </w:divBdr>
        </w:div>
        <w:div w:id="39331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38062E-B608-4D10-9DAF-E116656807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Krishnee Moodley</cp:lastModifiedBy>
  <cp:revision>2</cp:revision>
  <dcterms:created xsi:type="dcterms:W3CDTF">2025-10-07T13:52:00Z</dcterms:created>
  <dcterms:modified xsi:type="dcterms:W3CDTF">2025-10-07T13:52:00Z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5DC91A8BFB7C625F72AAC0686CFE2563_31</vt:lpwstr>
  </property>
</Properties>
</file>