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EA16E" w14:textId="77777777" w:rsidR="00537132" w:rsidRDefault="006E0463">
      <w:pPr>
        <w:spacing w:before="100" w:beforeAutospacing="1" w:after="100" w:afterAutospacing="1" w:line="360" w:lineRule="auto"/>
        <w:jc w:val="center"/>
        <w:outlineLvl w:val="2"/>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lang w:val="en-GB"/>
          <w14:ligatures w14:val="none"/>
        </w:rPr>
        <w:t xml:space="preserve"> </w:t>
      </w:r>
      <w:r>
        <w:rPr>
          <w:rFonts w:ascii="Times New Roman" w:eastAsia="Times New Roman" w:hAnsi="Times New Roman" w:cs="Times New Roman"/>
          <w:b/>
          <w:bCs/>
          <w:color w:val="000000" w:themeColor="text1"/>
          <w:kern w:val="0"/>
          <w:sz w:val="24"/>
          <w:szCs w:val="24"/>
          <w14:ligatures w14:val="none"/>
        </w:rPr>
        <w:t>Effect of Animal Bone-Derived Biochar Amendment on pH and Nit</w:t>
      </w:r>
      <w:proofErr w:type="spellStart"/>
      <w:r>
        <w:rPr>
          <w:rFonts w:ascii="Times New Roman" w:eastAsia="Times New Roman" w:hAnsi="Times New Roman" w:cs="Times New Roman"/>
          <w:b/>
          <w:bCs/>
          <w:color w:val="000000" w:themeColor="text1"/>
          <w:kern w:val="0"/>
          <w:sz w:val="24"/>
          <w:szCs w:val="24"/>
          <w:lang w:val="en-GB"/>
          <w14:ligatures w14:val="none"/>
        </w:rPr>
        <w:t>rogen</w:t>
      </w:r>
      <w:proofErr w:type="spellEnd"/>
      <w:r>
        <w:rPr>
          <w:rFonts w:ascii="Times New Roman" w:eastAsia="Times New Roman" w:hAnsi="Times New Roman" w:cs="Times New Roman"/>
          <w:b/>
          <w:bCs/>
          <w:color w:val="000000" w:themeColor="text1"/>
          <w:kern w:val="0"/>
          <w:sz w:val="24"/>
          <w:szCs w:val="24"/>
          <w14:ligatures w14:val="none"/>
        </w:rPr>
        <w:t xml:space="preserve"> Dynamics During Bioremediation of Crude Oil-Contaminated Soil</w:t>
      </w:r>
    </w:p>
    <w:p w14:paraId="3EBAE8F6" w14:textId="72806EB9" w:rsidR="0095464A" w:rsidRDefault="0095464A" w:rsidP="00FE1878">
      <w:pPr>
        <w:spacing w:after="0" w:line="240" w:lineRule="auto"/>
        <w:jc w:val="center"/>
        <w:outlineLvl w:val="2"/>
        <w:rPr>
          <w:rFonts w:ascii="Times New Roman" w:eastAsia="Times New Roman" w:hAnsi="Times New Roman" w:cs="Times New Roman"/>
          <w:color w:val="000000" w:themeColor="text1"/>
          <w:kern w:val="0"/>
          <w:sz w:val="24"/>
          <w:szCs w:val="24"/>
          <w14:ligatures w14:val="none"/>
        </w:rPr>
      </w:pPr>
    </w:p>
    <w:p w14:paraId="44249556" w14:textId="77777777" w:rsidR="002D1E30" w:rsidRPr="00317DDC" w:rsidRDefault="002D1E30" w:rsidP="00FE1878">
      <w:pPr>
        <w:spacing w:after="0" w:line="240" w:lineRule="auto"/>
        <w:jc w:val="center"/>
        <w:outlineLvl w:val="2"/>
        <w:rPr>
          <w:rFonts w:ascii="Times New Roman" w:eastAsia="Times New Roman" w:hAnsi="Times New Roman" w:cs="Times New Roman"/>
          <w:color w:val="000000" w:themeColor="text1"/>
          <w:kern w:val="0"/>
          <w:sz w:val="24"/>
          <w:szCs w:val="24"/>
          <w14:ligatures w14:val="none"/>
        </w:rPr>
      </w:pPr>
    </w:p>
    <w:p w14:paraId="0D03D4E7" w14:textId="4ADFA3D1" w:rsidR="00537132" w:rsidRDefault="006E0463" w:rsidP="00FE1878">
      <w:pPr>
        <w:spacing w:after="0" w:line="24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Abstract</w:t>
      </w:r>
      <w:r>
        <w:rPr>
          <w:rFonts w:ascii="Times New Roman" w:eastAsia="Times New Roman" w:hAnsi="Times New Roman" w:cs="Times New Roman"/>
          <w:color w:val="000000" w:themeColor="text1"/>
          <w:kern w:val="0"/>
          <w:sz w:val="24"/>
          <w:szCs w:val="24"/>
          <w14:ligatures w14:val="none"/>
        </w:rPr>
        <w:br/>
        <w:t xml:space="preserve">Crude oil contamination significantly disrupts soil physicochemical properties, reducing fertility, and hindering nutrient cycling. This study examined the effect of animal bone-derived biochar on soil pH and </w:t>
      </w:r>
      <w:r>
        <w:rPr>
          <w:rFonts w:ascii="Times New Roman" w:eastAsia="Times New Roman" w:hAnsi="Times New Roman" w:cs="Times New Roman"/>
          <w:color w:val="000000" w:themeColor="text1"/>
          <w:kern w:val="0"/>
          <w:sz w:val="24"/>
          <w:szCs w:val="24"/>
          <w:lang w:val="en-GB"/>
          <w14:ligatures w14:val="none"/>
        </w:rPr>
        <w:t xml:space="preserve">nitrogen </w:t>
      </w:r>
      <w:r>
        <w:rPr>
          <w:rFonts w:ascii="Times New Roman" w:eastAsia="Times New Roman" w:hAnsi="Times New Roman" w:cs="Times New Roman"/>
          <w:color w:val="000000" w:themeColor="text1"/>
          <w:kern w:val="0"/>
          <w:sz w:val="24"/>
          <w:szCs w:val="24"/>
          <w14:ligatures w14:val="none"/>
        </w:rPr>
        <w:t>dynamics</w:t>
      </w:r>
      <w:r w:rsidR="004146CA">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lang w:val="en-GB"/>
          <w14:ligatures w14:val="none"/>
        </w:rPr>
        <w:t>(Ammonium,</w:t>
      </w:r>
      <w:r w:rsidR="00FE1878">
        <w:rPr>
          <w:rFonts w:ascii="Times New Roman" w:eastAsia="Times New Roman" w:hAnsi="Times New Roman" w:cs="Times New Roman"/>
          <w:color w:val="000000" w:themeColor="text1"/>
          <w:kern w:val="0"/>
          <w:sz w:val="24"/>
          <w:szCs w:val="24"/>
          <w:lang w:val="en-GB"/>
          <w14:ligatures w14:val="none"/>
        </w:rPr>
        <w:t xml:space="preserve"> </w:t>
      </w:r>
      <w:r>
        <w:rPr>
          <w:rFonts w:ascii="Times New Roman" w:eastAsia="Times New Roman" w:hAnsi="Times New Roman" w:cs="Times New Roman"/>
          <w:color w:val="000000" w:themeColor="text1"/>
          <w:kern w:val="0"/>
          <w:sz w:val="24"/>
          <w:szCs w:val="24"/>
          <w:lang w:val="en-GB"/>
          <w14:ligatures w14:val="none"/>
        </w:rPr>
        <w:t>Nitrate,</w:t>
      </w:r>
      <w:r w:rsidR="00FE1878">
        <w:rPr>
          <w:rFonts w:ascii="Times New Roman" w:eastAsia="Times New Roman" w:hAnsi="Times New Roman" w:cs="Times New Roman"/>
          <w:color w:val="000000" w:themeColor="text1"/>
          <w:kern w:val="0"/>
          <w:sz w:val="24"/>
          <w:szCs w:val="24"/>
          <w:lang w:val="en-GB"/>
          <w14:ligatures w14:val="none"/>
        </w:rPr>
        <w:t xml:space="preserve"> </w:t>
      </w:r>
      <w:r>
        <w:rPr>
          <w:rFonts w:ascii="Times New Roman" w:eastAsia="Times New Roman" w:hAnsi="Times New Roman" w:cs="Times New Roman"/>
          <w:color w:val="000000" w:themeColor="text1"/>
          <w:kern w:val="0"/>
          <w:sz w:val="24"/>
          <w:szCs w:val="24"/>
          <w:lang w:val="en-GB"/>
          <w14:ligatures w14:val="none"/>
        </w:rPr>
        <w:t>and Organic Nitrogen)</w:t>
      </w:r>
      <w:r>
        <w:rPr>
          <w:rFonts w:ascii="Times New Roman" w:eastAsia="Times New Roman" w:hAnsi="Times New Roman" w:cs="Times New Roman"/>
          <w:color w:val="000000" w:themeColor="text1"/>
          <w:kern w:val="0"/>
          <w:sz w:val="24"/>
          <w:szCs w:val="24"/>
          <w14:ligatures w14:val="none"/>
        </w:rPr>
        <w:t xml:space="preserve"> during the bioremediation of crude oil-polluted soil. A Randomized Complete Block Design was employed using uncontaminated soil, crude oil-contaminated soil (5% w/w), and contaminated soils amended with 2.5%, 5.0%, and 7.5% biochar. Soil pH and nitrate concentrations were monitored over 90 days. Results showed that crude oil contamination slightly elevated baseline pH (4.95) compared to uncontaminated soil (4.85) but impeded nitrification, with NO₃⁻ levels as low as 2.40 mg/kg. Biochar amendment significantly increased pH in a dose-dependent manner</w:t>
      </w:r>
      <w:r w:rsidR="00C27CB9">
        <w:rPr>
          <w:rFonts w:ascii="Times New Roman" w:eastAsia="Times New Roman" w:hAnsi="Times New Roman" w:cs="Times New Roman"/>
          <w:color w:val="000000" w:themeColor="text1"/>
          <w:kern w:val="0"/>
          <w:sz w:val="24"/>
          <w:szCs w:val="24"/>
          <w14:ligatures w14:val="none"/>
        </w:rPr>
        <w:t xml:space="preserve"> (p &lt; 0.05)</w:t>
      </w:r>
      <w:r>
        <w:rPr>
          <w:rFonts w:ascii="Times New Roman" w:eastAsia="Times New Roman" w:hAnsi="Times New Roman" w:cs="Times New Roman"/>
          <w:color w:val="000000" w:themeColor="text1"/>
          <w:kern w:val="0"/>
          <w:sz w:val="24"/>
          <w:szCs w:val="24"/>
          <w14:ligatures w14:val="none"/>
        </w:rPr>
        <w:t>, with the highest treatment reaching 7.51 by Day 90, aligning with FAO/USDA optimal ranges (6.0</w:t>
      </w:r>
      <w:r w:rsidR="009502A7">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 xml:space="preserve">–7.5). Similarly, NO₃⁻ accumulation improved markedly, peaking at 37.20 mg/kg in the 7.5% biochar treatment, compared to 2.00 mg/kg in unamended contaminated soil. </w:t>
      </w:r>
      <w:r>
        <w:rPr>
          <w:rFonts w:ascii="Times New Roman" w:hAnsi="Times New Roman" w:cs="Times New Roman"/>
          <w:sz w:val="24"/>
          <w:szCs w:val="24"/>
        </w:rPr>
        <w:t>Results</w:t>
      </w:r>
      <w:r>
        <w:rPr>
          <w:rFonts w:ascii="Times New Roman" w:hAnsi="Times New Roman" w:cs="Times New Roman"/>
          <w:sz w:val="24"/>
          <w:szCs w:val="24"/>
          <w:lang w:val="en-GB"/>
        </w:rPr>
        <w:t xml:space="preserve"> also</w:t>
      </w:r>
      <w:r>
        <w:rPr>
          <w:rFonts w:ascii="Times New Roman" w:hAnsi="Times New Roman" w:cs="Times New Roman"/>
          <w:sz w:val="24"/>
          <w:szCs w:val="24"/>
        </w:rPr>
        <w:t xml:space="preserve"> showed that biochar amendments significantly increased NH₄-N and TON levels in contaminated soils in a dose-dependent manner. At Day 0, ammonium concentration in contaminated soil w</w:t>
      </w:r>
      <w:r w:rsidR="009502A7">
        <w:rPr>
          <w:rFonts w:ascii="Times New Roman" w:hAnsi="Times New Roman" w:cs="Times New Roman"/>
          <w:sz w:val="24"/>
          <w:szCs w:val="24"/>
        </w:rPr>
        <w:t>as</w:t>
      </w:r>
      <w:r>
        <w:rPr>
          <w:rFonts w:ascii="Times New Roman" w:hAnsi="Times New Roman" w:cs="Times New Roman"/>
          <w:sz w:val="24"/>
          <w:szCs w:val="24"/>
        </w:rPr>
        <w:t xml:space="preserve"> 0.70 mg/kg, </w:t>
      </w:r>
      <w:r w:rsidR="00BA4583">
        <w:rPr>
          <w:rFonts w:ascii="Times New Roman" w:hAnsi="Times New Roman" w:cs="Times New Roman"/>
          <w:sz w:val="24"/>
          <w:szCs w:val="24"/>
        </w:rPr>
        <w:t xml:space="preserve">and later </w:t>
      </w:r>
      <w:r>
        <w:rPr>
          <w:rFonts w:ascii="Times New Roman" w:hAnsi="Times New Roman" w:cs="Times New Roman"/>
          <w:sz w:val="24"/>
          <w:szCs w:val="24"/>
        </w:rPr>
        <w:t>rose to 9.91 mg/kg with 100% biochar. Similarly, TON increased from 0.098% in contaminated soil to 0.291% with the highest biochar concentration</w:t>
      </w:r>
      <w:r w:rsidR="00F2418B">
        <w:rPr>
          <w:rFonts w:ascii="Times New Roman" w:hAnsi="Times New Roman" w:cs="Times New Roman"/>
          <w:sz w:val="24"/>
          <w:szCs w:val="24"/>
        </w:rPr>
        <w:t xml:space="preserve">. </w:t>
      </w:r>
      <w:r>
        <w:rPr>
          <w:rFonts w:ascii="Times New Roman" w:eastAsia="Times New Roman" w:hAnsi="Times New Roman" w:cs="Times New Roman"/>
          <w:color w:val="000000" w:themeColor="text1"/>
          <w:kern w:val="0"/>
          <w:sz w:val="24"/>
          <w:szCs w:val="24"/>
          <w14:ligatures w14:val="none"/>
        </w:rPr>
        <w:t>The alkaline nature and mineral content of bone biochar contributed to pH stabilization</w:t>
      </w:r>
      <w:r w:rsidR="00F2418B">
        <w:rPr>
          <w:rFonts w:ascii="Times New Roman" w:eastAsia="Times New Roman" w:hAnsi="Times New Roman" w:cs="Times New Roman"/>
          <w:color w:val="000000" w:themeColor="text1"/>
          <w:kern w:val="0"/>
          <w:sz w:val="24"/>
          <w:szCs w:val="24"/>
          <w14:ligatures w14:val="none"/>
        </w:rPr>
        <w:t xml:space="preserve"> and </w:t>
      </w:r>
      <w:r>
        <w:rPr>
          <w:rFonts w:ascii="Times New Roman" w:eastAsia="Times New Roman" w:hAnsi="Times New Roman" w:cs="Times New Roman"/>
          <w:color w:val="000000" w:themeColor="text1"/>
          <w:kern w:val="0"/>
          <w:sz w:val="24"/>
          <w:szCs w:val="24"/>
          <w14:ligatures w14:val="none"/>
        </w:rPr>
        <w:t>hydrocarbon toxicity reduction. Findings demonstrate that bone-derived biochar is an effective amendment for restoring chemical</w:t>
      </w:r>
      <w:r w:rsidR="00F2418B">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integrity in petroleum-impacted soils, offering a sustainable, low-cost strategy for remediation and agricultural recovery in oil-polluted regions such as the Niger Delta.</w:t>
      </w:r>
    </w:p>
    <w:p w14:paraId="670B5085" w14:textId="0ECF5975" w:rsidR="00537132" w:rsidRDefault="006E0463">
      <w:pPr>
        <w:spacing w:before="100" w:beforeAutospacing="1" w:after="100" w:afterAutospacing="1" w:line="36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Keywords:</w:t>
      </w:r>
      <w:r>
        <w:rPr>
          <w:rFonts w:ascii="Times New Roman" w:eastAsia="Times New Roman" w:hAnsi="Times New Roman" w:cs="Times New Roman"/>
          <w:color w:val="000000" w:themeColor="text1"/>
          <w:kern w:val="0"/>
          <w:sz w:val="24"/>
          <w:szCs w:val="24"/>
          <w14:ligatures w14:val="none"/>
        </w:rPr>
        <w:t xml:space="preserve"> </w:t>
      </w:r>
      <w:r w:rsidR="00DA4D2F">
        <w:rPr>
          <w:rFonts w:ascii="Times New Roman" w:eastAsia="Times New Roman" w:hAnsi="Times New Roman" w:cs="Times New Roman"/>
          <w:color w:val="000000" w:themeColor="text1"/>
          <w:kern w:val="0"/>
          <w:sz w:val="24"/>
          <w:szCs w:val="24"/>
          <w14:ligatures w14:val="none"/>
        </w:rPr>
        <w:t>Biochar</w:t>
      </w:r>
      <w:r>
        <w:rPr>
          <w:rFonts w:ascii="Times New Roman" w:eastAsia="Times New Roman" w:hAnsi="Times New Roman" w:cs="Times New Roman"/>
          <w:color w:val="000000" w:themeColor="text1"/>
          <w:kern w:val="0"/>
          <w:sz w:val="24"/>
          <w:szCs w:val="24"/>
          <w14:ligatures w14:val="none"/>
        </w:rPr>
        <w:t>, crude oil</w:t>
      </w:r>
      <w:r w:rsidR="00DA4D2F">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14:ligatures w14:val="none"/>
        </w:rPr>
        <w:t xml:space="preserve"> contamination, nitrate dynamics, soil pH, bioremediation.</w:t>
      </w:r>
    </w:p>
    <w:p w14:paraId="6B65C3A1" w14:textId="77777777" w:rsidR="007C56C2" w:rsidRDefault="007C56C2">
      <w:pPr>
        <w:spacing w:before="100" w:beforeAutospacing="1" w:after="100" w:afterAutospacing="1" w:line="360" w:lineRule="auto"/>
        <w:rPr>
          <w:rFonts w:ascii="Times New Roman" w:eastAsia="Times New Roman" w:hAnsi="Times New Roman" w:cs="Times New Roman"/>
          <w:color w:val="000000" w:themeColor="text1"/>
          <w:kern w:val="0"/>
          <w:sz w:val="24"/>
          <w:szCs w:val="24"/>
          <w14:ligatures w14:val="none"/>
        </w:rPr>
      </w:pPr>
    </w:p>
    <w:p w14:paraId="381CFDC5" w14:textId="104DB969" w:rsidR="00537132" w:rsidRDefault="006E0463" w:rsidP="00B04AC8">
      <w:pPr>
        <w:pStyle w:val="NormalWeb"/>
        <w:numPr>
          <w:ilvl w:val="0"/>
          <w:numId w:val="2"/>
        </w:numPr>
        <w:spacing w:after="0" w:afterAutospacing="0" w:line="360" w:lineRule="auto"/>
        <w:jc w:val="both"/>
        <w:rPr>
          <w:b/>
          <w:bCs/>
          <w:color w:val="000000" w:themeColor="text1"/>
        </w:rPr>
      </w:pPr>
      <w:r>
        <w:rPr>
          <w:b/>
          <w:bCs/>
          <w:color w:val="000000" w:themeColor="text1"/>
        </w:rPr>
        <w:t xml:space="preserve">Introduction </w:t>
      </w:r>
    </w:p>
    <w:p w14:paraId="4B404748" w14:textId="77777777" w:rsidR="00537132" w:rsidRDefault="006E0463">
      <w:pPr>
        <w:pStyle w:val="NormalWeb"/>
        <w:spacing w:before="0" w:beforeAutospacing="0" w:after="0" w:afterAutospacing="0" w:line="360" w:lineRule="auto"/>
        <w:jc w:val="both"/>
        <w:rPr>
          <w:color w:val="000000" w:themeColor="text1"/>
        </w:rPr>
      </w:pPr>
      <w:r>
        <w:rPr>
          <w:color w:val="000000" w:themeColor="text1"/>
        </w:rPr>
        <w:t xml:space="preserve">Over the last few decades, extensive industrialization, unsafe agricultural practices, and the continuous exploration and exploitation of fossil fuels have culminated in widespread environmental degradation. Crude oil, although central to modern energy systems, has become a major contributor to environmental pollution through pipeline ruptures, leakages, and spills during extraction, refining, and transportation. These pollutants alter the soil's physicochemical properties, resulting in reduced fertility, disruption of microbial communities, and compromised plant productivity (Ahmad </w:t>
      </w:r>
      <w:commentRangeStart w:id="0"/>
      <w:r>
        <w:rPr>
          <w:color w:val="000000" w:themeColor="text1"/>
        </w:rPr>
        <w:t>et al</w:t>
      </w:r>
      <w:commentRangeEnd w:id="0"/>
      <w:r w:rsidR="004146CA">
        <w:rPr>
          <w:rStyle w:val="CommentReference"/>
          <w:rFonts w:asciiTheme="minorHAnsi" w:eastAsiaTheme="minorHAnsi" w:hAnsiTheme="minorHAnsi" w:cstheme="minorBidi"/>
          <w:kern w:val="2"/>
        </w:rPr>
        <w:commentReference w:id="0"/>
      </w:r>
      <w:r>
        <w:rPr>
          <w:color w:val="000000" w:themeColor="text1"/>
        </w:rPr>
        <w:t xml:space="preserve">., 2020; </w:t>
      </w:r>
      <w:proofErr w:type="spellStart"/>
      <w:r>
        <w:rPr>
          <w:color w:val="000000" w:themeColor="text1"/>
        </w:rPr>
        <w:t>Daâssi</w:t>
      </w:r>
      <w:proofErr w:type="spellEnd"/>
      <w:r>
        <w:rPr>
          <w:color w:val="000000" w:themeColor="text1"/>
        </w:rPr>
        <w:t xml:space="preserve"> &amp; Qabil, 2022). Among the more persistent components of crude oil are polycyclic aromatic hydrocarbons (PAHs), which are highly toxic and </w:t>
      </w:r>
      <w:r>
        <w:rPr>
          <w:color w:val="000000" w:themeColor="text1"/>
        </w:rPr>
        <w:lastRenderedPageBreak/>
        <w:t>capable of bioaccumulation. Their presence hinders water and nutrient infiltration, which further disturbs soil structure and affects plant growth (Adeniran et al., 2023).</w:t>
      </w:r>
    </w:p>
    <w:p w14:paraId="7BFB7164" w14:textId="77777777" w:rsidR="00537132" w:rsidRDefault="006E0463">
      <w:pPr>
        <w:pStyle w:val="NormalWeb"/>
        <w:spacing w:before="0" w:beforeAutospacing="0" w:after="0" w:afterAutospacing="0" w:line="360" w:lineRule="auto"/>
        <w:jc w:val="both"/>
        <w:rPr>
          <w:color w:val="000000" w:themeColor="text1"/>
        </w:rPr>
      </w:pPr>
      <w:r>
        <w:rPr>
          <w:color w:val="000000" w:themeColor="text1"/>
        </w:rPr>
        <w:t>Bioremediation has emerged as a promising, eco-friendly solution to hydrocarbon contamination. Unlike chemical and physical approaches, bioremediation employs biological agents, primarily microorganisms, to degrade, detoxify, or transform pollutants into less harmful substances (Alori et al., 2022; Sanjana et al., 2024). However, the effectiveness of bioremediation is constrained by poor soil conditions in petroleum-impacted environments. These include nutrient deficiencies, low microbial abundance, and high carbon-to-nitrogen ratios that hinder microbial metabolism and nitrogen cycling (John et al., 2016).</w:t>
      </w:r>
    </w:p>
    <w:p w14:paraId="7839FA2B" w14:textId="47695AE8" w:rsidR="00537132" w:rsidRDefault="003D2C32">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GB"/>
        </w:rPr>
        <w:t xml:space="preserve"> Several research</w:t>
      </w:r>
      <w:r>
        <w:rPr>
          <w:rFonts w:ascii="Times New Roman" w:eastAsia="Times New Roman" w:hAnsi="Times New Roman" w:cs="Times New Roman"/>
          <w:kern w:val="0"/>
          <w:sz w:val="24"/>
          <w:szCs w:val="24"/>
          <w14:ligatures w14:val="none"/>
        </w:rPr>
        <w:t xml:space="preserve"> have shown that biochar amendments can significantly increase ammonium nitrogen (NH₄–N) and total organic nitrogen (TON) concentrations in these soils, making it an essential tool for bioremediation (</w:t>
      </w:r>
      <w:proofErr w:type="spellStart"/>
      <w:r>
        <w:rPr>
          <w:rFonts w:ascii="Times New Roman" w:eastAsia="Times New Roman" w:hAnsi="Times New Roman" w:cs="Times New Roman"/>
          <w:kern w:val="0"/>
          <w:sz w:val="24"/>
          <w:szCs w:val="24"/>
          <w14:ligatures w14:val="none"/>
        </w:rPr>
        <w:t>Osadebe</w:t>
      </w:r>
      <w:proofErr w:type="spellEnd"/>
      <w:r>
        <w:rPr>
          <w:rFonts w:ascii="Times New Roman" w:eastAsia="Times New Roman" w:hAnsi="Times New Roman" w:cs="Times New Roman"/>
          <w:kern w:val="0"/>
          <w:sz w:val="24"/>
          <w:szCs w:val="24"/>
          <w14:ligatures w14:val="none"/>
        </w:rPr>
        <w:t xml:space="preserve"> et al., 2023).</w:t>
      </w:r>
      <w:r>
        <w:rPr>
          <w:color w:val="000000" w:themeColor="text1"/>
        </w:rPr>
        <w:t xml:space="preserve"> </w:t>
      </w:r>
      <w:r>
        <w:rPr>
          <w:rFonts w:ascii="Times New Roman" w:hAnsi="Times New Roman" w:cs="Times New Roman"/>
          <w:color w:val="000000" w:themeColor="text1"/>
          <w:sz w:val="24"/>
          <w:szCs w:val="24"/>
        </w:rPr>
        <w:t>Nevertheless, nitrification in contaminated soils is often impeded due to the toxic effects of hydrocarbons on nitrifying bacteria, thereby reducing nitrogen bioavailability and affecting crop productivity (</w:t>
      </w:r>
      <w:proofErr w:type="spellStart"/>
      <w:r>
        <w:rPr>
          <w:rFonts w:ascii="Times New Roman" w:hAnsi="Times New Roman" w:cs="Times New Roman"/>
          <w:color w:val="000000" w:themeColor="text1"/>
          <w:sz w:val="24"/>
          <w:szCs w:val="24"/>
        </w:rPr>
        <w:t>Melekhina</w:t>
      </w:r>
      <w:proofErr w:type="spellEnd"/>
      <w:r>
        <w:rPr>
          <w:rFonts w:ascii="Times New Roman" w:hAnsi="Times New Roman" w:cs="Times New Roman"/>
          <w:color w:val="000000" w:themeColor="text1"/>
          <w:sz w:val="24"/>
          <w:szCs w:val="24"/>
        </w:rPr>
        <w:t xml:space="preserve"> et al., 2021; Jia et al., 2023).</w:t>
      </w:r>
      <w:r>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rPr>
        <w:t>Recent studies have shown that biochar, produced from the pyrolysis of plant or animal biomass, holds great promise in soil restoration efforts. Animal bone-derived biochar, in particular, offers a dual advantage: it acts as both a sorbent for hydrocarbon residues and a nutrient source, enhancing microbial activity and nutrient dynamics (</w:t>
      </w:r>
      <w:proofErr w:type="spellStart"/>
      <w:r>
        <w:rPr>
          <w:rFonts w:ascii="Times New Roman" w:hAnsi="Times New Roman" w:cs="Times New Roman"/>
          <w:color w:val="000000" w:themeColor="text1"/>
          <w:sz w:val="24"/>
          <w:szCs w:val="24"/>
        </w:rPr>
        <w:t>Okareh</w:t>
      </w:r>
      <w:proofErr w:type="spellEnd"/>
      <w:r>
        <w:rPr>
          <w:rFonts w:ascii="Times New Roman" w:hAnsi="Times New Roman" w:cs="Times New Roman"/>
          <w:color w:val="000000" w:themeColor="text1"/>
          <w:sz w:val="24"/>
          <w:szCs w:val="24"/>
        </w:rPr>
        <w:t xml:space="preserve"> and Gbadebo, 2020; Hossain et al., 2020). When introduced into crude oil-contaminated soils, bone biochar can improve pH buffering capacity, reduce hydrocarbon toxicity, and foster microbial nitrifier populations, thus promoting more stable nitrogen cycling (Lamichhane et al., 2023; Ibitoye et al., 2024).</w:t>
      </w:r>
    </w:p>
    <w:p w14:paraId="633F32BD" w14:textId="77777777" w:rsidR="00537132" w:rsidRDefault="006E0463">
      <w:pPr>
        <w:pStyle w:val="NormalWeb"/>
        <w:spacing w:before="0" w:beforeAutospacing="0" w:after="0" w:afterAutospacing="0" w:line="360" w:lineRule="auto"/>
        <w:jc w:val="both"/>
        <w:rPr>
          <w:color w:val="000000" w:themeColor="text1"/>
        </w:rPr>
      </w:pPr>
      <w:r>
        <w:rPr>
          <w:color w:val="000000" w:themeColor="text1"/>
        </w:rPr>
        <w:t>Soil pH, a critical determinant of microbial community structure and function, is often disrupted by oil contamination. Fluctuations in pH can impair enzymatic activity and nutrient solubility, further aggravating soil infertility. Incorporating bone-based biochar may counteract this by stabilizing pH and supporting microbial processes essential for nitrification and nitrate accumulation (Beeckman &amp; Beeckman, 2018). This holds significant implications for long-term soil recovery and agricultural sustainability in oil-impacted areas.</w:t>
      </w:r>
    </w:p>
    <w:p w14:paraId="0A8A64E4" w14:textId="77777777" w:rsidR="00537132" w:rsidRDefault="006E0463">
      <w:pPr>
        <w:pStyle w:val="NormalWeb"/>
        <w:spacing w:before="0" w:beforeAutospacing="0" w:after="0" w:afterAutospacing="0" w:line="360" w:lineRule="auto"/>
        <w:jc w:val="both"/>
        <w:rPr>
          <w:color w:val="000000" w:themeColor="text1"/>
        </w:rPr>
      </w:pPr>
      <w:r>
        <w:rPr>
          <w:color w:val="000000" w:themeColor="text1"/>
        </w:rPr>
        <w:lastRenderedPageBreak/>
        <w:t xml:space="preserve">This study, therefore, investigates the effect of animal bone-derived biochar on soil pH and </w:t>
      </w:r>
      <w:proofErr w:type="spellStart"/>
      <w:r>
        <w:rPr>
          <w:color w:val="000000" w:themeColor="text1"/>
        </w:rPr>
        <w:t>nitr</w:t>
      </w:r>
      <w:r>
        <w:rPr>
          <w:color w:val="000000" w:themeColor="text1"/>
          <w:lang w:val="en-GB"/>
        </w:rPr>
        <w:t>oge</w:t>
      </w:r>
      <w:proofErr w:type="spellEnd"/>
      <w:r>
        <w:rPr>
          <w:color w:val="000000" w:themeColor="text1"/>
        </w:rPr>
        <w:t xml:space="preserve"> dynamics during the bioremediation of crude oil-polluted soil. It explores how this amendment enhances nitrification efficiency, supports microbial rehabilitation, and facilitates nutrient cycling. Through this, the research contributes to developing integrated remediation protocols that restore both the chemical and biological integrity of petroleum-impacted ecosystems.</w:t>
      </w:r>
    </w:p>
    <w:p w14:paraId="7A4D2557" w14:textId="37B4C740" w:rsidR="00537132" w:rsidRPr="00DA4D2F" w:rsidRDefault="006E0463" w:rsidP="00DA4D2F">
      <w:pPr>
        <w:pStyle w:val="ListParagraph"/>
        <w:numPr>
          <w:ilvl w:val="0"/>
          <w:numId w:val="2"/>
        </w:numPr>
        <w:spacing w:before="240" w:line="360" w:lineRule="auto"/>
        <w:rPr>
          <w:rFonts w:ascii="Times New Roman" w:hAnsi="Times New Roman" w:cs="Times New Roman"/>
          <w:b/>
          <w:bCs/>
          <w:color w:val="000000" w:themeColor="text1"/>
          <w:sz w:val="24"/>
          <w:szCs w:val="24"/>
        </w:rPr>
      </w:pPr>
      <w:r w:rsidRPr="00DA4D2F">
        <w:rPr>
          <w:rFonts w:ascii="Times New Roman" w:hAnsi="Times New Roman" w:cs="Times New Roman"/>
          <w:b/>
          <w:bCs/>
          <w:color w:val="000000" w:themeColor="text1"/>
          <w:sz w:val="24"/>
          <w:szCs w:val="24"/>
        </w:rPr>
        <w:t>MATERIALS AND METHODS</w:t>
      </w:r>
    </w:p>
    <w:p w14:paraId="7C9E6261" w14:textId="0EDE6EC5" w:rsidR="00537132" w:rsidRDefault="00DA4D2F">
      <w:pPr>
        <w:spacing w:after="0" w:line="360" w:lineRule="auto"/>
        <w:jc w:val="both"/>
        <w:rPr>
          <w:rFonts w:ascii="Times New Roman" w:hAnsi="Times New Roman" w:cs="Times New Roman"/>
          <w:b/>
          <w:bCs/>
          <w:color w:val="000000" w:themeColor="text1"/>
          <w:sz w:val="24"/>
          <w:szCs w:val="24"/>
          <w:lang w:val="de-DE"/>
        </w:rPr>
      </w:pPr>
      <w:r>
        <w:rPr>
          <w:rFonts w:ascii="Times New Roman" w:hAnsi="Times New Roman" w:cs="Times New Roman"/>
          <w:b/>
          <w:color w:val="000000" w:themeColor="text1"/>
          <w:sz w:val="24"/>
          <w:szCs w:val="24"/>
          <w:lang w:val="de-DE"/>
        </w:rPr>
        <w:t>2.1 Research Design</w:t>
      </w:r>
    </w:p>
    <w:p w14:paraId="6331131B" w14:textId="77777777" w:rsidR="00537132" w:rsidRDefault="006E0463">
      <w:pPr>
        <w:tabs>
          <w:tab w:val="left" w:pos="624"/>
        </w:tabs>
        <w:spacing w:after="0" w:line="360" w:lineRule="auto"/>
        <w:jc w:val="both"/>
        <w:rPr>
          <w:rFonts w:ascii="Times New Roman" w:hAnsi="Times New Roman" w:cs="Times New Roman"/>
          <w:bCs/>
          <w:color w:val="000000" w:themeColor="text1"/>
          <w:sz w:val="24"/>
          <w:szCs w:val="24"/>
          <w:lang w:val="de-DE"/>
        </w:rPr>
      </w:pPr>
      <w:r>
        <w:rPr>
          <w:rFonts w:ascii="Times New Roman" w:hAnsi="Times New Roman" w:cs="Times New Roman"/>
          <w:bCs/>
          <w:color w:val="000000" w:themeColor="text1"/>
          <w:sz w:val="24"/>
          <w:szCs w:val="24"/>
          <w:lang w:val="de-DE"/>
        </w:rPr>
        <w:t>The study adopted a Randomized Complete Block Design (RCBD) to evaluate the effectiveness of biochar amendments derived from cow bones on the bioremediation of crude oil-contaminated soil and the subsequent restoration of soil fertility. The RCBD approach was employed to account for potential variability within experimental units, particularly environmental factors such as microclimatic variation, initial soil heterogeneity, and moisture distribution, thus improving the precision and reliability of the results.</w:t>
      </w:r>
    </w:p>
    <w:p w14:paraId="6CB6D3FD" w14:textId="06E7021E" w:rsidR="00537132" w:rsidRDefault="00DA4D2F">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2.2 Study Area and Sample Collection</w:t>
      </w:r>
    </w:p>
    <w:p w14:paraId="3CEF814E" w14:textId="2C8DCF1D"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commentRangeStart w:id="1"/>
      <w:r>
        <w:rPr>
          <w:rFonts w:ascii="Times New Roman" w:eastAsia="Times New Roman" w:hAnsi="Times New Roman" w:cs="Times New Roman"/>
          <w:color w:val="000000" w:themeColor="text1"/>
          <w:kern w:val="0"/>
          <w:sz w:val="24"/>
          <w:szCs w:val="24"/>
          <w14:ligatures w14:val="none"/>
        </w:rPr>
        <w:t>The soil used for this study was collected from</w:t>
      </w:r>
      <w:r>
        <w:rPr>
          <w:rFonts w:ascii="Times New Roman" w:eastAsia="Calibri" w:hAnsi="Times New Roman" w:cs="Times New Roman"/>
          <w:color w:val="000008"/>
          <w:spacing w:val="-2"/>
          <w:sz w:val="24"/>
          <w:szCs w:val="24"/>
        </w:rPr>
        <w:t xml:space="preserve"> </w:t>
      </w:r>
      <w:proofErr w:type="spellStart"/>
      <w:r>
        <w:rPr>
          <w:rFonts w:ascii="Times New Roman" w:eastAsia="Calibri" w:hAnsi="Times New Roman" w:cs="Times New Roman"/>
          <w:color w:val="000008"/>
          <w:spacing w:val="-2"/>
          <w:sz w:val="24"/>
          <w:szCs w:val="24"/>
        </w:rPr>
        <w:t>Ozuoba</w:t>
      </w:r>
      <w:proofErr w:type="spellEnd"/>
      <w:r>
        <w:rPr>
          <w:rFonts w:ascii="Times New Roman" w:eastAsia="Calibri" w:hAnsi="Times New Roman" w:cs="Times New Roman"/>
          <w:color w:val="000008"/>
          <w:spacing w:val="-2"/>
          <w:sz w:val="24"/>
          <w:szCs w:val="24"/>
        </w:rPr>
        <w:t xml:space="preserve"> area of Obio-Akpor Local Government Area, Rivers State, Nigeria</w:t>
      </w:r>
      <w:proofErr w:type="gramStart"/>
      <w:r>
        <w:rPr>
          <w:rFonts w:ascii="Times New Roman" w:eastAsia="Calibri" w:hAnsi="Times New Roman" w:cs="Times New Roman"/>
          <w:color w:val="000008"/>
          <w:spacing w:val="-2"/>
          <w:sz w:val="24"/>
          <w:szCs w:val="24"/>
        </w:rPr>
        <w:t>,</w:t>
      </w:r>
      <w:r>
        <w:rPr>
          <w:rFonts w:eastAsia="Calibri"/>
          <w:color w:val="000008"/>
          <w:spacing w:val="-2"/>
          <w:sz w:val="24"/>
          <w:szCs w:val="24"/>
        </w:rPr>
        <w:t xml:space="preserve"> </w:t>
      </w:r>
      <w:r>
        <w:rPr>
          <w:rFonts w:ascii="Times New Roman" w:eastAsia="Times New Roman" w:hAnsi="Times New Roman" w:cs="Times New Roman"/>
          <w:color w:val="000000" w:themeColor="text1"/>
          <w:kern w:val="0"/>
          <w:sz w:val="24"/>
          <w:szCs w:val="24"/>
          <w14:ligatures w14:val="none"/>
        </w:rPr>
        <w:t>.</w:t>
      </w:r>
      <w:proofErr w:type="gramEnd"/>
      <w:r>
        <w:rPr>
          <w:rFonts w:ascii="Times New Roman" w:eastAsia="Times New Roman" w:hAnsi="Times New Roman" w:cs="Times New Roman"/>
          <w:color w:val="000000" w:themeColor="text1"/>
          <w:kern w:val="0"/>
          <w:sz w:val="24"/>
          <w:szCs w:val="24"/>
          <w14:ligatures w14:val="none"/>
        </w:rPr>
        <w:t xml:space="preserve"> The selected site was uncontaminated, ensuring a controlled experimental baseline. The soil was collected at a depth of 0</w:t>
      </w:r>
      <w:r w:rsidR="00DA4D2F">
        <w:rPr>
          <w:rFonts w:ascii="Times New Roman" w:eastAsia="Times New Roman" w:hAnsi="Times New Roman" w:cs="Times New Roman"/>
          <w:color w:val="000000" w:themeColor="text1"/>
          <w:kern w:val="0"/>
          <w:sz w:val="24"/>
          <w:szCs w:val="24"/>
          <w14:ligatures w14:val="none"/>
        </w:rPr>
        <w:t xml:space="preserve"> </w:t>
      </w:r>
      <w:r>
        <w:rPr>
          <w:rFonts w:ascii="Times New Roman" w:eastAsia="Times New Roman" w:hAnsi="Times New Roman" w:cs="Times New Roman"/>
          <w:color w:val="000000" w:themeColor="text1"/>
          <w:kern w:val="0"/>
          <w:sz w:val="24"/>
          <w:szCs w:val="24"/>
          <w14:ligatures w14:val="none"/>
        </w:rPr>
        <w:t xml:space="preserve">–20 cm using a stainless-steel soil auger to avoid contamination. After </w:t>
      </w:r>
      <w:proofErr w:type="gramStart"/>
      <w:r>
        <w:rPr>
          <w:rFonts w:ascii="Times New Roman" w:eastAsia="Times New Roman" w:hAnsi="Times New Roman" w:cs="Times New Roman"/>
          <w:color w:val="000000" w:themeColor="text1"/>
          <w:kern w:val="0"/>
          <w:sz w:val="24"/>
          <w:szCs w:val="24"/>
          <w14:ligatures w14:val="none"/>
        </w:rPr>
        <w:t>collection</w:t>
      </w:r>
      <w:proofErr w:type="gramEnd"/>
      <w:r>
        <w:rPr>
          <w:rFonts w:ascii="Times New Roman" w:eastAsia="Times New Roman" w:hAnsi="Times New Roman" w:cs="Times New Roman"/>
          <w:color w:val="000000" w:themeColor="text1"/>
          <w:kern w:val="0"/>
          <w:sz w:val="24"/>
          <w:szCs w:val="24"/>
          <w14:ligatures w14:val="none"/>
        </w:rPr>
        <w:t>, the samples were air-dried at room temperature, homogenized, and sieved through a 2 mm mesh to remove debris and ensure uniform particle size for analysis and experimentation.</w:t>
      </w:r>
      <w:commentRangeEnd w:id="1"/>
      <w:r w:rsidR="00C360B6">
        <w:rPr>
          <w:rStyle w:val="CommentReference"/>
        </w:rPr>
        <w:commentReference w:id="1"/>
      </w:r>
    </w:p>
    <w:p w14:paraId="4B40527F" w14:textId="1CEC1EF0" w:rsidR="00537132" w:rsidRDefault="00DA4D2F">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2.3 Preparation of Crude Oil-Contaminated Soil</w:t>
      </w:r>
    </w:p>
    <w:p w14:paraId="7DA99EB6" w14:textId="6977A48A"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The clean, sieved soil was artificially contaminated by thoroughly mixing </w:t>
      </w:r>
      <w:r>
        <w:rPr>
          <w:rFonts w:ascii="Times New Roman" w:eastAsia="Times New Roman" w:hAnsi="Times New Roman" w:cs="Times New Roman"/>
          <w:color w:val="000000" w:themeColor="text1"/>
          <w:kern w:val="0"/>
          <w:sz w:val="24"/>
          <w:szCs w:val="24"/>
          <w:lang w:val="en-GB"/>
          <w14:ligatures w14:val="none"/>
        </w:rPr>
        <w:t>with</w:t>
      </w:r>
      <w:r>
        <w:rPr>
          <w:rFonts w:ascii="Times New Roman" w:eastAsia="SimSun" w:hAnsi="Times New Roman" w:cs="Times New Roman"/>
          <w:sz w:val="24"/>
          <w:szCs w:val="24"/>
        </w:rPr>
        <w:t xml:space="preserve"> crude oil </w:t>
      </w:r>
      <w:proofErr w:type="gramStart"/>
      <w:r>
        <w:rPr>
          <w:rFonts w:ascii="Times New Roman" w:eastAsia="SimSun" w:hAnsi="Times New Roman" w:cs="Times New Roman"/>
          <w:sz w:val="24"/>
          <w:szCs w:val="24"/>
        </w:rPr>
        <w:t xml:space="preserve">sample  </w:t>
      </w:r>
      <w:r w:rsidR="00EE3691">
        <w:rPr>
          <w:rFonts w:ascii="Times New Roman" w:eastAsia="SimSun" w:hAnsi="Times New Roman" w:cs="Times New Roman"/>
          <w:sz w:val="24"/>
          <w:szCs w:val="24"/>
        </w:rPr>
        <w:t>obtained</w:t>
      </w:r>
      <w:proofErr w:type="gramEnd"/>
      <w:r>
        <w:rPr>
          <w:rFonts w:ascii="Times New Roman" w:eastAsia="SimSun" w:hAnsi="Times New Roman" w:cs="Times New Roman"/>
          <w:sz w:val="24"/>
          <w:szCs w:val="24"/>
        </w:rPr>
        <w:t xml:space="preserve"> from </w:t>
      </w:r>
      <w:proofErr w:type="spellStart"/>
      <w:r>
        <w:rPr>
          <w:rFonts w:ascii="Times New Roman" w:eastAsia="SimSun" w:hAnsi="Times New Roman" w:cs="Times New Roman"/>
          <w:sz w:val="24"/>
          <w:szCs w:val="24"/>
        </w:rPr>
        <w:t>Owaza</w:t>
      </w:r>
      <w:proofErr w:type="spellEnd"/>
      <w:r>
        <w:rPr>
          <w:rFonts w:ascii="Times New Roman" w:eastAsia="SimSun" w:hAnsi="Times New Roman" w:cs="Times New Roman"/>
          <w:sz w:val="24"/>
          <w:szCs w:val="24"/>
        </w:rPr>
        <w:t xml:space="preserve">, Abia State, </w:t>
      </w:r>
      <w:r>
        <w:rPr>
          <w:rFonts w:eastAsia="SimSun"/>
          <w:sz w:val="24"/>
          <w:szCs w:val="24"/>
        </w:rPr>
        <w:t>Nigeria</w:t>
      </w:r>
      <w:r>
        <w:rPr>
          <w:rFonts w:ascii="Times New Roman" w:eastAsia="Times New Roman" w:hAnsi="Times New Roman" w:cs="Times New Roman"/>
          <w:color w:val="000000" w:themeColor="text1"/>
          <w:kern w:val="0"/>
          <w:sz w:val="24"/>
          <w:szCs w:val="24"/>
          <w14:ligatures w14:val="none"/>
        </w:rPr>
        <w:t xml:space="preserve">. The contamination was done at a concentration of 5% (w/w) to simulate significant environmental pollution conditions. The mixture was left undisturbed for seven days to ensure full interaction between the crude oil and soil particles, </w:t>
      </w:r>
      <w:r w:rsidR="00EE3691">
        <w:rPr>
          <w:rFonts w:ascii="Times New Roman" w:eastAsia="Times New Roman" w:hAnsi="Times New Roman" w:cs="Times New Roman"/>
          <w:color w:val="000000" w:themeColor="text1"/>
          <w:kern w:val="0"/>
          <w:sz w:val="24"/>
          <w:szCs w:val="24"/>
          <w14:ligatures w14:val="none"/>
        </w:rPr>
        <w:t>representing</w:t>
      </w:r>
      <w:r>
        <w:rPr>
          <w:rFonts w:ascii="Times New Roman" w:eastAsia="Times New Roman" w:hAnsi="Times New Roman" w:cs="Times New Roman"/>
          <w:color w:val="000000" w:themeColor="text1"/>
          <w:kern w:val="0"/>
          <w:sz w:val="24"/>
          <w:szCs w:val="24"/>
          <w14:ligatures w14:val="none"/>
        </w:rPr>
        <w:t xml:space="preserve"> field contamination scenarios.</w:t>
      </w:r>
    </w:p>
    <w:p w14:paraId="6F3A9E61" w14:textId="713A5C96" w:rsidR="00537132" w:rsidRDefault="00EE3691">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2.4 Preparation of Animal Bone-Derived Biochar</w:t>
      </w:r>
    </w:p>
    <w:p w14:paraId="36DAEF97" w14:textId="77777777"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lastRenderedPageBreak/>
        <w:t>Animal bones were obtained from abattoirs in Port Harcourt and thoroughly washed to remove residual tissues. The clean bones were air-dried and subsequently carbonized in a muffle furnace at 500°C for two hours under limited oxygen conditions to produce biochar. The biochar was then ground and sieved through a 2 mm mesh to ensure consistency in particle size. The final product was stored in airtight containers before use.</w:t>
      </w:r>
    </w:p>
    <w:p w14:paraId="0826538B" w14:textId="06A9D5FC" w:rsidR="00537132" w:rsidRDefault="00EE3691">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2.5 Experimental Design</w:t>
      </w:r>
    </w:p>
    <w:p w14:paraId="415FAD40" w14:textId="77777777"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The experiment was set up in plastic pots arranged in a randomized complete block design (RCBD) with triplicates for each treatment. The following treatments were established:</w:t>
      </w:r>
    </w:p>
    <w:p w14:paraId="0E863B1B"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T1: Control (uncontaminated soil)</w:t>
      </w:r>
    </w:p>
    <w:p w14:paraId="4E963FE4"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T2: Crude oil-contaminated soil only</w:t>
      </w:r>
    </w:p>
    <w:p w14:paraId="751DF9CC"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T3: Crude oil-contaminated soil + 2</w:t>
      </w:r>
      <w:r>
        <w:rPr>
          <w:rFonts w:ascii="Times New Roman" w:eastAsia="Times New Roman" w:hAnsi="Times New Roman" w:cs="Times New Roman"/>
          <w:color w:val="000000" w:themeColor="text1"/>
          <w:kern w:val="0"/>
          <w:sz w:val="24"/>
          <w:szCs w:val="24"/>
          <w:lang w:val="en-GB"/>
          <w14:ligatures w14:val="none"/>
        </w:rPr>
        <w:t>0g</w:t>
      </w:r>
      <w:r>
        <w:rPr>
          <w:rFonts w:ascii="Times New Roman" w:eastAsia="Times New Roman" w:hAnsi="Times New Roman" w:cs="Times New Roman"/>
          <w:color w:val="000000" w:themeColor="text1"/>
          <w:kern w:val="0"/>
          <w:sz w:val="24"/>
          <w:szCs w:val="24"/>
          <w14:ligatures w14:val="none"/>
        </w:rPr>
        <w:t xml:space="preserve"> biochar</w:t>
      </w:r>
    </w:p>
    <w:p w14:paraId="1A04FD80"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T4: Crude oil-contaminated soil + </w:t>
      </w:r>
      <w:r>
        <w:rPr>
          <w:rFonts w:ascii="Times New Roman" w:eastAsia="Times New Roman" w:hAnsi="Times New Roman" w:cs="Times New Roman"/>
          <w:color w:val="000000" w:themeColor="text1"/>
          <w:kern w:val="0"/>
          <w:sz w:val="24"/>
          <w:szCs w:val="24"/>
          <w:lang w:val="en-GB"/>
          <w14:ligatures w14:val="none"/>
        </w:rPr>
        <w:t>60g</w:t>
      </w:r>
      <w:r>
        <w:rPr>
          <w:rFonts w:ascii="Times New Roman" w:eastAsia="Times New Roman" w:hAnsi="Times New Roman" w:cs="Times New Roman"/>
          <w:color w:val="000000" w:themeColor="text1"/>
          <w:kern w:val="0"/>
          <w:sz w:val="24"/>
          <w:szCs w:val="24"/>
          <w14:ligatures w14:val="none"/>
        </w:rPr>
        <w:t xml:space="preserve"> biochar</w:t>
      </w:r>
    </w:p>
    <w:p w14:paraId="4C7DCAAD" w14:textId="77777777" w:rsidR="00537132" w:rsidRDefault="006E0463">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T5: Crude oil-contaminated soil + </w:t>
      </w:r>
      <w:r>
        <w:rPr>
          <w:rFonts w:ascii="Times New Roman" w:eastAsia="Times New Roman" w:hAnsi="Times New Roman" w:cs="Times New Roman"/>
          <w:color w:val="000000" w:themeColor="text1"/>
          <w:kern w:val="0"/>
          <w:sz w:val="24"/>
          <w:szCs w:val="24"/>
          <w:lang w:val="en-GB"/>
          <w14:ligatures w14:val="none"/>
        </w:rPr>
        <w:t>100g</w:t>
      </w:r>
      <w:r>
        <w:rPr>
          <w:rFonts w:ascii="Times New Roman" w:eastAsia="Times New Roman" w:hAnsi="Times New Roman" w:cs="Times New Roman"/>
          <w:color w:val="000000" w:themeColor="text1"/>
          <w:kern w:val="0"/>
          <w:sz w:val="24"/>
          <w:szCs w:val="24"/>
          <w14:ligatures w14:val="none"/>
        </w:rPr>
        <w:t xml:space="preserve"> biochar</w:t>
      </w:r>
    </w:p>
    <w:p w14:paraId="10D52B03" w14:textId="22271DAD" w:rsidR="00537132" w:rsidRDefault="006E0463">
      <w:pPr>
        <w:spacing w:before="100" w:beforeAutospacing="1"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Each pot contained </w:t>
      </w:r>
      <w:r>
        <w:rPr>
          <w:rFonts w:ascii="Times New Roman" w:eastAsia="Times New Roman" w:hAnsi="Times New Roman" w:cs="Times New Roman"/>
          <w:color w:val="000000" w:themeColor="text1"/>
          <w:kern w:val="0"/>
          <w:sz w:val="24"/>
          <w:szCs w:val="24"/>
          <w:lang w:val="en-GB"/>
          <w14:ligatures w14:val="none"/>
        </w:rPr>
        <w:t>1</w:t>
      </w:r>
      <w:r>
        <w:rPr>
          <w:rFonts w:ascii="Times New Roman" w:eastAsia="Times New Roman" w:hAnsi="Times New Roman" w:cs="Times New Roman"/>
          <w:color w:val="000000" w:themeColor="text1"/>
          <w:kern w:val="0"/>
          <w:sz w:val="24"/>
          <w:szCs w:val="24"/>
          <w14:ligatures w14:val="none"/>
        </w:rPr>
        <w:t xml:space="preserve"> kg of soil. Biochar was thoroughly mixed into the contaminated soil at respective amendment rates</w:t>
      </w:r>
      <w:r>
        <w:rPr>
          <w:rFonts w:ascii="Times New Roman" w:eastAsia="Times New Roman" w:hAnsi="Times New Roman" w:cs="Times New Roman"/>
          <w:color w:val="000000" w:themeColor="text1"/>
          <w:kern w:val="0"/>
          <w:sz w:val="24"/>
          <w:szCs w:val="24"/>
          <w:lang w:val="en-GB"/>
          <w14:ligatures w14:val="none"/>
        </w:rPr>
        <w:t xml:space="preserve"> and allowed to </w:t>
      </w:r>
      <w:r w:rsidR="00E36702">
        <w:rPr>
          <w:rFonts w:ascii="Times New Roman" w:eastAsia="Times New Roman" w:hAnsi="Times New Roman" w:cs="Times New Roman"/>
          <w:color w:val="000000" w:themeColor="text1"/>
          <w:kern w:val="0"/>
          <w:sz w:val="24"/>
          <w:szCs w:val="24"/>
          <w:lang w:val="en-GB"/>
          <w14:ligatures w14:val="none"/>
        </w:rPr>
        <w:t>settle</w:t>
      </w:r>
      <w:r>
        <w:rPr>
          <w:rFonts w:ascii="Times New Roman" w:eastAsia="Times New Roman" w:hAnsi="Times New Roman" w:cs="Times New Roman"/>
          <w:color w:val="000000" w:themeColor="text1"/>
          <w:kern w:val="0"/>
          <w:sz w:val="24"/>
          <w:szCs w:val="24"/>
          <w:lang w:val="en-GB"/>
          <w14:ligatures w14:val="none"/>
        </w:rPr>
        <w:t xml:space="preserve"> for one </w:t>
      </w:r>
      <w:proofErr w:type="gramStart"/>
      <w:r>
        <w:rPr>
          <w:rFonts w:ascii="Times New Roman" w:eastAsia="Times New Roman" w:hAnsi="Times New Roman" w:cs="Times New Roman"/>
          <w:color w:val="000000" w:themeColor="text1"/>
          <w:kern w:val="0"/>
          <w:sz w:val="24"/>
          <w:szCs w:val="24"/>
          <w:lang w:val="en-GB"/>
          <w14:ligatures w14:val="none"/>
        </w:rPr>
        <w:t>week.</w:t>
      </w:r>
      <w:r>
        <w:rPr>
          <w:rFonts w:ascii="Times New Roman" w:eastAsia="Times New Roman" w:hAnsi="Times New Roman" w:cs="Times New Roman"/>
          <w:color w:val="000000" w:themeColor="text1"/>
          <w:kern w:val="0"/>
          <w:sz w:val="24"/>
          <w:szCs w:val="24"/>
          <w14:ligatures w14:val="none"/>
        </w:rPr>
        <w:t>.</w:t>
      </w:r>
      <w:proofErr w:type="gramEnd"/>
      <w:r>
        <w:rPr>
          <w:rFonts w:ascii="Times New Roman" w:eastAsia="Times New Roman" w:hAnsi="Times New Roman" w:cs="Times New Roman"/>
          <w:color w:val="000000" w:themeColor="text1"/>
          <w:kern w:val="0"/>
          <w:sz w:val="24"/>
          <w:szCs w:val="24"/>
          <w14:ligatures w14:val="none"/>
        </w:rPr>
        <w:t xml:space="preserve"> All pots were kept under ambient environmental conditions and watered regularly to maintain soil moisture at 60% of water holding capacity.</w:t>
      </w:r>
    </w:p>
    <w:p w14:paraId="5CDFD599" w14:textId="3B0D0C1E" w:rsidR="00537132" w:rsidRDefault="00E36702">
      <w:p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2.6 Soil Sampling and Analysis</w:t>
      </w:r>
    </w:p>
    <w:p w14:paraId="121241AD" w14:textId="77777777"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 xml:space="preserve">Soil samples were collected on days </w:t>
      </w:r>
      <w:r>
        <w:rPr>
          <w:rFonts w:ascii="Times New Roman" w:eastAsia="Times New Roman" w:hAnsi="Times New Roman" w:cs="Times New Roman"/>
          <w:color w:val="000000" w:themeColor="text1"/>
          <w:kern w:val="0"/>
          <w:sz w:val="24"/>
          <w:szCs w:val="24"/>
          <w:lang w:val="en-GB"/>
          <w14:ligatures w14:val="none"/>
        </w:rPr>
        <w:t>0</w:t>
      </w:r>
      <w:r>
        <w:rPr>
          <w:rFonts w:ascii="Times New Roman" w:eastAsia="Times New Roman" w:hAnsi="Times New Roman" w:cs="Times New Roman"/>
          <w:color w:val="000000" w:themeColor="text1"/>
          <w:kern w:val="0"/>
          <w:sz w:val="24"/>
          <w:szCs w:val="24"/>
          <w14:ligatures w14:val="none"/>
        </w:rPr>
        <w:t>,</w:t>
      </w:r>
      <w:r>
        <w:rPr>
          <w:rFonts w:ascii="Times New Roman" w:eastAsia="Times New Roman" w:hAnsi="Times New Roman" w:cs="Times New Roman"/>
          <w:color w:val="000000" w:themeColor="text1"/>
          <w:kern w:val="0"/>
          <w:sz w:val="24"/>
          <w:szCs w:val="24"/>
          <w:lang w:val="en-GB"/>
          <w14:ligatures w14:val="none"/>
        </w:rPr>
        <w:t>30,60</w:t>
      </w:r>
      <w:r>
        <w:rPr>
          <w:rFonts w:ascii="Times New Roman" w:eastAsia="Times New Roman" w:hAnsi="Times New Roman" w:cs="Times New Roman"/>
          <w:color w:val="000000" w:themeColor="text1"/>
          <w:kern w:val="0"/>
          <w:sz w:val="24"/>
          <w:szCs w:val="24"/>
          <w14:ligatures w14:val="none"/>
        </w:rPr>
        <w:t xml:space="preserve">, and </w:t>
      </w:r>
      <w:r>
        <w:rPr>
          <w:rFonts w:ascii="Times New Roman" w:eastAsia="Times New Roman" w:hAnsi="Times New Roman" w:cs="Times New Roman"/>
          <w:color w:val="000000" w:themeColor="text1"/>
          <w:kern w:val="0"/>
          <w:sz w:val="24"/>
          <w:szCs w:val="24"/>
          <w:lang w:val="en-GB"/>
          <w14:ligatures w14:val="none"/>
        </w:rPr>
        <w:t>9</w:t>
      </w:r>
      <w:r>
        <w:rPr>
          <w:rFonts w:ascii="Times New Roman" w:eastAsia="Times New Roman" w:hAnsi="Times New Roman" w:cs="Times New Roman"/>
          <w:color w:val="000000" w:themeColor="text1"/>
          <w:kern w:val="0"/>
          <w:sz w:val="24"/>
          <w:szCs w:val="24"/>
          <w14:ligatures w14:val="none"/>
        </w:rPr>
        <w:t>0 for physicochemical analysis. Each sample was analyzed for:</w:t>
      </w:r>
    </w:p>
    <w:p w14:paraId="616E3D52" w14:textId="77777777" w:rsidR="00537132" w:rsidRDefault="006E0463">
      <w:pPr>
        <w:spacing w:before="100" w:beforeAutospacing="1" w:after="0"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Soil pH</w:t>
      </w:r>
      <w:r>
        <w:rPr>
          <w:rFonts w:ascii="Times New Roman" w:eastAsia="Times New Roman" w:hAnsi="Times New Roman" w:cs="Times New Roman"/>
          <w:color w:val="000000" w:themeColor="text1"/>
          <w:kern w:val="0"/>
          <w:sz w:val="24"/>
          <w:szCs w:val="24"/>
          <w14:ligatures w14:val="none"/>
        </w:rPr>
        <w:t>: Measured in a 1:2.5 soil-to-water suspension using a digital pH meter.</w:t>
      </w:r>
    </w:p>
    <w:p w14:paraId="5D336AD3" w14:textId="77777777" w:rsidR="00537132" w:rsidRDefault="006E0463">
      <w:pPr>
        <w:spacing w:after="100" w:afterAutospacing="1"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Nitrate-Nitrogen (NO₃⁻-N)</w:t>
      </w:r>
      <w:r>
        <w:rPr>
          <w:rFonts w:ascii="Times New Roman" w:eastAsia="Times New Roman" w:hAnsi="Times New Roman" w:cs="Times New Roman"/>
          <w:color w:val="000000" w:themeColor="text1"/>
          <w:kern w:val="0"/>
          <w:sz w:val="24"/>
          <w:szCs w:val="24"/>
          <w14:ligatures w14:val="none"/>
        </w:rPr>
        <w:t xml:space="preserve">: Determined using the phenol </w:t>
      </w:r>
      <w:proofErr w:type="spellStart"/>
      <w:r>
        <w:rPr>
          <w:rFonts w:ascii="Times New Roman" w:eastAsia="Times New Roman" w:hAnsi="Times New Roman" w:cs="Times New Roman"/>
          <w:color w:val="000000" w:themeColor="text1"/>
          <w:kern w:val="0"/>
          <w:sz w:val="24"/>
          <w:szCs w:val="24"/>
          <w14:ligatures w14:val="none"/>
        </w:rPr>
        <w:t>disulfonic</w:t>
      </w:r>
      <w:proofErr w:type="spellEnd"/>
      <w:r>
        <w:rPr>
          <w:rFonts w:ascii="Times New Roman" w:eastAsia="Times New Roman" w:hAnsi="Times New Roman" w:cs="Times New Roman"/>
          <w:color w:val="000000" w:themeColor="text1"/>
          <w:kern w:val="0"/>
          <w:sz w:val="24"/>
          <w:szCs w:val="24"/>
          <w14:ligatures w14:val="none"/>
        </w:rPr>
        <w:t xml:space="preserve"> acid method after extraction with 2M potassium chloride (</w:t>
      </w:r>
      <w:proofErr w:type="spellStart"/>
      <w:r>
        <w:rPr>
          <w:rFonts w:ascii="Times New Roman" w:eastAsia="Times New Roman" w:hAnsi="Times New Roman" w:cs="Times New Roman"/>
          <w:color w:val="000000" w:themeColor="text1"/>
          <w:kern w:val="0"/>
          <w:sz w:val="24"/>
          <w:szCs w:val="24"/>
          <w14:ligatures w14:val="none"/>
        </w:rPr>
        <w:t>KCl</w:t>
      </w:r>
      <w:proofErr w:type="spellEnd"/>
      <w:r>
        <w:rPr>
          <w:rFonts w:ascii="Times New Roman" w:eastAsia="Times New Roman" w:hAnsi="Times New Roman" w:cs="Times New Roman"/>
          <w:color w:val="000000" w:themeColor="text1"/>
          <w:kern w:val="0"/>
          <w:sz w:val="24"/>
          <w:szCs w:val="24"/>
          <w14:ligatures w14:val="none"/>
        </w:rPr>
        <w:t>).</w:t>
      </w:r>
    </w:p>
    <w:p w14:paraId="3BDB5DBF" w14:textId="69A84CA3" w:rsidR="0036386A" w:rsidRPr="0036386A" w:rsidRDefault="0036386A" w:rsidP="0036386A">
      <w:pPr>
        <w:pStyle w:val="ListParagraph"/>
        <w:numPr>
          <w:ilvl w:val="1"/>
          <w:numId w:val="2"/>
        </w:numPr>
        <w:spacing w:before="100" w:beforeAutospacing="1" w:after="0" w:line="360" w:lineRule="auto"/>
        <w:jc w:val="both"/>
        <w:outlineLvl w:val="3"/>
        <w:rPr>
          <w:rFonts w:ascii="Times New Roman" w:eastAsia="Times New Roman" w:hAnsi="Times New Roman" w:cs="Times New Roman"/>
          <w:b/>
          <w:bCs/>
          <w:color w:val="000000" w:themeColor="text1"/>
          <w:kern w:val="0"/>
          <w:sz w:val="24"/>
          <w:szCs w:val="24"/>
          <w14:ligatures w14:val="none"/>
        </w:rPr>
      </w:pPr>
      <w:r w:rsidRPr="0036386A">
        <w:rPr>
          <w:rFonts w:ascii="Times New Roman" w:eastAsia="Times New Roman" w:hAnsi="Times New Roman" w:cs="Times New Roman"/>
          <w:b/>
          <w:bCs/>
          <w:color w:val="000000" w:themeColor="text1"/>
          <w:kern w:val="0"/>
          <w:sz w:val="24"/>
          <w:szCs w:val="24"/>
          <w14:ligatures w14:val="none"/>
        </w:rPr>
        <w:t>Statistical Analysis</w:t>
      </w:r>
    </w:p>
    <w:p w14:paraId="4CA64639" w14:textId="00568CF9" w:rsidR="00537132" w:rsidRDefault="007807DC" w:rsidP="0036386A">
      <w:pPr>
        <w:spacing w:before="100" w:beforeAutospacing="1" w:after="0" w:line="360" w:lineRule="auto"/>
        <w:ind w:left="360"/>
        <w:jc w:val="both"/>
        <w:outlineLvl w:val="3"/>
        <w:rPr>
          <w:rFonts w:ascii="Times New Roman" w:eastAsia="Times New Roman" w:hAnsi="Times New Roman" w:cs="Times New Roman"/>
          <w:color w:val="000000" w:themeColor="text1"/>
          <w:kern w:val="0"/>
          <w:sz w:val="24"/>
          <w:szCs w:val="24"/>
          <w14:ligatures w14:val="none"/>
        </w:rPr>
      </w:pPr>
      <w:r w:rsidRPr="007807DC">
        <w:rPr>
          <w:rFonts w:ascii="Times New Roman" w:eastAsia="Times New Roman" w:hAnsi="Times New Roman" w:cs="Times New Roman"/>
          <w:color w:val="000000" w:themeColor="text1"/>
          <w:kern w:val="0"/>
          <w:sz w:val="24"/>
          <w:szCs w:val="24"/>
          <w14:ligatures w14:val="none"/>
        </w:rPr>
        <w:lastRenderedPageBreak/>
        <w:t xml:space="preserve">All results obtained were subjected to descriptive statistical analysis </w:t>
      </w:r>
      <w:r w:rsidRPr="0036386A">
        <w:rPr>
          <w:rFonts w:ascii="Times New Roman" w:eastAsia="Times New Roman" w:hAnsi="Times New Roman" w:cs="Times New Roman"/>
          <w:color w:val="000000" w:themeColor="text1"/>
          <w:kern w:val="0"/>
          <w:sz w:val="24"/>
          <w:szCs w:val="24"/>
          <w14:ligatures w14:val="none"/>
        </w:rPr>
        <w:t>using Analysis of Variance (ANOVA) to determine significant differences between treatments. The means were separated using the Least Significant Difference (LSD) test at a 5% probability level.</w:t>
      </w:r>
    </w:p>
    <w:p w14:paraId="7FA8430A" w14:textId="77777777" w:rsidR="0036386A" w:rsidRPr="0036386A" w:rsidRDefault="0036386A" w:rsidP="0036386A">
      <w:pPr>
        <w:spacing w:before="100" w:beforeAutospacing="1" w:after="0" w:line="360" w:lineRule="auto"/>
        <w:ind w:left="360"/>
        <w:jc w:val="both"/>
        <w:outlineLvl w:val="3"/>
        <w:rPr>
          <w:rFonts w:ascii="Times New Roman" w:eastAsia="Times New Roman" w:hAnsi="Times New Roman" w:cs="Times New Roman"/>
          <w:color w:val="000000" w:themeColor="text1"/>
          <w:kern w:val="0"/>
          <w:sz w:val="24"/>
          <w:szCs w:val="24"/>
          <w14:ligatures w14:val="none"/>
        </w:rPr>
      </w:pPr>
    </w:p>
    <w:p w14:paraId="5E9C94F2" w14:textId="5CB8BA2B" w:rsidR="0036386A" w:rsidRDefault="0036386A">
      <w:pPr>
        <w:spacing w:after="0" w:line="360" w:lineRule="auto"/>
        <w:jc w:val="both"/>
        <w:rPr>
          <w:rFonts w:ascii="Times New Roman" w:hAnsi="Times New Roman" w:cs="Times New Roman"/>
          <w:b/>
          <w:bCs/>
          <w:color w:val="000000" w:themeColor="text1"/>
          <w:sz w:val="24"/>
          <w:szCs w:val="24"/>
        </w:rPr>
      </w:pPr>
      <w:proofErr w:type="gramStart"/>
      <w:r>
        <w:rPr>
          <w:rFonts w:ascii="Times New Roman" w:hAnsi="Times New Roman" w:cs="Times New Roman"/>
          <w:b/>
          <w:bCs/>
          <w:color w:val="000000" w:themeColor="text1"/>
          <w:sz w:val="24"/>
          <w:szCs w:val="24"/>
        </w:rPr>
        <w:t xml:space="preserve">3.0  </w:t>
      </w:r>
      <w:r w:rsidRPr="0036386A">
        <w:rPr>
          <w:rFonts w:ascii="Times New Roman" w:hAnsi="Times New Roman" w:cs="Times New Roman"/>
          <w:b/>
          <w:bCs/>
          <w:color w:val="000000" w:themeColor="text1"/>
          <w:sz w:val="24"/>
          <w:szCs w:val="24"/>
        </w:rPr>
        <w:t>RESULTS</w:t>
      </w:r>
      <w:proofErr w:type="gramEnd"/>
      <w:r w:rsidRPr="0036386A">
        <w:rPr>
          <w:rFonts w:ascii="Times New Roman" w:hAnsi="Times New Roman" w:cs="Times New Roman"/>
          <w:b/>
          <w:bCs/>
          <w:color w:val="000000" w:themeColor="text1"/>
          <w:sz w:val="24"/>
          <w:szCs w:val="24"/>
        </w:rPr>
        <w:t xml:space="preserve"> AND DISCUSSION</w:t>
      </w:r>
    </w:p>
    <w:p w14:paraId="4189755A" w14:textId="614FAE95" w:rsidR="00537132" w:rsidRDefault="009C781E">
      <w:pPr>
        <w:spacing w:after="0" w:line="360" w:lineRule="auto"/>
        <w:jc w:val="both"/>
        <w:rPr>
          <w:rFonts w:ascii="Times New Roman" w:hAnsi="Times New Roman" w:cs="Times New Roman"/>
          <w:b/>
          <w:bCs/>
          <w:color w:val="000000" w:themeColor="text1"/>
          <w:sz w:val="24"/>
          <w:szCs w:val="24"/>
        </w:rPr>
      </w:pPr>
      <w:bookmarkStart w:id="2" w:name="_Hlk203753531"/>
      <w:r>
        <w:rPr>
          <w:rFonts w:ascii="Times New Roman" w:hAnsi="Times New Roman" w:cs="Times New Roman"/>
          <w:b/>
          <w:bCs/>
          <w:color w:val="000000" w:themeColor="text1"/>
          <w:sz w:val="24"/>
          <w:szCs w:val="24"/>
        </w:rPr>
        <w:t xml:space="preserve">3.1 Effect of pH on Uncontaminated and Crude Oil Contaminated Soil during Bioremediation </w:t>
      </w:r>
    </w:p>
    <w:bookmarkEnd w:id="2"/>
    <w:p w14:paraId="018219AA" w14:textId="5B152312" w:rsidR="00537132" w:rsidRDefault="006E04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results of the 90-day bioremediation study show the changes in soil pH over time for different levels of biochar amendment. Initially, the uncontaminated soil had a pH of 4.85, while the crude oil-contaminated soil had a slightly higher pH of 4.95. The addition of biochar increased the soil pH in a dose-dependent manner, with the highest amendment level of 100% biochar resulting in a pH of 6.07. The pH dynamics over the 90-day period are presented in Table 1, which shows the pH values for each treatment at different time points. The uncontaminated soil (UCS) started at a pH of 4.85 and ended at 5.71, while the contaminated soil (CS) started at 4.95 and ended at 5.91. The biochar-amended soils showed significant increases in pH, with the 20% biochar treatment (CS + 20%) starting at 5.52 and ending at 6.82, the 60% biochar treatment (CS + 60%) starting at 5.95 and ending at 7.29, and the 100% biochar treatment (CS + 100%) starting at 6.07 and ending at 7.51. </w:t>
      </w:r>
    </w:p>
    <w:p w14:paraId="771F2D1A" w14:textId="77777777" w:rsidR="00537132" w:rsidRPr="00382C1E" w:rsidRDefault="006E0463">
      <w:pPr>
        <w:spacing w:after="0" w:line="360" w:lineRule="auto"/>
        <w:jc w:val="both"/>
        <w:rPr>
          <w:rFonts w:ascii="Times New Roman" w:hAnsi="Times New Roman" w:cs="Times New Roman"/>
          <w:color w:val="000000" w:themeColor="text1"/>
        </w:rPr>
      </w:pPr>
      <w:r w:rsidRPr="00382C1E">
        <w:rPr>
          <w:rFonts w:ascii="Times New Roman" w:hAnsi="Times New Roman" w:cs="Times New Roman"/>
          <w:color w:val="000000" w:themeColor="text1"/>
        </w:rPr>
        <w:t>Table 1: pH Variation During Biochar-Mediated Bioremediation of Contaminated and Uncontaminated Soils</w:t>
      </w:r>
    </w:p>
    <w:tbl>
      <w:tblPr>
        <w:tblW w:w="9551" w:type="dxa"/>
        <w:tblBorders>
          <w:top w:val="single" w:sz="4" w:space="0" w:color="auto"/>
          <w:bottom w:val="single" w:sz="4" w:space="0" w:color="auto"/>
        </w:tblBorders>
        <w:tblLook w:val="04A0" w:firstRow="1" w:lastRow="0" w:firstColumn="1" w:lastColumn="0" w:noHBand="0" w:noVBand="1"/>
      </w:tblPr>
      <w:tblGrid>
        <w:gridCol w:w="1330"/>
        <w:gridCol w:w="1268"/>
        <w:gridCol w:w="1268"/>
        <w:gridCol w:w="1268"/>
        <w:gridCol w:w="1268"/>
        <w:gridCol w:w="1273"/>
        <w:gridCol w:w="931"/>
        <w:gridCol w:w="945"/>
      </w:tblGrid>
      <w:tr w:rsidR="00537132" w:rsidRPr="00382C1E" w14:paraId="01AB4CC8" w14:textId="77777777">
        <w:trPr>
          <w:trHeight w:val="586"/>
        </w:trPr>
        <w:tc>
          <w:tcPr>
            <w:tcW w:w="1330" w:type="dxa"/>
            <w:tcBorders>
              <w:top w:val="single" w:sz="4" w:space="0" w:color="auto"/>
              <w:bottom w:val="single" w:sz="4" w:space="0" w:color="auto"/>
            </w:tcBorders>
            <w:noWrap/>
          </w:tcPr>
          <w:p w14:paraId="02122DF2"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Days</w:t>
            </w:r>
          </w:p>
        </w:tc>
        <w:tc>
          <w:tcPr>
            <w:tcW w:w="1268" w:type="dxa"/>
            <w:tcBorders>
              <w:top w:val="single" w:sz="4" w:space="0" w:color="auto"/>
              <w:bottom w:val="single" w:sz="4" w:space="0" w:color="auto"/>
            </w:tcBorders>
            <w:noWrap/>
          </w:tcPr>
          <w:p w14:paraId="0E79405C"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UCS</w:t>
            </w:r>
          </w:p>
        </w:tc>
        <w:tc>
          <w:tcPr>
            <w:tcW w:w="1268" w:type="dxa"/>
            <w:tcBorders>
              <w:top w:val="single" w:sz="4" w:space="0" w:color="auto"/>
              <w:bottom w:val="single" w:sz="4" w:space="0" w:color="auto"/>
            </w:tcBorders>
            <w:noWrap/>
          </w:tcPr>
          <w:p w14:paraId="5CA6B9AD"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CS</w:t>
            </w:r>
          </w:p>
        </w:tc>
        <w:tc>
          <w:tcPr>
            <w:tcW w:w="1268" w:type="dxa"/>
            <w:tcBorders>
              <w:top w:val="single" w:sz="4" w:space="0" w:color="auto"/>
              <w:bottom w:val="single" w:sz="4" w:space="0" w:color="auto"/>
            </w:tcBorders>
            <w:noWrap/>
          </w:tcPr>
          <w:p w14:paraId="032E11CB"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CS + 20% Biochar</w:t>
            </w:r>
          </w:p>
        </w:tc>
        <w:tc>
          <w:tcPr>
            <w:tcW w:w="1268" w:type="dxa"/>
            <w:tcBorders>
              <w:top w:val="single" w:sz="4" w:space="0" w:color="auto"/>
              <w:bottom w:val="single" w:sz="4" w:space="0" w:color="auto"/>
            </w:tcBorders>
            <w:noWrap/>
          </w:tcPr>
          <w:p w14:paraId="196D5A76"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CS + 60% Biochar</w:t>
            </w:r>
          </w:p>
        </w:tc>
        <w:tc>
          <w:tcPr>
            <w:tcW w:w="1273" w:type="dxa"/>
            <w:tcBorders>
              <w:top w:val="single" w:sz="4" w:space="0" w:color="auto"/>
              <w:bottom w:val="single" w:sz="4" w:space="0" w:color="auto"/>
            </w:tcBorders>
            <w:noWrap/>
          </w:tcPr>
          <w:p w14:paraId="13341FD0"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CS + 100% Biochar</w:t>
            </w:r>
          </w:p>
        </w:tc>
        <w:tc>
          <w:tcPr>
            <w:tcW w:w="931" w:type="dxa"/>
            <w:tcBorders>
              <w:top w:val="single" w:sz="4" w:space="0" w:color="auto"/>
              <w:bottom w:val="single" w:sz="4" w:space="0" w:color="auto"/>
            </w:tcBorders>
          </w:tcPr>
          <w:p w14:paraId="51B528DB"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F stat</w:t>
            </w:r>
          </w:p>
        </w:tc>
        <w:tc>
          <w:tcPr>
            <w:tcW w:w="945" w:type="dxa"/>
            <w:tcBorders>
              <w:top w:val="single" w:sz="4" w:space="0" w:color="auto"/>
              <w:bottom w:val="single" w:sz="4" w:space="0" w:color="auto"/>
            </w:tcBorders>
          </w:tcPr>
          <w:p w14:paraId="2DED3F8A" w14:textId="77777777" w:rsidR="00537132" w:rsidRPr="00382C1E" w:rsidRDefault="006E0463">
            <w:pPr>
              <w:spacing w:after="0" w:line="240" w:lineRule="auto"/>
              <w:jc w:val="both"/>
              <w:rPr>
                <w:rFonts w:ascii="Times New Roman" w:eastAsia="Cambria" w:hAnsi="Times New Roman" w:cs="Times New Roman"/>
                <w:color w:val="000000" w:themeColor="text1"/>
                <w:shd w:val="clear" w:color="auto" w:fill="FFFFFF"/>
              </w:rPr>
            </w:pPr>
            <w:r w:rsidRPr="00382C1E">
              <w:rPr>
                <w:rFonts w:ascii="Times New Roman" w:eastAsia="Cambria" w:hAnsi="Times New Roman" w:cs="Times New Roman"/>
                <w:color w:val="000000" w:themeColor="text1"/>
                <w:shd w:val="clear" w:color="auto" w:fill="FFFFFF"/>
              </w:rPr>
              <w:t>p-value</w:t>
            </w:r>
          </w:p>
        </w:tc>
      </w:tr>
      <w:tr w:rsidR="00537132" w:rsidRPr="0098142F" w14:paraId="14D59F64" w14:textId="77777777">
        <w:trPr>
          <w:trHeight w:val="417"/>
        </w:trPr>
        <w:tc>
          <w:tcPr>
            <w:tcW w:w="1330" w:type="dxa"/>
            <w:tcBorders>
              <w:top w:val="single" w:sz="4" w:space="0" w:color="auto"/>
            </w:tcBorders>
            <w:noWrap/>
          </w:tcPr>
          <w:p w14:paraId="23AD384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w:t>
            </w:r>
          </w:p>
        </w:tc>
        <w:tc>
          <w:tcPr>
            <w:tcW w:w="1268" w:type="dxa"/>
            <w:tcBorders>
              <w:top w:val="single" w:sz="4" w:space="0" w:color="auto"/>
            </w:tcBorders>
            <w:noWrap/>
          </w:tcPr>
          <w:p w14:paraId="4753AD7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(4.84–4.86) 4.85 ± 0.01</w:t>
            </w:r>
          </w:p>
        </w:tc>
        <w:tc>
          <w:tcPr>
            <w:tcW w:w="1268" w:type="dxa"/>
            <w:tcBorders>
              <w:top w:val="single" w:sz="4" w:space="0" w:color="auto"/>
            </w:tcBorders>
            <w:noWrap/>
          </w:tcPr>
          <w:p w14:paraId="7031AFC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(4.94–4.96) 4.95 ± 0.01</w:t>
            </w:r>
          </w:p>
        </w:tc>
        <w:tc>
          <w:tcPr>
            <w:tcW w:w="1268" w:type="dxa"/>
            <w:tcBorders>
              <w:top w:val="single" w:sz="4" w:space="0" w:color="auto"/>
            </w:tcBorders>
            <w:noWrap/>
          </w:tcPr>
          <w:p w14:paraId="3D304193"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(5.51–5.53) 5.52 ± 0.01</w:t>
            </w:r>
          </w:p>
        </w:tc>
        <w:tc>
          <w:tcPr>
            <w:tcW w:w="1268" w:type="dxa"/>
            <w:tcBorders>
              <w:top w:val="single" w:sz="4" w:space="0" w:color="auto"/>
            </w:tcBorders>
            <w:noWrap/>
          </w:tcPr>
          <w:p w14:paraId="7F5082B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(5.94–5.96) 5.95 ± 0.01</w:t>
            </w:r>
          </w:p>
        </w:tc>
        <w:tc>
          <w:tcPr>
            <w:tcW w:w="1273" w:type="dxa"/>
            <w:tcBorders>
              <w:top w:val="single" w:sz="4" w:space="0" w:color="auto"/>
            </w:tcBorders>
            <w:noWrap/>
          </w:tcPr>
          <w:p w14:paraId="4EB45A6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(6.06–6.08) 6.07 ± 0.01</w:t>
            </w:r>
          </w:p>
        </w:tc>
        <w:tc>
          <w:tcPr>
            <w:tcW w:w="931" w:type="dxa"/>
            <w:tcBorders>
              <w:top w:val="single" w:sz="4" w:space="0" w:color="auto"/>
            </w:tcBorders>
          </w:tcPr>
          <w:p w14:paraId="77FE432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9357.6</w:t>
            </w:r>
          </w:p>
        </w:tc>
        <w:tc>
          <w:tcPr>
            <w:tcW w:w="945" w:type="dxa"/>
            <w:tcBorders>
              <w:top w:val="single" w:sz="4" w:space="0" w:color="auto"/>
            </w:tcBorders>
          </w:tcPr>
          <w:p w14:paraId="7062AEB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8.15 × 10⁻¹⁸</w:t>
            </w:r>
          </w:p>
        </w:tc>
      </w:tr>
      <w:tr w:rsidR="00537132" w:rsidRPr="0098142F" w14:paraId="19616D02" w14:textId="77777777">
        <w:trPr>
          <w:trHeight w:val="461"/>
        </w:trPr>
        <w:tc>
          <w:tcPr>
            <w:tcW w:w="1330" w:type="dxa"/>
            <w:noWrap/>
          </w:tcPr>
          <w:p w14:paraId="62506B0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30</w:t>
            </w:r>
          </w:p>
        </w:tc>
        <w:tc>
          <w:tcPr>
            <w:tcW w:w="1268" w:type="dxa"/>
            <w:noWrap/>
          </w:tcPr>
          <w:p w14:paraId="422627F5"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(4.81–4.83) 4.82 ± 0.01</w:t>
            </w:r>
          </w:p>
        </w:tc>
        <w:tc>
          <w:tcPr>
            <w:tcW w:w="1268" w:type="dxa"/>
            <w:noWrap/>
          </w:tcPr>
          <w:p w14:paraId="4CD7C1F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(4.95–4.97) 4.96 ± 0.01</w:t>
            </w:r>
          </w:p>
        </w:tc>
        <w:tc>
          <w:tcPr>
            <w:tcW w:w="1268" w:type="dxa"/>
            <w:noWrap/>
          </w:tcPr>
          <w:p w14:paraId="0C39D48A"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(5.55–5.57) 5.56 ± 0.01</w:t>
            </w:r>
          </w:p>
        </w:tc>
        <w:tc>
          <w:tcPr>
            <w:tcW w:w="1268" w:type="dxa"/>
            <w:noWrap/>
          </w:tcPr>
          <w:p w14:paraId="219B6C8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(5.84–5.86) 5.85 ± 0.01</w:t>
            </w:r>
          </w:p>
        </w:tc>
        <w:tc>
          <w:tcPr>
            <w:tcW w:w="1273" w:type="dxa"/>
            <w:noWrap/>
          </w:tcPr>
          <w:p w14:paraId="629E577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(6.00–6.00) 6.00 ± 0.00</w:t>
            </w:r>
          </w:p>
        </w:tc>
        <w:tc>
          <w:tcPr>
            <w:tcW w:w="931" w:type="dxa"/>
          </w:tcPr>
          <w:p w14:paraId="6F8D8E4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8331.6</w:t>
            </w:r>
          </w:p>
        </w:tc>
        <w:tc>
          <w:tcPr>
            <w:tcW w:w="945" w:type="dxa"/>
          </w:tcPr>
          <w:p w14:paraId="2498EA4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1.46 × 10⁻¹⁷</w:t>
            </w:r>
          </w:p>
        </w:tc>
      </w:tr>
      <w:tr w:rsidR="00537132" w:rsidRPr="0098142F" w14:paraId="657D38E0" w14:textId="77777777">
        <w:trPr>
          <w:trHeight w:val="467"/>
        </w:trPr>
        <w:tc>
          <w:tcPr>
            <w:tcW w:w="1330" w:type="dxa"/>
            <w:noWrap/>
          </w:tcPr>
          <w:p w14:paraId="499FA1D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w:t>
            </w:r>
          </w:p>
        </w:tc>
        <w:tc>
          <w:tcPr>
            <w:tcW w:w="1268" w:type="dxa"/>
            <w:noWrap/>
          </w:tcPr>
          <w:p w14:paraId="0C0FC2B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(4.84–4.84) 4.84 ± 0.00</w:t>
            </w:r>
          </w:p>
        </w:tc>
        <w:tc>
          <w:tcPr>
            <w:tcW w:w="1268" w:type="dxa"/>
            <w:noWrap/>
          </w:tcPr>
          <w:p w14:paraId="53ACCC2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(4.91–4.93) 4.92 ± 0.01</w:t>
            </w:r>
          </w:p>
        </w:tc>
        <w:tc>
          <w:tcPr>
            <w:tcW w:w="1268" w:type="dxa"/>
            <w:noWrap/>
          </w:tcPr>
          <w:p w14:paraId="271FE0F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(5.59–5.61) 5.60 ± 0.01</w:t>
            </w:r>
          </w:p>
        </w:tc>
        <w:tc>
          <w:tcPr>
            <w:tcW w:w="1268" w:type="dxa"/>
            <w:noWrap/>
          </w:tcPr>
          <w:p w14:paraId="0D050D9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(6.02–6.04) 6.03 ± 0.01</w:t>
            </w:r>
          </w:p>
        </w:tc>
        <w:tc>
          <w:tcPr>
            <w:tcW w:w="1273" w:type="dxa"/>
            <w:noWrap/>
          </w:tcPr>
          <w:p w14:paraId="15E7086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(6.13–6.15) 6.14 ± 0.01</w:t>
            </w:r>
          </w:p>
        </w:tc>
        <w:tc>
          <w:tcPr>
            <w:tcW w:w="931" w:type="dxa"/>
          </w:tcPr>
          <w:p w14:paraId="5B399016"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11042.4</w:t>
            </w:r>
          </w:p>
        </w:tc>
        <w:tc>
          <w:tcPr>
            <w:tcW w:w="945" w:type="dxa"/>
          </w:tcPr>
          <w:p w14:paraId="4A5978D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3.56 × 10⁻¹⁸</w:t>
            </w:r>
          </w:p>
        </w:tc>
      </w:tr>
      <w:tr w:rsidR="00537132" w:rsidRPr="0098142F" w14:paraId="2CED652F" w14:textId="77777777">
        <w:trPr>
          <w:trHeight w:val="467"/>
        </w:trPr>
        <w:tc>
          <w:tcPr>
            <w:tcW w:w="1330" w:type="dxa"/>
            <w:noWrap/>
          </w:tcPr>
          <w:p w14:paraId="0FFBDDB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90</w:t>
            </w:r>
          </w:p>
        </w:tc>
        <w:tc>
          <w:tcPr>
            <w:tcW w:w="1268" w:type="dxa"/>
            <w:noWrap/>
          </w:tcPr>
          <w:p w14:paraId="4C7678D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(5.70–5.72) 5.71 ± 0.01</w:t>
            </w:r>
          </w:p>
        </w:tc>
        <w:tc>
          <w:tcPr>
            <w:tcW w:w="1268" w:type="dxa"/>
            <w:noWrap/>
          </w:tcPr>
          <w:p w14:paraId="7807DB59"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(5.90–5.92) 5.91 ± 0.01</w:t>
            </w:r>
          </w:p>
        </w:tc>
        <w:tc>
          <w:tcPr>
            <w:tcW w:w="1268" w:type="dxa"/>
            <w:noWrap/>
          </w:tcPr>
          <w:p w14:paraId="6076EB7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(6.81–6.83) 6.82 ± 0.01</w:t>
            </w:r>
          </w:p>
        </w:tc>
        <w:tc>
          <w:tcPr>
            <w:tcW w:w="1268" w:type="dxa"/>
            <w:noWrap/>
          </w:tcPr>
          <w:p w14:paraId="4D33A06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(7.28–7.30) 7.29 ± 0.01</w:t>
            </w:r>
          </w:p>
        </w:tc>
        <w:tc>
          <w:tcPr>
            <w:tcW w:w="1273" w:type="dxa"/>
            <w:noWrap/>
          </w:tcPr>
          <w:p w14:paraId="509C578B"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(7.50–7.52) 7.51 ± 0.01</w:t>
            </w:r>
          </w:p>
        </w:tc>
        <w:tc>
          <w:tcPr>
            <w:tcW w:w="931" w:type="dxa"/>
          </w:tcPr>
          <w:p w14:paraId="18D7531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19569.6</w:t>
            </w:r>
          </w:p>
        </w:tc>
        <w:tc>
          <w:tcPr>
            <w:tcW w:w="945" w:type="dxa"/>
          </w:tcPr>
          <w:p w14:paraId="179AE91B"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2.04 × 10⁻¹⁹</w:t>
            </w:r>
          </w:p>
        </w:tc>
      </w:tr>
      <w:tr w:rsidR="00537132" w:rsidRPr="0098142F" w14:paraId="62308B76" w14:textId="77777777">
        <w:trPr>
          <w:trHeight w:val="373"/>
        </w:trPr>
        <w:tc>
          <w:tcPr>
            <w:tcW w:w="1330" w:type="dxa"/>
            <w:noWrap/>
          </w:tcPr>
          <w:p w14:paraId="2A4F94A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F stat</w:t>
            </w:r>
          </w:p>
        </w:tc>
        <w:tc>
          <w:tcPr>
            <w:tcW w:w="6345" w:type="dxa"/>
            <w:gridSpan w:val="5"/>
            <w:noWrap/>
          </w:tcPr>
          <w:p w14:paraId="4A0625E1" w14:textId="77777777" w:rsidR="00537132" w:rsidRPr="0098142F" w:rsidRDefault="006E0463">
            <w:pPr>
              <w:spacing w:after="0" w:line="240" w:lineRule="auto"/>
              <w:jc w:val="center"/>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15.86</w:t>
            </w:r>
          </w:p>
        </w:tc>
        <w:tc>
          <w:tcPr>
            <w:tcW w:w="931" w:type="dxa"/>
          </w:tcPr>
          <w:p w14:paraId="68E7FB75"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c>
          <w:tcPr>
            <w:tcW w:w="945" w:type="dxa"/>
          </w:tcPr>
          <w:p w14:paraId="26A6A5BA"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r>
      <w:tr w:rsidR="00537132" w:rsidRPr="0098142F" w14:paraId="30F2E3DA" w14:textId="77777777">
        <w:trPr>
          <w:trHeight w:val="304"/>
        </w:trPr>
        <w:tc>
          <w:tcPr>
            <w:tcW w:w="1330" w:type="dxa"/>
            <w:noWrap/>
          </w:tcPr>
          <w:p w14:paraId="7B63253A"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P value</w:t>
            </w:r>
          </w:p>
        </w:tc>
        <w:tc>
          <w:tcPr>
            <w:tcW w:w="6345" w:type="dxa"/>
            <w:gridSpan w:val="5"/>
            <w:noWrap/>
          </w:tcPr>
          <w:p w14:paraId="25980979" w14:textId="77777777" w:rsidR="00537132" w:rsidRPr="0098142F" w:rsidRDefault="006E0463">
            <w:pPr>
              <w:spacing w:after="0" w:line="240" w:lineRule="auto"/>
              <w:jc w:val="center"/>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1.09 × 10⁻⁸</w:t>
            </w:r>
          </w:p>
        </w:tc>
        <w:tc>
          <w:tcPr>
            <w:tcW w:w="931" w:type="dxa"/>
          </w:tcPr>
          <w:p w14:paraId="54B033E8"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c>
          <w:tcPr>
            <w:tcW w:w="945" w:type="dxa"/>
          </w:tcPr>
          <w:p w14:paraId="06C43A07"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r>
      <w:tr w:rsidR="00537132" w:rsidRPr="0098142F" w14:paraId="70605A03" w14:textId="77777777">
        <w:trPr>
          <w:trHeight w:val="586"/>
        </w:trPr>
        <w:tc>
          <w:tcPr>
            <w:tcW w:w="1330" w:type="dxa"/>
            <w:noWrap/>
          </w:tcPr>
          <w:p w14:paraId="711BFCB5" w14:textId="77777777" w:rsidR="00537132" w:rsidRPr="0098142F" w:rsidRDefault="006E0463">
            <w:pPr>
              <w:spacing w:after="0" w:line="240" w:lineRule="auto"/>
              <w:jc w:val="both"/>
              <w:rPr>
                <w:rFonts w:ascii="Times New Roman" w:hAnsi="Times New Roman" w:cs="Times New Roman"/>
                <w:color w:val="000000" w:themeColor="text1"/>
              </w:rPr>
            </w:pPr>
            <w:r w:rsidRPr="0098142F">
              <w:rPr>
                <w:rFonts w:ascii="Times New Roman" w:hAnsi="Times New Roman" w:cs="Times New Roman"/>
                <w:color w:val="000000" w:themeColor="text1"/>
              </w:rPr>
              <w:t>USDA-NRCS/FAO</w:t>
            </w:r>
          </w:p>
          <w:p w14:paraId="59BA95C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lastRenderedPageBreak/>
              <w:t xml:space="preserve">Acceptable pH Limit </w:t>
            </w:r>
          </w:p>
        </w:tc>
        <w:tc>
          <w:tcPr>
            <w:tcW w:w="1268" w:type="dxa"/>
            <w:noWrap/>
          </w:tcPr>
          <w:p w14:paraId="6610CE07" w14:textId="7D953E11"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lastRenderedPageBreak/>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1268" w:type="dxa"/>
            <w:noWrap/>
          </w:tcPr>
          <w:p w14:paraId="2DBCE179" w14:textId="617B0E1B"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1268" w:type="dxa"/>
            <w:noWrap/>
          </w:tcPr>
          <w:p w14:paraId="4222AD42" w14:textId="48D90C6E"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1268" w:type="dxa"/>
            <w:noWrap/>
          </w:tcPr>
          <w:p w14:paraId="475D8FB3" w14:textId="49BEC402"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1273" w:type="dxa"/>
            <w:noWrap/>
          </w:tcPr>
          <w:p w14:paraId="6B5E8DE2" w14:textId="367257B8"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w:t>
            </w:r>
            <w:r w:rsidR="00382C1E" w:rsidRPr="0098142F">
              <w:rPr>
                <w:rFonts w:ascii="Times New Roman" w:eastAsia="Cambria" w:hAnsi="Times New Roman" w:cs="Times New Roman"/>
                <w:color w:val="000000" w:themeColor="text1"/>
                <w:shd w:val="clear" w:color="auto" w:fill="FFFFFF"/>
              </w:rPr>
              <w:t xml:space="preserve"> </w:t>
            </w:r>
            <w:r w:rsidRPr="0098142F">
              <w:rPr>
                <w:rFonts w:ascii="Times New Roman" w:eastAsia="Cambria" w:hAnsi="Times New Roman" w:cs="Times New Roman"/>
                <w:color w:val="000000" w:themeColor="text1"/>
                <w:shd w:val="clear" w:color="auto" w:fill="FFFFFF"/>
              </w:rPr>
              <w:t>-7.5</w:t>
            </w:r>
          </w:p>
        </w:tc>
        <w:tc>
          <w:tcPr>
            <w:tcW w:w="931" w:type="dxa"/>
          </w:tcPr>
          <w:p w14:paraId="2575F85C"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c>
          <w:tcPr>
            <w:tcW w:w="945" w:type="dxa"/>
          </w:tcPr>
          <w:p w14:paraId="39C5B292" w14:textId="77777777" w:rsidR="00537132" w:rsidRPr="0098142F" w:rsidRDefault="00537132">
            <w:pPr>
              <w:spacing w:after="0" w:line="240" w:lineRule="auto"/>
              <w:jc w:val="both"/>
              <w:rPr>
                <w:rFonts w:ascii="Times New Roman" w:eastAsia="Cambria" w:hAnsi="Times New Roman" w:cs="Times New Roman"/>
                <w:color w:val="000000" w:themeColor="text1"/>
                <w:shd w:val="clear" w:color="auto" w:fill="FFFFFF"/>
              </w:rPr>
            </w:pPr>
          </w:p>
        </w:tc>
      </w:tr>
    </w:tbl>
    <w:p w14:paraId="3B6A102A" w14:textId="77777777" w:rsidR="00537132" w:rsidRDefault="006E0463">
      <w:pPr>
        <w:spacing w:before="240"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Figure 1 illustrates the pH dynamics over the 90-day bioremediation period, showing a clear dose-dependent increase in soil pH with increasing biochar application over time. The figure demonstrates that the pH of the biochar-amended soils continued to increase over time, while the pH of the uncontaminated and contaminated soils remained relatively stable or showed slight increases.</w:t>
      </w:r>
    </w:p>
    <w:p w14:paraId="6EFAE476" w14:textId="77777777" w:rsidR="00537132" w:rsidRDefault="006E04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results demonstrate a clear dose-dependent increase in soil pH with increasing biochar application over time. By Day 90, the pH values of the biochar-amended soils had increased significantly, with the highest amendment level resulting in a pH value within the upper boundary of the acceptable range for productive soils. The observed pH evolution reflects the influence of biochar's alkalinity and mineral content throughout the remediation timeline.</w:t>
      </w:r>
    </w:p>
    <w:p w14:paraId="2A1B6E77" w14:textId="77777777" w:rsidR="00537132" w:rsidRDefault="00537132">
      <w:pPr>
        <w:spacing w:after="0" w:line="360" w:lineRule="auto"/>
        <w:rPr>
          <w:rFonts w:ascii="Times New Roman" w:hAnsi="Times New Roman" w:cs="Times New Roman"/>
          <w:color w:val="000000" w:themeColor="text1"/>
          <w:sz w:val="24"/>
          <w:szCs w:val="24"/>
        </w:rPr>
      </w:pPr>
    </w:p>
    <w:p w14:paraId="79699EC6" w14:textId="77777777" w:rsidR="00537132" w:rsidRDefault="006E0463">
      <w:pPr>
        <w:spacing w:line="360" w:lineRule="auto"/>
        <w:rPr>
          <w:rFonts w:ascii="Times New Roman" w:hAnsi="Times New Roman" w:cs="Times New Roman"/>
          <w:b/>
          <w:bCs/>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32B8B584" wp14:editId="731848DD">
            <wp:extent cx="6212840" cy="3680460"/>
            <wp:effectExtent l="0" t="0" r="16510" b="15240"/>
            <wp:docPr id="449871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87146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t="6635"/>
                    <a:stretch>
                      <a:fillRect/>
                    </a:stretch>
                  </pic:blipFill>
                  <pic:spPr>
                    <a:xfrm>
                      <a:off x="0" y="0"/>
                      <a:ext cx="6212840" cy="3680460"/>
                    </a:xfrm>
                    <a:prstGeom prst="rect">
                      <a:avLst/>
                    </a:prstGeom>
                    <a:noFill/>
                    <a:ln>
                      <a:noFill/>
                    </a:ln>
                  </pic:spPr>
                </pic:pic>
              </a:graphicData>
            </a:graphic>
          </wp:inline>
        </w:drawing>
      </w:r>
    </w:p>
    <w:p w14:paraId="63FD0013" w14:textId="77777777" w:rsidR="00537132" w:rsidRDefault="006E0463">
      <w:pPr>
        <w:spacing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 1: </w:t>
      </w:r>
      <w:r>
        <w:rPr>
          <w:rFonts w:ascii="Times New Roman" w:hAnsi="Times New Roman" w:cs="Times New Roman"/>
          <w:color w:val="000000" w:themeColor="text1"/>
          <w:sz w:val="24"/>
          <w:szCs w:val="24"/>
        </w:rPr>
        <w:t>Changes in pH during bioremediation using biochar amendment</w:t>
      </w:r>
    </w:p>
    <w:p w14:paraId="7BF8B356" w14:textId="7E145371" w:rsidR="00537132" w:rsidRDefault="0098142F">
      <w:pPr>
        <w:spacing w:before="24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3.2 Effect of Nitrate-Nitrogen (NO₃⁻-N) on Biochar-Enhanced Bioremediation of Contaminated and Uncontaminated Soil</w:t>
      </w:r>
    </w:p>
    <w:p w14:paraId="0F04F3AA"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The results presented in Table 2 and Figure 2, show the changes in nitrate concentrations over a 90-day remediation period. The nitrate levels in the different soil treatments at Day 0, showed that the crude oil-contaminated soil (CS) had a nitrate level of 2.40 mg/kg, while the CS+100% biochar-amended soil had a level of 33.60 mg/kg. The uncontaminated soil (UCS) had a mean value of 19.00 mg/kg.</w:t>
      </w:r>
    </w:p>
    <w:p w14:paraId="4C047954"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Over the 90-day period, the nitrate concentrations in the biochar-amended soils increased, with CS+20% rising to 28.40 mg/kg, CS+60% increasing to 33.20 mg/kg, and CS+100% peaking at 37.20 mg/kg by Day 90. In contrast, the UCS remained relatively stable, with nitrate values fluctuating between 18.40 and 19.00 mg/kg, while the CS persisted at low levels, ranging from 2.00 to 2.40 mg/kg.</w:t>
      </w:r>
    </w:p>
    <w:p w14:paraId="62AF6AAC"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The results demonstrate a dose-responsive increase in nitrate accumulation corresponding to biochar treatment intensity, with CS+100% &gt; CS+60% &gt; CS+20%. This trend is evident in Figure 1, which illustrates the progressive increase in nitrate concentrations over time.</w:t>
      </w:r>
    </w:p>
    <w:p w14:paraId="7E9C3C8B"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 xml:space="preserve">By Day 90, the nitrate levels across treatments culminated in a well-defined gradient, with CS+100% having the highest recorded value, followed by CS+60%, CS+20%, UCS, and CS. The consistency of low nitrate values in CS across the entire study period reveals the persistence of microbial and biochemical suppression in the absence of treatment. The biochar-amended treatments consistently exhibited nitrate values well above the FAO/NCS acceptable range of 0.1–2.5 mg/kg, indicating significant stimulation of nitrification. </w:t>
      </w:r>
    </w:p>
    <w:p w14:paraId="4ACBAE8F" w14:textId="77777777" w:rsidR="00537132" w:rsidRPr="0098142F" w:rsidRDefault="006E0463">
      <w:pPr>
        <w:spacing w:before="240" w:after="0" w:line="360" w:lineRule="auto"/>
        <w:jc w:val="both"/>
        <w:rPr>
          <w:rFonts w:ascii="Times New Roman" w:hAnsi="Times New Roman" w:cs="Times New Roman"/>
          <w:color w:val="000000" w:themeColor="text1"/>
          <w:sz w:val="24"/>
          <w:szCs w:val="24"/>
        </w:rPr>
      </w:pPr>
      <w:r w:rsidRPr="0098142F">
        <w:rPr>
          <w:rFonts w:ascii="Times New Roman" w:hAnsi="Times New Roman" w:cs="Times New Roman"/>
          <w:color w:val="000000" w:themeColor="text1"/>
          <w:sz w:val="24"/>
          <w:szCs w:val="24"/>
        </w:rPr>
        <w:t>Table 2: Nitrate (NO₃⁻) Levels During Biochar-Assisted Bioremediation of Oil-Contaminated and Uncontaminated Soil</w:t>
      </w:r>
    </w:p>
    <w:tbl>
      <w:tblPr>
        <w:tblW w:w="9745" w:type="dxa"/>
        <w:tblInd w:w="108" w:type="dxa"/>
        <w:tblBorders>
          <w:top w:val="single" w:sz="4" w:space="0" w:color="auto"/>
          <w:bottom w:val="single" w:sz="4" w:space="0" w:color="auto"/>
        </w:tblBorders>
        <w:tblLook w:val="04A0" w:firstRow="1" w:lastRow="0" w:firstColumn="1" w:lastColumn="0" w:noHBand="0" w:noVBand="1"/>
      </w:tblPr>
      <w:tblGrid>
        <w:gridCol w:w="1296"/>
        <w:gridCol w:w="1737"/>
        <w:gridCol w:w="1504"/>
        <w:gridCol w:w="1736"/>
        <w:gridCol w:w="1736"/>
        <w:gridCol w:w="1736"/>
      </w:tblGrid>
      <w:tr w:rsidR="00537132" w14:paraId="2056401B" w14:textId="77777777">
        <w:trPr>
          <w:trHeight w:val="265"/>
        </w:trPr>
        <w:tc>
          <w:tcPr>
            <w:tcW w:w="1296" w:type="dxa"/>
            <w:tcBorders>
              <w:top w:val="single" w:sz="4" w:space="0" w:color="auto"/>
              <w:bottom w:val="single" w:sz="4" w:space="0" w:color="auto"/>
            </w:tcBorders>
            <w:shd w:val="clear" w:color="auto" w:fill="FFFFFF"/>
            <w:noWrap/>
          </w:tcPr>
          <w:p w14:paraId="02F48CC7" w14:textId="77777777" w:rsidR="00537132" w:rsidRDefault="00537132">
            <w:pPr>
              <w:spacing w:after="0" w:line="360" w:lineRule="auto"/>
              <w:jc w:val="both"/>
              <w:rPr>
                <w:rFonts w:ascii="Times New Roman" w:eastAsia="Cambria" w:hAnsi="Times New Roman" w:cs="Times New Roman"/>
                <w:b/>
                <w:bCs/>
                <w:color w:val="000000" w:themeColor="text1"/>
                <w:sz w:val="24"/>
                <w:szCs w:val="24"/>
                <w:shd w:val="clear" w:color="auto" w:fill="FFFFFF"/>
                <w:lang w:val="de-DE"/>
              </w:rPr>
            </w:pPr>
          </w:p>
        </w:tc>
        <w:tc>
          <w:tcPr>
            <w:tcW w:w="1737" w:type="dxa"/>
            <w:tcBorders>
              <w:top w:val="single" w:sz="4" w:space="0" w:color="auto"/>
              <w:bottom w:val="single" w:sz="4" w:space="0" w:color="auto"/>
            </w:tcBorders>
            <w:shd w:val="clear" w:color="auto" w:fill="FFFFFF"/>
            <w:noWrap/>
          </w:tcPr>
          <w:p w14:paraId="7AC96630" w14:textId="77777777" w:rsidR="00537132" w:rsidRDefault="00537132">
            <w:pPr>
              <w:spacing w:after="0" w:line="360" w:lineRule="auto"/>
              <w:jc w:val="both"/>
              <w:rPr>
                <w:rFonts w:ascii="Times New Roman" w:eastAsia="Cambria" w:hAnsi="Times New Roman" w:cs="Times New Roman"/>
                <w:b/>
                <w:bCs/>
                <w:color w:val="000000" w:themeColor="text1"/>
                <w:sz w:val="24"/>
                <w:szCs w:val="24"/>
                <w:shd w:val="clear" w:color="auto" w:fill="FFFFFF"/>
                <w:lang w:val="en-GB"/>
              </w:rPr>
            </w:pPr>
          </w:p>
        </w:tc>
        <w:tc>
          <w:tcPr>
            <w:tcW w:w="6712" w:type="dxa"/>
            <w:gridSpan w:val="4"/>
            <w:tcBorders>
              <w:top w:val="single" w:sz="4" w:space="0" w:color="auto"/>
              <w:bottom w:val="single" w:sz="4" w:space="0" w:color="auto"/>
            </w:tcBorders>
            <w:shd w:val="clear" w:color="auto" w:fill="FFFFFF"/>
            <w:noWrap/>
          </w:tcPr>
          <w:p w14:paraId="1B622C9D" w14:textId="77777777" w:rsidR="00537132" w:rsidRDefault="006E0463">
            <w:pPr>
              <w:pStyle w:val="BodyText"/>
              <w:spacing w:line="360" w:lineRule="auto"/>
              <w:ind w:right="163"/>
              <w:jc w:val="center"/>
              <w:rPr>
                <w:rFonts w:eastAsia="Cambria"/>
                <w:b/>
                <w:bCs/>
                <w:color w:val="000000" w:themeColor="text1"/>
                <w:shd w:val="clear" w:color="auto" w:fill="FFFFFF"/>
                <w:lang w:val="en-GB"/>
              </w:rPr>
            </w:pPr>
            <w:r>
              <w:rPr>
                <w:rFonts w:eastAsia="Cambria"/>
                <w:b/>
                <w:bCs/>
                <w:color w:val="000000" w:themeColor="text1"/>
                <w:shd w:val="clear" w:color="auto" w:fill="FFFFFF"/>
                <w:lang w:val="en-GB"/>
              </w:rPr>
              <w:t xml:space="preserve">Nitrate concentrations for different Biochar Treatment </w:t>
            </w:r>
          </w:p>
        </w:tc>
      </w:tr>
      <w:tr w:rsidR="00537132" w14:paraId="1232805C" w14:textId="77777777">
        <w:trPr>
          <w:trHeight w:val="619"/>
        </w:trPr>
        <w:tc>
          <w:tcPr>
            <w:tcW w:w="1296" w:type="dxa"/>
            <w:tcBorders>
              <w:top w:val="single" w:sz="4" w:space="0" w:color="auto"/>
              <w:bottom w:val="single" w:sz="4" w:space="0" w:color="auto"/>
            </w:tcBorders>
            <w:shd w:val="clear" w:color="auto" w:fill="FFFFFF"/>
            <w:noWrap/>
          </w:tcPr>
          <w:p w14:paraId="27E600B6"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de-DE"/>
              </w:rPr>
              <w:t>Day</w:t>
            </w:r>
          </w:p>
        </w:tc>
        <w:tc>
          <w:tcPr>
            <w:tcW w:w="1737" w:type="dxa"/>
            <w:tcBorders>
              <w:top w:val="single" w:sz="4" w:space="0" w:color="auto"/>
              <w:bottom w:val="single" w:sz="4" w:space="0" w:color="auto"/>
            </w:tcBorders>
            <w:shd w:val="clear" w:color="auto" w:fill="FFFFFF"/>
            <w:noWrap/>
          </w:tcPr>
          <w:p w14:paraId="3DB602BC"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UCS</w:t>
            </w:r>
          </w:p>
        </w:tc>
        <w:tc>
          <w:tcPr>
            <w:tcW w:w="1504" w:type="dxa"/>
            <w:tcBorders>
              <w:top w:val="single" w:sz="4" w:space="0" w:color="auto"/>
              <w:bottom w:val="single" w:sz="4" w:space="0" w:color="auto"/>
            </w:tcBorders>
            <w:shd w:val="clear" w:color="auto" w:fill="FFFFFF"/>
            <w:noWrap/>
          </w:tcPr>
          <w:p w14:paraId="0A93BE1E"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CS</w:t>
            </w:r>
          </w:p>
        </w:tc>
        <w:tc>
          <w:tcPr>
            <w:tcW w:w="1736" w:type="dxa"/>
            <w:tcBorders>
              <w:top w:val="single" w:sz="4" w:space="0" w:color="auto"/>
              <w:bottom w:val="single" w:sz="4" w:space="0" w:color="auto"/>
            </w:tcBorders>
            <w:shd w:val="clear" w:color="auto" w:fill="FFFFFF"/>
            <w:noWrap/>
          </w:tcPr>
          <w:p w14:paraId="60F133E0" w14:textId="77777777" w:rsidR="00537132" w:rsidRDefault="006E0463">
            <w:pPr>
              <w:pStyle w:val="BodyText"/>
              <w:spacing w:line="360" w:lineRule="auto"/>
              <w:ind w:right="163"/>
              <w:jc w:val="both"/>
              <w:rPr>
                <w:rFonts w:eastAsia="Cambria"/>
                <w:b/>
                <w:bCs/>
                <w:color w:val="000000" w:themeColor="text1"/>
                <w:shd w:val="clear" w:color="auto" w:fill="FFFFFF"/>
                <w:lang w:val="en-GB"/>
              </w:rPr>
            </w:pPr>
            <w:r>
              <w:rPr>
                <w:rFonts w:eastAsia="Cambria"/>
                <w:b/>
                <w:bCs/>
                <w:color w:val="000000" w:themeColor="text1"/>
                <w:shd w:val="clear" w:color="auto" w:fill="FFFFFF"/>
                <w:lang w:val="en-GB"/>
              </w:rPr>
              <w:t>CS + 20%</w:t>
            </w:r>
          </w:p>
          <w:p w14:paraId="2060144F"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BIOCHAR</w:t>
            </w:r>
          </w:p>
        </w:tc>
        <w:tc>
          <w:tcPr>
            <w:tcW w:w="1736" w:type="dxa"/>
            <w:tcBorders>
              <w:top w:val="single" w:sz="4" w:space="0" w:color="auto"/>
              <w:bottom w:val="single" w:sz="4" w:space="0" w:color="auto"/>
            </w:tcBorders>
            <w:shd w:val="clear" w:color="auto" w:fill="FFFFFF"/>
            <w:noWrap/>
          </w:tcPr>
          <w:p w14:paraId="20F7DED0" w14:textId="77777777" w:rsidR="00537132" w:rsidRDefault="006E0463">
            <w:pPr>
              <w:pStyle w:val="BodyText"/>
              <w:spacing w:line="360" w:lineRule="auto"/>
              <w:ind w:right="163"/>
              <w:jc w:val="both"/>
              <w:rPr>
                <w:rFonts w:eastAsia="Cambria"/>
                <w:b/>
                <w:bCs/>
                <w:color w:val="000000" w:themeColor="text1"/>
                <w:shd w:val="clear" w:color="auto" w:fill="FFFFFF"/>
                <w:lang w:val="en-GB"/>
              </w:rPr>
            </w:pPr>
            <w:r>
              <w:rPr>
                <w:rFonts w:eastAsia="Cambria"/>
                <w:b/>
                <w:bCs/>
                <w:color w:val="000000" w:themeColor="text1"/>
                <w:shd w:val="clear" w:color="auto" w:fill="FFFFFF"/>
                <w:lang w:val="en-GB"/>
              </w:rPr>
              <w:t>CS + 60%</w:t>
            </w:r>
          </w:p>
          <w:p w14:paraId="602B894F"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BIOCHAR</w:t>
            </w:r>
          </w:p>
        </w:tc>
        <w:tc>
          <w:tcPr>
            <w:tcW w:w="1736" w:type="dxa"/>
            <w:tcBorders>
              <w:top w:val="single" w:sz="4" w:space="0" w:color="auto"/>
              <w:bottom w:val="single" w:sz="4" w:space="0" w:color="auto"/>
            </w:tcBorders>
            <w:shd w:val="clear" w:color="auto" w:fill="FFFFFF"/>
            <w:noWrap/>
          </w:tcPr>
          <w:p w14:paraId="013F7AF0" w14:textId="77777777" w:rsidR="00537132" w:rsidRDefault="006E0463">
            <w:pPr>
              <w:pStyle w:val="BodyText"/>
              <w:spacing w:line="360" w:lineRule="auto"/>
              <w:ind w:right="163"/>
              <w:jc w:val="both"/>
              <w:rPr>
                <w:rFonts w:eastAsia="Cambria"/>
                <w:b/>
                <w:bCs/>
                <w:color w:val="000000" w:themeColor="text1"/>
                <w:shd w:val="clear" w:color="auto" w:fill="FFFFFF"/>
                <w:lang w:val="en-GB"/>
              </w:rPr>
            </w:pPr>
            <w:r>
              <w:rPr>
                <w:rFonts w:eastAsia="Cambria"/>
                <w:b/>
                <w:bCs/>
                <w:color w:val="000000" w:themeColor="text1"/>
                <w:shd w:val="clear" w:color="auto" w:fill="FFFFFF"/>
                <w:lang w:val="en-GB"/>
              </w:rPr>
              <w:t>CS+100%</w:t>
            </w:r>
          </w:p>
          <w:p w14:paraId="7B5BF77D"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rPr>
            </w:pPr>
            <w:r>
              <w:rPr>
                <w:rFonts w:ascii="Times New Roman" w:eastAsia="Cambria" w:hAnsi="Times New Roman" w:cs="Times New Roman"/>
                <w:b/>
                <w:bCs/>
                <w:color w:val="000000" w:themeColor="text1"/>
                <w:sz w:val="24"/>
                <w:szCs w:val="24"/>
                <w:shd w:val="clear" w:color="auto" w:fill="FFFFFF"/>
                <w:lang w:val="en-GB"/>
              </w:rPr>
              <w:t>BIOCHAR</w:t>
            </w:r>
          </w:p>
        </w:tc>
      </w:tr>
      <w:tr w:rsidR="00537132" w14:paraId="0500E1D0" w14:textId="77777777">
        <w:trPr>
          <w:trHeight w:val="509"/>
        </w:trPr>
        <w:tc>
          <w:tcPr>
            <w:tcW w:w="1296" w:type="dxa"/>
            <w:tcBorders>
              <w:top w:val="single" w:sz="4" w:space="0" w:color="auto"/>
            </w:tcBorders>
            <w:noWrap/>
          </w:tcPr>
          <w:p w14:paraId="3672F18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0</w:t>
            </w:r>
          </w:p>
        </w:tc>
        <w:tc>
          <w:tcPr>
            <w:tcW w:w="1737" w:type="dxa"/>
            <w:tcBorders>
              <w:top w:val="single" w:sz="4" w:space="0" w:color="auto"/>
            </w:tcBorders>
            <w:noWrap/>
          </w:tcPr>
          <w:p w14:paraId="72A7E8E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19.00–19.01 19.00 ± 0.007</w:t>
            </w:r>
          </w:p>
        </w:tc>
        <w:tc>
          <w:tcPr>
            <w:tcW w:w="1504" w:type="dxa"/>
            <w:tcBorders>
              <w:top w:val="single" w:sz="4" w:space="0" w:color="auto"/>
            </w:tcBorders>
            <w:noWrap/>
          </w:tcPr>
          <w:p w14:paraId="2E9E0C15"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2.40–2.41; 2.40 ± 0.007</w:t>
            </w:r>
          </w:p>
        </w:tc>
        <w:tc>
          <w:tcPr>
            <w:tcW w:w="1736" w:type="dxa"/>
            <w:tcBorders>
              <w:top w:val="single" w:sz="4" w:space="0" w:color="auto"/>
            </w:tcBorders>
            <w:noWrap/>
          </w:tcPr>
          <w:p w14:paraId="00423D5A"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27.58–27.60 27.60 ± 0.014</w:t>
            </w:r>
          </w:p>
        </w:tc>
        <w:tc>
          <w:tcPr>
            <w:tcW w:w="1736" w:type="dxa"/>
            <w:tcBorders>
              <w:top w:val="single" w:sz="4" w:space="0" w:color="auto"/>
            </w:tcBorders>
            <w:noWrap/>
          </w:tcPr>
          <w:p w14:paraId="0838504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31.77–31.80 31.80 ± 0.021</w:t>
            </w:r>
          </w:p>
        </w:tc>
        <w:tc>
          <w:tcPr>
            <w:tcW w:w="1736" w:type="dxa"/>
            <w:tcBorders>
              <w:top w:val="single" w:sz="4" w:space="0" w:color="auto"/>
            </w:tcBorders>
            <w:noWrap/>
          </w:tcPr>
          <w:p w14:paraId="736BAE0B"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33.60–33.61 33.60 ± 0.007</w:t>
            </w:r>
          </w:p>
        </w:tc>
      </w:tr>
      <w:tr w:rsidR="00537132" w14:paraId="5AF9B6A9" w14:textId="77777777">
        <w:trPr>
          <w:trHeight w:val="385"/>
        </w:trPr>
        <w:tc>
          <w:tcPr>
            <w:tcW w:w="1296" w:type="dxa"/>
            <w:noWrap/>
          </w:tcPr>
          <w:p w14:paraId="0DE39CA4"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30</w:t>
            </w:r>
          </w:p>
        </w:tc>
        <w:tc>
          <w:tcPr>
            <w:tcW w:w="1737" w:type="dxa"/>
            <w:noWrap/>
          </w:tcPr>
          <w:p w14:paraId="6FFCFC44"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18.80–18.81 18.80 ± 0.007</w:t>
            </w:r>
          </w:p>
        </w:tc>
        <w:tc>
          <w:tcPr>
            <w:tcW w:w="1504" w:type="dxa"/>
            <w:noWrap/>
          </w:tcPr>
          <w:p w14:paraId="5766C1D9"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1.98–2.00 2.00 ± 0.014</w:t>
            </w:r>
          </w:p>
        </w:tc>
        <w:tc>
          <w:tcPr>
            <w:tcW w:w="1736" w:type="dxa"/>
            <w:noWrap/>
          </w:tcPr>
          <w:p w14:paraId="1C27997F"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27.90–27.93 27.90 ± 0.021</w:t>
            </w:r>
          </w:p>
        </w:tc>
        <w:tc>
          <w:tcPr>
            <w:tcW w:w="1736" w:type="dxa"/>
            <w:noWrap/>
          </w:tcPr>
          <w:p w14:paraId="363853AF"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32.79–32.80 32.80 ± 0.007</w:t>
            </w:r>
          </w:p>
        </w:tc>
        <w:tc>
          <w:tcPr>
            <w:tcW w:w="1736" w:type="dxa"/>
            <w:noWrap/>
          </w:tcPr>
          <w:p w14:paraId="29EF4368"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34.78–34.80 34.80 ± 0.014</w:t>
            </w:r>
          </w:p>
        </w:tc>
      </w:tr>
      <w:tr w:rsidR="00537132" w14:paraId="373088B3" w14:textId="77777777">
        <w:trPr>
          <w:trHeight w:val="124"/>
        </w:trPr>
        <w:tc>
          <w:tcPr>
            <w:tcW w:w="1296" w:type="dxa"/>
            <w:noWrap/>
          </w:tcPr>
          <w:p w14:paraId="38E14EFB"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lastRenderedPageBreak/>
              <w:t>60</w:t>
            </w:r>
          </w:p>
        </w:tc>
        <w:tc>
          <w:tcPr>
            <w:tcW w:w="1737" w:type="dxa"/>
            <w:noWrap/>
          </w:tcPr>
          <w:p w14:paraId="369FC801"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18.88–18.90 18.90 ± 0.014</w:t>
            </w:r>
          </w:p>
        </w:tc>
        <w:tc>
          <w:tcPr>
            <w:tcW w:w="1504" w:type="dxa"/>
            <w:noWrap/>
          </w:tcPr>
          <w:p w14:paraId="2AC89985"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2.20–2.23 2.20 ± 0.021</w:t>
            </w:r>
          </w:p>
        </w:tc>
        <w:tc>
          <w:tcPr>
            <w:tcW w:w="1736" w:type="dxa"/>
            <w:noWrap/>
          </w:tcPr>
          <w:p w14:paraId="6CB63DE8"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27.30–27.32 27.30 ± 0.014</w:t>
            </w:r>
          </w:p>
        </w:tc>
        <w:tc>
          <w:tcPr>
            <w:tcW w:w="1736" w:type="dxa"/>
            <w:noWrap/>
          </w:tcPr>
          <w:p w14:paraId="2671EF2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32.40–32.42 32.40 ± 0.014</w:t>
            </w:r>
          </w:p>
        </w:tc>
        <w:tc>
          <w:tcPr>
            <w:tcW w:w="1736" w:type="dxa"/>
            <w:noWrap/>
          </w:tcPr>
          <w:p w14:paraId="7BEFBCF2"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34.00–34.03 34.00 ± 0.021</w:t>
            </w:r>
          </w:p>
        </w:tc>
      </w:tr>
      <w:tr w:rsidR="00537132" w14:paraId="36A1B2AF" w14:textId="77777777">
        <w:trPr>
          <w:trHeight w:val="131"/>
        </w:trPr>
        <w:tc>
          <w:tcPr>
            <w:tcW w:w="1296" w:type="dxa"/>
            <w:noWrap/>
          </w:tcPr>
          <w:p w14:paraId="5BF90D5F"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90</w:t>
            </w:r>
          </w:p>
        </w:tc>
        <w:tc>
          <w:tcPr>
            <w:tcW w:w="1737" w:type="dxa"/>
            <w:noWrap/>
          </w:tcPr>
          <w:p w14:paraId="7C82E740"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18.40–18.42 18.40 ± 0.014</w:t>
            </w:r>
          </w:p>
        </w:tc>
        <w:tc>
          <w:tcPr>
            <w:tcW w:w="1504" w:type="dxa"/>
            <w:noWrap/>
          </w:tcPr>
          <w:p w14:paraId="44EE781D"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2.00–2.01 2.00 ± 0.007</w:t>
            </w:r>
          </w:p>
        </w:tc>
        <w:tc>
          <w:tcPr>
            <w:tcW w:w="1736" w:type="dxa"/>
            <w:noWrap/>
          </w:tcPr>
          <w:p w14:paraId="0B82BFBD"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28.38–28.40 28.40 ± 0.014</w:t>
            </w:r>
          </w:p>
        </w:tc>
        <w:tc>
          <w:tcPr>
            <w:tcW w:w="1736" w:type="dxa"/>
            <w:noWrap/>
          </w:tcPr>
          <w:p w14:paraId="320268EA"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33.18–33.20 33.20 ± 0.014</w:t>
            </w:r>
          </w:p>
        </w:tc>
        <w:tc>
          <w:tcPr>
            <w:tcW w:w="1736" w:type="dxa"/>
            <w:noWrap/>
          </w:tcPr>
          <w:p w14:paraId="217F95C7"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37.20–37.23 37.20 ± 0.021</w:t>
            </w:r>
          </w:p>
        </w:tc>
      </w:tr>
      <w:tr w:rsidR="00537132" w14:paraId="2C38F866" w14:textId="77777777">
        <w:trPr>
          <w:trHeight w:val="825"/>
        </w:trPr>
        <w:tc>
          <w:tcPr>
            <w:tcW w:w="1296" w:type="dxa"/>
            <w:noWrap/>
          </w:tcPr>
          <w:p w14:paraId="7450B0AC"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FAO/NCS</w:t>
            </w:r>
          </w:p>
          <w:p w14:paraId="5696B32A"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eastAsia="Cambria" w:hAnsi="Times New Roman" w:cs="Times New Roman"/>
                <w:color w:val="000000" w:themeColor="text1"/>
                <w:sz w:val="24"/>
                <w:szCs w:val="24"/>
                <w:shd w:val="clear" w:color="auto" w:fill="FFFFFF"/>
              </w:rPr>
              <w:t>Acceptable Limit</w:t>
            </w:r>
          </w:p>
        </w:tc>
        <w:tc>
          <w:tcPr>
            <w:tcW w:w="1737" w:type="dxa"/>
            <w:noWrap/>
          </w:tcPr>
          <w:p w14:paraId="6E6435AF"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c>
          <w:tcPr>
            <w:tcW w:w="1504" w:type="dxa"/>
            <w:noWrap/>
          </w:tcPr>
          <w:p w14:paraId="156C7C34"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c>
          <w:tcPr>
            <w:tcW w:w="1736" w:type="dxa"/>
            <w:noWrap/>
          </w:tcPr>
          <w:p w14:paraId="7DE593A7"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c>
          <w:tcPr>
            <w:tcW w:w="1736" w:type="dxa"/>
            <w:noWrap/>
          </w:tcPr>
          <w:p w14:paraId="6B5E79C8"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c>
          <w:tcPr>
            <w:tcW w:w="1736" w:type="dxa"/>
            <w:noWrap/>
          </w:tcPr>
          <w:p w14:paraId="2272E146"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rPr>
              <w:t>0.1–2.5</w:t>
            </w:r>
          </w:p>
        </w:tc>
      </w:tr>
    </w:tbl>
    <w:p w14:paraId="209E1CDA" w14:textId="77777777" w:rsidR="00537132" w:rsidRDefault="00537132">
      <w:pPr>
        <w:spacing w:line="360" w:lineRule="auto"/>
        <w:jc w:val="both"/>
        <w:rPr>
          <w:rFonts w:ascii="Times New Roman" w:eastAsia="Cambria" w:hAnsi="Times New Roman" w:cs="Times New Roman"/>
          <w:b/>
          <w:bCs/>
          <w:color w:val="000000" w:themeColor="text1"/>
          <w:sz w:val="24"/>
          <w:szCs w:val="24"/>
          <w:shd w:val="clear" w:color="auto" w:fill="FFFFFF"/>
          <w:lang w:val="en-GB"/>
        </w:rPr>
      </w:pPr>
    </w:p>
    <w:p w14:paraId="6CC588B8" w14:textId="77777777" w:rsidR="00537132" w:rsidRDefault="006E0463">
      <w:pPr>
        <w:spacing w:after="0" w:line="360" w:lineRule="auto"/>
        <w:jc w:val="both"/>
        <w:rPr>
          <w:rFonts w:ascii="Times New Roman" w:eastAsia="Cambria" w:hAnsi="Times New Roman" w:cs="Times New Roman"/>
          <w:b/>
          <w:bCs/>
          <w:color w:val="000000" w:themeColor="text1"/>
          <w:sz w:val="24"/>
          <w:szCs w:val="24"/>
          <w:shd w:val="clear" w:color="auto" w:fill="FFFFFF"/>
          <w:lang w:val="en-GB"/>
        </w:rPr>
      </w:pPr>
      <w:r>
        <w:rPr>
          <w:rFonts w:ascii="Times New Roman" w:eastAsia="Calibri" w:hAnsi="Times New Roman" w:cs="Times New Roman"/>
          <w:noProof/>
          <w:color w:val="000000" w:themeColor="text1"/>
          <w:sz w:val="24"/>
          <w:szCs w:val="24"/>
        </w:rPr>
        <w:drawing>
          <wp:inline distT="0" distB="0" distL="0" distR="0" wp14:anchorId="05B0442B" wp14:editId="358A6919">
            <wp:extent cx="5041265" cy="2006600"/>
            <wp:effectExtent l="0" t="0" r="6985" b="0"/>
            <wp:docPr id="3192364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236432"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t="6004"/>
                    <a:stretch>
                      <a:fillRect/>
                    </a:stretch>
                  </pic:blipFill>
                  <pic:spPr>
                    <a:xfrm>
                      <a:off x="0" y="0"/>
                      <a:ext cx="5067160" cy="2016907"/>
                    </a:xfrm>
                    <a:prstGeom prst="rect">
                      <a:avLst/>
                    </a:prstGeom>
                    <a:noFill/>
                    <a:ln>
                      <a:noFill/>
                    </a:ln>
                  </pic:spPr>
                </pic:pic>
              </a:graphicData>
            </a:graphic>
          </wp:inline>
        </w:drawing>
      </w:r>
    </w:p>
    <w:p w14:paraId="711AFD84" w14:textId="77777777" w:rsidR="00537132" w:rsidRDefault="006E0463">
      <w:pPr>
        <w:spacing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b/>
          <w:bCs/>
          <w:color w:val="000000" w:themeColor="text1"/>
          <w:sz w:val="24"/>
          <w:szCs w:val="24"/>
          <w:shd w:val="clear" w:color="auto" w:fill="FFFFFF"/>
          <w:lang w:val="en-GB"/>
        </w:rPr>
        <w:t xml:space="preserve">Fig. 2: </w:t>
      </w:r>
      <w:r>
        <w:rPr>
          <w:rFonts w:ascii="Times New Roman" w:eastAsia="Cambria" w:hAnsi="Times New Roman" w:cs="Times New Roman"/>
          <w:color w:val="000000" w:themeColor="text1"/>
          <w:sz w:val="24"/>
          <w:szCs w:val="24"/>
          <w:shd w:val="clear" w:color="auto" w:fill="FFFFFF"/>
          <w:lang w:val="en-GB"/>
        </w:rPr>
        <w:t>Changes in NO</w:t>
      </w:r>
      <w:r>
        <w:rPr>
          <w:rFonts w:ascii="Times New Roman" w:eastAsia="Cambria" w:hAnsi="Times New Roman" w:cs="Times New Roman"/>
          <w:color w:val="000000" w:themeColor="text1"/>
          <w:sz w:val="24"/>
          <w:szCs w:val="24"/>
          <w:shd w:val="clear" w:color="auto" w:fill="FFFFFF"/>
          <w:vertAlign w:val="subscript"/>
          <w:lang w:val="en-GB"/>
        </w:rPr>
        <w:t>3</w:t>
      </w:r>
      <w:r>
        <w:rPr>
          <w:rFonts w:ascii="Times New Roman" w:eastAsia="Cambria" w:hAnsi="Times New Roman" w:cs="Times New Roman"/>
          <w:color w:val="000000" w:themeColor="text1"/>
          <w:sz w:val="24"/>
          <w:szCs w:val="24"/>
          <w:shd w:val="clear" w:color="auto" w:fill="FFFFFF"/>
          <w:vertAlign w:val="superscript"/>
          <w:lang w:val="en-GB"/>
        </w:rPr>
        <w:t>-</w:t>
      </w:r>
      <w:r>
        <w:rPr>
          <w:rFonts w:ascii="Times New Roman" w:eastAsia="Cambria" w:hAnsi="Times New Roman" w:cs="Times New Roman"/>
          <w:color w:val="000000" w:themeColor="text1"/>
          <w:sz w:val="24"/>
          <w:szCs w:val="24"/>
          <w:shd w:val="clear" w:color="auto" w:fill="FFFFFF"/>
          <w:lang w:val="en-GB"/>
        </w:rPr>
        <w:t xml:space="preserve"> during bioremediation using biochar amendment</w:t>
      </w:r>
    </w:p>
    <w:p w14:paraId="337CA8C4" w14:textId="6C62784F" w:rsidR="00537132" w:rsidRDefault="0098142F">
      <w:pPr>
        <w:spacing w:before="240" w:after="0" w:line="360" w:lineRule="auto"/>
        <w:jc w:val="both"/>
        <w:rPr>
          <w:rFonts w:ascii="Times New Roman" w:eastAsia="Cambria" w:hAnsi="Times New Roman" w:cs="Times New Roman"/>
          <w:b/>
          <w:bCs/>
          <w:color w:val="000000" w:themeColor="text1"/>
          <w:sz w:val="24"/>
          <w:szCs w:val="24"/>
          <w:shd w:val="clear" w:color="auto" w:fill="FFFFFF"/>
          <w:lang w:val="en-GB"/>
        </w:rPr>
      </w:pPr>
      <w:r>
        <w:rPr>
          <w:rFonts w:ascii="Times New Roman" w:eastAsia="Cambria" w:hAnsi="Times New Roman" w:cs="Times New Roman"/>
          <w:b/>
          <w:bCs/>
          <w:color w:val="000000" w:themeColor="text1"/>
          <w:sz w:val="24"/>
          <w:szCs w:val="24"/>
          <w:shd w:val="clear" w:color="auto" w:fill="FFFFFF"/>
          <w:lang w:val="en-GB"/>
        </w:rPr>
        <w:t xml:space="preserve">3.3 Effect of </w:t>
      </w:r>
      <w:r>
        <w:rPr>
          <w:rFonts w:ascii="Times New Roman" w:eastAsia="Cambria" w:hAnsi="Times New Roman" w:cs="Times New Roman"/>
          <w:b/>
          <w:bCs/>
          <w:color w:val="000000" w:themeColor="text1"/>
          <w:sz w:val="24"/>
          <w:szCs w:val="24"/>
          <w:shd w:val="clear" w:color="auto" w:fill="FFFFFF"/>
          <w:lang w:val="de-DE"/>
        </w:rPr>
        <w:t xml:space="preserve">Ammonium Nitrogen </w:t>
      </w:r>
      <w:r>
        <w:rPr>
          <w:rFonts w:ascii="Times New Roman" w:eastAsia="Cambria" w:hAnsi="Times New Roman" w:cs="Times New Roman"/>
          <w:b/>
          <w:bCs/>
          <w:color w:val="000000" w:themeColor="text1"/>
          <w:sz w:val="24"/>
          <w:szCs w:val="24"/>
          <w:shd w:val="clear" w:color="auto" w:fill="FFFFFF"/>
          <w:lang w:val="en-GB"/>
        </w:rPr>
        <w:t>(NH₃–N)</w:t>
      </w:r>
    </w:p>
    <w:p w14:paraId="50632BC3"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Ammonium nitrogen concentrations were lower in the crude oil-contaminated soils compared to uncontaminated soils. Biochar amendments, especially at higher dosages, significantly enhanced ammonium retention. The highest concentration was found in the 100% biochar treatment (9.91 mg/kg), indicating a restoration of ammonium availability and microbial activity in the contaminated soils.</w:t>
      </w:r>
    </w:p>
    <w:p w14:paraId="0792B966" w14:textId="641B24F4"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 xml:space="preserve">Table </w:t>
      </w:r>
      <w:r w:rsidR="00056837">
        <w:rPr>
          <w:rFonts w:ascii="Times New Roman" w:eastAsia="Cambria" w:hAnsi="Times New Roman" w:cs="Times New Roman"/>
          <w:color w:val="000000" w:themeColor="text1"/>
          <w:sz w:val="24"/>
          <w:szCs w:val="24"/>
          <w:shd w:val="clear" w:color="auto" w:fill="FFFFFF"/>
          <w:lang w:val="en-GB"/>
        </w:rPr>
        <w:t>3</w:t>
      </w:r>
      <w:r>
        <w:rPr>
          <w:rFonts w:ascii="Times New Roman" w:eastAsia="Cambria" w:hAnsi="Times New Roman" w:cs="Times New Roman"/>
          <w:color w:val="000000" w:themeColor="text1"/>
          <w:sz w:val="24"/>
          <w:szCs w:val="24"/>
          <w:shd w:val="clear" w:color="auto" w:fill="FFFFFF"/>
          <w:lang w:val="en-GB"/>
        </w:rPr>
        <w:t xml:space="preserve"> and Figure 3 present the temporal variation in ammonium nitrogen (NH₃–N) concentrations in both uncontaminated and crude oil-contaminated soils under different biochar amendment conditions over a 90-day remediation period. The results reveal significant differences in NH₃–N levels among treatments and across time, as supported by the high F-statistics and extremely low p-values (p &lt; 0.0001), indicating statistically significant treatment effects. At Day 0, the NH₃–N concentration in the uncontaminated control soil (UCS) ranged from 5.53 to 5.55 mg/kg, with a mean of 5.53 ± 0.014 mg/kg. In contrast, the crude oil-contaminated soil (CS) </w:t>
      </w:r>
      <w:r>
        <w:rPr>
          <w:rFonts w:ascii="Times New Roman" w:eastAsia="Cambria" w:hAnsi="Times New Roman" w:cs="Times New Roman"/>
          <w:color w:val="000000" w:themeColor="text1"/>
          <w:sz w:val="24"/>
          <w:szCs w:val="24"/>
          <w:shd w:val="clear" w:color="auto" w:fill="FFFFFF"/>
          <w:lang w:val="en-GB"/>
        </w:rPr>
        <w:lastRenderedPageBreak/>
        <w:t>exhibited markedly lower NH₃–N content, ranging from 0.69 to 0.70 mg/kg, with a mean of 0.70 ± 0.007 mg/kg. Upon biochar amendment, NH₃–N levels were notably higher: CS + 20% biochar recorded 6.96–6.98 mg/kg (mean: 6.98 ± 0.014 mg/kg), CS + 60% biochar had 9.24–9.26 mg/kg (mean: 9.24 ± 0.014 mg/kg), and CS + 100% biochar achieved 9.89–9.91 mg/kg (mean: 9.91 ± 0.014 mg/kg). The F-statistic for Day 0 was 404,573.10, with a p-value of 5.41 × 10⁻²⁶, indicating strong statistical significance among treatment groups.</w:t>
      </w:r>
    </w:p>
    <w:p w14:paraId="22DF4490" w14:textId="77777777"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At Day 30, NH₃–N in UCS slightly increased to 5.57 ± 0.007 mg/kg (range: 5.57–5.58 mg/kg), while CS decreased further to 0.58 ± 0.014 mg/kg (range: 0.58–0.60 mg/kg). Biochar-amended treatments maintained higher values, with CS + 20% biochar at 8.11–8.12 mg/kg (mean: 8.12 ± 0.007 mg/kg), CS + 60% biochar at 9.52–9.54 mg/kg (mean: 9.54 ± 0.007 mg/kg), and CS + 100% biochar still at 9.89–9.90 mg/kg (mean: 9.89 ± 0.007 mg/kg). The Day 30 F-statistic was 442,360.50, with a p-value of 3.46 × 10⁻²⁶. By Day 60, the UCS exhibited a slight decline in NH₃–N (range: 5.47–5.50 mg/kg; mean: 5.50 ± 0.021 mg/kg), while the CS treatment marginally increased to 0.64 ± 0.007 mg/kg. The NH₃–N values in amended soils remained elevated: CS + 20% biochar showed 7.91–7.94 mg/kg (mean: 7.94 ± 0.021 mg/kg), CS + 60% biochar recorded 9.42–9.44 mg/kg (mean: 9.42 ± 0.014 mg/kg), and CS + 100% biochar reached 10.80–10.82 mg/kg (mean: 10.82 ± 0.014 mg/kg). Statistical analysis produced an F-statistic of 479,546.40 and a p-value of 2.31 × 10⁻²⁶.</w:t>
      </w:r>
    </w:p>
    <w:p w14:paraId="03B1149E" w14:textId="54EF4B05" w:rsidR="00537132" w:rsidRDefault="006E0463">
      <w:pPr>
        <w:spacing w:after="0"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color w:val="000000" w:themeColor="text1"/>
          <w:sz w:val="24"/>
          <w:szCs w:val="24"/>
          <w:shd w:val="clear" w:color="auto" w:fill="FFFFFF"/>
          <w:lang w:val="en-GB"/>
        </w:rPr>
        <w:t>At Day 90, NH₃–N concentration in UCS ranged from 5.32 to 5.34 mg/kg (mean: 5.32 ± 0.014 mg/kg), while CS showed a further decrease to 0.52 ± 0.007 mg/kg (range: 0.51–0.52 mg/kg). Biochar-amended soils again demonstrated enhanced NH₃–N retention: CS + 20% biochar ranged from 8.26 to 8.28 mg/kg (mean: 8.26 ± 0.014 mg/kg), CS + 60% biochar was at 9.87–9.89 mg/kg (mean: 9.89 ± 0.014 mg/kg), and CS + 100% biochar maintained its maximum value of 10.82 ± 0.014 mg/kg (range: 10.82–10.84 mg/kg). The F-statistic at this point peaked at 520,032.60, with a highly significant p-value of 1.54 × 10⁻²⁶. Across all time points, the overall F-statistic was 1578.67, with a cumulative p-value of 4.99 × 10⁻⁵⁶, confirming the significant impact of biochar treatments on ammonium nitrogen dynamics. All observed values remained well within the UCDA-NCS regulatory limit of 0–50 mg/kg, ensuring environmental safety throughout the bioremediation period.</w:t>
      </w:r>
    </w:p>
    <w:p w14:paraId="44DC41E2" w14:textId="77777777" w:rsidR="004146CA" w:rsidRDefault="004146CA">
      <w:pPr>
        <w:spacing w:after="0" w:line="360" w:lineRule="auto"/>
        <w:jc w:val="both"/>
        <w:rPr>
          <w:rFonts w:ascii="Times New Roman" w:eastAsia="Cambria" w:hAnsi="Times New Roman" w:cs="Times New Roman"/>
          <w:color w:val="000000" w:themeColor="text1"/>
          <w:sz w:val="24"/>
          <w:szCs w:val="24"/>
          <w:shd w:val="clear" w:color="auto" w:fill="FFFFFF"/>
          <w:lang w:val="en-GB"/>
        </w:rPr>
      </w:pPr>
    </w:p>
    <w:p w14:paraId="3B70AB52" w14:textId="53A60458" w:rsidR="00537132" w:rsidRPr="0098142F" w:rsidRDefault="006E0463">
      <w:pPr>
        <w:spacing w:before="240" w:after="0" w:line="360" w:lineRule="auto"/>
        <w:jc w:val="both"/>
        <w:rPr>
          <w:rFonts w:ascii="Times New Roman" w:eastAsia="Cambria" w:hAnsi="Times New Roman" w:cs="Times New Roman"/>
          <w:color w:val="000000" w:themeColor="text1"/>
          <w:sz w:val="24"/>
          <w:szCs w:val="24"/>
          <w:shd w:val="clear" w:color="auto" w:fill="FFFFFF"/>
          <w:lang w:val="en-GB"/>
        </w:rPr>
      </w:pPr>
      <w:r w:rsidRPr="0098142F">
        <w:rPr>
          <w:rFonts w:ascii="Times New Roman" w:eastAsia="Cambria" w:hAnsi="Times New Roman" w:cs="Times New Roman"/>
          <w:color w:val="000000" w:themeColor="text1"/>
          <w:sz w:val="24"/>
          <w:szCs w:val="24"/>
          <w:shd w:val="clear" w:color="auto" w:fill="FFFFFF"/>
          <w:lang w:val="en-GB"/>
        </w:rPr>
        <w:lastRenderedPageBreak/>
        <w:t>Table</w:t>
      </w:r>
      <w:r w:rsidRPr="0098142F">
        <w:rPr>
          <w:rFonts w:ascii="Times New Roman" w:eastAsia="Cambria" w:hAnsi="Times New Roman" w:cs="Times New Roman"/>
          <w:color w:val="000000" w:themeColor="text1"/>
          <w:sz w:val="24"/>
          <w:szCs w:val="24"/>
          <w:shd w:val="clear" w:color="auto" w:fill="FFFFFF"/>
          <w:lang w:val="de-DE"/>
        </w:rPr>
        <w:t xml:space="preserve"> </w:t>
      </w:r>
      <w:r w:rsidR="00056837">
        <w:rPr>
          <w:rFonts w:ascii="Times New Roman" w:eastAsia="Cambria" w:hAnsi="Times New Roman" w:cs="Times New Roman"/>
          <w:color w:val="000000" w:themeColor="text1"/>
          <w:sz w:val="24"/>
          <w:szCs w:val="24"/>
          <w:shd w:val="clear" w:color="auto" w:fill="FFFFFF"/>
          <w:lang w:val="de-DE"/>
        </w:rPr>
        <w:t>3</w:t>
      </w:r>
      <w:r w:rsidRPr="0098142F">
        <w:rPr>
          <w:rFonts w:ascii="Times New Roman" w:eastAsia="Cambria" w:hAnsi="Times New Roman" w:cs="Times New Roman"/>
          <w:color w:val="000000" w:themeColor="text1"/>
          <w:sz w:val="24"/>
          <w:szCs w:val="24"/>
          <w:shd w:val="clear" w:color="auto" w:fill="FFFFFF"/>
          <w:lang w:val="en-GB"/>
        </w:rPr>
        <w:t>: Changes in</w:t>
      </w:r>
      <w:r w:rsidRPr="0098142F">
        <w:rPr>
          <w:rFonts w:ascii="Times New Roman" w:eastAsia="Cambria" w:hAnsi="Times New Roman" w:cs="Times New Roman"/>
          <w:color w:val="000000" w:themeColor="text1"/>
          <w:sz w:val="24"/>
          <w:szCs w:val="24"/>
          <w:shd w:val="clear" w:color="auto" w:fill="FFFFFF"/>
          <w:lang w:val="de-DE"/>
        </w:rPr>
        <w:t xml:space="preserve"> </w:t>
      </w:r>
      <w:r w:rsidRPr="0098142F">
        <w:rPr>
          <w:rFonts w:ascii="Times New Roman" w:hAnsi="Times New Roman" w:cs="Times New Roman"/>
          <w:color w:val="000000" w:themeColor="text1"/>
          <w:sz w:val="24"/>
          <w:szCs w:val="24"/>
        </w:rPr>
        <w:t>NH</w:t>
      </w:r>
      <w:r w:rsidRPr="0098142F">
        <w:rPr>
          <w:rFonts w:ascii="Times New Roman" w:hAnsi="Times New Roman" w:cs="Times New Roman"/>
          <w:color w:val="000000" w:themeColor="text1"/>
          <w:sz w:val="24"/>
          <w:szCs w:val="24"/>
          <w:vertAlign w:val="subscript"/>
          <w:lang w:val="de-DE"/>
        </w:rPr>
        <w:t>3-</w:t>
      </w:r>
      <w:r w:rsidRPr="0098142F">
        <w:rPr>
          <w:rFonts w:ascii="Times New Roman" w:hAnsi="Times New Roman" w:cs="Times New Roman"/>
          <w:color w:val="000000" w:themeColor="text1"/>
          <w:sz w:val="24"/>
          <w:szCs w:val="24"/>
        </w:rPr>
        <w:t>N</w:t>
      </w:r>
      <w:r w:rsidRPr="0098142F">
        <w:rPr>
          <w:rFonts w:ascii="Times New Roman" w:eastAsia="Cambria" w:hAnsi="Times New Roman" w:cs="Times New Roman"/>
          <w:color w:val="000000" w:themeColor="text1"/>
          <w:sz w:val="24"/>
          <w:szCs w:val="24"/>
          <w:shd w:val="clear" w:color="auto" w:fill="FFFFFF"/>
          <w:vertAlign w:val="subscript"/>
          <w:lang w:val="de-DE"/>
        </w:rPr>
        <w:t xml:space="preserve"> </w:t>
      </w:r>
      <w:r w:rsidRPr="0098142F">
        <w:rPr>
          <w:rFonts w:ascii="Times New Roman" w:eastAsia="Cambria" w:hAnsi="Times New Roman" w:cs="Times New Roman"/>
          <w:color w:val="000000" w:themeColor="text1"/>
          <w:sz w:val="24"/>
          <w:szCs w:val="24"/>
          <w:shd w:val="clear" w:color="auto" w:fill="FFFFFF"/>
          <w:lang w:val="en-GB"/>
        </w:rPr>
        <w:t>of crude oil contaminated soil during bioremediation using biochar amendments</w:t>
      </w:r>
    </w:p>
    <w:tbl>
      <w:tblPr>
        <w:tblW w:w="10249" w:type="dxa"/>
        <w:tblInd w:w="108" w:type="dxa"/>
        <w:tblBorders>
          <w:top w:val="single" w:sz="4" w:space="0" w:color="auto"/>
          <w:bottom w:val="single" w:sz="4" w:space="0" w:color="auto"/>
        </w:tblBorders>
        <w:tblLook w:val="04A0" w:firstRow="1" w:lastRow="0" w:firstColumn="1" w:lastColumn="0" w:noHBand="0" w:noVBand="1"/>
      </w:tblPr>
      <w:tblGrid>
        <w:gridCol w:w="981"/>
        <w:gridCol w:w="1308"/>
        <w:gridCol w:w="1308"/>
        <w:gridCol w:w="1371"/>
        <w:gridCol w:w="1371"/>
        <w:gridCol w:w="1554"/>
        <w:gridCol w:w="1304"/>
        <w:gridCol w:w="1052"/>
      </w:tblGrid>
      <w:tr w:rsidR="00537132" w:rsidRPr="0098142F" w14:paraId="296EFC99" w14:textId="77777777">
        <w:trPr>
          <w:trHeight w:val="97"/>
        </w:trPr>
        <w:tc>
          <w:tcPr>
            <w:tcW w:w="981" w:type="dxa"/>
            <w:tcBorders>
              <w:top w:val="single" w:sz="4" w:space="0" w:color="auto"/>
              <w:bottom w:val="single" w:sz="4" w:space="0" w:color="auto"/>
            </w:tcBorders>
            <w:shd w:val="clear" w:color="auto" w:fill="FFFFFF"/>
            <w:noWrap/>
          </w:tcPr>
          <w:p w14:paraId="6C692BE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de-DE"/>
              </w:rPr>
              <w:t>Days</w:t>
            </w:r>
          </w:p>
        </w:tc>
        <w:tc>
          <w:tcPr>
            <w:tcW w:w="1308" w:type="dxa"/>
            <w:tcBorders>
              <w:top w:val="single" w:sz="4" w:space="0" w:color="auto"/>
              <w:bottom w:val="single" w:sz="4" w:space="0" w:color="auto"/>
            </w:tcBorders>
            <w:shd w:val="clear" w:color="auto" w:fill="FFFFFF"/>
            <w:noWrap/>
          </w:tcPr>
          <w:p w14:paraId="19C6F359"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UCS</w:t>
            </w:r>
          </w:p>
        </w:tc>
        <w:tc>
          <w:tcPr>
            <w:tcW w:w="1308" w:type="dxa"/>
            <w:tcBorders>
              <w:top w:val="single" w:sz="4" w:space="0" w:color="auto"/>
              <w:bottom w:val="single" w:sz="4" w:space="0" w:color="auto"/>
            </w:tcBorders>
            <w:shd w:val="clear" w:color="auto" w:fill="FFFFFF"/>
            <w:noWrap/>
          </w:tcPr>
          <w:p w14:paraId="0072657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CS</w:t>
            </w:r>
          </w:p>
        </w:tc>
        <w:tc>
          <w:tcPr>
            <w:tcW w:w="1371" w:type="dxa"/>
            <w:tcBorders>
              <w:top w:val="single" w:sz="4" w:space="0" w:color="auto"/>
              <w:bottom w:val="single" w:sz="4" w:space="0" w:color="auto"/>
            </w:tcBorders>
            <w:shd w:val="clear" w:color="auto" w:fill="FFFFFF"/>
            <w:noWrap/>
          </w:tcPr>
          <w:p w14:paraId="3FAC432D"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CS + 20%</w:t>
            </w:r>
          </w:p>
          <w:p w14:paraId="4E99FC3A"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BIOCHAR</w:t>
            </w:r>
          </w:p>
        </w:tc>
        <w:tc>
          <w:tcPr>
            <w:tcW w:w="1371" w:type="dxa"/>
            <w:tcBorders>
              <w:top w:val="single" w:sz="4" w:space="0" w:color="auto"/>
              <w:bottom w:val="single" w:sz="4" w:space="0" w:color="auto"/>
            </w:tcBorders>
            <w:shd w:val="clear" w:color="auto" w:fill="FFFFFF"/>
            <w:noWrap/>
          </w:tcPr>
          <w:p w14:paraId="046E0B13"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CS + 60%</w:t>
            </w:r>
          </w:p>
          <w:p w14:paraId="0CAB8EC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BIOCHAR</w:t>
            </w:r>
          </w:p>
        </w:tc>
        <w:tc>
          <w:tcPr>
            <w:tcW w:w="1552" w:type="dxa"/>
            <w:tcBorders>
              <w:top w:val="single" w:sz="4" w:space="0" w:color="auto"/>
              <w:bottom w:val="single" w:sz="4" w:space="0" w:color="auto"/>
            </w:tcBorders>
            <w:shd w:val="clear" w:color="auto" w:fill="FFFFFF"/>
            <w:noWrap/>
          </w:tcPr>
          <w:p w14:paraId="2C903418"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CS+100%</w:t>
            </w:r>
          </w:p>
          <w:p w14:paraId="332B361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b/>
                <w:bCs/>
                <w:color w:val="000000" w:themeColor="text1"/>
                <w:shd w:val="clear" w:color="auto" w:fill="FFFFFF"/>
                <w:lang w:val="en-GB"/>
              </w:rPr>
              <w:t>BIOCHAR</w:t>
            </w:r>
          </w:p>
        </w:tc>
        <w:tc>
          <w:tcPr>
            <w:tcW w:w="1303" w:type="dxa"/>
            <w:tcBorders>
              <w:top w:val="single" w:sz="4" w:space="0" w:color="auto"/>
              <w:bottom w:val="single" w:sz="4" w:space="0" w:color="auto"/>
            </w:tcBorders>
            <w:shd w:val="clear" w:color="auto" w:fill="FFFFFF"/>
          </w:tcPr>
          <w:p w14:paraId="1BC7D59F"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F-Stat</w:t>
            </w:r>
          </w:p>
        </w:tc>
        <w:tc>
          <w:tcPr>
            <w:tcW w:w="1052" w:type="dxa"/>
            <w:tcBorders>
              <w:top w:val="single" w:sz="4" w:space="0" w:color="auto"/>
              <w:bottom w:val="single" w:sz="4" w:space="0" w:color="auto"/>
            </w:tcBorders>
            <w:shd w:val="clear" w:color="auto" w:fill="FFFFFF"/>
          </w:tcPr>
          <w:p w14:paraId="5C5AFB7E" w14:textId="77777777" w:rsidR="00537132" w:rsidRPr="0098142F" w:rsidRDefault="006E0463">
            <w:pPr>
              <w:pStyle w:val="BodyText"/>
              <w:ind w:right="163"/>
              <w:jc w:val="both"/>
              <w:rPr>
                <w:rFonts w:eastAsia="Cambria"/>
                <w:b/>
                <w:bCs/>
                <w:color w:val="000000" w:themeColor="text1"/>
                <w:sz w:val="22"/>
                <w:szCs w:val="22"/>
                <w:shd w:val="clear" w:color="auto" w:fill="FFFFFF"/>
                <w:lang w:val="en-GB"/>
              </w:rPr>
            </w:pPr>
            <w:r w:rsidRPr="0098142F">
              <w:rPr>
                <w:rFonts w:eastAsia="Cambria"/>
                <w:b/>
                <w:bCs/>
                <w:color w:val="000000" w:themeColor="text1"/>
                <w:sz w:val="22"/>
                <w:szCs w:val="22"/>
                <w:shd w:val="clear" w:color="auto" w:fill="FFFFFF"/>
                <w:lang w:val="en-GB"/>
              </w:rPr>
              <w:t>p-value</w:t>
            </w:r>
          </w:p>
        </w:tc>
      </w:tr>
      <w:tr w:rsidR="00537132" w:rsidRPr="0098142F" w14:paraId="6C2FFDDA" w14:textId="77777777">
        <w:trPr>
          <w:trHeight w:val="85"/>
        </w:trPr>
        <w:tc>
          <w:tcPr>
            <w:tcW w:w="981" w:type="dxa"/>
            <w:tcBorders>
              <w:top w:val="single" w:sz="4" w:space="0" w:color="auto"/>
            </w:tcBorders>
            <w:noWrap/>
          </w:tcPr>
          <w:p w14:paraId="21DD3BA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w:t>
            </w:r>
          </w:p>
        </w:tc>
        <w:tc>
          <w:tcPr>
            <w:tcW w:w="1308" w:type="dxa"/>
            <w:tcBorders>
              <w:top w:val="single" w:sz="4" w:space="0" w:color="auto"/>
            </w:tcBorders>
            <w:noWrap/>
          </w:tcPr>
          <w:p w14:paraId="3F46F0E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(5.53–5.55) 5.53 ± 0.014</w:t>
            </w:r>
          </w:p>
        </w:tc>
        <w:tc>
          <w:tcPr>
            <w:tcW w:w="1308" w:type="dxa"/>
            <w:tcBorders>
              <w:top w:val="single" w:sz="4" w:space="0" w:color="auto"/>
            </w:tcBorders>
            <w:noWrap/>
          </w:tcPr>
          <w:p w14:paraId="1F94A955"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(0.69–0.70) 0.70 ± 0.007</w:t>
            </w:r>
          </w:p>
        </w:tc>
        <w:tc>
          <w:tcPr>
            <w:tcW w:w="1371" w:type="dxa"/>
            <w:tcBorders>
              <w:top w:val="single" w:sz="4" w:space="0" w:color="auto"/>
            </w:tcBorders>
            <w:noWrap/>
          </w:tcPr>
          <w:p w14:paraId="2530EC6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(6.96–6.98) 6.98 ± 0.014</w:t>
            </w:r>
          </w:p>
        </w:tc>
        <w:tc>
          <w:tcPr>
            <w:tcW w:w="1371" w:type="dxa"/>
            <w:tcBorders>
              <w:top w:val="single" w:sz="4" w:space="0" w:color="auto"/>
            </w:tcBorders>
            <w:noWrap/>
          </w:tcPr>
          <w:p w14:paraId="60EB2DE5"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(9.24–9.26) 9.24 ± 0.014</w:t>
            </w:r>
          </w:p>
        </w:tc>
        <w:tc>
          <w:tcPr>
            <w:tcW w:w="1552" w:type="dxa"/>
            <w:tcBorders>
              <w:top w:val="single" w:sz="4" w:space="0" w:color="auto"/>
            </w:tcBorders>
            <w:noWrap/>
          </w:tcPr>
          <w:p w14:paraId="394CA6A6"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 xml:space="preserve">(9.89–9.91) </w:t>
            </w:r>
          </w:p>
          <w:p w14:paraId="4CA1FCD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9.91 ± 0.014</w:t>
            </w:r>
          </w:p>
        </w:tc>
        <w:tc>
          <w:tcPr>
            <w:tcW w:w="1303" w:type="dxa"/>
            <w:tcBorders>
              <w:top w:val="single" w:sz="4" w:space="0" w:color="auto"/>
            </w:tcBorders>
          </w:tcPr>
          <w:p w14:paraId="7D6D38A3"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404,573.10</w:t>
            </w:r>
          </w:p>
        </w:tc>
        <w:tc>
          <w:tcPr>
            <w:tcW w:w="1052" w:type="dxa"/>
            <w:tcBorders>
              <w:top w:val="single" w:sz="4" w:space="0" w:color="auto"/>
            </w:tcBorders>
          </w:tcPr>
          <w:p w14:paraId="6222CD6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5.41 × 10⁻²⁶</w:t>
            </w:r>
          </w:p>
        </w:tc>
      </w:tr>
      <w:tr w:rsidR="00537132" w:rsidRPr="0098142F" w14:paraId="155A1A48" w14:textId="77777777">
        <w:trPr>
          <w:trHeight w:val="104"/>
        </w:trPr>
        <w:tc>
          <w:tcPr>
            <w:tcW w:w="981" w:type="dxa"/>
            <w:noWrap/>
          </w:tcPr>
          <w:p w14:paraId="082A8EE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30</w:t>
            </w:r>
          </w:p>
        </w:tc>
        <w:tc>
          <w:tcPr>
            <w:tcW w:w="1308" w:type="dxa"/>
            <w:noWrap/>
          </w:tcPr>
          <w:p w14:paraId="63BA085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(5.57–5.58) 5.57 ± 0.007</w:t>
            </w:r>
          </w:p>
        </w:tc>
        <w:tc>
          <w:tcPr>
            <w:tcW w:w="1308" w:type="dxa"/>
            <w:noWrap/>
          </w:tcPr>
          <w:p w14:paraId="72DDECA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(0.58–0.60) 0.58 ± 0.014</w:t>
            </w:r>
          </w:p>
        </w:tc>
        <w:tc>
          <w:tcPr>
            <w:tcW w:w="1371" w:type="dxa"/>
            <w:noWrap/>
          </w:tcPr>
          <w:p w14:paraId="46CDC69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(8.11–8.12) 8.12 ± 0.007</w:t>
            </w:r>
          </w:p>
        </w:tc>
        <w:tc>
          <w:tcPr>
            <w:tcW w:w="1371" w:type="dxa"/>
            <w:noWrap/>
          </w:tcPr>
          <w:p w14:paraId="5F47B683"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(9.52–9.54) 9.54 ± 0.007</w:t>
            </w:r>
          </w:p>
        </w:tc>
        <w:tc>
          <w:tcPr>
            <w:tcW w:w="1552" w:type="dxa"/>
            <w:noWrap/>
          </w:tcPr>
          <w:p w14:paraId="5D31B9D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 xml:space="preserve">(9.89–9.90) </w:t>
            </w:r>
          </w:p>
          <w:p w14:paraId="57B48AA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9.89 ± 0.007</w:t>
            </w:r>
          </w:p>
        </w:tc>
        <w:tc>
          <w:tcPr>
            <w:tcW w:w="1303" w:type="dxa"/>
          </w:tcPr>
          <w:p w14:paraId="443754E6"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442,360.50</w:t>
            </w:r>
          </w:p>
        </w:tc>
        <w:tc>
          <w:tcPr>
            <w:tcW w:w="1052" w:type="dxa"/>
          </w:tcPr>
          <w:p w14:paraId="19C0D28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3.46 × 10⁻²⁶</w:t>
            </w:r>
          </w:p>
        </w:tc>
      </w:tr>
      <w:tr w:rsidR="00537132" w:rsidRPr="0098142F" w14:paraId="692F4DCF" w14:textId="77777777">
        <w:trPr>
          <w:trHeight w:val="90"/>
        </w:trPr>
        <w:tc>
          <w:tcPr>
            <w:tcW w:w="981" w:type="dxa"/>
            <w:noWrap/>
          </w:tcPr>
          <w:p w14:paraId="3CAEF254"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60</w:t>
            </w:r>
          </w:p>
        </w:tc>
        <w:tc>
          <w:tcPr>
            <w:tcW w:w="1308" w:type="dxa"/>
            <w:noWrap/>
          </w:tcPr>
          <w:p w14:paraId="1E9366DF"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(5.47–5.50) 5.50 ± 0.021</w:t>
            </w:r>
          </w:p>
        </w:tc>
        <w:tc>
          <w:tcPr>
            <w:tcW w:w="1308" w:type="dxa"/>
            <w:noWrap/>
          </w:tcPr>
          <w:p w14:paraId="17DE3123"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(0.64–0.65) 0.64 ± 0.007</w:t>
            </w:r>
          </w:p>
        </w:tc>
        <w:tc>
          <w:tcPr>
            <w:tcW w:w="1371" w:type="dxa"/>
            <w:noWrap/>
          </w:tcPr>
          <w:p w14:paraId="420FC11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(7.91–7.94) 7.94 ± 0.021</w:t>
            </w:r>
          </w:p>
        </w:tc>
        <w:tc>
          <w:tcPr>
            <w:tcW w:w="1371" w:type="dxa"/>
            <w:noWrap/>
          </w:tcPr>
          <w:p w14:paraId="716E693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(9.42–9.44) 9.42 ± 0.014</w:t>
            </w:r>
          </w:p>
        </w:tc>
        <w:tc>
          <w:tcPr>
            <w:tcW w:w="1552" w:type="dxa"/>
            <w:noWrap/>
          </w:tcPr>
          <w:p w14:paraId="33C82E9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(10.80–10.82) 10.82 ± 0.014</w:t>
            </w:r>
          </w:p>
        </w:tc>
        <w:tc>
          <w:tcPr>
            <w:tcW w:w="1303" w:type="dxa"/>
          </w:tcPr>
          <w:p w14:paraId="21B114C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479,546.40</w:t>
            </w:r>
          </w:p>
        </w:tc>
        <w:tc>
          <w:tcPr>
            <w:tcW w:w="1052" w:type="dxa"/>
          </w:tcPr>
          <w:p w14:paraId="2176E4A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2.31 × 10⁻²⁶</w:t>
            </w:r>
          </w:p>
        </w:tc>
      </w:tr>
      <w:tr w:rsidR="00537132" w:rsidRPr="0098142F" w14:paraId="01A862A9" w14:textId="77777777">
        <w:trPr>
          <w:trHeight w:val="128"/>
        </w:trPr>
        <w:tc>
          <w:tcPr>
            <w:tcW w:w="981" w:type="dxa"/>
            <w:noWrap/>
          </w:tcPr>
          <w:p w14:paraId="56C8E84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90</w:t>
            </w:r>
          </w:p>
        </w:tc>
        <w:tc>
          <w:tcPr>
            <w:tcW w:w="1308" w:type="dxa"/>
            <w:noWrap/>
          </w:tcPr>
          <w:p w14:paraId="74848D3D"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(5.32–5.34) 5.32 ± 0.014</w:t>
            </w:r>
          </w:p>
        </w:tc>
        <w:tc>
          <w:tcPr>
            <w:tcW w:w="1308" w:type="dxa"/>
            <w:noWrap/>
          </w:tcPr>
          <w:p w14:paraId="1C2B5100"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(0.51–0.52) 0.52 ± 0.007</w:t>
            </w:r>
          </w:p>
        </w:tc>
        <w:tc>
          <w:tcPr>
            <w:tcW w:w="1371" w:type="dxa"/>
            <w:noWrap/>
          </w:tcPr>
          <w:p w14:paraId="44CF3FF2"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(8.26–8.28) 8.26 ± 0.014</w:t>
            </w:r>
          </w:p>
        </w:tc>
        <w:tc>
          <w:tcPr>
            <w:tcW w:w="1371" w:type="dxa"/>
            <w:noWrap/>
          </w:tcPr>
          <w:p w14:paraId="5DD503AC"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(9.87–9.89) 9.89 ± 0.014</w:t>
            </w:r>
          </w:p>
        </w:tc>
        <w:tc>
          <w:tcPr>
            <w:tcW w:w="1552" w:type="dxa"/>
            <w:noWrap/>
          </w:tcPr>
          <w:p w14:paraId="4FFAD8BE"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(10.82–10.84) 10.82 ± 0.014</w:t>
            </w:r>
          </w:p>
        </w:tc>
        <w:tc>
          <w:tcPr>
            <w:tcW w:w="1303" w:type="dxa"/>
          </w:tcPr>
          <w:p w14:paraId="6559C325"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520,032.60</w:t>
            </w:r>
          </w:p>
        </w:tc>
        <w:tc>
          <w:tcPr>
            <w:tcW w:w="1052" w:type="dxa"/>
          </w:tcPr>
          <w:p w14:paraId="3FA03F47"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hAnsi="Times New Roman" w:cs="Times New Roman"/>
                <w:color w:val="000000" w:themeColor="text1"/>
              </w:rPr>
              <w:t>1.54 × 10⁻²⁶</w:t>
            </w:r>
          </w:p>
        </w:tc>
      </w:tr>
      <w:tr w:rsidR="00537132" w:rsidRPr="0098142F" w14:paraId="5C87B3CD" w14:textId="77777777">
        <w:trPr>
          <w:trHeight w:val="68"/>
        </w:trPr>
        <w:tc>
          <w:tcPr>
            <w:tcW w:w="981" w:type="dxa"/>
            <w:noWrap/>
          </w:tcPr>
          <w:p w14:paraId="33DD9508"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F-stat</w:t>
            </w:r>
          </w:p>
        </w:tc>
        <w:tc>
          <w:tcPr>
            <w:tcW w:w="6912" w:type="dxa"/>
            <w:gridSpan w:val="5"/>
            <w:noWrap/>
          </w:tcPr>
          <w:p w14:paraId="56AB311E" w14:textId="77777777" w:rsidR="00537132" w:rsidRPr="0098142F" w:rsidRDefault="00537132">
            <w:pPr>
              <w:spacing w:after="0" w:line="240" w:lineRule="auto"/>
              <w:jc w:val="center"/>
              <w:rPr>
                <w:rFonts w:ascii="Times New Roman" w:eastAsia="Cambria" w:hAnsi="Times New Roman" w:cs="Times New Roman"/>
                <w:color w:val="000000" w:themeColor="text1"/>
                <w:shd w:val="clear" w:color="auto" w:fill="FFFFFF"/>
              </w:rPr>
            </w:pPr>
          </w:p>
          <w:p w14:paraId="00882FBF" w14:textId="77777777" w:rsidR="00537132" w:rsidRPr="0098142F" w:rsidRDefault="006E0463">
            <w:pPr>
              <w:spacing w:after="0" w:line="240" w:lineRule="auto"/>
              <w:jc w:val="center"/>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 xml:space="preserve">               1578.67</w:t>
            </w:r>
          </w:p>
        </w:tc>
        <w:tc>
          <w:tcPr>
            <w:tcW w:w="1303" w:type="dxa"/>
          </w:tcPr>
          <w:p w14:paraId="039C541C" w14:textId="77777777" w:rsidR="00537132" w:rsidRPr="0098142F" w:rsidRDefault="00537132">
            <w:pPr>
              <w:spacing w:after="0" w:line="240" w:lineRule="auto"/>
              <w:jc w:val="both"/>
              <w:rPr>
                <w:rFonts w:ascii="Times New Roman" w:hAnsi="Times New Roman" w:cs="Times New Roman"/>
                <w:color w:val="000000" w:themeColor="text1"/>
              </w:rPr>
            </w:pPr>
          </w:p>
        </w:tc>
        <w:tc>
          <w:tcPr>
            <w:tcW w:w="1052" w:type="dxa"/>
          </w:tcPr>
          <w:p w14:paraId="1F535F9C" w14:textId="77777777" w:rsidR="00537132" w:rsidRPr="0098142F" w:rsidRDefault="00537132">
            <w:pPr>
              <w:spacing w:after="0" w:line="240" w:lineRule="auto"/>
              <w:jc w:val="both"/>
              <w:rPr>
                <w:rFonts w:ascii="Times New Roman" w:hAnsi="Times New Roman" w:cs="Times New Roman"/>
                <w:color w:val="000000" w:themeColor="text1"/>
              </w:rPr>
            </w:pPr>
          </w:p>
        </w:tc>
      </w:tr>
      <w:tr w:rsidR="00537132" w:rsidRPr="0098142F" w14:paraId="7603A1CE" w14:textId="77777777">
        <w:trPr>
          <w:trHeight w:val="38"/>
        </w:trPr>
        <w:tc>
          <w:tcPr>
            <w:tcW w:w="981" w:type="dxa"/>
            <w:noWrap/>
          </w:tcPr>
          <w:p w14:paraId="5D09AF0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p- value</w:t>
            </w:r>
          </w:p>
        </w:tc>
        <w:tc>
          <w:tcPr>
            <w:tcW w:w="8216" w:type="dxa"/>
            <w:gridSpan w:val="6"/>
            <w:noWrap/>
          </w:tcPr>
          <w:p w14:paraId="578B8E55" w14:textId="77777777" w:rsidR="00537132" w:rsidRPr="0098142F" w:rsidRDefault="006E0463">
            <w:pPr>
              <w:spacing w:after="0" w:line="240" w:lineRule="auto"/>
              <w:jc w:val="center"/>
              <w:rPr>
                <w:rFonts w:ascii="Times New Roman" w:hAnsi="Times New Roman" w:cs="Times New Roman"/>
                <w:color w:val="000000" w:themeColor="text1"/>
              </w:rPr>
            </w:pPr>
            <w:r w:rsidRPr="0098142F">
              <w:rPr>
                <w:rFonts w:ascii="Times New Roman" w:hAnsi="Times New Roman" w:cs="Times New Roman"/>
                <w:color w:val="000000" w:themeColor="text1"/>
              </w:rPr>
              <w:t>4.99 × 10⁻⁵⁶</w:t>
            </w:r>
          </w:p>
        </w:tc>
        <w:tc>
          <w:tcPr>
            <w:tcW w:w="1052" w:type="dxa"/>
          </w:tcPr>
          <w:p w14:paraId="1FE02BF9" w14:textId="77777777" w:rsidR="00537132" w:rsidRPr="0098142F" w:rsidRDefault="00537132">
            <w:pPr>
              <w:spacing w:after="0" w:line="240" w:lineRule="auto"/>
              <w:jc w:val="both"/>
              <w:rPr>
                <w:rFonts w:ascii="Times New Roman" w:hAnsi="Times New Roman" w:cs="Times New Roman"/>
                <w:color w:val="000000" w:themeColor="text1"/>
              </w:rPr>
            </w:pPr>
          </w:p>
        </w:tc>
      </w:tr>
      <w:tr w:rsidR="00537132" w:rsidRPr="0098142F" w14:paraId="38144853" w14:textId="77777777">
        <w:trPr>
          <w:trHeight w:val="61"/>
        </w:trPr>
        <w:tc>
          <w:tcPr>
            <w:tcW w:w="981" w:type="dxa"/>
            <w:noWrap/>
          </w:tcPr>
          <w:p w14:paraId="04635E71" w14:textId="77777777" w:rsidR="00537132" w:rsidRPr="0098142F" w:rsidRDefault="006E0463">
            <w:pPr>
              <w:spacing w:after="0" w:line="240" w:lineRule="auto"/>
              <w:jc w:val="both"/>
              <w:rPr>
                <w:rFonts w:ascii="Times New Roman" w:eastAsia="Cambria" w:hAnsi="Times New Roman" w:cs="Times New Roman"/>
                <w:color w:val="000000" w:themeColor="text1"/>
                <w:shd w:val="clear" w:color="auto" w:fill="FFFFFF"/>
              </w:rPr>
            </w:pPr>
            <w:r w:rsidRPr="0098142F">
              <w:rPr>
                <w:rFonts w:ascii="Times New Roman" w:eastAsia="Cambria" w:hAnsi="Times New Roman" w:cs="Times New Roman"/>
                <w:color w:val="000000" w:themeColor="text1"/>
                <w:shd w:val="clear" w:color="auto" w:fill="FFFFFF"/>
              </w:rPr>
              <w:t>UCDA-NCS Limit</w:t>
            </w:r>
          </w:p>
        </w:tc>
        <w:tc>
          <w:tcPr>
            <w:tcW w:w="8216" w:type="dxa"/>
            <w:gridSpan w:val="6"/>
            <w:noWrap/>
          </w:tcPr>
          <w:p w14:paraId="732AB93D" w14:textId="77777777" w:rsidR="00537132" w:rsidRPr="0098142F" w:rsidRDefault="006E0463">
            <w:pPr>
              <w:spacing w:after="0" w:line="240" w:lineRule="auto"/>
              <w:jc w:val="center"/>
              <w:rPr>
                <w:rFonts w:ascii="Times New Roman" w:hAnsi="Times New Roman" w:cs="Times New Roman"/>
                <w:color w:val="000000" w:themeColor="text1"/>
              </w:rPr>
            </w:pPr>
            <w:r w:rsidRPr="0098142F">
              <w:rPr>
                <w:rFonts w:ascii="Times New Roman" w:hAnsi="Times New Roman" w:cs="Times New Roman"/>
                <w:color w:val="000000" w:themeColor="text1"/>
              </w:rPr>
              <w:t xml:space="preserve">0 – 50 mg/kg </w:t>
            </w:r>
          </w:p>
        </w:tc>
        <w:tc>
          <w:tcPr>
            <w:tcW w:w="1052" w:type="dxa"/>
          </w:tcPr>
          <w:p w14:paraId="49114F19" w14:textId="77777777" w:rsidR="00537132" w:rsidRPr="0098142F" w:rsidRDefault="00537132">
            <w:pPr>
              <w:spacing w:after="0" w:line="240" w:lineRule="auto"/>
              <w:jc w:val="both"/>
              <w:rPr>
                <w:rFonts w:ascii="Times New Roman" w:hAnsi="Times New Roman" w:cs="Times New Roman"/>
                <w:color w:val="000000" w:themeColor="text1"/>
              </w:rPr>
            </w:pPr>
          </w:p>
        </w:tc>
      </w:tr>
    </w:tbl>
    <w:p w14:paraId="7D27749C" w14:textId="77777777" w:rsidR="00537132" w:rsidRPr="0098142F" w:rsidRDefault="00537132">
      <w:pPr>
        <w:spacing w:line="360" w:lineRule="auto"/>
        <w:jc w:val="both"/>
        <w:rPr>
          <w:rFonts w:ascii="Times New Roman" w:eastAsia="Cambria" w:hAnsi="Times New Roman" w:cs="Times New Roman"/>
          <w:color w:val="000000" w:themeColor="text1"/>
          <w:shd w:val="clear" w:color="auto" w:fill="FFFFFF"/>
          <w:lang w:val="en-GB"/>
        </w:rPr>
      </w:pPr>
    </w:p>
    <w:p w14:paraId="6DB18A6B" w14:textId="77777777" w:rsidR="00537132" w:rsidRDefault="006E0463">
      <w:pPr>
        <w:spacing w:after="0" w:line="360" w:lineRule="auto"/>
        <w:jc w:val="center"/>
        <w:rPr>
          <w:rFonts w:ascii="Times New Roman" w:eastAsia="Cambria" w:hAnsi="Times New Roman" w:cs="Times New Roman"/>
          <w:color w:val="000000" w:themeColor="text1"/>
          <w:sz w:val="24"/>
          <w:szCs w:val="24"/>
          <w:shd w:val="clear" w:color="auto" w:fill="FFFFFF"/>
          <w:lang w:val="en-GB"/>
        </w:rPr>
      </w:pPr>
      <w:r>
        <w:rPr>
          <w:rFonts w:ascii="Times New Roman" w:hAnsi="Times New Roman" w:cs="Times New Roman"/>
          <w:noProof/>
          <w:color w:val="000000" w:themeColor="text1"/>
          <w:sz w:val="24"/>
          <w:szCs w:val="24"/>
        </w:rPr>
        <w:drawing>
          <wp:inline distT="0" distB="0" distL="0" distR="0" wp14:anchorId="1F025B69" wp14:editId="38798DC2">
            <wp:extent cx="5042535" cy="2514600"/>
            <wp:effectExtent l="0" t="0" r="5715" b="0"/>
            <wp:docPr id="58832110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8CCBC9A" w14:textId="50D84940" w:rsidR="00537132" w:rsidRPr="004146CA" w:rsidRDefault="006E0463" w:rsidP="004146CA">
      <w:pPr>
        <w:spacing w:line="360" w:lineRule="auto"/>
        <w:jc w:val="both"/>
        <w:rPr>
          <w:rFonts w:ascii="Times New Roman" w:eastAsia="Cambria" w:hAnsi="Times New Roman" w:cs="Times New Roman"/>
          <w:color w:val="000000" w:themeColor="text1"/>
          <w:sz w:val="24"/>
          <w:szCs w:val="24"/>
          <w:shd w:val="clear" w:color="auto" w:fill="FFFFFF"/>
          <w:lang w:val="en-GB"/>
        </w:rPr>
      </w:pPr>
      <w:r>
        <w:rPr>
          <w:rFonts w:ascii="Times New Roman" w:eastAsia="Cambria" w:hAnsi="Times New Roman" w:cs="Times New Roman"/>
          <w:b/>
          <w:bCs/>
          <w:color w:val="000000" w:themeColor="text1"/>
          <w:sz w:val="24"/>
          <w:szCs w:val="24"/>
          <w:shd w:val="clear" w:color="auto" w:fill="FFFFFF"/>
          <w:lang w:val="en-GB"/>
        </w:rPr>
        <w:t xml:space="preserve">Fig. 3: </w:t>
      </w:r>
      <w:r>
        <w:rPr>
          <w:rFonts w:ascii="Times New Roman" w:eastAsia="Cambria" w:hAnsi="Times New Roman" w:cs="Times New Roman"/>
          <w:color w:val="000000" w:themeColor="text1"/>
          <w:sz w:val="24"/>
          <w:szCs w:val="24"/>
          <w:shd w:val="clear" w:color="auto" w:fill="FFFFFF"/>
          <w:lang w:val="en-GB"/>
        </w:rPr>
        <w:t>Changes in NH</w:t>
      </w:r>
      <w:r>
        <w:rPr>
          <w:rFonts w:ascii="Times New Roman" w:eastAsia="Cambria" w:hAnsi="Times New Roman" w:cs="Times New Roman"/>
          <w:color w:val="000000" w:themeColor="text1"/>
          <w:sz w:val="24"/>
          <w:szCs w:val="24"/>
          <w:shd w:val="clear" w:color="auto" w:fill="FFFFFF"/>
          <w:vertAlign w:val="subscript"/>
          <w:lang w:val="en-GB"/>
        </w:rPr>
        <w:t>3</w:t>
      </w:r>
      <w:r>
        <w:rPr>
          <w:rFonts w:ascii="Times New Roman" w:eastAsia="Cambria" w:hAnsi="Times New Roman" w:cs="Times New Roman"/>
          <w:color w:val="000000" w:themeColor="text1"/>
          <w:sz w:val="24"/>
          <w:szCs w:val="24"/>
          <w:shd w:val="clear" w:color="auto" w:fill="FFFFFF"/>
          <w:lang w:val="en-GB"/>
        </w:rPr>
        <w:t>-N during 90-day bioremediation using biochar amendment</w:t>
      </w:r>
    </w:p>
    <w:p w14:paraId="116C4CBF" w14:textId="4EC74C4F" w:rsidR="00537132" w:rsidRPr="0098142F" w:rsidRDefault="0098142F">
      <w:pPr>
        <w:spacing w:before="100" w:beforeAutospacing="1" w:after="100" w:afterAutospacing="1" w:line="480" w:lineRule="auto"/>
        <w:jc w:val="both"/>
        <w:outlineLvl w:val="3"/>
        <w:rPr>
          <w:rFonts w:ascii="Times New Roman" w:eastAsia="Times New Roman" w:hAnsi="Times New Roman" w:cs="Times New Roman"/>
          <w:b/>
          <w:bCs/>
          <w:iCs/>
          <w:kern w:val="0"/>
          <w:sz w:val="24"/>
          <w:szCs w:val="24"/>
          <w14:ligatures w14:val="none"/>
        </w:rPr>
      </w:pPr>
      <w:r>
        <w:rPr>
          <w:rFonts w:ascii="Times New Roman" w:eastAsia="Times New Roman" w:hAnsi="Times New Roman" w:cs="Times New Roman"/>
          <w:b/>
          <w:bCs/>
          <w:iCs/>
          <w:kern w:val="0"/>
          <w:sz w:val="24"/>
          <w:szCs w:val="24"/>
          <w14:ligatures w14:val="none"/>
        </w:rPr>
        <w:t xml:space="preserve">3.4 </w:t>
      </w:r>
      <w:r w:rsidRPr="0098142F">
        <w:rPr>
          <w:rFonts w:ascii="Times New Roman" w:eastAsia="Times New Roman" w:hAnsi="Times New Roman" w:cs="Times New Roman"/>
          <w:b/>
          <w:bCs/>
          <w:iCs/>
          <w:kern w:val="0"/>
          <w:sz w:val="24"/>
          <w:szCs w:val="24"/>
          <w14:ligatures w14:val="none"/>
        </w:rPr>
        <w:t>Influence of Biochar Amendments on Total Organic Nitrogen (TON) Dynamics</w:t>
      </w:r>
    </w:p>
    <w:p w14:paraId="02C8E4FA" w14:textId="77777777" w:rsidR="00537132" w:rsidRDefault="006E046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Total Organic Nitrogen (TON) concentrations followed a similar trend, with significant improvements observed in biochar-amended soils. At the outset of the experiment (Day 0), the UCS had a TON value of 0.189%, and the CS had a much lower TON concentration of 0.098%. </w:t>
      </w:r>
      <w:r>
        <w:rPr>
          <w:rFonts w:ascii="Times New Roman" w:eastAsia="Times New Roman" w:hAnsi="Times New Roman" w:cs="Times New Roman"/>
          <w:kern w:val="0"/>
          <w:sz w:val="24"/>
          <w:szCs w:val="24"/>
          <w14:ligatures w14:val="none"/>
        </w:rPr>
        <w:lastRenderedPageBreak/>
        <w:t xml:space="preserve">The application of biochar increased TON in a dose-dependent manner, with the CS + 20% biochar treatment showing an improvement to 0.239%, CS + 60% biochar at 0.266%, and CS + 100% biochar at 0.291%. These values were significantly higher than those in CS, indicating the potential of biochar to restore nitrogen levels in crude oil-contaminated soils as noted by </w:t>
      </w:r>
      <w:proofErr w:type="spellStart"/>
      <w:r>
        <w:rPr>
          <w:rFonts w:ascii="Times New Roman" w:eastAsia="Times New Roman" w:hAnsi="Times New Roman" w:cs="Times New Roman"/>
          <w:kern w:val="0"/>
          <w:sz w:val="24"/>
          <w:szCs w:val="24"/>
          <w14:ligatures w14:val="none"/>
        </w:rPr>
        <w:t>Osadebe</w:t>
      </w:r>
      <w:proofErr w:type="spellEnd"/>
      <w:r>
        <w:rPr>
          <w:rFonts w:ascii="Times New Roman" w:eastAsia="Times New Roman" w:hAnsi="Times New Roman" w:cs="Times New Roman"/>
          <w:kern w:val="0"/>
          <w:sz w:val="24"/>
          <w:szCs w:val="24"/>
          <w14:ligatures w14:val="none"/>
        </w:rPr>
        <w:t xml:space="preserve"> et al. (2023).</w:t>
      </w:r>
    </w:p>
    <w:p w14:paraId="7004F707" w14:textId="24254C83" w:rsidR="00537132" w:rsidRDefault="006E046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By Day 90, the TON concentration in CS increased to 0.061%, well below the regulatory threshold of 0.10%. However, biochar amendments led to a substantial recovery in TON, with CS + 20% biochar showing a value of 0.273%, CS + 60% biochar reaching 0.283%, and CS + 100% biochar peaking at 0.297%. These results reflect biochar’s capacity to enhance soil nitrogen retention, with the highest biochar amendment (100%) outperforming even the uncontaminated soil in terms of TON (Table 4, Figure 4). Statistical analysis revealed significant differences across treatments, with an F-statistic of 843.2 (p-value &lt; 0.0001), confirming that biochar amendments significantly improve TON levels in crude oil-polluted soils.</w:t>
      </w:r>
      <w:r>
        <w:t xml:space="preserve"> </w:t>
      </w:r>
      <w:r>
        <w:rPr>
          <w:rFonts w:ascii="Times New Roman" w:eastAsia="Times New Roman" w:hAnsi="Times New Roman" w:cs="Times New Roman"/>
          <w:kern w:val="0"/>
          <w:sz w:val="24"/>
          <w:szCs w:val="24"/>
          <w14:ligatures w14:val="none"/>
        </w:rPr>
        <w:t>These findings are consistent with studies by Guo et al. (2020) who reported improvements in nitrogen cycling with biochar amendments.</w:t>
      </w:r>
    </w:p>
    <w:p w14:paraId="0985A7D5" w14:textId="77777777" w:rsidR="00537132" w:rsidRDefault="00537132">
      <w:pPr>
        <w:jc w:val="both"/>
        <w:rPr>
          <w:rFonts w:eastAsia="Cambria"/>
          <w:color w:val="212121"/>
          <w:sz w:val="24"/>
          <w:szCs w:val="24"/>
          <w:shd w:val="clear" w:color="auto" w:fill="FFFFFF"/>
          <w:lang w:val="en-GB"/>
        </w:rPr>
      </w:pPr>
    </w:p>
    <w:p w14:paraId="67844A27" w14:textId="77777777" w:rsidR="00537132" w:rsidRDefault="00537132">
      <w:pPr>
        <w:jc w:val="both"/>
        <w:rPr>
          <w:rFonts w:eastAsia="Cambria"/>
          <w:color w:val="212121"/>
          <w:sz w:val="24"/>
          <w:szCs w:val="24"/>
          <w:shd w:val="clear" w:color="auto" w:fill="FFFFFF"/>
          <w:lang w:val="en-GB"/>
        </w:rPr>
      </w:pPr>
    </w:p>
    <w:p w14:paraId="4D99A9C5" w14:textId="77777777" w:rsidR="0098142F" w:rsidRDefault="0098142F">
      <w:pPr>
        <w:jc w:val="both"/>
        <w:rPr>
          <w:rFonts w:eastAsia="Cambria"/>
          <w:color w:val="212121"/>
          <w:sz w:val="24"/>
          <w:szCs w:val="24"/>
          <w:shd w:val="clear" w:color="auto" w:fill="FFFFFF"/>
          <w:lang w:val="en-GB"/>
        </w:rPr>
      </w:pPr>
    </w:p>
    <w:p w14:paraId="3D69B466" w14:textId="77777777" w:rsidR="0098142F" w:rsidRDefault="0098142F">
      <w:pPr>
        <w:jc w:val="both"/>
        <w:rPr>
          <w:rFonts w:eastAsia="Cambria"/>
          <w:color w:val="212121"/>
          <w:sz w:val="24"/>
          <w:szCs w:val="24"/>
          <w:shd w:val="clear" w:color="auto" w:fill="FFFFFF"/>
          <w:lang w:val="en-GB"/>
        </w:rPr>
      </w:pPr>
    </w:p>
    <w:p w14:paraId="2CBAEEDE" w14:textId="77777777" w:rsidR="0098142F" w:rsidRDefault="0098142F">
      <w:pPr>
        <w:jc w:val="both"/>
        <w:rPr>
          <w:rFonts w:eastAsia="Cambria"/>
          <w:color w:val="212121"/>
          <w:sz w:val="24"/>
          <w:szCs w:val="24"/>
          <w:shd w:val="clear" w:color="auto" w:fill="FFFFFF"/>
          <w:lang w:val="en-GB"/>
        </w:rPr>
      </w:pPr>
    </w:p>
    <w:p w14:paraId="054B1709" w14:textId="77777777" w:rsidR="0098142F" w:rsidRDefault="0098142F">
      <w:pPr>
        <w:jc w:val="both"/>
        <w:rPr>
          <w:rFonts w:eastAsia="Cambria"/>
          <w:color w:val="212121"/>
          <w:sz w:val="24"/>
          <w:szCs w:val="24"/>
          <w:shd w:val="clear" w:color="auto" w:fill="FFFFFF"/>
          <w:lang w:val="en-GB"/>
        </w:rPr>
      </w:pPr>
    </w:p>
    <w:p w14:paraId="459460B7" w14:textId="77777777" w:rsidR="0098142F" w:rsidRDefault="0098142F">
      <w:pPr>
        <w:jc w:val="both"/>
        <w:rPr>
          <w:rFonts w:eastAsia="Cambria"/>
          <w:color w:val="212121"/>
          <w:sz w:val="24"/>
          <w:szCs w:val="24"/>
          <w:shd w:val="clear" w:color="auto" w:fill="FFFFFF"/>
          <w:lang w:val="en-GB"/>
        </w:rPr>
      </w:pPr>
    </w:p>
    <w:p w14:paraId="194F90FA" w14:textId="77777777" w:rsidR="00482974" w:rsidRDefault="00482974">
      <w:pPr>
        <w:jc w:val="both"/>
        <w:rPr>
          <w:rFonts w:eastAsia="Cambria"/>
          <w:color w:val="212121"/>
          <w:sz w:val="24"/>
          <w:szCs w:val="24"/>
          <w:shd w:val="clear" w:color="auto" w:fill="FFFFFF"/>
          <w:lang w:val="en-GB"/>
        </w:rPr>
      </w:pPr>
    </w:p>
    <w:p w14:paraId="591DA7B6" w14:textId="77777777" w:rsidR="00537132" w:rsidRDefault="00537132">
      <w:pPr>
        <w:jc w:val="both"/>
        <w:rPr>
          <w:rFonts w:eastAsia="Cambria"/>
          <w:color w:val="212121"/>
          <w:sz w:val="24"/>
          <w:szCs w:val="24"/>
          <w:shd w:val="clear" w:color="auto" w:fill="FFFFFF"/>
          <w:lang w:val="en-GB"/>
        </w:rPr>
      </w:pPr>
    </w:p>
    <w:p w14:paraId="61B7E062" w14:textId="77777777" w:rsidR="00537132" w:rsidRDefault="006E0463">
      <w:pPr>
        <w:jc w:val="both"/>
        <w:rPr>
          <w:rFonts w:ascii="Times New Roman" w:eastAsia="Cambria" w:hAnsi="Times New Roman" w:cs="Times New Roman"/>
          <w:color w:val="212121"/>
          <w:sz w:val="24"/>
          <w:szCs w:val="24"/>
          <w:shd w:val="clear" w:color="auto" w:fill="FFFFFF"/>
          <w:lang w:val="en-GB"/>
        </w:rPr>
      </w:pPr>
      <w:r>
        <w:rPr>
          <w:rFonts w:ascii="Times New Roman" w:eastAsia="Cambria" w:hAnsi="Times New Roman" w:cs="Times New Roman"/>
          <w:color w:val="212121"/>
          <w:sz w:val="24"/>
          <w:szCs w:val="24"/>
          <w:shd w:val="clear" w:color="auto" w:fill="FFFFFF"/>
          <w:lang w:val="en-GB"/>
        </w:rPr>
        <w:lastRenderedPageBreak/>
        <w:t>Table</w:t>
      </w:r>
      <w:r>
        <w:rPr>
          <w:rFonts w:ascii="Times New Roman" w:eastAsia="Cambria" w:hAnsi="Times New Roman" w:cs="Times New Roman"/>
          <w:color w:val="212121"/>
          <w:sz w:val="24"/>
          <w:szCs w:val="24"/>
          <w:shd w:val="clear" w:color="auto" w:fill="FFFFFF"/>
          <w:lang w:val="de-DE"/>
        </w:rPr>
        <w:t xml:space="preserve"> 4</w:t>
      </w:r>
      <w:r>
        <w:rPr>
          <w:rFonts w:ascii="Times New Roman" w:eastAsia="Cambria" w:hAnsi="Times New Roman" w:cs="Times New Roman"/>
          <w:color w:val="212121"/>
          <w:sz w:val="24"/>
          <w:szCs w:val="24"/>
          <w:shd w:val="clear" w:color="auto" w:fill="FFFFFF"/>
          <w:lang w:val="en-GB"/>
        </w:rPr>
        <w:t xml:space="preserve">: Changes in </w:t>
      </w:r>
      <w:r>
        <w:rPr>
          <w:rFonts w:ascii="Times New Roman" w:eastAsia="Cambria" w:hAnsi="Times New Roman" w:cs="Times New Roman"/>
          <w:color w:val="212121"/>
          <w:sz w:val="24"/>
          <w:szCs w:val="24"/>
          <w:shd w:val="clear" w:color="auto" w:fill="FFFFFF"/>
          <w:lang w:val="de-DE"/>
        </w:rPr>
        <w:t>total organic nitrogen</w:t>
      </w:r>
      <w:r>
        <w:rPr>
          <w:rFonts w:ascii="Times New Roman" w:hAnsi="Times New Roman" w:cs="Times New Roman"/>
          <w:sz w:val="24"/>
          <w:szCs w:val="24"/>
        </w:rPr>
        <w:t xml:space="preserve"> (</w:t>
      </w:r>
      <w:r>
        <w:rPr>
          <w:rFonts w:ascii="Times New Roman" w:hAnsi="Times New Roman" w:cs="Times New Roman"/>
          <w:sz w:val="24"/>
          <w:szCs w:val="24"/>
          <w:lang w:val="de-DE"/>
        </w:rPr>
        <w:t>%</w:t>
      </w:r>
      <w:r>
        <w:rPr>
          <w:rFonts w:ascii="Times New Roman" w:hAnsi="Times New Roman" w:cs="Times New Roman"/>
          <w:sz w:val="24"/>
          <w:szCs w:val="24"/>
        </w:rPr>
        <w:t>)</w:t>
      </w:r>
      <w:r>
        <w:rPr>
          <w:rFonts w:ascii="Times New Roman" w:eastAsia="Cambria" w:hAnsi="Times New Roman" w:cs="Times New Roman"/>
          <w:color w:val="212121"/>
          <w:sz w:val="24"/>
          <w:szCs w:val="24"/>
          <w:shd w:val="clear" w:color="auto" w:fill="FFFFFF"/>
          <w:vertAlign w:val="subscript"/>
          <w:lang w:val="de-DE"/>
        </w:rPr>
        <w:t xml:space="preserve"> </w:t>
      </w:r>
      <w:r>
        <w:rPr>
          <w:rFonts w:ascii="Times New Roman" w:eastAsia="Cambria" w:hAnsi="Times New Roman" w:cs="Times New Roman"/>
          <w:color w:val="212121"/>
          <w:sz w:val="24"/>
          <w:szCs w:val="24"/>
          <w:shd w:val="clear" w:color="auto" w:fill="FFFFFF"/>
          <w:lang w:val="de-DE"/>
        </w:rPr>
        <w:t>o</w:t>
      </w:r>
      <w:r>
        <w:rPr>
          <w:rFonts w:ascii="Times New Roman" w:eastAsia="Cambria" w:hAnsi="Times New Roman" w:cs="Times New Roman"/>
          <w:color w:val="212121"/>
          <w:sz w:val="24"/>
          <w:szCs w:val="24"/>
          <w:shd w:val="clear" w:color="auto" w:fill="FFFFFF"/>
          <w:lang w:val="en-GB"/>
        </w:rPr>
        <w:t>f crude oil contaminated soil during bioremediation using biochar amendments</w:t>
      </w:r>
    </w:p>
    <w:p w14:paraId="662805B0" w14:textId="77777777" w:rsidR="00537132" w:rsidRDefault="00537132">
      <w:pPr>
        <w:jc w:val="both"/>
        <w:rPr>
          <w:rFonts w:eastAsia="Cambria"/>
          <w:b/>
          <w:bCs/>
          <w:color w:val="212121"/>
          <w:sz w:val="24"/>
          <w:szCs w:val="24"/>
          <w:shd w:val="clear" w:color="auto" w:fill="FFFFFF"/>
          <w:lang w:val="en-GB"/>
        </w:rPr>
      </w:pPr>
    </w:p>
    <w:tbl>
      <w:tblPr>
        <w:tblW w:w="9756" w:type="dxa"/>
        <w:tblInd w:w="108" w:type="dxa"/>
        <w:tblBorders>
          <w:top w:val="single" w:sz="4" w:space="0" w:color="auto"/>
          <w:bottom w:val="single" w:sz="4" w:space="0" w:color="auto"/>
        </w:tblBorders>
        <w:tblLook w:val="04A0" w:firstRow="1" w:lastRow="0" w:firstColumn="1" w:lastColumn="0" w:noHBand="0" w:noVBand="1"/>
      </w:tblPr>
      <w:tblGrid>
        <w:gridCol w:w="1137"/>
        <w:gridCol w:w="1376"/>
        <w:gridCol w:w="1377"/>
        <w:gridCol w:w="1377"/>
        <w:gridCol w:w="1377"/>
        <w:gridCol w:w="1423"/>
        <w:gridCol w:w="779"/>
        <w:gridCol w:w="910"/>
      </w:tblGrid>
      <w:tr w:rsidR="00537132" w14:paraId="42BAEA43" w14:textId="77777777">
        <w:trPr>
          <w:trHeight w:val="764"/>
        </w:trPr>
        <w:tc>
          <w:tcPr>
            <w:tcW w:w="1137" w:type="dxa"/>
            <w:tcBorders>
              <w:top w:val="single" w:sz="4" w:space="0" w:color="auto"/>
              <w:bottom w:val="single" w:sz="4" w:space="0" w:color="auto"/>
            </w:tcBorders>
            <w:shd w:val="clear" w:color="auto" w:fill="FFFFFF"/>
            <w:noWrap/>
          </w:tcPr>
          <w:p w14:paraId="286F14F8"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de-DE"/>
              </w:rPr>
              <w:t>Day</w:t>
            </w:r>
          </w:p>
        </w:tc>
        <w:tc>
          <w:tcPr>
            <w:tcW w:w="1376" w:type="dxa"/>
            <w:tcBorders>
              <w:top w:val="single" w:sz="4" w:space="0" w:color="auto"/>
              <w:bottom w:val="single" w:sz="4" w:space="0" w:color="auto"/>
            </w:tcBorders>
            <w:shd w:val="clear" w:color="auto" w:fill="FFFFFF"/>
            <w:noWrap/>
          </w:tcPr>
          <w:p w14:paraId="48843460"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UCS</w:t>
            </w:r>
          </w:p>
        </w:tc>
        <w:tc>
          <w:tcPr>
            <w:tcW w:w="1377" w:type="dxa"/>
            <w:tcBorders>
              <w:top w:val="single" w:sz="4" w:space="0" w:color="auto"/>
              <w:bottom w:val="single" w:sz="4" w:space="0" w:color="auto"/>
            </w:tcBorders>
            <w:shd w:val="clear" w:color="auto" w:fill="FFFFFF"/>
            <w:noWrap/>
          </w:tcPr>
          <w:p w14:paraId="12DA2F41"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CS</w:t>
            </w:r>
          </w:p>
        </w:tc>
        <w:tc>
          <w:tcPr>
            <w:tcW w:w="1377" w:type="dxa"/>
            <w:tcBorders>
              <w:top w:val="single" w:sz="4" w:space="0" w:color="auto"/>
              <w:bottom w:val="single" w:sz="4" w:space="0" w:color="auto"/>
            </w:tcBorders>
            <w:shd w:val="clear" w:color="auto" w:fill="FFFFFF"/>
            <w:noWrap/>
          </w:tcPr>
          <w:p w14:paraId="57538510"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CS + 20%</w:t>
            </w:r>
          </w:p>
          <w:p w14:paraId="3A249659"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BIOCHAR</w:t>
            </w:r>
          </w:p>
        </w:tc>
        <w:tc>
          <w:tcPr>
            <w:tcW w:w="1377" w:type="dxa"/>
            <w:tcBorders>
              <w:top w:val="single" w:sz="4" w:space="0" w:color="auto"/>
              <w:bottom w:val="single" w:sz="4" w:space="0" w:color="auto"/>
            </w:tcBorders>
            <w:shd w:val="clear" w:color="auto" w:fill="FFFFFF"/>
            <w:noWrap/>
          </w:tcPr>
          <w:p w14:paraId="28A89E83"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CS + 60%</w:t>
            </w:r>
          </w:p>
          <w:p w14:paraId="67D5DAAF"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BIOCHAR</w:t>
            </w:r>
          </w:p>
        </w:tc>
        <w:tc>
          <w:tcPr>
            <w:tcW w:w="1423" w:type="dxa"/>
            <w:tcBorders>
              <w:top w:val="single" w:sz="4" w:space="0" w:color="auto"/>
              <w:bottom w:val="single" w:sz="4" w:space="0" w:color="auto"/>
            </w:tcBorders>
            <w:shd w:val="clear" w:color="auto" w:fill="FFFFFF"/>
            <w:noWrap/>
          </w:tcPr>
          <w:p w14:paraId="12335646"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CS+100%</w:t>
            </w:r>
          </w:p>
          <w:p w14:paraId="56818815"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b/>
                <w:bCs/>
                <w:color w:val="212121"/>
                <w:sz w:val="18"/>
                <w:szCs w:val="18"/>
                <w:shd w:val="clear" w:color="auto" w:fill="FFFFFF"/>
                <w:lang w:val="en-GB"/>
              </w:rPr>
              <w:t>BIOCHAR</w:t>
            </w:r>
          </w:p>
        </w:tc>
        <w:tc>
          <w:tcPr>
            <w:tcW w:w="779" w:type="dxa"/>
            <w:tcBorders>
              <w:top w:val="single" w:sz="4" w:space="0" w:color="auto"/>
              <w:bottom w:val="single" w:sz="4" w:space="0" w:color="auto"/>
            </w:tcBorders>
            <w:shd w:val="clear" w:color="auto" w:fill="FFFFFF"/>
          </w:tcPr>
          <w:p w14:paraId="424E6080"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 xml:space="preserve">F-stat </w:t>
            </w:r>
          </w:p>
        </w:tc>
        <w:tc>
          <w:tcPr>
            <w:tcW w:w="910" w:type="dxa"/>
            <w:tcBorders>
              <w:top w:val="single" w:sz="4" w:space="0" w:color="auto"/>
              <w:bottom w:val="single" w:sz="4" w:space="0" w:color="auto"/>
            </w:tcBorders>
            <w:shd w:val="clear" w:color="auto" w:fill="FFFFFF"/>
          </w:tcPr>
          <w:p w14:paraId="53D8E44B" w14:textId="77777777" w:rsidR="00537132" w:rsidRDefault="006E0463">
            <w:pPr>
              <w:pStyle w:val="BodyText"/>
              <w:ind w:right="163"/>
              <w:jc w:val="both"/>
              <w:rPr>
                <w:rFonts w:eastAsia="Cambria"/>
                <w:b/>
                <w:bCs/>
                <w:color w:val="212121"/>
                <w:sz w:val="18"/>
                <w:szCs w:val="18"/>
                <w:shd w:val="clear" w:color="auto" w:fill="FFFFFF"/>
                <w:lang w:val="en-GB"/>
              </w:rPr>
            </w:pPr>
            <w:r>
              <w:rPr>
                <w:rFonts w:eastAsia="Cambria"/>
                <w:b/>
                <w:bCs/>
                <w:color w:val="212121"/>
                <w:sz w:val="18"/>
                <w:szCs w:val="18"/>
                <w:shd w:val="clear" w:color="auto" w:fill="FFFFFF"/>
                <w:lang w:val="en-GB"/>
              </w:rPr>
              <w:t>P-value</w:t>
            </w:r>
          </w:p>
        </w:tc>
      </w:tr>
      <w:tr w:rsidR="00537132" w14:paraId="36952FAF" w14:textId="77777777">
        <w:trPr>
          <w:trHeight w:val="764"/>
        </w:trPr>
        <w:tc>
          <w:tcPr>
            <w:tcW w:w="1137" w:type="dxa"/>
            <w:tcBorders>
              <w:top w:val="single" w:sz="4" w:space="0" w:color="auto"/>
            </w:tcBorders>
            <w:noWrap/>
          </w:tcPr>
          <w:p w14:paraId="17B9DE17"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w:t>
            </w:r>
          </w:p>
        </w:tc>
        <w:tc>
          <w:tcPr>
            <w:tcW w:w="1376" w:type="dxa"/>
            <w:tcBorders>
              <w:top w:val="single" w:sz="4" w:space="0" w:color="auto"/>
            </w:tcBorders>
            <w:noWrap/>
          </w:tcPr>
          <w:p w14:paraId="5089D259"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(0.189–0.192) 0.189 ± 0.021</w:t>
            </w:r>
          </w:p>
        </w:tc>
        <w:tc>
          <w:tcPr>
            <w:tcW w:w="1377" w:type="dxa"/>
            <w:tcBorders>
              <w:top w:val="single" w:sz="4" w:space="0" w:color="auto"/>
            </w:tcBorders>
            <w:noWrap/>
          </w:tcPr>
          <w:p w14:paraId="525790CC"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(0.096–0.098) 0.098 ± 0.014</w:t>
            </w:r>
          </w:p>
        </w:tc>
        <w:tc>
          <w:tcPr>
            <w:tcW w:w="1377" w:type="dxa"/>
            <w:tcBorders>
              <w:top w:val="single" w:sz="4" w:space="0" w:color="auto"/>
            </w:tcBorders>
            <w:noWrap/>
          </w:tcPr>
          <w:p w14:paraId="045AD49B"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(0.236–0.239) 0.239 ± 0.021</w:t>
            </w:r>
          </w:p>
        </w:tc>
        <w:tc>
          <w:tcPr>
            <w:tcW w:w="1377" w:type="dxa"/>
            <w:tcBorders>
              <w:top w:val="single" w:sz="4" w:space="0" w:color="auto"/>
            </w:tcBorders>
            <w:noWrap/>
          </w:tcPr>
          <w:p w14:paraId="2B9AE067"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(0.263–0.266) 0.266 ± 0.021</w:t>
            </w:r>
          </w:p>
        </w:tc>
        <w:tc>
          <w:tcPr>
            <w:tcW w:w="1423" w:type="dxa"/>
            <w:tcBorders>
              <w:top w:val="single" w:sz="4" w:space="0" w:color="auto"/>
            </w:tcBorders>
            <w:noWrap/>
          </w:tcPr>
          <w:p w14:paraId="6F9F9BB1"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 xml:space="preserve">(0.289–0.291) </w:t>
            </w:r>
          </w:p>
          <w:p w14:paraId="5924D20E"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0.291 ± 0.014</w:t>
            </w:r>
          </w:p>
        </w:tc>
        <w:tc>
          <w:tcPr>
            <w:tcW w:w="779" w:type="dxa"/>
            <w:tcBorders>
              <w:top w:val="single" w:sz="4" w:space="0" w:color="auto"/>
            </w:tcBorders>
          </w:tcPr>
          <w:p w14:paraId="749B4D8E"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843.2</w:t>
            </w:r>
          </w:p>
        </w:tc>
        <w:tc>
          <w:tcPr>
            <w:tcW w:w="910" w:type="dxa"/>
            <w:tcBorders>
              <w:top w:val="single" w:sz="4" w:space="0" w:color="auto"/>
            </w:tcBorders>
          </w:tcPr>
          <w:p w14:paraId="04FB4510"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&lt; 0.0001</w:t>
            </w:r>
          </w:p>
        </w:tc>
      </w:tr>
      <w:tr w:rsidR="00537132" w14:paraId="6C9B7850" w14:textId="77777777">
        <w:trPr>
          <w:trHeight w:val="764"/>
        </w:trPr>
        <w:tc>
          <w:tcPr>
            <w:tcW w:w="1137" w:type="dxa"/>
            <w:noWrap/>
          </w:tcPr>
          <w:p w14:paraId="1453213F"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30</w:t>
            </w:r>
          </w:p>
        </w:tc>
        <w:tc>
          <w:tcPr>
            <w:tcW w:w="1376" w:type="dxa"/>
            <w:noWrap/>
          </w:tcPr>
          <w:p w14:paraId="542F2B1A"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(0.185–0.186) 0.185 ± 0.007</w:t>
            </w:r>
          </w:p>
        </w:tc>
        <w:tc>
          <w:tcPr>
            <w:tcW w:w="1377" w:type="dxa"/>
            <w:noWrap/>
          </w:tcPr>
          <w:p w14:paraId="30956DA5"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(0.092–0.094) 0.094 ± 0.014</w:t>
            </w:r>
          </w:p>
        </w:tc>
        <w:tc>
          <w:tcPr>
            <w:tcW w:w="1377" w:type="dxa"/>
            <w:noWrap/>
          </w:tcPr>
          <w:p w14:paraId="6F9C2DAD"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(0.234–0.237) 0.234 ± 0.021</w:t>
            </w:r>
          </w:p>
        </w:tc>
        <w:tc>
          <w:tcPr>
            <w:tcW w:w="1377" w:type="dxa"/>
            <w:noWrap/>
          </w:tcPr>
          <w:p w14:paraId="559144C6"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(0.260–0.262) 0.260 ± 0.014</w:t>
            </w:r>
          </w:p>
        </w:tc>
        <w:tc>
          <w:tcPr>
            <w:tcW w:w="1423" w:type="dxa"/>
            <w:noWrap/>
          </w:tcPr>
          <w:p w14:paraId="410854BE"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 xml:space="preserve">(0.293–0.295) </w:t>
            </w:r>
          </w:p>
          <w:p w14:paraId="77A7DDAE"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0.293 ± 0.014</w:t>
            </w:r>
          </w:p>
        </w:tc>
        <w:tc>
          <w:tcPr>
            <w:tcW w:w="779" w:type="dxa"/>
          </w:tcPr>
          <w:p w14:paraId="7DF0422F"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792.5</w:t>
            </w:r>
          </w:p>
        </w:tc>
        <w:tc>
          <w:tcPr>
            <w:tcW w:w="910" w:type="dxa"/>
          </w:tcPr>
          <w:p w14:paraId="05280D86"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&lt; 0.0001</w:t>
            </w:r>
          </w:p>
        </w:tc>
      </w:tr>
      <w:tr w:rsidR="00537132" w14:paraId="3A193585" w14:textId="77777777">
        <w:trPr>
          <w:trHeight w:val="764"/>
        </w:trPr>
        <w:tc>
          <w:tcPr>
            <w:tcW w:w="1137" w:type="dxa"/>
            <w:noWrap/>
          </w:tcPr>
          <w:p w14:paraId="23637C77"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60</w:t>
            </w:r>
          </w:p>
        </w:tc>
        <w:tc>
          <w:tcPr>
            <w:tcW w:w="1376" w:type="dxa"/>
            <w:noWrap/>
          </w:tcPr>
          <w:p w14:paraId="3AAAAE2F"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(0.180–0.182) 0.182 ± 0.014</w:t>
            </w:r>
          </w:p>
        </w:tc>
        <w:tc>
          <w:tcPr>
            <w:tcW w:w="1377" w:type="dxa"/>
            <w:noWrap/>
          </w:tcPr>
          <w:p w14:paraId="40E90975"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(0.088–0.089) 0.089 ± 0.007</w:t>
            </w:r>
          </w:p>
        </w:tc>
        <w:tc>
          <w:tcPr>
            <w:tcW w:w="1377" w:type="dxa"/>
            <w:noWrap/>
          </w:tcPr>
          <w:p w14:paraId="471C92D0"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(0.224–0.226) 0.224 ± 0.014</w:t>
            </w:r>
          </w:p>
        </w:tc>
        <w:tc>
          <w:tcPr>
            <w:tcW w:w="1377" w:type="dxa"/>
            <w:noWrap/>
          </w:tcPr>
          <w:p w14:paraId="2E391014"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(0.256–0.258) 0.258 ± 0.014</w:t>
            </w:r>
          </w:p>
        </w:tc>
        <w:tc>
          <w:tcPr>
            <w:tcW w:w="1423" w:type="dxa"/>
            <w:noWrap/>
          </w:tcPr>
          <w:p w14:paraId="5E2A92ED"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 xml:space="preserve">(0.294–0.296) </w:t>
            </w:r>
          </w:p>
          <w:p w14:paraId="225368C3"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0.294 ± 0.014</w:t>
            </w:r>
          </w:p>
        </w:tc>
        <w:tc>
          <w:tcPr>
            <w:tcW w:w="779" w:type="dxa"/>
          </w:tcPr>
          <w:p w14:paraId="74E6D26F"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901.3</w:t>
            </w:r>
          </w:p>
        </w:tc>
        <w:tc>
          <w:tcPr>
            <w:tcW w:w="910" w:type="dxa"/>
          </w:tcPr>
          <w:p w14:paraId="5623E51C"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&lt; 0.0001</w:t>
            </w:r>
          </w:p>
        </w:tc>
      </w:tr>
      <w:tr w:rsidR="00537132" w14:paraId="7FB0125F" w14:textId="77777777">
        <w:trPr>
          <w:trHeight w:val="764"/>
        </w:trPr>
        <w:tc>
          <w:tcPr>
            <w:tcW w:w="1137" w:type="dxa"/>
            <w:noWrap/>
          </w:tcPr>
          <w:p w14:paraId="7426FAB1"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90</w:t>
            </w:r>
          </w:p>
        </w:tc>
        <w:tc>
          <w:tcPr>
            <w:tcW w:w="1376" w:type="dxa"/>
            <w:noWrap/>
          </w:tcPr>
          <w:p w14:paraId="166C4E2A"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(0.246–0.249) 0.246 ± 0.021</w:t>
            </w:r>
          </w:p>
        </w:tc>
        <w:tc>
          <w:tcPr>
            <w:tcW w:w="1377" w:type="dxa"/>
            <w:noWrap/>
          </w:tcPr>
          <w:p w14:paraId="53FF7075"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(0.060–0.061) 0.061 ± 0.007</w:t>
            </w:r>
          </w:p>
        </w:tc>
        <w:tc>
          <w:tcPr>
            <w:tcW w:w="1377" w:type="dxa"/>
            <w:noWrap/>
          </w:tcPr>
          <w:p w14:paraId="098A121F"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(0.270–0.273) 0.273 ± 0.021</w:t>
            </w:r>
          </w:p>
        </w:tc>
        <w:tc>
          <w:tcPr>
            <w:tcW w:w="1377" w:type="dxa"/>
            <w:noWrap/>
          </w:tcPr>
          <w:p w14:paraId="10E5EC08"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(0.283–0.285) 0.283 ± 0.014</w:t>
            </w:r>
          </w:p>
        </w:tc>
        <w:tc>
          <w:tcPr>
            <w:tcW w:w="1423" w:type="dxa"/>
            <w:noWrap/>
          </w:tcPr>
          <w:p w14:paraId="5F9CAE4B"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 xml:space="preserve">(0.295–0.297) </w:t>
            </w:r>
          </w:p>
          <w:p w14:paraId="18D766B7"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0.297 ± 0.014</w:t>
            </w:r>
          </w:p>
        </w:tc>
        <w:tc>
          <w:tcPr>
            <w:tcW w:w="779" w:type="dxa"/>
          </w:tcPr>
          <w:p w14:paraId="1A8C2A70"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1124.7</w:t>
            </w:r>
          </w:p>
        </w:tc>
        <w:tc>
          <w:tcPr>
            <w:tcW w:w="910" w:type="dxa"/>
          </w:tcPr>
          <w:p w14:paraId="0E44C7C2" w14:textId="77777777" w:rsidR="00537132" w:rsidRDefault="006E0463">
            <w:pPr>
              <w:jc w:val="both"/>
              <w:rPr>
                <w:rFonts w:ascii="Times New Roman" w:eastAsia="Cambria" w:hAnsi="Times New Roman" w:cs="Times New Roman"/>
                <w:color w:val="212121"/>
                <w:sz w:val="16"/>
                <w:szCs w:val="16"/>
                <w:shd w:val="clear" w:color="auto" w:fill="FFFFFF"/>
              </w:rPr>
            </w:pPr>
            <w:r>
              <w:rPr>
                <w:rFonts w:ascii="Times New Roman" w:hAnsi="Times New Roman" w:cs="Times New Roman"/>
                <w:sz w:val="16"/>
                <w:szCs w:val="16"/>
              </w:rPr>
              <w:t>&lt; 0.0001</w:t>
            </w:r>
          </w:p>
        </w:tc>
      </w:tr>
      <w:tr w:rsidR="00537132" w14:paraId="3C8A1E52" w14:textId="77777777">
        <w:trPr>
          <w:trHeight w:val="764"/>
        </w:trPr>
        <w:tc>
          <w:tcPr>
            <w:tcW w:w="1137" w:type="dxa"/>
            <w:noWrap/>
          </w:tcPr>
          <w:p w14:paraId="20BDCFDC" w14:textId="77777777" w:rsidR="00537132" w:rsidRDefault="006E0463">
            <w:pPr>
              <w:jc w:val="both"/>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FAO/UCDA Limit</w:t>
            </w:r>
          </w:p>
        </w:tc>
        <w:tc>
          <w:tcPr>
            <w:tcW w:w="6930" w:type="dxa"/>
            <w:gridSpan w:val="5"/>
            <w:noWrap/>
          </w:tcPr>
          <w:p w14:paraId="2CDBDC73" w14:textId="77777777" w:rsidR="00537132" w:rsidRDefault="006E0463">
            <w:pPr>
              <w:jc w:val="center"/>
              <w:rPr>
                <w:rFonts w:ascii="Times New Roman" w:eastAsia="Cambria" w:hAnsi="Times New Roman" w:cs="Times New Roman"/>
                <w:color w:val="212121"/>
                <w:sz w:val="18"/>
                <w:szCs w:val="18"/>
                <w:shd w:val="clear" w:color="auto" w:fill="FFFFFF"/>
              </w:rPr>
            </w:pPr>
            <w:r>
              <w:rPr>
                <w:rFonts w:ascii="Times New Roman" w:eastAsia="Cambria" w:hAnsi="Times New Roman" w:cs="Times New Roman"/>
                <w:color w:val="212121"/>
                <w:sz w:val="18"/>
                <w:szCs w:val="18"/>
                <w:shd w:val="clear" w:color="auto" w:fill="FFFFFF"/>
              </w:rPr>
              <w:t>0.10 to 0.50 %</w:t>
            </w:r>
          </w:p>
        </w:tc>
        <w:tc>
          <w:tcPr>
            <w:tcW w:w="779" w:type="dxa"/>
          </w:tcPr>
          <w:p w14:paraId="09A50418" w14:textId="77777777" w:rsidR="00537132" w:rsidRDefault="00537132">
            <w:pPr>
              <w:jc w:val="both"/>
              <w:rPr>
                <w:rFonts w:ascii="Times New Roman" w:hAnsi="Times New Roman" w:cs="Times New Roman"/>
                <w:sz w:val="16"/>
                <w:szCs w:val="16"/>
              </w:rPr>
            </w:pPr>
          </w:p>
        </w:tc>
        <w:tc>
          <w:tcPr>
            <w:tcW w:w="910" w:type="dxa"/>
          </w:tcPr>
          <w:p w14:paraId="1A9AB7CE" w14:textId="77777777" w:rsidR="00537132" w:rsidRDefault="00537132">
            <w:pPr>
              <w:jc w:val="both"/>
              <w:rPr>
                <w:rFonts w:ascii="Times New Roman" w:hAnsi="Times New Roman" w:cs="Times New Roman"/>
                <w:sz w:val="16"/>
                <w:szCs w:val="16"/>
              </w:rPr>
            </w:pPr>
          </w:p>
        </w:tc>
      </w:tr>
    </w:tbl>
    <w:p w14:paraId="19BA0A61" w14:textId="77777777" w:rsidR="00537132" w:rsidRDefault="00537132">
      <w:pPr>
        <w:jc w:val="both"/>
        <w:rPr>
          <w:rFonts w:eastAsia="Cambria"/>
          <w:b/>
          <w:bCs/>
          <w:color w:val="212121"/>
          <w:sz w:val="24"/>
          <w:szCs w:val="24"/>
          <w:shd w:val="clear" w:color="auto" w:fill="FFFFFF"/>
          <w:lang w:val="en-GB"/>
        </w:rPr>
      </w:pPr>
    </w:p>
    <w:p w14:paraId="112CF5DF" w14:textId="77777777" w:rsidR="00537132" w:rsidRDefault="00537132">
      <w:pPr>
        <w:jc w:val="both"/>
        <w:rPr>
          <w:rFonts w:eastAsia="Cambria"/>
          <w:b/>
          <w:bCs/>
          <w:color w:val="212121"/>
          <w:sz w:val="24"/>
          <w:szCs w:val="24"/>
          <w:shd w:val="clear" w:color="auto" w:fill="FFFFFF"/>
          <w:lang w:val="en-GB"/>
        </w:rPr>
      </w:pPr>
    </w:p>
    <w:p w14:paraId="04E11C32" w14:textId="77777777" w:rsidR="00537132" w:rsidRDefault="00537132">
      <w:pPr>
        <w:jc w:val="both"/>
        <w:rPr>
          <w:rFonts w:eastAsia="Cambria"/>
          <w:b/>
          <w:bCs/>
          <w:color w:val="212121"/>
          <w:sz w:val="24"/>
          <w:szCs w:val="24"/>
          <w:shd w:val="clear" w:color="auto" w:fill="FFFFFF"/>
          <w:lang w:val="en-GB"/>
        </w:rPr>
      </w:pPr>
    </w:p>
    <w:p w14:paraId="4B0355C6" w14:textId="77777777" w:rsidR="00537132" w:rsidRDefault="00537132">
      <w:pPr>
        <w:jc w:val="both"/>
        <w:rPr>
          <w:rFonts w:eastAsia="Cambria"/>
          <w:b/>
          <w:bCs/>
          <w:color w:val="212121"/>
          <w:sz w:val="24"/>
          <w:szCs w:val="24"/>
          <w:shd w:val="clear" w:color="auto" w:fill="FFFFFF"/>
          <w:lang w:val="en-GB"/>
        </w:rPr>
      </w:pPr>
    </w:p>
    <w:p w14:paraId="59FE5BD4" w14:textId="77777777" w:rsidR="00537132" w:rsidRDefault="00537132">
      <w:pPr>
        <w:jc w:val="both"/>
        <w:rPr>
          <w:rFonts w:eastAsia="Cambria"/>
          <w:b/>
          <w:bCs/>
          <w:color w:val="212121"/>
          <w:sz w:val="24"/>
          <w:szCs w:val="24"/>
          <w:shd w:val="clear" w:color="auto" w:fill="FFFFFF"/>
          <w:lang w:val="en-GB"/>
        </w:rPr>
      </w:pPr>
    </w:p>
    <w:p w14:paraId="0E15B820" w14:textId="77777777" w:rsidR="00537132" w:rsidRDefault="00537132">
      <w:pPr>
        <w:jc w:val="both"/>
        <w:rPr>
          <w:rFonts w:eastAsia="Cambria"/>
          <w:b/>
          <w:bCs/>
          <w:color w:val="212121"/>
          <w:sz w:val="24"/>
          <w:szCs w:val="24"/>
          <w:shd w:val="clear" w:color="auto" w:fill="FFFFFF"/>
          <w:lang w:val="en-GB"/>
        </w:rPr>
      </w:pPr>
    </w:p>
    <w:p w14:paraId="72454A83" w14:textId="77777777" w:rsidR="00537132" w:rsidRDefault="00537132">
      <w:pPr>
        <w:jc w:val="both"/>
        <w:rPr>
          <w:rFonts w:eastAsia="Cambria"/>
          <w:b/>
          <w:bCs/>
          <w:color w:val="212121"/>
          <w:sz w:val="24"/>
          <w:szCs w:val="24"/>
          <w:shd w:val="clear" w:color="auto" w:fill="FFFFFF"/>
          <w:lang w:val="en-GB"/>
        </w:rPr>
      </w:pPr>
    </w:p>
    <w:p w14:paraId="674867D8" w14:textId="77777777" w:rsidR="00537132" w:rsidRDefault="00537132">
      <w:pPr>
        <w:jc w:val="both"/>
        <w:rPr>
          <w:rFonts w:eastAsia="Cambria"/>
          <w:b/>
          <w:bCs/>
          <w:color w:val="212121"/>
          <w:sz w:val="24"/>
          <w:szCs w:val="24"/>
          <w:shd w:val="clear" w:color="auto" w:fill="FFFFFF"/>
          <w:lang w:val="en-GB"/>
        </w:rPr>
      </w:pPr>
    </w:p>
    <w:p w14:paraId="5FC4A4CE" w14:textId="77777777" w:rsidR="00537132" w:rsidRDefault="00537132">
      <w:pPr>
        <w:jc w:val="both"/>
        <w:rPr>
          <w:rFonts w:eastAsia="Cambria"/>
          <w:b/>
          <w:bCs/>
          <w:color w:val="212121"/>
          <w:sz w:val="24"/>
          <w:szCs w:val="24"/>
          <w:shd w:val="clear" w:color="auto" w:fill="FFFFFF"/>
          <w:lang w:val="en-GB"/>
        </w:rPr>
      </w:pPr>
    </w:p>
    <w:p w14:paraId="15F35CCA" w14:textId="77777777" w:rsidR="00537132" w:rsidRDefault="00537132">
      <w:pPr>
        <w:jc w:val="both"/>
        <w:rPr>
          <w:rFonts w:eastAsia="Cambria"/>
          <w:b/>
          <w:bCs/>
          <w:color w:val="212121"/>
          <w:sz w:val="24"/>
          <w:szCs w:val="24"/>
          <w:shd w:val="clear" w:color="auto" w:fill="FFFFFF"/>
          <w:lang w:val="en-GB"/>
        </w:rPr>
      </w:pPr>
    </w:p>
    <w:p w14:paraId="343B5EB7" w14:textId="77777777" w:rsidR="00537132" w:rsidRDefault="00537132">
      <w:pPr>
        <w:jc w:val="both"/>
        <w:rPr>
          <w:rFonts w:eastAsia="Cambria"/>
          <w:b/>
          <w:bCs/>
          <w:color w:val="212121"/>
          <w:sz w:val="24"/>
          <w:szCs w:val="24"/>
          <w:shd w:val="clear" w:color="auto" w:fill="FFFFFF"/>
          <w:lang w:val="en-GB"/>
        </w:rPr>
      </w:pPr>
    </w:p>
    <w:p w14:paraId="64AD6832" w14:textId="77777777" w:rsidR="00537132" w:rsidRDefault="00537132">
      <w:pPr>
        <w:jc w:val="both"/>
        <w:rPr>
          <w:rFonts w:eastAsia="Cambria"/>
          <w:b/>
          <w:bCs/>
          <w:color w:val="212121"/>
          <w:sz w:val="24"/>
          <w:szCs w:val="24"/>
          <w:shd w:val="clear" w:color="auto" w:fill="FFFFFF"/>
          <w:lang w:val="en-GB"/>
        </w:rPr>
      </w:pPr>
    </w:p>
    <w:p w14:paraId="6B833E92" w14:textId="77777777" w:rsidR="00537132" w:rsidRDefault="00537132">
      <w:pPr>
        <w:jc w:val="both"/>
        <w:rPr>
          <w:rFonts w:eastAsia="Cambria"/>
          <w:b/>
          <w:bCs/>
          <w:color w:val="212121"/>
          <w:sz w:val="24"/>
          <w:szCs w:val="24"/>
          <w:shd w:val="clear" w:color="auto" w:fill="FFFFFF"/>
          <w:lang w:val="en-GB"/>
        </w:rPr>
      </w:pPr>
    </w:p>
    <w:p w14:paraId="25046346" w14:textId="77777777" w:rsidR="00537132" w:rsidRDefault="006E0463">
      <w:pPr>
        <w:jc w:val="center"/>
        <w:rPr>
          <w:rFonts w:eastAsia="Cambria"/>
          <w:b/>
          <w:bCs/>
          <w:color w:val="212121"/>
          <w:sz w:val="24"/>
          <w:szCs w:val="24"/>
          <w:shd w:val="clear" w:color="auto" w:fill="FFFFFF"/>
          <w:lang w:val="en-GB"/>
        </w:rPr>
      </w:pPr>
      <w:r>
        <w:rPr>
          <w:noProof/>
        </w:rPr>
        <w:lastRenderedPageBreak/>
        <w:drawing>
          <wp:inline distT="0" distB="0" distL="0" distR="0" wp14:anchorId="2A401150" wp14:editId="76E4E8A0">
            <wp:extent cx="5080000" cy="3130550"/>
            <wp:effectExtent l="4445" t="4445" r="20955" b="825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4612E33" w14:textId="77777777" w:rsidR="00537132" w:rsidRDefault="00537132">
      <w:pPr>
        <w:jc w:val="both"/>
        <w:rPr>
          <w:rFonts w:eastAsia="Cambria"/>
          <w:b/>
          <w:bCs/>
          <w:color w:val="212121"/>
          <w:sz w:val="24"/>
          <w:szCs w:val="24"/>
          <w:shd w:val="clear" w:color="auto" w:fill="FFFFFF"/>
          <w:lang w:val="en-GB"/>
        </w:rPr>
      </w:pPr>
    </w:p>
    <w:p w14:paraId="0F363618" w14:textId="68D42B5D" w:rsidR="00537132" w:rsidRDefault="006E0463">
      <w:pPr>
        <w:jc w:val="both"/>
        <w:rPr>
          <w:rFonts w:ascii="Times New Roman" w:eastAsia="Cambria" w:hAnsi="Times New Roman" w:cs="Times New Roman"/>
          <w:b/>
          <w:bCs/>
          <w:color w:val="212121"/>
          <w:sz w:val="24"/>
          <w:szCs w:val="24"/>
          <w:shd w:val="clear" w:color="auto" w:fill="FFFFFF"/>
          <w:lang w:val="en-GB"/>
        </w:rPr>
      </w:pPr>
      <w:r>
        <w:rPr>
          <w:rFonts w:ascii="Times New Roman" w:eastAsia="Cambria" w:hAnsi="Times New Roman" w:cs="Times New Roman"/>
          <w:color w:val="212121"/>
          <w:sz w:val="24"/>
          <w:szCs w:val="24"/>
          <w:shd w:val="clear" w:color="auto" w:fill="FFFFFF"/>
          <w:lang w:val="en-GB"/>
        </w:rPr>
        <w:t xml:space="preserve">Figure </w:t>
      </w:r>
      <w:r w:rsidR="00323272">
        <w:rPr>
          <w:rFonts w:ascii="Times New Roman" w:eastAsia="Cambria" w:hAnsi="Times New Roman" w:cs="Times New Roman"/>
          <w:color w:val="212121"/>
          <w:sz w:val="24"/>
          <w:szCs w:val="24"/>
          <w:shd w:val="clear" w:color="auto" w:fill="FFFFFF"/>
          <w:lang w:val="en-GB"/>
        </w:rPr>
        <w:t>4</w:t>
      </w:r>
      <w:r>
        <w:rPr>
          <w:rFonts w:ascii="Times New Roman" w:eastAsia="Cambria" w:hAnsi="Times New Roman" w:cs="Times New Roman"/>
          <w:color w:val="212121"/>
          <w:sz w:val="24"/>
          <w:szCs w:val="24"/>
          <w:shd w:val="clear" w:color="auto" w:fill="FFFFFF"/>
          <w:lang w:val="en-GB"/>
        </w:rPr>
        <w:t>: Changes in TON during 90-day bioremediation using biochar amendment</w:t>
      </w:r>
    </w:p>
    <w:p w14:paraId="2DC5E8D9" w14:textId="77777777" w:rsidR="00537132" w:rsidRDefault="0053713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1C82942B" w14:textId="77777777" w:rsidR="00537132" w:rsidRDefault="006E0463">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increase in TON likely results from biochar's ability to stabilize organic nitrogen and enhance microbial activity, which collectively reduce nitrogen losses due to volatilization or leaching in polluted soils (Guo et al., 2020).</w:t>
      </w:r>
    </w:p>
    <w:p w14:paraId="587AE619" w14:textId="77777777" w:rsidR="00537132" w:rsidRDefault="00537132">
      <w:pPr>
        <w:spacing w:before="100" w:beforeAutospacing="1" w:after="100" w:afterAutospacing="1" w:line="480" w:lineRule="auto"/>
        <w:jc w:val="both"/>
        <w:rPr>
          <w:rFonts w:ascii="Times New Roman" w:eastAsia="Times New Roman" w:hAnsi="Times New Roman" w:cs="Times New Roman"/>
          <w:kern w:val="0"/>
          <w:sz w:val="24"/>
          <w:szCs w:val="24"/>
          <w14:ligatures w14:val="none"/>
        </w:rPr>
      </w:pPr>
    </w:p>
    <w:p w14:paraId="7DDA3AEC"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38137AE1"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5E5DC90D"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4EF6E438"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709E12C8"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7B4365B5" w14:textId="77777777"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63A1D60D" w14:textId="5E604D54" w:rsidR="00537132" w:rsidRDefault="00537132">
      <w:pPr>
        <w:spacing w:before="100" w:beforeAutospacing="1" w:after="100" w:afterAutospacing="1" w:line="360" w:lineRule="auto"/>
        <w:outlineLvl w:val="2"/>
        <w:rPr>
          <w:rFonts w:ascii="Times New Roman" w:eastAsia="Times New Roman" w:hAnsi="Times New Roman" w:cs="Times New Roman"/>
          <w:b/>
          <w:bCs/>
          <w:color w:val="000000" w:themeColor="text1"/>
          <w:kern w:val="0"/>
          <w:sz w:val="24"/>
          <w:szCs w:val="24"/>
          <w14:ligatures w14:val="none"/>
        </w:rPr>
      </w:pPr>
    </w:p>
    <w:p w14:paraId="529D8FF5" w14:textId="6A94DF34" w:rsidR="00537132" w:rsidRDefault="00323272">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3.5 Soil pH and Its Role in Bioremediation</w:t>
      </w:r>
    </w:p>
    <w:p w14:paraId="01A87EAD"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results of the one-way ANOVA demonstrate a statistically significant impact of biochar amendments on soil pH across all treatment systems and time points. The significant differences (p &lt; 0.05) in soil pH among the uncontaminated soil (UCS), contaminated soil (CS), and biochar-amended soils (CS + varying levels of biochar) at each time point (Day 0, 30, 60, and 90) suggest that biochar application had a profound influence on soil pH dynamics. </w:t>
      </w:r>
    </w:p>
    <w:p w14:paraId="38107011"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highly significant effect of biochar treatment on soil pH over the full duration of the study (F = 15.86, p &lt; 0.000001) further reemphasizes the importance of biochar in altering soil </w:t>
      </w:r>
      <w:proofErr w:type="spellStart"/>
      <w:r>
        <w:rPr>
          <w:rFonts w:ascii="Times New Roman" w:hAnsi="Times New Roman" w:cs="Times New Roman"/>
          <w:color w:val="000000" w:themeColor="text1"/>
          <w:sz w:val="24"/>
          <w:szCs w:val="24"/>
        </w:rPr>
        <w:t>pH.</w:t>
      </w:r>
      <w:proofErr w:type="spellEnd"/>
      <w:r>
        <w:rPr>
          <w:rFonts w:ascii="Times New Roman" w:hAnsi="Times New Roman" w:cs="Times New Roman"/>
          <w:color w:val="000000" w:themeColor="text1"/>
          <w:sz w:val="24"/>
          <w:szCs w:val="24"/>
        </w:rPr>
        <w:t xml:space="preserve"> This finding implies that the changes in soil pH observed in the biochar-amended soils were not due to random variation, but rather a direct result of the biochar treatment.</w:t>
      </w:r>
    </w:p>
    <w:p w14:paraId="69A7FF03"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These results are consistent with previous studies that have reported significant changes in soil pH following biochar application. The observed increase in soil pH in biochar-amended soils can be attributed to the alkaline nature of biochar, which can neutralize soil acidity and improve soil fertility. The significant impact of biochar on soil pH has important implications for soil health and microbial activity. A stable and optimal soil pH can support microbial growth and activity, which is essential for nutrient cycling and degradation of contaminants. The findings of this study suggest that biochar amendments can play a critical role in improving soil health and promoting sustainable ecosystem services. The progressive alteration of soil pH observed over the 90-day bioremediation period, as illustrated in the table and figure, offers compelling evidence of biochar’s significant role in ameliorating crude oil-induced soil acidification. Crude oil contamination typically drives soil pH downward through the accumulation of organic acids and toxic metabolites generated by microbial degradation of hydrocarbons (</w:t>
      </w:r>
      <w:proofErr w:type="spellStart"/>
      <w:r>
        <w:rPr>
          <w:rFonts w:ascii="Times New Roman" w:hAnsi="Times New Roman" w:cs="Times New Roman"/>
          <w:color w:val="000000" w:themeColor="text1"/>
          <w:sz w:val="24"/>
          <w:szCs w:val="24"/>
        </w:rPr>
        <w:t>Kapahi</w:t>
      </w:r>
      <w:proofErr w:type="spellEnd"/>
      <w:r>
        <w:rPr>
          <w:rFonts w:ascii="Times New Roman" w:hAnsi="Times New Roman" w:cs="Times New Roman"/>
          <w:color w:val="000000" w:themeColor="text1"/>
          <w:sz w:val="24"/>
          <w:szCs w:val="24"/>
        </w:rPr>
        <w:t xml:space="preserve"> &amp; Sachdeva, 2019). This phenomenon was clearly evident in the unamended crude oil-contaminated soil (CS), which showed a persistently low pH, starting from 4.95 ± 0.01 and only marginally increasing to 5.91 ± 0.01 by Day 90. A similar pH trend was also seen in the uncontaminated soil (UCS), with minimal pH fluctuation throughout the remediation period, suggesting limited buffering capacity in the absence of amendments. However, the introduction of biochar, especially at higher amendment levels elicited pronounced improvements in soil pH, demonstrating its potent liming and buffering properties. The CS + 100% </w:t>
      </w:r>
      <w:r>
        <w:rPr>
          <w:rFonts w:ascii="Times New Roman" w:hAnsi="Times New Roman" w:cs="Times New Roman"/>
          <w:color w:val="000000" w:themeColor="text1"/>
          <w:sz w:val="24"/>
          <w:szCs w:val="24"/>
        </w:rPr>
        <w:lastRenderedPageBreak/>
        <w:t>biochar treatment, which registered a substantial pH increase from 6.07 ± 0.01 at Day 0 to 7.51 ± 0.01 by Day 90, clearly transitioned the soil environment from moderately acidic to slightly alkaline. This is particularly notable as it aligns precisely with the FAO/USDA-NRCS recommended optimal soil pH range of 6.0–7.5, indicating restoration of agronomically favorable conditions. The CS + 60% biochar and CS + 20% biochar treatments also demonstrated substantial improvements, with final pH values of 7.29 ± 0.01 and 6.82 ± 0.01, respectively, all falling within or near the target agronomic range. These results align with the physicochemical attributes of the applied biochar, particularly its high calcium carbonate (</w:t>
      </w:r>
      <w:proofErr w:type="spellStart"/>
      <w:r>
        <w:rPr>
          <w:rFonts w:ascii="Times New Roman" w:hAnsi="Times New Roman" w:cs="Times New Roman"/>
          <w:color w:val="000000" w:themeColor="text1"/>
          <w:sz w:val="24"/>
          <w:szCs w:val="24"/>
        </w:rPr>
        <w:t>CaCO</w:t>
      </w:r>
      <w:proofErr w:type="spellEnd"/>
      <w:r>
        <w:rPr>
          <w:rFonts w:ascii="Times New Roman" w:hAnsi="Times New Roman" w:cs="Times New Roman"/>
          <w:color w:val="000000" w:themeColor="text1"/>
          <w:sz w:val="24"/>
          <w:szCs w:val="24"/>
        </w:rPr>
        <w:t xml:space="preserve">₃) content and alkaline pH (11.3 in bone biochar), which are known to contribute to its liming effect. </w:t>
      </w:r>
    </w:p>
    <w:p w14:paraId="6CEEFC4A"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increase in pH across the biochar-treated soils supports the findings of </w:t>
      </w:r>
      <w:proofErr w:type="spellStart"/>
      <w:r>
        <w:rPr>
          <w:rFonts w:ascii="Times New Roman" w:hAnsi="Times New Roman" w:cs="Times New Roman"/>
          <w:color w:val="000000" w:themeColor="text1"/>
          <w:sz w:val="24"/>
          <w:szCs w:val="24"/>
        </w:rPr>
        <w:t>Okareh</w:t>
      </w:r>
      <w:proofErr w:type="spellEnd"/>
      <w:r>
        <w:rPr>
          <w:rFonts w:ascii="Times New Roman" w:hAnsi="Times New Roman" w:cs="Times New Roman"/>
          <w:color w:val="000000" w:themeColor="text1"/>
          <w:sz w:val="24"/>
          <w:szCs w:val="24"/>
        </w:rPr>
        <w:t xml:space="preserve"> and Gbadebo (2020), who reported significant pH elevation in petroleum-contaminated soils treated with bone-derived biochar in southwestern Nigeria. Similar results were observed by Abbas et al. (2020) in Pakistan, where poultry litter biochar significantly raised the pH of contaminated soils from acidic levels to near-neutral ranges, enhancing microbial respiration and contaminant degradation. The soil pH elevation observed in this study has several critical implications for remediation efficacy and soil ecological recovery. First, increasing pH improves the bioavailability of essential nutrients such as nitrogen and phosphorus, while concurrently decreasing the solubility and mobility of toxic heavy metals such as cadmium and lead (</w:t>
      </w:r>
      <w:proofErr w:type="spellStart"/>
      <w:r>
        <w:rPr>
          <w:rFonts w:ascii="Times New Roman" w:hAnsi="Times New Roman" w:cs="Times New Roman"/>
          <w:color w:val="000000" w:themeColor="text1"/>
          <w:sz w:val="24"/>
          <w:szCs w:val="24"/>
        </w:rPr>
        <w:t>Lusiba</w:t>
      </w:r>
      <w:proofErr w:type="spellEnd"/>
      <w:r>
        <w:rPr>
          <w:rFonts w:ascii="Times New Roman" w:hAnsi="Times New Roman" w:cs="Times New Roman"/>
          <w:color w:val="000000" w:themeColor="text1"/>
          <w:sz w:val="24"/>
          <w:szCs w:val="24"/>
        </w:rPr>
        <w:t xml:space="preserve"> et al., 2017; Ahmad et al., 2014). This dual effect facilitates microbial detoxification and plant nutrient uptake crucial in the recovery of oil-polluted farmlands in regions like the Niger Delta. Thus, enhanced pH fosters microbial colonization by creating a hospitable environment for diverse microbial populations involved in hydrocarbon degradation. Liu et al. (2022) observed that bacterial activity and biomass increase significantly in soils within a pH range of 3.7 to 7.7, which includes the final pH ranges recorded for the CS + 60% and CS + 100% treatments. In our study, the biochar-amended soils not only reached these optimal microbial pH thresholds but maintained them stably through the 90-day period, suggesting a sustained ecological benefit. Comparatively, other studies have reported varying outcomes. For instance, </w:t>
      </w:r>
      <w:proofErr w:type="spellStart"/>
      <w:r>
        <w:rPr>
          <w:rFonts w:ascii="Times New Roman" w:hAnsi="Times New Roman" w:cs="Times New Roman"/>
          <w:color w:val="000000" w:themeColor="text1"/>
          <w:sz w:val="24"/>
          <w:szCs w:val="24"/>
        </w:rPr>
        <w:t>Onwubuya</w:t>
      </w:r>
      <w:proofErr w:type="spellEnd"/>
      <w:r>
        <w:rPr>
          <w:rFonts w:ascii="Times New Roman" w:hAnsi="Times New Roman" w:cs="Times New Roman"/>
          <w:color w:val="000000" w:themeColor="text1"/>
          <w:sz w:val="24"/>
          <w:szCs w:val="24"/>
        </w:rPr>
        <w:t xml:space="preserve"> et al. (2021) noted lower pH recovery (maximum of 6.4) in oil-contaminated soils treated with cassava peel biochar in Bayelsa State, indicating that the liming efficiency of biochar may depend heavily on its feedstock composition and pyrolysis conditions. Conversely, Zhang et al. (2013) reported higher final pH values (&gt;8.0) using rice husk biochar in alkaline-prone </w:t>
      </w:r>
      <w:r>
        <w:rPr>
          <w:rFonts w:ascii="Times New Roman" w:hAnsi="Times New Roman" w:cs="Times New Roman"/>
          <w:color w:val="000000" w:themeColor="text1"/>
          <w:sz w:val="24"/>
          <w:szCs w:val="24"/>
        </w:rPr>
        <w:lastRenderedPageBreak/>
        <w:t>soils of northern China, which may not be agronomically suitable for all crops, hence emphasizing the importance of tailoring amendment strategies to local soil chemistry.</w:t>
      </w:r>
    </w:p>
    <w:p w14:paraId="275199CC"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contrast, the crude oil-contaminated control soil (CS), which showed only a modest increase from 4.95 to 5.91, remained outside the FAO-recommended range throughout the study. This emphasizes the limited capacity of natural attenuation to restore soil pH within a practical remediation timeframe, especially in severely impacted soils. The implication is clear: without external intervention, such as biochar application, crude oil contamination perpetuates acidity, hinders microbial function, and delays ecosystem restoration. The results confirm that biochar application significantly improves soil pH during bioremediation, with higher amendment levels achieving pH values that meet or exceed FAO/USDA standards for healthy soil function. These findings, when contextualized within national and international studies, reinforce the suitability of bone-derived biochar as an effective and environmentally safe strategy for remediating acidic, hydrocarbon-impacted soils, particularly in vulnerable ecosystems such as the Niger Delta.</w:t>
      </w:r>
    </w:p>
    <w:p w14:paraId="0085E4C8" w14:textId="37AE28BF" w:rsidR="00537132" w:rsidRDefault="00323272">
      <w:pPr>
        <w:spacing w:before="24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3.6 Nitrate Dynamics and Enhanced Nitrogen Cycling</w:t>
      </w:r>
    </w:p>
    <w:p w14:paraId="2BA66C94"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results nitrate (NO</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presented in the table and figure demonstrate the pivotal role of biochar in enhancing NO</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vertAlign w:val="superscript"/>
        </w:rPr>
        <w:t>-</w:t>
      </w:r>
      <w:r>
        <w:rPr>
          <w:rFonts w:ascii="Times New Roman" w:hAnsi="Times New Roman" w:cs="Times New Roman"/>
          <w:color w:val="000000" w:themeColor="text1"/>
          <w:sz w:val="24"/>
          <w:szCs w:val="24"/>
        </w:rPr>
        <w:t xml:space="preserve"> dynamics during the bioremediation of crude oil-contaminated soils. The nitrate concentrations exhibited distinct, dose-dependent transformations across the 90-day remediation period, highlighting the </w:t>
      </w:r>
      <w:proofErr w:type="spellStart"/>
      <w:r>
        <w:rPr>
          <w:rFonts w:ascii="Times New Roman" w:hAnsi="Times New Roman" w:cs="Times New Roman"/>
          <w:color w:val="000000" w:themeColor="text1"/>
          <w:sz w:val="24"/>
          <w:szCs w:val="24"/>
        </w:rPr>
        <w:t>biostimulatory</w:t>
      </w:r>
      <w:proofErr w:type="spellEnd"/>
      <w:r>
        <w:rPr>
          <w:rFonts w:ascii="Times New Roman" w:hAnsi="Times New Roman" w:cs="Times New Roman"/>
          <w:color w:val="000000" w:themeColor="text1"/>
          <w:sz w:val="24"/>
          <w:szCs w:val="24"/>
        </w:rPr>
        <w:t xml:space="preserve"> capacity of biochar in reviving nitrogen-transforming microbial communities suppressed by petroleum hydrocarbons. At the commencement of the study, uncontaminated soil (UCS) maintained a nitrate concentration of 19.00 ± 0.007 mg/kg, indicative of active native nitrification and an unimpeded nitrogen cycle. In contrast, the crude oil-contaminated soil (CS) revealed a drastically diminished nitrate level of just 2.40 ± 0.007 mg/kg, aligning with the understanding that crude oil contamination impairs microbial nitrifiers. </w:t>
      </w:r>
    </w:p>
    <w:p w14:paraId="2AA02BC8"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application of biochar drastically altered this trajectory, with nitrate levels in biochar-treated soils markedly elevated from the outset. The CS+100% biochar treatment had a nitrate level of 33.60 ± 0.007 mg/kg, while CS+60% and CS+20% had levels of 31.80 ± 0.021 mg/kg and 27.60 ± 0.014 mg/kg, respectively. These values are well above the FAO/USDA-NRCS acceptable range of 0.1–2.5 mg/kg for nitrate in agricultural soils, signifying a highly beneficial recovery of nitrogen cycling processes under bioremediation conditions. Throughout the 90-day remediation timeline, nitrate concentrations in biochar-amended soils continued to rise, with CS+100% peaking at 37.20 ± 0.021 mg/kg by Day 90. This consistent uptrend demonstrates that higher biochar dosages </w:t>
      </w:r>
      <w:r>
        <w:rPr>
          <w:rFonts w:ascii="Times New Roman" w:hAnsi="Times New Roman" w:cs="Times New Roman"/>
          <w:color w:val="000000" w:themeColor="text1"/>
          <w:sz w:val="24"/>
          <w:szCs w:val="24"/>
        </w:rPr>
        <w:lastRenderedPageBreak/>
        <w:t xml:space="preserve">potentiate microbial restoration and facilitate improved oxygenation, pH buffering, and hydrocarbon adsorption. These findings corroborate prior studies conducted both within Nigeria and internationally. For instance, </w:t>
      </w:r>
      <w:proofErr w:type="spellStart"/>
      <w:r>
        <w:rPr>
          <w:rFonts w:ascii="Times New Roman" w:hAnsi="Times New Roman" w:cs="Times New Roman"/>
          <w:color w:val="000000" w:themeColor="text1"/>
          <w:sz w:val="24"/>
          <w:szCs w:val="24"/>
        </w:rPr>
        <w:t>Osadebe</w:t>
      </w:r>
      <w:proofErr w:type="spellEnd"/>
      <w:r>
        <w:rPr>
          <w:rFonts w:ascii="Times New Roman" w:hAnsi="Times New Roman" w:cs="Times New Roman"/>
          <w:color w:val="000000" w:themeColor="text1"/>
          <w:sz w:val="24"/>
          <w:szCs w:val="24"/>
        </w:rPr>
        <w:t xml:space="preserve"> et al. (2022) found that cassava peel biochar significantly improved nitrate concentrations in crude oil-polluted soils in the Niger Delta. Similarly, Abbas et al. (2020) demonstrated that biochar amendments not only improved soil nitrate levels but also boosted enzymatic activity linked to nitrogen mineralization and nitrification. The elevated nitrate values in biochar-amended soils, especially in CS+60% and CS+100%, suggest an efficient nitrogen turnover and a resilient microbial response to biochar stimuli. While the nitrate concentrations exceed FAO's standard limits for food production systems, in the context of remediation, they reflect a beneficial outcome, marking the resumption of microbial nitrogen oxidation pathways previously inhibited by hydrocarbons. In the Niger Delta, where petroleum pollution is chronic and persistent, these findings have significant implications for remediation strategies.  The consistency of these findings with other studies underscores the potential of biochar as a valuable tool for soil remediation. By enhancing nitrate levels and promoting microbial restoration, biochar can play a critical role in the holistic recovery of soil fertility and ecological functionality. As such, biochar amendments should be considered a key component of remediation strategies aimed at restoring degraded soils and promoting sustainable ecosystem services.</w:t>
      </w:r>
    </w:p>
    <w:p w14:paraId="5DBC579B" w14:textId="646CA1E1" w:rsidR="00537132" w:rsidRDefault="00323272">
      <w:pPr>
        <w:spacing w:before="240"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3.7 Ammonium-Nitrogen and Fertility Restoration</w:t>
      </w:r>
    </w:p>
    <w:p w14:paraId="1D79C37E"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Biochar's impact on ammonium nitrogen levels suggests that it not only improves nitrogen cycling but also enhances nutrient retention. This is important for restoring soil fertility in contaminated sites, as the availability of ammonium is critical for plant growth. The observed increase in ammonium nitrogen in biochar-treated soils, especially in the 100% biochar treatment, highlights the effectiveness of biochar in promoting soil fertility restoration in contaminated soils (Jia et al., 2023).</w:t>
      </w:r>
    </w:p>
    <w:p w14:paraId="634D8366"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impact of biochar amendments on ammonium nitrogen (NH₃–N) concentrations in crude oil-contaminated soils have significant implications for soil fertility restoration, nitrogen cycling, and microbial dynamics. The results demonstrate that biochar amendments can enhance nitrogen retention, promote microbial regeneration, and support long-term soil fertility restoration. As shown in table and figure, the NH₃–N concentration in crude oil-contaminated soil (CS) was markedly suppressed, with a mean value of 0.70 mg/kg, in sharp contrast to the uncontaminated </w:t>
      </w:r>
      <w:r>
        <w:rPr>
          <w:rFonts w:ascii="Times New Roman" w:hAnsi="Times New Roman" w:cs="Times New Roman"/>
          <w:color w:val="000000" w:themeColor="text1"/>
          <w:sz w:val="24"/>
          <w:szCs w:val="24"/>
        </w:rPr>
        <w:lastRenderedPageBreak/>
        <w:t xml:space="preserve">control soil (UCS), which had a mean value of 5.53 mg/kg. This finding is consistent with previous studies, which have shown that petroleum hydrocarbons can reduce microbial activity, impede nitrogen mineralization pathways, and cause nitrogen immobilization (Ahmed et al., 2023). The immediate enrichment observed in biochar-amended soils, especially in CS+60% (9.24 mg/kg) and CS+100% (9.91 mg/kg), suggests a significant enhancement of nitrogen retention upon amendment. This can be attributed to biochar's porous structure, high surface area, and cation exchange capacity (CEC), which facilitate microbial colonization and nutrient adsorption (Liu et al., 2017). The dose-dependent response of NH₃–N levels to biochar amendments suggests that higher biochar concentrations can improve bioremediation efficacy. Our results are consistent with previous findings on the use of biochar in soil remediation. For example, Nduka et al. (2021) found that biochar derived from coconut shell and hardwood significantly restored nutrient availability and microbial activities in crude oil-polluted soils in the Niger Delta. Similarly, </w:t>
      </w:r>
      <w:proofErr w:type="spellStart"/>
      <w:r>
        <w:rPr>
          <w:rFonts w:ascii="Times New Roman" w:hAnsi="Times New Roman" w:cs="Times New Roman"/>
          <w:color w:val="000000" w:themeColor="text1"/>
          <w:sz w:val="24"/>
          <w:szCs w:val="24"/>
          <w:shd w:val="clear" w:color="auto" w:fill="FFFFFF"/>
        </w:rPr>
        <w:t>Burezq</w:t>
      </w:r>
      <w:proofErr w:type="spellEnd"/>
      <w:r>
        <w:rPr>
          <w:rFonts w:ascii="Times New Roman" w:hAnsi="Times New Roman" w:cs="Times New Roman"/>
          <w:color w:val="000000" w:themeColor="text1"/>
          <w:sz w:val="24"/>
          <w:szCs w:val="24"/>
        </w:rPr>
        <w:t xml:space="preserve"> et al. (2021) demonstrated that biochar derived from date palm residues enhanced soil nitrogen levels and microbial biomass in oil-polluted deserts in Kuwait.</w:t>
      </w:r>
    </w:p>
    <w:p w14:paraId="2FB6DCF6"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statistical analysis confirms that the differences among treatment groups were not due to chance and that biochar treatment exerted a statistically significant influence on NH₃–N dynamics. The high F-statistics (e.g., F = 520,032.60 at Day 90) and extremely low p-values (p &lt; 0.0001) indicate that the observed effects of biochar on NH₃–N levels are robust and reliable. The study has direct implications for ecological risk assessment and agronomic restoration of oil-polluted lands. The observed NH₃–N concentrations remained within the UCDA-NCS acceptable regulatory limit, confirming that biochar amendments do not pose a toxicological risk regarding ammonium nitrogen accumulation. This is particularly crucial for ecological risk assessment and agronomic restoration of oil-polluted lands. The positive nitrogen retention observed in this study holds profound ecological and agricultural implications. </w:t>
      </w:r>
    </w:p>
    <w:p w14:paraId="15479B57"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Biochar-amended remediation may help accelerate nitrogen cycling recovery, thereby aiding in the rehabilitation of farmlands degraded by oil pollution. The persistent NH₃–N levels in biochar-amended soils indicate that optimal biochar dosing can promote long-term soil fertility restoration by supporting ammonifiers and inhibiting nitrogen loss mechanisms.  Furthermore, the study indirectly emphasizes biochar's role in microbial habitat stabilization. The increased NH₃–N likely reflects the reactivation of ammonium-generating microbial communities such as Bacillus and </w:t>
      </w:r>
      <w:r>
        <w:rPr>
          <w:rFonts w:ascii="Times New Roman" w:hAnsi="Times New Roman" w:cs="Times New Roman"/>
          <w:color w:val="000000" w:themeColor="text1"/>
          <w:sz w:val="24"/>
          <w:szCs w:val="24"/>
        </w:rPr>
        <w:lastRenderedPageBreak/>
        <w:t>Nitrosomonas species, which are sensitive to petroleum hydrocarbons but thrive when adsorptive toxins are neutralized (</w:t>
      </w:r>
      <w:r>
        <w:rPr>
          <w:rFonts w:ascii="Times New Roman" w:hAnsi="Times New Roman" w:cs="Times New Roman"/>
          <w:color w:val="000000" w:themeColor="text1"/>
          <w:sz w:val="24"/>
          <w:szCs w:val="24"/>
          <w:shd w:val="clear" w:color="auto" w:fill="FFFFFF"/>
        </w:rPr>
        <w:t>Sarkar</w:t>
      </w:r>
      <w:r>
        <w:rPr>
          <w:rFonts w:ascii="Times New Roman" w:hAnsi="Times New Roman" w:cs="Times New Roman"/>
          <w:color w:val="000000" w:themeColor="text1"/>
          <w:sz w:val="24"/>
          <w:szCs w:val="24"/>
        </w:rPr>
        <w:t xml:space="preserve"> et al., 2016). </w:t>
      </w:r>
    </w:p>
    <w:p w14:paraId="771F2780"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study highlights the pivotal role of biochar in reversing the nitrogen-depleting effects of crude oil contamination. The findings, reinforced by strong statistical evidence and comparable national and international studies, position biochar as a scalable and environmentally safe remediation tool. The clear dose-dependent pattern further informs application strategies for field-scale interventions, especially in highly polluted zones of the Niger Delta and beyond. The implications of this study extend beyond the Niger Delta, as similar patterns have been recorded in international studies. </w:t>
      </w:r>
    </w:p>
    <w:p w14:paraId="013B63F9"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Gertsen</w:t>
      </w:r>
      <w:r>
        <w:rPr>
          <w:rFonts w:ascii="Times New Roman" w:hAnsi="Times New Roman" w:cs="Times New Roman"/>
          <w:color w:val="000000" w:themeColor="text1"/>
          <w:sz w:val="24"/>
          <w:szCs w:val="24"/>
        </w:rPr>
        <w:t xml:space="preserve"> et al., (2024) found that woodchip biochar effectively immobilized toxic elements and simultaneously enhanced nitrogen content in petroleum-contaminated soil in Alberta, Canada. These parallel findings suggest a universal applicability of biochar for nitrogen management in oil-contaminated environments. The study demonstrates that the potential of biochar amendments to enhance soil fertility, promote microbial regeneration, and support long-term soil fertility restoration in crude oil-contaminated soils. As such, biochar can be considered a valuable tool for ecological restoration and sustainable agriculture practices in oil-polluted environments.</w:t>
      </w:r>
    </w:p>
    <w:p w14:paraId="5E76EE58" w14:textId="77777777" w:rsidR="00537132" w:rsidRDefault="006E0463">
      <w:pPr>
        <w:spacing w:before="100" w:beforeAutospacing="1" w:after="0" w:line="360" w:lineRule="auto"/>
        <w:outlineLvl w:val="2"/>
        <w:rPr>
          <w:rFonts w:ascii="Times New Roman" w:eastAsia="Times New Roman" w:hAnsi="Times New Roman" w:cs="Times New Roman"/>
          <w:b/>
          <w:bCs/>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14:ligatures w14:val="none"/>
        </w:rPr>
        <w:t>CONCLUSIONS</w:t>
      </w:r>
    </w:p>
    <w:p w14:paraId="13A28A3A" w14:textId="77777777" w:rsidR="00537132" w:rsidRDefault="006E0463">
      <w:pPr>
        <w:spacing w:after="0"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This study examined the impact of animal bone-derived biochar on soil pH and nitrate dynamics during the bioremediation of crude oil-contaminated soils. The results showed that biochar application significantly increased soil pH, with the highest concentration (100% biochar) raising pH from 4.95 to 7.51, aligning with optimal levels for agricultural productivity. Biochar also enhanced nitrate concentrations in contaminated soils, with the 100% biochar treatment reaching 37.20 mg/kg by Day 90, well above the acceptable range for agricultural soils.</w:t>
      </w:r>
    </w:p>
    <w:p w14:paraId="5D9D935B" w14:textId="77777777" w:rsidR="00537132" w:rsidRDefault="006E0463">
      <w:pPr>
        <w:spacing w:after="0" w:line="360" w:lineRule="auto"/>
        <w:jc w:val="both"/>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color w:val="000000" w:themeColor="text1"/>
          <w:kern w:val="0"/>
          <w:sz w:val="24"/>
          <w:szCs w:val="24"/>
          <w14:ligatures w14:val="none"/>
        </w:rPr>
        <w:t>In conclusion, animal bone-derived biochar is an effective tool for improving soil pH, nitrate dynamics, and microbial activity in crude oil-polluted soils. Its application offers a sustainable solution for restoring soil fertility and promoting ecological recovery in contaminated environments.</w:t>
      </w:r>
    </w:p>
    <w:p w14:paraId="012B046C" w14:textId="77777777" w:rsidR="00537132" w:rsidRDefault="00537132">
      <w:pPr>
        <w:spacing w:after="0" w:line="360" w:lineRule="auto"/>
        <w:jc w:val="both"/>
        <w:rPr>
          <w:rFonts w:ascii="Times New Roman" w:eastAsia="Times New Roman" w:hAnsi="Times New Roman" w:cs="Times New Roman"/>
          <w:color w:val="000000" w:themeColor="text1"/>
          <w:kern w:val="0"/>
          <w:sz w:val="24"/>
          <w:szCs w:val="24"/>
          <w14:ligatures w14:val="none"/>
        </w:rPr>
      </w:pPr>
    </w:p>
    <w:p w14:paraId="6A554819" w14:textId="2DA82F45" w:rsidR="00537132" w:rsidRDefault="00D2314C">
      <w:pPr>
        <w:spacing w:before="240" w:after="0" w:line="36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REFERENCES</w:t>
      </w:r>
    </w:p>
    <w:p w14:paraId="64BBCF02" w14:textId="06B8A19E" w:rsidR="00537132" w:rsidRDefault="006E0463">
      <w:pPr>
        <w:spacing w:before="100" w:beforeAutospacing="1" w:after="0" w:line="360" w:lineRule="auto"/>
        <w:jc w:val="both"/>
        <w:outlineLvl w:val="2"/>
        <w:rPr>
          <w:rFonts w:ascii="Times New Roman" w:hAnsi="Times New Roman" w:cs="Times New Roman"/>
          <w:color w:val="000000" w:themeColor="text1"/>
          <w:sz w:val="24"/>
          <w:szCs w:val="24"/>
          <w:shd w:val="clear" w:color="auto" w:fill="FFFFFF"/>
        </w:rPr>
      </w:pPr>
      <w:commentRangeStart w:id="3"/>
      <w:r>
        <w:rPr>
          <w:rFonts w:ascii="Times New Roman" w:hAnsi="Times New Roman" w:cs="Times New Roman"/>
          <w:color w:val="000000" w:themeColor="text1"/>
          <w:sz w:val="24"/>
          <w:szCs w:val="24"/>
          <w:shd w:val="clear" w:color="auto" w:fill="FFFFFF"/>
        </w:rPr>
        <w:lastRenderedPageBreak/>
        <w:t xml:space="preserve">Gertsen, M. M., Arlyapov, V. A., </w:t>
      </w:r>
      <w:proofErr w:type="spellStart"/>
      <w:r>
        <w:rPr>
          <w:rFonts w:ascii="Times New Roman" w:hAnsi="Times New Roman" w:cs="Times New Roman"/>
          <w:color w:val="000000" w:themeColor="text1"/>
          <w:sz w:val="24"/>
          <w:szCs w:val="24"/>
          <w:shd w:val="clear" w:color="auto" w:fill="FFFFFF"/>
        </w:rPr>
        <w:t>Perelomov</w:t>
      </w:r>
      <w:proofErr w:type="spellEnd"/>
      <w:r>
        <w:rPr>
          <w:rFonts w:ascii="Times New Roman" w:hAnsi="Times New Roman" w:cs="Times New Roman"/>
          <w:color w:val="000000" w:themeColor="text1"/>
          <w:sz w:val="24"/>
          <w:szCs w:val="24"/>
          <w:shd w:val="clear" w:color="auto" w:fill="FFFFFF"/>
        </w:rPr>
        <w:t xml:space="preserve">, L. V., Kharkova, A. S., </w:t>
      </w:r>
      <w:proofErr w:type="spellStart"/>
      <w:r>
        <w:rPr>
          <w:rFonts w:ascii="Times New Roman" w:hAnsi="Times New Roman" w:cs="Times New Roman"/>
          <w:color w:val="000000" w:themeColor="text1"/>
          <w:sz w:val="24"/>
          <w:szCs w:val="24"/>
          <w:shd w:val="clear" w:color="auto" w:fill="FFFFFF"/>
        </w:rPr>
        <w:t>Golysheva</w:t>
      </w:r>
      <w:proofErr w:type="spellEnd"/>
      <w:r>
        <w:rPr>
          <w:rFonts w:ascii="Times New Roman" w:hAnsi="Times New Roman" w:cs="Times New Roman"/>
          <w:color w:val="000000" w:themeColor="text1"/>
          <w:sz w:val="24"/>
          <w:szCs w:val="24"/>
          <w:shd w:val="clear" w:color="auto" w:fill="FFFFFF"/>
        </w:rPr>
        <w:t xml:space="preserve">, A. N., </w:t>
      </w:r>
      <w:r w:rsidR="00323272">
        <w:rPr>
          <w:rFonts w:ascii="Times New Roman" w:hAnsi="Times New Roman" w:cs="Times New Roman"/>
          <w:color w:val="000000" w:themeColor="text1"/>
          <w:sz w:val="24"/>
          <w:szCs w:val="24"/>
          <w:shd w:val="clear" w:color="auto" w:fill="FFFFFF"/>
        </w:rPr>
        <w:tab/>
      </w:r>
      <w:proofErr w:type="spellStart"/>
      <w:r>
        <w:rPr>
          <w:rFonts w:ascii="Times New Roman" w:hAnsi="Times New Roman" w:cs="Times New Roman"/>
          <w:color w:val="000000" w:themeColor="text1"/>
          <w:sz w:val="24"/>
          <w:szCs w:val="24"/>
          <w:shd w:val="clear" w:color="auto" w:fill="FFFFFF"/>
        </w:rPr>
        <w:t>Atroshchenko</w:t>
      </w:r>
      <w:proofErr w:type="spellEnd"/>
      <w:r>
        <w:rPr>
          <w:rFonts w:ascii="Times New Roman" w:hAnsi="Times New Roman" w:cs="Times New Roman"/>
          <w:color w:val="000000" w:themeColor="text1"/>
          <w:sz w:val="24"/>
          <w:szCs w:val="24"/>
          <w:shd w:val="clear" w:color="auto" w:fill="FFFFFF"/>
        </w:rPr>
        <w:t xml:space="preserve">, Y. M., ... &amp; </w:t>
      </w:r>
      <w:proofErr w:type="spellStart"/>
      <w:r>
        <w:rPr>
          <w:rFonts w:ascii="Times New Roman" w:hAnsi="Times New Roman" w:cs="Times New Roman"/>
          <w:color w:val="000000" w:themeColor="text1"/>
          <w:sz w:val="24"/>
          <w:szCs w:val="24"/>
          <w:shd w:val="clear" w:color="auto" w:fill="FFFFFF"/>
        </w:rPr>
        <w:t>Reverberi</w:t>
      </w:r>
      <w:proofErr w:type="spellEnd"/>
      <w:r>
        <w:rPr>
          <w:rFonts w:ascii="Times New Roman" w:hAnsi="Times New Roman" w:cs="Times New Roman"/>
          <w:color w:val="000000" w:themeColor="text1"/>
          <w:sz w:val="24"/>
          <w:szCs w:val="24"/>
          <w:shd w:val="clear" w:color="auto" w:fill="FFFFFF"/>
        </w:rPr>
        <w:t xml:space="preserve">, A. P. (2024). Environmental Implications of Energy </w:t>
      </w:r>
      <w:r w:rsidR="00323272">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Sources: A Review on Technologies for Cleaning Oil-Contaminated Ecosystems. </w:t>
      </w:r>
      <w:r>
        <w:rPr>
          <w:rFonts w:ascii="Times New Roman" w:hAnsi="Times New Roman" w:cs="Times New Roman"/>
          <w:i/>
          <w:iCs/>
          <w:color w:val="000000" w:themeColor="text1"/>
          <w:sz w:val="24"/>
          <w:szCs w:val="24"/>
          <w:shd w:val="clear" w:color="auto" w:fill="FFFFFF"/>
        </w:rPr>
        <w:t xml:space="preserve">Energies </w:t>
      </w:r>
      <w:r w:rsidR="00323272">
        <w:rPr>
          <w:rFonts w:ascii="Times New Roman" w:hAnsi="Times New Roman" w:cs="Times New Roman"/>
          <w:i/>
          <w:iCs/>
          <w:color w:val="000000" w:themeColor="text1"/>
          <w:sz w:val="24"/>
          <w:szCs w:val="24"/>
          <w:shd w:val="clear" w:color="auto" w:fill="FFFFFF"/>
        </w:rPr>
        <w:tab/>
      </w:r>
      <w:r>
        <w:rPr>
          <w:rFonts w:ascii="Times New Roman" w:hAnsi="Times New Roman" w:cs="Times New Roman"/>
          <w:i/>
          <w:iCs/>
          <w:color w:val="000000" w:themeColor="text1"/>
          <w:sz w:val="24"/>
          <w:szCs w:val="24"/>
          <w:shd w:val="clear" w:color="auto" w:fill="FFFFFF"/>
        </w:rPr>
        <w:t>(19961073)</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17</w:t>
      </w:r>
      <w:r>
        <w:rPr>
          <w:rFonts w:ascii="Times New Roman" w:hAnsi="Times New Roman" w:cs="Times New Roman"/>
          <w:color w:val="000000" w:themeColor="text1"/>
          <w:sz w:val="24"/>
          <w:szCs w:val="24"/>
          <w:shd w:val="clear" w:color="auto" w:fill="FFFFFF"/>
        </w:rPr>
        <w:t>(14).</w:t>
      </w:r>
    </w:p>
    <w:p w14:paraId="1401628F" w14:textId="1278AC0D" w:rsidR="00537132" w:rsidRDefault="006E0463">
      <w:pPr>
        <w:spacing w:after="0" w:line="360" w:lineRule="auto"/>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Gbadegesin</w:t>
      </w:r>
      <w:proofErr w:type="spellEnd"/>
      <w:r>
        <w:rPr>
          <w:rFonts w:ascii="Times New Roman" w:hAnsi="Times New Roman" w:cs="Times New Roman"/>
          <w:color w:val="000000" w:themeColor="text1"/>
          <w:sz w:val="24"/>
          <w:szCs w:val="24"/>
          <w:shd w:val="clear" w:color="auto" w:fill="FFFFFF"/>
        </w:rPr>
        <w:t xml:space="preserve">, I. A., </w:t>
      </w:r>
      <w:proofErr w:type="spellStart"/>
      <w:r>
        <w:rPr>
          <w:rFonts w:ascii="Times New Roman" w:hAnsi="Times New Roman" w:cs="Times New Roman"/>
          <w:color w:val="000000" w:themeColor="text1"/>
          <w:sz w:val="24"/>
          <w:szCs w:val="24"/>
          <w:shd w:val="clear" w:color="auto" w:fill="FFFFFF"/>
        </w:rPr>
        <w:t>Eifediyi</w:t>
      </w:r>
      <w:proofErr w:type="spellEnd"/>
      <w:r>
        <w:rPr>
          <w:rFonts w:ascii="Times New Roman" w:hAnsi="Times New Roman" w:cs="Times New Roman"/>
          <w:color w:val="000000" w:themeColor="text1"/>
          <w:sz w:val="24"/>
          <w:szCs w:val="24"/>
          <w:shd w:val="clear" w:color="auto" w:fill="FFFFFF"/>
        </w:rPr>
        <w:t xml:space="preserve">, E. K., </w:t>
      </w:r>
      <w:proofErr w:type="spellStart"/>
      <w:r>
        <w:rPr>
          <w:rFonts w:ascii="Times New Roman" w:hAnsi="Times New Roman" w:cs="Times New Roman"/>
          <w:color w:val="000000" w:themeColor="text1"/>
          <w:sz w:val="24"/>
          <w:szCs w:val="24"/>
          <w:shd w:val="clear" w:color="auto" w:fill="FFFFFF"/>
        </w:rPr>
        <w:t>Oluwanisola</w:t>
      </w:r>
      <w:proofErr w:type="spellEnd"/>
      <w:r>
        <w:rPr>
          <w:rFonts w:ascii="Times New Roman" w:hAnsi="Times New Roman" w:cs="Times New Roman"/>
          <w:color w:val="000000" w:themeColor="text1"/>
          <w:sz w:val="24"/>
          <w:szCs w:val="24"/>
          <w:shd w:val="clear" w:color="auto" w:fill="FFFFFF"/>
        </w:rPr>
        <w:t xml:space="preserve">, O. P., &amp; Wahab, J. M. (2024). Influence of Cattle </w:t>
      </w:r>
      <w:r w:rsidR="00323272">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 xml:space="preserve">Dung and Biochar Amendments on Yield and Oil Content of Sunflower (Helianthus annus </w:t>
      </w:r>
      <w:r w:rsidR="00323272">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L.). </w:t>
      </w:r>
      <w:r>
        <w:rPr>
          <w:rFonts w:ascii="Times New Roman" w:hAnsi="Times New Roman" w:cs="Times New Roman"/>
          <w:i/>
          <w:iCs/>
          <w:color w:val="000000" w:themeColor="text1"/>
          <w:sz w:val="24"/>
          <w:szCs w:val="24"/>
          <w:shd w:val="clear" w:color="auto" w:fill="FFFFFF"/>
        </w:rPr>
        <w:t>Journal of Agriculture, Aquaculture, and Animal Science</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1</w:t>
      </w:r>
      <w:r>
        <w:rPr>
          <w:rFonts w:ascii="Times New Roman" w:hAnsi="Times New Roman" w:cs="Times New Roman"/>
          <w:color w:val="000000" w:themeColor="text1"/>
          <w:sz w:val="24"/>
          <w:szCs w:val="24"/>
          <w:shd w:val="clear" w:color="auto" w:fill="FFFFFF"/>
        </w:rPr>
        <w:t>(1), 27-32.</w:t>
      </w:r>
    </w:p>
    <w:p w14:paraId="142ED1D5" w14:textId="07BA50B8"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Xue, L., Chen, N., Zhao, J., Yang, C., &amp; Feng, C. (2022). Rice husk-intensified cathode driving </w:t>
      </w:r>
      <w:r w:rsidR="00323272">
        <w:rPr>
          <w:rFonts w:ascii="Times New Roman" w:hAnsi="Times New Roman" w:cs="Times New Roman"/>
          <w:color w:val="000000" w:themeColor="text1"/>
          <w:sz w:val="24"/>
          <w:szCs w:val="24"/>
          <w:shd w:val="clear" w:color="auto" w:fill="FFFFFF"/>
        </w:rPr>
        <w:tab/>
      </w:r>
      <w:proofErr w:type="spellStart"/>
      <w:r>
        <w:rPr>
          <w:rFonts w:ascii="Times New Roman" w:hAnsi="Times New Roman" w:cs="Times New Roman"/>
          <w:color w:val="000000" w:themeColor="text1"/>
          <w:sz w:val="24"/>
          <w:szCs w:val="24"/>
          <w:shd w:val="clear" w:color="auto" w:fill="FFFFFF"/>
        </w:rPr>
        <w:t>bioelectrochemical</w:t>
      </w:r>
      <w:proofErr w:type="spellEnd"/>
      <w:r>
        <w:rPr>
          <w:rFonts w:ascii="Times New Roman" w:hAnsi="Times New Roman" w:cs="Times New Roman"/>
          <w:color w:val="000000" w:themeColor="text1"/>
          <w:sz w:val="24"/>
          <w:szCs w:val="24"/>
          <w:shd w:val="clear" w:color="auto" w:fill="FFFFFF"/>
        </w:rPr>
        <w:t xml:space="preserve"> reactor for remediating nitrate-contaminated groundwater. </w:t>
      </w:r>
      <w:r>
        <w:rPr>
          <w:rFonts w:ascii="Times New Roman" w:hAnsi="Times New Roman" w:cs="Times New Roman"/>
          <w:i/>
          <w:iCs/>
          <w:color w:val="000000" w:themeColor="text1"/>
          <w:sz w:val="24"/>
          <w:szCs w:val="24"/>
          <w:shd w:val="clear" w:color="auto" w:fill="FFFFFF"/>
        </w:rPr>
        <w:t xml:space="preserve">Science of </w:t>
      </w:r>
      <w:r w:rsidR="00323272">
        <w:rPr>
          <w:rFonts w:ascii="Times New Roman" w:hAnsi="Times New Roman" w:cs="Times New Roman"/>
          <w:i/>
          <w:iCs/>
          <w:color w:val="000000" w:themeColor="text1"/>
          <w:sz w:val="24"/>
          <w:szCs w:val="24"/>
          <w:shd w:val="clear" w:color="auto" w:fill="FFFFFF"/>
        </w:rPr>
        <w:tab/>
      </w:r>
      <w:r>
        <w:rPr>
          <w:rFonts w:ascii="Times New Roman" w:hAnsi="Times New Roman" w:cs="Times New Roman"/>
          <w:i/>
          <w:iCs/>
          <w:color w:val="000000" w:themeColor="text1"/>
          <w:sz w:val="24"/>
          <w:szCs w:val="24"/>
          <w:shd w:val="clear" w:color="auto" w:fill="FFFFFF"/>
        </w:rPr>
        <w:t>The Total Environment</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837</w:t>
      </w:r>
      <w:r>
        <w:rPr>
          <w:rFonts w:ascii="Times New Roman" w:hAnsi="Times New Roman" w:cs="Times New Roman"/>
          <w:color w:val="000000" w:themeColor="text1"/>
          <w:sz w:val="24"/>
          <w:szCs w:val="24"/>
          <w:shd w:val="clear" w:color="auto" w:fill="FFFFFF"/>
        </w:rPr>
        <w:t>, 155917.</w:t>
      </w:r>
      <w:r>
        <w:rPr>
          <w:rFonts w:ascii="Times New Roman" w:hAnsi="Times New Roman" w:cs="Times New Roman"/>
          <w:color w:val="000000" w:themeColor="text1"/>
          <w:sz w:val="24"/>
          <w:szCs w:val="24"/>
        </w:rPr>
        <w:t xml:space="preserve"> </w:t>
      </w:r>
    </w:p>
    <w:p w14:paraId="63348F99" w14:textId="498C61DC" w:rsidR="00537132" w:rsidRDefault="006E0463">
      <w:pPr>
        <w:spacing w:after="0" w:line="360" w:lineRule="auto"/>
        <w:jc w:val="both"/>
        <w:rPr>
          <w:rFonts w:ascii="Times New Roman" w:hAnsi="Times New Roman" w:cs="Times New Roman"/>
          <w:color w:val="000000" w:themeColor="text1"/>
          <w:sz w:val="24"/>
          <w:szCs w:val="24"/>
          <w:shd w:val="clear" w:color="auto" w:fill="FFFFFF"/>
        </w:rPr>
      </w:pPr>
      <w:proofErr w:type="spellStart"/>
      <w:r>
        <w:rPr>
          <w:rFonts w:ascii="Times New Roman" w:hAnsi="Times New Roman" w:cs="Times New Roman"/>
          <w:color w:val="000000" w:themeColor="text1"/>
          <w:sz w:val="24"/>
          <w:szCs w:val="24"/>
          <w:shd w:val="clear" w:color="auto" w:fill="FFFFFF"/>
        </w:rPr>
        <w:t>Burezq</w:t>
      </w:r>
      <w:proofErr w:type="spellEnd"/>
      <w:r>
        <w:rPr>
          <w:rFonts w:ascii="Times New Roman" w:hAnsi="Times New Roman" w:cs="Times New Roman"/>
          <w:color w:val="000000" w:themeColor="text1"/>
          <w:sz w:val="24"/>
          <w:szCs w:val="24"/>
          <w:shd w:val="clear" w:color="auto" w:fill="FFFFFF"/>
        </w:rPr>
        <w:t xml:space="preserve">, H. A., &amp; Davidson, M. K. (2021). Ecological intensification for soil management: </w:t>
      </w:r>
      <w:r w:rsidR="00323272">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biochar–A natural solution for soil from agricultural residues. In </w:t>
      </w:r>
      <w:r>
        <w:rPr>
          <w:rFonts w:ascii="Times New Roman" w:hAnsi="Times New Roman" w:cs="Times New Roman"/>
          <w:i/>
          <w:iCs/>
          <w:color w:val="000000" w:themeColor="text1"/>
          <w:sz w:val="24"/>
          <w:szCs w:val="24"/>
          <w:shd w:val="clear" w:color="auto" w:fill="FFFFFF"/>
        </w:rPr>
        <w:t xml:space="preserve">Sustainable </w:t>
      </w:r>
      <w:r w:rsidR="00323272">
        <w:rPr>
          <w:rFonts w:ascii="Times New Roman" w:hAnsi="Times New Roman" w:cs="Times New Roman"/>
          <w:i/>
          <w:iCs/>
          <w:color w:val="000000" w:themeColor="text1"/>
          <w:sz w:val="24"/>
          <w:szCs w:val="24"/>
          <w:shd w:val="clear" w:color="auto" w:fill="FFFFFF"/>
        </w:rPr>
        <w:tab/>
      </w:r>
      <w:r>
        <w:rPr>
          <w:rFonts w:ascii="Times New Roman" w:hAnsi="Times New Roman" w:cs="Times New Roman"/>
          <w:i/>
          <w:iCs/>
          <w:color w:val="000000" w:themeColor="text1"/>
          <w:sz w:val="24"/>
          <w:szCs w:val="24"/>
          <w:shd w:val="clear" w:color="auto" w:fill="FFFFFF"/>
        </w:rPr>
        <w:t>Intensification for Agroecosystem Services and Management</w:t>
      </w:r>
      <w:r>
        <w:rPr>
          <w:rFonts w:ascii="Times New Roman" w:hAnsi="Times New Roman" w:cs="Times New Roman"/>
          <w:color w:val="000000" w:themeColor="text1"/>
          <w:sz w:val="24"/>
          <w:szCs w:val="24"/>
          <w:shd w:val="clear" w:color="auto" w:fill="FFFFFF"/>
        </w:rPr>
        <w:t xml:space="preserve"> (pp. 403-455). Singapore: </w:t>
      </w:r>
      <w:r w:rsidR="00323272">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Springer Singapore.</w:t>
      </w:r>
    </w:p>
    <w:p w14:paraId="7275DBC3" w14:textId="0870CE9D" w:rsidR="00537132" w:rsidRDefault="006E0463">
      <w:pPr>
        <w:spacing w:after="0" w:line="36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Sarkar, J., Kazy, S. K., Gupta, A., Dutta, A., Mohapatra, B., Roy, A., ... &amp; Sar, P. (2016). </w:t>
      </w:r>
      <w:r w:rsidR="00323272">
        <w:rPr>
          <w:rFonts w:ascii="Times New Roman" w:hAnsi="Times New Roman" w:cs="Times New Roman"/>
          <w:color w:val="000000" w:themeColor="text1"/>
          <w:sz w:val="24"/>
          <w:szCs w:val="24"/>
          <w:shd w:val="clear" w:color="auto" w:fill="FFFFFF"/>
        </w:rPr>
        <w:tab/>
      </w:r>
      <w:proofErr w:type="spellStart"/>
      <w:r>
        <w:rPr>
          <w:rFonts w:ascii="Times New Roman" w:hAnsi="Times New Roman" w:cs="Times New Roman"/>
          <w:color w:val="000000" w:themeColor="text1"/>
          <w:sz w:val="24"/>
          <w:szCs w:val="24"/>
          <w:shd w:val="clear" w:color="auto" w:fill="FFFFFF"/>
        </w:rPr>
        <w:t>Biostimulation</w:t>
      </w:r>
      <w:proofErr w:type="spellEnd"/>
      <w:r>
        <w:rPr>
          <w:rFonts w:ascii="Times New Roman" w:hAnsi="Times New Roman" w:cs="Times New Roman"/>
          <w:color w:val="000000" w:themeColor="text1"/>
          <w:sz w:val="24"/>
          <w:szCs w:val="24"/>
          <w:shd w:val="clear" w:color="auto" w:fill="FFFFFF"/>
        </w:rPr>
        <w:t xml:space="preserve"> of indigenous microbial community for bioremediation of petroleum </w:t>
      </w:r>
      <w:r w:rsidR="00323272">
        <w:rPr>
          <w:rFonts w:ascii="Times New Roman" w:hAnsi="Times New Roman" w:cs="Times New Roman"/>
          <w:color w:val="000000" w:themeColor="text1"/>
          <w:sz w:val="24"/>
          <w:szCs w:val="24"/>
          <w:shd w:val="clear" w:color="auto" w:fill="FFFFFF"/>
        </w:rPr>
        <w:tab/>
      </w:r>
      <w:r>
        <w:rPr>
          <w:rFonts w:ascii="Times New Roman" w:hAnsi="Times New Roman" w:cs="Times New Roman"/>
          <w:color w:val="000000" w:themeColor="text1"/>
          <w:sz w:val="24"/>
          <w:szCs w:val="24"/>
          <w:shd w:val="clear" w:color="auto" w:fill="FFFFFF"/>
        </w:rPr>
        <w:t>refinery sludge. </w:t>
      </w:r>
      <w:r>
        <w:rPr>
          <w:rFonts w:ascii="Times New Roman" w:hAnsi="Times New Roman" w:cs="Times New Roman"/>
          <w:i/>
          <w:iCs/>
          <w:color w:val="000000" w:themeColor="text1"/>
          <w:sz w:val="24"/>
          <w:szCs w:val="24"/>
          <w:shd w:val="clear" w:color="auto" w:fill="FFFFFF"/>
        </w:rPr>
        <w:t>Frontiers in Microbiology</w:t>
      </w:r>
      <w:r>
        <w:rPr>
          <w:rFonts w:ascii="Times New Roman" w:hAnsi="Times New Roman" w:cs="Times New Roman"/>
          <w:color w:val="000000" w:themeColor="text1"/>
          <w:sz w:val="24"/>
          <w:szCs w:val="24"/>
          <w:shd w:val="clear" w:color="auto" w:fill="FFFFFF"/>
        </w:rPr>
        <w:t>, </w:t>
      </w:r>
      <w:r>
        <w:rPr>
          <w:rFonts w:ascii="Times New Roman" w:hAnsi="Times New Roman" w:cs="Times New Roman"/>
          <w:i/>
          <w:iCs/>
          <w:color w:val="000000" w:themeColor="text1"/>
          <w:sz w:val="24"/>
          <w:szCs w:val="24"/>
          <w:shd w:val="clear" w:color="auto" w:fill="FFFFFF"/>
        </w:rPr>
        <w:t>7</w:t>
      </w:r>
      <w:r>
        <w:rPr>
          <w:rFonts w:ascii="Times New Roman" w:hAnsi="Times New Roman" w:cs="Times New Roman"/>
          <w:color w:val="000000" w:themeColor="text1"/>
          <w:sz w:val="24"/>
          <w:szCs w:val="24"/>
          <w:shd w:val="clear" w:color="auto" w:fill="FFFFFF"/>
        </w:rPr>
        <w:t>, 1407.</w:t>
      </w:r>
    </w:p>
    <w:p w14:paraId="2E7CB95C" w14:textId="70CFB74E"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Abbas, T., Rizwan, M., Ali, S., Adrees, M., Mahmood, A., Zia-</w:t>
      </w:r>
      <w:proofErr w:type="spellStart"/>
      <w:r>
        <w:rPr>
          <w:rFonts w:ascii="Times New Roman" w:hAnsi="Times New Roman" w:cs="Times New Roman"/>
          <w:color w:val="000000" w:themeColor="text1"/>
          <w:sz w:val="24"/>
          <w:szCs w:val="24"/>
        </w:rPr>
        <w:t>ur</w:t>
      </w:r>
      <w:proofErr w:type="spellEnd"/>
      <w:r>
        <w:rPr>
          <w:rFonts w:ascii="Times New Roman" w:hAnsi="Times New Roman" w:cs="Times New Roman"/>
          <w:color w:val="000000" w:themeColor="text1"/>
          <w:sz w:val="24"/>
          <w:szCs w:val="24"/>
        </w:rPr>
        <w:t xml:space="preserve">-Rehman, M., ... &amp; Hannan, F.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(2020). Biochar application improves the soil quality and reduces the heavy metal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accumulation in maize under wastewater irrigation. </w:t>
      </w:r>
      <w:r>
        <w:rPr>
          <w:rFonts w:ascii="Times New Roman" w:hAnsi="Times New Roman" w:cs="Times New Roman"/>
          <w:i/>
          <w:iCs/>
          <w:color w:val="000000" w:themeColor="text1"/>
          <w:sz w:val="24"/>
          <w:szCs w:val="24"/>
        </w:rPr>
        <w:t>Chemosphere, 243</w:t>
      </w:r>
      <w:r>
        <w:rPr>
          <w:rFonts w:ascii="Times New Roman" w:hAnsi="Times New Roman" w:cs="Times New Roman"/>
          <w:color w:val="000000" w:themeColor="text1"/>
          <w:sz w:val="24"/>
          <w:szCs w:val="24"/>
        </w:rPr>
        <w:t xml:space="preserve">, 125353. </w:t>
      </w:r>
    </w:p>
    <w:p w14:paraId="01DFB918" w14:textId="115756E2"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Adeniran, M. A., </w:t>
      </w:r>
      <w:proofErr w:type="spellStart"/>
      <w:r>
        <w:rPr>
          <w:rFonts w:ascii="Times New Roman" w:hAnsi="Times New Roman" w:cs="Times New Roman"/>
          <w:color w:val="000000" w:themeColor="text1"/>
          <w:sz w:val="24"/>
          <w:szCs w:val="24"/>
        </w:rPr>
        <w:t>Oladunjoye</w:t>
      </w:r>
      <w:proofErr w:type="spellEnd"/>
      <w:r>
        <w:rPr>
          <w:rFonts w:ascii="Times New Roman" w:hAnsi="Times New Roman" w:cs="Times New Roman"/>
          <w:color w:val="000000" w:themeColor="text1"/>
          <w:sz w:val="24"/>
          <w:szCs w:val="24"/>
        </w:rPr>
        <w:t xml:space="preserve">, M. A., &amp; Doro, K. O. (2023). Soil and groundwater contamination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by crude oil spillage: A review and implications for remediation projects in Nigeria.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Frontiers in Environmental Science, 11, 1137496.</w:t>
      </w:r>
    </w:p>
    <w:p w14:paraId="7ECC89CF" w14:textId="27F1A370"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Ahmad, A. A., Muhammad, I., Shah, T., Kalwar, Q., Zhang, J., Liang, Z., ... </w:t>
      </w:r>
      <w:r>
        <w:rPr>
          <w:rFonts w:ascii="Times New Roman" w:hAnsi="Times New Roman" w:cs="Times New Roman"/>
          <w:color w:val="000000" w:themeColor="text1"/>
          <w:sz w:val="24"/>
          <w:szCs w:val="24"/>
          <w:lang w:val="de-DE"/>
        </w:rPr>
        <w:t>and</w:t>
      </w:r>
      <w:r>
        <w:rPr>
          <w:rFonts w:ascii="Times New Roman" w:hAnsi="Times New Roman" w:cs="Times New Roman"/>
          <w:color w:val="000000" w:themeColor="text1"/>
          <w:sz w:val="24"/>
          <w:szCs w:val="24"/>
        </w:rPr>
        <w:t xml:space="preserve"> Rui-Jun, </w:t>
      </w:r>
      <w:proofErr w:type="gramStart"/>
      <w:r>
        <w:rPr>
          <w:rFonts w:ascii="Times New Roman" w:hAnsi="Times New Roman" w:cs="Times New Roman"/>
          <w:color w:val="000000" w:themeColor="text1"/>
          <w:sz w:val="24"/>
          <w:szCs w:val="24"/>
        </w:rPr>
        <w:t>L .</w:t>
      </w:r>
      <w:proofErr w:type="gramEnd"/>
      <w:r>
        <w:rPr>
          <w:rFonts w:ascii="Times New Roman" w:hAnsi="Times New Roman" w:cs="Times New Roman"/>
          <w:color w:val="000000" w:themeColor="text1"/>
          <w:sz w:val="24"/>
          <w:szCs w:val="24"/>
        </w:rPr>
        <w:t xml:space="preserve"> (2020).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Remediation methods of crude oil contaminated soil. </w:t>
      </w:r>
      <w:r>
        <w:rPr>
          <w:rFonts w:ascii="Times New Roman" w:hAnsi="Times New Roman" w:cs="Times New Roman"/>
          <w:i/>
          <w:iCs/>
          <w:color w:val="000000" w:themeColor="text1"/>
          <w:sz w:val="24"/>
          <w:szCs w:val="24"/>
        </w:rPr>
        <w:t>World. J</w:t>
      </w:r>
      <w:r>
        <w:rPr>
          <w:rFonts w:ascii="Times New Roman" w:hAnsi="Times New Roman" w:cs="Times New Roman"/>
          <w:i/>
          <w:iCs/>
          <w:color w:val="000000" w:themeColor="text1"/>
          <w:sz w:val="24"/>
          <w:szCs w:val="24"/>
          <w:lang w:val="de-DE"/>
        </w:rPr>
        <w:t>ournal</w:t>
      </w:r>
      <w:r>
        <w:rPr>
          <w:rFonts w:ascii="Times New Roman" w:hAnsi="Times New Roman" w:cs="Times New Roman"/>
          <w:i/>
          <w:iCs/>
          <w:color w:val="000000" w:themeColor="text1"/>
          <w:sz w:val="24"/>
          <w:szCs w:val="24"/>
        </w:rPr>
        <w:t>. Agri</w:t>
      </w:r>
      <w:r>
        <w:rPr>
          <w:rFonts w:ascii="Times New Roman" w:hAnsi="Times New Roman" w:cs="Times New Roman"/>
          <w:i/>
          <w:iCs/>
          <w:color w:val="000000" w:themeColor="text1"/>
          <w:sz w:val="24"/>
          <w:szCs w:val="24"/>
          <w:lang w:val="de-DE"/>
        </w:rPr>
        <w:t xml:space="preserve">cultural </w:t>
      </w:r>
      <w:r>
        <w:rPr>
          <w:rFonts w:ascii="Times New Roman" w:hAnsi="Times New Roman" w:cs="Times New Roman"/>
          <w:i/>
          <w:iCs/>
          <w:color w:val="000000" w:themeColor="text1"/>
          <w:sz w:val="24"/>
          <w:szCs w:val="24"/>
        </w:rPr>
        <w:t xml:space="preserve">Soil. </w:t>
      </w:r>
      <w:r w:rsidR="00323272">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Science,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4</w:t>
      </w:r>
      <w:r>
        <w:rPr>
          <w:rFonts w:ascii="Times New Roman" w:hAnsi="Times New Roman" w:cs="Times New Roman"/>
          <w:color w:val="000000" w:themeColor="text1"/>
          <w:sz w:val="24"/>
          <w:szCs w:val="24"/>
        </w:rPr>
        <w:t>(3), 8.</w:t>
      </w:r>
    </w:p>
    <w:p w14:paraId="07CFBDF8" w14:textId="37494103"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Alori, E. T., Glick, B. R., &amp; Babalola, O. O. (2022). Microbial phosphorus solubilization and its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potential for use in sustainable agriculture. </w:t>
      </w:r>
      <w:r>
        <w:rPr>
          <w:rFonts w:ascii="Times New Roman" w:hAnsi="Times New Roman" w:cs="Times New Roman"/>
          <w:i/>
          <w:iCs/>
          <w:color w:val="000000" w:themeColor="text1"/>
          <w:sz w:val="24"/>
          <w:szCs w:val="24"/>
        </w:rPr>
        <w:t>Frontiers in Microbiology, 13</w:t>
      </w:r>
      <w:r>
        <w:rPr>
          <w:rFonts w:ascii="Times New Roman" w:hAnsi="Times New Roman" w:cs="Times New Roman"/>
          <w:color w:val="000000" w:themeColor="text1"/>
          <w:sz w:val="24"/>
          <w:szCs w:val="24"/>
        </w:rPr>
        <w:t xml:space="preserve">, 845104.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https://doi.org/10.3389/fmicb.2022.845104</w:t>
      </w:r>
    </w:p>
    <w:p w14:paraId="47B78F90" w14:textId="77777777"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Ayiti, O. E., </w:t>
      </w:r>
      <w:r>
        <w:rPr>
          <w:rFonts w:ascii="Times New Roman" w:hAnsi="Times New Roman" w:cs="Times New Roman"/>
          <w:color w:val="000000" w:themeColor="text1"/>
          <w:sz w:val="24"/>
          <w:szCs w:val="24"/>
          <w:lang w:val="de-DE"/>
        </w:rPr>
        <w:t>and</w:t>
      </w:r>
      <w:r>
        <w:rPr>
          <w:rFonts w:ascii="Times New Roman" w:hAnsi="Times New Roman" w:cs="Times New Roman"/>
          <w:color w:val="000000" w:themeColor="text1"/>
          <w:sz w:val="24"/>
          <w:szCs w:val="24"/>
        </w:rPr>
        <w:t xml:space="preserve"> Babalola, O. O. (2022). Factors Influencing Soil Nitrification Process and the Effect on Environment and Health. </w:t>
      </w:r>
      <w:r>
        <w:rPr>
          <w:rFonts w:ascii="Times New Roman" w:hAnsi="Times New Roman" w:cs="Times New Roman"/>
          <w:i/>
          <w:color w:val="000000" w:themeColor="text1"/>
          <w:sz w:val="24"/>
          <w:szCs w:val="24"/>
        </w:rPr>
        <w:t>Frontiers in Sustainable Food Systems</w:t>
      </w:r>
      <w:r>
        <w:rPr>
          <w:rFonts w:ascii="Times New Roman" w:hAnsi="Times New Roman" w:cs="Times New Roman"/>
          <w:color w:val="000000" w:themeColor="text1"/>
          <w:sz w:val="24"/>
          <w:szCs w:val="24"/>
        </w:rPr>
        <w:t>, 103.</w:t>
      </w:r>
    </w:p>
    <w:p w14:paraId="680B5131" w14:textId="686A510C"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Beeckman, F., Motte, H., &amp; Beeckman, T. (2018). Nitrification in agricultural soils: impact, actors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and mitigation. Current opinion in Biotechnology, 50, 166-173.</w:t>
      </w:r>
    </w:p>
    <w:p w14:paraId="1536A264" w14:textId="09B51F20"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Chen BL, Zhou D, Zhu L. Transitional adsorption and partition of nonpolar and polar aromatic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contaminants by </w:t>
      </w:r>
      <w:proofErr w:type="spellStart"/>
      <w:r>
        <w:rPr>
          <w:rFonts w:ascii="Times New Roman" w:hAnsi="Times New Roman" w:cs="Times New Roman"/>
          <w:color w:val="000000" w:themeColor="text1"/>
          <w:sz w:val="24"/>
          <w:szCs w:val="24"/>
        </w:rPr>
        <w:t>biochars</w:t>
      </w:r>
      <w:proofErr w:type="spellEnd"/>
      <w:r>
        <w:rPr>
          <w:rFonts w:ascii="Times New Roman" w:hAnsi="Times New Roman" w:cs="Times New Roman"/>
          <w:color w:val="000000" w:themeColor="text1"/>
          <w:sz w:val="24"/>
          <w:szCs w:val="24"/>
        </w:rPr>
        <w:t xml:space="preserve"> of pine needles with different pyrolytic temperatures.</w:t>
      </w:r>
      <w:r>
        <w:rPr>
          <w:rFonts w:ascii="Times New Roman" w:hAnsi="Times New Roman" w:cs="Times New Roman"/>
          <w:i/>
          <w:iCs/>
          <w:color w:val="000000" w:themeColor="text1"/>
          <w:sz w:val="24"/>
          <w:szCs w:val="24"/>
        </w:rPr>
        <w:t xml:space="preserve"> </w:t>
      </w:r>
      <w:r w:rsidR="00323272">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Environmental Science and Technology</w:t>
      </w:r>
      <w:r>
        <w:rPr>
          <w:rFonts w:ascii="Times New Roman" w:hAnsi="Times New Roman" w:cs="Times New Roman"/>
          <w:color w:val="000000" w:themeColor="text1"/>
          <w:sz w:val="24"/>
          <w:szCs w:val="24"/>
        </w:rPr>
        <w:t xml:space="preserve"> 2008; 42: 5137 – 5143.</w:t>
      </w:r>
    </w:p>
    <w:p w14:paraId="6C0084C8" w14:textId="0477D270" w:rsidR="00537132" w:rsidRDefault="006E0463">
      <w:pPr>
        <w:spacing w:after="0" w:line="360" w:lineRule="auto"/>
        <w:jc w:val="both"/>
        <w:rPr>
          <w:rFonts w:ascii="Times New Roman" w:hAnsi="Times New Roman" w:cs="Times New Roman"/>
          <w:color w:val="000000" w:themeColor="text1"/>
          <w:sz w:val="24"/>
          <w:szCs w:val="24"/>
          <w:lang w:val="nb-NO"/>
        </w:rPr>
      </w:pPr>
      <w:proofErr w:type="spellStart"/>
      <w:r>
        <w:rPr>
          <w:rFonts w:ascii="Times New Roman" w:hAnsi="Times New Roman" w:cs="Times New Roman"/>
          <w:color w:val="000000" w:themeColor="text1"/>
          <w:sz w:val="24"/>
          <w:szCs w:val="24"/>
        </w:rPr>
        <w:t>Daâssi</w:t>
      </w:r>
      <w:proofErr w:type="spellEnd"/>
      <w:r>
        <w:rPr>
          <w:rFonts w:ascii="Times New Roman" w:hAnsi="Times New Roman" w:cs="Times New Roman"/>
          <w:color w:val="000000" w:themeColor="text1"/>
          <w:sz w:val="24"/>
          <w:szCs w:val="24"/>
        </w:rPr>
        <w:t xml:space="preserve">, D., &amp; Qabil </w:t>
      </w:r>
      <w:proofErr w:type="spellStart"/>
      <w:r>
        <w:rPr>
          <w:rFonts w:ascii="Times New Roman" w:hAnsi="Times New Roman" w:cs="Times New Roman"/>
          <w:color w:val="000000" w:themeColor="text1"/>
          <w:sz w:val="24"/>
          <w:szCs w:val="24"/>
        </w:rPr>
        <w:t>Almaghribi</w:t>
      </w:r>
      <w:proofErr w:type="spellEnd"/>
      <w:r>
        <w:rPr>
          <w:rFonts w:ascii="Times New Roman" w:hAnsi="Times New Roman" w:cs="Times New Roman"/>
          <w:color w:val="000000" w:themeColor="text1"/>
          <w:sz w:val="24"/>
          <w:szCs w:val="24"/>
        </w:rPr>
        <w:t xml:space="preserve">, F. (2022). Petroleum-contaminated soil: environmental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occurrence and remediation strategies. </w:t>
      </w:r>
      <w:r>
        <w:rPr>
          <w:rFonts w:ascii="Times New Roman" w:hAnsi="Times New Roman" w:cs="Times New Roman"/>
          <w:color w:val="000000" w:themeColor="text1"/>
          <w:sz w:val="24"/>
          <w:szCs w:val="24"/>
          <w:lang w:val="nb-NO"/>
        </w:rPr>
        <w:t>3 Biotech, 12(6), 139.</w:t>
      </w:r>
    </w:p>
    <w:p w14:paraId="02421F05" w14:textId="24F7721C" w:rsidR="00537132" w:rsidRDefault="006E0463" w:rsidP="00323272">
      <w:pPr>
        <w:spacing w:before="240"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Guo, M., Song, W., &amp; Tian, J. (2020). Biochar-Facilitated Soil Remediation: Mechanisms and </w:t>
      </w:r>
      <w:r w:rsidR="00323272">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 xml:space="preserve">Efficacy Variations. </w:t>
      </w:r>
      <w:r>
        <w:rPr>
          <w:rFonts w:ascii="Times New Roman" w:eastAsia="Times New Roman" w:hAnsi="Times New Roman" w:cs="Times New Roman"/>
          <w:i/>
          <w:iCs/>
          <w:kern w:val="0"/>
          <w:sz w:val="24"/>
          <w:szCs w:val="24"/>
          <w14:ligatures w14:val="none"/>
        </w:rPr>
        <w:t>Frontiers in Environmental Science</w:t>
      </w:r>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i/>
          <w:iCs/>
          <w:kern w:val="0"/>
          <w:sz w:val="24"/>
          <w:szCs w:val="24"/>
          <w14:ligatures w14:val="none"/>
        </w:rPr>
        <w:t>8</w:t>
      </w:r>
      <w:r>
        <w:rPr>
          <w:rFonts w:ascii="Times New Roman" w:eastAsia="Times New Roman" w:hAnsi="Times New Roman" w:cs="Times New Roman"/>
          <w:kern w:val="0"/>
          <w:sz w:val="24"/>
          <w:szCs w:val="24"/>
          <w14:ligatures w14:val="none"/>
        </w:rPr>
        <w:t xml:space="preserve">. </w:t>
      </w:r>
    </w:p>
    <w:p w14:paraId="39D575A5" w14:textId="77777777" w:rsidR="00323272" w:rsidRDefault="00323272" w:rsidP="00323272">
      <w:pPr>
        <w:spacing w:before="240" w:after="0" w:line="240" w:lineRule="auto"/>
        <w:jc w:val="both"/>
        <w:rPr>
          <w:rFonts w:ascii="Times New Roman" w:hAnsi="Times New Roman" w:cs="Times New Roman"/>
          <w:color w:val="000000" w:themeColor="text1"/>
          <w:sz w:val="24"/>
          <w:szCs w:val="24"/>
          <w:lang w:val="nb-NO"/>
        </w:rPr>
      </w:pPr>
    </w:p>
    <w:p w14:paraId="3DACBEFC" w14:textId="54BA240E"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Hossain, M. Z., Bahar, M. M., Islam, M. S., &amp; Khandaker, M. U. (2020). Effects of biochar on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nitrogen dynamics in soil: A review. </w:t>
      </w:r>
      <w:r>
        <w:rPr>
          <w:rFonts w:ascii="Times New Roman" w:hAnsi="Times New Roman" w:cs="Times New Roman"/>
          <w:i/>
          <w:iCs/>
          <w:color w:val="000000" w:themeColor="text1"/>
          <w:sz w:val="24"/>
          <w:szCs w:val="24"/>
        </w:rPr>
        <w:t xml:space="preserve">Environmental Science and Pollution Research, </w:t>
      </w:r>
      <w:r w:rsidR="00323272">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27</w:t>
      </w:r>
      <w:r>
        <w:rPr>
          <w:rFonts w:ascii="Times New Roman" w:hAnsi="Times New Roman" w:cs="Times New Roman"/>
          <w:color w:val="000000" w:themeColor="text1"/>
          <w:sz w:val="24"/>
          <w:szCs w:val="24"/>
        </w:rPr>
        <w:t>(10), 9813–9826. https://doi.org/10.1007/s11356-020-08012-2</w:t>
      </w:r>
    </w:p>
    <w:p w14:paraId="27279DEC" w14:textId="76784170"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b-NO"/>
        </w:rPr>
        <w:t xml:space="preserve">Ibitoye, S. E., Loha, C., Mahamood, R. M., Jen, T. C., Alam, M., Sarkar, I., ... </w:t>
      </w:r>
      <w:r>
        <w:rPr>
          <w:rFonts w:ascii="Times New Roman" w:hAnsi="Times New Roman" w:cs="Times New Roman"/>
          <w:color w:val="000000" w:themeColor="text1"/>
          <w:sz w:val="24"/>
          <w:szCs w:val="24"/>
        </w:rPr>
        <w:t xml:space="preserve">&amp; Akinlabi, E. T.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(2024). An overview of biochar production techniques and application in iron and steel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industries. Bioresources and Bioprocessing, 11(1), 65.</w:t>
      </w:r>
    </w:p>
    <w:p w14:paraId="35E21F15" w14:textId="2C6929F5"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Jia, W., Cheng, L., Tan, Q., Liu, Y., Dou, J., Yang, K., ... &amp; Ding, A. (2023). Response of the soil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microbial community to petroleum hydrocarbon stress shows a threshold effect: research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on aged realistic contaminated fields. Frontiers in Microbiology, 14, 1188229.</w:t>
      </w:r>
    </w:p>
    <w:p w14:paraId="3ECF32E2" w14:textId="6B96687D"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John, R. C., Ntino, E. S., &amp; </w:t>
      </w:r>
      <w:proofErr w:type="spellStart"/>
      <w:r>
        <w:rPr>
          <w:rFonts w:ascii="Times New Roman" w:hAnsi="Times New Roman" w:cs="Times New Roman"/>
          <w:color w:val="000000" w:themeColor="text1"/>
          <w:sz w:val="24"/>
          <w:szCs w:val="24"/>
        </w:rPr>
        <w:t>Itah</w:t>
      </w:r>
      <w:proofErr w:type="spellEnd"/>
      <w:r>
        <w:rPr>
          <w:rFonts w:ascii="Times New Roman" w:hAnsi="Times New Roman" w:cs="Times New Roman"/>
          <w:color w:val="000000" w:themeColor="text1"/>
          <w:sz w:val="24"/>
          <w:szCs w:val="24"/>
        </w:rPr>
        <w:t xml:space="preserve">, A. Y. (2016). Impact of crude oil on soil nitrogen dynamics and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uptake by legumes grown in wetland </w:t>
      </w:r>
      <w:proofErr w:type="spellStart"/>
      <w:r>
        <w:rPr>
          <w:rFonts w:ascii="Times New Roman" w:hAnsi="Times New Roman" w:cs="Times New Roman"/>
          <w:color w:val="000000" w:themeColor="text1"/>
          <w:sz w:val="24"/>
          <w:szCs w:val="24"/>
        </w:rPr>
        <w:t>ultisol</w:t>
      </w:r>
      <w:proofErr w:type="spellEnd"/>
      <w:r>
        <w:rPr>
          <w:rFonts w:ascii="Times New Roman" w:hAnsi="Times New Roman" w:cs="Times New Roman"/>
          <w:color w:val="000000" w:themeColor="text1"/>
          <w:sz w:val="24"/>
          <w:szCs w:val="24"/>
        </w:rPr>
        <w:t xml:space="preserve"> of the Niger Delta, Nigeria. Journal of </w:t>
      </w:r>
      <w:r w:rsidR="00323272">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Environmental Protection, 7(4), 507-515.</w:t>
      </w:r>
    </w:p>
    <w:p w14:paraId="2DDFE22B" w14:textId="77777777" w:rsidR="00537132" w:rsidRDefault="006E0463">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Kapahi</w:t>
      </w:r>
      <w:proofErr w:type="spellEnd"/>
      <w:r>
        <w:rPr>
          <w:rFonts w:ascii="Times New Roman" w:hAnsi="Times New Roman" w:cs="Times New Roman"/>
          <w:color w:val="000000" w:themeColor="text1"/>
          <w:sz w:val="24"/>
          <w:szCs w:val="24"/>
        </w:rPr>
        <w:t>, M., &amp; Sachdeva, S. (2019). Bioremediation options for heavy metal pollution. Journal of health and pollution, 9(24), 191203.</w:t>
      </w:r>
    </w:p>
    <w:p w14:paraId="00F44BD7" w14:textId="50BD473D"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Lamichhane, B., Dunn, B., &amp; Singh, H. (2023). Preparation of biochar for use as a soil amendment.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Oklahoma Cooperative Extension Service.</w:t>
      </w:r>
    </w:p>
    <w:p w14:paraId="370E1DC5" w14:textId="50F3D49A" w:rsidR="00537132" w:rsidRDefault="006E0463">
      <w:pPr>
        <w:spacing w:after="0" w:line="360" w:lineRule="auto"/>
        <w:jc w:val="both"/>
        <w:rPr>
          <w:rFonts w:ascii="Times New Roman" w:hAnsi="Times New Roman" w:cs="Times New Roman"/>
          <w:color w:val="000000" w:themeColor="text1"/>
          <w:sz w:val="24"/>
          <w:szCs w:val="24"/>
        </w:rPr>
      </w:pPr>
      <w:r w:rsidRPr="0030713F">
        <w:rPr>
          <w:rFonts w:ascii="Times New Roman" w:hAnsi="Times New Roman" w:cs="Times New Roman"/>
          <w:color w:val="000000" w:themeColor="text1"/>
          <w:sz w:val="24"/>
          <w:szCs w:val="24"/>
        </w:rPr>
        <w:t>Lee, S.-J., Kim, H., &amp; Park, J.-H. (2022).</w:t>
      </w:r>
      <w:r>
        <w:rPr>
          <w:rFonts w:ascii="Times New Roman" w:hAnsi="Times New Roman" w:cs="Times New Roman"/>
          <w:color w:val="000000" w:themeColor="text1"/>
          <w:sz w:val="24"/>
          <w:szCs w:val="24"/>
        </w:rPr>
        <w:t xml:space="preserve"> Recovery of ammonia</w:t>
      </w:r>
      <w:r>
        <w:rPr>
          <w:rFonts w:ascii="Times New Roman" w:hAnsi="Times New Roman" w:cs="Times New Roman"/>
          <w:color w:val="000000" w:themeColor="text1"/>
          <w:sz w:val="24"/>
          <w:szCs w:val="24"/>
        </w:rPr>
        <w:noBreakHyphen/>
        <w:t xml:space="preserve">oxidizing microbial communities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in diesel</w:t>
      </w:r>
      <w:r>
        <w:rPr>
          <w:rFonts w:ascii="Times New Roman" w:hAnsi="Times New Roman" w:cs="Times New Roman"/>
          <w:color w:val="000000" w:themeColor="text1"/>
          <w:sz w:val="24"/>
          <w:szCs w:val="24"/>
        </w:rPr>
        <w:noBreakHyphen/>
        <w:t xml:space="preserve">contaminated river sediments with biochar amendments. </w:t>
      </w:r>
      <w:r>
        <w:rPr>
          <w:rFonts w:ascii="Times New Roman" w:hAnsi="Times New Roman" w:cs="Times New Roman"/>
          <w:i/>
          <w:iCs/>
          <w:color w:val="000000" w:themeColor="text1"/>
          <w:sz w:val="24"/>
          <w:szCs w:val="24"/>
        </w:rPr>
        <w:t>Chemosphere, 287</w:t>
      </w:r>
      <w:r>
        <w:rPr>
          <w:rFonts w:ascii="Times New Roman" w:hAnsi="Times New Roman" w:cs="Times New Roman"/>
          <w:color w:val="000000" w:themeColor="text1"/>
          <w:sz w:val="24"/>
          <w:szCs w:val="24"/>
        </w:rPr>
        <w:t xml:space="preserve">,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132256. </w:t>
      </w:r>
    </w:p>
    <w:p w14:paraId="3398DDEB" w14:textId="0CE82BD9"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Liu, S. H., Zeng, G. M., Niu, Q. Y., Liu, Y., Zhou, L., Jiang, L. H., ... &amp; Cheng, M. (2017).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Bioremediation mechanisms of combined pollution of PAHs and heavy metals by bacteria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and fungi: a mini review. Bioresource technology, 224, 25-33.</w:t>
      </w:r>
    </w:p>
    <w:p w14:paraId="0A864D07" w14:textId="41E6DD9A" w:rsidR="00537132" w:rsidRDefault="006E0463">
      <w:pPr>
        <w:spacing w:after="0" w:line="360" w:lineRule="auto"/>
        <w:jc w:val="both"/>
        <w:rPr>
          <w:rFonts w:ascii="Times New Roman" w:hAnsi="Times New Roman" w:cs="Times New Roman"/>
          <w:color w:val="000000" w:themeColor="text1"/>
          <w:sz w:val="24"/>
          <w:szCs w:val="24"/>
        </w:rPr>
      </w:pPr>
      <w:r w:rsidRPr="0030713F">
        <w:rPr>
          <w:rFonts w:ascii="Times New Roman" w:hAnsi="Times New Roman" w:cs="Times New Roman"/>
          <w:color w:val="000000" w:themeColor="text1"/>
          <w:sz w:val="24"/>
          <w:szCs w:val="24"/>
        </w:rPr>
        <w:t>Liu, Y., Sun, J., &amp; Kong, L. (2022).</w:t>
      </w:r>
      <w:r>
        <w:rPr>
          <w:rFonts w:ascii="Times New Roman" w:hAnsi="Times New Roman" w:cs="Times New Roman"/>
          <w:color w:val="000000" w:themeColor="text1"/>
          <w:sz w:val="24"/>
          <w:szCs w:val="24"/>
        </w:rPr>
        <w:t xml:space="preserve"> Differential responses of AOB and AOA to heavy metals in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contaminated soils. </w:t>
      </w:r>
      <w:r>
        <w:rPr>
          <w:rFonts w:ascii="Times New Roman" w:hAnsi="Times New Roman" w:cs="Times New Roman"/>
          <w:i/>
          <w:iCs/>
          <w:color w:val="000000" w:themeColor="text1"/>
          <w:sz w:val="24"/>
          <w:szCs w:val="24"/>
        </w:rPr>
        <w:t>Journal of Soils and Sediments, 22</w:t>
      </w:r>
      <w:r>
        <w:rPr>
          <w:rFonts w:ascii="Times New Roman" w:hAnsi="Times New Roman" w:cs="Times New Roman"/>
          <w:color w:val="000000" w:themeColor="text1"/>
          <w:sz w:val="24"/>
          <w:szCs w:val="24"/>
        </w:rPr>
        <w:t xml:space="preserve">, 345–356. </w:t>
      </w:r>
    </w:p>
    <w:p w14:paraId="5D45B20D" w14:textId="5F14ABB7" w:rsidR="00537132" w:rsidRDefault="006E0463" w:rsidP="0030713F">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Lusiba</w:t>
      </w:r>
      <w:proofErr w:type="spellEnd"/>
      <w:r>
        <w:rPr>
          <w:rFonts w:ascii="Times New Roman" w:hAnsi="Times New Roman" w:cs="Times New Roman"/>
          <w:color w:val="000000" w:themeColor="text1"/>
          <w:sz w:val="24"/>
          <w:szCs w:val="24"/>
        </w:rPr>
        <w:t xml:space="preserve">, S., Odhiambo, J., </w:t>
      </w:r>
      <w:r>
        <w:rPr>
          <w:rFonts w:ascii="Times New Roman" w:hAnsi="Times New Roman" w:cs="Times New Roman"/>
          <w:color w:val="000000" w:themeColor="text1"/>
          <w:sz w:val="24"/>
          <w:szCs w:val="24"/>
          <w:lang w:val="de-DE"/>
        </w:rPr>
        <w:t>and</w:t>
      </w:r>
      <w:r>
        <w:rPr>
          <w:rFonts w:ascii="Times New Roman" w:hAnsi="Times New Roman" w:cs="Times New Roman"/>
          <w:color w:val="000000" w:themeColor="text1"/>
          <w:sz w:val="24"/>
          <w:szCs w:val="24"/>
        </w:rPr>
        <w:t xml:space="preserve"> Ogola, J. (2017). Effect of biochar and phosphorus fertilizer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application on soil fertility: soil physical and chemical properties. </w:t>
      </w:r>
      <w:r>
        <w:rPr>
          <w:rFonts w:ascii="Times New Roman" w:hAnsi="Times New Roman" w:cs="Times New Roman"/>
          <w:i/>
          <w:color w:val="000000" w:themeColor="text1"/>
          <w:sz w:val="24"/>
          <w:szCs w:val="24"/>
        </w:rPr>
        <w:t xml:space="preserve">Archives of </w:t>
      </w:r>
      <w:r w:rsidR="0030713F">
        <w:rPr>
          <w:rFonts w:ascii="Times New Roman" w:hAnsi="Times New Roman" w:cs="Times New Roman"/>
          <w:i/>
          <w:color w:val="000000" w:themeColor="text1"/>
          <w:sz w:val="24"/>
          <w:szCs w:val="24"/>
        </w:rPr>
        <w:tab/>
      </w:r>
      <w:r>
        <w:rPr>
          <w:rFonts w:ascii="Times New Roman" w:hAnsi="Times New Roman" w:cs="Times New Roman"/>
          <w:i/>
          <w:color w:val="000000" w:themeColor="text1"/>
          <w:sz w:val="24"/>
          <w:szCs w:val="24"/>
        </w:rPr>
        <w:t>Agronomy and Soil Science</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63</w:t>
      </w:r>
      <w:r>
        <w:rPr>
          <w:rFonts w:ascii="Times New Roman" w:hAnsi="Times New Roman" w:cs="Times New Roman"/>
          <w:color w:val="000000" w:themeColor="text1"/>
          <w:sz w:val="24"/>
          <w:szCs w:val="24"/>
        </w:rPr>
        <w:t>(4), 477-490.</w:t>
      </w:r>
    </w:p>
    <w:p w14:paraId="55CC7284" w14:textId="74918A30" w:rsidR="00537132" w:rsidRDefault="006E0463">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Melekhina</w:t>
      </w:r>
      <w:proofErr w:type="spellEnd"/>
      <w:r>
        <w:rPr>
          <w:rFonts w:ascii="Times New Roman" w:hAnsi="Times New Roman" w:cs="Times New Roman"/>
          <w:color w:val="000000" w:themeColor="text1"/>
          <w:sz w:val="24"/>
          <w:szCs w:val="24"/>
        </w:rPr>
        <w:t xml:space="preserve">, E. N., Kholodov, V. A., &amp; </w:t>
      </w:r>
      <w:proofErr w:type="spellStart"/>
      <w:r>
        <w:rPr>
          <w:rFonts w:ascii="Times New Roman" w:hAnsi="Times New Roman" w:cs="Times New Roman"/>
          <w:color w:val="000000" w:themeColor="text1"/>
          <w:sz w:val="24"/>
          <w:szCs w:val="24"/>
        </w:rPr>
        <w:t>Yaroslavtseva</w:t>
      </w:r>
      <w:proofErr w:type="spellEnd"/>
      <w:r>
        <w:rPr>
          <w:rFonts w:ascii="Times New Roman" w:hAnsi="Times New Roman" w:cs="Times New Roman"/>
          <w:color w:val="000000" w:themeColor="text1"/>
          <w:sz w:val="24"/>
          <w:szCs w:val="24"/>
        </w:rPr>
        <w:t xml:space="preserve">, N. V. (2021). Impact of oil contamination on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soil microbial communities and nitrogen cycling. </w:t>
      </w:r>
      <w:r>
        <w:rPr>
          <w:rFonts w:ascii="Times New Roman" w:hAnsi="Times New Roman" w:cs="Times New Roman"/>
          <w:i/>
          <w:iCs/>
          <w:color w:val="000000" w:themeColor="text1"/>
          <w:sz w:val="24"/>
          <w:szCs w:val="24"/>
        </w:rPr>
        <w:t xml:space="preserve">Environmental Science and Pollution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Research, 28</w:t>
      </w:r>
      <w:r>
        <w:rPr>
          <w:rFonts w:ascii="Times New Roman" w:hAnsi="Times New Roman" w:cs="Times New Roman"/>
          <w:color w:val="000000" w:themeColor="text1"/>
          <w:sz w:val="24"/>
          <w:szCs w:val="24"/>
        </w:rPr>
        <w:t>, 19155–19165. https://doi.org/10.1007/s11356-020-12345-3</w:t>
      </w:r>
    </w:p>
    <w:p w14:paraId="1F520AF8" w14:textId="61155CFE"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b-NO"/>
        </w:rPr>
        <w:t xml:space="preserve">Nduka, J. K., Okafor, E. C., &amp; Nwachukwu, I. (2020). </w:t>
      </w:r>
      <w:r>
        <w:rPr>
          <w:rFonts w:ascii="Times New Roman" w:hAnsi="Times New Roman" w:cs="Times New Roman"/>
          <w:color w:val="000000" w:themeColor="text1"/>
          <w:sz w:val="24"/>
          <w:szCs w:val="24"/>
        </w:rPr>
        <w:t xml:space="preserve">Oil spill impacts and microbial remediation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potential in Ogoniland: A review. </w:t>
      </w:r>
      <w:r>
        <w:rPr>
          <w:rFonts w:ascii="Times New Roman" w:hAnsi="Times New Roman" w:cs="Times New Roman"/>
          <w:i/>
          <w:iCs/>
          <w:color w:val="000000" w:themeColor="text1"/>
          <w:sz w:val="24"/>
          <w:szCs w:val="24"/>
        </w:rPr>
        <w:t xml:space="preserve">African Journal of Environmental Science </w:t>
      </w:r>
      <w:proofErr w:type="gramStart"/>
      <w:r>
        <w:rPr>
          <w:rFonts w:ascii="Times New Roman" w:hAnsi="Times New Roman" w:cs="Times New Roman"/>
          <w:i/>
          <w:iCs/>
          <w:color w:val="000000" w:themeColor="text1"/>
          <w:sz w:val="24"/>
          <w:szCs w:val="24"/>
        </w:rPr>
        <w:t xml:space="preserve">and </w:t>
      </w:r>
      <w:r w:rsidR="0030713F">
        <w:rPr>
          <w:rFonts w:ascii="Times New Roman" w:hAnsi="Times New Roman" w:cs="Times New Roman"/>
          <w:i/>
          <w:iCs/>
          <w:color w:val="000000" w:themeColor="text1"/>
          <w:sz w:val="24"/>
          <w:szCs w:val="24"/>
        </w:rPr>
        <w:t xml:space="preserve"> </w:t>
      </w:r>
      <w:r w:rsidR="0030713F">
        <w:rPr>
          <w:rFonts w:ascii="Times New Roman" w:hAnsi="Times New Roman" w:cs="Times New Roman"/>
          <w:i/>
          <w:iCs/>
          <w:color w:val="000000" w:themeColor="text1"/>
          <w:sz w:val="24"/>
          <w:szCs w:val="24"/>
        </w:rPr>
        <w:tab/>
      </w:r>
      <w:proofErr w:type="gramEnd"/>
      <w:r>
        <w:rPr>
          <w:rFonts w:ascii="Times New Roman" w:hAnsi="Times New Roman" w:cs="Times New Roman"/>
          <w:i/>
          <w:iCs/>
          <w:color w:val="000000" w:themeColor="text1"/>
          <w:sz w:val="24"/>
          <w:szCs w:val="24"/>
        </w:rPr>
        <w:t>Technology, 14</w:t>
      </w:r>
      <w:r>
        <w:rPr>
          <w:rFonts w:ascii="Times New Roman" w:hAnsi="Times New Roman" w:cs="Times New Roman"/>
          <w:color w:val="000000" w:themeColor="text1"/>
          <w:sz w:val="24"/>
          <w:szCs w:val="24"/>
        </w:rPr>
        <w:t xml:space="preserve">(8), 238–250. </w:t>
      </w:r>
    </w:p>
    <w:p w14:paraId="297B9DD8" w14:textId="0B9D621B"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Norton, J., &amp; Ouyang, Y. (2019). Controls and adaptive management of nitrification in agricultural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soils. Frontiers in microbiology, 10, 1931.</w:t>
      </w:r>
    </w:p>
    <w:p w14:paraId="06632178" w14:textId="5995C126"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b-NO"/>
        </w:rPr>
        <w:t xml:space="preserve">Okareh, O. T., &amp; Gbadebo, A. M. (2020). </w:t>
      </w:r>
      <w:r>
        <w:rPr>
          <w:rFonts w:ascii="Times New Roman" w:hAnsi="Times New Roman" w:cs="Times New Roman"/>
          <w:i/>
          <w:iCs/>
          <w:color w:val="000000" w:themeColor="text1"/>
          <w:sz w:val="24"/>
          <w:szCs w:val="24"/>
        </w:rPr>
        <w:t xml:space="preserve">Application of bone char in the remediation of heavy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metal</w:t>
      </w:r>
      <w:r>
        <w:rPr>
          <w:rFonts w:ascii="Times New Roman" w:hAnsi="Times New Roman" w:cs="Times New Roman"/>
          <w:i/>
          <w:iCs/>
          <w:color w:val="000000" w:themeColor="text1"/>
          <w:sz w:val="24"/>
          <w:szCs w:val="24"/>
        </w:rPr>
        <w:noBreakHyphen/>
        <w:t xml:space="preserve">contaminated soil: Effect on soil properties and metal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immobilization</w:t>
      </w:r>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Environmental Technology &amp; Innovation, 20</w:t>
      </w:r>
      <w:r>
        <w:rPr>
          <w:rFonts w:ascii="Times New Roman" w:hAnsi="Times New Roman" w:cs="Times New Roman"/>
          <w:color w:val="000000" w:themeColor="text1"/>
          <w:sz w:val="24"/>
          <w:szCs w:val="24"/>
        </w:rPr>
        <w:t>, 101159.</w:t>
      </w:r>
    </w:p>
    <w:p w14:paraId="24079C56" w14:textId="1813E26A"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b-NO"/>
        </w:rPr>
        <w:t xml:space="preserve">Okareh, O. T., &amp; Gbadebo, A. M. (2020). </w:t>
      </w:r>
      <w:r>
        <w:rPr>
          <w:rFonts w:ascii="Times New Roman" w:hAnsi="Times New Roman" w:cs="Times New Roman"/>
          <w:color w:val="000000" w:themeColor="text1"/>
          <w:sz w:val="24"/>
          <w:szCs w:val="24"/>
        </w:rPr>
        <w:t xml:space="preserve">Comparative study of biochar production from animal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bones and its application for heavy metal adsorption in wastewater. </w:t>
      </w:r>
      <w:r>
        <w:rPr>
          <w:rFonts w:ascii="Times New Roman" w:hAnsi="Times New Roman" w:cs="Times New Roman"/>
          <w:i/>
          <w:iCs/>
          <w:color w:val="000000" w:themeColor="text1"/>
          <w:sz w:val="24"/>
          <w:szCs w:val="24"/>
        </w:rPr>
        <w:t xml:space="preserve">Environmental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Nanotechnology, Monitoring &amp; Management</w:t>
      </w:r>
      <w:r>
        <w:rPr>
          <w:rFonts w:ascii="Times New Roman" w:hAnsi="Times New Roman" w:cs="Times New Roman"/>
          <w:color w:val="000000" w:themeColor="text1"/>
          <w:sz w:val="24"/>
          <w:szCs w:val="24"/>
        </w:rPr>
        <w:t xml:space="preserve">, </w:t>
      </w:r>
      <w:r>
        <w:rPr>
          <w:rFonts w:ascii="Times New Roman" w:hAnsi="Times New Roman" w:cs="Times New Roman"/>
          <w:i/>
          <w:iCs/>
          <w:color w:val="000000" w:themeColor="text1"/>
          <w:sz w:val="24"/>
          <w:szCs w:val="24"/>
        </w:rPr>
        <w:t>14</w:t>
      </w:r>
      <w:r>
        <w:rPr>
          <w:rFonts w:ascii="Times New Roman" w:hAnsi="Times New Roman" w:cs="Times New Roman"/>
          <w:color w:val="000000" w:themeColor="text1"/>
          <w:sz w:val="24"/>
          <w:szCs w:val="24"/>
        </w:rPr>
        <w:t>, 100332.</w:t>
      </w:r>
    </w:p>
    <w:p w14:paraId="53055B5E" w14:textId="6A3119CA" w:rsidR="00537132" w:rsidRDefault="006E0463">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Onwubuya</w:t>
      </w:r>
      <w:proofErr w:type="spellEnd"/>
      <w:r>
        <w:rPr>
          <w:rFonts w:ascii="Times New Roman" w:hAnsi="Times New Roman" w:cs="Times New Roman"/>
          <w:color w:val="000000" w:themeColor="text1"/>
          <w:sz w:val="24"/>
          <w:szCs w:val="24"/>
        </w:rPr>
        <w:t xml:space="preserve">, C. O., </w:t>
      </w:r>
      <w:proofErr w:type="spellStart"/>
      <w:r>
        <w:rPr>
          <w:rFonts w:ascii="Times New Roman" w:hAnsi="Times New Roman" w:cs="Times New Roman"/>
          <w:color w:val="000000" w:themeColor="text1"/>
          <w:sz w:val="24"/>
          <w:szCs w:val="24"/>
        </w:rPr>
        <w:t>Udeigwe</w:t>
      </w:r>
      <w:proofErr w:type="spellEnd"/>
      <w:r>
        <w:rPr>
          <w:rFonts w:ascii="Times New Roman" w:hAnsi="Times New Roman" w:cs="Times New Roman"/>
          <w:color w:val="000000" w:themeColor="text1"/>
          <w:sz w:val="24"/>
          <w:szCs w:val="24"/>
        </w:rPr>
        <w:t xml:space="preserve">, T. K., &amp; Eze, P. N. (2021). </w:t>
      </w:r>
      <w:r>
        <w:rPr>
          <w:rFonts w:ascii="Times New Roman" w:hAnsi="Times New Roman" w:cs="Times New Roman"/>
          <w:i/>
          <w:iCs/>
          <w:color w:val="000000" w:themeColor="text1"/>
          <w:sz w:val="24"/>
          <w:szCs w:val="24"/>
        </w:rPr>
        <w:t xml:space="preserve">Cassava peel biochar as a soil amendment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 xml:space="preserve">in crude oil contaminated soils: Implications for soil pH, microbial biomass and heavy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metal dynamics</w:t>
      </w:r>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Environmental Earth Sciences, 80</w:t>
      </w:r>
      <w:r>
        <w:rPr>
          <w:rFonts w:ascii="Times New Roman" w:hAnsi="Times New Roman" w:cs="Times New Roman"/>
          <w:color w:val="000000" w:themeColor="text1"/>
          <w:sz w:val="24"/>
          <w:szCs w:val="24"/>
        </w:rPr>
        <w:t xml:space="preserve">, 248. </w:t>
      </w:r>
    </w:p>
    <w:p w14:paraId="0F8F13F8" w14:textId="29CB0451" w:rsidR="00537132" w:rsidRDefault="006E0463">
      <w:pPr>
        <w:spacing w:after="0" w:line="360" w:lineRule="auto"/>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Osadebe</w:t>
      </w:r>
      <w:proofErr w:type="spellEnd"/>
      <w:r>
        <w:rPr>
          <w:rFonts w:ascii="Times New Roman" w:hAnsi="Times New Roman" w:cs="Times New Roman"/>
          <w:color w:val="000000" w:themeColor="text1"/>
          <w:sz w:val="24"/>
          <w:szCs w:val="24"/>
        </w:rPr>
        <w:t xml:space="preserve">, I. N., Okolo, C. C., &amp; John, N. M. (2022). Cassava peel biochar amendment enhances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nitrogen availability and microbial activity in crude oil-contaminated soil. </w:t>
      </w:r>
      <w:r>
        <w:rPr>
          <w:rFonts w:ascii="Times New Roman" w:hAnsi="Times New Roman" w:cs="Times New Roman"/>
          <w:i/>
          <w:iCs/>
          <w:color w:val="000000" w:themeColor="text1"/>
          <w:sz w:val="24"/>
          <w:szCs w:val="24"/>
        </w:rPr>
        <w:t xml:space="preserve">Soil and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Sediment Contamination: An International Journal, 31</w:t>
      </w:r>
      <w:r>
        <w:rPr>
          <w:rFonts w:ascii="Times New Roman" w:hAnsi="Times New Roman" w:cs="Times New Roman"/>
          <w:color w:val="000000" w:themeColor="text1"/>
          <w:sz w:val="24"/>
          <w:szCs w:val="24"/>
        </w:rPr>
        <w:t xml:space="preserve">(3), 341–357. </w:t>
      </w:r>
    </w:p>
    <w:p w14:paraId="7EFDDD5E" w14:textId="6C7164F9"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nb-NO"/>
        </w:rPr>
        <w:t xml:space="preserve">Sanjana, M., Prajna, R., Katti, U. S., &amp; Kavitha, R. V. (2024). </w:t>
      </w:r>
      <w:r>
        <w:rPr>
          <w:rFonts w:ascii="Times New Roman" w:hAnsi="Times New Roman" w:cs="Times New Roman"/>
          <w:color w:val="000000" w:themeColor="text1"/>
          <w:sz w:val="24"/>
          <w:szCs w:val="24"/>
        </w:rPr>
        <w:t xml:space="preserve">Bioremediation–the recent drift </w:t>
      </w:r>
      <w:r w:rsidR="0030713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towards a sustainable environment. Environmental Science: Advances, 3(8), 1097-1110.</w:t>
      </w:r>
    </w:p>
    <w:p w14:paraId="6C225BE7" w14:textId="6C25D958"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Wang, F., Zhang, S., Cheng, P., Zhang, S., &amp; Sun, Y. (2020). </w:t>
      </w:r>
      <w:r>
        <w:rPr>
          <w:rFonts w:ascii="Times New Roman" w:hAnsi="Times New Roman" w:cs="Times New Roman"/>
          <w:i/>
          <w:iCs/>
          <w:color w:val="000000" w:themeColor="text1"/>
          <w:sz w:val="24"/>
          <w:szCs w:val="24"/>
        </w:rPr>
        <w:t xml:space="preserve">Effects of soil amendments on heavy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metal immobilization and accumulation by maize grown in a multiple</w:t>
      </w:r>
      <w:r>
        <w:rPr>
          <w:rFonts w:ascii="Times New Roman" w:hAnsi="Times New Roman" w:cs="Times New Roman"/>
          <w:i/>
          <w:iCs/>
          <w:color w:val="000000" w:themeColor="text1"/>
          <w:sz w:val="24"/>
          <w:szCs w:val="24"/>
        </w:rPr>
        <w:noBreakHyphen/>
        <w:t>metal</w:t>
      </w:r>
      <w:r>
        <w:rPr>
          <w:rFonts w:ascii="Times New Roman" w:hAnsi="Times New Roman" w:cs="Times New Roman"/>
          <w:i/>
          <w:iCs/>
          <w:color w:val="000000" w:themeColor="text1"/>
          <w:sz w:val="24"/>
          <w:szCs w:val="24"/>
        </w:rPr>
        <w:noBreakHyphen/>
        <w:t xml:space="preserve">contaminated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soil and their potential for safe crop production</w:t>
      </w:r>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Toxics, 8</w:t>
      </w:r>
      <w:r>
        <w:rPr>
          <w:rFonts w:ascii="Times New Roman" w:hAnsi="Times New Roman" w:cs="Times New Roman"/>
          <w:color w:val="000000" w:themeColor="text1"/>
          <w:sz w:val="24"/>
          <w:szCs w:val="24"/>
        </w:rPr>
        <w:t>(4), 102.</w:t>
      </w:r>
    </w:p>
    <w:p w14:paraId="7D2C9763" w14:textId="1586FEA2" w:rsidR="00537132" w:rsidRDefault="006E046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Zhang, A., Liu, Y., Pan, G., Hussain, Q., Li, L., Zheng, J., &amp; Zhang, X. (2013). </w:t>
      </w:r>
      <w:r>
        <w:rPr>
          <w:rFonts w:ascii="Times New Roman" w:hAnsi="Times New Roman" w:cs="Times New Roman"/>
          <w:i/>
          <w:iCs/>
          <w:color w:val="000000" w:themeColor="text1"/>
          <w:sz w:val="24"/>
          <w:szCs w:val="24"/>
        </w:rPr>
        <w:t xml:space="preserve">Effect of biochar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 xml:space="preserve">amendment on maize yield and greenhouse gas emissions from a soil organic carbon poor </w:t>
      </w:r>
      <w:r w:rsidR="0030713F">
        <w:rPr>
          <w:rFonts w:ascii="Times New Roman" w:hAnsi="Times New Roman" w:cs="Times New Roman"/>
          <w:i/>
          <w:iCs/>
          <w:color w:val="000000" w:themeColor="text1"/>
          <w:sz w:val="24"/>
          <w:szCs w:val="24"/>
        </w:rPr>
        <w:tab/>
      </w:r>
      <w:r>
        <w:rPr>
          <w:rFonts w:ascii="Times New Roman" w:hAnsi="Times New Roman" w:cs="Times New Roman"/>
          <w:i/>
          <w:iCs/>
          <w:color w:val="000000" w:themeColor="text1"/>
          <w:sz w:val="24"/>
          <w:szCs w:val="24"/>
        </w:rPr>
        <w:t>calcareous loamy soil from Central China Plain</w:t>
      </w:r>
      <w:r>
        <w:rPr>
          <w:rFonts w:ascii="Times New Roman" w:hAnsi="Times New Roman" w:cs="Times New Roman"/>
          <w:color w:val="000000" w:themeColor="text1"/>
          <w:sz w:val="24"/>
          <w:szCs w:val="24"/>
        </w:rPr>
        <w:t>. </w:t>
      </w:r>
      <w:r>
        <w:rPr>
          <w:rFonts w:ascii="Times New Roman" w:hAnsi="Times New Roman" w:cs="Times New Roman"/>
          <w:i/>
          <w:iCs/>
          <w:color w:val="000000" w:themeColor="text1"/>
          <w:sz w:val="24"/>
          <w:szCs w:val="24"/>
        </w:rPr>
        <w:t>Plant and Soil, 351</w:t>
      </w:r>
      <w:r>
        <w:rPr>
          <w:rFonts w:ascii="Times New Roman" w:hAnsi="Times New Roman" w:cs="Times New Roman"/>
          <w:color w:val="000000" w:themeColor="text1"/>
          <w:sz w:val="24"/>
          <w:szCs w:val="24"/>
        </w:rPr>
        <w:t xml:space="preserve">, 263–275. </w:t>
      </w:r>
      <w:commentRangeEnd w:id="3"/>
      <w:r w:rsidR="004146CA">
        <w:rPr>
          <w:rStyle w:val="CommentReference"/>
        </w:rPr>
        <w:commentReference w:id="3"/>
      </w:r>
    </w:p>
    <w:sectPr w:rsidR="0053713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xtus E. Alexander" w:date="2025-10-03T14:45:00Z" w:initials="SEA">
    <w:p w14:paraId="009C7101" w14:textId="77777777" w:rsidR="004146CA" w:rsidRDefault="004146CA" w:rsidP="004146CA">
      <w:pPr>
        <w:pStyle w:val="CommentText"/>
      </w:pPr>
      <w:r>
        <w:rPr>
          <w:rStyle w:val="CommentReference"/>
        </w:rPr>
        <w:annotationRef/>
      </w:r>
      <w:r>
        <w:t xml:space="preserve">Italicize throughout </w:t>
      </w:r>
    </w:p>
  </w:comment>
  <w:comment w:id="1" w:author="Sixtus E. Alexander" w:date="2025-10-03T14:48:00Z" w:initials="SEA">
    <w:p w14:paraId="7C0F1B43" w14:textId="77777777" w:rsidR="00C360B6" w:rsidRDefault="00C360B6" w:rsidP="00C360B6">
      <w:pPr>
        <w:pStyle w:val="CommentText"/>
      </w:pPr>
      <w:r>
        <w:rPr>
          <w:rStyle w:val="CommentReference"/>
        </w:rPr>
        <w:annotationRef/>
      </w:r>
      <w:r>
        <w:t>Indicate the type of Crude and its API.</w:t>
      </w:r>
    </w:p>
  </w:comment>
  <w:comment w:id="3" w:author="Sixtus E. Alexander" w:date="2025-10-03T14:43:00Z" w:initials="SEA">
    <w:p w14:paraId="7D8378F7" w14:textId="52B7F216" w:rsidR="004146CA" w:rsidRDefault="004146CA" w:rsidP="004146CA">
      <w:pPr>
        <w:pStyle w:val="CommentText"/>
      </w:pPr>
      <w:r>
        <w:rPr>
          <w:rStyle w:val="CommentReference"/>
        </w:rPr>
        <w:annotationRef/>
      </w:r>
      <w:r>
        <w:t>Arrange in Alphabetical Order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9C7101" w15:done="0"/>
  <w15:commentEx w15:paraId="7C0F1B43" w15:done="0"/>
  <w15:commentEx w15:paraId="7D8378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47656C" w16cex:dateUtc="2025-10-03T13:45:00Z"/>
  <w16cex:commentExtensible w16cex:durableId="6838859B" w16cex:dateUtc="2025-10-03T13:48:00Z"/>
  <w16cex:commentExtensible w16cex:durableId="13C10D4D" w16cex:dateUtc="2025-10-03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9C7101" w16cid:durableId="7147656C"/>
  <w16cid:commentId w16cid:paraId="7C0F1B43" w16cid:durableId="6838859B"/>
  <w16cid:commentId w16cid:paraId="7D8378F7" w16cid:durableId="13C10D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E6E9E" w14:textId="77777777" w:rsidR="006E0463" w:rsidRDefault="006E0463">
      <w:pPr>
        <w:spacing w:line="240" w:lineRule="auto"/>
      </w:pPr>
      <w:r>
        <w:separator/>
      </w:r>
    </w:p>
  </w:endnote>
  <w:endnote w:type="continuationSeparator" w:id="0">
    <w:p w14:paraId="45BF79CA" w14:textId="77777777" w:rsidR="006E0463" w:rsidRDefault="006E0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C625B" w14:textId="77777777" w:rsidR="002D1E30" w:rsidRDefault="002D1E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877023"/>
      <w:docPartObj>
        <w:docPartGallery w:val="Page Numbers (Bottom of Page)"/>
        <w:docPartUnique/>
      </w:docPartObj>
    </w:sdtPr>
    <w:sdtEndPr>
      <w:rPr>
        <w:noProof/>
      </w:rPr>
    </w:sdtEndPr>
    <w:sdtContent>
      <w:p w14:paraId="025DAD5A" w14:textId="35AB1D34" w:rsidR="005F0262" w:rsidRDefault="005F02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4CFC70" w14:textId="77777777" w:rsidR="005F0262" w:rsidRDefault="005F02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FD6BD" w14:textId="77777777" w:rsidR="002D1E30" w:rsidRDefault="002D1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D0119" w14:textId="77777777" w:rsidR="006E0463" w:rsidRDefault="006E0463">
      <w:pPr>
        <w:spacing w:after="0"/>
      </w:pPr>
      <w:r>
        <w:separator/>
      </w:r>
    </w:p>
  </w:footnote>
  <w:footnote w:type="continuationSeparator" w:id="0">
    <w:p w14:paraId="6B940E67" w14:textId="77777777" w:rsidR="006E0463" w:rsidRDefault="006E046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5934" w14:textId="0250DE2D" w:rsidR="002D1E30" w:rsidRDefault="00C360B6">
    <w:pPr>
      <w:pStyle w:val="Header"/>
    </w:pPr>
    <w:r>
      <w:rPr>
        <w:noProof/>
      </w:rPr>
      <w:pict w14:anchorId="2718ED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25667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16A3" w14:textId="74B4E40A" w:rsidR="002D1E30" w:rsidRDefault="00C360B6">
    <w:pPr>
      <w:pStyle w:val="Header"/>
    </w:pPr>
    <w:r>
      <w:rPr>
        <w:noProof/>
      </w:rPr>
      <w:pict w14:anchorId="37EF5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25667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88A89" w14:textId="457B1FE3" w:rsidR="002D1E30" w:rsidRDefault="00C360B6">
    <w:pPr>
      <w:pStyle w:val="Header"/>
    </w:pPr>
    <w:r>
      <w:rPr>
        <w:noProof/>
      </w:rPr>
      <w:pict w14:anchorId="035DE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325667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0E26"/>
    <w:multiLevelType w:val="multilevel"/>
    <w:tmpl w:val="01EA0E26"/>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hint="default"/>
        <w:sz w:val="20"/>
      </w:rPr>
    </w:lvl>
    <w:lvl w:ilvl="2">
      <w:start w:val="1"/>
      <w:numFmt w:val="bullet"/>
      <w:lvlText w:val=""/>
      <w:lvlJc w:val="left"/>
      <w:pPr>
        <w:tabs>
          <w:tab w:val="left" w:pos="1800"/>
        </w:tabs>
        <w:ind w:left="1800" w:hanging="360"/>
      </w:pPr>
      <w:rPr>
        <w:rFonts w:ascii="Wingdings" w:hAnsi="Wingdings" w:hint="default"/>
        <w:sz w:val="20"/>
      </w:rPr>
    </w:lvl>
    <w:lvl w:ilvl="3">
      <w:start w:val="1"/>
      <w:numFmt w:val="bullet"/>
      <w:lvlText w:val=""/>
      <w:lvlJc w:val="left"/>
      <w:pPr>
        <w:tabs>
          <w:tab w:val="left" w:pos="2520"/>
        </w:tabs>
        <w:ind w:left="2520" w:hanging="360"/>
      </w:pPr>
      <w:rPr>
        <w:rFonts w:ascii="Wingdings" w:hAnsi="Wingdings" w:hint="default"/>
        <w:sz w:val="20"/>
      </w:rPr>
    </w:lvl>
    <w:lvl w:ilvl="4">
      <w:start w:val="1"/>
      <w:numFmt w:val="bullet"/>
      <w:lvlText w:val=""/>
      <w:lvlJc w:val="left"/>
      <w:pPr>
        <w:tabs>
          <w:tab w:val="left" w:pos="3240"/>
        </w:tabs>
        <w:ind w:left="3240" w:hanging="360"/>
      </w:pPr>
      <w:rPr>
        <w:rFonts w:ascii="Wingdings" w:hAnsi="Wingdings" w:hint="default"/>
        <w:sz w:val="20"/>
      </w:rPr>
    </w:lvl>
    <w:lvl w:ilvl="5">
      <w:start w:val="1"/>
      <w:numFmt w:val="bullet"/>
      <w:lvlText w:val=""/>
      <w:lvlJc w:val="left"/>
      <w:pPr>
        <w:tabs>
          <w:tab w:val="left" w:pos="3960"/>
        </w:tabs>
        <w:ind w:left="3960" w:hanging="360"/>
      </w:pPr>
      <w:rPr>
        <w:rFonts w:ascii="Wingdings" w:hAnsi="Wingdings" w:hint="default"/>
        <w:sz w:val="20"/>
      </w:rPr>
    </w:lvl>
    <w:lvl w:ilvl="6">
      <w:start w:val="1"/>
      <w:numFmt w:val="bullet"/>
      <w:lvlText w:val=""/>
      <w:lvlJc w:val="left"/>
      <w:pPr>
        <w:tabs>
          <w:tab w:val="left" w:pos="4680"/>
        </w:tabs>
        <w:ind w:left="4680" w:hanging="360"/>
      </w:pPr>
      <w:rPr>
        <w:rFonts w:ascii="Wingdings" w:hAnsi="Wingdings" w:hint="default"/>
        <w:sz w:val="20"/>
      </w:rPr>
    </w:lvl>
    <w:lvl w:ilvl="7">
      <w:start w:val="1"/>
      <w:numFmt w:val="bullet"/>
      <w:lvlText w:val=""/>
      <w:lvlJc w:val="left"/>
      <w:pPr>
        <w:tabs>
          <w:tab w:val="left" w:pos="5400"/>
        </w:tabs>
        <w:ind w:left="5400" w:hanging="360"/>
      </w:pPr>
      <w:rPr>
        <w:rFonts w:ascii="Wingdings" w:hAnsi="Wingdings" w:hint="default"/>
        <w:sz w:val="20"/>
      </w:rPr>
    </w:lvl>
    <w:lvl w:ilvl="8">
      <w:start w:val="1"/>
      <w:numFmt w:val="bullet"/>
      <w:lvlText w:val=""/>
      <w:lvlJc w:val="left"/>
      <w:pPr>
        <w:tabs>
          <w:tab w:val="left" w:pos="6120"/>
        </w:tabs>
        <w:ind w:left="6120" w:hanging="360"/>
      </w:pPr>
      <w:rPr>
        <w:rFonts w:ascii="Wingdings" w:hAnsi="Wingdings" w:hint="default"/>
        <w:sz w:val="20"/>
      </w:rPr>
    </w:lvl>
  </w:abstractNum>
  <w:abstractNum w:abstractNumId="1" w15:restartNumberingAfterBreak="0">
    <w:nsid w:val="227F2C96"/>
    <w:multiLevelType w:val="multilevel"/>
    <w:tmpl w:val="97702B80"/>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87790849">
    <w:abstractNumId w:val="0"/>
  </w:num>
  <w:num w:numId="2" w16cid:durableId="115684446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xtus E. Alexander">
    <w15:presenceInfo w15:providerId="None" w15:userId="Sixtus E. Alexan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DQwNTCyMDYyMTM1MzJS0lEKTi0uzszPAykwrgUA+BDoMywAAAA="/>
  </w:docVars>
  <w:rsids>
    <w:rsidRoot w:val="007E1D74"/>
    <w:rsid w:val="0005308A"/>
    <w:rsid w:val="00056837"/>
    <w:rsid w:val="00067391"/>
    <w:rsid w:val="000729A7"/>
    <w:rsid w:val="000A35FB"/>
    <w:rsid w:val="000B7014"/>
    <w:rsid w:val="000D26DB"/>
    <w:rsid w:val="000E39AC"/>
    <w:rsid w:val="00100D58"/>
    <w:rsid w:val="001021B7"/>
    <w:rsid w:val="00110290"/>
    <w:rsid w:val="001458FD"/>
    <w:rsid w:val="001A3EED"/>
    <w:rsid w:val="001B4B6C"/>
    <w:rsid w:val="001E45E9"/>
    <w:rsid w:val="001E7C4C"/>
    <w:rsid w:val="002105A6"/>
    <w:rsid w:val="002172CE"/>
    <w:rsid w:val="00224EEF"/>
    <w:rsid w:val="002D1E30"/>
    <w:rsid w:val="002D6EF6"/>
    <w:rsid w:val="0030713F"/>
    <w:rsid w:val="003179AC"/>
    <w:rsid w:val="00317DDC"/>
    <w:rsid w:val="00323272"/>
    <w:rsid w:val="0036386A"/>
    <w:rsid w:val="00382C1E"/>
    <w:rsid w:val="003D0F68"/>
    <w:rsid w:val="003D2C32"/>
    <w:rsid w:val="003E307D"/>
    <w:rsid w:val="00410DA0"/>
    <w:rsid w:val="004146CA"/>
    <w:rsid w:val="00466B46"/>
    <w:rsid w:val="00482974"/>
    <w:rsid w:val="00493D46"/>
    <w:rsid w:val="004C01E9"/>
    <w:rsid w:val="004D2F65"/>
    <w:rsid w:val="004E3C2B"/>
    <w:rsid w:val="004E7FF6"/>
    <w:rsid w:val="0053374A"/>
    <w:rsid w:val="00537132"/>
    <w:rsid w:val="005850B5"/>
    <w:rsid w:val="005B7ACA"/>
    <w:rsid w:val="005F0262"/>
    <w:rsid w:val="00641A71"/>
    <w:rsid w:val="006E0463"/>
    <w:rsid w:val="006E281D"/>
    <w:rsid w:val="006E3812"/>
    <w:rsid w:val="00717AB9"/>
    <w:rsid w:val="007807DC"/>
    <w:rsid w:val="00787D70"/>
    <w:rsid w:val="007C1C26"/>
    <w:rsid w:val="007C56C2"/>
    <w:rsid w:val="007E1D74"/>
    <w:rsid w:val="008258FE"/>
    <w:rsid w:val="00832058"/>
    <w:rsid w:val="0092149E"/>
    <w:rsid w:val="009229BC"/>
    <w:rsid w:val="009502A7"/>
    <w:rsid w:val="0095464A"/>
    <w:rsid w:val="0098142F"/>
    <w:rsid w:val="009A1D08"/>
    <w:rsid w:val="009A58B1"/>
    <w:rsid w:val="009B40A6"/>
    <w:rsid w:val="009C781E"/>
    <w:rsid w:val="009F1F4A"/>
    <w:rsid w:val="00A61862"/>
    <w:rsid w:val="00A80DD8"/>
    <w:rsid w:val="00A84A95"/>
    <w:rsid w:val="00B04AC8"/>
    <w:rsid w:val="00B93C23"/>
    <w:rsid w:val="00BA4583"/>
    <w:rsid w:val="00BE1DC5"/>
    <w:rsid w:val="00C27CB9"/>
    <w:rsid w:val="00C360B6"/>
    <w:rsid w:val="00C54983"/>
    <w:rsid w:val="00C62FFE"/>
    <w:rsid w:val="00CB0970"/>
    <w:rsid w:val="00D0221F"/>
    <w:rsid w:val="00D145F0"/>
    <w:rsid w:val="00D2314C"/>
    <w:rsid w:val="00D8131C"/>
    <w:rsid w:val="00DA4D2F"/>
    <w:rsid w:val="00E13215"/>
    <w:rsid w:val="00E36702"/>
    <w:rsid w:val="00EB1374"/>
    <w:rsid w:val="00EC45B5"/>
    <w:rsid w:val="00EE3691"/>
    <w:rsid w:val="00F2418B"/>
    <w:rsid w:val="00F25673"/>
    <w:rsid w:val="00F6494D"/>
    <w:rsid w:val="00F70CFB"/>
    <w:rsid w:val="00F90506"/>
    <w:rsid w:val="00FA20B3"/>
    <w:rsid w:val="00FE1878"/>
    <w:rsid w:val="05427518"/>
    <w:rsid w:val="10BC0387"/>
    <w:rsid w:val="435C7492"/>
    <w:rsid w:val="6F3856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8E529A"/>
  <w15:docId w15:val="{DD2A6E0D-A427-41EC-B2B7-1529F98F9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64A"/>
    <w:pPr>
      <w:spacing w:after="160" w:line="259" w:lineRule="auto"/>
    </w:pPr>
    <w:rPr>
      <w:kern w:val="2"/>
      <w:sz w:val="22"/>
      <w:szCs w:val="22"/>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ind w:left="120"/>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odyTextChar">
    <w:name w:val="Body Text Char"/>
    <w:basedOn w:val="DefaultParagraphFont"/>
    <w:link w:val="BodyText"/>
    <w:uiPriority w:val="1"/>
    <w:qFormat/>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F02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262"/>
    <w:rPr>
      <w:kern w:val="2"/>
      <w:sz w:val="22"/>
      <w:szCs w:val="22"/>
      <w:lang w:val="en-US" w:eastAsia="en-US"/>
      <w14:ligatures w14:val="standardContextual"/>
    </w:rPr>
  </w:style>
  <w:style w:type="paragraph" w:styleId="Footer">
    <w:name w:val="footer"/>
    <w:basedOn w:val="Normal"/>
    <w:link w:val="FooterChar"/>
    <w:uiPriority w:val="99"/>
    <w:unhideWhenUsed/>
    <w:rsid w:val="005F02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262"/>
    <w:rPr>
      <w:kern w:val="2"/>
      <w:sz w:val="22"/>
      <w:szCs w:val="22"/>
      <w:lang w:val="en-US" w:eastAsia="en-US"/>
      <w14:ligatures w14:val="standardContextual"/>
    </w:rPr>
  </w:style>
  <w:style w:type="character" w:styleId="UnresolvedMention">
    <w:name w:val="Unresolved Mention"/>
    <w:basedOn w:val="DefaultParagraphFont"/>
    <w:uiPriority w:val="99"/>
    <w:semiHidden/>
    <w:unhideWhenUsed/>
    <w:rsid w:val="00056837"/>
    <w:rPr>
      <w:color w:val="605E5C"/>
      <w:shd w:val="clear" w:color="auto" w:fill="E1DFDD"/>
    </w:rPr>
  </w:style>
  <w:style w:type="character" w:styleId="CommentReference">
    <w:name w:val="annotation reference"/>
    <w:basedOn w:val="DefaultParagraphFont"/>
    <w:uiPriority w:val="99"/>
    <w:semiHidden/>
    <w:unhideWhenUsed/>
    <w:rsid w:val="004146CA"/>
    <w:rPr>
      <w:sz w:val="16"/>
      <w:szCs w:val="16"/>
    </w:rPr>
  </w:style>
  <w:style w:type="paragraph" w:styleId="CommentText">
    <w:name w:val="annotation text"/>
    <w:basedOn w:val="Normal"/>
    <w:link w:val="CommentTextChar"/>
    <w:uiPriority w:val="99"/>
    <w:unhideWhenUsed/>
    <w:rsid w:val="004146CA"/>
    <w:pPr>
      <w:spacing w:line="240" w:lineRule="auto"/>
    </w:pPr>
    <w:rPr>
      <w:sz w:val="20"/>
      <w:szCs w:val="20"/>
    </w:rPr>
  </w:style>
  <w:style w:type="character" w:customStyle="1" w:styleId="CommentTextChar">
    <w:name w:val="Comment Text Char"/>
    <w:basedOn w:val="DefaultParagraphFont"/>
    <w:link w:val="CommentText"/>
    <w:uiPriority w:val="99"/>
    <w:rsid w:val="004146CA"/>
    <w:rPr>
      <w:kern w:val="2"/>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4146CA"/>
    <w:rPr>
      <w:b/>
      <w:bCs/>
    </w:rPr>
  </w:style>
  <w:style w:type="character" w:customStyle="1" w:styleId="CommentSubjectChar">
    <w:name w:val="Comment Subject Char"/>
    <w:basedOn w:val="CommentTextChar"/>
    <w:link w:val="CommentSubject"/>
    <w:uiPriority w:val="99"/>
    <w:semiHidden/>
    <w:rsid w:val="004146CA"/>
    <w:rPr>
      <w:b/>
      <w:bCs/>
      <w:kern w:val="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chart" Target="charts/chart2.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DR.%20ISAAC\Desktop\Felix%20Supervisee%202025\Book2.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DR.%20ISAAC\Desktop\Felix%20Supervisee%202025\Book2.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Sheet1!$I$88</c:f>
              <c:strCache>
                <c:ptCount val="1"/>
                <c:pt idx="0">
                  <c:v>0</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Sheet1!$J$86:$O$87</c:f>
              <c:strCache>
                <c:ptCount val="6"/>
                <c:pt idx="0">
                  <c:v>UCS</c:v>
                </c:pt>
                <c:pt idx="1">
                  <c:v>CS</c:v>
                </c:pt>
                <c:pt idx="2">
                  <c:v>CS + 20% Biochar</c:v>
                </c:pt>
                <c:pt idx="3">
                  <c:v>CS + 60% Biochar</c:v>
                </c:pt>
                <c:pt idx="4">
                  <c:v>CS + 100% Biochar</c:v>
                </c:pt>
                <c:pt idx="5">
                  <c:v>Acceptable Limit</c:v>
                </c:pt>
              </c:strCache>
            </c:strRef>
          </c:cat>
          <c:val>
            <c:numRef>
              <c:f>Sheet1!$J$88:$O$88</c:f>
              <c:numCache>
                <c:formatCode>General</c:formatCode>
                <c:ptCount val="6"/>
                <c:pt idx="0">
                  <c:v>19</c:v>
                </c:pt>
                <c:pt idx="1">
                  <c:v>2.4</c:v>
                </c:pt>
                <c:pt idx="2">
                  <c:v>27.6</c:v>
                </c:pt>
                <c:pt idx="3">
                  <c:v>31.8</c:v>
                </c:pt>
                <c:pt idx="4">
                  <c:v>33.6</c:v>
                </c:pt>
              </c:numCache>
            </c:numRef>
          </c:val>
          <c:extLst>
            <c:ext xmlns:c16="http://schemas.microsoft.com/office/drawing/2014/chart" uri="{C3380CC4-5D6E-409C-BE32-E72D297353CC}">
              <c16:uniqueId val="{00000000-8A7B-48A0-B81A-BFA912EDF689}"/>
            </c:ext>
          </c:extLst>
        </c:ser>
        <c:ser>
          <c:idx val="1"/>
          <c:order val="1"/>
          <c:tx>
            <c:strRef>
              <c:f>Sheet1!$I$89</c:f>
              <c:strCache>
                <c:ptCount val="1"/>
                <c:pt idx="0">
                  <c:v>30</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Sheet1!$J$86:$O$87</c:f>
              <c:strCache>
                <c:ptCount val="6"/>
                <c:pt idx="0">
                  <c:v>UCS</c:v>
                </c:pt>
                <c:pt idx="1">
                  <c:v>CS</c:v>
                </c:pt>
                <c:pt idx="2">
                  <c:v>CS + 20% Biochar</c:v>
                </c:pt>
                <c:pt idx="3">
                  <c:v>CS + 60% Biochar</c:v>
                </c:pt>
                <c:pt idx="4">
                  <c:v>CS + 100% Biochar</c:v>
                </c:pt>
                <c:pt idx="5">
                  <c:v>Acceptable Limit</c:v>
                </c:pt>
              </c:strCache>
            </c:strRef>
          </c:cat>
          <c:val>
            <c:numRef>
              <c:f>Sheet1!$J$89:$O$89</c:f>
              <c:numCache>
                <c:formatCode>General</c:formatCode>
                <c:ptCount val="6"/>
                <c:pt idx="0">
                  <c:v>18.8</c:v>
                </c:pt>
                <c:pt idx="1">
                  <c:v>2</c:v>
                </c:pt>
                <c:pt idx="2">
                  <c:v>27.9</c:v>
                </c:pt>
                <c:pt idx="3">
                  <c:v>32.799999999999997</c:v>
                </c:pt>
                <c:pt idx="4">
                  <c:v>34.799999999999997</c:v>
                </c:pt>
              </c:numCache>
            </c:numRef>
          </c:val>
          <c:extLst>
            <c:ext xmlns:c16="http://schemas.microsoft.com/office/drawing/2014/chart" uri="{C3380CC4-5D6E-409C-BE32-E72D297353CC}">
              <c16:uniqueId val="{00000001-8A7B-48A0-B81A-BFA912EDF689}"/>
            </c:ext>
          </c:extLst>
        </c:ser>
        <c:ser>
          <c:idx val="2"/>
          <c:order val="2"/>
          <c:tx>
            <c:strRef>
              <c:f>Sheet1!$I$90</c:f>
              <c:strCache>
                <c:ptCount val="1"/>
                <c:pt idx="0">
                  <c:v>60</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Sheet1!$J$86:$O$87</c:f>
              <c:strCache>
                <c:ptCount val="6"/>
                <c:pt idx="0">
                  <c:v>UCS</c:v>
                </c:pt>
                <c:pt idx="1">
                  <c:v>CS</c:v>
                </c:pt>
                <c:pt idx="2">
                  <c:v>CS + 20% Biochar</c:v>
                </c:pt>
                <c:pt idx="3">
                  <c:v>CS + 60% Biochar</c:v>
                </c:pt>
                <c:pt idx="4">
                  <c:v>CS + 100% Biochar</c:v>
                </c:pt>
                <c:pt idx="5">
                  <c:v>Acceptable Limit</c:v>
                </c:pt>
              </c:strCache>
            </c:strRef>
          </c:cat>
          <c:val>
            <c:numRef>
              <c:f>Sheet1!$J$90:$O$90</c:f>
              <c:numCache>
                <c:formatCode>General</c:formatCode>
                <c:ptCount val="6"/>
                <c:pt idx="0">
                  <c:v>18.899999999999999</c:v>
                </c:pt>
                <c:pt idx="1">
                  <c:v>2.2000000000000002</c:v>
                </c:pt>
                <c:pt idx="2">
                  <c:v>27.3</c:v>
                </c:pt>
                <c:pt idx="3">
                  <c:v>32.4</c:v>
                </c:pt>
                <c:pt idx="4">
                  <c:v>34</c:v>
                </c:pt>
              </c:numCache>
            </c:numRef>
          </c:val>
          <c:extLst>
            <c:ext xmlns:c16="http://schemas.microsoft.com/office/drawing/2014/chart" uri="{C3380CC4-5D6E-409C-BE32-E72D297353CC}">
              <c16:uniqueId val="{00000002-8A7B-48A0-B81A-BFA912EDF689}"/>
            </c:ext>
          </c:extLst>
        </c:ser>
        <c:ser>
          <c:idx val="3"/>
          <c:order val="3"/>
          <c:tx>
            <c:strRef>
              <c:f>Sheet1!$I$91</c:f>
              <c:strCache>
                <c:ptCount val="1"/>
                <c:pt idx="0">
                  <c:v>90</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lang="en-GB"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Sheet1!$J$86:$O$87</c:f>
              <c:strCache>
                <c:ptCount val="6"/>
                <c:pt idx="0">
                  <c:v>UCS</c:v>
                </c:pt>
                <c:pt idx="1">
                  <c:v>CS</c:v>
                </c:pt>
                <c:pt idx="2">
                  <c:v>CS + 20% Biochar</c:v>
                </c:pt>
                <c:pt idx="3">
                  <c:v>CS + 60% Biochar</c:v>
                </c:pt>
                <c:pt idx="4">
                  <c:v>CS + 100% Biochar</c:v>
                </c:pt>
                <c:pt idx="5">
                  <c:v>Acceptable Limit</c:v>
                </c:pt>
              </c:strCache>
            </c:strRef>
          </c:cat>
          <c:val>
            <c:numRef>
              <c:f>Sheet1!$J$91:$O$91</c:f>
              <c:numCache>
                <c:formatCode>General</c:formatCode>
                <c:ptCount val="6"/>
                <c:pt idx="0">
                  <c:v>18.399999999999999</c:v>
                </c:pt>
                <c:pt idx="1">
                  <c:v>2</c:v>
                </c:pt>
                <c:pt idx="2">
                  <c:v>28.4</c:v>
                </c:pt>
                <c:pt idx="3">
                  <c:v>33.200000000000003</c:v>
                </c:pt>
                <c:pt idx="4">
                  <c:v>37.200000000000003</c:v>
                </c:pt>
                <c:pt idx="5">
                  <c:v>50</c:v>
                </c:pt>
              </c:numCache>
            </c:numRef>
          </c:val>
          <c:extLst>
            <c:ext xmlns:c16="http://schemas.microsoft.com/office/drawing/2014/chart" uri="{C3380CC4-5D6E-409C-BE32-E72D297353CC}">
              <c16:uniqueId val="{00000003-8A7B-48A0-B81A-BFA912EDF689}"/>
            </c:ext>
          </c:extLst>
        </c:ser>
        <c:dLbls>
          <c:showLegendKey val="0"/>
          <c:showVal val="1"/>
          <c:showCatName val="0"/>
          <c:showSerName val="0"/>
          <c:showPercent val="0"/>
          <c:showBubbleSize val="0"/>
        </c:dLbls>
        <c:gapWidth val="150"/>
        <c:axId val="771016735"/>
        <c:axId val="771017695"/>
      </c:barChart>
      <c:catAx>
        <c:axId val="771016735"/>
        <c:scaling>
          <c:orientation val="minMax"/>
        </c:scaling>
        <c:delete val="0"/>
        <c:axPos val="b"/>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771017695"/>
        <c:crosses val="autoZero"/>
        <c:auto val="1"/>
        <c:lblAlgn val="ctr"/>
        <c:lblOffset val="100"/>
        <c:noMultiLvlLbl val="0"/>
      </c:catAx>
      <c:valAx>
        <c:axId val="771017695"/>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NH3-N</a:t>
                </a:r>
              </a:p>
            </c:rich>
          </c:tx>
          <c:overlay val="0"/>
          <c:spPr>
            <a:noFill/>
            <a:ln>
              <a:noFill/>
            </a:ln>
            <a:effectLst/>
          </c:spPr>
          <c:txPr>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ysClr val="windowText" lastClr="000000"/>
            </a:solidFill>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7710167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48bf29ec-3805-4362-9ccf-2475761e301b}"/>
      </c:ext>
    </c:extLst>
  </c:chart>
  <c:spPr>
    <a:solidFill>
      <a:schemeClr val="bg1"/>
    </a:solidFill>
    <a:ln w="9525" cap="flat" cmpd="sng" algn="ctr">
      <a:solidFill>
        <a:schemeClr val="tx1">
          <a:lumMod val="15000"/>
          <a:lumOff val="85000"/>
        </a:schemeClr>
      </a:solidFill>
      <a:round/>
    </a:ln>
    <a:effectLst/>
  </c:spPr>
  <c:txPr>
    <a:bodyPr/>
    <a:lstStyle/>
    <a:p>
      <a:pPr>
        <a:defRPr lang="en-GB"/>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Sheet1!$C$191</c:f>
              <c:strCache>
                <c:ptCount val="1"/>
                <c:pt idx="0">
                  <c:v>0</c:v>
                </c:pt>
              </c:strCache>
            </c:strRef>
          </c:tx>
          <c:spPr>
            <a:solidFill>
              <a:schemeClr val="accent1"/>
            </a:solidFill>
            <a:ln>
              <a:noFill/>
            </a:ln>
            <a:effectLst/>
            <a:sp3d/>
          </c:spPr>
          <c:invertIfNegative val="0"/>
          <c:dPt>
            <c:idx val="5"/>
            <c:invertIfNegative val="0"/>
            <c:bubble3D val="0"/>
            <c:spPr>
              <a:solidFill>
                <a:schemeClr val="accent6"/>
              </a:solidFill>
              <a:ln>
                <a:noFill/>
              </a:ln>
              <a:effectLst/>
              <a:sp3d/>
            </c:spPr>
            <c:extLst>
              <c:ext xmlns:c16="http://schemas.microsoft.com/office/drawing/2014/chart" uri="{C3380CC4-5D6E-409C-BE32-E72D297353CC}">
                <c16:uniqueId val="{00000001-530A-4715-9C36-AEA52F9C9A6C}"/>
              </c:ext>
            </c:extLst>
          </c:dPt>
          <c:cat>
            <c:strRef>
              <c:f>Sheet1!$D$190:$I$190</c:f>
              <c:strCache>
                <c:ptCount val="6"/>
                <c:pt idx="0">
                  <c:v>UCS</c:v>
                </c:pt>
                <c:pt idx="1">
                  <c:v>CS</c:v>
                </c:pt>
                <c:pt idx="2">
                  <c:v>CS + 20% Biochar</c:v>
                </c:pt>
                <c:pt idx="3">
                  <c:v>CS + 60% Biochar</c:v>
                </c:pt>
                <c:pt idx="4">
                  <c:v>CS + 100% Biochar</c:v>
                </c:pt>
                <c:pt idx="5">
                  <c:v>FAO Limit</c:v>
                </c:pt>
              </c:strCache>
            </c:strRef>
          </c:cat>
          <c:val>
            <c:numRef>
              <c:f>Sheet1!$D$191:$I$191</c:f>
              <c:numCache>
                <c:formatCode>General</c:formatCode>
                <c:ptCount val="6"/>
                <c:pt idx="0">
                  <c:v>0.189</c:v>
                </c:pt>
                <c:pt idx="1">
                  <c:v>9.8000000000000004E-2</c:v>
                </c:pt>
                <c:pt idx="2">
                  <c:v>0.23899999999999999</c:v>
                </c:pt>
                <c:pt idx="3">
                  <c:v>0.26600000000000001</c:v>
                </c:pt>
                <c:pt idx="4">
                  <c:v>0.29099999999999998</c:v>
                </c:pt>
                <c:pt idx="5">
                  <c:v>0.5</c:v>
                </c:pt>
              </c:numCache>
            </c:numRef>
          </c:val>
          <c:extLst>
            <c:ext xmlns:c16="http://schemas.microsoft.com/office/drawing/2014/chart" uri="{C3380CC4-5D6E-409C-BE32-E72D297353CC}">
              <c16:uniqueId val="{00000002-530A-4715-9C36-AEA52F9C9A6C}"/>
            </c:ext>
          </c:extLst>
        </c:ser>
        <c:ser>
          <c:idx val="1"/>
          <c:order val="1"/>
          <c:tx>
            <c:strRef>
              <c:f>Sheet1!$C$192</c:f>
              <c:strCache>
                <c:ptCount val="1"/>
                <c:pt idx="0">
                  <c:v>30</c:v>
                </c:pt>
              </c:strCache>
            </c:strRef>
          </c:tx>
          <c:spPr>
            <a:solidFill>
              <a:schemeClr val="accent2"/>
            </a:solidFill>
            <a:ln>
              <a:noFill/>
            </a:ln>
            <a:effectLst/>
            <a:sp3d/>
          </c:spPr>
          <c:invertIfNegative val="0"/>
          <c:cat>
            <c:strRef>
              <c:f>Sheet1!$D$190:$I$190</c:f>
              <c:strCache>
                <c:ptCount val="6"/>
                <c:pt idx="0">
                  <c:v>UCS</c:v>
                </c:pt>
                <c:pt idx="1">
                  <c:v>CS</c:v>
                </c:pt>
                <c:pt idx="2">
                  <c:v>CS + 20% Biochar</c:v>
                </c:pt>
                <c:pt idx="3">
                  <c:v>CS + 60% Biochar</c:v>
                </c:pt>
                <c:pt idx="4">
                  <c:v>CS + 100% Biochar</c:v>
                </c:pt>
                <c:pt idx="5">
                  <c:v>FAO Limit</c:v>
                </c:pt>
              </c:strCache>
            </c:strRef>
          </c:cat>
          <c:val>
            <c:numRef>
              <c:f>Sheet1!$D$192:$I$192</c:f>
              <c:numCache>
                <c:formatCode>General</c:formatCode>
                <c:ptCount val="6"/>
                <c:pt idx="0">
                  <c:v>0.185</c:v>
                </c:pt>
                <c:pt idx="1">
                  <c:v>9.4E-2</c:v>
                </c:pt>
                <c:pt idx="2">
                  <c:v>0.23400000000000001</c:v>
                </c:pt>
                <c:pt idx="3">
                  <c:v>0.26</c:v>
                </c:pt>
                <c:pt idx="4">
                  <c:v>0.29299999999999998</c:v>
                </c:pt>
              </c:numCache>
            </c:numRef>
          </c:val>
          <c:extLst>
            <c:ext xmlns:c16="http://schemas.microsoft.com/office/drawing/2014/chart" uri="{C3380CC4-5D6E-409C-BE32-E72D297353CC}">
              <c16:uniqueId val="{00000003-530A-4715-9C36-AEA52F9C9A6C}"/>
            </c:ext>
          </c:extLst>
        </c:ser>
        <c:ser>
          <c:idx val="2"/>
          <c:order val="2"/>
          <c:tx>
            <c:strRef>
              <c:f>Sheet1!$C$193</c:f>
              <c:strCache>
                <c:ptCount val="1"/>
                <c:pt idx="0">
                  <c:v>60</c:v>
                </c:pt>
              </c:strCache>
            </c:strRef>
          </c:tx>
          <c:spPr>
            <a:solidFill>
              <a:schemeClr val="accent3"/>
            </a:solidFill>
            <a:ln>
              <a:noFill/>
            </a:ln>
            <a:effectLst/>
            <a:sp3d/>
          </c:spPr>
          <c:invertIfNegative val="0"/>
          <c:cat>
            <c:strRef>
              <c:f>Sheet1!$D$190:$I$190</c:f>
              <c:strCache>
                <c:ptCount val="6"/>
                <c:pt idx="0">
                  <c:v>UCS</c:v>
                </c:pt>
                <c:pt idx="1">
                  <c:v>CS</c:v>
                </c:pt>
                <c:pt idx="2">
                  <c:v>CS + 20% Biochar</c:v>
                </c:pt>
                <c:pt idx="3">
                  <c:v>CS + 60% Biochar</c:v>
                </c:pt>
                <c:pt idx="4">
                  <c:v>CS + 100% Biochar</c:v>
                </c:pt>
                <c:pt idx="5">
                  <c:v>FAO Limit</c:v>
                </c:pt>
              </c:strCache>
            </c:strRef>
          </c:cat>
          <c:val>
            <c:numRef>
              <c:f>Sheet1!$D$193:$I$193</c:f>
              <c:numCache>
                <c:formatCode>General</c:formatCode>
                <c:ptCount val="6"/>
                <c:pt idx="0">
                  <c:v>0.182</c:v>
                </c:pt>
                <c:pt idx="1">
                  <c:v>8.8999999999999996E-2</c:v>
                </c:pt>
                <c:pt idx="2">
                  <c:v>0.224</c:v>
                </c:pt>
                <c:pt idx="3">
                  <c:v>0.25800000000000001</c:v>
                </c:pt>
                <c:pt idx="4">
                  <c:v>0.29399999999999998</c:v>
                </c:pt>
              </c:numCache>
            </c:numRef>
          </c:val>
          <c:extLst>
            <c:ext xmlns:c16="http://schemas.microsoft.com/office/drawing/2014/chart" uri="{C3380CC4-5D6E-409C-BE32-E72D297353CC}">
              <c16:uniqueId val="{00000004-530A-4715-9C36-AEA52F9C9A6C}"/>
            </c:ext>
          </c:extLst>
        </c:ser>
        <c:ser>
          <c:idx val="3"/>
          <c:order val="3"/>
          <c:tx>
            <c:strRef>
              <c:f>Sheet1!$C$194</c:f>
              <c:strCache>
                <c:ptCount val="1"/>
                <c:pt idx="0">
                  <c:v>90</c:v>
                </c:pt>
              </c:strCache>
            </c:strRef>
          </c:tx>
          <c:spPr>
            <a:solidFill>
              <a:schemeClr val="accent4"/>
            </a:solidFill>
            <a:ln>
              <a:noFill/>
            </a:ln>
            <a:effectLst/>
            <a:sp3d/>
          </c:spPr>
          <c:invertIfNegative val="0"/>
          <c:cat>
            <c:strRef>
              <c:f>Sheet1!$D$190:$I$190</c:f>
              <c:strCache>
                <c:ptCount val="6"/>
                <c:pt idx="0">
                  <c:v>UCS</c:v>
                </c:pt>
                <c:pt idx="1">
                  <c:v>CS</c:v>
                </c:pt>
                <c:pt idx="2">
                  <c:v>CS + 20% Biochar</c:v>
                </c:pt>
                <c:pt idx="3">
                  <c:v>CS + 60% Biochar</c:v>
                </c:pt>
                <c:pt idx="4">
                  <c:v>CS + 100% Biochar</c:v>
                </c:pt>
                <c:pt idx="5">
                  <c:v>FAO Limit</c:v>
                </c:pt>
              </c:strCache>
            </c:strRef>
          </c:cat>
          <c:val>
            <c:numRef>
              <c:f>Sheet1!$D$194:$I$194</c:f>
              <c:numCache>
                <c:formatCode>General</c:formatCode>
                <c:ptCount val="6"/>
                <c:pt idx="0">
                  <c:v>0.246</c:v>
                </c:pt>
                <c:pt idx="1">
                  <c:v>6.0999999999999999E-2</c:v>
                </c:pt>
                <c:pt idx="2">
                  <c:v>0.27300000000000002</c:v>
                </c:pt>
                <c:pt idx="3">
                  <c:v>0.28299999999999997</c:v>
                </c:pt>
                <c:pt idx="4">
                  <c:v>0.29699999999999999</c:v>
                </c:pt>
              </c:numCache>
            </c:numRef>
          </c:val>
          <c:extLst>
            <c:ext xmlns:c16="http://schemas.microsoft.com/office/drawing/2014/chart" uri="{C3380CC4-5D6E-409C-BE32-E72D297353CC}">
              <c16:uniqueId val="{00000005-530A-4715-9C36-AEA52F9C9A6C}"/>
            </c:ext>
          </c:extLst>
        </c:ser>
        <c:dLbls>
          <c:showLegendKey val="0"/>
          <c:showVal val="0"/>
          <c:showCatName val="0"/>
          <c:showSerName val="0"/>
          <c:showPercent val="0"/>
          <c:showBubbleSize val="0"/>
        </c:dLbls>
        <c:gapWidth val="150"/>
        <c:axId val="215987712"/>
        <c:axId val="215989248"/>
      </c:barChart>
      <c:catAx>
        <c:axId val="215987712"/>
        <c:scaling>
          <c:orientation val="minMax"/>
        </c:scaling>
        <c:delete val="0"/>
        <c:axPos val="b"/>
        <c:numFmt formatCode="General" sourceLinked="1"/>
        <c:majorTickMark val="none"/>
        <c:minorTickMark val="none"/>
        <c:tickLblPos val="nextTo"/>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15989248"/>
        <c:crosses val="autoZero"/>
        <c:auto val="1"/>
        <c:lblAlgn val="ctr"/>
        <c:lblOffset val="100"/>
        <c:noMultiLvlLbl val="0"/>
      </c:catAx>
      <c:valAx>
        <c:axId val="215989248"/>
        <c:scaling>
          <c:orientation val="minMax"/>
        </c:scaling>
        <c:delete val="0"/>
        <c:axPos val="l"/>
        <c:title>
          <c:tx>
            <c:rich>
              <a:bodyPr rot="-5400000" spcFirstLastPara="1" vertOverflow="ellipsis" vert="horz" wrap="square" anchor="ctr" anchorCtr="1"/>
              <a:lstStyle/>
              <a:p>
                <a:pPr>
                  <a:defRPr lang="en-GB" sz="1000" b="0" i="0" u="none" strike="noStrike" kern="1200" baseline="0">
                    <a:solidFill>
                      <a:schemeClr val="tx1">
                        <a:lumMod val="65000"/>
                        <a:lumOff val="35000"/>
                      </a:schemeClr>
                    </a:solidFill>
                    <a:latin typeface="+mn-lt"/>
                    <a:ea typeface="+mn-ea"/>
                    <a:cs typeface="+mn-cs"/>
                  </a:defRPr>
                </a:pPr>
                <a:r>
                  <a:rPr lang="en-US"/>
                  <a:t>TON </a:t>
                </a:r>
                <a:r>
                  <a:rPr lang="en-US" baseline="0"/>
                  <a:t> (%)</a:t>
                </a:r>
                <a:endParaRPr lang="en-US"/>
              </a:p>
            </c:rich>
          </c:tx>
          <c:overlay val="0"/>
          <c:spPr>
            <a:noFill/>
            <a:ln>
              <a:noFill/>
            </a:ln>
            <a:effectLst/>
          </c:spPr>
        </c:title>
        <c:numFmt formatCode="General" sourceLinked="1"/>
        <c:majorTickMark val="none"/>
        <c:minorTickMark val="none"/>
        <c:tickLblPos val="nextTo"/>
        <c:spPr>
          <a:noFill/>
          <a:ln w="6350" cap="flat" cmpd="sng" algn="ctr">
            <a:solidFill>
              <a:sysClr val="windowText" lastClr="000000"/>
            </a:solidFill>
            <a:prstDash val="solid"/>
            <a:round/>
          </a:ln>
          <a:effectLst/>
        </c:spPr>
        <c:txPr>
          <a:bodyPr rot="-6000000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crossAx val="215987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GB"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5fe18b0a-abba-4293-a3ef-ccd431926748}"/>
      </c:ext>
    </c:extLst>
  </c:chart>
  <c:spPr>
    <a:solidFill>
      <a:schemeClr val="bg1"/>
    </a:solidFill>
    <a:ln w="9525" cap="flat" cmpd="sng" algn="ctr">
      <a:solidFill>
        <a:schemeClr val="tx1">
          <a:lumMod val="15000"/>
          <a:lumOff val="85000"/>
        </a:schemeClr>
      </a:solidFill>
      <a:prstDash val="solid"/>
      <a:round/>
    </a:ln>
    <a:effectLst/>
  </c:spPr>
  <c:txPr>
    <a:bodyPr/>
    <a:lstStyle/>
    <a:p>
      <a:pPr>
        <a:defRPr lang="en-GB"/>
      </a:pPr>
      <a:endParaRPr lang="en-US"/>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167</TotalTime>
  <Pages>23</Pages>
  <Words>6797</Words>
  <Characters>38749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 Ibienebo Chris</dc:creator>
  <cp:lastModifiedBy>Sixtus E. Alexander</cp:lastModifiedBy>
  <cp:revision>23</cp:revision>
  <dcterms:created xsi:type="dcterms:W3CDTF">2025-09-25T16:08:00Z</dcterms:created>
  <dcterms:modified xsi:type="dcterms:W3CDTF">2025-10-03T13:48:00Z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2057-12.2.0.22549</vt:lpwstr>
  </property>
  <property fmtid="{D5CDD505-2E9C-101B-9397-08002B2CF9AE}" pid="3" name="ICV">
    <vt:lpwstr>D288A1A030E94DF4937899C40742F3D8_12</vt:lpwstr>
  </property>
</Properties>
</file>