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343C01" w14:textId="77777777" w:rsidR="00B54762" w:rsidRPr="00B54762" w:rsidRDefault="00B54762" w:rsidP="00B54762">
      <w:pPr>
        <w:spacing w:after="0" w:line="240" w:lineRule="auto"/>
        <w:jc w:val="right"/>
        <w:rPr>
          <w:rFonts w:ascii="Arial" w:hAnsi="Arial" w:cs="Arial"/>
          <w:b/>
          <w:bCs/>
          <w:i/>
          <w:iCs/>
          <w:sz w:val="36"/>
          <w:szCs w:val="36"/>
          <w:u w:val="single"/>
        </w:rPr>
      </w:pPr>
      <w:bookmarkStart w:id="0" w:name="_Hlk208300196"/>
      <w:r w:rsidRPr="00B54762">
        <w:rPr>
          <w:rFonts w:ascii="Arial" w:hAnsi="Arial" w:cs="Arial"/>
          <w:b/>
          <w:bCs/>
          <w:i/>
          <w:iCs/>
          <w:sz w:val="36"/>
          <w:szCs w:val="36"/>
          <w:u w:val="single"/>
        </w:rPr>
        <w:t>Original Research Article</w:t>
      </w:r>
    </w:p>
    <w:p w14:paraId="20BD2FD2" w14:textId="77777777" w:rsidR="00B54762" w:rsidRDefault="00B54762" w:rsidP="00C526B9">
      <w:pPr>
        <w:spacing w:after="0" w:line="240" w:lineRule="auto"/>
        <w:jc w:val="right"/>
        <w:rPr>
          <w:rFonts w:ascii="Arial" w:hAnsi="Arial" w:cs="Arial"/>
          <w:b/>
          <w:bCs/>
          <w:sz w:val="36"/>
          <w:szCs w:val="36"/>
        </w:rPr>
      </w:pPr>
    </w:p>
    <w:p w14:paraId="20AD2326" w14:textId="1208B9A9" w:rsidR="00325653" w:rsidRDefault="00325653" w:rsidP="00C526B9">
      <w:pPr>
        <w:spacing w:after="0" w:line="240" w:lineRule="auto"/>
        <w:jc w:val="right"/>
        <w:rPr>
          <w:rFonts w:ascii="Arial" w:hAnsi="Arial" w:cs="Arial"/>
          <w:b/>
          <w:bCs/>
          <w:sz w:val="36"/>
          <w:szCs w:val="36"/>
        </w:rPr>
      </w:pPr>
      <w:r w:rsidRPr="00C526B9">
        <w:rPr>
          <w:rFonts w:ascii="Arial" w:hAnsi="Arial" w:cs="Arial"/>
          <w:b/>
          <w:bCs/>
          <w:sz w:val="36"/>
          <w:szCs w:val="36"/>
        </w:rPr>
        <w:t>EVALUATION OF SERUM CLUSTERIN AND URIC ACID LEVELS IN HIV INFECTED PATIENTS WITH AND WITHOUT MALARIA INFECTION IN NAUTH, NNEWI, NIGERIA</w:t>
      </w:r>
    </w:p>
    <w:p w14:paraId="3FB3189C" w14:textId="77777777" w:rsidR="00B54762" w:rsidRPr="00C526B9" w:rsidRDefault="00B54762" w:rsidP="00C526B9">
      <w:pPr>
        <w:spacing w:after="0" w:line="240" w:lineRule="auto"/>
        <w:jc w:val="right"/>
        <w:rPr>
          <w:rFonts w:ascii="Arial" w:hAnsi="Arial" w:cs="Arial"/>
          <w:b/>
          <w:bCs/>
          <w:sz w:val="36"/>
          <w:szCs w:val="36"/>
        </w:rPr>
      </w:pPr>
    </w:p>
    <w:p w14:paraId="3B8FAB53" w14:textId="25389A09" w:rsidR="00017248" w:rsidRPr="00017248" w:rsidRDefault="00017248" w:rsidP="00017248">
      <w:pPr>
        <w:pStyle w:val="1"/>
        <w:spacing w:line="240" w:lineRule="auto"/>
        <w:jc w:val="right"/>
        <w:rPr>
          <w:rFonts w:ascii="Arial" w:hAnsi="Arial" w:cs="Arial"/>
          <w:b w:val="0"/>
          <w:i/>
          <w:iCs/>
          <w:sz w:val="20"/>
          <w:szCs w:val="20"/>
        </w:rPr>
      </w:pPr>
      <w:bookmarkStart w:id="1" w:name="_GoBack"/>
      <w:bookmarkEnd w:id="1"/>
    </w:p>
    <w:p w14:paraId="0F71D1F6" w14:textId="77777777" w:rsidR="00017248" w:rsidRPr="00C526B9" w:rsidRDefault="00017248" w:rsidP="00B54762">
      <w:pPr>
        <w:pStyle w:val="1"/>
        <w:spacing w:line="240" w:lineRule="auto"/>
        <w:jc w:val="right"/>
        <w:rPr>
          <w:rFonts w:ascii="Arial" w:hAnsi="Arial" w:cs="Arial"/>
          <w:i/>
          <w:iCs/>
          <w:sz w:val="20"/>
          <w:szCs w:val="20"/>
        </w:rPr>
      </w:pPr>
    </w:p>
    <w:p w14:paraId="4BD927DD" w14:textId="77777777" w:rsidR="00325653" w:rsidRPr="00C526B9" w:rsidRDefault="00325653" w:rsidP="00CA589E">
      <w:pPr>
        <w:spacing w:line="240" w:lineRule="auto"/>
        <w:rPr>
          <w:rFonts w:ascii="Arial" w:eastAsia="Calibri" w:hAnsi="Arial" w:cs="Arial"/>
        </w:rPr>
      </w:pPr>
      <w:r w:rsidRPr="00C526B9">
        <w:rPr>
          <w:rFonts w:ascii="Arial" w:eastAsia="Calibri" w:hAnsi="Arial" w:cs="Arial"/>
          <w:b/>
          <w:bCs/>
        </w:rPr>
        <w:t>ABSTRACT</w:t>
      </w:r>
    </w:p>
    <w:p w14:paraId="1FD64FB1"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Background:</w:t>
      </w:r>
      <w:r w:rsidRPr="00474F2F">
        <w:rPr>
          <w:rFonts w:ascii="Arial" w:eastAsia="Calibri" w:hAnsi="Arial" w:cs="Arial"/>
          <w:sz w:val="20"/>
          <w:szCs w:val="20"/>
        </w:rPr>
        <w:t xml:space="preserve"> </w:t>
      </w:r>
      <w:r w:rsidR="00112BEF" w:rsidRPr="00474F2F">
        <w:rPr>
          <w:rFonts w:ascii="Arial" w:eastAsia="Calibri" w:hAnsi="Arial" w:cs="Arial"/>
          <w:sz w:val="20"/>
          <w:szCs w:val="20"/>
        </w:rPr>
        <w:t>HIV continues to pose a major global health burden, particularly in developing countries, where its association with renal complications is becoming increasingly evident</w:t>
      </w:r>
      <w:r w:rsidR="00325653" w:rsidRPr="00474F2F">
        <w:rPr>
          <w:rFonts w:ascii="Arial" w:eastAsia="Calibri" w:hAnsi="Arial" w:cs="Arial"/>
          <w:sz w:val="20"/>
          <w:szCs w:val="20"/>
        </w:rPr>
        <w:t xml:space="preserve">. </w:t>
      </w:r>
      <w:r w:rsidR="00112BEF" w:rsidRPr="00474F2F">
        <w:rPr>
          <w:rFonts w:ascii="Arial" w:eastAsia="Calibri" w:hAnsi="Arial" w:cs="Arial"/>
          <w:sz w:val="20"/>
          <w:szCs w:val="20"/>
        </w:rPr>
        <w:t>The situation is further aggravated by malaria co-infection, which not only heightens mortality but also accelerates HIV-1 progression through CD4+ cell activation and pro-inflammatory cytokine upregulation</w:t>
      </w:r>
      <w:r w:rsidR="00325653" w:rsidRPr="00474F2F">
        <w:rPr>
          <w:rFonts w:ascii="Arial" w:eastAsia="Calibri" w:hAnsi="Arial" w:cs="Arial"/>
          <w:sz w:val="20"/>
          <w:szCs w:val="20"/>
        </w:rPr>
        <w:t xml:space="preserve">. </w:t>
      </w:r>
      <w:r w:rsidR="00112BEF" w:rsidRPr="00474F2F">
        <w:rPr>
          <w:rFonts w:ascii="Arial" w:eastAsia="Calibri" w:hAnsi="Arial" w:cs="Arial"/>
          <w:sz w:val="20"/>
          <w:szCs w:val="20"/>
        </w:rPr>
        <w:t xml:space="preserve">Despite this critical overlap, limited research has examined biochemical markers that may reflect or predict these complications. </w:t>
      </w:r>
    </w:p>
    <w:p w14:paraId="5D74B76A"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Aim:</w:t>
      </w:r>
      <w:r w:rsidRPr="00474F2F">
        <w:rPr>
          <w:rFonts w:ascii="Arial" w:eastAsia="Calibri" w:hAnsi="Arial" w:cs="Arial"/>
          <w:sz w:val="20"/>
          <w:szCs w:val="20"/>
        </w:rPr>
        <w:t xml:space="preserve"> </w:t>
      </w:r>
      <w:r w:rsidR="00112BEF" w:rsidRPr="00474F2F">
        <w:rPr>
          <w:rFonts w:ascii="Arial" w:eastAsia="Calibri" w:hAnsi="Arial" w:cs="Arial"/>
          <w:sz w:val="20"/>
          <w:szCs w:val="20"/>
        </w:rPr>
        <w:t xml:space="preserve">This study therefore evaluated serum </w:t>
      </w:r>
      <w:proofErr w:type="spellStart"/>
      <w:r w:rsidR="00112BEF" w:rsidRPr="00474F2F">
        <w:rPr>
          <w:rFonts w:ascii="Arial" w:eastAsia="Calibri" w:hAnsi="Arial" w:cs="Arial"/>
          <w:sz w:val="20"/>
          <w:szCs w:val="20"/>
        </w:rPr>
        <w:t>clusterin</w:t>
      </w:r>
      <w:proofErr w:type="spellEnd"/>
      <w:r w:rsidR="00112BEF" w:rsidRPr="00474F2F">
        <w:rPr>
          <w:rFonts w:ascii="Arial" w:eastAsia="Calibri" w:hAnsi="Arial" w:cs="Arial"/>
          <w:sz w:val="20"/>
          <w:szCs w:val="20"/>
        </w:rPr>
        <w:t xml:space="preserve"> and uric acid levels in HIV-infected patients, with and without malaria co-infection, at Nnamdi Azikiwe University Teaching Hospital (NAUTH), Nnewi, to provide insights into potential biomarkers for monitoring disease progression and co-morbidity outcomes</w:t>
      </w:r>
      <w:r w:rsidR="00325653" w:rsidRPr="00474F2F">
        <w:rPr>
          <w:rFonts w:ascii="Arial" w:eastAsia="Calibri" w:hAnsi="Arial" w:cs="Arial"/>
          <w:sz w:val="20"/>
          <w:szCs w:val="20"/>
        </w:rPr>
        <w:t xml:space="preserve">. </w:t>
      </w:r>
    </w:p>
    <w:p w14:paraId="0EEFBA83"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Method:</w:t>
      </w:r>
      <w:r w:rsidRPr="00474F2F">
        <w:rPr>
          <w:rFonts w:ascii="Arial" w:eastAsia="Calibri" w:hAnsi="Arial" w:cs="Arial"/>
          <w:sz w:val="20"/>
          <w:szCs w:val="20"/>
        </w:rPr>
        <w:t xml:space="preserve"> </w:t>
      </w:r>
      <w:r w:rsidR="00325653" w:rsidRPr="00474F2F">
        <w:rPr>
          <w:rFonts w:ascii="Arial" w:eastAsia="Calibri" w:hAnsi="Arial" w:cs="Arial"/>
          <w:sz w:val="20"/>
          <w:szCs w:val="20"/>
        </w:rPr>
        <w:t xml:space="preserve">This case-controlled study involved eighty-eight participants, aged 18-65 years, recruited from the voluntary counseling and testing (VCT) and antiretroviral therapy (ART) units of NAUTH, Nnewi. Participants were randomly assigned to four groups (n=22 each): HIV positive without malaria, HIV positive with malaria, HIV negative with malaria, and HIV negative without malaria (control). Six milliliters of blood were collected from each participant for the determination of serum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and uric acid levels using established laboratory methods. </w:t>
      </w:r>
    </w:p>
    <w:p w14:paraId="57F7A156" w14:textId="77777777" w:rsidR="00C526B9"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Result:</w:t>
      </w:r>
      <w:r w:rsidRPr="00474F2F">
        <w:rPr>
          <w:rFonts w:ascii="Arial" w:eastAsia="Calibri" w:hAnsi="Arial" w:cs="Arial"/>
          <w:sz w:val="20"/>
          <w:szCs w:val="20"/>
        </w:rPr>
        <w:t xml:space="preserve"> </w:t>
      </w:r>
      <w:r w:rsidR="00325653" w:rsidRPr="00474F2F">
        <w:rPr>
          <w:rFonts w:ascii="Arial" w:eastAsia="Calibri" w:hAnsi="Arial" w:cs="Arial"/>
          <w:sz w:val="20"/>
          <w:szCs w:val="20"/>
        </w:rPr>
        <w:t xml:space="preserve">The findings revealed significantly higher serum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(463.70±85.84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and uric acid (346.13±77.95 µmol/L) in HIV positive patients co-infected with malaria when compared to HIV seropositive subjects only and control subjects (p&lt;0.05). Furthermore,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levels were significantly elevated in males (422.16±89.11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compared to females (p&lt;0.05). Notably, HIV subjects with CD4 counts of ≤500 cells/µL exhibited significantly higher </w:t>
      </w:r>
      <w:proofErr w:type="spellStart"/>
      <w:r w:rsidR="00325653" w:rsidRPr="00474F2F">
        <w:rPr>
          <w:rFonts w:ascii="Arial" w:eastAsia="Calibri" w:hAnsi="Arial" w:cs="Arial"/>
          <w:sz w:val="20"/>
          <w:szCs w:val="20"/>
        </w:rPr>
        <w:t>clusterin</w:t>
      </w:r>
      <w:proofErr w:type="spellEnd"/>
      <w:r w:rsidR="00325653" w:rsidRPr="00474F2F">
        <w:rPr>
          <w:rFonts w:ascii="Arial" w:eastAsia="Calibri" w:hAnsi="Arial" w:cs="Arial"/>
          <w:sz w:val="20"/>
          <w:szCs w:val="20"/>
        </w:rPr>
        <w:t xml:space="preserve"> (444.86±108.15 </w:t>
      </w:r>
      <w:proofErr w:type="spellStart"/>
      <w:r w:rsidR="00325653" w:rsidRPr="00474F2F">
        <w:rPr>
          <w:rFonts w:ascii="Arial" w:eastAsia="Calibri" w:hAnsi="Arial" w:cs="Arial"/>
          <w:sz w:val="20"/>
          <w:szCs w:val="20"/>
        </w:rPr>
        <w:t>pmol</w:t>
      </w:r>
      <w:proofErr w:type="spellEnd"/>
      <w:r w:rsidR="00325653" w:rsidRPr="00474F2F">
        <w:rPr>
          <w:rFonts w:ascii="Arial" w:eastAsia="Calibri" w:hAnsi="Arial" w:cs="Arial"/>
          <w:sz w:val="20"/>
          <w:szCs w:val="20"/>
        </w:rPr>
        <w:t xml:space="preserve">/L) and uric acid (323.08±74.77 µmol/L) levels than those with CD4 counts &gt;500 cells/µL (p&lt;0.05). </w:t>
      </w:r>
    </w:p>
    <w:p w14:paraId="64DB2A04" w14:textId="2A48E189" w:rsidR="00325653" w:rsidRPr="00474F2F" w:rsidRDefault="00C526B9" w:rsidP="00C526B9">
      <w:pPr>
        <w:spacing w:after="0" w:line="240" w:lineRule="auto"/>
        <w:rPr>
          <w:rFonts w:ascii="Arial" w:eastAsia="Calibri" w:hAnsi="Arial" w:cs="Arial"/>
          <w:sz w:val="20"/>
          <w:szCs w:val="20"/>
        </w:rPr>
      </w:pPr>
      <w:r w:rsidRPr="00474F2F">
        <w:rPr>
          <w:rFonts w:ascii="Arial" w:eastAsia="Calibri" w:hAnsi="Arial" w:cs="Arial"/>
          <w:b/>
          <w:bCs/>
          <w:sz w:val="20"/>
          <w:szCs w:val="20"/>
        </w:rPr>
        <w:t>Conclusion:</w:t>
      </w:r>
      <w:r w:rsidRPr="00474F2F">
        <w:rPr>
          <w:rFonts w:ascii="Arial" w:eastAsia="Calibri" w:hAnsi="Arial" w:cs="Arial"/>
          <w:sz w:val="20"/>
          <w:szCs w:val="20"/>
        </w:rPr>
        <w:t xml:space="preserve"> </w:t>
      </w:r>
      <w:r w:rsidR="00325653" w:rsidRPr="00474F2F">
        <w:rPr>
          <w:rFonts w:ascii="Arial" w:eastAsia="Calibri" w:hAnsi="Arial" w:cs="Arial"/>
          <w:sz w:val="20"/>
          <w:szCs w:val="20"/>
        </w:rPr>
        <w:t xml:space="preserve">This study concludes that HIV-malaria co-infection is associated with a pronounced inflammatory reaction and hyperuricemia, indicative of heightened oxidative stress. These biochemical alterations signify an increased risk for renal dysfunction and disease severity among co-infected individuals. </w:t>
      </w:r>
    </w:p>
    <w:p w14:paraId="49011372" w14:textId="77777777" w:rsidR="00C526B9" w:rsidRPr="00C526B9" w:rsidRDefault="00C526B9" w:rsidP="00C526B9">
      <w:pPr>
        <w:spacing w:after="0" w:line="240" w:lineRule="auto"/>
        <w:rPr>
          <w:rFonts w:ascii="Arial" w:eastAsia="Calibri" w:hAnsi="Arial" w:cs="Arial"/>
          <w:sz w:val="24"/>
          <w:szCs w:val="24"/>
        </w:rPr>
      </w:pPr>
    </w:p>
    <w:p w14:paraId="44FFCEF1" w14:textId="3C4DDC49" w:rsidR="00325653" w:rsidRDefault="00325653" w:rsidP="00CA589E">
      <w:pPr>
        <w:spacing w:line="240" w:lineRule="auto"/>
        <w:rPr>
          <w:rFonts w:ascii="Arial" w:eastAsia="Calibri" w:hAnsi="Arial" w:cs="Arial"/>
          <w:b/>
          <w:bCs/>
          <w:sz w:val="20"/>
          <w:szCs w:val="20"/>
        </w:rPr>
      </w:pPr>
      <w:r w:rsidRPr="00474F2F">
        <w:rPr>
          <w:rFonts w:ascii="Arial" w:eastAsia="Calibri" w:hAnsi="Arial" w:cs="Arial"/>
          <w:b/>
          <w:bCs/>
          <w:sz w:val="20"/>
          <w:szCs w:val="20"/>
        </w:rPr>
        <w:t xml:space="preserve">Keywords: HIV, Malaria Co-infection, </w:t>
      </w:r>
      <w:proofErr w:type="spellStart"/>
      <w:r w:rsidRPr="00474F2F">
        <w:rPr>
          <w:rFonts w:ascii="Arial" w:eastAsia="Calibri" w:hAnsi="Arial" w:cs="Arial"/>
          <w:b/>
          <w:bCs/>
          <w:sz w:val="20"/>
          <w:szCs w:val="20"/>
        </w:rPr>
        <w:t>Clusterin</w:t>
      </w:r>
      <w:proofErr w:type="spellEnd"/>
      <w:r w:rsidRPr="00474F2F">
        <w:rPr>
          <w:rFonts w:ascii="Arial" w:eastAsia="Calibri" w:hAnsi="Arial" w:cs="Arial"/>
          <w:b/>
          <w:bCs/>
          <w:sz w:val="20"/>
          <w:szCs w:val="20"/>
        </w:rPr>
        <w:t>, Uric Acid, Renal Dysfunction.</w:t>
      </w:r>
    </w:p>
    <w:p w14:paraId="66FFAF77" w14:textId="77777777" w:rsidR="00482DB2" w:rsidRPr="00474F2F" w:rsidRDefault="00482DB2" w:rsidP="00CA589E">
      <w:pPr>
        <w:spacing w:line="240" w:lineRule="auto"/>
        <w:rPr>
          <w:rFonts w:ascii="Arial" w:eastAsia="Calibri" w:hAnsi="Arial" w:cs="Arial"/>
          <w:b/>
          <w:bCs/>
          <w:sz w:val="20"/>
          <w:szCs w:val="20"/>
        </w:rPr>
      </w:pPr>
    </w:p>
    <w:p w14:paraId="24B2BDE2" w14:textId="77777777" w:rsidR="00325653" w:rsidRPr="00482DB2" w:rsidRDefault="00325653" w:rsidP="00CA589E">
      <w:pPr>
        <w:pStyle w:val="1"/>
        <w:spacing w:line="240" w:lineRule="auto"/>
        <w:jc w:val="left"/>
        <w:rPr>
          <w:rFonts w:ascii="Arial" w:hAnsi="Arial" w:cs="Arial"/>
          <w:sz w:val="22"/>
          <w:szCs w:val="22"/>
        </w:rPr>
      </w:pPr>
      <w:bookmarkStart w:id="2" w:name="_Toc184026906"/>
      <w:r w:rsidRPr="00482DB2">
        <w:rPr>
          <w:rFonts w:ascii="Arial" w:hAnsi="Arial" w:cs="Arial"/>
          <w:sz w:val="22"/>
          <w:szCs w:val="22"/>
        </w:rPr>
        <w:t>INTRODUCTION</w:t>
      </w:r>
      <w:bookmarkEnd w:id="2"/>
    </w:p>
    <w:bookmarkEnd w:id="0"/>
    <w:p w14:paraId="782B41C4"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Human immunodeficiency virus (HIV), the etiological agent of acquired immunodeficiency syndrome (AIDS), primarily affects and impairs immune system cells, persistently posing a major global public health challenge. This is particularly evident in developing countries such as Nigeria (WHO, 2020). The devastating impacts of HIV are widespread, with an estimated 38.0 million people living with HIV and nearly 33 million lives claimed by the virus globally by the end of 2019 (WHO, 2020). Transmission routes include sexual intercourse, shared intravenous drug paraphernalia, and mother-to-child transmission through contact with infected body fluids (WHO, 2020). It is important to note that individuals living with HIV who adhere to antiretroviral therapy (ART) and achieve viral suppression do not transmit the virus to their sexual partners (WHO, 2020). As the virus progressively destroys immune cells, infected individuals develop immunodeficiency, leading to an increased susceptibility to a broad spectrum of infections, cancers, and other diseases that typically healthy immune systems can ward off (May et al., 2014; </w:t>
      </w:r>
      <w:proofErr w:type="spellStart"/>
      <w:r w:rsidRPr="00482DB2">
        <w:rPr>
          <w:rFonts w:ascii="Arial" w:hAnsi="Arial" w:cs="Arial"/>
          <w:sz w:val="20"/>
          <w:szCs w:val="20"/>
        </w:rPr>
        <w:t>Ezeugwunne</w:t>
      </w:r>
      <w:proofErr w:type="spellEnd"/>
      <w:r w:rsidRPr="00482DB2">
        <w:rPr>
          <w:rFonts w:ascii="Arial" w:hAnsi="Arial" w:cs="Arial"/>
          <w:sz w:val="20"/>
          <w:szCs w:val="20"/>
        </w:rPr>
        <w:t xml:space="preserve"> et al., 2019).</w:t>
      </w:r>
    </w:p>
    <w:p w14:paraId="2E870506"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The advent of antiretroviral therapy significantly improved the prognosis for HIV-positive individuals, drastically reducing mortality rates and enhancing life expectancy worldwide (</w:t>
      </w:r>
      <w:proofErr w:type="spellStart"/>
      <w:r w:rsidRPr="00482DB2">
        <w:rPr>
          <w:rFonts w:ascii="Arial" w:hAnsi="Arial" w:cs="Arial"/>
          <w:sz w:val="20"/>
          <w:szCs w:val="20"/>
        </w:rPr>
        <w:t>Wandeler</w:t>
      </w:r>
      <w:proofErr w:type="spellEnd"/>
      <w:r w:rsidRPr="00482DB2">
        <w:rPr>
          <w:rFonts w:ascii="Arial" w:hAnsi="Arial" w:cs="Arial"/>
          <w:sz w:val="20"/>
          <w:szCs w:val="20"/>
        </w:rPr>
        <w:t xml:space="preserve"> et al., 2016). However, the long-term use of ART has also introduced new health complications, most notably the emergence of renal disease (Joshi et al., 2018). Renal dysfunction in people living with HIV (PLWH) is a multifactorial issue, resulting from direct HIV infection effects, HIV-induced inflammation, co-morbid diseases, and the </w:t>
      </w:r>
      <w:proofErr w:type="spellStart"/>
      <w:r w:rsidRPr="00482DB2">
        <w:rPr>
          <w:rFonts w:ascii="Arial" w:hAnsi="Arial" w:cs="Arial"/>
          <w:sz w:val="20"/>
          <w:szCs w:val="20"/>
        </w:rPr>
        <w:t>nephrotoxicities</w:t>
      </w:r>
      <w:proofErr w:type="spellEnd"/>
      <w:r w:rsidRPr="00482DB2">
        <w:rPr>
          <w:rFonts w:ascii="Arial" w:hAnsi="Arial" w:cs="Arial"/>
          <w:sz w:val="20"/>
          <w:szCs w:val="20"/>
        </w:rPr>
        <w:t xml:space="preserve"> associated with ART drugs (</w:t>
      </w:r>
      <w:proofErr w:type="spellStart"/>
      <w:r w:rsidRPr="00482DB2">
        <w:rPr>
          <w:rFonts w:ascii="Arial" w:hAnsi="Arial" w:cs="Arial"/>
          <w:sz w:val="20"/>
          <w:szCs w:val="20"/>
        </w:rPr>
        <w:t>Chazot</w:t>
      </w:r>
      <w:proofErr w:type="spellEnd"/>
      <w:r w:rsidRPr="00482DB2">
        <w:rPr>
          <w:rFonts w:ascii="Arial" w:hAnsi="Arial" w:cs="Arial"/>
          <w:sz w:val="20"/>
          <w:szCs w:val="20"/>
        </w:rPr>
        <w:t xml:space="preserve"> et al., 2017; Adeleke and </w:t>
      </w:r>
      <w:proofErr w:type="spellStart"/>
      <w:r w:rsidRPr="00482DB2">
        <w:rPr>
          <w:rFonts w:ascii="Arial" w:hAnsi="Arial" w:cs="Arial"/>
          <w:sz w:val="20"/>
          <w:szCs w:val="20"/>
        </w:rPr>
        <w:t>Emokpae</w:t>
      </w:r>
      <w:proofErr w:type="spellEnd"/>
      <w:r w:rsidRPr="00482DB2">
        <w:rPr>
          <w:rFonts w:ascii="Arial" w:hAnsi="Arial" w:cs="Arial"/>
          <w:sz w:val="20"/>
          <w:szCs w:val="20"/>
        </w:rPr>
        <w:t>, 2019). Kidney disease, manifesting as acute kidney injury, HIV-associated kidney disease, co-morbid chronic kidney disease (CKD), and treatment-related kidney toxicity, has been identified as a significant cause of mortality among PLWH undergoing ART (</w:t>
      </w:r>
      <w:proofErr w:type="spellStart"/>
      <w:r w:rsidRPr="00482DB2">
        <w:rPr>
          <w:rFonts w:ascii="Arial" w:hAnsi="Arial" w:cs="Arial"/>
          <w:sz w:val="20"/>
          <w:szCs w:val="20"/>
        </w:rPr>
        <w:t>Chazot</w:t>
      </w:r>
      <w:proofErr w:type="spellEnd"/>
      <w:r w:rsidRPr="00482DB2">
        <w:rPr>
          <w:rFonts w:ascii="Arial" w:hAnsi="Arial" w:cs="Arial"/>
          <w:sz w:val="20"/>
          <w:szCs w:val="20"/>
        </w:rPr>
        <w:t xml:space="preserve"> et al., 2017; Wyatt, 2017). Compared to HIV-negative individuals, HIV-positive patients generally exhibit a higher risk of proteinuria, albuminuria, and reduced glomerular filtration rates (</w:t>
      </w:r>
      <w:proofErr w:type="spellStart"/>
      <w:r w:rsidRPr="00482DB2">
        <w:rPr>
          <w:rFonts w:ascii="Arial" w:hAnsi="Arial" w:cs="Arial"/>
          <w:sz w:val="20"/>
          <w:szCs w:val="20"/>
        </w:rPr>
        <w:t>Shinha</w:t>
      </w:r>
      <w:proofErr w:type="spellEnd"/>
      <w:r w:rsidRPr="00482DB2">
        <w:rPr>
          <w:rFonts w:ascii="Arial" w:hAnsi="Arial" w:cs="Arial"/>
          <w:sz w:val="20"/>
          <w:szCs w:val="20"/>
        </w:rPr>
        <w:t xml:space="preserve"> </w:t>
      </w:r>
      <w:r w:rsidRPr="00482DB2">
        <w:rPr>
          <w:rFonts w:ascii="Arial" w:hAnsi="Arial" w:cs="Arial"/>
          <w:sz w:val="20"/>
          <w:szCs w:val="20"/>
        </w:rPr>
        <w:lastRenderedPageBreak/>
        <w:t xml:space="preserve">et al., 2015; </w:t>
      </w:r>
      <w:proofErr w:type="spellStart"/>
      <w:r w:rsidRPr="00482DB2">
        <w:rPr>
          <w:rFonts w:ascii="Arial" w:hAnsi="Arial" w:cs="Arial"/>
          <w:sz w:val="20"/>
          <w:szCs w:val="20"/>
        </w:rPr>
        <w:t>Ukibe</w:t>
      </w:r>
      <w:proofErr w:type="spellEnd"/>
      <w:r w:rsidRPr="00482DB2">
        <w:rPr>
          <w:rFonts w:ascii="Arial" w:hAnsi="Arial" w:cs="Arial"/>
          <w:sz w:val="20"/>
          <w:szCs w:val="20"/>
        </w:rPr>
        <w:t xml:space="preserve"> et al., 2018). Certain antiretroviral medications have been linked to the progression of kidney disease, inhibition of renal tubular transporters that mediate creatinine secretion, or impaired reabsorption of phosphate and low-molecular weight proteins (Post, 2020). Consequently, long-term ART use can lead to potentially life-threatening kidney derangements (Adeleke and </w:t>
      </w:r>
      <w:proofErr w:type="spellStart"/>
      <w:r w:rsidRPr="00482DB2">
        <w:rPr>
          <w:rFonts w:ascii="Arial" w:hAnsi="Arial" w:cs="Arial"/>
          <w:sz w:val="20"/>
          <w:szCs w:val="20"/>
        </w:rPr>
        <w:t>Emokpae</w:t>
      </w:r>
      <w:proofErr w:type="spellEnd"/>
      <w:r w:rsidRPr="00482DB2">
        <w:rPr>
          <w:rFonts w:ascii="Arial" w:hAnsi="Arial" w:cs="Arial"/>
          <w:sz w:val="20"/>
          <w:szCs w:val="20"/>
        </w:rPr>
        <w:t>, 2019). Therefore, meticulous and consistent monitoring of renal function, employing relevant renal biomarkers, is crucial for the effective management of HIV-infected individuals on ART (Galati et al., 2022).</w:t>
      </w:r>
    </w:p>
    <w:p w14:paraId="0CD884BC"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Further complicating the clinical management of HIV is co-infection with malaria, a widespread mosquito-borne infectious disease globally (WHO, 2022). Malaria typically presents with symptoms such as fever, fatigue, vomiting, and headaches, and can progress to severe outcomes including jaundice, seizures, coma, or even death (WHO, 2024). Symptoms commonly appear 10 to 15 days after an infected mosquito bite, and without proper treatment, recurrences may occur months later (WHO, 2022). The co-infection of HIV with malaria is known to increase mortality rates (</w:t>
      </w:r>
      <w:proofErr w:type="spellStart"/>
      <w:r w:rsidRPr="00482DB2">
        <w:rPr>
          <w:rFonts w:ascii="Arial" w:hAnsi="Arial" w:cs="Arial"/>
          <w:sz w:val="20"/>
          <w:szCs w:val="20"/>
        </w:rPr>
        <w:t>Sanyaolu</w:t>
      </w:r>
      <w:proofErr w:type="spellEnd"/>
      <w:r w:rsidRPr="00482DB2">
        <w:rPr>
          <w:rFonts w:ascii="Arial" w:hAnsi="Arial" w:cs="Arial"/>
          <w:sz w:val="20"/>
          <w:szCs w:val="20"/>
        </w:rPr>
        <w:t xml:space="preserve"> et al., 2013). Moreover, malaria infection creates an ideal micro-environment that promotes rapid HIV-1 replication by inducing strong CD4+ cell activation and up-regulating pro-inflammatory cytokines, thereby facilitating the spread of the virus among CD4+ cells (WHO, 2022). Kidney failure, particularly associated with blackwater fever where hemoglobin from lysed red blood cells leaks into the urine, is also a reported complication of severe malaria (Hanif et al., 2023).</w:t>
      </w:r>
    </w:p>
    <w:p w14:paraId="6968D3B2"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In this intricate pathological landscape, the identification and evaluation of reliable diagnostic and prognostic biomarkers for renal health are increasingly vital (Galati et al., 2022). This study investigates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as markers of emerging relevance. </w:t>
      </w:r>
      <w:proofErr w:type="spellStart"/>
      <w:r w:rsidRPr="00482DB2">
        <w:rPr>
          <w:rFonts w:ascii="Arial" w:hAnsi="Arial" w:cs="Arial"/>
          <w:sz w:val="20"/>
          <w:szCs w:val="20"/>
        </w:rPr>
        <w:t>Clusterin</w:t>
      </w:r>
      <w:proofErr w:type="spellEnd"/>
      <w:r w:rsidRPr="00482DB2">
        <w:rPr>
          <w:rFonts w:ascii="Arial" w:hAnsi="Arial" w:cs="Arial"/>
          <w:sz w:val="20"/>
          <w:szCs w:val="20"/>
        </w:rPr>
        <w:t>, a heterodimer circulating in human blood plasma and expressed in renal proximal tubule epithelial cells, plays protective roles during oxidative stress and endothelial injury (Figueroa et al., 2019; Pizzino et al., 2017). Its secreted form is associated with a protective response, while the nuclear form is linked to cell death and apoptosis during oxidative stress (Pizzino et al., 2017). Similarly, elevated serum uric acid (SUA) levels, or hyperuricemia, are consistently associated with endothelial dysfunction in HIV patients (</w:t>
      </w:r>
      <w:proofErr w:type="spellStart"/>
      <w:r w:rsidRPr="00482DB2">
        <w:rPr>
          <w:rFonts w:ascii="Arial" w:hAnsi="Arial" w:cs="Arial"/>
          <w:sz w:val="20"/>
          <w:szCs w:val="20"/>
        </w:rPr>
        <w:t>Nsonwu</w:t>
      </w:r>
      <w:proofErr w:type="spellEnd"/>
      <w:r w:rsidRPr="00482DB2">
        <w:rPr>
          <w:rFonts w:ascii="Arial" w:hAnsi="Arial" w:cs="Arial"/>
          <w:sz w:val="20"/>
          <w:szCs w:val="20"/>
        </w:rPr>
        <w:t>-Anyanwu et al., 2017; Pirro et al., 2018). The hyperuricemia observed in HIV infection may result from complex pathological, metabolic, and immunological interactions characteristic of disease progression, including HIV viremia-induced increased cell turnover, loss of mononuclear cells, autoimmune or neoplastic disorders, hypercatabolic states, concomitant infections, and heightened oxidative stress (Patel et al., 2019). Furthermore, some antiretroviral drugs are associated with mitochondrial dysfunction, leading to increased lactate formation which competes with urate for tubular secretion in the kidneys, contributing to hyperuricemia (</w:t>
      </w:r>
      <w:proofErr w:type="spellStart"/>
      <w:r w:rsidRPr="00482DB2">
        <w:rPr>
          <w:rFonts w:ascii="Arial" w:hAnsi="Arial" w:cs="Arial"/>
          <w:sz w:val="20"/>
          <w:szCs w:val="20"/>
        </w:rPr>
        <w:t>Alrubayyi</w:t>
      </w:r>
      <w:proofErr w:type="spellEnd"/>
      <w:r w:rsidRPr="00482DB2">
        <w:rPr>
          <w:rFonts w:ascii="Arial" w:hAnsi="Arial" w:cs="Arial"/>
          <w:sz w:val="20"/>
          <w:szCs w:val="20"/>
        </w:rPr>
        <w:t xml:space="preserve"> et al., 2022). Elevated uric acid is a recognized risk factor for various metabolic diseases, including inflammatory gout, hypertension, cardiovascular death, renal disease, atherosclerosis, and ischemic heart disease (Liu et al., 2020; Wang et al., 2019; Nagahama et al., 2015).</w:t>
      </w:r>
    </w:p>
    <w:p w14:paraId="758E44BA"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Nigeria currently faces a substantial burden of HIV infection, with a reported 1.4% prevalence among adults aged 15–49 years nationally, rising to 1.9% in the southeastern part of the country (UNAIDS, 2019). The increasing prevalence of HIV, coupled with the frequent co-infection of malaria, significantly exacerbates the risk of renal complications. These deleterious effects on the kidneys can stem from the direct viral impact, antiretroviral drug usage, or co-morbidities owing to the vulnerability of HIV-positive patients to opportunistic pathogens, which further intensify the negative impacts of HIV infection (UNAIDS, 2019). In light of this critical public health scenario and the increasing prevalence of HIV and malaria co-infection, it has become imperative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these patient populations at Nnamdi Azikiwe University Teaching Hospital (NAUTH), Nnewi. This evaluation aims to facilitate early prognosis, detection, and enhanced management of potential renal complications and disease severity, thereby reducing the risks of greater complications in these subjects.</w:t>
      </w:r>
    </w:p>
    <w:p w14:paraId="0C97C2CA" w14:textId="77777777" w:rsidR="00325653" w:rsidRPr="00482DB2" w:rsidRDefault="00325653" w:rsidP="00CA589E">
      <w:pPr>
        <w:spacing w:line="240" w:lineRule="auto"/>
        <w:rPr>
          <w:rFonts w:ascii="Arial" w:hAnsi="Arial" w:cs="Arial"/>
          <w:sz w:val="20"/>
          <w:szCs w:val="20"/>
        </w:rPr>
      </w:pPr>
      <w:r w:rsidRPr="00482DB2">
        <w:rPr>
          <w:rFonts w:ascii="Arial" w:hAnsi="Arial" w:cs="Arial"/>
          <w:sz w:val="20"/>
          <w:szCs w:val="20"/>
        </w:rPr>
        <w:t xml:space="preserve">Therefore, this study specifically aimed to evaluate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both with and without malaria co-infection, at Nnamdi Azikiwe University Teaching Hospital (NAUTH), Nnewi, Nigeria. </w:t>
      </w:r>
    </w:p>
    <w:p w14:paraId="74FB979F" w14:textId="5FB019D4" w:rsidR="00325653" w:rsidRPr="00482DB2" w:rsidRDefault="00CA589E" w:rsidP="00CA589E">
      <w:pPr>
        <w:spacing w:line="240" w:lineRule="auto"/>
        <w:rPr>
          <w:rFonts w:ascii="Arial" w:hAnsi="Arial" w:cs="Arial"/>
          <w:b/>
          <w:bCs/>
        </w:rPr>
      </w:pPr>
      <w:r w:rsidRPr="00482DB2">
        <w:rPr>
          <w:rFonts w:ascii="Arial" w:hAnsi="Arial" w:cs="Arial"/>
          <w:b/>
          <w:bCs/>
        </w:rPr>
        <w:t>MATERIALS AND METHODS</w:t>
      </w:r>
    </w:p>
    <w:p w14:paraId="67F89F6A" w14:textId="2CF0798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Materials:</w:t>
      </w:r>
      <w:r w:rsidRPr="00482DB2">
        <w:rPr>
          <w:rFonts w:ascii="Arial" w:hAnsi="Arial" w:cs="Arial"/>
          <w:sz w:val="20"/>
          <w:szCs w:val="20"/>
        </w:rPr>
        <w:t xml:space="preserve"> The materials utilized in this project included a Tourniquet, 5ml Syringe, plain test tubes, Cotton wool, Swabs, spectrophotometer, refrigerator, centrifuge, microplate reader, automatic pipette, weighing balance, measuring tape, and sphygmomanometer. Additionally, reagents such as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kits were employed.</w:t>
      </w:r>
    </w:p>
    <w:p w14:paraId="4808996C" w14:textId="23BC0C14"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Study Design and Participants Recruitment:</w:t>
      </w:r>
      <w:r w:rsidRPr="00482DB2">
        <w:rPr>
          <w:rFonts w:ascii="Arial" w:hAnsi="Arial" w:cs="Arial"/>
          <w:sz w:val="20"/>
          <w:szCs w:val="20"/>
        </w:rPr>
        <w:t xml:space="preserve"> This investigation was a case-controlled study specifically designed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co-infected with malaria at Nnamdi Azikiwe University Teaching Hospital (NAUTH), Nnewi. A total of eighty-eight (88) HIV positive patients and control participants, aged between 18 and 65 years, were randomly recruited from the voluntary counseling and testing (VCT) unit and the antiretroviral therapy (ART) unit in the HIV clinic (IHVN </w:t>
      </w:r>
      <w:proofErr w:type="spellStart"/>
      <w:r w:rsidRPr="00482DB2">
        <w:rPr>
          <w:rFonts w:ascii="Arial" w:hAnsi="Arial" w:cs="Arial"/>
          <w:sz w:val="20"/>
          <w:szCs w:val="20"/>
        </w:rPr>
        <w:t>centre</w:t>
      </w:r>
      <w:proofErr w:type="spellEnd"/>
      <w:r w:rsidRPr="00482DB2">
        <w:rPr>
          <w:rFonts w:ascii="Arial" w:hAnsi="Arial" w:cs="Arial"/>
          <w:sz w:val="20"/>
          <w:szCs w:val="20"/>
        </w:rPr>
        <w:t>) of NAUTH, Nnewi. Prior to commencing the study, informed consent was obtained from each participant. Participants were stratified into four distinct groups: Group A comprised HIV positive subjects without malaria (n=22); Group B included HIV positive subjects with malaria (n=22); Group C consisted of HIV negative subjects with malaria (n=22); and Group D was made up of HIV negative subjects without malaria (n=22).</w:t>
      </w:r>
    </w:p>
    <w:p w14:paraId="0CF29E00" w14:textId="5D41C6A8"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Sample Size:</w:t>
      </w:r>
      <w:r w:rsidRPr="00482DB2">
        <w:rPr>
          <w:rFonts w:ascii="Arial" w:hAnsi="Arial" w:cs="Arial"/>
          <w:sz w:val="20"/>
          <w:szCs w:val="20"/>
        </w:rPr>
        <w:t xml:space="preserve"> The sample size for this study was meticulously calculated utilizing G*power software version 3.0.10 (</w:t>
      </w:r>
      <w:proofErr w:type="spellStart"/>
      <w:r w:rsidRPr="00482DB2">
        <w:rPr>
          <w:rFonts w:ascii="Arial" w:hAnsi="Arial" w:cs="Arial"/>
          <w:sz w:val="20"/>
          <w:szCs w:val="20"/>
        </w:rPr>
        <w:t>Universitat</w:t>
      </w:r>
      <w:proofErr w:type="spellEnd"/>
      <w:r w:rsidRPr="00482DB2">
        <w:rPr>
          <w:rFonts w:ascii="Arial" w:hAnsi="Arial" w:cs="Arial"/>
          <w:sz w:val="20"/>
          <w:szCs w:val="20"/>
        </w:rPr>
        <w:t xml:space="preserve"> Dusseldorf, Germany). A power analysis was conducted using an alpha level of 0.05, a power of 0.80, and a </w:t>
      </w:r>
      <w:r w:rsidRPr="00482DB2">
        <w:rPr>
          <w:rFonts w:ascii="Arial" w:hAnsi="Arial" w:cs="Arial"/>
          <w:sz w:val="20"/>
          <w:szCs w:val="20"/>
        </w:rPr>
        <w:lastRenderedPageBreak/>
        <w:t>medium effect size of 0.4. Based on these parameters, the calculated total sample of 80 participants provided 80% power to detect a difference of 0.4 at a significance level of 0.05. To account for potential attrition throughout the study, a slightly larger total sample size of 88 participants was ultimately employed.</w:t>
      </w:r>
    </w:p>
    <w:p w14:paraId="52A430B4" w14:textId="4FBAD1AC"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Study Site:</w:t>
      </w:r>
      <w:r w:rsidRPr="00482DB2">
        <w:rPr>
          <w:rFonts w:ascii="Arial" w:hAnsi="Arial" w:cs="Arial"/>
          <w:sz w:val="20"/>
          <w:szCs w:val="20"/>
        </w:rPr>
        <w:t xml:space="preserve"> This research was conducted exclusively at Nnamdi Azikiwe University Teaching Hospital, located in Nnewi, Nigeria.</w:t>
      </w:r>
    </w:p>
    <w:p w14:paraId="7FED46E6" w14:textId="1C55A6C8"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Inclusion and Exclusion Criteria:</w:t>
      </w:r>
      <w:r w:rsidRPr="00482DB2">
        <w:rPr>
          <w:rFonts w:ascii="Arial" w:hAnsi="Arial" w:cs="Arial"/>
          <w:sz w:val="20"/>
          <w:szCs w:val="20"/>
        </w:rPr>
        <w:t xml:space="preserve"> Participants were included in the study if they were HIV positive patients receiving a triple combination of Stavudine, Lamivudine, and Nevirapine, consistent with the World Health Organization's (WHO) first-line antiretroviral therapy, or if they were HIV negative patients. All included participants were required to be aged between 18 and 65 years and meet the WHO criteria for HIV staging. Conversely, subjects with a history of smoking, hypertension, tuberculosis, heart diseases, or any other clinical condition apart from HIV infection were explicitly excluded from participation.</w:t>
      </w:r>
    </w:p>
    <w:p w14:paraId="4CC5D9C5" w14:textId="5EB9CE7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Sample Collection:</w:t>
      </w:r>
      <w:r w:rsidRPr="00482DB2">
        <w:rPr>
          <w:rFonts w:ascii="Arial" w:hAnsi="Arial" w:cs="Arial"/>
          <w:sz w:val="20"/>
          <w:szCs w:val="20"/>
        </w:rPr>
        <w:t xml:space="preserve"> For each participant in every group, a six-milliliter (6ml) blood sample was collected. These samples were then dispensed into plain containers, specifically designated for the subsequent determination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To preserve the integrity of the samples until analysis, the serum samples were stored at a temperature of -20°C.</w:t>
      </w:r>
    </w:p>
    <w:p w14:paraId="5D4029EA" w14:textId="69F50DF4"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Methods:</w:t>
      </w:r>
      <w:r w:rsidRPr="00482DB2">
        <w:rPr>
          <w:rFonts w:ascii="Arial" w:hAnsi="Arial" w:cs="Arial"/>
          <w:sz w:val="20"/>
          <w:szCs w:val="20"/>
        </w:rPr>
        <w:t xml:space="preserve"> HIV Determination Participants underwent screening for HIV infection using both Immunoassay and Immunochromatographic methods. Antibodies to HIV-1 and HIV-2 in human plasma were specifically determined using the Abbott Determine™ HIV-1 and HIV-2 kit, which functions as an in-vitro visually read immunoassay (Abbott Japan Co. Ltd. Tokyo, Japan). Additionally, the HIV-1 and 2 STAT-PAK Assay kit, an Immunochromatographic test for the quantitative detection of antibodies to HIV-1 and HIV-2 in human plasma (CHEMBIO Diagnostic system, Inc, New York, USA), was utilized.</w:t>
      </w:r>
    </w:p>
    <w:p w14:paraId="0194DD90" w14:textId="685E40DB"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Determination of Malaria:</w:t>
      </w:r>
      <w:r w:rsidRPr="00482DB2">
        <w:rPr>
          <w:rFonts w:ascii="Arial" w:hAnsi="Arial" w:cs="Arial"/>
          <w:sz w:val="20"/>
          <w:szCs w:val="20"/>
        </w:rPr>
        <w:t xml:space="preserve"> Malaria screening for participants was conducted using the Abbot Malaria Rapid Test kit, as described by Abbot Laboratories. This test employs lateral flow immuno-chromatography, a method effective in the diagnosis of malaria, to qualitatively detect plasmodium antigen in human whole blood samples.</w:t>
      </w:r>
    </w:p>
    <w:p w14:paraId="470491D6" w14:textId="3AC37845"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 xml:space="preserve">Determination of Serum </w:t>
      </w:r>
      <w:proofErr w:type="spellStart"/>
      <w:r w:rsidRPr="00482DB2">
        <w:rPr>
          <w:rFonts w:ascii="Arial" w:hAnsi="Arial" w:cs="Arial"/>
          <w:b/>
          <w:bCs/>
          <w:sz w:val="20"/>
          <w:szCs w:val="20"/>
        </w:rPr>
        <w:t>Clusterin</w:t>
      </w:r>
      <w:proofErr w:type="spellEnd"/>
      <w:r w:rsidRPr="00482DB2">
        <w:rPr>
          <w:rFonts w:ascii="Arial" w:hAnsi="Arial" w:cs="Arial"/>
          <w:sz w:val="20"/>
          <w:szCs w:val="20"/>
        </w:rPr>
        <w:t xml:space="preserve">: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levels were determined using an </w:t>
      </w:r>
      <w:proofErr w:type="spellStart"/>
      <w:r w:rsidRPr="00482DB2">
        <w:rPr>
          <w:rFonts w:ascii="Arial" w:hAnsi="Arial" w:cs="Arial"/>
          <w:sz w:val="20"/>
          <w:szCs w:val="20"/>
        </w:rPr>
        <w:t>Immnoturbidimetric</w:t>
      </w:r>
      <w:proofErr w:type="spellEnd"/>
      <w:r w:rsidRPr="00482DB2">
        <w:rPr>
          <w:rFonts w:ascii="Arial" w:hAnsi="Arial" w:cs="Arial"/>
          <w:sz w:val="20"/>
          <w:szCs w:val="20"/>
        </w:rPr>
        <w:t xml:space="preserve"> method with a human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ELISA kit. The established reference range for CLU is between 50 and 1600 </w:t>
      </w:r>
      <w:proofErr w:type="spellStart"/>
      <w:r w:rsidRPr="00482DB2">
        <w:rPr>
          <w:rFonts w:ascii="Arial" w:hAnsi="Arial" w:cs="Arial"/>
          <w:sz w:val="20"/>
          <w:szCs w:val="20"/>
        </w:rPr>
        <w:t>pmol</w:t>
      </w:r>
      <w:proofErr w:type="spellEnd"/>
      <w:r w:rsidRPr="00482DB2">
        <w:rPr>
          <w:rFonts w:ascii="Arial" w:hAnsi="Arial" w:cs="Arial"/>
          <w:sz w:val="20"/>
          <w:szCs w:val="20"/>
        </w:rPr>
        <w:t>/L.</w:t>
      </w:r>
    </w:p>
    <w:p w14:paraId="155BA540" w14:textId="201C1E24"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Determination of Serum Uric Acid:</w:t>
      </w:r>
      <w:r w:rsidRPr="00482DB2">
        <w:rPr>
          <w:rFonts w:ascii="Arial" w:hAnsi="Arial" w:cs="Arial"/>
          <w:sz w:val="20"/>
          <w:szCs w:val="20"/>
        </w:rPr>
        <w:t xml:space="preserve"> Serum uric acid estimation was performed using the Uricase method, a procedure detailed by Ochei and Kolhatkar (2007).</w:t>
      </w:r>
    </w:p>
    <w:p w14:paraId="77DF3368" w14:textId="2A52DDE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Anthropometric Measurements:</w:t>
      </w:r>
      <w:r w:rsidRPr="00482DB2">
        <w:rPr>
          <w:rFonts w:ascii="Arial" w:hAnsi="Arial" w:cs="Arial"/>
          <w:sz w:val="20"/>
          <w:szCs w:val="20"/>
        </w:rPr>
        <w:t xml:space="preserve"> Weight and height measurements were taken from participants while they were dressed in clothing but without shoes. The Body Mass Index (BMI) was subsequently calculated using the formula: BMI = weight (kg) / height² (m²). Height was measured using a measuring tape attached to a wooden surface, while weight was recorded using a manual weighing scale. Overweight was defined as a BMI ≥ 25 kg/m², and generalized obesity was defined as a BMI ≥ 30 kg/m².</w:t>
      </w:r>
    </w:p>
    <w:p w14:paraId="0FB42AE1" w14:textId="7777777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Blood Pressure Reading:</w:t>
      </w:r>
      <w:r w:rsidRPr="00482DB2">
        <w:rPr>
          <w:rFonts w:ascii="Arial" w:hAnsi="Arial" w:cs="Arial"/>
          <w:sz w:val="20"/>
          <w:szCs w:val="20"/>
        </w:rPr>
        <w:t xml:space="preserve"> Systemic blood pressure was recorded using an OMRON automatic digital blood pressure monitor. Measurements were taken on the left arm of each subject after a 10-minute rest period, using a cuff of appropriate size, with the subject in a sitting position. Blood pressure was expressed as both systolic and diastolic rates. Hypertension was diagnostically defined as a systolic blood pressure ≥ 140 mmHg and/or a diastolic blood pressure ≥ 90 mmHg.</w:t>
      </w:r>
    </w:p>
    <w:p w14:paraId="54D657FD" w14:textId="77777777" w:rsidR="00325653" w:rsidRPr="00482DB2" w:rsidRDefault="00325653" w:rsidP="00CA589E">
      <w:pPr>
        <w:spacing w:line="240" w:lineRule="auto"/>
        <w:jc w:val="both"/>
        <w:rPr>
          <w:rFonts w:ascii="Arial" w:hAnsi="Arial" w:cs="Arial"/>
          <w:sz w:val="20"/>
          <w:szCs w:val="20"/>
        </w:rPr>
      </w:pPr>
      <w:r w:rsidRPr="00482DB2">
        <w:rPr>
          <w:rFonts w:ascii="Arial" w:hAnsi="Arial" w:cs="Arial"/>
          <w:b/>
          <w:bCs/>
          <w:sz w:val="20"/>
          <w:szCs w:val="20"/>
        </w:rPr>
        <w:t>Statistical Analysis:</w:t>
      </w:r>
      <w:r w:rsidRPr="00482DB2">
        <w:rPr>
          <w:rFonts w:ascii="Arial" w:hAnsi="Arial" w:cs="Arial"/>
          <w:sz w:val="20"/>
          <w:szCs w:val="20"/>
        </w:rPr>
        <w:t xml:space="preserve"> All obtained data were analyzed using the Statistical Package for the Social Sciences (SPSS) version 25.0. Results were presented as mean ± standard deviation (SD). Statistical analysis involved the application of one-way analysis of variance (ANOVA), followed by a post-hoc t-test and Pearson correlation to examine relationships between variables. The level of statistical significance for all analyses was predetermined and set at P˂0.05.</w:t>
      </w:r>
    </w:p>
    <w:p w14:paraId="54E2E6F7" w14:textId="49429B39" w:rsidR="00C03240" w:rsidRPr="00482DB2" w:rsidRDefault="008F6B0A" w:rsidP="00CA589E">
      <w:pPr>
        <w:spacing w:line="240" w:lineRule="auto"/>
        <w:jc w:val="both"/>
        <w:rPr>
          <w:rFonts w:ascii="Arial" w:hAnsi="Arial" w:cs="Arial"/>
        </w:rPr>
      </w:pPr>
      <w:r w:rsidRPr="00482DB2">
        <w:rPr>
          <w:rFonts w:ascii="Arial" w:hAnsi="Arial" w:cs="Arial"/>
          <w:b/>
        </w:rPr>
        <w:t>RESULTS</w:t>
      </w:r>
    </w:p>
    <w:p w14:paraId="1FC37F0E" w14:textId="3AE867A1"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Tabl</w:t>
      </w:r>
      <w:r w:rsidR="00CA589E" w:rsidRPr="00482DB2">
        <w:rPr>
          <w:rFonts w:ascii="Arial" w:hAnsi="Arial" w:cs="Arial"/>
          <w:sz w:val="20"/>
          <w:szCs w:val="20"/>
        </w:rPr>
        <w:t xml:space="preserve">e </w:t>
      </w:r>
      <w:r w:rsidRPr="00482DB2">
        <w:rPr>
          <w:rFonts w:ascii="Arial" w:hAnsi="Arial" w:cs="Arial"/>
          <w:sz w:val="20"/>
          <w:szCs w:val="20"/>
        </w:rPr>
        <w:t>1 Shows the comparison between age and anthropometric indices among HIV positive only, co-infection, malaria positive only and control groups.</w:t>
      </w:r>
    </w:p>
    <w:p w14:paraId="29EDF016" w14:textId="77777777" w:rsidR="00C03240" w:rsidRPr="00482DB2" w:rsidRDefault="008F6B0A" w:rsidP="00CA589E">
      <w:pPr>
        <w:snapToGrid w:val="0"/>
        <w:spacing w:line="240" w:lineRule="auto"/>
        <w:textAlignment w:val="baseline"/>
        <w:rPr>
          <w:rFonts w:ascii="Arial" w:hAnsi="Arial" w:cs="Arial"/>
          <w:sz w:val="20"/>
          <w:szCs w:val="20"/>
        </w:rPr>
      </w:pPr>
      <w:r w:rsidRPr="00482DB2">
        <w:rPr>
          <w:rFonts w:ascii="Arial" w:hAnsi="Arial" w:cs="Arial"/>
          <w:sz w:val="20"/>
          <w:szCs w:val="20"/>
        </w:rPr>
        <w:t>There was a significant difference when the mean systolic blood pressure (SBP) of the co-infection group was compared to that of the HIV positive only group with p=0.006</w:t>
      </w:r>
    </w:p>
    <w:p w14:paraId="3EBB48A1" w14:textId="3AA376A8"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There was a significant difference when the mean systolic blood pressure (SBP) of the HIV positive only group was compared to that of the Malaria positive only group with p=0.000</w:t>
      </w:r>
    </w:p>
    <w:p w14:paraId="2C0BE492" w14:textId="3BAF646A" w:rsidR="00CA589E" w:rsidRPr="00482DB2" w:rsidRDefault="00CA589E" w:rsidP="00CA589E">
      <w:pPr>
        <w:snapToGrid w:val="0"/>
        <w:spacing w:line="240" w:lineRule="auto"/>
        <w:jc w:val="both"/>
        <w:textAlignment w:val="baseline"/>
        <w:rPr>
          <w:rFonts w:ascii="Arial" w:eastAsia="Calibri" w:hAnsi="Arial" w:cs="Arial"/>
          <w:b/>
          <w:bCs/>
          <w:sz w:val="20"/>
          <w:szCs w:val="20"/>
        </w:rPr>
      </w:pPr>
      <w:r w:rsidRPr="00482DB2">
        <w:rPr>
          <w:rFonts w:ascii="Arial" w:eastAsia="Calibri" w:hAnsi="Arial" w:cs="Arial"/>
          <w:b/>
          <w:bCs/>
          <w:sz w:val="20"/>
          <w:szCs w:val="20"/>
        </w:rPr>
        <w:t xml:space="preserve">Table 1 Comparison of The Mean Value </w:t>
      </w:r>
      <w:r w:rsidR="003F3A72" w:rsidRPr="00482DB2">
        <w:rPr>
          <w:rFonts w:ascii="Arial" w:eastAsia="Calibri" w:hAnsi="Arial" w:cs="Arial"/>
          <w:b/>
          <w:bCs/>
          <w:sz w:val="20"/>
          <w:szCs w:val="20"/>
        </w:rPr>
        <w:t>o</w:t>
      </w:r>
      <w:r w:rsidRPr="00482DB2">
        <w:rPr>
          <w:rFonts w:ascii="Arial" w:eastAsia="Calibri" w:hAnsi="Arial" w:cs="Arial"/>
          <w:b/>
          <w:bCs/>
          <w:sz w:val="20"/>
          <w:szCs w:val="20"/>
        </w:rPr>
        <w:t>f</w:t>
      </w:r>
      <w:r w:rsidRPr="00482DB2">
        <w:rPr>
          <w:rFonts w:ascii="Arial" w:hAnsi="Arial" w:cs="Arial"/>
          <w:b/>
          <w:bCs/>
          <w:sz w:val="20"/>
          <w:szCs w:val="20"/>
        </w:rPr>
        <w:t xml:space="preserve"> Age </w:t>
      </w:r>
      <w:r w:rsidR="003F3A72" w:rsidRPr="00482DB2">
        <w:rPr>
          <w:rFonts w:ascii="Arial" w:hAnsi="Arial" w:cs="Arial"/>
          <w:b/>
          <w:bCs/>
          <w:sz w:val="20"/>
          <w:szCs w:val="20"/>
        </w:rPr>
        <w:t>a</w:t>
      </w:r>
      <w:r w:rsidRPr="00482DB2">
        <w:rPr>
          <w:rFonts w:ascii="Arial" w:hAnsi="Arial" w:cs="Arial"/>
          <w:b/>
          <w:bCs/>
          <w:sz w:val="20"/>
          <w:szCs w:val="20"/>
        </w:rPr>
        <w:t>nd</w:t>
      </w:r>
      <w:r w:rsidRPr="00482DB2">
        <w:rPr>
          <w:rFonts w:ascii="Arial" w:eastAsia="Calibri" w:hAnsi="Arial" w:cs="Arial"/>
          <w:b/>
          <w:bCs/>
          <w:sz w:val="20"/>
          <w:szCs w:val="20"/>
        </w:rPr>
        <w:t xml:space="preserve"> Anthropometric Values Among </w:t>
      </w:r>
      <w:r w:rsidRPr="00482DB2">
        <w:rPr>
          <w:rFonts w:ascii="Arial" w:hAnsi="Arial" w:cs="Arial"/>
          <w:b/>
          <w:bCs/>
          <w:sz w:val="20"/>
          <w:szCs w:val="20"/>
        </w:rPr>
        <w:t xml:space="preserve">HIV Positive Only, Co-Infection, Malaria Positive Only </w:t>
      </w:r>
      <w:r w:rsidR="003F3A72" w:rsidRPr="00482DB2">
        <w:rPr>
          <w:rFonts w:ascii="Arial" w:hAnsi="Arial" w:cs="Arial"/>
          <w:b/>
          <w:bCs/>
          <w:sz w:val="20"/>
          <w:szCs w:val="20"/>
        </w:rPr>
        <w:t>a</w:t>
      </w:r>
      <w:r w:rsidRPr="00482DB2">
        <w:rPr>
          <w:rFonts w:ascii="Arial" w:hAnsi="Arial" w:cs="Arial"/>
          <w:b/>
          <w:bCs/>
          <w:sz w:val="20"/>
          <w:szCs w:val="20"/>
        </w:rPr>
        <w:t>nd Control Groups</w:t>
      </w:r>
      <w:r w:rsidRPr="00482DB2">
        <w:rPr>
          <w:rFonts w:ascii="Arial" w:eastAsia="Calibri" w:hAnsi="Arial" w:cs="Arial"/>
          <w:b/>
          <w:bCs/>
          <w:sz w:val="20"/>
          <w:szCs w:val="20"/>
        </w:rPr>
        <w:t>.</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0"/>
        <w:gridCol w:w="2444"/>
        <w:gridCol w:w="2404"/>
        <w:gridCol w:w="1642"/>
        <w:gridCol w:w="1642"/>
      </w:tblGrid>
      <w:tr w:rsidR="00827466" w:rsidRPr="00482DB2" w14:paraId="07A4DBD1" w14:textId="7089668A" w:rsidTr="00827466">
        <w:tc>
          <w:tcPr>
            <w:tcW w:w="2560" w:type="dxa"/>
            <w:tcBorders>
              <w:top w:val="single" w:sz="4" w:space="0" w:color="auto"/>
              <w:bottom w:val="single" w:sz="4" w:space="0" w:color="auto"/>
            </w:tcBorders>
          </w:tcPr>
          <w:p w14:paraId="2D9A3C67" w14:textId="05368A61"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lastRenderedPageBreak/>
              <w:t>Groups</w:t>
            </w:r>
          </w:p>
        </w:tc>
        <w:tc>
          <w:tcPr>
            <w:tcW w:w="2444" w:type="dxa"/>
            <w:tcBorders>
              <w:top w:val="single" w:sz="4" w:space="0" w:color="auto"/>
              <w:bottom w:val="single" w:sz="4" w:space="0" w:color="auto"/>
            </w:tcBorders>
          </w:tcPr>
          <w:p w14:paraId="110C0779" w14:textId="50E8A14E"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Age(years)</w:t>
            </w:r>
          </w:p>
        </w:tc>
        <w:tc>
          <w:tcPr>
            <w:tcW w:w="2404" w:type="dxa"/>
            <w:tcBorders>
              <w:top w:val="single" w:sz="4" w:space="0" w:color="auto"/>
              <w:bottom w:val="single" w:sz="4" w:space="0" w:color="auto"/>
            </w:tcBorders>
          </w:tcPr>
          <w:p w14:paraId="15876E73" w14:textId="7F94F1A2"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SBP (mmHg)</w:t>
            </w:r>
          </w:p>
        </w:tc>
        <w:tc>
          <w:tcPr>
            <w:tcW w:w="1642" w:type="dxa"/>
            <w:tcBorders>
              <w:top w:val="single" w:sz="4" w:space="0" w:color="auto"/>
              <w:bottom w:val="single" w:sz="4" w:space="0" w:color="auto"/>
            </w:tcBorders>
          </w:tcPr>
          <w:p w14:paraId="5708E30D" w14:textId="1006C539"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DBP (mmHg)</w:t>
            </w:r>
          </w:p>
        </w:tc>
        <w:tc>
          <w:tcPr>
            <w:tcW w:w="1642" w:type="dxa"/>
            <w:tcBorders>
              <w:top w:val="single" w:sz="4" w:space="0" w:color="auto"/>
              <w:bottom w:val="single" w:sz="4" w:space="0" w:color="auto"/>
            </w:tcBorders>
          </w:tcPr>
          <w:p w14:paraId="622FBA76" w14:textId="6EC8C870" w:rsidR="00827466" w:rsidRPr="00482DB2" w:rsidRDefault="00827466" w:rsidP="00827466">
            <w:pPr>
              <w:spacing w:line="240" w:lineRule="auto"/>
              <w:jc w:val="both"/>
              <w:rPr>
                <w:rFonts w:ascii="Arial" w:hAnsi="Arial" w:cs="Arial"/>
                <w:b/>
                <w:bCs/>
                <w:sz w:val="20"/>
                <w:szCs w:val="20"/>
              </w:rPr>
            </w:pPr>
            <w:r w:rsidRPr="00482DB2">
              <w:rPr>
                <w:rFonts w:ascii="Arial" w:hAnsi="Arial" w:cs="Arial"/>
                <w:b/>
                <w:bCs/>
                <w:sz w:val="20"/>
                <w:szCs w:val="20"/>
              </w:rPr>
              <w:t>BMI (kg/m2)</w:t>
            </w:r>
          </w:p>
        </w:tc>
      </w:tr>
      <w:tr w:rsidR="00827466" w:rsidRPr="00482DB2" w14:paraId="53A69F45" w14:textId="5C11244C" w:rsidTr="00827466">
        <w:tc>
          <w:tcPr>
            <w:tcW w:w="2560" w:type="dxa"/>
            <w:tcBorders>
              <w:top w:val="single" w:sz="4" w:space="0" w:color="auto"/>
            </w:tcBorders>
          </w:tcPr>
          <w:p w14:paraId="5A919094" w14:textId="7518FAF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HIV POSITIVE ONLY(A)</w:t>
            </w:r>
          </w:p>
        </w:tc>
        <w:tc>
          <w:tcPr>
            <w:tcW w:w="2444" w:type="dxa"/>
            <w:tcBorders>
              <w:top w:val="single" w:sz="4" w:space="0" w:color="auto"/>
            </w:tcBorders>
          </w:tcPr>
          <w:p w14:paraId="1D646BB0" w14:textId="3BC8CC27"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26.00±10.50</w:t>
            </w:r>
          </w:p>
        </w:tc>
        <w:tc>
          <w:tcPr>
            <w:tcW w:w="2404" w:type="dxa"/>
            <w:tcBorders>
              <w:top w:val="single" w:sz="4" w:space="0" w:color="auto"/>
            </w:tcBorders>
          </w:tcPr>
          <w:p w14:paraId="30840453" w14:textId="1BE9847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117.92±14.44</w:t>
            </w:r>
          </w:p>
        </w:tc>
        <w:tc>
          <w:tcPr>
            <w:tcW w:w="1642" w:type="dxa"/>
            <w:tcBorders>
              <w:top w:val="single" w:sz="4" w:space="0" w:color="auto"/>
            </w:tcBorders>
          </w:tcPr>
          <w:p w14:paraId="670D9DF2" w14:textId="688CA6F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80.42±14.89</w:t>
            </w:r>
          </w:p>
        </w:tc>
        <w:tc>
          <w:tcPr>
            <w:tcW w:w="1642" w:type="dxa"/>
            <w:tcBorders>
              <w:top w:val="single" w:sz="4" w:space="0" w:color="auto"/>
            </w:tcBorders>
          </w:tcPr>
          <w:p w14:paraId="18AA52E0" w14:textId="76EF5A9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24.58±4.24</w:t>
            </w:r>
          </w:p>
        </w:tc>
      </w:tr>
      <w:tr w:rsidR="00827466" w:rsidRPr="00482DB2" w14:paraId="730DAFC6" w14:textId="593A17FE" w:rsidTr="00827466">
        <w:tc>
          <w:tcPr>
            <w:tcW w:w="2560" w:type="dxa"/>
          </w:tcPr>
          <w:p w14:paraId="3A38FFF8" w14:textId="693E4A7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CO-INFECTION(B)</w:t>
            </w:r>
          </w:p>
        </w:tc>
        <w:tc>
          <w:tcPr>
            <w:tcW w:w="2444" w:type="dxa"/>
          </w:tcPr>
          <w:p w14:paraId="37C0A822" w14:textId="08E49AE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26.38±8.52</w:t>
            </w:r>
          </w:p>
        </w:tc>
        <w:tc>
          <w:tcPr>
            <w:tcW w:w="2404" w:type="dxa"/>
          </w:tcPr>
          <w:p w14:paraId="74FEEE6D" w14:textId="206308D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121.00±7.88</w:t>
            </w:r>
          </w:p>
        </w:tc>
        <w:tc>
          <w:tcPr>
            <w:tcW w:w="1642" w:type="dxa"/>
          </w:tcPr>
          <w:p w14:paraId="61193E13" w14:textId="1257F93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76.67±12.39</w:t>
            </w:r>
          </w:p>
        </w:tc>
        <w:tc>
          <w:tcPr>
            <w:tcW w:w="1642" w:type="dxa"/>
          </w:tcPr>
          <w:p w14:paraId="24B74317" w14:textId="5400F1F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24.79±4.99</w:t>
            </w:r>
          </w:p>
        </w:tc>
      </w:tr>
      <w:tr w:rsidR="00827466" w:rsidRPr="00482DB2" w14:paraId="76522205" w14:textId="25959EB3" w:rsidTr="00827466">
        <w:tc>
          <w:tcPr>
            <w:tcW w:w="2560" w:type="dxa"/>
          </w:tcPr>
          <w:p w14:paraId="6F1D3996" w14:textId="643A902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MALARIA POSITIVE ONLY(C)</w:t>
            </w:r>
          </w:p>
        </w:tc>
        <w:tc>
          <w:tcPr>
            <w:tcW w:w="2444" w:type="dxa"/>
          </w:tcPr>
          <w:p w14:paraId="4F3716AB" w14:textId="14DF804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24.05±2.35</w:t>
            </w:r>
          </w:p>
        </w:tc>
        <w:tc>
          <w:tcPr>
            <w:tcW w:w="2404" w:type="dxa"/>
          </w:tcPr>
          <w:p w14:paraId="0F6D7C9C" w14:textId="62D2B945"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113.24±9.28</w:t>
            </w:r>
          </w:p>
        </w:tc>
        <w:tc>
          <w:tcPr>
            <w:tcW w:w="1642" w:type="dxa"/>
          </w:tcPr>
          <w:p w14:paraId="6955FADC" w14:textId="491A6ED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80.00±7.95</w:t>
            </w:r>
          </w:p>
        </w:tc>
        <w:tc>
          <w:tcPr>
            <w:tcW w:w="1642" w:type="dxa"/>
          </w:tcPr>
          <w:p w14:paraId="77F60E98" w14:textId="161A579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24.32±4.08</w:t>
            </w:r>
          </w:p>
        </w:tc>
      </w:tr>
      <w:tr w:rsidR="00827466" w:rsidRPr="00482DB2" w14:paraId="4C1C790C" w14:textId="359AC7B1" w:rsidTr="00827466">
        <w:tc>
          <w:tcPr>
            <w:tcW w:w="2560" w:type="dxa"/>
          </w:tcPr>
          <w:p w14:paraId="5D46300D" w14:textId="08124EA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CONTROL(D)</w:t>
            </w:r>
          </w:p>
        </w:tc>
        <w:tc>
          <w:tcPr>
            <w:tcW w:w="2444" w:type="dxa"/>
          </w:tcPr>
          <w:p w14:paraId="68AE4148" w14:textId="1603219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24.05±5.95</w:t>
            </w:r>
          </w:p>
        </w:tc>
        <w:tc>
          <w:tcPr>
            <w:tcW w:w="2404" w:type="dxa"/>
          </w:tcPr>
          <w:p w14:paraId="000B49D7" w14:textId="4A80DFE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108.75±11.16</w:t>
            </w:r>
          </w:p>
        </w:tc>
        <w:tc>
          <w:tcPr>
            <w:tcW w:w="1642" w:type="dxa"/>
          </w:tcPr>
          <w:p w14:paraId="011845C4" w14:textId="4D1B03F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74.76±10.78</w:t>
            </w:r>
          </w:p>
        </w:tc>
        <w:tc>
          <w:tcPr>
            <w:tcW w:w="1642" w:type="dxa"/>
          </w:tcPr>
          <w:p w14:paraId="0DEBAF7D" w14:textId="2073695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26.31±3.51</w:t>
            </w:r>
          </w:p>
        </w:tc>
      </w:tr>
      <w:tr w:rsidR="00827466" w:rsidRPr="00482DB2" w14:paraId="5D068423" w14:textId="25B80E40" w:rsidTr="00827466">
        <w:tc>
          <w:tcPr>
            <w:tcW w:w="2560" w:type="dxa"/>
          </w:tcPr>
          <w:p w14:paraId="7B5CA72F" w14:textId="6450D4A7"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F-value</w:t>
            </w:r>
          </w:p>
        </w:tc>
        <w:tc>
          <w:tcPr>
            <w:tcW w:w="2444" w:type="dxa"/>
          </w:tcPr>
          <w:p w14:paraId="2C86BE25" w14:textId="364A9C4D"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1.036</w:t>
            </w:r>
          </w:p>
        </w:tc>
        <w:tc>
          <w:tcPr>
            <w:tcW w:w="2404" w:type="dxa"/>
          </w:tcPr>
          <w:p w14:paraId="483965E3" w14:textId="291BEB8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4.936</w:t>
            </w:r>
          </w:p>
        </w:tc>
        <w:tc>
          <w:tcPr>
            <w:tcW w:w="1642" w:type="dxa"/>
          </w:tcPr>
          <w:p w14:paraId="7C2B8416" w14:textId="2F27404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1.126</w:t>
            </w:r>
          </w:p>
        </w:tc>
        <w:tc>
          <w:tcPr>
            <w:tcW w:w="1642" w:type="dxa"/>
          </w:tcPr>
          <w:p w14:paraId="21077DCD" w14:textId="0FD8EFE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0.923</w:t>
            </w:r>
          </w:p>
        </w:tc>
      </w:tr>
      <w:tr w:rsidR="00827466" w:rsidRPr="00482DB2" w14:paraId="3B7A5579" w14:textId="3771DF11" w:rsidTr="00827466">
        <w:tc>
          <w:tcPr>
            <w:tcW w:w="2560" w:type="dxa"/>
          </w:tcPr>
          <w:p w14:paraId="5E082847" w14:textId="4F5D334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p-value</w:t>
            </w:r>
          </w:p>
        </w:tc>
        <w:tc>
          <w:tcPr>
            <w:tcW w:w="2444" w:type="dxa"/>
          </w:tcPr>
          <w:p w14:paraId="79FE0567" w14:textId="485E22B1"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0.987</w:t>
            </w:r>
          </w:p>
        </w:tc>
        <w:tc>
          <w:tcPr>
            <w:tcW w:w="2404" w:type="dxa"/>
          </w:tcPr>
          <w:p w14:paraId="212249EA" w14:textId="02BF04E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0.003*</w:t>
            </w:r>
          </w:p>
        </w:tc>
        <w:tc>
          <w:tcPr>
            <w:tcW w:w="1642" w:type="dxa"/>
          </w:tcPr>
          <w:p w14:paraId="7327BF91" w14:textId="752CDAD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0.343</w:t>
            </w:r>
          </w:p>
        </w:tc>
        <w:tc>
          <w:tcPr>
            <w:tcW w:w="1642" w:type="dxa"/>
          </w:tcPr>
          <w:p w14:paraId="26874E7E" w14:textId="54D4C67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0.433</w:t>
            </w:r>
          </w:p>
        </w:tc>
      </w:tr>
      <w:tr w:rsidR="00827466" w:rsidRPr="00482DB2" w14:paraId="14C1CBF9" w14:textId="2FDAFDE8" w:rsidTr="00827466">
        <w:tc>
          <w:tcPr>
            <w:tcW w:w="2560" w:type="dxa"/>
          </w:tcPr>
          <w:p w14:paraId="5F2DD706" w14:textId="56403D99"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AvsB</w:t>
            </w:r>
            <w:proofErr w:type="spellEnd"/>
          </w:p>
        </w:tc>
        <w:tc>
          <w:tcPr>
            <w:tcW w:w="2444" w:type="dxa"/>
          </w:tcPr>
          <w:p w14:paraId="7C9EF9BC" w14:textId="70B75E8A"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0.948</w:t>
            </w:r>
          </w:p>
        </w:tc>
        <w:tc>
          <w:tcPr>
            <w:tcW w:w="2404" w:type="dxa"/>
          </w:tcPr>
          <w:p w14:paraId="79DFAB76" w14:textId="7701CA9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0.006*</w:t>
            </w:r>
          </w:p>
        </w:tc>
        <w:tc>
          <w:tcPr>
            <w:tcW w:w="1642" w:type="dxa"/>
          </w:tcPr>
          <w:p w14:paraId="5EE591D6" w14:textId="1AC56124"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0.280</w:t>
            </w:r>
          </w:p>
        </w:tc>
        <w:tc>
          <w:tcPr>
            <w:tcW w:w="1642" w:type="dxa"/>
          </w:tcPr>
          <w:p w14:paraId="7F4B87B7" w14:textId="212C5FB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0.866</w:t>
            </w:r>
          </w:p>
        </w:tc>
      </w:tr>
      <w:tr w:rsidR="00827466" w:rsidRPr="00482DB2" w14:paraId="516B8B43" w14:textId="0FA280E7" w:rsidTr="00827466">
        <w:tc>
          <w:tcPr>
            <w:tcW w:w="2560" w:type="dxa"/>
          </w:tcPr>
          <w:p w14:paraId="69BADDE8" w14:textId="4D27D07F"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AvsC</w:t>
            </w:r>
            <w:proofErr w:type="spellEnd"/>
          </w:p>
        </w:tc>
        <w:tc>
          <w:tcPr>
            <w:tcW w:w="2444" w:type="dxa"/>
          </w:tcPr>
          <w:p w14:paraId="40DFEDF0" w14:textId="5A24B3C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0.069</w:t>
            </w:r>
          </w:p>
        </w:tc>
        <w:tc>
          <w:tcPr>
            <w:tcW w:w="2404" w:type="dxa"/>
          </w:tcPr>
          <w:p w14:paraId="69B7F62A" w14:textId="6C76D81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0.000*</w:t>
            </w:r>
          </w:p>
        </w:tc>
        <w:tc>
          <w:tcPr>
            <w:tcW w:w="1642" w:type="dxa"/>
          </w:tcPr>
          <w:p w14:paraId="532977B9" w14:textId="264DE199"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0.909</w:t>
            </w:r>
          </w:p>
        </w:tc>
        <w:tc>
          <w:tcPr>
            <w:tcW w:w="1642" w:type="dxa"/>
          </w:tcPr>
          <w:p w14:paraId="6837D67D" w14:textId="14D4773D"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0.845</w:t>
            </w:r>
          </w:p>
        </w:tc>
      </w:tr>
      <w:tr w:rsidR="00827466" w:rsidRPr="00482DB2" w14:paraId="74F51853" w14:textId="412C5892" w:rsidTr="00827466">
        <w:tc>
          <w:tcPr>
            <w:tcW w:w="2560" w:type="dxa"/>
          </w:tcPr>
          <w:p w14:paraId="25CA79A9" w14:textId="2E9F74EA"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AvsD</w:t>
            </w:r>
            <w:proofErr w:type="spellEnd"/>
          </w:p>
        </w:tc>
        <w:tc>
          <w:tcPr>
            <w:tcW w:w="2444" w:type="dxa"/>
          </w:tcPr>
          <w:p w14:paraId="63AA0695" w14:textId="7807CDE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0.085</w:t>
            </w:r>
          </w:p>
        </w:tc>
        <w:tc>
          <w:tcPr>
            <w:tcW w:w="2404" w:type="dxa"/>
          </w:tcPr>
          <w:p w14:paraId="0CCB7932" w14:textId="1E039BC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0.055</w:t>
            </w:r>
          </w:p>
        </w:tc>
        <w:tc>
          <w:tcPr>
            <w:tcW w:w="1642" w:type="dxa"/>
          </w:tcPr>
          <w:p w14:paraId="2FAE580B" w14:textId="0B7B3B8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0.117</w:t>
            </w:r>
          </w:p>
        </w:tc>
        <w:tc>
          <w:tcPr>
            <w:tcW w:w="1642" w:type="dxa"/>
          </w:tcPr>
          <w:p w14:paraId="5D4EA6BD" w14:textId="11A803B6"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0.178</w:t>
            </w:r>
          </w:p>
        </w:tc>
      </w:tr>
      <w:tr w:rsidR="00827466" w:rsidRPr="00482DB2" w14:paraId="11377F64" w14:textId="77777777" w:rsidTr="00827466">
        <w:tc>
          <w:tcPr>
            <w:tcW w:w="2560" w:type="dxa"/>
          </w:tcPr>
          <w:p w14:paraId="794216A4" w14:textId="75A32A24"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BvsC</w:t>
            </w:r>
            <w:proofErr w:type="spellEnd"/>
          </w:p>
        </w:tc>
        <w:tc>
          <w:tcPr>
            <w:tcW w:w="2444" w:type="dxa"/>
          </w:tcPr>
          <w:p w14:paraId="776B7E85" w14:textId="0F949CC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0.731</w:t>
            </w:r>
          </w:p>
        </w:tc>
        <w:tc>
          <w:tcPr>
            <w:tcW w:w="2404" w:type="dxa"/>
          </w:tcPr>
          <w:p w14:paraId="71E1B8B6" w14:textId="534FD902"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0.364</w:t>
            </w:r>
          </w:p>
        </w:tc>
        <w:tc>
          <w:tcPr>
            <w:tcW w:w="1642" w:type="dxa"/>
          </w:tcPr>
          <w:p w14:paraId="7B781CD1" w14:textId="39450395"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0.360</w:t>
            </w:r>
          </w:p>
        </w:tc>
        <w:tc>
          <w:tcPr>
            <w:tcW w:w="1642" w:type="dxa"/>
          </w:tcPr>
          <w:p w14:paraId="49F6841F" w14:textId="27A74D83"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0.722</w:t>
            </w:r>
          </w:p>
        </w:tc>
      </w:tr>
      <w:tr w:rsidR="00827466" w:rsidRPr="00482DB2" w14:paraId="00DA03C2" w14:textId="77777777" w:rsidTr="00827466">
        <w:tc>
          <w:tcPr>
            <w:tcW w:w="2560" w:type="dxa"/>
          </w:tcPr>
          <w:p w14:paraId="1961025A" w14:textId="58556105"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BvsD</w:t>
            </w:r>
            <w:proofErr w:type="spellEnd"/>
          </w:p>
        </w:tc>
        <w:tc>
          <w:tcPr>
            <w:tcW w:w="2444" w:type="dxa"/>
          </w:tcPr>
          <w:p w14:paraId="39A3E6F3" w14:textId="5E77F320"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0.682</w:t>
            </w:r>
          </w:p>
        </w:tc>
        <w:tc>
          <w:tcPr>
            <w:tcW w:w="2404" w:type="dxa"/>
          </w:tcPr>
          <w:p w14:paraId="5FDFD137" w14:textId="3AB70B8F"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0.424</w:t>
            </w:r>
          </w:p>
        </w:tc>
        <w:tc>
          <w:tcPr>
            <w:tcW w:w="1642" w:type="dxa"/>
          </w:tcPr>
          <w:p w14:paraId="286A1C20" w14:textId="1B434D3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0.595</w:t>
            </w:r>
          </w:p>
        </w:tc>
        <w:tc>
          <w:tcPr>
            <w:tcW w:w="1642" w:type="dxa"/>
          </w:tcPr>
          <w:p w14:paraId="09C5B5BF" w14:textId="7FF6B9EE"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0.236</w:t>
            </w:r>
          </w:p>
        </w:tc>
      </w:tr>
      <w:tr w:rsidR="00827466" w:rsidRPr="00482DB2" w14:paraId="41CD70DF" w14:textId="2D5F885D" w:rsidTr="00827466">
        <w:tc>
          <w:tcPr>
            <w:tcW w:w="2560" w:type="dxa"/>
          </w:tcPr>
          <w:p w14:paraId="79B32BF3" w14:textId="59EC5F0F" w:rsidR="00827466" w:rsidRPr="00482DB2" w:rsidRDefault="00827466" w:rsidP="00827466">
            <w:pPr>
              <w:spacing w:line="240" w:lineRule="auto"/>
              <w:jc w:val="both"/>
              <w:rPr>
                <w:rFonts w:ascii="Arial" w:hAnsi="Arial" w:cs="Arial"/>
                <w:sz w:val="20"/>
                <w:szCs w:val="20"/>
              </w:rPr>
            </w:pPr>
            <w:proofErr w:type="spellStart"/>
            <w:r w:rsidRPr="00482DB2">
              <w:rPr>
                <w:rFonts w:ascii="Arial" w:hAnsi="Arial" w:cs="Arial"/>
                <w:sz w:val="20"/>
                <w:szCs w:val="20"/>
              </w:rPr>
              <w:t>CvsD</w:t>
            </w:r>
            <w:proofErr w:type="spellEnd"/>
          </w:p>
        </w:tc>
        <w:tc>
          <w:tcPr>
            <w:tcW w:w="2444" w:type="dxa"/>
          </w:tcPr>
          <w:p w14:paraId="69A9F698" w14:textId="2A8DB9DC"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0.408</w:t>
            </w:r>
          </w:p>
        </w:tc>
        <w:tc>
          <w:tcPr>
            <w:tcW w:w="2404" w:type="dxa"/>
          </w:tcPr>
          <w:p w14:paraId="38662605" w14:textId="1A1FEF76" w:rsidR="00827466" w:rsidRPr="00482DB2" w:rsidRDefault="00827466" w:rsidP="00827466">
            <w:pPr>
              <w:spacing w:line="240" w:lineRule="auto"/>
              <w:jc w:val="both"/>
              <w:rPr>
                <w:rFonts w:ascii="Arial" w:hAnsi="Arial" w:cs="Arial"/>
                <w:sz w:val="20"/>
                <w:szCs w:val="20"/>
              </w:rPr>
            </w:pPr>
          </w:p>
        </w:tc>
        <w:tc>
          <w:tcPr>
            <w:tcW w:w="1642" w:type="dxa"/>
          </w:tcPr>
          <w:p w14:paraId="613DCB6B" w14:textId="563240B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0.102</w:t>
            </w:r>
          </w:p>
        </w:tc>
        <w:tc>
          <w:tcPr>
            <w:tcW w:w="1642" w:type="dxa"/>
          </w:tcPr>
          <w:p w14:paraId="44FF1A3F" w14:textId="60EA2EFB" w:rsidR="00827466" w:rsidRPr="00482DB2" w:rsidRDefault="00827466" w:rsidP="00827466">
            <w:pPr>
              <w:spacing w:line="240" w:lineRule="auto"/>
              <w:jc w:val="both"/>
              <w:rPr>
                <w:rFonts w:ascii="Arial" w:hAnsi="Arial" w:cs="Arial"/>
                <w:sz w:val="20"/>
                <w:szCs w:val="20"/>
              </w:rPr>
            </w:pPr>
            <w:r w:rsidRPr="00482DB2">
              <w:rPr>
                <w:rFonts w:ascii="Arial" w:hAnsi="Arial" w:cs="Arial"/>
                <w:sz w:val="20"/>
                <w:szCs w:val="20"/>
              </w:rPr>
              <w:t>0.165</w:t>
            </w:r>
          </w:p>
        </w:tc>
      </w:tr>
    </w:tbl>
    <w:p w14:paraId="5977F8DB" w14:textId="77777777" w:rsidR="00C03240" w:rsidRPr="00482DB2" w:rsidRDefault="008F6B0A" w:rsidP="00CA589E">
      <w:pPr>
        <w:spacing w:line="240" w:lineRule="auto"/>
        <w:jc w:val="both"/>
        <w:rPr>
          <w:rFonts w:ascii="Arial" w:hAnsi="Arial" w:cs="Arial"/>
          <w:sz w:val="18"/>
          <w:szCs w:val="18"/>
        </w:rPr>
      </w:pPr>
      <w:r w:rsidRPr="00482DB2">
        <w:rPr>
          <w:rFonts w:ascii="Arial" w:hAnsi="Arial" w:cs="Arial"/>
          <w:sz w:val="18"/>
          <w:szCs w:val="18"/>
        </w:rPr>
        <w:t xml:space="preserve">Data was </w:t>
      </w:r>
      <w:proofErr w:type="spellStart"/>
      <w:r w:rsidRPr="00482DB2">
        <w:rPr>
          <w:rFonts w:ascii="Arial" w:hAnsi="Arial" w:cs="Arial"/>
          <w:sz w:val="18"/>
          <w:szCs w:val="18"/>
        </w:rPr>
        <w:t>analysed</w:t>
      </w:r>
      <w:proofErr w:type="spellEnd"/>
      <w:r w:rsidRPr="00482DB2">
        <w:rPr>
          <w:rFonts w:ascii="Arial" w:hAnsi="Arial" w:cs="Arial"/>
          <w:sz w:val="18"/>
          <w:szCs w:val="18"/>
        </w:rPr>
        <w:t xml:space="preserve"> using one-way ANOVA, post hoc LSD was used to carry out multiple comparison and values were considered to significant at p&lt;0.05</w:t>
      </w:r>
    </w:p>
    <w:p w14:paraId="6A92BD07" w14:textId="68B54F4C" w:rsidR="00C03240" w:rsidRPr="00482DB2" w:rsidRDefault="008F6B0A" w:rsidP="00CA589E">
      <w:pPr>
        <w:spacing w:line="240" w:lineRule="auto"/>
        <w:jc w:val="both"/>
        <w:rPr>
          <w:rFonts w:ascii="Arial" w:hAnsi="Arial" w:cs="Arial"/>
          <w:b/>
          <w:bCs/>
          <w:sz w:val="20"/>
          <w:szCs w:val="20"/>
        </w:rPr>
      </w:pPr>
      <w:r w:rsidRPr="00482DB2">
        <w:rPr>
          <w:rFonts w:ascii="Arial" w:hAnsi="Arial" w:cs="Arial"/>
          <w:b/>
          <w:bCs/>
          <w:sz w:val="20"/>
          <w:szCs w:val="20"/>
        </w:rPr>
        <w:t xml:space="preserve">Table 2 Shows comparison of Mean ± SD of </w:t>
      </w:r>
      <w:proofErr w:type="spellStart"/>
      <w:r w:rsidRPr="00482DB2">
        <w:rPr>
          <w:rFonts w:ascii="Arial" w:hAnsi="Arial" w:cs="Arial"/>
          <w:b/>
          <w:bCs/>
          <w:sz w:val="20"/>
          <w:szCs w:val="20"/>
        </w:rPr>
        <w:t>Clusterin</w:t>
      </w:r>
      <w:proofErr w:type="spellEnd"/>
      <w:r w:rsidRPr="00482DB2">
        <w:rPr>
          <w:rFonts w:ascii="Arial" w:hAnsi="Arial" w:cs="Arial"/>
          <w:b/>
          <w:bCs/>
          <w:sz w:val="20"/>
          <w:szCs w:val="20"/>
        </w:rPr>
        <w:t xml:space="preserve"> and Uric Acid in HIV Positive, Co-infection, Malaria Positive and Non</w:t>
      </w:r>
      <w:r w:rsidR="00DA028B" w:rsidRPr="00482DB2">
        <w:rPr>
          <w:rFonts w:ascii="Arial" w:hAnsi="Arial" w:cs="Arial"/>
          <w:b/>
          <w:bCs/>
          <w:sz w:val="20"/>
          <w:szCs w:val="20"/>
        </w:rPr>
        <w:t>-</w:t>
      </w:r>
      <w:r w:rsidRPr="00482DB2">
        <w:rPr>
          <w:rFonts w:ascii="Arial" w:hAnsi="Arial" w:cs="Arial"/>
          <w:b/>
          <w:bCs/>
          <w:sz w:val="20"/>
          <w:szCs w:val="20"/>
        </w:rPr>
        <w:t>HIV/Malaria test subjects by Gender</w:t>
      </w:r>
    </w:p>
    <w:p w14:paraId="070B1D42" w14:textId="69B05DA3"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 xml:space="preserve">The mean value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was significantly higher(P&lt;0.05) in males (422.16±89.11) when compared to females. There was no significant difference(P&gt;0.05) in the mean value of uric acid when compared by gender.</w:t>
      </w:r>
    </w:p>
    <w:p w14:paraId="2B1E0A6F" w14:textId="4BACA524" w:rsidR="00C03240" w:rsidRPr="00482DB2" w:rsidRDefault="008F6B0A" w:rsidP="00CA589E">
      <w:pPr>
        <w:spacing w:line="240" w:lineRule="auto"/>
        <w:jc w:val="both"/>
        <w:rPr>
          <w:rFonts w:ascii="Arial" w:hAnsi="Arial" w:cs="Arial"/>
          <w:b/>
          <w:bCs/>
          <w:sz w:val="20"/>
          <w:szCs w:val="20"/>
        </w:rPr>
      </w:pPr>
      <w:r w:rsidRPr="00482DB2">
        <w:rPr>
          <w:rFonts w:ascii="Arial" w:hAnsi="Arial" w:cs="Arial"/>
          <w:b/>
          <w:bCs/>
          <w:sz w:val="20"/>
          <w:szCs w:val="20"/>
        </w:rPr>
        <w:t>TABLE 2 COMPARISON OF MEAN±SD OF SERUM CLUSTERIN AND URIC ACID BY GENDER OF SUBJECTS HAVING CO-INFECTION</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965428" w:rsidRPr="00482DB2" w14:paraId="4543F422" w14:textId="77777777" w:rsidTr="00965428">
        <w:tc>
          <w:tcPr>
            <w:tcW w:w="3560" w:type="dxa"/>
            <w:tcBorders>
              <w:top w:val="single" w:sz="4" w:space="0" w:color="auto"/>
              <w:bottom w:val="single" w:sz="4" w:space="0" w:color="auto"/>
            </w:tcBorders>
          </w:tcPr>
          <w:p w14:paraId="1F74E897" w14:textId="50892462"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GENDER</w:t>
            </w:r>
          </w:p>
        </w:tc>
        <w:tc>
          <w:tcPr>
            <w:tcW w:w="3561" w:type="dxa"/>
            <w:tcBorders>
              <w:top w:val="single" w:sz="4" w:space="0" w:color="auto"/>
              <w:bottom w:val="single" w:sz="4" w:space="0" w:color="auto"/>
            </w:tcBorders>
          </w:tcPr>
          <w:p w14:paraId="630BA8FE" w14:textId="3845B664"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3561" w:type="dxa"/>
            <w:tcBorders>
              <w:top w:val="single" w:sz="4" w:space="0" w:color="auto"/>
              <w:bottom w:val="single" w:sz="4" w:space="0" w:color="auto"/>
            </w:tcBorders>
          </w:tcPr>
          <w:p w14:paraId="515F04B2" w14:textId="6572FEA8"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r>
      <w:tr w:rsidR="00965428" w:rsidRPr="00482DB2" w14:paraId="7BD636A5" w14:textId="77777777" w:rsidTr="00965428">
        <w:tc>
          <w:tcPr>
            <w:tcW w:w="3560" w:type="dxa"/>
            <w:tcBorders>
              <w:top w:val="single" w:sz="4" w:space="0" w:color="auto"/>
            </w:tcBorders>
          </w:tcPr>
          <w:p w14:paraId="5AF9A387" w14:textId="4A8F4BE6"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Male (n=9)</w:t>
            </w:r>
          </w:p>
        </w:tc>
        <w:tc>
          <w:tcPr>
            <w:tcW w:w="3561" w:type="dxa"/>
            <w:tcBorders>
              <w:top w:val="single" w:sz="4" w:space="0" w:color="auto"/>
            </w:tcBorders>
          </w:tcPr>
          <w:p w14:paraId="36035074" w14:textId="0A146D6D"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422.16±89.11</w:t>
            </w:r>
          </w:p>
        </w:tc>
        <w:tc>
          <w:tcPr>
            <w:tcW w:w="3561" w:type="dxa"/>
            <w:tcBorders>
              <w:top w:val="single" w:sz="4" w:space="0" w:color="auto"/>
            </w:tcBorders>
          </w:tcPr>
          <w:p w14:paraId="383246E3" w14:textId="2F7EF104"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288.16±53.98</w:t>
            </w:r>
          </w:p>
        </w:tc>
      </w:tr>
      <w:tr w:rsidR="00965428" w:rsidRPr="00482DB2" w14:paraId="666F44A0" w14:textId="77777777" w:rsidTr="00965428">
        <w:tc>
          <w:tcPr>
            <w:tcW w:w="3560" w:type="dxa"/>
          </w:tcPr>
          <w:p w14:paraId="63FB6362" w14:textId="0C6DC0B2"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Female n (=13)</w:t>
            </w:r>
          </w:p>
        </w:tc>
        <w:tc>
          <w:tcPr>
            <w:tcW w:w="3561" w:type="dxa"/>
          </w:tcPr>
          <w:p w14:paraId="3E2081CA" w14:textId="7B5A77CF"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379.44±109.85</w:t>
            </w:r>
          </w:p>
        </w:tc>
        <w:tc>
          <w:tcPr>
            <w:tcW w:w="3561" w:type="dxa"/>
          </w:tcPr>
          <w:p w14:paraId="001FFE66" w14:textId="4A84D0C9"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298.55±75.73</w:t>
            </w:r>
          </w:p>
        </w:tc>
      </w:tr>
      <w:tr w:rsidR="00965428" w:rsidRPr="00482DB2" w14:paraId="48555111" w14:textId="77777777" w:rsidTr="00965428">
        <w:tc>
          <w:tcPr>
            <w:tcW w:w="3560" w:type="dxa"/>
          </w:tcPr>
          <w:p w14:paraId="55A8A975" w14:textId="335E5E45"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F(P) Value</w:t>
            </w:r>
          </w:p>
        </w:tc>
        <w:tc>
          <w:tcPr>
            <w:tcW w:w="3561" w:type="dxa"/>
          </w:tcPr>
          <w:p w14:paraId="4279D4FB" w14:textId="55380C5A"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3.896(0.</w:t>
            </w:r>
            <w:proofErr w:type="gramStart"/>
            <w:r w:rsidRPr="00482DB2">
              <w:rPr>
                <w:rFonts w:ascii="Arial" w:hAnsi="Arial" w:cs="Arial"/>
                <w:sz w:val="20"/>
                <w:szCs w:val="20"/>
              </w:rPr>
              <w:t>000)*</w:t>
            </w:r>
            <w:proofErr w:type="gramEnd"/>
          </w:p>
        </w:tc>
        <w:tc>
          <w:tcPr>
            <w:tcW w:w="3561" w:type="dxa"/>
          </w:tcPr>
          <w:p w14:paraId="56EC751A" w14:textId="3820A85C" w:rsidR="00965428" w:rsidRPr="00482DB2" w:rsidRDefault="00965428" w:rsidP="00CA589E">
            <w:pPr>
              <w:spacing w:line="240" w:lineRule="auto"/>
              <w:jc w:val="both"/>
              <w:rPr>
                <w:rFonts w:ascii="Arial" w:hAnsi="Arial" w:cs="Arial"/>
                <w:sz w:val="20"/>
                <w:szCs w:val="20"/>
              </w:rPr>
            </w:pPr>
            <w:r w:rsidRPr="00482DB2">
              <w:rPr>
                <w:rFonts w:ascii="Arial" w:hAnsi="Arial" w:cs="Arial"/>
                <w:sz w:val="20"/>
                <w:szCs w:val="20"/>
              </w:rPr>
              <w:t>0.570(0.452)</w:t>
            </w:r>
          </w:p>
        </w:tc>
      </w:tr>
    </w:tbl>
    <w:p w14:paraId="7294D8B6" w14:textId="0188B461" w:rsidR="00C03240" w:rsidRPr="00482DB2" w:rsidRDefault="00965428" w:rsidP="00CA589E">
      <w:pPr>
        <w:spacing w:line="240" w:lineRule="auto"/>
        <w:jc w:val="both"/>
        <w:rPr>
          <w:rFonts w:ascii="Arial" w:hAnsi="Arial" w:cs="Arial"/>
          <w:b/>
          <w:bCs/>
          <w:sz w:val="18"/>
          <w:szCs w:val="18"/>
        </w:rPr>
      </w:pPr>
      <w:r w:rsidRPr="00482DB2">
        <w:rPr>
          <w:rFonts w:ascii="Arial" w:hAnsi="Arial" w:cs="Arial"/>
          <w:sz w:val="18"/>
          <w:szCs w:val="18"/>
        </w:rPr>
        <w:t>*Statistically significant at P&lt;0.05</w:t>
      </w:r>
    </w:p>
    <w:p w14:paraId="32CE985F" w14:textId="30CFF568" w:rsidR="00C03240" w:rsidRPr="00482DB2" w:rsidRDefault="008F6B0A" w:rsidP="003F3A72">
      <w:pPr>
        <w:spacing w:before="240" w:line="240" w:lineRule="auto"/>
        <w:jc w:val="both"/>
        <w:rPr>
          <w:rFonts w:ascii="Arial" w:hAnsi="Arial" w:cs="Arial"/>
          <w:sz w:val="20"/>
          <w:szCs w:val="20"/>
        </w:rPr>
      </w:pPr>
      <w:r w:rsidRPr="00482DB2">
        <w:rPr>
          <w:rFonts w:ascii="Arial" w:hAnsi="Arial" w:cs="Arial"/>
          <w:sz w:val="20"/>
          <w:szCs w:val="20"/>
        </w:rPr>
        <w:t>Table 3 Shows comparison of CD4 Count and Test parameters</w:t>
      </w:r>
      <w:r w:rsidR="003F3A72" w:rsidRPr="00482DB2">
        <w:rPr>
          <w:rFonts w:ascii="Arial" w:hAnsi="Arial" w:cs="Arial"/>
          <w:sz w:val="20"/>
          <w:szCs w:val="20"/>
        </w:rPr>
        <w:t xml:space="preserve">. </w:t>
      </w:r>
      <w:r w:rsidRPr="00482DB2">
        <w:rPr>
          <w:rFonts w:ascii="Arial" w:hAnsi="Arial" w:cs="Arial"/>
          <w:sz w:val="20"/>
          <w:szCs w:val="20"/>
        </w:rPr>
        <w:t>The mean value of CD4 Count</w:t>
      </w:r>
      <w:r w:rsidR="00DA1EE8" w:rsidRPr="00482DB2">
        <w:rPr>
          <w:rFonts w:ascii="Arial" w:hAnsi="Arial" w:cs="Arial"/>
          <w:sz w:val="20"/>
          <w:szCs w:val="20"/>
        </w:rPr>
        <w:t xml:space="preserve"> </w:t>
      </w:r>
      <w:r w:rsidRPr="00482DB2">
        <w:rPr>
          <w:rFonts w:ascii="Arial" w:hAnsi="Arial" w:cs="Arial"/>
          <w:sz w:val="20"/>
          <w:szCs w:val="20"/>
        </w:rPr>
        <w:t xml:space="preserve">(&lt;=500) was significantly higher(P&lt;0.05) in </w:t>
      </w:r>
      <w:proofErr w:type="spellStart"/>
      <w:r w:rsidRPr="00482DB2">
        <w:rPr>
          <w:rFonts w:ascii="Arial" w:hAnsi="Arial" w:cs="Arial"/>
          <w:sz w:val="20"/>
          <w:szCs w:val="20"/>
        </w:rPr>
        <w:t>Clusterin</w:t>
      </w:r>
      <w:proofErr w:type="spellEnd"/>
      <w:r w:rsidR="003F3A72" w:rsidRPr="00482DB2">
        <w:rPr>
          <w:rFonts w:ascii="Arial" w:hAnsi="Arial" w:cs="Arial"/>
          <w:sz w:val="20"/>
          <w:szCs w:val="20"/>
        </w:rPr>
        <w:t xml:space="preserve"> </w:t>
      </w:r>
      <w:r w:rsidRPr="00482DB2">
        <w:rPr>
          <w:rFonts w:ascii="Arial" w:hAnsi="Arial" w:cs="Arial"/>
          <w:sz w:val="20"/>
          <w:szCs w:val="20"/>
        </w:rPr>
        <w:t>(444.86±108.15) when compared to CD4 Count</w:t>
      </w:r>
      <w:r w:rsidR="00DA1EE8" w:rsidRPr="00482DB2">
        <w:rPr>
          <w:rFonts w:ascii="Arial" w:hAnsi="Arial" w:cs="Arial"/>
          <w:sz w:val="20"/>
          <w:szCs w:val="20"/>
        </w:rPr>
        <w:t xml:space="preserve"> </w:t>
      </w:r>
      <w:r w:rsidRPr="00482DB2">
        <w:rPr>
          <w:rFonts w:ascii="Arial" w:hAnsi="Arial" w:cs="Arial"/>
          <w:sz w:val="20"/>
          <w:szCs w:val="20"/>
        </w:rPr>
        <w:t>(&gt;500)</w:t>
      </w:r>
      <w:r w:rsidR="00DA1EE8" w:rsidRPr="00482DB2">
        <w:rPr>
          <w:rFonts w:ascii="Arial" w:hAnsi="Arial" w:cs="Arial"/>
          <w:sz w:val="20"/>
          <w:szCs w:val="20"/>
        </w:rPr>
        <w:t xml:space="preserve"> </w:t>
      </w:r>
      <w:r w:rsidRPr="00482DB2">
        <w:rPr>
          <w:rFonts w:ascii="Arial" w:hAnsi="Arial" w:cs="Arial"/>
          <w:sz w:val="20"/>
          <w:szCs w:val="20"/>
        </w:rPr>
        <w:t>(370.63±74.01). The mean value of CD4 Count</w:t>
      </w:r>
      <w:r w:rsidR="003F3A72" w:rsidRPr="00482DB2">
        <w:rPr>
          <w:rFonts w:ascii="Arial" w:hAnsi="Arial" w:cs="Arial"/>
          <w:sz w:val="20"/>
          <w:szCs w:val="20"/>
        </w:rPr>
        <w:t xml:space="preserve"> </w:t>
      </w:r>
      <w:r w:rsidRPr="00482DB2">
        <w:rPr>
          <w:rFonts w:ascii="Arial" w:hAnsi="Arial" w:cs="Arial"/>
          <w:sz w:val="20"/>
          <w:szCs w:val="20"/>
        </w:rPr>
        <w:t>(&lt;=500) was significantly higher(P&lt;0.05) in Uric Acid</w:t>
      </w:r>
      <w:r w:rsidR="003F3A72" w:rsidRPr="00482DB2">
        <w:rPr>
          <w:rFonts w:ascii="Arial" w:hAnsi="Arial" w:cs="Arial"/>
          <w:sz w:val="20"/>
          <w:szCs w:val="20"/>
        </w:rPr>
        <w:t xml:space="preserve"> </w:t>
      </w:r>
      <w:r w:rsidRPr="00482DB2">
        <w:rPr>
          <w:rFonts w:ascii="Arial" w:hAnsi="Arial" w:cs="Arial"/>
          <w:sz w:val="20"/>
          <w:szCs w:val="20"/>
        </w:rPr>
        <w:t>(323.08±74.77) when compared to CD4 Count</w:t>
      </w:r>
      <w:r w:rsidR="003F3A72" w:rsidRPr="00482DB2">
        <w:rPr>
          <w:rFonts w:ascii="Arial" w:hAnsi="Arial" w:cs="Arial"/>
          <w:sz w:val="20"/>
          <w:szCs w:val="20"/>
        </w:rPr>
        <w:t xml:space="preserve"> </w:t>
      </w:r>
      <w:r w:rsidRPr="00482DB2">
        <w:rPr>
          <w:rFonts w:ascii="Arial" w:hAnsi="Arial" w:cs="Arial"/>
          <w:sz w:val="20"/>
          <w:szCs w:val="20"/>
        </w:rPr>
        <w:t>(&gt;500)</w:t>
      </w:r>
      <w:r w:rsidR="00DA1EE8" w:rsidRPr="00482DB2">
        <w:rPr>
          <w:rFonts w:ascii="Arial" w:hAnsi="Arial" w:cs="Arial"/>
          <w:sz w:val="20"/>
          <w:szCs w:val="20"/>
        </w:rPr>
        <w:t xml:space="preserve"> </w:t>
      </w:r>
      <w:r w:rsidRPr="00482DB2">
        <w:rPr>
          <w:rFonts w:ascii="Arial" w:hAnsi="Arial" w:cs="Arial"/>
          <w:sz w:val="20"/>
          <w:szCs w:val="20"/>
        </w:rPr>
        <w:t>(274.824±49.71).</w:t>
      </w:r>
    </w:p>
    <w:p w14:paraId="148FDFEA" w14:textId="60FEFF5F" w:rsidR="00C03240" w:rsidRPr="00482DB2" w:rsidRDefault="00965428" w:rsidP="00965428">
      <w:pPr>
        <w:spacing w:after="0" w:line="240" w:lineRule="auto"/>
        <w:jc w:val="both"/>
        <w:rPr>
          <w:rFonts w:ascii="Arial" w:hAnsi="Arial" w:cs="Arial"/>
          <w:b/>
          <w:bCs/>
          <w:sz w:val="20"/>
          <w:szCs w:val="20"/>
        </w:rPr>
      </w:pPr>
      <w:r w:rsidRPr="00482DB2">
        <w:rPr>
          <w:rFonts w:ascii="Arial" w:hAnsi="Arial" w:cs="Arial"/>
          <w:b/>
          <w:bCs/>
          <w:sz w:val="20"/>
          <w:szCs w:val="20"/>
        </w:rPr>
        <w:t xml:space="preserve">Table 3 Comparison Based </w:t>
      </w:r>
      <w:proofErr w:type="gramStart"/>
      <w:r w:rsidRPr="00482DB2">
        <w:rPr>
          <w:rFonts w:ascii="Arial" w:hAnsi="Arial" w:cs="Arial"/>
          <w:b/>
          <w:bCs/>
          <w:sz w:val="20"/>
          <w:szCs w:val="20"/>
        </w:rPr>
        <w:t>On</w:t>
      </w:r>
      <w:proofErr w:type="gramEnd"/>
      <w:r w:rsidRPr="00482DB2">
        <w:rPr>
          <w:rFonts w:ascii="Arial" w:hAnsi="Arial" w:cs="Arial"/>
          <w:b/>
          <w:bCs/>
          <w:sz w:val="20"/>
          <w:szCs w:val="20"/>
        </w:rPr>
        <w:t xml:space="preserve"> Cd4 Count Below 500 And Above 500 And Test Parameters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70"/>
        <w:gridCol w:w="2670"/>
        <w:gridCol w:w="2671"/>
        <w:gridCol w:w="2671"/>
      </w:tblGrid>
      <w:tr w:rsidR="00965428" w:rsidRPr="00482DB2" w14:paraId="210589C3" w14:textId="77777777" w:rsidTr="003F3A72">
        <w:tc>
          <w:tcPr>
            <w:tcW w:w="2670" w:type="dxa"/>
            <w:tcBorders>
              <w:top w:val="single" w:sz="4" w:space="0" w:color="auto"/>
              <w:bottom w:val="single" w:sz="4" w:space="0" w:color="auto"/>
            </w:tcBorders>
          </w:tcPr>
          <w:p w14:paraId="73909A59" w14:textId="6F3BB75B"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CD4 COUNT</w:t>
            </w:r>
          </w:p>
        </w:tc>
        <w:tc>
          <w:tcPr>
            <w:tcW w:w="2670" w:type="dxa"/>
            <w:tcBorders>
              <w:top w:val="single" w:sz="4" w:space="0" w:color="auto"/>
              <w:bottom w:val="single" w:sz="4" w:space="0" w:color="auto"/>
            </w:tcBorders>
          </w:tcPr>
          <w:p w14:paraId="0D7E3522" w14:textId="60F614AB"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2671" w:type="dxa"/>
            <w:tcBorders>
              <w:top w:val="single" w:sz="4" w:space="0" w:color="auto"/>
              <w:bottom w:val="single" w:sz="4" w:space="0" w:color="auto"/>
            </w:tcBorders>
          </w:tcPr>
          <w:p w14:paraId="3DC902F0" w14:textId="5B83D2A4"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c>
          <w:tcPr>
            <w:tcW w:w="2671" w:type="dxa"/>
            <w:tcBorders>
              <w:top w:val="single" w:sz="4" w:space="0" w:color="auto"/>
              <w:bottom w:val="single" w:sz="4" w:space="0" w:color="auto"/>
            </w:tcBorders>
          </w:tcPr>
          <w:p w14:paraId="638283C2" w14:textId="6B34B458"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CD4 COUNT</w:t>
            </w:r>
          </w:p>
        </w:tc>
      </w:tr>
      <w:tr w:rsidR="00965428" w:rsidRPr="00482DB2" w14:paraId="0E97C6C9" w14:textId="77777777" w:rsidTr="003F3A72">
        <w:tc>
          <w:tcPr>
            <w:tcW w:w="2670" w:type="dxa"/>
            <w:tcBorders>
              <w:top w:val="single" w:sz="4" w:space="0" w:color="auto"/>
            </w:tcBorders>
          </w:tcPr>
          <w:p w14:paraId="6C82C0F9" w14:textId="5ED9A7FA"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&lt;=500</w:t>
            </w:r>
          </w:p>
        </w:tc>
        <w:tc>
          <w:tcPr>
            <w:tcW w:w="2670" w:type="dxa"/>
            <w:tcBorders>
              <w:top w:val="single" w:sz="4" w:space="0" w:color="auto"/>
            </w:tcBorders>
          </w:tcPr>
          <w:p w14:paraId="6F320711" w14:textId="5F0E1B34"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444.86±108.15</w:t>
            </w:r>
          </w:p>
        </w:tc>
        <w:tc>
          <w:tcPr>
            <w:tcW w:w="2671" w:type="dxa"/>
            <w:tcBorders>
              <w:top w:val="single" w:sz="4" w:space="0" w:color="auto"/>
            </w:tcBorders>
          </w:tcPr>
          <w:p w14:paraId="6D4605B1" w14:textId="3B367D9F"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323.08±74.77</w:t>
            </w:r>
          </w:p>
        </w:tc>
        <w:tc>
          <w:tcPr>
            <w:tcW w:w="2671" w:type="dxa"/>
            <w:tcBorders>
              <w:top w:val="single" w:sz="4" w:space="0" w:color="auto"/>
            </w:tcBorders>
          </w:tcPr>
          <w:p w14:paraId="32555482" w14:textId="347E0D89"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&lt;=500</w:t>
            </w:r>
          </w:p>
        </w:tc>
      </w:tr>
      <w:tr w:rsidR="00965428" w:rsidRPr="00482DB2" w14:paraId="2AB50A77" w14:textId="77777777" w:rsidTr="003F3A72">
        <w:tc>
          <w:tcPr>
            <w:tcW w:w="2670" w:type="dxa"/>
          </w:tcPr>
          <w:p w14:paraId="6FB1D267" w14:textId="3DD805C3"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&gt;500</w:t>
            </w:r>
          </w:p>
        </w:tc>
        <w:tc>
          <w:tcPr>
            <w:tcW w:w="2670" w:type="dxa"/>
          </w:tcPr>
          <w:p w14:paraId="13E19AE7" w14:textId="2361E5DB"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370.63±74.01</w:t>
            </w:r>
          </w:p>
        </w:tc>
        <w:tc>
          <w:tcPr>
            <w:tcW w:w="2671" w:type="dxa"/>
          </w:tcPr>
          <w:p w14:paraId="51004F88" w14:textId="7DBBB821"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274.82±49.71</w:t>
            </w:r>
          </w:p>
        </w:tc>
        <w:tc>
          <w:tcPr>
            <w:tcW w:w="2671" w:type="dxa"/>
          </w:tcPr>
          <w:p w14:paraId="13F7F66A" w14:textId="2593C552"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&gt;500</w:t>
            </w:r>
          </w:p>
        </w:tc>
      </w:tr>
      <w:tr w:rsidR="00965428" w:rsidRPr="00482DB2" w14:paraId="6173B71F" w14:textId="77777777" w:rsidTr="003F3A72">
        <w:tc>
          <w:tcPr>
            <w:tcW w:w="2670" w:type="dxa"/>
          </w:tcPr>
          <w:p w14:paraId="7E5F356B" w14:textId="0CA613CE"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t(P) value</w:t>
            </w:r>
          </w:p>
        </w:tc>
        <w:tc>
          <w:tcPr>
            <w:tcW w:w="2670" w:type="dxa"/>
          </w:tcPr>
          <w:p w14:paraId="259140EF" w14:textId="5A5289A5"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-3.655(</w:t>
            </w:r>
            <w:proofErr w:type="gramStart"/>
            <w:r w:rsidRPr="00482DB2">
              <w:rPr>
                <w:rFonts w:ascii="Arial" w:hAnsi="Arial" w:cs="Arial"/>
                <w:sz w:val="20"/>
                <w:szCs w:val="20"/>
              </w:rPr>
              <w:t>0.000)*</w:t>
            </w:r>
            <w:proofErr w:type="gramEnd"/>
          </w:p>
        </w:tc>
        <w:tc>
          <w:tcPr>
            <w:tcW w:w="2671" w:type="dxa"/>
          </w:tcPr>
          <w:p w14:paraId="5074DC6D" w14:textId="2B77678B"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-3.487(</w:t>
            </w:r>
            <w:proofErr w:type="gramStart"/>
            <w:r w:rsidRPr="00482DB2">
              <w:rPr>
                <w:rFonts w:ascii="Arial" w:hAnsi="Arial" w:cs="Arial"/>
                <w:sz w:val="20"/>
                <w:szCs w:val="20"/>
              </w:rPr>
              <w:t>0.001)*</w:t>
            </w:r>
            <w:proofErr w:type="gramEnd"/>
          </w:p>
        </w:tc>
        <w:tc>
          <w:tcPr>
            <w:tcW w:w="2671" w:type="dxa"/>
          </w:tcPr>
          <w:p w14:paraId="2E392601" w14:textId="1ECC08DA" w:rsidR="00965428" w:rsidRPr="00482DB2" w:rsidRDefault="00965428" w:rsidP="00965428">
            <w:pPr>
              <w:spacing w:line="240" w:lineRule="auto"/>
              <w:jc w:val="both"/>
              <w:rPr>
                <w:rFonts w:ascii="Arial" w:hAnsi="Arial" w:cs="Arial"/>
                <w:b/>
                <w:bCs/>
                <w:sz w:val="20"/>
                <w:szCs w:val="20"/>
              </w:rPr>
            </w:pPr>
            <w:r w:rsidRPr="00482DB2">
              <w:rPr>
                <w:rFonts w:ascii="Arial" w:hAnsi="Arial" w:cs="Arial"/>
                <w:sz w:val="20"/>
                <w:szCs w:val="20"/>
              </w:rPr>
              <w:t>t(P) value</w:t>
            </w:r>
          </w:p>
        </w:tc>
      </w:tr>
    </w:tbl>
    <w:p w14:paraId="09DC7520" w14:textId="77777777" w:rsidR="00965428" w:rsidRPr="00482DB2" w:rsidRDefault="00965428" w:rsidP="00965428">
      <w:pPr>
        <w:spacing w:line="240" w:lineRule="auto"/>
        <w:jc w:val="both"/>
        <w:rPr>
          <w:rFonts w:ascii="Arial" w:hAnsi="Arial" w:cs="Arial"/>
          <w:sz w:val="18"/>
          <w:szCs w:val="18"/>
        </w:rPr>
      </w:pPr>
      <w:r w:rsidRPr="00482DB2">
        <w:rPr>
          <w:rFonts w:ascii="Arial" w:hAnsi="Arial" w:cs="Arial"/>
          <w:sz w:val="18"/>
          <w:szCs w:val="18"/>
        </w:rPr>
        <w:t>*Statistically significant at P&lt;0.05</w:t>
      </w:r>
    </w:p>
    <w:p w14:paraId="69A90B2F" w14:textId="77777777" w:rsidR="00965428" w:rsidRPr="00482DB2" w:rsidRDefault="00965428" w:rsidP="00CA589E">
      <w:pPr>
        <w:spacing w:line="240" w:lineRule="auto"/>
        <w:jc w:val="both"/>
        <w:rPr>
          <w:rFonts w:ascii="Arial" w:hAnsi="Arial" w:cs="Arial"/>
          <w:b/>
          <w:bCs/>
          <w:sz w:val="20"/>
          <w:szCs w:val="20"/>
        </w:rPr>
      </w:pPr>
    </w:p>
    <w:p w14:paraId="5B09B31C" w14:textId="24C86235" w:rsidR="00C03240" w:rsidRPr="00482DB2" w:rsidRDefault="008F6B0A" w:rsidP="00CA589E">
      <w:pPr>
        <w:spacing w:line="240" w:lineRule="auto"/>
        <w:jc w:val="both"/>
        <w:rPr>
          <w:rFonts w:ascii="Arial" w:hAnsi="Arial" w:cs="Arial"/>
          <w:sz w:val="20"/>
          <w:szCs w:val="20"/>
        </w:rPr>
      </w:pPr>
      <w:r w:rsidRPr="00482DB2">
        <w:rPr>
          <w:rFonts w:ascii="Arial" w:hAnsi="Arial" w:cs="Arial"/>
          <w:b/>
          <w:bCs/>
          <w:sz w:val="20"/>
          <w:szCs w:val="20"/>
        </w:rPr>
        <w:lastRenderedPageBreak/>
        <w:t xml:space="preserve">Table 4 </w:t>
      </w:r>
      <w:r w:rsidRPr="00482DB2">
        <w:rPr>
          <w:rFonts w:ascii="Arial" w:hAnsi="Arial" w:cs="Arial"/>
          <w:sz w:val="20"/>
          <w:szCs w:val="20"/>
        </w:rPr>
        <w:t xml:space="preserve">Shows comparison of Mean ± SD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in HIV Positive, Co-infection, Malaria Positive and </w:t>
      </w:r>
      <w:proofErr w:type="gramStart"/>
      <w:r w:rsidRPr="00482DB2">
        <w:rPr>
          <w:rFonts w:ascii="Arial" w:hAnsi="Arial" w:cs="Arial"/>
          <w:sz w:val="20"/>
          <w:szCs w:val="20"/>
        </w:rPr>
        <w:t>Non HIV</w:t>
      </w:r>
      <w:proofErr w:type="gramEnd"/>
      <w:r w:rsidRPr="00482DB2">
        <w:rPr>
          <w:rFonts w:ascii="Arial" w:hAnsi="Arial" w:cs="Arial"/>
          <w:sz w:val="20"/>
          <w:szCs w:val="20"/>
        </w:rPr>
        <w:t>/Malaria test subjects</w:t>
      </w:r>
    </w:p>
    <w:p w14:paraId="767E8890" w14:textId="2CAD697F" w:rsidR="00C03240" w:rsidRPr="00482DB2" w:rsidRDefault="008F6B0A" w:rsidP="00CA589E">
      <w:pPr>
        <w:spacing w:line="240" w:lineRule="auto"/>
        <w:jc w:val="both"/>
        <w:rPr>
          <w:rFonts w:ascii="Arial" w:hAnsi="Arial" w:cs="Arial"/>
          <w:sz w:val="20"/>
          <w:szCs w:val="20"/>
        </w:rPr>
      </w:pPr>
      <w:r w:rsidRPr="00482DB2">
        <w:rPr>
          <w:rFonts w:ascii="Arial" w:hAnsi="Arial" w:cs="Arial"/>
          <w:sz w:val="20"/>
          <w:szCs w:val="20"/>
        </w:rPr>
        <w:t xml:space="preserve">The mean value of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was significantly higher(P&lt;0.05) in Co-infection subjects (463.70±85.84) when compared to other test subjects. Similarly, the mean value of Uric Acid was significantly higher(P&lt;0.05) in Co-infection subjects (346.13±77.95) when compared to other test subjects.</w:t>
      </w:r>
    </w:p>
    <w:p w14:paraId="13B4FF7C" w14:textId="77777777" w:rsidR="00965428" w:rsidRPr="00482DB2" w:rsidRDefault="00965428" w:rsidP="00CA589E">
      <w:pPr>
        <w:spacing w:line="240" w:lineRule="auto"/>
        <w:jc w:val="both"/>
        <w:rPr>
          <w:rFonts w:ascii="Arial" w:hAnsi="Arial" w:cs="Arial"/>
          <w:b/>
          <w:bCs/>
          <w:sz w:val="20"/>
          <w:szCs w:val="20"/>
        </w:rPr>
      </w:pPr>
    </w:p>
    <w:p w14:paraId="6F49F0D3" w14:textId="64658AB2" w:rsidR="00C03240" w:rsidRPr="00482DB2" w:rsidRDefault="00965428" w:rsidP="00CA589E">
      <w:pPr>
        <w:spacing w:line="240" w:lineRule="auto"/>
        <w:jc w:val="both"/>
        <w:rPr>
          <w:rFonts w:ascii="Arial" w:hAnsi="Arial" w:cs="Arial"/>
          <w:b/>
          <w:bCs/>
          <w:sz w:val="20"/>
          <w:szCs w:val="20"/>
        </w:rPr>
      </w:pPr>
      <w:r w:rsidRPr="00482DB2">
        <w:rPr>
          <w:rFonts w:ascii="Arial" w:hAnsi="Arial" w:cs="Arial"/>
          <w:b/>
          <w:bCs/>
          <w:sz w:val="20"/>
          <w:szCs w:val="20"/>
        </w:rPr>
        <w:t xml:space="preserve">Table 4 Comparison </w:t>
      </w:r>
      <w:proofErr w:type="gramStart"/>
      <w:r w:rsidRPr="00482DB2">
        <w:rPr>
          <w:rFonts w:ascii="Arial" w:hAnsi="Arial" w:cs="Arial"/>
          <w:b/>
          <w:bCs/>
          <w:sz w:val="20"/>
          <w:szCs w:val="20"/>
        </w:rPr>
        <w:t>Of</w:t>
      </w:r>
      <w:proofErr w:type="gramEnd"/>
      <w:r w:rsidRPr="00482DB2">
        <w:rPr>
          <w:rFonts w:ascii="Arial" w:hAnsi="Arial" w:cs="Arial"/>
          <w:b/>
          <w:bCs/>
          <w:sz w:val="20"/>
          <w:szCs w:val="20"/>
        </w:rPr>
        <w:t xml:space="preserve"> </w:t>
      </w:r>
      <w:proofErr w:type="spellStart"/>
      <w:r w:rsidRPr="00482DB2">
        <w:rPr>
          <w:rFonts w:ascii="Arial" w:hAnsi="Arial" w:cs="Arial"/>
          <w:b/>
          <w:bCs/>
          <w:sz w:val="20"/>
          <w:szCs w:val="20"/>
        </w:rPr>
        <w:t>Mean±Sd</w:t>
      </w:r>
      <w:proofErr w:type="spellEnd"/>
      <w:r w:rsidRPr="00482DB2">
        <w:rPr>
          <w:rFonts w:ascii="Arial" w:hAnsi="Arial" w:cs="Arial"/>
          <w:b/>
          <w:bCs/>
          <w:sz w:val="20"/>
          <w:szCs w:val="20"/>
        </w:rPr>
        <w:t xml:space="preserve"> Of Serum </w:t>
      </w:r>
      <w:proofErr w:type="spellStart"/>
      <w:r w:rsidRPr="00482DB2">
        <w:rPr>
          <w:rFonts w:ascii="Arial" w:hAnsi="Arial" w:cs="Arial"/>
          <w:b/>
          <w:bCs/>
          <w:sz w:val="20"/>
          <w:szCs w:val="20"/>
        </w:rPr>
        <w:t>Clusterin</w:t>
      </w:r>
      <w:proofErr w:type="spellEnd"/>
      <w:r w:rsidRPr="00482DB2">
        <w:rPr>
          <w:rFonts w:ascii="Arial" w:hAnsi="Arial" w:cs="Arial"/>
          <w:b/>
          <w:bCs/>
          <w:sz w:val="20"/>
          <w:szCs w:val="20"/>
        </w:rPr>
        <w:t xml:space="preserve"> And Uric Acid Among Groups</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60"/>
        <w:gridCol w:w="3561"/>
        <w:gridCol w:w="3561"/>
      </w:tblGrid>
      <w:tr w:rsidR="00965428" w:rsidRPr="00482DB2" w14:paraId="6D96A3DC" w14:textId="77777777" w:rsidTr="003F3A72">
        <w:tc>
          <w:tcPr>
            <w:tcW w:w="3560" w:type="dxa"/>
            <w:tcBorders>
              <w:top w:val="single" w:sz="4" w:space="0" w:color="auto"/>
              <w:bottom w:val="single" w:sz="4" w:space="0" w:color="auto"/>
            </w:tcBorders>
          </w:tcPr>
          <w:p w14:paraId="5D6301DA" w14:textId="31A3DCDE"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GROUPS</w:t>
            </w:r>
          </w:p>
        </w:tc>
        <w:tc>
          <w:tcPr>
            <w:tcW w:w="3561" w:type="dxa"/>
            <w:tcBorders>
              <w:top w:val="single" w:sz="4" w:space="0" w:color="auto"/>
              <w:bottom w:val="single" w:sz="4" w:space="0" w:color="auto"/>
            </w:tcBorders>
          </w:tcPr>
          <w:p w14:paraId="3A4AFF8F" w14:textId="765CF189"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CLUSTERIN (</w:t>
            </w:r>
            <w:proofErr w:type="spellStart"/>
            <w:r w:rsidRPr="00482DB2">
              <w:rPr>
                <w:rFonts w:ascii="Arial" w:hAnsi="Arial" w:cs="Arial"/>
                <w:b/>
                <w:bCs/>
                <w:sz w:val="20"/>
                <w:szCs w:val="20"/>
              </w:rPr>
              <w:t>pmol</w:t>
            </w:r>
            <w:proofErr w:type="spellEnd"/>
            <w:r w:rsidRPr="00482DB2">
              <w:rPr>
                <w:rFonts w:ascii="Arial" w:hAnsi="Arial" w:cs="Arial"/>
                <w:b/>
                <w:bCs/>
                <w:sz w:val="20"/>
                <w:szCs w:val="20"/>
              </w:rPr>
              <w:t>/l)</w:t>
            </w:r>
          </w:p>
        </w:tc>
        <w:tc>
          <w:tcPr>
            <w:tcW w:w="3561" w:type="dxa"/>
            <w:tcBorders>
              <w:top w:val="single" w:sz="4" w:space="0" w:color="auto"/>
              <w:bottom w:val="single" w:sz="4" w:space="0" w:color="auto"/>
            </w:tcBorders>
          </w:tcPr>
          <w:p w14:paraId="6A3AD1FC" w14:textId="66AAFA25" w:rsidR="00965428" w:rsidRPr="00482DB2" w:rsidRDefault="00965428" w:rsidP="00965428">
            <w:pPr>
              <w:spacing w:line="240" w:lineRule="auto"/>
              <w:jc w:val="both"/>
              <w:rPr>
                <w:rFonts w:ascii="Arial" w:hAnsi="Arial" w:cs="Arial"/>
                <w:b/>
                <w:bCs/>
                <w:sz w:val="20"/>
                <w:szCs w:val="20"/>
              </w:rPr>
            </w:pPr>
            <w:r w:rsidRPr="00482DB2">
              <w:rPr>
                <w:rFonts w:ascii="Arial" w:hAnsi="Arial" w:cs="Arial"/>
                <w:b/>
                <w:bCs/>
                <w:sz w:val="20"/>
                <w:szCs w:val="20"/>
              </w:rPr>
              <w:t>URIC ACID (µmol/l)</w:t>
            </w:r>
          </w:p>
        </w:tc>
      </w:tr>
      <w:tr w:rsidR="00965428" w:rsidRPr="00482DB2" w14:paraId="19F3FBC4" w14:textId="77777777" w:rsidTr="003F3A72">
        <w:tc>
          <w:tcPr>
            <w:tcW w:w="3560" w:type="dxa"/>
            <w:tcBorders>
              <w:top w:val="single" w:sz="4" w:space="0" w:color="auto"/>
            </w:tcBorders>
          </w:tcPr>
          <w:p w14:paraId="47191DAA" w14:textId="4B10FA17" w:rsidR="00965428" w:rsidRPr="00482DB2" w:rsidRDefault="00965428" w:rsidP="00965428">
            <w:pPr>
              <w:spacing w:line="240" w:lineRule="auto"/>
              <w:jc w:val="both"/>
              <w:rPr>
                <w:rFonts w:ascii="Arial" w:hAnsi="Arial" w:cs="Arial"/>
                <w:sz w:val="20"/>
                <w:szCs w:val="20"/>
              </w:rPr>
            </w:pPr>
            <w:r w:rsidRPr="00482DB2">
              <w:rPr>
                <w:rFonts w:ascii="Arial" w:hAnsi="Arial" w:cs="Arial"/>
                <w:sz w:val="20"/>
                <w:szCs w:val="20"/>
              </w:rPr>
              <w:t>HIV POSITIVE ONLY (n=22)</w:t>
            </w:r>
          </w:p>
        </w:tc>
        <w:tc>
          <w:tcPr>
            <w:tcW w:w="3561" w:type="dxa"/>
            <w:tcBorders>
              <w:top w:val="single" w:sz="4" w:space="0" w:color="auto"/>
            </w:tcBorders>
          </w:tcPr>
          <w:p w14:paraId="2993EE95" w14:textId="59935106" w:rsidR="00965428" w:rsidRPr="00482DB2" w:rsidRDefault="00965428" w:rsidP="00965428">
            <w:pPr>
              <w:spacing w:line="240" w:lineRule="auto"/>
              <w:jc w:val="both"/>
              <w:rPr>
                <w:rFonts w:ascii="Arial" w:hAnsi="Arial" w:cs="Arial"/>
                <w:sz w:val="20"/>
                <w:szCs w:val="20"/>
              </w:rPr>
            </w:pPr>
            <w:r w:rsidRPr="00482DB2">
              <w:rPr>
                <w:rFonts w:ascii="Arial" w:hAnsi="Arial" w:cs="Arial"/>
                <w:sz w:val="20"/>
                <w:szCs w:val="20"/>
              </w:rPr>
              <w:t>440.29±66.80</w:t>
            </w:r>
          </w:p>
        </w:tc>
        <w:tc>
          <w:tcPr>
            <w:tcW w:w="3561" w:type="dxa"/>
            <w:tcBorders>
              <w:top w:val="single" w:sz="4" w:space="0" w:color="auto"/>
            </w:tcBorders>
          </w:tcPr>
          <w:p w14:paraId="2B348C38" w14:textId="1A4A9A51" w:rsidR="00965428" w:rsidRPr="00482DB2" w:rsidRDefault="003F3A72" w:rsidP="00965428">
            <w:pPr>
              <w:spacing w:line="240" w:lineRule="auto"/>
              <w:jc w:val="both"/>
              <w:rPr>
                <w:rFonts w:ascii="Arial" w:hAnsi="Arial" w:cs="Arial"/>
                <w:sz w:val="20"/>
                <w:szCs w:val="20"/>
              </w:rPr>
            </w:pPr>
            <w:r w:rsidRPr="00482DB2">
              <w:rPr>
                <w:rFonts w:ascii="Arial" w:hAnsi="Arial" w:cs="Arial"/>
                <w:sz w:val="20"/>
                <w:szCs w:val="20"/>
              </w:rPr>
              <w:t>297.65±49.18</w:t>
            </w:r>
          </w:p>
        </w:tc>
      </w:tr>
      <w:tr w:rsidR="003F3A72" w:rsidRPr="00482DB2" w14:paraId="49710868" w14:textId="77777777" w:rsidTr="003F3A72">
        <w:tc>
          <w:tcPr>
            <w:tcW w:w="3560" w:type="dxa"/>
          </w:tcPr>
          <w:p w14:paraId="400E4341" w14:textId="65C6F2FC"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COINFECTION (n=22)</w:t>
            </w:r>
          </w:p>
        </w:tc>
        <w:tc>
          <w:tcPr>
            <w:tcW w:w="3561" w:type="dxa"/>
          </w:tcPr>
          <w:p w14:paraId="7E36DF2A" w14:textId="41CBA19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463.70±85.84</w:t>
            </w:r>
          </w:p>
        </w:tc>
        <w:tc>
          <w:tcPr>
            <w:tcW w:w="3561" w:type="dxa"/>
          </w:tcPr>
          <w:p w14:paraId="1A1C4433" w14:textId="3C029C6F"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346.13±77.95</w:t>
            </w:r>
          </w:p>
        </w:tc>
      </w:tr>
      <w:tr w:rsidR="003F3A72" w:rsidRPr="00482DB2" w14:paraId="6BEB20CD" w14:textId="77777777" w:rsidTr="003F3A72">
        <w:tc>
          <w:tcPr>
            <w:tcW w:w="3560" w:type="dxa"/>
          </w:tcPr>
          <w:p w14:paraId="105C5A3F" w14:textId="2EC52161"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MALARIA POSITIVE ONLY (n=22)</w:t>
            </w:r>
          </w:p>
        </w:tc>
        <w:tc>
          <w:tcPr>
            <w:tcW w:w="3561" w:type="dxa"/>
          </w:tcPr>
          <w:p w14:paraId="41FEDBE8" w14:textId="7A6E10C2"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407.80±61.77</w:t>
            </w:r>
          </w:p>
        </w:tc>
        <w:tc>
          <w:tcPr>
            <w:tcW w:w="3561" w:type="dxa"/>
          </w:tcPr>
          <w:p w14:paraId="694735E2" w14:textId="6B85ED2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253.70±42.61</w:t>
            </w:r>
          </w:p>
        </w:tc>
      </w:tr>
      <w:tr w:rsidR="003F3A72" w:rsidRPr="00482DB2" w14:paraId="16BEE68B" w14:textId="77777777" w:rsidTr="003F3A72">
        <w:tc>
          <w:tcPr>
            <w:tcW w:w="3560" w:type="dxa"/>
          </w:tcPr>
          <w:p w14:paraId="4C1DFB24" w14:textId="77777777" w:rsidR="003F3A72" w:rsidRPr="00482DB2" w:rsidRDefault="003F3A72" w:rsidP="003F3A72">
            <w:pPr>
              <w:spacing w:after="0" w:line="240" w:lineRule="auto"/>
              <w:jc w:val="both"/>
              <w:rPr>
                <w:rFonts w:ascii="Arial" w:hAnsi="Arial" w:cs="Arial"/>
                <w:sz w:val="20"/>
                <w:szCs w:val="20"/>
              </w:rPr>
            </w:pPr>
            <w:r w:rsidRPr="00482DB2">
              <w:rPr>
                <w:rFonts w:ascii="Arial" w:hAnsi="Arial" w:cs="Arial"/>
                <w:sz w:val="20"/>
                <w:szCs w:val="20"/>
              </w:rPr>
              <w:t>CONTROL</w:t>
            </w:r>
          </w:p>
          <w:p w14:paraId="3656426C" w14:textId="353877F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(n=22)</w:t>
            </w:r>
          </w:p>
        </w:tc>
        <w:tc>
          <w:tcPr>
            <w:tcW w:w="3561" w:type="dxa"/>
          </w:tcPr>
          <w:p w14:paraId="263EFD15" w14:textId="00D5B166"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265.92±60.67</w:t>
            </w:r>
          </w:p>
        </w:tc>
        <w:tc>
          <w:tcPr>
            <w:tcW w:w="3561" w:type="dxa"/>
          </w:tcPr>
          <w:p w14:paraId="597FCBEB" w14:textId="21034FD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163.19±27.75</w:t>
            </w:r>
          </w:p>
        </w:tc>
      </w:tr>
      <w:tr w:rsidR="003F3A72" w:rsidRPr="00482DB2" w14:paraId="60DCB8BE" w14:textId="77777777" w:rsidTr="003F3A72">
        <w:tc>
          <w:tcPr>
            <w:tcW w:w="3560" w:type="dxa"/>
          </w:tcPr>
          <w:p w14:paraId="349F12C0" w14:textId="216ED370"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B: P - Value</w:t>
            </w:r>
          </w:p>
        </w:tc>
        <w:tc>
          <w:tcPr>
            <w:tcW w:w="3561" w:type="dxa"/>
          </w:tcPr>
          <w:p w14:paraId="559F28B0" w14:textId="37331BF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0.060</w:t>
            </w:r>
          </w:p>
        </w:tc>
        <w:tc>
          <w:tcPr>
            <w:tcW w:w="3561" w:type="dxa"/>
          </w:tcPr>
          <w:p w14:paraId="55E8D914" w14:textId="3EC445FE"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0.015*</w:t>
            </w:r>
          </w:p>
        </w:tc>
      </w:tr>
      <w:tr w:rsidR="003F3A72" w:rsidRPr="00482DB2" w14:paraId="04A2C624" w14:textId="77777777" w:rsidTr="003F3A72">
        <w:tc>
          <w:tcPr>
            <w:tcW w:w="3560" w:type="dxa"/>
          </w:tcPr>
          <w:p w14:paraId="0EA8411F" w14:textId="33B23718"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C: P - Value</w:t>
            </w:r>
          </w:p>
        </w:tc>
        <w:tc>
          <w:tcPr>
            <w:tcW w:w="3561" w:type="dxa"/>
          </w:tcPr>
          <w:p w14:paraId="67D6EB8C" w14:textId="76C43C98"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0.009*</w:t>
            </w:r>
          </w:p>
        </w:tc>
        <w:tc>
          <w:tcPr>
            <w:tcW w:w="3561" w:type="dxa"/>
          </w:tcPr>
          <w:p w14:paraId="3B1736EC" w14:textId="6155979E"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0.020*</w:t>
            </w:r>
          </w:p>
        </w:tc>
      </w:tr>
      <w:tr w:rsidR="003F3A72" w:rsidRPr="00482DB2" w14:paraId="5BA86291" w14:textId="77777777" w:rsidTr="003F3A72">
        <w:tc>
          <w:tcPr>
            <w:tcW w:w="3560" w:type="dxa"/>
          </w:tcPr>
          <w:p w14:paraId="739814B6" w14:textId="56F87187"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A vs D: P - Value</w:t>
            </w:r>
          </w:p>
        </w:tc>
        <w:tc>
          <w:tcPr>
            <w:tcW w:w="3561" w:type="dxa"/>
          </w:tcPr>
          <w:p w14:paraId="2C5F8ED1" w14:textId="4E86D9C9"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68F6B5C6" w14:textId="265DD1C2"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10264BB3" w14:textId="77777777" w:rsidTr="003F3A72">
        <w:tc>
          <w:tcPr>
            <w:tcW w:w="3560" w:type="dxa"/>
          </w:tcPr>
          <w:p w14:paraId="5834A3D1" w14:textId="142831C5"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B vs C: P - Value</w:t>
            </w:r>
          </w:p>
        </w:tc>
        <w:tc>
          <w:tcPr>
            <w:tcW w:w="3561" w:type="dxa"/>
          </w:tcPr>
          <w:p w14:paraId="767D5CB1" w14:textId="2FBD2DB1"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4259F55A" w14:textId="078EB53F"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5E6D753B" w14:textId="77777777" w:rsidTr="003F3A72">
        <w:tc>
          <w:tcPr>
            <w:tcW w:w="3560" w:type="dxa"/>
          </w:tcPr>
          <w:p w14:paraId="2FD93F5E" w14:textId="650A115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B vs D: P - Value</w:t>
            </w:r>
          </w:p>
        </w:tc>
        <w:tc>
          <w:tcPr>
            <w:tcW w:w="3561" w:type="dxa"/>
          </w:tcPr>
          <w:p w14:paraId="3C60CBA5" w14:textId="08CBF27B"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68715241" w14:textId="1321FBD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r w:rsidR="003F3A72" w:rsidRPr="00482DB2" w14:paraId="65453C06" w14:textId="77777777" w:rsidTr="003F3A72">
        <w:tc>
          <w:tcPr>
            <w:tcW w:w="3560" w:type="dxa"/>
          </w:tcPr>
          <w:p w14:paraId="52EB8271" w14:textId="4E48B224"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C vs D: P - Value</w:t>
            </w:r>
          </w:p>
        </w:tc>
        <w:tc>
          <w:tcPr>
            <w:tcW w:w="3561" w:type="dxa"/>
          </w:tcPr>
          <w:p w14:paraId="2FF7FA93" w14:textId="19C6AEC3"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c>
          <w:tcPr>
            <w:tcW w:w="3561" w:type="dxa"/>
          </w:tcPr>
          <w:p w14:paraId="5754A4DB" w14:textId="762B31E6" w:rsidR="003F3A72" w:rsidRPr="00482DB2" w:rsidRDefault="003F3A72" w:rsidP="003F3A72">
            <w:pPr>
              <w:spacing w:line="240" w:lineRule="auto"/>
              <w:jc w:val="both"/>
              <w:rPr>
                <w:rFonts w:ascii="Arial" w:hAnsi="Arial" w:cs="Arial"/>
                <w:sz w:val="20"/>
                <w:szCs w:val="20"/>
              </w:rPr>
            </w:pPr>
            <w:r w:rsidRPr="00482DB2">
              <w:rPr>
                <w:rFonts w:ascii="Arial" w:hAnsi="Arial" w:cs="Arial"/>
                <w:sz w:val="20"/>
                <w:szCs w:val="20"/>
              </w:rPr>
              <w:t>0.000*</w:t>
            </w:r>
          </w:p>
        </w:tc>
      </w:tr>
    </w:tbl>
    <w:p w14:paraId="5EDF180F" w14:textId="77777777" w:rsidR="003F3A72" w:rsidRPr="00482DB2" w:rsidRDefault="003F3A72" w:rsidP="003F3A72">
      <w:pPr>
        <w:spacing w:line="240" w:lineRule="auto"/>
        <w:jc w:val="both"/>
        <w:rPr>
          <w:rFonts w:ascii="Arial" w:hAnsi="Arial" w:cs="Arial"/>
          <w:sz w:val="18"/>
          <w:szCs w:val="18"/>
        </w:rPr>
      </w:pPr>
      <w:r w:rsidRPr="00482DB2">
        <w:rPr>
          <w:rFonts w:ascii="Arial" w:hAnsi="Arial" w:cs="Arial"/>
          <w:sz w:val="18"/>
          <w:szCs w:val="18"/>
        </w:rPr>
        <w:t>*Statistically significant at P&lt;0.05</w:t>
      </w:r>
    </w:p>
    <w:p w14:paraId="2686AA01" w14:textId="77777777" w:rsidR="00965428" w:rsidRPr="00C526B9" w:rsidRDefault="00965428" w:rsidP="00CA589E">
      <w:pPr>
        <w:spacing w:line="240" w:lineRule="auto"/>
        <w:jc w:val="both"/>
        <w:rPr>
          <w:rFonts w:ascii="Arial" w:hAnsi="Arial" w:cs="Arial"/>
          <w:b/>
          <w:bCs/>
          <w:sz w:val="24"/>
          <w:szCs w:val="24"/>
        </w:rPr>
      </w:pPr>
    </w:p>
    <w:p w14:paraId="4A00651F" w14:textId="5CDB750D" w:rsidR="00C03240" w:rsidRPr="00482DB2" w:rsidRDefault="004614D9" w:rsidP="00CA589E">
      <w:pPr>
        <w:spacing w:line="240" w:lineRule="auto"/>
        <w:jc w:val="both"/>
        <w:rPr>
          <w:rFonts w:ascii="Arial" w:hAnsi="Arial" w:cs="Arial"/>
          <w:b/>
        </w:rPr>
      </w:pPr>
      <w:r w:rsidRPr="00482DB2">
        <w:rPr>
          <w:rFonts w:ascii="Arial" w:hAnsi="Arial" w:cs="Arial"/>
          <w:b/>
        </w:rPr>
        <w:t>DISCUSSION</w:t>
      </w:r>
    </w:p>
    <w:p w14:paraId="35C441B4" w14:textId="0F42DDD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Human immunodeficiency virus (HIV) continues to pose a significant global public health challenge, particularly in developing countries like Nigeria, where its prevalence and devastating effects remain high despite ongoing efforts to control the disease. Nigeria, in particular, carries one of the highest burdens of HIV/AIDS globally, with a reported 1.4% prevalence among adults aged 15–49 years, reaching 1.9% in the southeastern region. The advent of antiretroviral therapy (ART) has markedly improved life expectancy among HIV-positive individuals. However, ART is not without its complications, with an emerging concern being kidney disease, which is suspected to be linked to these medications. The renal dysfunction can stem from various mechanisms, including the HIV infection itself, HIV-induced inflammation, comorbid conditions, and drug-related toxicities. Beyond HIV, malaria is another widespread infectious disease, and co-infection with HIV is known to increase mortality. Such co-infections are associated with strong CD4+ cell activation and an upregulation of pro-inflammatory cytokines, creating an environment conducive to rapid HIV-1 replication and spread among CD4+ cells. This study aimed to evaluate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HIV-infected patients co-infected with malaria at Nnamdi Azikiwe University Teaching Hospital (NAUTH), Nnewi.</w:t>
      </w:r>
    </w:p>
    <w:p w14:paraId="451953C2" w14:textId="2F121227"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The mean age of the participants in this study ranged between 24.05±2.35 and 26.00±10.50 years. This demographic finding highlights that a significant proportion of those affected are young, vibrant individuals within the active workforce age bracket of 18 to 65 years, which carries serious implications for the country's economic productivity. This observation is consistent with other studies indicating that HIV and AIDS disproportionately affect younger populations, specifically those aged 15-49 years </w:t>
      </w:r>
      <w:r w:rsidR="00DD7B67" w:rsidRPr="00482DB2">
        <w:rPr>
          <w:rFonts w:ascii="Arial" w:hAnsi="Arial" w:cs="Arial"/>
          <w:sz w:val="20"/>
          <w:szCs w:val="20"/>
        </w:rPr>
        <w:t>(</w:t>
      </w:r>
      <w:r w:rsidRPr="00482DB2">
        <w:rPr>
          <w:rFonts w:ascii="Arial" w:hAnsi="Arial" w:cs="Arial"/>
          <w:sz w:val="20"/>
          <w:szCs w:val="20"/>
        </w:rPr>
        <w:t>UNAIDS, 2020</w:t>
      </w:r>
      <w:r w:rsidR="00DD7B67" w:rsidRPr="00482DB2">
        <w:rPr>
          <w:rFonts w:ascii="Arial" w:hAnsi="Arial" w:cs="Arial"/>
          <w:sz w:val="20"/>
          <w:szCs w:val="20"/>
        </w:rPr>
        <w:t>)</w:t>
      </w:r>
      <w:r w:rsidRPr="00482DB2">
        <w:rPr>
          <w:rFonts w:ascii="Arial" w:hAnsi="Arial" w:cs="Arial"/>
          <w:sz w:val="20"/>
          <w:szCs w:val="20"/>
        </w:rPr>
        <w:t>.</w:t>
      </w:r>
    </w:p>
    <w:p w14:paraId="77AF0A3F" w14:textId="42DFB21F"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Regarding anthropometric and physiological parameters, the mean systolic blood pressure (SBP) was significantly higher in the co-infection group and the HIV-positive-only group when compared to the malaria-positive-only and control groups (p=0.006 and p=0.000, respectively). Conversely, no significant difference was observed in the mean diastolic blood pressure (DBP) across the groups. Despite these variations, it is notable that the participants' blood pressure readings remained within the normotensive range (systolic blood pressure ≤ 140mmHg and/or diastolic blood pressure ≤ 90mmHg) </w:t>
      </w:r>
      <w:r w:rsidR="00DD7B67" w:rsidRPr="00482DB2">
        <w:rPr>
          <w:rFonts w:ascii="Arial" w:hAnsi="Arial" w:cs="Arial"/>
          <w:sz w:val="20"/>
          <w:szCs w:val="20"/>
        </w:rPr>
        <w:t>(</w:t>
      </w:r>
      <w:r w:rsidRPr="00482DB2">
        <w:rPr>
          <w:rFonts w:ascii="Arial" w:hAnsi="Arial" w:cs="Arial"/>
          <w:sz w:val="20"/>
          <w:szCs w:val="20"/>
        </w:rPr>
        <w:t>WHO, 2021</w:t>
      </w:r>
      <w:r w:rsidR="00DD7B67" w:rsidRPr="00482DB2">
        <w:rPr>
          <w:rFonts w:ascii="Arial" w:hAnsi="Arial" w:cs="Arial"/>
          <w:sz w:val="20"/>
          <w:szCs w:val="20"/>
        </w:rPr>
        <w:t>)</w:t>
      </w:r>
      <w:r w:rsidRPr="00482DB2">
        <w:rPr>
          <w:rFonts w:ascii="Arial" w:hAnsi="Arial" w:cs="Arial"/>
          <w:sz w:val="20"/>
          <w:szCs w:val="20"/>
        </w:rPr>
        <w:t xml:space="preserve">. This finding contrasts with reports by </w:t>
      </w:r>
      <w:proofErr w:type="spellStart"/>
      <w:r w:rsidRPr="00482DB2">
        <w:rPr>
          <w:rFonts w:ascii="Arial" w:hAnsi="Arial" w:cs="Arial"/>
          <w:sz w:val="20"/>
          <w:szCs w:val="20"/>
        </w:rPr>
        <w:t>Ezeugwunne</w:t>
      </w:r>
      <w:proofErr w:type="spellEnd"/>
      <w:r w:rsidRPr="00482DB2">
        <w:rPr>
          <w:rFonts w:ascii="Arial" w:hAnsi="Arial" w:cs="Arial"/>
          <w:sz w:val="20"/>
          <w:szCs w:val="20"/>
        </w:rPr>
        <w:t xml:space="preserve"> </w:t>
      </w:r>
      <w:r w:rsidRPr="00482DB2">
        <w:rPr>
          <w:rStyle w:val="Emphasis"/>
          <w:rFonts w:ascii="Arial" w:hAnsi="Arial" w:cs="Arial"/>
          <w:sz w:val="20"/>
          <w:szCs w:val="20"/>
        </w:rPr>
        <w:t>et al.</w:t>
      </w:r>
      <w:r w:rsidRPr="00482DB2">
        <w:rPr>
          <w:rFonts w:ascii="Arial" w:hAnsi="Arial" w:cs="Arial"/>
          <w:sz w:val="20"/>
          <w:szCs w:val="20"/>
        </w:rPr>
        <w:t xml:space="preserve"> (2019), which indicated no significant </w:t>
      </w:r>
      <w:r w:rsidRPr="00482DB2">
        <w:rPr>
          <w:rFonts w:ascii="Arial" w:hAnsi="Arial" w:cs="Arial"/>
          <w:sz w:val="20"/>
          <w:szCs w:val="20"/>
        </w:rPr>
        <w:lastRenderedPageBreak/>
        <w:t>alterations in SBP and DBP in HIV subjects receiving antiretroviral therapy compared to control groups. Furthermore, the study found no significant difference in the mean body mass index (BMI) among the various groups.</w:t>
      </w:r>
    </w:p>
    <w:p w14:paraId="11290BC0" w14:textId="6B911B6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A noteworthy gender-based difference emerged in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levels, with the mean value being significantly higher in males (422.16±89.11) compared to females (379.44±109.85) (P&lt;0.05).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is recognized for its protective role during pathological stresses, attributed to its antioxidant and antiapoptotic properties </w:t>
      </w:r>
      <w:r w:rsidR="00DD7B67" w:rsidRPr="00482DB2">
        <w:rPr>
          <w:rFonts w:ascii="Arial" w:hAnsi="Arial" w:cs="Arial"/>
          <w:sz w:val="20"/>
          <w:szCs w:val="20"/>
        </w:rPr>
        <w:t>(</w:t>
      </w:r>
      <w:r w:rsidRPr="00482DB2">
        <w:rPr>
          <w:rFonts w:ascii="Arial" w:hAnsi="Arial" w:cs="Arial"/>
          <w:sz w:val="20"/>
          <w:szCs w:val="20"/>
        </w:rPr>
        <w:t xml:space="preserve">Figueroa </w:t>
      </w:r>
      <w:r w:rsidRPr="00482DB2">
        <w:rPr>
          <w:rStyle w:val="Emphasis"/>
          <w:rFonts w:ascii="Arial" w:hAnsi="Arial" w:cs="Arial"/>
          <w:sz w:val="20"/>
          <w:szCs w:val="20"/>
        </w:rPr>
        <w:t>et al.,</w:t>
      </w:r>
      <w:r w:rsidRPr="00482DB2">
        <w:rPr>
          <w:rFonts w:ascii="Arial" w:hAnsi="Arial" w:cs="Arial"/>
          <w:sz w:val="20"/>
          <w:szCs w:val="20"/>
        </w:rPr>
        <w:t xml:space="preserve"> 2019</w:t>
      </w:r>
      <w:r w:rsidR="00DD7B67" w:rsidRPr="00482DB2">
        <w:rPr>
          <w:rFonts w:ascii="Arial" w:hAnsi="Arial" w:cs="Arial"/>
          <w:sz w:val="20"/>
          <w:szCs w:val="20"/>
        </w:rPr>
        <w:t>)</w:t>
      </w:r>
      <w:r w:rsidRPr="00482DB2">
        <w:rPr>
          <w:rFonts w:ascii="Arial" w:hAnsi="Arial" w:cs="Arial"/>
          <w:sz w:val="20"/>
          <w:szCs w:val="20"/>
        </w:rPr>
        <w:t xml:space="preserve">. The elevated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in males suggests a potentially higher susceptibility to oxidative stress in HIV-infected males compared to females. In contrast, no significant gender-based difference was observed in the mean serum uric acid levels (P&gt;0.05), which may indicate that HIV status does not exert a gender-specific influence on uric acid metabolism.</w:t>
      </w:r>
    </w:p>
    <w:p w14:paraId="6EB477C6" w14:textId="6511B17F"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The study also explored the relationship between immune status and the biomarkers. The mean values for both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(444.86±108.15) and uric acid (323.08±74.77) were significantly higher (P&lt;0.05) in participants with a CD4 count of 500 cells/µL or less, compared to those with a CD4 count greater than 500 cells/µL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370.63±74.01; uric acid 274.82±49.71). Given that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function as markers of oxidative stress </w:t>
      </w:r>
      <w:r w:rsidR="00DD7B67" w:rsidRPr="00482DB2">
        <w:rPr>
          <w:rFonts w:ascii="Arial" w:hAnsi="Arial" w:cs="Arial"/>
          <w:sz w:val="20"/>
          <w:szCs w:val="20"/>
        </w:rPr>
        <w:t>(</w:t>
      </w:r>
      <w:r w:rsidRPr="00482DB2">
        <w:rPr>
          <w:rFonts w:ascii="Arial" w:hAnsi="Arial" w:cs="Arial"/>
          <w:sz w:val="20"/>
          <w:szCs w:val="20"/>
        </w:rPr>
        <w:t xml:space="preserve">Figueroa </w:t>
      </w:r>
      <w:r w:rsidRPr="00482DB2">
        <w:rPr>
          <w:rStyle w:val="Emphasis"/>
          <w:rFonts w:ascii="Arial" w:hAnsi="Arial" w:cs="Arial"/>
          <w:sz w:val="20"/>
          <w:szCs w:val="20"/>
        </w:rPr>
        <w:t>et al.,</w:t>
      </w:r>
      <w:r w:rsidRPr="00482DB2">
        <w:rPr>
          <w:rFonts w:ascii="Arial" w:hAnsi="Arial" w:cs="Arial"/>
          <w:sz w:val="20"/>
          <w:szCs w:val="20"/>
        </w:rPr>
        <w:t xml:space="preserve"> 2019</w:t>
      </w:r>
      <w:r w:rsidR="00DD7B67" w:rsidRPr="00482DB2">
        <w:rPr>
          <w:rFonts w:ascii="Arial" w:hAnsi="Arial" w:cs="Arial"/>
          <w:sz w:val="20"/>
          <w:szCs w:val="20"/>
        </w:rPr>
        <w:t>)</w:t>
      </w:r>
      <w:r w:rsidRPr="00482DB2">
        <w:rPr>
          <w:rFonts w:ascii="Arial" w:hAnsi="Arial" w:cs="Arial"/>
          <w:sz w:val="20"/>
          <w:szCs w:val="20"/>
        </w:rPr>
        <w:t>, these findings suggest that lower CD4 counts, often indicative of higher viral loads, correlate with increased levels of oxidative stress.</w:t>
      </w:r>
    </w:p>
    <w:p w14:paraId="1C63DB85" w14:textId="4CC3F03E"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Crucially, the mean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level was significantly higher in co-infected subjects (463.70±85.84) compared to all other study groups (P&lt;0.05). This result strongly implies heightened levels of oxidative stress within the context of HIV and co-infection. Furthermore,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is known to be expressed in instances of kidney injury, which can arise from factors such as extensive drug usage, including antiretroviral therapy. Similarly, the mean serum uric acid level was significantly higher in co-infected subjects (346.13±77.95) when compared to other groups (P&lt;0.05). This elevation points to hyperuricemia, defined as elevated blood uric acid, a condition that predisposes individuals to gout </w:t>
      </w:r>
      <w:r w:rsidR="00DD7B67" w:rsidRPr="00482DB2">
        <w:rPr>
          <w:rFonts w:ascii="Arial" w:hAnsi="Arial" w:cs="Arial"/>
          <w:sz w:val="20"/>
          <w:szCs w:val="20"/>
        </w:rPr>
        <w:t>(</w:t>
      </w:r>
      <w:r w:rsidRPr="00482DB2">
        <w:rPr>
          <w:rFonts w:ascii="Arial" w:hAnsi="Arial" w:cs="Arial"/>
          <w:sz w:val="20"/>
          <w:szCs w:val="20"/>
        </w:rPr>
        <w:t xml:space="preserve">Song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Hyperuricemia typically results from either the overproduction of uric acid or inefficient renal excretion, with the latter accounting for over 90% of cases, or from medications that impair renal urate clearance </w:t>
      </w:r>
      <w:r w:rsidR="00DD7B67" w:rsidRPr="00482DB2">
        <w:rPr>
          <w:rFonts w:ascii="Arial" w:hAnsi="Arial" w:cs="Arial"/>
          <w:sz w:val="20"/>
          <w:szCs w:val="20"/>
        </w:rPr>
        <w:t>(</w:t>
      </w:r>
      <w:r w:rsidRPr="00482DB2">
        <w:rPr>
          <w:rFonts w:ascii="Arial" w:hAnsi="Arial" w:cs="Arial"/>
          <w:sz w:val="20"/>
          <w:szCs w:val="20"/>
        </w:rPr>
        <w:t xml:space="preserve">Feng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Clinically, hyperuricemia is established at serum uric acid levels exceeding 450 </w:t>
      </w:r>
      <w:proofErr w:type="spellStart"/>
      <w:r w:rsidRPr="00482DB2">
        <w:rPr>
          <w:rFonts w:ascii="Arial" w:hAnsi="Arial" w:cs="Arial"/>
          <w:sz w:val="20"/>
          <w:szCs w:val="20"/>
        </w:rPr>
        <w:t>μmol</w:t>
      </w:r>
      <w:proofErr w:type="spellEnd"/>
      <w:r w:rsidRPr="00482DB2">
        <w:rPr>
          <w:rFonts w:ascii="Arial" w:hAnsi="Arial" w:cs="Arial"/>
          <w:sz w:val="20"/>
          <w:szCs w:val="20"/>
        </w:rPr>
        <w:t xml:space="preserve">/L for males and 390 </w:t>
      </w:r>
      <w:proofErr w:type="spellStart"/>
      <w:r w:rsidRPr="00482DB2">
        <w:rPr>
          <w:rFonts w:ascii="Arial" w:hAnsi="Arial" w:cs="Arial"/>
          <w:sz w:val="20"/>
          <w:szCs w:val="20"/>
        </w:rPr>
        <w:t>μmol</w:t>
      </w:r>
      <w:proofErr w:type="spellEnd"/>
      <w:r w:rsidRPr="00482DB2">
        <w:rPr>
          <w:rFonts w:ascii="Arial" w:hAnsi="Arial" w:cs="Arial"/>
          <w:sz w:val="20"/>
          <w:szCs w:val="20"/>
        </w:rPr>
        <w:t xml:space="preserve">/L for females </w:t>
      </w:r>
      <w:r w:rsidR="00DD7B67" w:rsidRPr="00482DB2">
        <w:rPr>
          <w:rFonts w:ascii="Arial" w:hAnsi="Arial" w:cs="Arial"/>
          <w:sz w:val="20"/>
          <w:szCs w:val="20"/>
        </w:rPr>
        <w:t>(</w:t>
      </w:r>
      <w:r w:rsidRPr="00482DB2">
        <w:rPr>
          <w:rFonts w:ascii="Arial" w:hAnsi="Arial" w:cs="Arial"/>
          <w:sz w:val="20"/>
          <w:szCs w:val="20"/>
        </w:rPr>
        <w:t xml:space="preserve">Feng </w:t>
      </w:r>
      <w:r w:rsidRPr="00482DB2">
        <w:rPr>
          <w:rStyle w:val="Emphasis"/>
          <w:rFonts w:ascii="Arial" w:hAnsi="Arial" w:cs="Arial"/>
          <w:sz w:val="20"/>
          <w:szCs w:val="20"/>
        </w:rPr>
        <w:t>et al.,</w:t>
      </w:r>
      <w:r w:rsidRPr="00482DB2">
        <w:rPr>
          <w:rFonts w:ascii="Arial" w:hAnsi="Arial" w:cs="Arial"/>
          <w:sz w:val="20"/>
          <w:szCs w:val="20"/>
        </w:rPr>
        <w:t xml:space="preserve"> 2022</w:t>
      </w:r>
      <w:r w:rsidR="00DD7B67" w:rsidRPr="00482DB2">
        <w:rPr>
          <w:rFonts w:ascii="Arial" w:hAnsi="Arial" w:cs="Arial"/>
          <w:sz w:val="20"/>
          <w:szCs w:val="20"/>
        </w:rPr>
        <w:t>)</w:t>
      </w:r>
      <w:r w:rsidRPr="00482DB2">
        <w:rPr>
          <w:rFonts w:ascii="Arial" w:hAnsi="Arial" w:cs="Arial"/>
          <w:sz w:val="20"/>
          <w:szCs w:val="20"/>
        </w:rPr>
        <w:t xml:space="preserve">. Excessive production and accumulation of monosodium urate, coupled with reduced urinary excretion, lead to elevated uric acid levels in bodily fluids, potentially resulting in crystal deposition in joints and tissues, causing pain and inflammation </w:t>
      </w:r>
      <w:r w:rsidR="00DD7B67" w:rsidRPr="00482DB2">
        <w:rPr>
          <w:rFonts w:ascii="Arial" w:hAnsi="Arial" w:cs="Arial"/>
          <w:sz w:val="20"/>
          <w:szCs w:val="20"/>
        </w:rPr>
        <w:t>(</w:t>
      </w:r>
      <w:r w:rsidRPr="00482DB2">
        <w:rPr>
          <w:rFonts w:ascii="Arial" w:hAnsi="Arial" w:cs="Arial"/>
          <w:sz w:val="20"/>
          <w:szCs w:val="20"/>
        </w:rPr>
        <w:t xml:space="preserve">Narang and </w:t>
      </w:r>
      <w:proofErr w:type="spellStart"/>
      <w:r w:rsidRPr="00482DB2">
        <w:rPr>
          <w:rFonts w:ascii="Arial" w:hAnsi="Arial" w:cs="Arial"/>
          <w:sz w:val="20"/>
          <w:szCs w:val="20"/>
        </w:rPr>
        <w:t>Dalbeth</w:t>
      </w:r>
      <w:proofErr w:type="spellEnd"/>
      <w:r w:rsidRPr="00482DB2">
        <w:rPr>
          <w:rFonts w:ascii="Arial" w:hAnsi="Arial" w:cs="Arial"/>
          <w:sz w:val="20"/>
          <w:szCs w:val="20"/>
        </w:rPr>
        <w:t>, 2020</w:t>
      </w:r>
      <w:r w:rsidR="00DD7B67" w:rsidRPr="00482DB2">
        <w:rPr>
          <w:rFonts w:ascii="Arial" w:hAnsi="Arial" w:cs="Arial"/>
          <w:sz w:val="20"/>
          <w:szCs w:val="20"/>
        </w:rPr>
        <w:t>)</w:t>
      </w:r>
      <w:r w:rsidRPr="00482DB2">
        <w:rPr>
          <w:rFonts w:ascii="Arial" w:hAnsi="Arial" w:cs="Arial"/>
          <w:sz w:val="20"/>
          <w:szCs w:val="20"/>
        </w:rPr>
        <w:t xml:space="preserve">. Elevated uric acid is also associated with a range of metabolic diseases, including inflammatory gout, hypertension, cardiovascular mortality, renal disease, atherosclerosis, and ischemic heart disease </w:t>
      </w:r>
      <w:r w:rsidR="00DD7B67" w:rsidRPr="00482DB2">
        <w:rPr>
          <w:rFonts w:ascii="Arial" w:hAnsi="Arial" w:cs="Arial"/>
          <w:sz w:val="20"/>
          <w:szCs w:val="20"/>
        </w:rPr>
        <w:t>(</w:t>
      </w:r>
      <w:r w:rsidRPr="00482DB2">
        <w:rPr>
          <w:rFonts w:ascii="Arial" w:hAnsi="Arial" w:cs="Arial"/>
          <w:sz w:val="20"/>
          <w:szCs w:val="20"/>
        </w:rPr>
        <w:t xml:space="preserve">Liu </w:t>
      </w:r>
      <w:r w:rsidRPr="00482DB2">
        <w:rPr>
          <w:rStyle w:val="Emphasis"/>
          <w:rFonts w:ascii="Arial" w:hAnsi="Arial" w:cs="Arial"/>
          <w:sz w:val="20"/>
          <w:szCs w:val="20"/>
        </w:rPr>
        <w:t>et al.,</w:t>
      </w:r>
      <w:r w:rsidRPr="00482DB2">
        <w:rPr>
          <w:rFonts w:ascii="Arial" w:hAnsi="Arial" w:cs="Arial"/>
          <w:sz w:val="20"/>
          <w:szCs w:val="20"/>
        </w:rPr>
        <w:t xml:space="preserve"> 2020, Wang </w:t>
      </w:r>
      <w:r w:rsidRPr="00482DB2">
        <w:rPr>
          <w:rStyle w:val="Emphasis"/>
          <w:rFonts w:ascii="Arial" w:hAnsi="Arial" w:cs="Arial"/>
          <w:sz w:val="20"/>
          <w:szCs w:val="20"/>
        </w:rPr>
        <w:t>et al.,</w:t>
      </w:r>
      <w:r w:rsidRPr="00482DB2">
        <w:rPr>
          <w:rFonts w:ascii="Arial" w:hAnsi="Arial" w:cs="Arial"/>
          <w:sz w:val="20"/>
          <w:szCs w:val="20"/>
        </w:rPr>
        <w:t xml:space="preserve"> 2019, Nagahama </w:t>
      </w:r>
      <w:r w:rsidRPr="00482DB2">
        <w:rPr>
          <w:rStyle w:val="Emphasis"/>
          <w:rFonts w:ascii="Arial" w:hAnsi="Arial" w:cs="Arial"/>
          <w:sz w:val="20"/>
          <w:szCs w:val="20"/>
        </w:rPr>
        <w:t>et al.,</w:t>
      </w:r>
      <w:r w:rsidRPr="00482DB2">
        <w:rPr>
          <w:rFonts w:ascii="Arial" w:hAnsi="Arial" w:cs="Arial"/>
          <w:sz w:val="20"/>
          <w:szCs w:val="20"/>
        </w:rPr>
        <w:t xml:space="preserve"> 2021</w:t>
      </w:r>
      <w:r w:rsidR="00DD7B67" w:rsidRPr="00482DB2">
        <w:rPr>
          <w:rFonts w:ascii="Arial" w:hAnsi="Arial" w:cs="Arial"/>
          <w:sz w:val="20"/>
          <w:szCs w:val="20"/>
        </w:rPr>
        <w:t>)</w:t>
      </w:r>
      <w:r w:rsidRPr="00482DB2">
        <w:rPr>
          <w:rFonts w:ascii="Arial" w:hAnsi="Arial" w:cs="Arial"/>
          <w:sz w:val="20"/>
          <w:szCs w:val="20"/>
        </w:rPr>
        <w:t xml:space="preserve">. The overall results of this study indicated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(463.70±85.84) and uric acid (346.13±77.95) levels in HIV-positive patients co-infected with malaria compared to HIV-seropositive subjects only and control subjects (p&lt;0.05).</w:t>
      </w:r>
    </w:p>
    <w:p w14:paraId="2AEC6745" w14:textId="383B9751" w:rsidR="00DD7B67" w:rsidRPr="00482DB2" w:rsidRDefault="00DA1EE8" w:rsidP="00CA589E">
      <w:pPr>
        <w:pStyle w:val="NormalWeb"/>
        <w:rPr>
          <w:rFonts w:ascii="Arial" w:hAnsi="Arial" w:cs="Arial"/>
          <w:sz w:val="22"/>
          <w:szCs w:val="22"/>
        </w:rPr>
      </w:pPr>
      <w:r w:rsidRPr="00482DB2">
        <w:rPr>
          <w:rStyle w:val="Strong"/>
          <w:rFonts w:ascii="Arial" w:hAnsi="Arial" w:cs="Arial"/>
          <w:sz w:val="22"/>
          <w:szCs w:val="22"/>
        </w:rPr>
        <w:t>CONCLUSION</w:t>
      </w:r>
      <w:r w:rsidRPr="00482DB2">
        <w:rPr>
          <w:rFonts w:ascii="Arial" w:hAnsi="Arial" w:cs="Arial"/>
          <w:sz w:val="22"/>
          <w:szCs w:val="22"/>
        </w:rPr>
        <w:t xml:space="preserve"> </w:t>
      </w:r>
    </w:p>
    <w:p w14:paraId="3DE94912" w14:textId="696D8DF9" w:rsidR="005A324D" w:rsidRPr="00482DB2" w:rsidRDefault="005A324D" w:rsidP="00CA589E">
      <w:pPr>
        <w:pStyle w:val="NormalWeb"/>
        <w:rPr>
          <w:rFonts w:ascii="Arial" w:hAnsi="Arial" w:cs="Arial"/>
          <w:sz w:val="20"/>
          <w:szCs w:val="20"/>
        </w:rPr>
      </w:pPr>
      <w:r w:rsidRPr="00482DB2">
        <w:rPr>
          <w:rFonts w:ascii="Arial" w:hAnsi="Arial" w:cs="Arial"/>
          <w:sz w:val="20"/>
          <w:szCs w:val="20"/>
        </w:rPr>
        <w:t xml:space="preserve">This study unequivocally demonstrates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in HIV-positive patients co-infected with malaria compared to those with HIV infection alone and HIV-negative subjects. The observed elevations in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in HIV-infected individuals co-infected with malaria are indicative of substantial inflammation and hyperuricemia, likely driven by heightened oxidative stress. These pathological processes collectively contribute to an increased risk of renal dysfunction and exacerbation of disease severity in this vulnerable population.</w:t>
      </w:r>
    </w:p>
    <w:p w14:paraId="295233E3" w14:textId="734BC4EC" w:rsidR="00C03240" w:rsidRPr="00482DB2" w:rsidRDefault="00DA1EE8" w:rsidP="00CA589E">
      <w:pPr>
        <w:tabs>
          <w:tab w:val="left" w:pos="1021"/>
        </w:tabs>
        <w:spacing w:line="240" w:lineRule="auto"/>
        <w:rPr>
          <w:rFonts w:ascii="Arial" w:hAnsi="Arial" w:cs="Arial"/>
          <w:b/>
        </w:rPr>
      </w:pPr>
      <w:r w:rsidRPr="00482DB2">
        <w:rPr>
          <w:rFonts w:ascii="Arial" w:hAnsi="Arial" w:cs="Arial"/>
          <w:b/>
        </w:rPr>
        <w:t>RECOMMENDATION</w:t>
      </w:r>
    </w:p>
    <w:p w14:paraId="1B6A13DC" w14:textId="31E5C45E" w:rsidR="00C03240" w:rsidRPr="00482DB2" w:rsidRDefault="006B0BDE" w:rsidP="00CA589E">
      <w:pPr>
        <w:spacing w:line="240" w:lineRule="auto"/>
        <w:jc w:val="both"/>
        <w:rPr>
          <w:rFonts w:ascii="Arial" w:hAnsi="Arial" w:cs="Arial"/>
          <w:sz w:val="20"/>
          <w:szCs w:val="20"/>
        </w:rPr>
      </w:pPr>
      <w:r w:rsidRPr="00482DB2">
        <w:rPr>
          <w:rFonts w:ascii="Arial" w:hAnsi="Arial" w:cs="Arial"/>
          <w:sz w:val="20"/>
          <w:szCs w:val="20"/>
        </w:rPr>
        <w:t xml:space="preserve">Given the significantly higher serum </w:t>
      </w:r>
      <w:proofErr w:type="spellStart"/>
      <w:r w:rsidRPr="00482DB2">
        <w:rPr>
          <w:rFonts w:ascii="Arial" w:hAnsi="Arial" w:cs="Arial"/>
          <w:sz w:val="20"/>
          <w:szCs w:val="20"/>
        </w:rPr>
        <w:t>clusterin</w:t>
      </w:r>
      <w:proofErr w:type="spellEnd"/>
      <w:r w:rsidRPr="00482DB2">
        <w:rPr>
          <w:rFonts w:ascii="Arial" w:hAnsi="Arial" w:cs="Arial"/>
          <w:sz w:val="20"/>
          <w:szCs w:val="20"/>
        </w:rPr>
        <w:t xml:space="preserve"> and uric acid levels observed in HIV-positive patients co-infected with malaria, which indicate substantial inflammation and hyperuricemia driven by heightened oxidative stress, it is imperative to integrate regular and diligent monitoring of these novel biomarkers into the routine clinical management of HIV-positive individuals, especially those with malaria co-infection. This proactive approach will facilitate the early detection of renal dysfunction, pathological stresses, and potential exacerbation of disease severity, thereby enabling timely interventions and enhancing the overall management strategies for this vulnerable patient population.</w:t>
      </w:r>
    </w:p>
    <w:p w14:paraId="5E77A515" w14:textId="77777777" w:rsidR="00403FD9" w:rsidRPr="00482DB2" w:rsidRDefault="00403FD9" w:rsidP="00CA589E">
      <w:pPr>
        <w:spacing w:line="240" w:lineRule="auto"/>
        <w:jc w:val="both"/>
        <w:rPr>
          <w:rFonts w:ascii="Arial" w:hAnsi="Arial" w:cs="Arial"/>
          <w:sz w:val="20"/>
          <w:szCs w:val="20"/>
        </w:rPr>
      </w:pPr>
    </w:p>
    <w:p w14:paraId="6065B595" w14:textId="26D05D1F" w:rsidR="00325653" w:rsidRPr="00403FD9" w:rsidRDefault="0032692B" w:rsidP="00CA589E">
      <w:pPr>
        <w:spacing w:line="240" w:lineRule="auto"/>
        <w:jc w:val="both"/>
        <w:rPr>
          <w:rFonts w:ascii="Arial" w:hAnsi="Arial" w:cs="Arial"/>
          <w:b/>
          <w:bCs/>
        </w:rPr>
      </w:pPr>
      <w:r w:rsidRPr="00403FD9">
        <w:rPr>
          <w:rFonts w:ascii="Arial" w:hAnsi="Arial" w:cs="Arial"/>
          <w:b/>
          <w:bCs/>
        </w:rPr>
        <w:t xml:space="preserve">INFORMED CONSENT </w:t>
      </w:r>
    </w:p>
    <w:p w14:paraId="1595A8BE" w14:textId="36E51737" w:rsidR="00325653" w:rsidRPr="00403FD9" w:rsidRDefault="00325653" w:rsidP="00CA589E">
      <w:pPr>
        <w:spacing w:line="240" w:lineRule="auto"/>
        <w:jc w:val="both"/>
        <w:rPr>
          <w:rFonts w:ascii="Arial" w:hAnsi="Arial" w:cs="Arial"/>
          <w:sz w:val="20"/>
          <w:szCs w:val="20"/>
        </w:rPr>
      </w:pPr>
      <w:r w:rsidRPr="00403FD9">
        <w:rPr>
          <w:rFonts w:ascii="Arial" w:hAnsi="Arial" w:cs="Arial"/>
          <w:sz w:val="20"/>
          <w:szCs w:val="20"/>
        </w:rPr>
        <w:t>Prior to the commencement of the study, written informed consent was diligently sought and obtained from all participating subjects</w:t>
      </w:r>
    </w:p>
    <w:p w14:paraId="24B42E04" w14:textId="77777777" w:rsidR="00325653" w:rsidRPr="00B10917" w:rsidRDefault="00325653" w:rsidP="00CA589E">
      <w:pPr>
        <w:spacing w:line="240" w:lineRule="auto"/>
        <w:jc w:val="both"/>
        <w:rPr>
          <w:rFonts w:ascii="Arial" w:hAnsi="Arial" w:cs="Arial"/>
        </w:rPr>
      </w:pPr>
      <w:r w:rsidRPr="00B10917">
        <w:rPr>
          <w:rFonts w:ascii="Arial" w:hAnsi="Arial" w:cs="Arial"/>
          <w:b/>
          <w:bCs/>
        </w:rPr>
        <w:t>REFERENCES</w:t>
      </w:r>
    </w:p>
    <w:p w14:paraId="2F560B1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Adeleke, T.D., </w:t>
      </w:r>
      <w:proofErr w:type="spellStart"/>
      <w:r w:rsidRPr="00B10917">
        <w:rPr>
          <w:rFonts w:ascii="Arial" w:hAnsi="Arial" w:cs="Arial"/>
          <w:sz w:val="20"/>
          <w:szCs w:val="20"/>
        </w:rPr>
        <w:t>Emokpae</w:t>
      </w:r>
      <w:proofErr w:type="spellEnd"/>
      <w:r w:rsidRPr="00B10917">
        <w:rPr>
          <w:rFonts w:ascii="Arial" w:hAnsi="Arial" w:cs="Arial"/>
          <w:sz w:val="20"/>
          <w:szCs w:val="20"/>
        </w:rPr>
        <w:t>, M.A. (2019). Assessment of Some Biomarkers of Renal Function and Myoglobin Level in Human Immunodeficiency Virus-1 Infected Subjects. Journal of Medical Laboratory Science, 29 (1), 61-72.</w:t>
      </w:r>
    </w:p>
    <w:p w14:paraId="12F4880A"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lastRenderedPageBreak/>
        <w:t>Alrubayyi</w:t>
      </w:r>
      <w:proofErr w:type="spellEnd"/>
      <w:r w:rsidRPr="00B10917">
        <w:rPr>
          <w:rFonts w:ascii="Arial" w:hAnsi="Arial" w:cs="Arial"/>
          <w:sz w:val="20"/>
          <w:szCs w:val="20"/>
        </w:rPr>
        <w:t xml:space="preserve">, A., Moreno-Cubero, E., Hameiri-Bowen, D., Matthews, R., Rowland-Jones, S., </w:t>
      </w:r>
      <w:proofErr w:type="spellStart"/>
      <w:r w:rsidRPr="00B10917">
        <w:rPr>
          <w:rFonts w:ascii="Arial" w:hAnsi="Arial" w:cs="Arial"/>
          <w:sz w:val="20"/>
          <w:szCs w:val="20"/>
        </w:rPr>
        <w:t>Schurich</w:t>
      </w:r>
      <w:proofErr w:type="spellEnd"/>
      <w:r w:rsidRPr="00B10917">
        <w:rPr>
          <w:rFonts w:ascii="Arial" w:hAnsi="Arial" w:cs="Arial"/>
          <w:sz w:val="20"/>
          <w:szCs w:val="20"/>
        </w:rPr>
        <w:t>, A., Peppa, D. (2022). Functional restoration of exhausted CD8 T cells in chronic HIV-1 infection by targeting mitochondrial dysfunction. Frontiers in immunology, 13, 908697.</w:t>
      </w:r>
    </w:p>
    <w:p w14:paraId="4A13A5D3" w14:textId="32D3877C"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Awofala, A.A., Ogundele, O.E. (2018). Review, HIV epidemiology in Nigeria. Saudi Journal of Biological Sciences, Available at,</w:t>
      </w:r>
      <w:r w:rsidR="0032692B" w:rsidRPr="00B10917">
        <w:rPr>
          <w:rFonts w:ascii="Arial" w:hAnsi="Arial" w:cs="Arial"/>
          <w:sz w:val="20"/>
          <w:szCs w:val="20"/>
        </w:rPr>
        <w:t xml:space="preserve"> </w:t>
      </w:r>
      <w:proofErr w:type="gramStart"/>
      <w:r w:rsidRPr="00B10917">
        <w:rPr>
          <w:rFonts w:ascii="Arial" w:hAnsi="Arial" w:cs="Arial"/>
          <w:sz w:val="20"/>
          <w:szCs w:val="20"/>
        </w:rPr>
        <w:t>http,//www.sciencedirect.com/science/article/pii/S1319562X16300110</w:t>
      </w:r>
      <w:proofErr w:type="gramEnd"/>
      <w:r w:rsidR="0032692B" w:rsidRPr="00B10917">
        <w:rPr>
          <w:rFonts w:ascii="Arial" w:hAnsi="Arial" w:cs="Arial"/>
          <w:sz w:val="20"/>
          <w:szCs w:val="20"/>
        </w:rPr>
        <w:t>.</w:t>
      </w:r>
    </w:p>
    <w:p w14:paraId="6ECD605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Chazot, R., Botelho-Nevers, E., </w:t>
      </w:r>
      <w:proofErr w:type="spellStart"/>
      <w:r w:rsidRPr="00B10917">
        <w:rPr>
          <w:rFonts w:ascii="Arial" w:hAnsi="Arial" w:cs="Arial"/>
          <w:sz w:val="20"/>
          <w:szCs w:val="20"/>
        </w:rPr>
        <w:t>Fresard</w:t>
      </w:r>
      <w:proofErr w:type="spellEnd"/>
      <w:r w:rsidRPr="00B10917">
        <w:rPr>
          <w:rFonts w:ascii="Arial" w:hAnsi="Arial" w:cs="Arial"/>
          <w:sz w:val="20"/>
          <w:szCs w:val="20"/>
        </w:rPr>
        <w:t xml:space="preserve">, A. (2017). Diagnostic challenges of kidney diseases in HIV-infected patients. Expert Reviews and Anti Infectious </w:t>
      </w:r>
      <w:proofErr w:type="gramStart"/>
      <w:r w:rsidRPr="00B10917">
        <w:rPr>
          <w:rFonts w:ascii="Arial" w:hAnsi="Arial" w:cs="Arial"/>
          <w:sz w:val="20"/>
          <w:szCs w:val="20"/>
        </w:rPr>
        <w:t>Therapy ,</w:t>
      </w:r>
      <w:proofErr w:type="gramEnd"/>
      <w:r w:rsidRPr="00B10917">
        <w:rPr>
          <w:rFonts w:ascii="Arial" w:hAnsi="Arial" w:cs="Arial"/>
          <w:sz w:val="20"/>
          <w:szCs w:val="20"/>
        </w:rPr>
        <w:t xml:space="preserve"> 15 , 903–915.</w:t>
      </w:r>
    </w:p>
    <w:p w14:paraId="57F6283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Ezeugwunne</w:t>
      </w:r>
      <w:proofErr w:type="spellEnd"/>
      <w:r w:rsidRPr="00B10917">
        <w:rPr>
          <w:rFonts w:ascii="Arial" w:hAnsi="Arial" w:cs="Arial"/>
          <w:sz w:val="20"/>
          <w:szCs w:val="20"/>
        </w:rPr>
        <w:t xml:space="preserve">, I.P., </w:t>
      </w:r>
      <w:proofErr w:type="spellStart"/>
      <w:r w:rsidRPr="00B10917">
        <w:rPr>
          <w:rFonts w:ascii="Arial" w:hAnsi="Arial" w:cs="Arial"/>
          <w:sz w:val="20"/>
          <w:szCs w:val="20"/>
        </w:rPr>
        <w:t>Onyenekwe</w:t>
      </w:r>
      <w:proofErr w:type="spellEnd"/>
      <w:r w:rsidRPr="00B10917">
        <w:rPr>
          <w:rFonts w:ascii="Arial" w:hAnsi="Arial" w:cs="Arial"/>
          <w:sz w:val="20"/>
          <w:szCs w:val="20"/>
        </w:rPr>
        <w:t xml:space="preserve">, C.C., </w:t>
      </w:r>
      <w:proofErr w:type="spellStart"/>
      <w:r w:rsidRPr="00B10917">
        <w:rPr>
          <w:rFonts w:ascii="Arial" w:hAnsi="Arial" w:cs="Arial"/>
          <w:sz w:val="20"/>
          <w:szCs w:val="20"/>
        </w:rPr>
        <w:t>Ogbodo</w:t>
      </w:r>
      <w:proofErr w:type="spellEnd"/>
      <w:r w:rsidRPr="00B10917">
        <w:rPr>
          <w:rFonts w:ascii="Arial" w:hAnsi="Arial" w:cs="Arial"/>
          <w:sz w:val="20"/>
          <w:szCs w:val="20"/>
        </w:rPr>
        <w:t xml:space="preserve">, E.C., </w:t>
      </w:r>
      <w:proofErr w:type="spellStart"/>
      <w:r w:rsidRPr="00B10917">
        <w:rPr>
          <w:rFonts w:ascii="Arial" w:hAnsi="Arial" w:cs="Arial"/>
          <w:sz w:val="20"/>
          <w:szCs w:val="20"/>
        </w:rPr>
        <w:t>Chukwuanukwu</w:t>
      </w:r>
      <w:proofErr w:type="spellEnd"/>
      <w:r w:rsidRPr="00B10917">
        <w:rPr>
          <w:rFonts w:ascii="Arial" w:hAnsi="Arial" w:cs="Arial"/>
          <w:sz w:val="20"/>
          <w:szCs w:val="20"/>
        </w:rPr>
        <w:t xml:space="preserve">, R.C., Njoku-Oji, N.N., </w:t>
      </w:r>
      <w:proofErr w:type="spellStart"/>
      <w:r w:rsidRPr="00B10917">
        <w:rPr>
          <w:rFonts w:ascii="Arial" w:hAnsi="Arial" w:cs="Arial"/>
          <w:sz w:val="20"/>
          <w:szCs w:val="20"/>
        </w:rPr>
        <w:t>Analike</w:t>
      </w:r>
      <w:proofErr w:type="spellEnd"/>
      <w:r w:rsidRPr="00B10917">
        <w:rPr>
          <w:rFonts w:ascii="Arial" w:hAnsi="Arial" w:cs="Arial"/>
          <w:sz w:val="20"/>
          <w:szCs w:val="20"/>
        </w:rPr>
        <w:t xml:space="preserve">, R.A., </w:t>
      </w:r>
      <w:proofErr w:type="spellStart"/>
      <w:r w:rsidRPr="00B10917">
        <w:rPr>
          <w:rFonts w:ascii="Arial" w:hAnsi="Arial" w:cs="Arial"/>
          <w:sz w:val="20"/>
          <w:szCs w:val="20"/>
        </w:rPr>
        <w:t>Oguaka</w:t>
      </w:r>
      <w:proofErr w:type="spellEnd"/>
      <w:r w:rsidRPr="00B10917">
        <w:rPr>
          <w:rFonts w:ascii="Arial" w:hAnsi="Arial" w:cs="Arial"/>
          <w:sz w:val="20"/>
          <w:szCs w:val="20"/>
        </w:rPr>
        <w:t xml:space="preserve">, V.N., Amah, A.K., </w:t>
      </w:r>
      <w:proofErr w:type="spellStart"/>
      <w:r w:rsidRPr="00B10917">
        <w:rPr>
          <w:rFonts w:ascii="Arial" w:hAnsi="Arial" w:cs="Arial"/>
          <w:sz w:val="20"/>
          <w:szCs w:val="20"/>
        </w:rPr>
        <w:t>Ahaneku</w:t>
      </w:r>
      <w:proofErr w:type="spellEnd"/>
      <w:r w:rsidRPr="00B10917">
        <w:rPr>
          <w:rFonts w:ascii="Arial" w:hAnsi="Arial" w:cs="Arial"/>
          <w:sz w:val="20"/>
          <w:szCs w:val="20"/>
        </w:rPr>
        <w:t xml:space="preserve">, J.E., </w:t>
      </w:r>
      <w:proofErr w:type="spellStart"/>
      <w:r w:rsidRPr="00B10917">
        <w:rPr>
          <w:rFonts w:ascii="Arial" w:hAnsi="Arial" w:cs="Arial"/>
          <w:sz w:val="20"/>
          <w:szCs w:val="20"/>
        </w:rPr>
        <w:t>Ahaneku</w:t>
      </w:r>
      <w:proofErr w:type="spellEnd"/>
      <w:r w:rsidRPr="00B10917">
        <w:rPr>
          <w:rFonts w:ascii="Arial" w:hAnsi="Arial" w:cs="Arial"/>
          <w:sz w:val="20"/>
          <w:szCs w:val="20"/>
        </w:rPr>
        <w:t xml:space="preserve">, G. (2019). The impact of HIV and malaria co-infection on apolipoprotein profile and CD4+ T cell counts in adult HIV </w:t>
      </w:r>
      <w:proofErr w:type="spellStart"/>
      <w:r w:rsidRPr="00B10917">
        <w:rPr>
          <w:rFonts w:ascii="Arial" w:hAnsi="Arial" w:cs="Arial"/>
          <w:sz w:val="20"/>
          <w:szCs w:val="20"/>
        </w:rPr>
        <w:t>seropositives</w:t>
      </w:r>
      <w:proofErr w:type="spellEnd"/>
      <w:r w:rsidRPr="00B10917">
        <w:rPr>
          <w:rFonts w:ascii="Arial" w:hAnsi="Arial" w:cs="Arial"/>
          <w:sz w:val="20"/>
          <w:szCs w:val="20"/>
        </w:rPr>
        <w:t xml:space="preserve"> in </w:t>
      </w:r>
      <w:proofErr w:type="spellStart"/>
      <w:r w:rsidRPr="00B10917">
        <w:rPr>
          <w:rFonts w:ascii="Arial" w:hAnsi="Arial" w:cs="Arial"/>
          <w:sz w:val="20"/>
          <w:szCs w:val="20"/>
        </w:rPr>
        <w:t>Nauth</w:t>
      </w:r>
      <w:proofErr w:type="spellEnd"/>
      <w:r w:rsidRPr="00B10917">
        <w:rPr>
          <w:rFonts w:ascii="Arial" w:hAnsi="Arial" w:cs="Arial"/>
          <w:sz w:val="20"/>
          <w:szCs w:val="20"/>
        </w:rPr>
        <w:t xml:space="preserve"> Nnewi, South Eastern, Nigeria. International Journal of Current Research in Medical </w:t>
      </w:r>
      <w:proofErr w:type="gramStart"/>
      <w:r w:rsidRPr="00B10917">
        <w:rPr>
          <w:rFonts w:ascii="Arial" w:hAnsi="Arial" w:cs="Arial"/>
          <w:sz w:val="20"/>
          <w:szCs w:val="20"/>
        </w:rPr>
        <w:t>Science ,</w:t>
      </w:r>
      <w:proofErr w:type="gramEnd"/>
      <w:r w:rsidRPr="00B10917">
        <w:rPr>
          <w:rFonts w:ascii="Arial" w:hAnsi="Arial" w:cs="Arial"/>
          <w:sz w:val="20"/>
          <w:szCs w:val="20"/>
        </w:rPr>
        <w:t xml:space="preserve"> 4 (3), 53-63.</w:t>
      </w:r>
    </w:p>
    <w:p w14:paraId="1971F025" w14:textId="7C810E22"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Feng, S., Wu, S., Xie, F., Yang, C. S., Shao, P. (2022). Natural compounds lower uric acid levels and hyperuricemia: Molecular mechanisms and prospective. Trends in Food Science and Technology, 123, 87-102.</w:t>
      </w:r>
    </w:p>
    <w:p w14:paraId="43168253"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Figueroa, D. M., Gordon, E. M., Yao, X., Levine, S. J. (2019). Mechanisms and manifestations of obesity in lung disease. Academic press, </w:t>
      </w:r>
      <w:proofErr w:type="gramStart"/>
      <w:r w:rsidRPr="00B10917">
        <w:rPr>
          <w:rFonts w:ascii="Arial" w:hAnsi="Arial" w:cs="Arial"/>
          <w:sz w:val="20"/>
          <w:szCs w:val="20"/>
        </w:rPr>
        <w:t>13 ,</w:t>
      </w:r>
      <w:proofErr w:type="gramEnd"/>
      <w:r w:rsidRPr="00B10917">
        <w:rPr>
          <w:rFonts w:ascii="Arial" w:hAnsi="Arial" w:cs="Arial"/>
          <w:sz w:val="20"/>
          <w:szCs w:val="20"/>
        </w:rPr>
        <w:t xml:space="preserve"> 301-326.</w:t>
      </w:r>
    </w:p>
    <w:p w14:paraId="51927D8C"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Flateau C, Le Loup G, </w:t>
      </w:r>
      <w:proofErr w:type="spellStart"/>
      <w:r w:rsidRPr="00B10917">
        <w:rPr>
          <w:rFonts w:ascii="Arial" w:hAnsi="Arial" w:cs="Arial"/>
          <w:sz w:val="20"/>
          <w:szCs w:val="20"/>
        </w:rPr>
        <w:t>Pialoux</w:t>
      </w:r>
      <w:proofErr w:type="spellEnd"/>
      <w:r w:rsidRPr="00B10917">
        <w:rPr>
          <w:rFonts w:ascii="Arial" w:hAnsi="Arial" w:cs="Arial"/>
          <w:sz w:val="20"/>
          <w:szCs w:val="20"/>
        </w:rPr>
        <w:t xml:space="preserve"> G. (2019) Consequences of HIV infection on malaria and therapeutic implications: A systematic review. Lancet Infect Dis, 11 (7), 541–556.</w:t>
      </w:r>
    </w:p>
    <w:p w14:paraId="7BE7441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Galati, F., Rizzo, V., Trimboli, R. M., Kripa, E., </w:t>
      </w:r>
      <w:proofErr w:type="spellStart"/>
      <w:r w:rsidRPr="00B10917">
        <w:rPr>
          <w:rFonts w:ascii="Arial" w:hAnsi="Arial" w:cs="Arial"/>
          <w:sz w:val="20"/>
          <w:szCs w:val="20"/>
        </w:rPr>
        <w:t>Maroncelli</w:t>
      </w:r>
      <w:proofErr w:type="spellEnd"/>
      <w:r w:rsidRPr="00B10917">
        <w:rPr>
          <w:rFonts w:ascii="Arial" w:hAnsi="Arial" w:cs="Arial"/>
          <w:sz w:val="20"/>
          <w:szCs w:val="20"/>
        </w:rPr>
        <w:t xml:space="preserve">, R., </w:t>
      </w:r>
      <w:proofErr w:type="spellStart"/>
      <w:r w:rsidRPr="00B10917">
        <w:rPr>
          <w:rFonts w:ascii="Arial" w:hAnsi="Arial" w:cs="Arial"/>
          <w:sz w:val="20"/>
          <w:szCs w:val="20"/>
        </w:rPr>
        <w:t>Pediconi</w:t>
      </w:r>
      <w:proofErr w:type="spellEnd"/>
      <w:r w:rsidRPr="00B10917">
        <w:rPr>
          <w:rFonts w:ascii="Arial" w:hAnsi="Arial" w:cs="Arial"/>
          <w:sz w:val="20"/>
          <w:szCs w:val="20"/>
        </w:rPr>
        <w:t xml:space="preserve">, F. (2022). MRI as a biomarker for breast cancer diagnosis and prognosis. BJR| Open, </w:t>
      </w:r>
      <w:proofErr w:type="gramStart"/>
      <w:r w:rsidRPr="00B10917">
        <w:rPr>
          <w:rFonts w:ascii="Arial" w:hAnsi="Arial" w:cs="Arial"/>
          <w:sz w:val="20"/>
          <w:szCs w:val="20"/>
        </w:rPr>
        <w:t>4 ,</w:t>
      </w:r>
      <w:proofErr w:type="gramEnd"/>
      <w:r w:rsidRPr="00B10917">
        <w:rPr>
          <w:rFonts w:ascii="Arial" w:hAnsi="Arial" w:cs="Arial"/>
          <w:sz w:val="20"/>
          <w:szCs w:val="20"/>
        </w:rPr>
        <w:t xml:space="preserve"> 20220002.</w:t>
      </w:r>
    </w:p>
    <w:p w14:paraId="722B22B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Hanif, H., Shrestha, B., </w:t>
      </w:r>
      <w:proofErr w:type="spellStart"/>
      <w:r w:rsidRPr="00B10917">
        <w:rPr>
          <w:rFonts w:ascii="Arial" w:hAnsi="Arial" w:cs="Arial"/>
          <w:sz w:val="20"/>
          <w:szCs w:val="20"/>
        </w:rPr>
        <w:t>Munankami</w:t>
      </w:r>
      <w:proofErr w:type="spellEnd"/>
      <w:r w:rsidRPr="00B10917">
        <w:rPr>
          <w:rFonts w:ascii="Arial" w:hAnsi="Arial" w:cs="Arial"/>
          <w:sz w:val="20"/>
          <w:szCs w:val="20"/>
        </w:rPr>
        <w:t xml:space="preserve">, S., Shrestha, M., Poudel, B., Reddy, R., Jaleel, S., &amp; Powell, D. (2023). Severe Malaria with a Rare Tetrad of Blackwater Fever, Acute Renal Failure, Disseminated Intravascular Coagulopathy, and Acute Acalculous Cholecystitis. Case reports in infectious diseases, 2023, 5796881. </w:t>
      </w:r>
      <w:hyperlink r:id="rId9" w:history="1">
        <w:r w:rsidRPr="00B10917">
          <w:rPr>
            <w:rStyle w:val="Hyperlink"/>
            <w:rFonts w:ascii="Arial" w:hAnsi="Arial" w:cs="Arial"/>
            <w:sz w:val="20"/>
            <w:szCs w:val="20"/>
          </w:rPr>
          <w:t>https://doi.org/10.1155/2023/5796881</w:t>
        </w:r>
      </w:hyperlink>
    </w:p>
    <w:p w14:paraId="7BDF4E3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Joshi, K., Boettiger, D., Kerr, S., Nishijima, T., Van Nguyen, K., Ly, P. S., Lee, M. P., Kumarasamy, N., Wong, W., </w:t>
      </w:r>
      <w:proofErr w:type="spellStart"/>
      <w:r w:rsidRPr="00B10917">
        <w:rPr>
          <w:rFonts w:ascii="Arial" w:hAnsi="Arial" w:cs="Arial"/>
          <w:sz w:val="20"/>
          <w:szCs w:val="20"/>
        </w:rPr>
        <w:t>Kantipong</w:t>
      </w:r>
      <w:proofErr w:type="spellEnd"/>
      <w:r w:rsidRPr="00B10917">
        <w:rPr>
          <w:rFonts w:ascii="Arial" w:hAnsi="Arial" w:cs="Arial"/>
          <w:sz w:val="20"/>
          <w:szCs w:val="20"/>
        </w:rPr>
        <w:t xml:space="preserve">, P., Cuong, D. D., Kamarulzaman, A., Choi, J. Y., Zhang, F., </w:t>
      </w:r>
      <w:proofErr w:type="spellStart"/>
      <w:r w:rsidRPr="00B10917">
        <w:rPr>
          <w:rFonts w:ascii="Arial" w:hAnsi="Arial" w:cs="Arial"/>
          <w:sz w:val="20"/>
          <w:szCs w:val="20"/>
        </w:rPr>
        <w:t>Chaiwarith</w:t>
      </w:r>
      <w:proofErr w:type="spellEnd"/>
      <w:r w:rsidRPr="00B10917">
        <w:rPr>
          <w:rFonts w:ascii="Arial" w:hAnsi="Arial" w:cs="Arial"/>
          <w:sz w:val="20"/>
          <w:szCs w:val="20"/>
        </w:rPr>
        <w:t xml:space="preserve">, R., Ng, O. T. </w:t>
      </w:r>
      <w:proofErr w:type="spellStart"/>
      <w:r w:rsidRPr="00B10917">
        <w:rPr>
          <w:rFonts w:ascii="Arial" w:hAnsi="Arial" w:cs="Arial"/>
          <w:sz w:val="20"/>
          <w:szCs w:val="20"/>
        </w:rPr>
        <w:t>Kiertiburanakul</w:t>
      </w:r>
      <w:proofErr w:type="spellEnd"/>
      <w:r w:rsidRPr="00B10917">
        <w:rPr>
          <w:rFonts w:ascii="Arial" w:hAnsi="Arial" w:cs="Arial"/>
          <w:sz w:val="20"/>
          <w:szCs w:val="20"/>
        </w:rPr>
        <w:t xml:space="preserve">, S., Sim, B. L. H., Merati, T. P., </w:t>
      </w:r>
      <w:proofErr w:type="spellStart"/>
      <w:r w:rsidRPr="00B10917">
        <w:rPr>
          <w:rFonts w:ascii="Arial" w:hAnsi="Arial" w:cs="Arial"/>
          <w:sz w:val="20"/>
          <w:szCs w:val="20"/>
        </w:rPr>
        <w:t>Yunihastuti</w:t>
      </w:r>
      <w:proofErr w:type="spellEnd"/>
      <w:r w:rsidRPr="00B10917">
        <w:rPr>
          <w:rFonts w:ascii="Arial" w:hAnsi="Arial" w:cs="Arial"/>
          <w:sz w:val="20"/>
          <w:szCs w:val="20"/>
        </w:rPr>
        <w:t xml:space="preserve">, E., … Pujari, S. (2018). Changes in renal function with long-term exposure to antiretroviral therapy in HIV-infected adults in Asia. Pharmacoepidemiology and drug safety, 27(11), 1209–1216. </w:t>
      </w:r>
    </w:p>
    <w:p w14:paraId="40C7C947"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Kalichman, S., Hernandez, D., Kegler, C., Cherry, C., Kalichman, M., Grebler, T. (2020). Dimensions of poverty and health outcomes among people living with HIV infection: limited resources and competing needs. Journal of Community Health, 40 (4),702-708.</w:t>
      </w:r>
    </w:p>
    <w:p w14:paraId="4B817F09" w14:textId="1FEA612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Liu, P.J., Ma, F., Lou, H.P., Zhu, Y.N., Chen, Y. (2020). Relationship between serum uric acid levels and metabolic syndrome in Chinese postmenopausal women. Climacteric;</w:t>
      </w:r>
      <w:r w:rsidR="007F2635" w:rsidRPr="00B10917">
        <w:rPr>
          <w:rFonts w:ascii="Arial" w:hAnsi="Arial" w:cs="Arial"/>
          <w:sz w:val="20"/>
          <w:szCs w:val="20"/>
        </w:rPr>
        <w:t xml:space="preserve"> </w:t>
      </w:r>
      <w:r w:rsidRPr="00B10917">
        <w:rPr>
          <w:rFonts w:ascii="Arial" w:hAnsi="Arial" w:cs="Arial"/>
          <w:sz w:val="20"/>
          <w:szCs w:val="20"/>
        </w:rPr>
        <w:t>17:148-154.</w:t>
      </w:r>
    </w:p>
    <w:p w14:paraId="41F358BB"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May, M. T., </w:t>
      </w:r>
      <w:proofErr w:type="spellStart"/>
      <w:r w:rsidRPr="00B10917">
        <w:rPr>
          <w:rFonts w:ascii="Arial" w:hAnsi="Arial" w:cs="Arial"/>
          <w:sz w:val="20"/>
          <w:szCs w:val="20"/>
        </w:rPr>
        <w:t>Gompels</w:t>
      </w:r>
      <w:proofErr w:type="spellEnd"/>
      <w:r w:rsidRPr="00B10917">
        <w:rPr>
          <w:rFonts w:ascii="Arial" w:hAnsi="Arial" w:cs="Arial"/>
          <w:sz w:val="20"/>
          <w:szCs w:val="20"/>
        </w:rPr>
        <w:t xml:space="preserve">, M., Delpech, V., Porter, K., Orkin, C., Kegg, S. (2014). Impact on life expectancy of HIV-1 positive individuals of CD4+ cell count and viral load response to antiretroviral therapy. </w:t>
      </w:r>
      <w:proofErr w:type="gramStart"/>
      <w:r w:rsidRPr="00B10917">
        <w:rPr>
          <w:rFonts w:ascii="Arial" w:hAnsi="Arial" w:cs="Arial"/>
          <w:sz w:val="20"/>
          <w:szCs w:val="20"/>
        </w:rPr>
        <w:t>AIDS ,</w:t>
      </w:r>
      <w:proofErr w:type="gramEnd"/>
      <w:r w:rsidRPr="00B10917">
        <w:rPr>
          <w:rFonts w:ascii="Arial" w:hAnsi="Arial" w:cs="Arial"/>
          <w:sz w:val="20"/>
          <w:szCs w:val="20"/>
        </w:rPr>
        <w:t xml:space="preserve"> 28 (8),1193–1202.</w:t>
      </w:r>
    </w:p>
    <w:p w14:paraId="2F9FDD52" w14:textId="77777777" w:rsidR="00325653" w:rsidRPr="00B10917" w:rsidRDefault="00325653" w:rsidP="00CA589E">
      <w:pPr>
        <w:pStyle w:val="ListParagraph"/>
        <w:numPr>
          <w:ilvl w:val="0"/>
          <w:numId w:val="16"/>
        </w:numPr>
        <w:spacing w:after="160" w:line="240" w:lineRule="auto"/>
        <w:jc w:val="both"/>
        <w:rPr>
          <w:rFonts w:ascii="Arial" w:hAnsi="Arial" w:cs="Arial"/>
          <w:sz w:val="20"/>
          <w:szCs w:val="20"/>
        </w:rPr>
      </w:pPr>
      <w:r w:rsidRPr="00B10917">
        <w:rPr>
          <w:rFonts w:ascii="Arial" w:hAnsi="Arial" w:cs="Arial"/>
          <w:sz w:val="20"/>
          <w:szCs w:val="20"/>
        </w:rPr>
        <w:t xml:space="preserve">May, M. T., </w:t>
      </w:r>
      <w:proofErr w:type="spellStart"/>
      <w:r w:rsidRPr="00B10917">
        <w:rPr>
          <w:rFonts w:ascii="Arial" w:hAnsi="Arial" w:cs="Arial"/>
          <w:sz w:val="20"/>
          <w:szCs w:val="20"/>
        </w:rPr>
        <w:t>Gompels</w:t>
      </w:r>
      <w:proofErr w:type="spellEnd"/>
      <w:r w:rsidRPr="00B10917">
        <w:rPr>
          <w:rFonts w:ascii="Arial" w:hAnsi="Arial" w:cs="Arial"/>
          <w:sz w:val="20"/>
          <w:szCs w:val="20"/>
        </w:rPr>
        <w:t>, M., Delpech, V., Porter, K., Orkin, C., Kegg, S. (2014). Impact on life expectancy of HIV-1 positive individuals of CD4+ cell count and viral load response to antiretroviral therapy. AIDS, 28(8),1193–1202.</w:t>
      </w:r>
    </w:p>
    <w:p w14:paraId="22FA4F09" w14:textId="77777777" w:rsidR="00325653" w:rsidRPr="00B10917" w:rsidRDefault="00325653" w:rsidP="00CA589E">
      <w:pPr>
        <w:pStyle w:val="ListParagraph"/>
        <w:numPr>
          <w:ilvl w:val="0"/>
          <w:numId w:val="16"/>
        </w:numPr>
        <w:spacing w:after="160" w:line="240" w:lineRule="auto"/>
        <w:jc w:val="both"/>
        <w:rPr>
          <w:rFonts w:ascii="Arial" w:hAnsi="Arial" w:cs="Arial"/>
          <w:sz w:val="20"/>
          <w:szCs w:val="20"/>
        </w:rPr>
      </w:pPr>
      <w:r w:rsidRPr="00B10917">
        <w:rPr>
          <w:rFonts w:ascii="Arial" w:hAnsi="Arial" w:cs="Arial"/>
          <w:sz w:val="20"/>
          <w:szCs w:val="20"/>
        </w:rPr>
        <w:t xml:space="preserve">Nagahama, K., Inoue, T., </w:t>
      </w:r>
      <w:proofErr w:type="spellStart"/>
      <w:r w:rsidRPr="00B10917">
        <w:rPr>
          <w:rFonts w:ascii="Arial" w:hAnsi="Arial" w:cs="Arial"/>
          <w:sz w:val="20"/>
          <w:szCs w:val="20"/>
        </w:rPr>
        <w:t>Kohagura</w:t>
      </w:r>
      <w:proofErr w:type="spellEnd"/>
      <w:r w:rsidRPr="00B10917">
        <w:rPr>
          <w:rFonts w:ascii="Arial" w:hAnsi="Arial" w:cs="Arial"/>
          <w:sz w:val="20"/>
          <w:szCs w:val="20"/>
        </w:rPr>
        <w:t xml:space="preserve">, K., Kinjo, K., </w:t>
      </w:r>
      <w:proofErr w:type="spellStart"/>
      <w:r w:rsidRPr="00B10917">
        <w:rPr>
          <w:rFonts w:ascii="Arial" w:hAnsi="Arial" w:cs="Arial"/>
          <w:sz w:val="20"/>
          <w:szCs w:val="20"/>
        </w:rPr>
        <w:t>Ohya</w:t>
      </w:r>
      <w:proofErr w:type="spellEnd"/>
      <w:r w:rsidRPr="00B10917">
        <w:rPr>
          <w:rFonts w:ascii="Arial" w:hAnsi="Arial" w:cs="Arial"/>
          <w:sz w:val="20"/>
          <w:szCs w:val="20"/>
        </w:rPr>
        <w:t>, Y. (2015). Associations between serum uric acid levels and the incidence of hypertension and metabolic syndrome: A 4-year follow-up study of a large screened cohort in Okinawa, Japan. Hypertension Research; 38:213-218.</w:t>
      </w:r>
    </w:p>
    <w:p w14:paraId="77B6C13E" w14:textId="1ACF30AF"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Nagahama, K., Inoue, T., </w:t>
      </w:r>
      <w:proofErr w:type="spellStart"/>
      <w:r w:rsidRPr="00B10917">
        <w:rPr>
          <w:rFonts w:ascii="Arial" w:hAnsi="Arial" w:cs="Arial"/>
          <w:sz w:val="20"/>
          <w:szCs w:val="20"/>
        </w:rPr>
        <w:t>Kohagura</w:t>
      </w:r>
      <w:proofErr w:type="spellEnd"/>
      <w:r w:rsidRPr="00B10917">
        <w:rPr>
          <w:rFonts w:ascii="Arial" w:hAnsi="Arial" w:cs="Arial"/>
          <w:sz w:val="20"/>
          <w:szCs w:val="20"/>
        </w:rPr>
        <w:t xml:space="preserve">, K., Kinjo, K., </w:t>
      </w:r>
      <w:proofErr w:type="spellStart"/>
      <w:r w:rsidRPr="00B10917">
        <w:rPr>
          <w:rFonts w:ascii="Arial" w:hAnsi="Arial" w:cs="Arial"/>
          <w:sz w:val="20"/>
          <w:szCs w:val="20"/>
        </w:rPr>
        <w:t>Ohya</w:t>
      </w:r>
      <w:proofErr w:type="spellEnd"/>
      <w:r w:rsidRPr="00B10917">
        <w:rPr>
          <w:rFonts w:ascii="Arial" w:hAnsi="Arial" w:cs="Arial"/>
          <w:sz w:val="20"/>
          <w:szCs w:val="20"/>
        </w:rPr>
        <w:t>, Y. (2020). Associations between serum uric acid levels and the incidence of hypertension and metabolic syndrome: A 4-year follow-up study of a large screened cohort in Okinawa, Japan. Hypertension Research; 38:213-218.</w:t>
      </w:r>
    </w:p>
    <w:p w14:paraId="3920517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Narang, R. K., </w:t>
      </w:r>
      <w:proofErr w:type="spellStart"/>
      <w:r w:rsidRPr="00B10917">
        <w:rPr>
          <w:rFonts w:ascii="Arial" w:hAnsi="Arial" w:cs="Arial"/>
          <w:sz w:val="20"/>
          <w:szCs w:val="20"/>
        </w:rPr>
        <w:t>Dalbeth</w:t>
      </w:r>
      <w:proofErr w:type="spellEnd"/>
      <w:r w:rsidRPr="00B10917">
        <w:rPr>
          <w:rFonts w:ascii="Arial" w:hAnsi="Arial" w:cs="Arial"/>
          <w:sz w:val="20"/>
          <w:szCs w:val="20"/>
        </w:rPr>
        <w:t>, N. (2020). Pathophysiology of gout. Seminars in Nephrology, 6 (40), 550-563.</w:t>
      </w:r>
    </w:p>
    <w:p w14:paraId="27E262CE" w14:textId="5DDA9B75"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Nsonwu</w:t>
      </w:r>
      <w:proofErr w:type="spellEnd"/>
      <w:r w:rsidRPr="00B10917">
        <w:rPr>
          <w:rFonts w:ascii="Arial" w:hAnsi="Arial" w:cs="Arial"/>
          <w:sz w:val="20"/>
          <w:szCs w:val="20"/>
        </w:rPr>
        <w:t xml:space="preserve">-Anyanwu, A. C., Offor, S. J., King, D., Agu, C. E., Egbe, E., Eyong, W. A., </w:t>
      </w:r>
      <w:proofErr w:type="spellStart"/>
      <w:r w:rsidRPr="00B10917">
        <w:rPr>
          <w:rFonts w:ascii="Arial" w:hAnsi="Arial" w:cs="Arial"/>
          <w:sz w:val="20"/>
          <w:szCs w:val="20"/>
        </w:rPr>
        <w:t>Essessien</w:t>
      </w:r>
      <w:proofErr w:type="spellEnd"/>
      <w:r w:rsidRPr="00B10917">
        <w:rPr>
          <w:rFonts w:ascii="Arial" w:hAnsi="Arial" w:cs="Arial"/>
          <w:sz w:val="20"/>
          <w:szCs w:val="20"/>
        </w:rPr>
        <w:t>, A. E., Usoro, C. A. O. (2017). Highly Active Antiretroviral Therapy Related Changes in Renal and Liver Functions in HIV Infection. International Journal of Biomedical Laboratory Science, 6 (1&amp;2), 6-11.</w:t>
      </w:r>
    </w:p>
    <w:p w14:paraId="32F53621" w14:textId="7E082DBA"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Patel, N. J., Sheth, H. S., Rajan, R., </w:t>
      </w:r>
      <w:proofErr w:type="spellStart"/>
      <w:r w:rsidRPr="00B10917">
        <w:rPr>
          <w:rFonts w:ascii="Arial" w:hAnsi="Arial" w:cs="Arial"/>
          <w:sz w:val="20"/>
          <w:szCs w:val="20"/>
        </w:rPr>
        <w:t>Espiniza</w:t>
      </w:r>
      <w:proofErr w:type="spellEnd"/>
      <w:r w:rsidRPr="00B10917">
        <w:rPr>
          <w:rFonts w:ascii="Arial" w:hAnsi="Arial" w:cs="Arial"/>
          <w:sz w:val="20"/>
          <w:szCs w:val="20"/>
        </w:rPr>
        <w:t>, L. R., Heena, S. S., Roy, R., Luis, R. E. (2019). Hyperuricemia, its prevalence and correlation with metabolic syndrome and anti-retroviral naïve HIV cohort: Review of the literature. Journal of Immunological Techniques in Infectious Diseases, 2 (9), 234-54.</w:t>
      </w:r>
    </w:p>
    <w:p w14:paraId="042A59CC" w14:textId="5CF943B4"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Pirro, M., Bianconi, V., Schiaroli, E., Francisci, D., Mannarino, M. R., </w:t>
      </w:r>
      <w:proofErr w:type="spellStart"/>
      <w:r w:rsidRPr="00B10917">
        <w:rPr>
          <w:rFonts w:ascii="Arial" w:hAnsi="Arial" w:cs="Arial"/>
          <w:sz w:val="20"/>
          <w:szCs w:val="20"/>
        </w:rPr>
        <w:t>Bagaglia</w:t>
      </w:r>
      <w:proofErr w:type="spellEnd"/>
      <w:r w:rsidRPr="00B10917">
        <w:rPr>
          <w:rFonts w:ascii="Arial" w:hAnsi="Arial" w:cs="Arial"/>
          <w:sz w:val="20"/>
          <w:szCs w:val="20"/>
        </w:rPr>
        <w:t xml:space="preserve">, F., </w:t>
      </w:r>
      <w:proofErr w:type="spellStart"/>
      <w:r w:rsidRPr="00B10917">
        <w:rPr>
          <w:rFonts w:ascii="Arial" w:hAnsi="Arial" w:cs="Arial"/>
          <w:sz w:val="20"/>
          <w:szCs w:val="20"/>
        </w:rPr>
        <w:t>Sahebkar</w:t>
      </w:r>
      <w:proofErr w:type="spellEnd"/>
      <w:r w:rsidRPr="00B10917">
        <w:rPr>
          <w:rFonts w:ascii="Arial" w:hAnsi="Arial" w:cs="Arial"/>
          <w:sz w:val="20"/>
          <w:szCs w:val="20"/>
        </w:rPr>
        <w:t>, A., Merriman, T., Baldelli, F. (2018). Elevated serum uric acid levels are associated with endothelial dysfunction in HIV patients receiving highly-active antiretroviral therapy. Atherosclerosis, 272, 101-107.</w:t>
      </w:r>
    </w:p>
    <w:p w14:paraId="67C3975C"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Pizzino, G., Irrera, N., Cucinotta, M., Pallio, G., Mannino, F., Arcoraci, V., Squadrito, F., Altavilla, D., &amp; Bitto, A. (2017). Oxidative Stress: Harms and Benefits for Human Health. Oxidative medicine and cellular longevity, 2017, 8416763.</w:t>
      </w:r>
    </w:p>
    <w:p w14:paraId="5592A3B9" w14:textId="137A8204"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Post, F. (2020). Adverse events, ART and the kidney, alterations in renal function and renal toxicity. Journal of the International AIDS Society, 17 (3), 19513.</w:t>
      </w:r>
    </w:p>
    <w:p w14:paraId="759FE159"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Sanyaolu</w:t>
      </w:r>
      <w:proofErr w:type="spellEnd"/>
      <w:r w:rsidRPr="00B10917">
        <w:rPr>
          <w:rFonts w:ascii="Arial" w:hAnsi="Arial" w:cs="Arial"/>
          <w:sz w:val="20"/>
          <w:szCs w:val="20"/>
        </w:rPr>
        <w:t xml:space="preserve">, A. O., </w:t>
      </w:r>
      <w:proofErr w:type="spellStart"/>
      <w:r w:rsidRPr="00B10917">
        <w:rPr>
          <w:rFonts w:ascii="Arial" w:hAnsi="Arial" w:cs="Arial"/>
          <w:sz w:val="20"/>
          <w:szCs w:val="20"/>
        </w:rPr>
        <w:t>Fagbenro-Beyioku</w:t>
      </w:r>
      <w:proofErr w:type="spellEnd"/>
      <w:r w:rsidRPr="00B10917">
        <w:rPr>
          <w:rFonts w:ascii="Arial" w:hAnsi="Arial" w:cs="Arial"/>
          <w:sz w:val="20"/>
          <w:szCs w:val="20"/>
        </w:rPr>
        <w:t xml:space="preserve">, A. F., Oyibo, W. A., </w:t>
      </w:r>
      <w:proofErr w:type="spellStart"/>
      <w:r w:rsidRPr="00B10917">
        <w:rPr>
          <w:rFonts w:ascii="Arial" w:hAnsi="Arial" w:cs="Arial"/>
          <w:sz w:val="20"/>
          <w:szCs w:val="20"/>
        </w:rPr>
        <w:t>Badaru</w:t>
      </w:r>
      <w:proofErr w:type="spellEnd"/>
      <w:r w:rsidRPr="00B10917">
        <w:rPr>
          <w:rFonts w:ascii="Arial" w:hAnsi="Arial" w:cs="Arial"/>
          <w:sz w:val="20"/>
          <w:szCs w:val="20"/>
        </w:rPr>
        <w:t xml:space="preserve">, O. S., </w:t>
      </w:r>
      <w:proofErr w:type="spellStart"/>
      <w:r w:rsidRPr="00B10917">
        <w:rPr>
          <w:rFonts w:ascii="Arial" w:hAnsi="Arial" w:cs="Arial"/>
          <w:sz w:val="20"/>
          <w:szCs w:val="20"/>
        </w:rPr>
        <w:t>Onyeabor</w:t>
      </w:r>
      <w:proofErr w:type="spellEnd"/>
      <w:r w:rsidRPr="00B10917">
        <w:rPr>
          <w:rFonts w:ascii="Arial" w:hAnsi="Arial" w:cs="Arial"/>
          <w:sz w:val="20"/>
          <w:szCs w:val="20"/>
        </w:rPr>
        <w:t xml:space="preserve">, O. S., &amp; Nnaemeka, C. I. (2013). Malaria and HIV co-infection and their effect on </w:t>
      </w:r>
      <w:proofErr w:type="spellStart"/>
      <w:r w:rsidRPr="00B10917">
        <w:rPr>
          <w:rFonts w:ascii="Arial" w:hAnsi="Arial" w:cs="Arial"/>
          <w:sz w:val="20"/>
          <w:szCs w:val="20"/>
        </w:rPr>
        <w:t>haemoglobin</w:t>
      </w:r>
      <w:proofErr w:type="spellEnd"/>
      <w:r w:rsidRPr="00B10917">
        <w:rPr>
          <w:rFonts w:ascii="Arial" w:hAnsi="Arial" w:cs="Arial"/>
          <w:sz w:val="20"/>
          <w:szCs w:val="20"/>
        </w:rPr>
        <w:t xml:space="preserve"> levels from three health-care institutions in Lagos, southwest Nigeria. African health sciences, 13(2), 295–300.</w:t>
      </w:r>
    </w:p>
    <w:p w14:paraId="1194F7D0" w14:textId="61A73FCF"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Shinha</w:t>
      </w:r>
      <w:proofErr w:type="spellEnd"/>
      <w:r w:rsidRPr="00B10917">
        <w:rPr>
          <w:rFonts w:ascii="Arial" w:hAnsi="Arial" w:cs="Arial"/>
          <w:sz w:val="20"/>
          <w:szCs w:val="20"/>
        </w:rPr>
        <w:t xml:space="preserve">, T., Mi, D., Liu, Z., </w:t>
      </w:r>
      <w:proofErr w:type="spellStart"/>
      <w:r w:rsidRPr="00B10917">
        <w:rPr>
          <w:rFonts w:ascii="Arial" w:hAnsi="Arial" w:cs="Arial"/>
          <w:sz w:val="20"/>
          <w:szCs w:val="20"/>
        </w:rPr>
        <w:t>Orschell</w:t>
      </w:r>
      <w:proofErr w:type="spellEnd"/>
      <w:r w:rsidRPr="00B10917">
        <w:rPr>
          <w:rFonts w:ascii="Arial" w:hAnsi="Arial" w:cs="Arial"/>
          <w:sz w:val="20"/>
          <w:szCs w:val="20"/>
        </w:rPr>
        <w:t>, C. M., Lederman, M. M., Gupta, S. K. (2020). Relationships between renal parameters and serum and urine markers of inflammation in those with and without HIV infection. AIDS research and Human Retroviruses, 31, 375-383.</w:t>
      </w:r>
    </w:p>
    <w:p w14:paraId="1AF3B05F" w14:textId="77777777" w:rsidR="00325653" w:rsidRPr="00B10917" w:rsidRDefault="00325653" w:rsidP="00CA589E">
      <w:pPr>
        <w:pStyle w:val="ListParagraph"/>
        <w:numPr>
          <w:ilvl w:val="0"/>
          <w:numId w:val="16"/>
        </w:numPr>
        <w:spacing w:after="160" w:line="240" w:lineRule="auto"/>
        <w:jc w:val="both"/>
        <w:rPr>
          <w:rFonts w:ascii="Arial" w:hAnsi="Arial" w:cs="Arial"/>
          <w:sz w:val="20"/>
          <w:szCs w:val="20"/>
        </w:rPr>
      </w:pPr>
      <w:proofErr w:type="spellStart"/>
      <w:r w:rsidRPr="00B10917">
        <w:rPr>
          <w:rFonts w:ascii="Arial" w:hAnsi="Arial" w:cs="Arial"/>
          <w:sz w:val="20"/>
          <w:szCs w:val="20"/>
        </w:rPr>
        <w:lastRenderedPageBreak/>
        <w:t>Shinha</w:t>
      </w:r>
      <w:proofErr w:type="spellEnd"/>
      <w:r w:rsidRPr="00B10917">
        <w:rPr>
          <w:rFonts w:ascii="Arial" w:hAnsi="Arial" w:cs="Arial"/>
          <w:sz w:val="20"/>
          <w:szCs w:val="20"/>
        </w:rPr>
        <w:t xml:space="preserve">, T., Mi, D., Liu, Z., </w:t>
      </w:r>
      <w:proofErr w:type="spellStart"/>
      <w:r w:rsidRPr="00B10917">
        <w:rPr>
          <w:rFonts w:ascii="Arial" w:hAnsi="Arial" w:cs="Arial"/>
          <w:sz w:val="20"/>
          <w:szCs w:val="20"/>
        </w:rPr>
        <w:t>Orschell</w:t>
      </w:r>
      <w:proofErr w:type="spellEnd"/>
      <w:r w:rsidRPr="00B10917">
        <w:rPr>
          <w:rFonts w:ascii="Arial" w:hAnsi="Arial" w:cs="Arial"/>
          <w:sz w:val="20"/>
          <w:szCs w:val="20"/>
        </w:rPr>
        <w:t>, C. M., Lederman, M. M., Gupta, S. K. (2015). Relationships between renal parameters and serum and urine markers of inflammation in those with and without HIV infection. AIDS research and Human Retroviruses, 31, 375-383.</w:t>
      </w:r>
    </w:p>
    <w:p w14:paraId="11C1DCC5"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Song, J., Jin, C., Shan, Z., Teng, W., Li, J. (2022). Prevalence and risk factors of hyperuricemia and gout: a cross-sectional survey from 31 provinces in mainland China. Journal of Transitional Internal Medicine, 10 (2), 134-145.</w:t>
      </w:r>
    </w:p>
    <w:p w14:paraId="553F242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Ukibe</w:t>
      </w:r>
      <w:proofErr w:type="spellEnd"/>
      <w:r w:rsidRPr="00B10917">
        <w:rPr>
          <w:rFonts w:ascii="Arial" w:hAnsi="Arial" w:cs="Arial"/>
          <w:sz w:val="20"/>
          <w:szCs w:val="20"/>
        </w:rPr>
        <w:t xml:space="preserve">, R. N., Osuji, F. N., </w:t>
      </w:r>
      <w:proofErr w:type="spellStart"/>
      <w:r w:rsidRPr="00B10917">
        <w:rPr>
          <w:rFonts w:ascii="Arial" w:hAnsi="Arial" w:cs="Arial"/>
          <w:sz w:val="20"/>
          <w:szCs w:val="20"/>
        </w:rPr>
        <w:t>Onyenekwe</w:t>
      </w:r>
      <w:proofErr w:type="spellEnd"/>
      <w:r w:rsidRPr="00B10917">
        <w:rPr>
          <w:rFonts w:ascii="Arial" w:hAnsi="Arial" w:cs="Arial"/>
          <w:sz w:val="20"/>
          <w:szCs w:val="20"/>
        </w:rPr>
        <w:t>, C. C., Ahaneku, J. E. (2018). The effects of highly active antiretroviral therapy on the serum levels of pro-inflammatory and anti-inflammatory cytokines in HIV infected subjects. Journal of biomedical science, 25 (1), 1-8.</w:t>
      </w:r>
    </w:p>
    <w:p w14:paraId="725A6A38" w14:textId="5585CA31"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UNAIDS (2020) AIDS by number 2020 [Online] Available at, </w:t>
      </w:r>
      <w:proofErr w:type="gramStart"/>
      <w:r w:rsidRPr="00B10917">
        <w:rPr>
          <w:rFonts w:ascii="Arial" w:hAnsi="Arial" w:cs="Arial"/>
          <w:sz w:val="20"/>
          <w:szCs w:val="20"/>
        </w:rPr>
        <w:t>http,//www.unaids.org/sites/default/files/media_asset/AIDS_by_the_numbers_2015_en.pdf</w:t>
      </w:r>
      <w:proofErr w:type="gramEnd"/>
      <w:r w:rsidRPr="00B10917">
        <w:rPr>
          <w:rFonts w:ascii="Arial" w:hAnsi="Arial" w:cs="Arial"/>
          <w:sz w:val="20"/>
          <w:szCs w:val="20"/>
        </w:rPr>
        <w:t xml:space="preserve"> (Accessed, 21 January, 2023)</w:t>
      </w:r>
    </w:p>
    <w:p w14:paraId="11A9CAD3" w14:textId="4E7E1203"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UNAIDS. (2019). Expanded data collection and analysis provides better understanding of HIV epidemic in Nigeria ABUJA/GENEVA, 14 March 2019</w:t>
      </w:r>
      <w:proofErr w:type="gramStart"/>
      <w:r w:rsidRPr="00B10917">
        <w:rPr>
          <w:rFonts w:ascii="Arial" w:hAnsi="Arial" w:cs="Arial"/>
          <w:sz w:val="20"/>
          <w:szCs w:val="20"/>
        </w:rPr>
        <w:t>https,//www.unaids.org/en/resources/presscentre/pressreleaseandstatementarchive/2019/march/20190314_nigeria</w:t>
      </w:r>
      <w:proofErr w:type="gramEnd"/>
    </w:p>
    <w:p w14:paraId="39D6CA75"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UNAIDS. (2021) Global AIDS update – Confronting inequalities [homepage on the Internet]. 2021. [cited 2021 Dec 16]. Available from, </w:t>
      </w:r>
      <w:proofErr w:type="gramStart"/>
      <w:r w:rsidRPr="00B10917">
        <w:rPr>
          <w:rFonts w:ascii="Arial" w:hAnsi="Arial" w:cs="Arial"/>
          <w:sz w:val="20"/>
          <w:szCs w:val="20"/>
        </w:rPr>
        <w:t>https,//www.unaids.org/en/resources/documents/2021/2021-global-aids-update</w:t>
      </w:r>
      <w:proofErr w:type="gramEnd"/>
      <w:r w:rsidRPr="00B10917">
        <w:rPr>
          <w:rFonts w:ascii="Arial" w:hAnsi="Arial" w:cs="Arial"/>
          <w:sz w:val="20"/>
          <w:szCs w:val="20"/>
        </w:rPr>
        <w:t>.</w:t>
      </w:r>
    </w:p>
    <w:p w14:paraId="0021C12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proofErr w:type="spellStart"/>
      <w:r w:rsidRPr="00B10917">
        <w:rPr>
          <w:rFonts w:ascii="Arial" w:hAnsi="Arial" w:cs="Arial"/>
          <w:sz w:val="20"/>
          <w:szCs w:val="20"/>
        </w:rPr>
        <w:t>Wandeler</w:t>
      </w:r>
      <w:proofErr w:type="spellEnd"/>
      <w:r w:rsidRPr="00B10917">
        <w:rPr>
          <w:rFonts w:ascii="Arial" w:hAnsi="Arial" w:cs="Arial"/>
          <w:sz w:val="20"/>
          <w:szCs w:val="20"/>
        </w:rPr>
        <w:t xml:space="preserve">, G., Johnson, L. F., Egger, M. (2016). Trends in life expectancy of HIV-positive adults on ART across the globe: comparisons with general population. Current Opinion on HIV </w:t>
      </w:r>
      <w:proofErr w:type="gramStart"/>
      <w:r w:rsidRPr="00B10917">
        <w:rPr>
          <w:rFonts w:ascii="Arial" w:hAnsi="Arial" w:cs="Arial"/>
          <w:sz w:val="20"/>
          <w:szCs w:val="20"/>
        </w:rPr>
        <w:t>AIDS ,</w:t>
      </w:r>
      <w:proofErr w:type="gramEnd"/>
      <w:r w:rsidRPr="00B10917">
        <w:rPr>
          <w:rFonts w:ascii="Arial" w:hAnsi="Arial" w:cs="Arial"/>
          <w:sz w:val="20"/>
          <w:szCs w:val="20"/>
        </w:rPr>
        <w:t xml:space="preserve"> 11 (5), 492–500.</w:t>
      </w:r>
    </w:p>
    <w:p w14:paraId="29FA9B34"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Wang, H., Wang, L., Xie, R., Dai, W., Gao, C., Shen, P. (2019). Association of serum uric acid with body mass index: A Cross-sectional study from Jiangsu province, China. Iranian Journal of Public </w:t>
      </w:r>
      <w:proofErr w:type="gramStart"/>
      <w:r w:rsidRPr="00B10917">
        <w:rPr>
          <w:rFonts w:ascii="Arial" w:hAnsi="Arial" w:cs="Arial"/>
          <w:sz w:val="20"/>
          <w:szCs w:val="20"/>
        </w:rPr>
        <w:t>Health ;</w:t>
      </w:r>
      <w:proofErr w:type="gramEnd"/>
      <w:r w:rsidRPr="00B10917">
        <w:rPr>
          <w:rFonts w:ascii="Arial" w:hAnsi="Arial" w:cs="Arial"/>
          <w:sz w:val="20"/>
          <w:szCs w:val="20"/>
        </w:rPr>
        <w:t xml:space="preserve"> 43:1503-1509.</w:t>
      </w:r>
    </w:p>
    <w:p w14:paraId="0E20E4AD"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(2020) HIV/AIDS [Online] Available at, </w:t>
      </w:r>
      <w:proofErr w:type="gramStart"/>
      <w:r w:rsidRPr="00B10917">
        <w:rPr>
          <w:rFonts w:ascii="Arial" w:hAnsi="Arial" w:cs="Arial"/>
          <w:sz w:val="20"/>
          <w:szCs w:val="20"/>
        </w:rPr>
        <w:t>http,//www.who.int/hiv/en/</w:t>
      </w:r>
      <w:proofErr w:type="gramEnd"/>
      <w:r w:rsidRPr="00B10917">
        <w:rPr>
          <w:rFonts w:ascii="Arial" w:hAnsi="Arial" w:cs="Arial"/>
          <w:sz w:val="20"/>
          <w:szCs w:val="20"/>
        </w:rPr>
        <w:t xml:space="preserve"> (Accessed, 10th May, 2023).</w:t>
      </w:r>
    </w:p>
    <w:p w14:paraId="1EF166FD"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(2020). Global HIV </w:t>
      </w:r>
      <w:proofErr w:type="spellStart"/>
      <w:r w:rsidRPr="00B10917">
        <w:rPr>
          <w:rFonts w:ascii="Arial" w:hAnsi="Arial" w:cs="Arial"/>
          <w:sz w:val="20"/>
          <w:szCs w:val="20"/>
        </w:rPr>
        <w:t>Programme</w:t>
      </w:r>
      <w:proofErr w:type="spellEnd"/>
      <w:r w:rsidRPr="00B10917">
        <w:rPr>
          <w:rFonts w:ascii="Arial" w:hAnsi="Arial" w:cs="Arial"/>
          <w:sz w:val="20"/>
          <w:szCs w:val="20"/>
        </w:rPr>
        <w:t>. (n.d.). Retrieved September 10, 2025, from https://www.who.int/teams/global-hiv-hepatitis-and-stis-programmes/hiv/strategic-information/hiv-data-and-statistics</w:t>
      </w:r>
    </w:p>
    <w:p w14:paraId="2E08BCD8"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bookmarkStart w:id="3" w:name="_Hlk208412457"/>
      <w:r w:rsidRPr="00B10917">
        <w:rPr>
          <w:rFonts w:ascii="Arial" w:hAnsi="Arial" w:cs="Arial"/>
          <w:sz w:val="20"/>
          <w:szCs w:val="20"/>
        </w:rPr>
        <w:t xml:space="preserve">World Health Organization. (2020). </w:t>
      </w:r>
      <w:bookmarkEnd w:id="3"/>
      <w:r w:rsidRPr="00B10917">
        <w:rPr>
          <w:rFonts w:ascii="Arial" w:hAnsi="Arial" w:cs="Arial"/>
          <w:sz w:val="20"/>
          <w:szCs w:val="20"/>
        </w:rPr>
        <w:t xml:space="preserve">HIV/AIDS. </w:t>
      </w:r>
      <w:proofErr w:type="gramStart"/>
      <w:r w:rsidRPr="00B10917">
        <w:rPr>
          <w:rFonts w:ascii="Arial" w:hAnsi="Arial" w:cs="Arial"/>
          <w:sz w:val="20"/>
          <w:szCs w:val="20"/>
        </w:rPr>
        <w:t>https,//www.who.int/news-room/fact-sheets/detail/hiv-aids</w:t>
      </w:r>
      <w:proofErr w:type="gramEnd"/>
      <w:r w:rsidRPr="00B10917">
        <w:rPr>
          <w:rFonts w:ascii="Arial" w:hAnsi="Arial" w:cs="Arial"/>
          <w:sz w:val="20"/>
          <w:szCs w:val="20"/>
        </w:rPr>
        <w:t>. Accessed February, 2023.</w:t>
      </w:r>
    </w:p>
    <w:p w14:paraId="2041888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(2021). Hypertension fact sheet. Retrieved from, </w:t>
      </w:r>
      <w:proofErr w:type="gramStart"/>
      <w:r w:rsidRPr="00B10917">
        <w:rPr>
          <w:rFonts w:ascii="Arial" w:hAnsi="Arial" w:cs="Arial"/>
          <w:sz w:val="20"/>
          <w:szCs w:val="20"/>
        </w:rPr>
        <w:t>https,//www.who.int/news-room/fact</w:t>
      </w:r>
      <w:proofErr w:type="gramEnd"/>
      <w:r w:rsidRPr="00B10917">
        <w:rPr>
          <w:rFonts w:ascii="Arial" w:hAnsi="Arial" w:cs="Arial"/>
          <w:sz w:val="20"/>
          <w:szCs w:val="20"/>
        </w:rPr>
        <w:t xml:space="preserve"> sheets/ detail/ hypertension.</w:t>
      </w:r>
    </w:p>
    <w:p w14:paraId="0D1E9522"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 xml:space="preserve">World Health Organization. (2021). Malaria. [homepage on the Internet] [cited 2023 April 16]. Available from, </w:t>
      </w:r>
      <w:proofErr w:type="gramStart"/>
      <w:r w:rsidRPr="00B10917">
        <w:rPr>
          <w:rFonts w:ascii="Arial" w:hAnsi="Arial" w:cs="Arial"/>
          <w:sz w:val="20"/>
          <w:szCs w:val="20"/>
        </w:rPr>
        <w:t>https,//www.who.int/news-room/fact-sheets/detail/malaria</w:t>
      </w:r>
      <w:proofErr w:type="gramEnd"/>
      <w:r w:rsidRPr="00B10917">
        <w:rPr>
          <w:rFonts w:ascii="Arial" w:hAnsi="Arial" w:cs="Arial"/>
          <w:sz w:val="20"/>
          <w:szCs w:val="20"/>
        </w:rPr>
        <w:t>.</w:t>
      </w:r>
    </w:p>
    <w:p w14:paraId="694BEBC7"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World Health Organization. (2023). Hypertension. (n.d.). Retrieved September 10, 2025, from https://www.who.int/news-room/fact-sheets/detail/hypertension</w:t>
      </w:r>
    </w:p>
    <w:p w14:paraId="20A11480" w14:textId="77777777"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World Health Organization. (2024). Malaria. (n.d.). Retrieved September 10, 2025, from https://www.who.int/news-room/fact-sheets/detail/malaria</w:t>
      </w:r>
    </w:p>
    <w:p w14:paraId="5E9C38DB" w14:textId="6847C5DC" w:rsidR="00325653" w:rsidRPr="00B10917" w:rsidRDefault="00325653" w:rsidP="00CA589E">
      <w:pPr>
        <w:pStyle w:val="ListParagraph"/>
        <w:numPr>
          <w:ilvl w:val="0"/>
          <w:numId w:val="16"/>
        </w:numPr>
        <w:spacing w:after="160" w:line="240" w:lineRule="auto"/>
        <w:rPr>
          <w:rFonts w:ascii="Arial" w:hAnsi="Arial" w:cs="Arial"/>
          <w:sz w:val="20"/>
          <w:szCs w:val="20"/>
        </w:rPr>
      </w:pPr>
      <w:r w:rsidRPr="00B10917">
        <w:rPr>
          <w:rFonts w:ascii="Arial" w:hAnsi="Arial" w:cs="Arial"/>
          <w:sz w:val="20"/>
          <w:szCs w:val="20"/>
        </w:rPr>
        <w:t>Wyatt, B., Christina, M. (2017). Kidney Disease and HIV Infection. Topics in antiviral medicine, 25 (1), 13-16.</w:t>
      </w:r>
    </w:p>
    <w:sectPr w:rsidR="00325653" w:rsidRPr="00B10917" w:rsidSect="00CA589E">
      <w:headerReference w:type="even" r:id="rId10"/>
      <w:headerReference w:type="default" r:id="rId11"/>
      <w:footerReference w:type="even" r:id="rId12"/>
      <w:footerReference w:type="default" r:id="rId13"/>
      <w:headerReference w:type="first" r:id="rId14"/>
      <w:footerReference w:type="first" r:id="rId15"/>
      <w:pgSz w:w="11906" w:h="16838" w:code="9"/>
      <w:pgMar w:top="1094" w:right="607" w:bottom="607" w:left="607" w:header="346" w:footer="403"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1508D6" w14:textId="77777777" w:rsidR="00C9624C" w:rsidRDefault="00C9624C">
      <w:pPr>
        <w:spacing w:after="0" w:line="240" w:lineRule="auto"/>
      </w:pPr>
      <w:r>
        <w:separator/>
      </w:r>
    </w:p>
  </w:endnote>
  <w:endnote w:type="continuationSeparator" w:id="0">
    <w:p w14:paraId="54DC2E2A" w14:textId="77777777" w:rsidR="00C9624C" w:rsidRDefault="00C962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EEAFB6" w14:textId="77777777" w:rsidR="00D12EEF" w:rsidRDefault="00D12E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C3F6B5" w14:textId="77777777" w:rsidR="00C03240" w:rsidRDefault="008F6B0A">
    <w:pPr>
      <w:pStyle w:val="Footer"/>
    </w:pPr>
    <w:r>
      <w:rPr>
        <w:noProof/>
      </w:rPr>
      <mc:AlternateContent>
        <mc:Choice Requires="wps">
          <w:drawing>
            <wp:anchor distT="0" distB="0" distL="114300" distR="114300" simplePos="0" relativeHeight="251659264" behindDoc="0" locked="0" layoutInCell="1" allowOverlap="1" wp14:anchorId="2076E919" wp14:editId="0CD9244D">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05CABDE" w14:textId="77777777" w:rsidR="00C03240" w:rsidRDefault="008F6B0A">
                          <w:pPr>
                            <w:pStyle w:val="Footer"/>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076E919" id="_x0000_t202" coordsize="21600,21600" o:spt="202" path="m,l,21600r21600,l21600,xe">
              <v:stroke joinstyle="miter"/>
              <v:path gradientshapeok="t" o:connecttype="rect"/>
            </v:shapetype>
            <v:shape id="Text Box 2"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" filled="f" stroked="f" strokeweight=".5pt">
              <v:textbox style="mso-fit-shape-to-text:t" inset="0,0,0,0">
                <w:txbxContent>
                  <w:p w14:paraId="005CABDE" w14:textId="77777777" w:rsidR="00C03240" w:rsidRDefault="008F6B0A">
                    <w:pPr>
                      <w:pStyle w:val="Footer"/>
                      <w:rPr>
                        <w:lang w:val="en-GB"/>
                      </w:rPr>
                    </w:pPr>
                    <w:r>
                      <w:rPr>
                        <w:lang w:val="en-GB"/>
                      </w:rPr>
                      <w:fldChar w:fldCharType="begin"/>
                    </w:r>
                    <w:r>
                      <w:rPr>
                        <w:lang w:val="en-GB"/>
                      </w:rPr>
                      <w:instrText xml:space="preserve"> PAGE  \* MERGEFORMAT </w:instrText>
                    </w:r>
                    <w:r>
                      <w:rPr>
                        <w:lang w:val="en-GB"/>
                      </w:rPr>
                      <w:fldChar w:fldCharType="separate"/>
                    </w:r>
                    <w:r>
                      <w:rPr>
                        <w:lang w:val="en-GB"/>
                      </w:rPr>
                      <w:t>1</w:t>
                    </w:r>
                    <w:r>
                      <w:rPr>
                        <w:lang w:val="en-GB"/>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3FEB4E" w14:textId="77777777" w:rsidR="00D12EEF" w:rsidRDefault="00D12E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CBA9F" w14:textId="77777777" w:rsidR="00C9624C" w:rsidRDefault="00C9624C">
      <w:pPr>
        <w:spacing w:after="0" w:line="240" w:lineRule="auto"/>
      </w:pPr>
      <w:r>
        <w:separator/>
      </w:r>
    </w:p>
  </w:footnote>
  <w:footnote w:type="continuationSeparator" w:id="0">
    <w:p w14:paraId="1EAF74B4" w14:textId="77777777" w:rsidR="00C9624C" w:rsidRDefault="00C962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BAFEBB" w14:textId="67F1424B" w:rsidR="00D12EEF" w:rsidRDefault="00D12EEF">
    <w:pPr>
      <w:pStyle w:val="Header"/>
    </w:pPr>
    <w:r>
      <w:rPr>
        <w:noProof/>
      </w:rPr>
      <w:pict w14:anchorId="5B5F09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60" o:spid="_x0000_s2050" type="#_x0000_t136" style="position:absolute;margin-left:0;margin-top:0;width:634.65pt;height:119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332899" w14:textId="6E4F7F16" w:rsidR="00D12EEF" w:rsidRDefault="00D12EEF">
    <w:pPr>
      <w:pStyle w:val="Header"/>
    </w:pPr>
    <w:r>
      <w:rPr>
        <w:noProof/>
      </w:rPr>
      <w:pict w14:anchorId="03C9C3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61" o:spid="_x0000_s2051" type="#_x0000_t136" style="position:absolute;margin-left:0;margin-top:0;width:634.65pt;height:119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7ACFD" w14:textId="2F444A07" w:rsidR="00D12EEF" w:rsidRDefault="00D12EEF">
    <w:pPr>
      <w:pStyle w:val="Header"/>
    </w:pPr>
    <w:r>
      <w:rPr>
        <w:noProof/>
      </w:rPr>
      <w:pict w14:anchorId="59ABCF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8942859" o:spid="_x0000_s2049" type="#_x0000_t136" style="position:absolute;margin-left:0;margin-top:0;width:634.65pt;height:119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D73D95A1"/>
    <w:multiLevelType w:val="singleLevel"/>
    <w:tmpl w:val="D73D95A1"/>
    <w:lvl w:ilvl="0">
      <w:start w:val="1"/>
      <w:numFmt w:val="decimal"/>
      <w:lvlText w:val="%1)"/>
      <w:lvlJc w:val="left"/>
      <w:pPr>
        <w:tabs>
          <w:tab w:val="left" w:pos="425"/>
        </w:tabs>
        <w:ind w:left="425" w:hanging="425"/>
      </w:pPr>
      <w:rPr>
        <w:rFonts w:hint="default"/>
      </w:rPr>
    </w:lvl>
  </w:abstractNum>
  <w:abstractNum w:abstractNumId="1" w15:restartNumberingAfterBreak="0">
    <w:nsid w:val="0B336F63"/>
    <w:multiLevelType w:val="singleLevel"/>
    <w:tmpl w:val="0B336F63"/>
    <w:lvl w:ilvl="0">
      <w:start w:val="1"/>
      <w:numFmt w:val="upperRoman"/>
      <w:lvlText w:val="%1."/>
      <w:lvlJc w:val="left"/>
      <w:pPr>
        <w:tabs>
          <w:tab w:val="left" w:pos="425"/>
        </w:tabs>
        <w:ind w:left="425" w:hanging="425"/>
      </w:pPr>
      <w:rPr>
        <w:rFonts w:hint="default"/>
      </w:rPr>
    </w:lvl>
  </w:abstractNum>
  <w:abstractNum w:abstractNumId="2" w15:restartNumberingAfterBreak="0">
    <w:nsid w:val="0E1F5DDC"/>
    <w:multiLevelType w:val="multilevel"/>
    <w:tmpl w:val="0E1F5DDC"/>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09C70FD"/>
    <w:multiLevelType w:val="multilevel"/>
    <w:tmpl w:val="109C70FD"/>
    <w:lvl w:ilvl="0">
      <w:start w:val="1"/>
      <w:numFmt w:val="upperRoman"/>
      <w:lvlText w:val="%1)"/>
      <w:lvlJc w:val="left"/>
      <w:pPr>
        <w:ind w:left="1080" w:hanging="720"/>
      </w:pPr>
      <w:rPr>
        <w:rFonts w:asciiTheme="minorHAnsi" w:hAnsiTheme="minorHAnsi" w:cs="Garamond"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6894898"/>
    <w:multiLevelType w:val="multilevel"/>
    <w:tmpl w:val="1689489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8CA322B"/>
    <w:multiLevelType w:val="multilevel"/>
    <w:tmpl w:val="18CA32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3F8A42"/>
    <w:multiLevelType w:val="singleLevel"/>
    <w:tmpl w:val="2C3F8A42"/>
    <w:lvl w:ilvl="0">
      <w:start w:val="1"/>
      <w:numFmt w:val="decimal"/>
      <w:lvlText w:val="%1."/>
      <w:lvlJc w:val="left"/>
      <w:pPr>
        <w:tabs>
          <w:tab w:val="left" w:pos="425"/>
        </w:tabs>
        <w:ind w:left="425" w:hanging="425"/>
      </w:pPr>
      <w:rPr>
        <w:rFonts w:hint="default"/>
      </w:rPr>
    </w:lvl>
  </w:abstractNum>
  <w:abstractNum w:abstractNumId="7" w15:restartNumberingAfterBreak="0">
    <w:nsid w:val="31745B3A"/>
    <w:multiLevelType w:val="multilevel"/>
    <w:tmpl w:val="31745B3A"/>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1B32640"/>
    <w:multiLevelType w:val="multilevel"/>
    <w:tmpl w:val="41B3264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44B80632"/>
    <w:multiLevelType w:val="multilevel"/>
    <w:tmpl w:val="44B80632"/>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58CB3082"/>
    <w:multiLevelType w:val="hybridMultilevel"/>
    <w:tmpl w:val="52AC1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C5CA465"/>
    <w:multiLevelType w:val="singleLevel"/>
    <w:tmpl w:val="5C5CA465"/>
    <w:lvl w:ilvl="0">
      <w:start w:val="1"/>
      <w:numFmt w:val="decimal"/>
      <w:lvlText w:val="%1."/>
      <w:lvlJc w:val="left"/>
      <w:pPr>
        <w:tabs>
          <w:tab w:val="left" w:pos="425"/>
        </w:tabs>
        <w:ind w:left="425" w:hanging="425"/>
      </w:pPr>
      <w:rPr>
        <w:rFonts w:hint="default"/>
      </w:rPr>
    </w:lvl>
  </w:abstractNum>
  <w:abstractNum w:abstractNumId="12" w15:restartNumberingAfterBreak="0">
    <w:nsid w:val="617642B6"/>
    <w:multiLevelType w:val="multilevel"/>
    <w:tmpl w:val="617642B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92F0AAA"/>
    <w:multiLevelType w:val="multilevel"/>
    <w:tmpl w:val="692F0AAA"/>
    <w:lvl w:ilvl="0">
      <w:start w:val="1"/>
      <w:numFmt w:val="upperRoman"/>
      <w:lvlText w:val="%1)"/>
      <w:lvlJc w:val="left"/>
      <w:pPr>
        <w:ind w:left="720" w:hanging="360"/>
      </w:pPr>
      <w:rPr>
        <w:rFonts w:asciiTheme="minorHAnsi" w:hAnsiTheme="minorHAnsi" w:cs="Garamond" w:hint="default"/>
        <w:b w:val="0"/>
        <w:color w:val="000000"/>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6AE4014B"/>
    <w:multiLevelType w:val="multilevel"/>
    <w:tmpl w:val="6AE4014B"/>
    <w:lvl w:ilvl="0">
      <w:start w:val="1"/>
      <w:numFmt w:val="upperRoman"/>
      <w:lvlText w:val="%1."/>
      <w:lvlJc w:val="right"/>
      <w:pPr>
        <w:ind w:left="720" w:hanging="360"/>
      </w:pPr>
    </w:lvl>
    <w:lvl w:ilvl="1">
      <w:start w:val="1"/>
      <w:numFmt w:val="lowerRoman"/>
      <w:lvlText w:val="%2."/>
      <w:lvlJc w:val="left"/>
      <w:pPr>
        <w:ind w:left="1800" w:hanging="720"/>
      </w:pPr>
      <w:rPr>
        <w:rFonts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6BE5F2CE"/>
    <w:multiLevelType w:val="singleLevel"/>
    <w:tmpl w:val="6BE5F2CE"/>
    <w:lvl w:ilvl="0">
      <w:start w:val="1"/>
      <w:numFmt w:val="decimal"/>
      <w:lvlText w:val="%1."/>
      <w:lvlJc w:val="left"/>
      <w:pPr>
        <w:tabs>
          <w:tab w:val="left" w:pos="425"/>
        </w:tabs>
        <w:ind w:left="425" w:hanging="425"/>
      </w:pPr>
      <w:rPr>
        <w:rFonts w:hint="default"/>
      </w:rPr>
    </w:lvl>
  </w:abstractNum>
  <w:num w:numId="1">
    <w:abstractNumId w:val="11"/>
  </w:num>
  <w:num w:numId="2">
    <w:abstractNumId w:val="6"/>
  </w:num>
  <w:num w:numId="3">
    <w:abstractNumId w:val="0"/>
  </w:num>
  <w:num w:numId="4">
    <w:abstractNumId w:val="15"/>
  </w:num>
  <w:num w:numId="5">
    <w:abstractNumId w:val="14"/>
  </w:num>
  <w:num w:numId="6">
    <w:abstractNumId w:val="5"/>
  </w:num>
  <w:num w:numId="7">
    <w:abstractNumId w:val="2"/>
  </w:num>
  <w:num w:numId="8">
    <w:abstractNumId w:val="4"/>
  </w:num>
  <w:num w:numId="9">
    <w:abstractNumId w:val="12"/>
  </w:num>
  <w:num w:numId="10">
    <w:abstractNumId w:val="13"/>
  </w:num>
  <w:num w:numId="11">
    <w:abstractNumId w:val="9"/>
  </w:num>
  <w:num w:numId="12">
    <w:abstractNumId w:val="8"/>
  </w:num>
  <w:num w:numId="13">
    <w:abstractNumId w:val="7"/>
  </w:num>
  <w:num w:numId="14">
    <w:abstractNumId w:val="3"/>
  </w:num>
  <w:num w:numId="15">
    <w:abstractNumId w:val="1"/>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45415B40"/>
    <w:rsid w:val="00017248"/>
    <w:rsid w:val="0010129B"/>
    <w:rsid w:val="00112BEF"/>
    <w:rsid w:val="00240D2B"/>
    <w:rsid w:val="002B3C47"/>
    <w:rsid w:val="002E0F41"/>
    <w:rsid w:val="00323759"/>
    <w:rsid w:val="00325653"/>
    <w:rsid w:val="0032692B"/>
    <w:rsid w:val="003E62A0"/>
    <w:rsid w:val="003F3A72"/>
    <w:rsid w:val="00403FD9"/>
    <w:rsid w:val="004614D9"/>
    <w:rsid w:val="00474F2F"/>
    <w:rsid w:val="00482DB2"/>
    <w:rsid w:val="004B4CA4"/>
    <w:rsid w:val="005A324D"/>
    <w:rsid w:val="006B0BDE"/>
    <w:rsid w:val="00706DB2"/>
    <w:rsid w:val="00733BD8"/>
    <w:rsid w:val="0077569C"/>
    <w:rsid w:val="007F2635"/>
    <w:rsid w:val="00827466"/>
    <w:rsid w:val="00864C38"/>
    <w:rsid w:val="008D6F67"/>
    <w:rsid w:val="008E6F98"/>
    <w:rsid w:val="008F6B0A"/>
    <w:rsid w:val="009229FE"/>
    <w:rsid w:val="00943A85"/>
    <w:rsid w:val="00965428"/>
    <w:rsid w:val="00971296"/>
    <w:rsid w:val="00973A9A"/>
    <w:rsid w:val="00A92D33"/>
    <w:rsid w:val="00AB07AD"/>
    <w:rsid w:val="00AB4FE0"/>
    <w:rsid w:val="00B10917"/>
    <w:rsid w:val="00B54762"/>
    <w:rsid w:val="00BD5268"/>
    <w:rsid w:val="00C03240"/>
    <w:rsid w:val="00C526B9"/>
    <w:rsid w:val="00C9624C"/>
    <w:rsid w:val="00CA589E"/>
    <w:rsid w:val="00CB1CE5"/>
    <w:rsid w:val="00D12EEF"/>
    <w:rsid w:val="00DA028B"/>
    <w:rsid w:val="00DA1EE8"/>
    <w:rsid w:val="00DD7B67"/>
    <w:rsid w:val="00E91FC8"/>
    <w:rsid w:val="00F33DF0"/>
    <w:rsid w:val="014A7F2F"/>
    <w:rsid w:val="03F24877"/>
    <w:rsid w:val="06E4229E"/>
    <w:rsid w:val="07834BE0"/>
    <w:rsid w:val="0CB514E8"/>
    <w:rsid w:val="10936013"/>
    <w:rsid w:val="11506CC6"/>
    <w:rsid w:val="134D70F9"/>
    <w:rsid w:val="14436084"/>
    <w:rsid w:val="15E32D57"/>
    <w:rsid w:val="17667C74"/>
    <w:rsid w:val="178A6622"/>
    <w:rsid w:val="17911093"/>
    <w:rsid w:val="18B365B2"/>
    <w:rsid w:val="18D161B5"/>
    <w:rsid w:val="19146B21"/>
    <w:rsid w:val="195E006F"/>
    <w:rsid w:val="199269CD"/>
    <w:rsid w:val="19F742E8"/>
    <w:rsid w:val="1B7F2CB7"/>
    <w:rsid w:val="1E012A23"/>
    <w:rsid w:val="1FD249A7"/>
    <w:rsid w:val="20670481"/>
    <w:rsid w:val="21606B28"/>
    <w:rsid w:val="216F62EF"/>
    <w:rsid w:val="22726372"/>
    <w:rsid w:val="22A6432B"/>
    <w:rsid w:val="22C701D9"/>
    <w:rsid w:val="23A917FE"/>
    <w:rsid w:val="24444FBA"/>
    <w:rsid w:val="248C3858"/>
    <w:rsid w:val="25AE3FC6"/>
    <w:rsid w:val="25DC28AE"/>
    <w:rsid w:val="26196852"/>
    <w:rsid w:val="264053F2"/>
    <w:rsid w:val="288A2032"/>
    <w:rsid w:val="293D2798"/>
    <w:rsid w:val="2ABD4B82"/>
    <w:rsid w:val="2B45382A"/>
    <w:rsid w:val="2CCC6A91"/>
    <w:rsid w:val="2D6237BE"/>
    <w:rsid w:val="2DC72EF8"/>
    <w:rsid w:val="2E2D5906"/>
    <w:rsid w:val="2E4153CA"/>
    <w:rsid w:val="2EEF3519"/>
    <w:rsid w:val="2F41211B"/>
    <w:rsid w:val="2FE321EA"/>
    <w:rsid w:val="30164B53"/>
    <w:rsid w:val="32464169"/>
    <w:rsid w:val="32646AF4"/>
    <w:rsid w:val="33130187"/>
    <w:rsid w:val="344640E8"/>
    <w:rsid w:val="35754D16"/>
    <w:rsid w:val="35E43AB1"/>
    <w:rsid w:val="36AA52B1"/>
    <w:rsid w:val="37CE2D9B"/>
    <w:rsid w:val="38117199"/>
    <w:rsid w:val="3879716C"/>
    <w:rsid w:val="39595A5E"/>
    <w:rsid w:val="3A0F381D"/>
    <w:rsid w:val="3BAB145F"/>
    <w:rsid w:val="3C79576C"/>
    <w:rsid w:val="3D2E2FF9"/>
    <w:rsid w:val="3D3B70A3"/>
    <w:rsid w:val="3E6253D3"/>
    <w:rsid w:val="3E723630"/>
    <w:rsid w:val="4057795E"/>
    <w:rsid w:val="409353FC"/>
    <w:rsid w:val="40EB4072"/>
    <w:rsid w:val="41BC1252"/>
    <w:rsid w:val="429B322B"/>
    <w:rsid w:val="42E61B14"/>
    <w:rsid w:val="43D108D4"/>
    <w:rsid w:val="44217C2A"/>
    <w:rsid w:val="44975560"/>
    <w:rsid w:val="44AA3EDD"/>
    <w:rsid w:val="45415B40"/>
    <w:rsid w:val="45CC439C"/>
    <w:rsid w:val="45DF1519"/>
    <w:rsid w:val="468B681C"/>
    <w:rsid w:val="46AB3B35"/>
    <w:rsid w:val="46D74B4E"/>
    <w:rsid w:val="47FE12A3"/>
    <w:rsid w:val="4B1E49BB"/>
    <w:rsid w:val="4C8A2DC1"/>
    <w:rsid w:val="4D1018F3"/>
    <w:rsid w:val="4E6127BE"/>
    <w:rsid w:val="50770EC4"/>
    <w:rsid w:val="513427D0"/>
    <w:rsid w:val="515C347A"/>
    <w:rsid w:val="51A14135"/>
    <w:rsid w:val="520507D9"/>
    <w:rsid w:val="529E75C9"/>
    <w:rsid w:val="54187313"/>
    <w:rsid w:val="57190BDB"/>
    <w:rsid w:val="57246947"/>
    <w:rsid w:val="58DE42CF"/>
    <w:rsid w:val="5933446F"/>
    <w:rsid w:val="5ADE4B82"/>
    <w:rsid w:val="5DD72DED"/>
    <w:rsid w:val="614A4028"/>
    <w:rsid w:val="61C92CE7"/>
    <w:rsid w:val="647439B5"/>
    <w:rsid w:val="67E65144"/>
    <w:rsid w:val="69B84E22"/>
    <w:rsid w:val="6A5D4AE9"/>
    <w:rsid w:val="6BC30823"/>
    <w:rsid w:val="6BDD2EAE"/>
    <w:rsid w:val="6CE04F82"/>
    <w:rsid w:val="6DCE0678"/>
    <w:rsid w:val="703750FB"/>
    <w:rsid w:val="709F18CB"/>
    <w:rsid w:val="7236720D"/>
    <w:rsid w:val="723E74E1"/>
    <w:rsid w:val="738F0D0F"/>
    <w:rsid w:val="74170DBA"/>
    <w:rsid w:val="74A10AE6"/>
    <w:rsid w:val="75763F91"/>
    <w:rsid w:val="75D41B79"/>
    <w:rsid w:val="75DC38AB"/>
    <w:rsid w:val="767C2378"/>
    <w:rsid w:val="76E415DE"/>
    <w:rsid w:val="76EF21FE"/>
    <w:rsid w:val="78147ED0"/>
    <w:rsid w:val="78E26ED9"/>
    <w:rsid w:val="79FE1774"/>
    <w:rsid w:val="7B1C4C8E"/>
    <w:rsid w:val="7C2239A0"/>
    <w:rsid w:val="7CB816C3"/>
    <w:rsid w:val="7D2532F8"/>
    <w:rsid w:val="7F492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1"/>
    </o:shapelayout>
  </w:shapeDefaults>
  <w:decimalSymbol w:val="."/>
  <w:listSeparator w:val=","/>
  <w14:docId w14:val="67B3C820"/>
  <w15:docId w15:val="{A35AAC9E-0C0C-4122-83C5-08F4B1ADE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semiHidden="1" w:unhideWhenUsed="1" w:qFormat="1"/>
    <w:lsdException w:name="heading 3"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qFormat="1"/>
    <w:lsdException w:name="footer" w:qFormat="1"/>
    <w:lsdException w:name="caption" w:semiHidden="1" w:unhideWhenUsed="1" w:qFormat="1"/>
    <w:lsdException w:name="footnote reference" w:uiPriority="99"/>
    <w:lsdException w:name="Title" w:qFormat="1"/>
    <w:lsdException w:name="Default Paragraph Font" w:semiHidden="1" w:qFormat="1"/>
    <w:lsdException w:name="Subtitle" w:qFormat="1"/>
    <w:lsdException w:name="Hyperlink" w:semiHidden="1" w:uiPriority="99" w:unhideWhenUsed="1"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uiPriority w:val="9"/>
    <w:qFormat/>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semiHidden/>
    <w:unhideWhenUsed/>
    <w:qFormat/>
    <w:rsid w:val="00482DB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uiPriority w:val="9"/>
    <w:unhideWhenUsed/>
    <w:qFormat/>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qFormat/>
    <w:pPr>
      <w:tabs>
        <w:tab w:val="center" w:pos="4153"/>
        <w:tab w:val="right" w:pos="8306"/>
      </w:tabs>
      <w:snapToGrid w:val="0"/>
    </w:pPr>
    <w:rPr>
      <w:sz w:val="18"/>
      <w:szCs w:val="18"/>
    </w:rPr>
  </w:style>
  <w:style w:type="character" w:styleId="Emphasis">
    <w:name w:val="Emphasis"/>
    <w:basedOn w:val="DefaultParagraphFont"/>
    <w:uiPriority w:val="20"/>
    <w:qFormat/>
    <w:rPr>
      <w:i/>
      <w:iCs/>
    </w:rPr>
  </w:style>
  <w:style w:type="character" w:styleId="Hyperlink">
    <w:name w:val="Hyperlink"/>
    <w:basedOn w:val="DefaultParagraphFont"/>
    <w:uiPriority w:val="99"/>
    <w:unhideWhenUsed/>
    <w:qFormat/>
    <w:rPr>
      <w:color w:val="0000FF"/>
      <w:u w:val="single"/>
    </w:rPr>
  </w:style>
  <w:style w:type="character" w:styleId="Strong">
    <w:name w:val="Strong"/>
    <w:basedOn w:val="DefaultParagraphFont"/>
    <w:uiPriority w:val="22"/>
    <w:qFormat/>
    <w:rPr>
      <w:b/>
      <w:bCs/>
    </w:rPr>
  </w:style>
  <w:style w:type="table" w:styleId="TableGrid">
    <w:name w:val="Table Grid"/>
    <w:basedOn w:val="TableNormal"/>
    <w:uiPriority w:val="3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customStyle="1" w:styleId="Default">
    <w:name w:val="Default"/>
    <w:qFormat/>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
    <w:name w:val="Pa2"/>
    <w:basedOn w:val="Default"/>
    <w:next w:val="Default"/>
    <w:uiPriority w:val="99"/>
    <w:qFormat/>
    <w:pPr>
      <w:spacing w:line="221" w:lineRule="atLeast"/>
    </w:pPr>
    <w:rPr>
      <w:rFonts w:ascii="Garamond" w:hAnsi="Garamond" w:cstheme="minorBidi"/>
      <w:color w:val="auto"/>
    </w:rPr>
  </w:style>
  <w:style w:type="character" w:customStyle="1" w:styleId="element-citation">
    <w:name w:val="element-citation"/>
    <w:basedOn w:val="DefaultParagraphFont"/>
    <w:qFormat/>
  </w:style>
  <w:style w:type="character" w:customStyle="1" w:styleId="ref-journal">
    <w:name w:val="ref-journal"/>
    <w:basedOn w:val="DefaultParagraphFont"/>
    <w:qFormat/>
  </w:style>
  <w:style w:type="paragraph" w:customStyle="1" w:styleId="selectionshareable">
    <w:name w:val="selectionshareable"/>
    <w:basedOn w:val="Normal"/>
    <w:qFormat/>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imestamp">
    <w:name w:val="timestamp"/>
    <w:basedOn w:val="DefaultParagraphFont"/>
    <w:qFormat/>
  </w:style>
  <w:style w:type="character" w:customStyle="1" w:styleId="1Char">
    <w:name w:val="1 Char"/>
    <w:basedOn w:val="DefaultParagraphFont"/>
    <w:link w:val="1"/>
    <w:locked/>
    <w:rsid w:val="00325653"/>
    <w:rPr>
      <w:rFonts w:ascii="Calibri" w:hAnsi="Calibri" w:cs="Calibri"/>
      <w:b/>
      <w:bCs/>
      <w:sz w:val="24"/>
      <w:szCs w:val="24"/>
    </w:rPr>
  </w:style>
  <w:style w:type="paragraph" w:customStyle="1" w:styleId="1">
    <w:name w:val="1"/>
    <w:basedOn w:val="Normal"/>
    <w:link w:val="1Char"/>
    <w:qFormat/>
    <w:rsid w:val="00325653"/>
    <w:pPr>
      <w:spacing w:after="160" w:line="480" w:lineRule="auto"/>
      <w:jc w:val="center"/>
    </w:pPr>
    <w:rPr>
      <w:rFonts w:ascii="Calibri" w:hAnsi="Calibri" w:cs="Calibri"/>
      <w:b/>
      <w:bCs/>
      <w:sz w:val="24"/>
      <w:szCs w:val="24"/>
    </w:rPr>
  </w:style>
  <w:style w:type="paragraph" w:styleId="NormalWeb">
    <w:name w:val="Normal (Web)"/>
    <w:basedOn w:val="Normal"/>
    <w:uiPriority w:val="99"/>
    <w:unhideWhenUsed/>
    <w:rsid w:val="005A324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482DB2"/>
    <w:pPr>
      <w:spacing w:after="0" w:line="240" w:lineRule="auto"/>
    </w:pPr>
    <w:rPr>
      <w:sz w:val="20"/>
      <w:szCs w:val="20"/>
    </w:rPr>
  </w:style>
  <w:style w:type="character" w:customStyle="1" w:styleId="FootnoteTextChar">
    <w:name w:val="Footnote Text Char"/>
    <w:basedOn w:val="DefaultParagraphFont"/>
    <w:link w:val="FootnoteText"/>
    <w:uiPriority w:val="99"/>
    <w:rsid w:val="00482DB2"/>
  </w:style>
  <w:style w:type="character" w:styleId="FootnoteReference">
    <w:name w:val="footnote reference"/>
    <w:basedOn w:val="DefaultParagraphFont"/>
    <w:uiPriority w:val="99"/>
    <w:rsid w:val="00482DB2"/>
    <w:rPr>
      <w:vertAlign w:val="superscript"/>
    </w:rPr>
  </w:style>
  <w:style w:type="character" w:customStyle="1" w:styleId="Heading2Char">
    <w:name w:val="Heading 2 Char"/>
    <w:basedOn w:val="DefaultParagraphFont"/>
    <w:link w:val="Heading2"/>
    <w:uiPriority w:val="9"/>
    <w:rsid w:val="00482DB2"/>
    <w:rPr>
      <w:rFonts w:asciiTheme="majorHAnsi" w:eastAsiaTheme="majorEastAsia" w:hAnsiTheme="majorHAnsi" w:cstheme="majorBidi"/>
      <w:color w:val="2E74B5" w:themeColor="accent1" w:themeShade="BF"/>
      <w:sz w:val="26"/>
      <w:szCs w:val="26"/>
    </w:rPr>
  </w:style>
  <w:style w:type="character" w:styleId="UnresolvedMention">
    <w:name w:val="Unresolved Mention"/>
    <w:basedOn w:val="DefaultParagraphFont"/>
    <w:uiPriority w:val="99"/>
    <w:semiHidden/>
    <w:unhideWhenUsed/>
    <w:rsid w:val="00B547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42035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doi.org/10.1155/2023/5796881" TargetMode="External"/><Relationship Id="rId14" Type="http://schemas.openxmlformats.org/officeDocument/2006/relationships/header" Target="head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1BBB28C-0068-47D9-9A75-07108E930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250</TotalTime>
  <Pages>8</Pages>
  <Words>5322</Words>
  <Characters>30339</Characters>
  <Application>Microsoft Office Word</Application>
  <DocSecurity>0</DocSecurity>
  <Lines>252</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VinCEnt</dc:creator>
  <cp:lastModifiedBy>SDI 1180</cp:lastModifiedBy>
  <cp:revision>43</cp:revision>
  <dcterms:created xsi:type="dcterms:W3CDTF">2025-09-09T16:18:00Z</dcterms:created>
  <dcterms:modified xsi:type="dcterms:W3CDTF">2025-10-07T12:47:00Z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1033-11.2.0.9453</vt:lpwstr>
  </property>
</Properties>
</file>