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3AC93" w14:textId="77777777" w:rsidR="0063221E" w:rsidRDefault="004B0B82" w:rsidP="004B0B82">
      <w:pPr>
        <w:spacing w:after="0" w:line="240" w:lineRule="auto"/>
        <w:ind w:right="0"/>
        <w:jc w:val="center"/>
        <w:rPr>
          <w:rFonts w:ascii="Times New Roman" w:hAnsi="Times New Roman"/>
          <w:b/>
          <w:sz w:val="24"/>
          <w:szCs w:val="24"/>
          <w:lang w:val="en-GB"/>
        </w:rPr>
      </w:pPr>
      <w:r w:rsidRPr="00C95299">
        <w:rPr>
          <w:rFonts w:ascii="Times New Roman" w:hAnsi="Times New Roman"/>
          <w:b/>
          <w:sz w:val="24"/>
          <w:szCs w:val="24"/>
          <w:lang w:val="en-GB"/>
        </w:rPr>
        <w:t>Assessing the Characteristics, Disposal Methods and Practices of Wastes in the Capital Cities of Central Niger Delta, Nigeria</w:t>
      </w:r>
    </w:p>
    <w:p w14:paraId="3D23DEF9" w14:textId="77777777" w:rsidR="008C23FE" w:rsidRDefault="008C23FE" w:rsidP="004B0B82">
      <w:pPr>
        <w:spacing w:after="0" w:line="240" w:lineRule="auto"/>
        <w:ind w:right="0"/>
        <w:jc w:val="center"/>
        <w:rPr>
          <w:rFonts w:ascii="Times New Roman" w:hAnsi="Times New Roman"/>
          <w:b/>
          <w:sz w:val="24"/>
          <w:szCs w:val="24"/>
          <w:lang w:val="en-GB"/>
        </w:rPr>
      </w:pPr>
    </w:p>
    <w:p w14:paraId="359CEEF6" w14:textId="77777777" w:rsidR="003F4BD3" w:rsidRDefault="003F4BD3" w:rsidP="004B0B82">
      <w:pPr>
        <w:spacing w:after="0" w:line="240" w:lineRule="auto"/>
        <w:ind w:right="0"/>
        <w:jc w:val="center"/>
        <w:rPr>
          <w:rFonts w:ascii="Times New Roman" w:hAnsi="Times New Roman"/>
          <w:b/>
          <w:sz w:val="24"/>
          <w:szCs w:val="24"/>
          <w:lang w:val="en-GB"/>
        </w:rPr>
      </w:pPr>
    </w:p>
    <w:p w14:paraId="068AE494" w14:textId="77777777" w:rsidR="004B0B82" w:rsidRPr="00C95299" w:rsidRDefault="004B0B82" w:rsidP="004B0B82">
      <w:pPr>
        <w:spacing w:after="0" w:line="240" w:lineRule="auto"/>
        <w:ind w:right="0"/>
        <w:rPr>
          <w:rFonts w:ascii="Times New Roman" w:hAnsi="Times New Roman"/>
          <w:sz w:val="24"/>
          <w:szCs w:val="24"/>
          <w:lang w:val="en-GB"/>
        </w:rPr>
      </w:pPr>
      <w:bookmarkStart w:id="0" w:name="_GoBack"/>
      <w:bookmarkEnd w:id="0"/>
    </w:p>
    <w:p w14:paraId="196FBFCF" w14:textId="77777777" w:rsidR="004B0B82" w:rsidRPr="00C95299" w:rsidRDefault="004B0B82" w:rsidP="00E77C23">
      <w:pPr>
        <w:spacing w:after="0" w:line="240" w:lineRule="auto"/>
        <w:ind w:right="0"/>
        <w:contextualSpacing/>
        <w:rPr>
          <w:rFonts w:ascii="Times New Roman" w:hAnsi="Times New Roman"/>
          <w:b/>
          <w:i/>
          <w:sz w:val="24"/>
          <w:szCs w:val="24"/>
          <w:lang w:val="en-GB"/>
        </w:rPr>
      </w:pPr>
      <w:r w:rsidRPr="00C95299">
        <w:rPr>
          <w:rFonts w:ascii="Times New Roman" w:hAnsi="Times New Roman"/>
          <w:b/>
          <w:i/>
          <w:sz w:val="24"/>
          <w:szCs w:val="24"/>
          <w:lang w:val="en-GB"/>
        </w:rPr>
        <w:t>Abstract</w:t>
      </w:r>
    </w:p>
    <w:p w14:paraId="6F1E2AF5" w14:textId="77777777" w:rsidR="003D6063" w:rsidRPr="00C95299" w:rsidRDefault="00BB5521" w:rsidP="00E77C23">
      <w:pPr>
        <w:spacing w:line="240" w:lineRule="auto"/>
        <w:ind w:right="0"/>
        <w:contextualSpacing/>
        <w:rPr>
          <w:rFonts w:ascii="Times New Roman" w:hAnsi="Times New Roman"/>
          <w:i/>
          <w:sz w:val="24"/>
          <w:szCs w:val="24"/>
          <w:lang w:val="en-GB"/>
        </w:rPr>
      </w:pPr>
      <w:r w:rsidRPr="00C95299">
        <w:rPr>
          <w:rFonts w:ascii="Times New Roman" w:hAnsi="Times New Roman"/>
          <w:i/>
          <w:sz w:val="24"/>
          <w:szCs w:val="24"/>
          <w:lang w:val="en-GB"/>
        </w:rPr>
        <w:t xml:space="preserve">The study assessed the characteristics, disposal methods and practices of wastes in the Capital Cities of Central Niger Delta, Nigeria. Four hundred copies of structured questionnaire were administered randomly to the residents of the study area in order to elicit information about the subject matter. Descriptive and inferential statistics were employed for the data analysis. </w:t>
      </w:r>
      <w:r w:rsidR="003D6063" w:rsidRPr="00C95299">
        <w:rPr>
          <w:rFonts w:ascii="Times New Roman" w:hAnsi="Times New Roman"/>
          <w:i/>
          <w:sz w:val="24"/>
          <w:szCs w:val="24"/>
          <w:lang w:val="en-GB"/>
        </w:rPr>
        <w:t>Findings showed that 26–35 years age group constituted the largest portion of respondents (31.5%), the largest occupational groups were business/self-employed (24.7%) and most of the respondents had tertiary education (40.8%).</w:t>
      </w:r>
      <w:r w:rsidR="00F964B8" w:rsidRPr="00C95299">
        <w:rPr>
          <w:rFonts w:ascii="Times New Roman" w:hAnsi="Times New Roman"/>
          <w:i/>
          <w:sz w:val="24"/>
          <w:szCs w:val="24"/>
          <w:lang w:val="en-GB"/>
        </w:rPr>
        <w:t xml:space="preserve"> Findings showed that i</w:t>
      </w:r>
      <w:r w:rsidR="00F964B8" w:rsidRPr="00C95299">
        <w:rPr>
          <w:rFonts w:ascii="Times New Roman" w:hAnsi="Times New Roman"/>
          <w:i/>
          <w:sz w:val="24"/>
          <w:szCs w:val="24"/>
        </w:rPr>
        <w:t xml:space="preserve">n urban areas, the volume of non-biodegradable wastes included wastes types such as plastics, e-waste, and construction debris with their sources from households, markets, commercial hubs, and healthcare institutions while the peri-urban exhibited higher volumes of biodegradable waste, including food residue, agricultural litter, and animal droppings mainly generated from households, farms, and local markets. However, </w:t>
      </w:r>
      <w:r w:rsidR="003D6063" w:rsidRPr="00C95299">
        <w:rPr>
          <w:rFonts w:ascii="Times New Roman" w:hAnsi="Times New Roman"/>
          <w:i/>
          <w:sz w:val="24"/>
          <w:szCs w:val="24"/>
          <w:lang w:val="en-GB"/>
        </w:rPr>
        <w:t xml:space="preserve">findings showed that the most frequently reported method of waste disposal is </w:t>
      </w:r>
      <w:r w:rsidR="003D6063" w:rsidRPr="00C95299">
        <w:rPr>
          <w:rFonts w:ascii="Times New Roman" w:hAnsi="Times New Roman"/>
          <w:bCs/>
          <w:i/>
          <w:sz w:val="24"/>
          <w:szCs w:val="24"/>
          <w:lang w:val="en-GB"/>
        </w:rPr>
        <w:t>burning</w:t>
      </w:r>
      <w:r w:rsidR="003D6063" w:rsidRPr="00C95299">
        <w:rPr>
          <w:rFonts w:ascii="Times New Roman" w:hAnsi="Times New Roman"/>
          <w:i/>
          <w:sz w:val="24"/>
          <w:szCs w:val="24"/>
          <w:lang w:val="en-GB"/>
        </w:rPr>
        <w:t xml:space="preserve">, with </w:t>
      </w:r>
      <w:r w:rsidR="003D6063" w:rsidRPr="00C95299">
        <w:rPr>
          <w:rFonts w:ascii="Times New Roman" w:hAnsi="Times New Roman"/>
          <w:bCs/>
          <w:i/>
          <w:sz w:val="24"/>
          <w:szCs w:val="24"/>
          <w:lang w:val="en-GB"/>
        </w:rPr>
        <w:t>25.2%</w:t>
      </w:r>
      <w:r w:rsidR="003D6063" w:rsidRPr="00C95299">
        <w:rPr>
          <w:rFonts w:ascii="Times New Roman" w:hAnsi="Times New Roman"/>
          <w:i/>
          <w:sz w:val="24"/>
          <w:szCs w:val="24"/>
          <w:lang w:val="en-GB"/>
        </w:rPr>
        <w:t xml:space="preserve"> indicating this as their primary method; followed by using large black polythene bags is the second most popular technique (22.7%), use of any polythene bags (18.9%) while use of commercial waste bins/drums only</w:t>
      </w:r>
      <w:r w:rsidR="003D6063" w:rsidRPr="00C95299">
        <w:rPr>
          <w:rFonts w:ascii="Times New Roman" w:hAnsi="Times New Roman"/>
          <w:bCs/>
          <w:i/>
          <w:sz w:val="24"/>
          <w:szCs w:val="24"/>
          <w:lang w:val="en-GB"/>
        </w:rPr>
        <w:t xml:space="preserve"> (10.1%)</w:t>
      </w:r>
      <w:r w:rsidR="003D6063" w:rsidRPr="00C95299">
        <w:rPr>
          <w:rFonts w:ascii="Times New Roman" w:hAnsi="Times New Roman"/>
          <w:i/>
          <w:sz w:val="24"/>
          <w:szCs w:val="24"/>
          <w:lang w:val="en-GB"/>
        </w:rPr>
        <w:t xml:space="preserve">, and only </w:t>
      </w:r>
      <w:r w:rsidR="003D6063" w:rsidRPr="00C95299">
        <w:rPr>
          <w:rFonts w:ascii="Times New Roman" w:hAnsi="Times New Roman"/>
          <w:bCs/>
          <w:i/>
          <w:sz w:val="24"/>
          <w:szCs w:val="24"/>
          <w:lang w:val="en-GB"/>
        </w:rPr>
        <w:t>4.5%</w:t>
      </w:r>
      <w:r w:rsidR="003D6063" w:rsidRPr="00C95299">
        <w:rPr>
          <w:rFonts w:ascii="Times New Roman" w:hAnsi="Times New Roman"/>
          <w:i/>
          <w:sz w:val="24"/>
          <w:szCs w:val="24"/>
          <w:lang w:val="en-GB"/>
        </w:rPr>
        <w:t xml:space="preserve"> engaged in </w:t>
      </w:r>
      <w:r w:rsidR="003D6063" w:rsidRPr="00C95299">
        <w:rPr>
          <w:rFonts w:ascii="Times New Roman" w:hAnsi="Times New Roman"/>
          <w:bCs/>
          <w:i/>
          <w:sz w:val="24"/>
          <w:szCs w:val="24"/>
          <w:lang w:val="en-GB"/>
        </w:rPr>
        <w:t>recycling</w:t>
      </w:r>
      <w:r w:rsidR="003D6063" w:rsidRPr="00C95299">
        <w:rPr>
          <w:rFonts w:ascii="Times New Roman" w:hAnsi="Times New Roman"/>
          <w:i/>
          <w:sz w:val="24"/>
          <w:szCs w:val="24"/>
          <w:lang w:val="en-GB"/>
        </w:rPr>
        <w:t xml:space="preserve">, and </w:t>
      </w:r>
      <w:r w:rsidR="003D6063" w:rsidRPr="00C95299">
        <w:rPr>
          <w:rFonts w:ascii="Times New Roman" w:hAnsi="Times New Roman"/>
          <w:bCs/>
          <w:i/>
          <w:sz w:val="24"/>
          <w:szCs w:val="24"/>
          <w:lang w:val="en-GB"/>
        </w:rPr>
        <w:t>6.0%</w:t>
      </w:r>
      <w:r w:rsidR="003D6063" w:rsidRPr="00C95299">
        <w:rPr>
          <w:rFonts w:ascii="Times New Roman" w:hAnsi="Times New Roman"/>
          <w:i/>
          <w:sz w:val="24"/>
          <w:szCs w:val="24"/>
          <w:lang w:val="en-GB"/>
        </w:rPr>
        <w:t xml:space="preserve"> in </w:t>
      </w:r>
      <w:r w:rsidR="003D6063" w:rsidRPr="00C95299">
        <w:rPr>
          <w:rFonts w:ascii="Times New Roman" w:hAnsi="Times New Roman"/>
          <w:bCs/>
          <w:i/>
          <w:sz w:val="24"/>
          <w:szCs w:val="24"/>
          <w:lang w:val="en-GB"/>
        </w:rPr>
        <w:t>composting</w:t>
      </w:r>
      <w:r w:rsidR="003D6063" w:rsidRPr="00C95299">
        <w:rPr>
          <w:rFonts w:ascii="Times New Roman" w:hAnsi="Times New Roman"/>
          <w:i/>
          <w:sz w:val="24"/>
          <w:szCs w:val="24"/>
          <w:lang w:val="en-GB"/>
        </w:rPr>
        <w:t xml:space="preserve">. There are </w:t>
      </w:r>
      <w:r w:rsidR="003D6063" w:rsidRPr="00C95299">
        <w:rPr>
          <w:rFonts w:ascii="Times New Roman" w:hAnsi="Times New Roman"/>
          <w:bCs/>
          <w:i/>
          <w:sz w:val="24"/>
          <w:szCs w:val="24"/>
          <w:lang w:val="en-GB"/>
        </w:rPr>
        <w:t>statistically significant differences</w:t>
      </w:r>
      <w:r w:rsidR="003D6063" w:rsidRPr="00C95299">
        <w:rPr>
          <w:rFonts w:ascii="Times New Roman" w:hAnsi="Times New Roman"/>
          <w:i/>
          <w:sz w:val="24"/>
          <w:szCs w:val="24"/>
          <w:lang w:val="en-GB"/>
        </w:rPr>
        <w:t xml:space="preserve"> in waste disposal practices among respondents across the three states for all listed disposal methods (</w:t>
      </w:r>
      <w:r w:rsidR="003D6063" w:rsidRPr="00C95299">
        <w:rPr>
          <w:rFonts w:ascii="Times New Roman" w:hAnsi="Times New Roman"/>
          <w:bCs/>
          <w:i/>
          <w:sz w:val="24"/>
          <w:szCs w:val="24"/>
          <w:lang w:val="en-GB"/>
        </w:rPr>
        <w:t xml:space="preserve">p &lt; 0.05). </w:t>
      </w:r>
      <w:r w:rsidR="003D6063" w:rsidRPr="00C95299">
        <w:rPr>
          <w:rFonts w:ascii="Times New Roman" w:hAnsi="Times New Roman"/>
          <w:i/>
          <w:sz w:val="24"/>
          <w:szCs w:val="24"/>
          <w:lang w:val="en-GB"/>
        </w:rPr>
        <w:t>It is concluded that</w:t>
      </w:r>
      <w:r w:rsidR="003D6063" w:rsidRPr="00C95299">
        <w:rPr>
          <w:rFonts w:ascii="Times New Roman" w:hAnsi="Times New Roman"/>
          <w:b/>
          <w:i/>
          <w:sz w:val="24"/>
          <w:szCs w:val="24"/>
          <w:lang w:val="en-GB"/>
        </w:rPr>
        <w:t xml:space="preserve"> </w:t>
      </w:r>
      <w:r w:rsidR="003D6063" w:rsidRPr="00C95299">
        <w:rPr>
          <w:rFonts w:ascii="Times New Roman" w:hAnsi="Times New Roman"/>
          <w:i/>
          <w:sz w:val="24"/>
          <w:szCs w:val="24"/>
        </w:rPr>
        <w:t xml:space="preserve">the waste characteristics varied significantly between urban and peri-urban/rural ones, but the overall picture details a hazardous and unsustainable sanitation situation with volume of non-biodegradable wastes which included plastics, e-waste, and construction debris. In addition, </w:t>
      </w:r>
      <w:r w:rsidR="003D6063" w:rsidRPr="00C95299">
        <w:rPr>
          <w:rFonts w:ascii="Times New Roman" w:hAnsi="Times New Roman"/>
          <w:i/>
          <w:sz w:val="24"/>
          <w:szCs w:val="24"/>
          <w:lang w:val="en-GB"/>
        </w:rPr>
        <w:t xml:space="preserve">the most frequently reported methods of waste disposal is </w:t>
      </w:r>
      <w:r w:rsidR="003D6063" w:rsidRPr="00C95299">
        <w:rPr>
          <w:rFonts w:ascii="Times New Roman" w:hAnsi="Times New Roman"/>
          <w:bCs/>
          <w:i/>
          <w:sz w:val="24"/>
          <w:szCs w:val="24"/>
          <w:lang w:val="en-GB"/>
        </w:rPr>
        <w:t>burning</w:t>
      </w:r>
      <w:r w:rsidR="003D6063" w:rsidRPr="00C95299">
        <w:rPr>
          <w:rFonts w:ascii="Times New Roman" w:hAnsi="Times New Roman"/>
          <w:i/>
          <w:sz w:val="24"/>
          <w:szCs w:val="24"/>
          <w:lang w:val="en-GB"/>
        </w:rPr>
        <w:t xml:space="preserve"> which emits toxic chemicals, degrades the quality of air, and raises people's risks of contracting respiratory infections; and using of large black polythene bags for dumping waste in a random manner, and causing blocked drains and street litter. The study therefore recommended </w:t>
      </w:r>
      <w:r w:rsidR="00D460A8" w:rsidRPr="00C95299">
        <w:rPr>
          <w:rFonts w:ascii="Times New Roman" w:hAnsi="Times New Roman"/>
          <w:i/>
          <w:sz w:val="24"/>
          <w:szCs w:val="24"/>
          <w:lang w:val="en-GB"/>
        </w:rPr>
        <w:t>amon</w:t>
      </w:r>
      <w:r w:rsidR="003D6063" w:rsidRPr="00C95299">
        <w:rPr>
          <w:rFonts w:ascii="Times New Roman" w:hAnsi="Times New Roman"/>
          <w:i/>
          <w:sz w:val="24"/>
          <w:szCs w:val="24"/>
          <w:lang w:val="en-GB"/>
        </w:rPr>
        <w:t xml:space="preserve">g others that there is need to establish a decentralized waste management systems tailored to urban and rural realities in strategic places in the Niger Delta. This should include formal composting for organic waste, localized recycling hubs for plastics and e-wastes, and community education programs to reduce unsafe disposal practices witnessed in this study, thereby improving environmental health and sustainability across the study area. </w:t>
      </w:r>
    </w:p>
    <w:p w14:paraId="7362F322" w14:textId="77777777" w:rsidR="003D6063" w:rsidRPr="00C95299" w:rsidRDefault="003D6063" w:rsidP="003D6063">
      <w:pPr>
        <w:ind w:right="0"/>
        <w:rPr>
          <w:rFonts w:ascii="Times New Roman" w:hAnsi="Times New Roman"/>
          <w:sz w:val="24"/>
          <w:szCs w:val="24"/>
          <w:lang w:val="en-GB"/>
        </w:rPr>
      </w:pPr>
      <w:r w:rsidRPr="00C95299">
        <w:rPr>
          <w:rFonts w:ascii="Times New Roman" w:hAnsi="Times New Roman"/>
          <w:b/>
          <w:sz w:val="24"/>
          <w:szCs w:val="24"/>
          <w:lang w:val="en-GB"/>
        </w:rPr>
        <w:t>Keywords:</w:t>
      </w:r>
      <w:r w:rsidRPr="00C95299">
        <w:rPr>
          <w:rFonts w:ascii="Times New Roman" w:hAnsi="Times New Roman"/>
          <w:sz w:val="24"/>
          <w:szCs w:val="24"/>
          <w:lang w:val="en-GB"/>
        </w:rPr>
        <w:t xml:space="preserve"> </w:t>
      </w:r>
      <w:r w:rsidR="00D460A8" w:rsidRPr="00C95299">
        <w:rPr>
          <w:rFonts w:ascii="Times New Roman" w:hAnsi="Times New Roman"/>
          <w:sz w:val="24"/>
          <w:szCs w:val="24"/>
          <w:lang w:val="en-GB"/>
        </w:rPr>
        <w:t>Characteristics, Disposal, Waste</w:t>
      </w:r>
      <w:r w:rsidR="00F964B8" w:rsidRPr="00C95299">
        <w:rPr>
          <w:rFonts w:ascii="Times New Roman" w:hAnsi="Times New Roman"/>
          <w:sz w:val="24"/>
          <w:szCs w:val="24"/>
          <w:lang w:val="en-GB"/>
        </w:rPr>
        <w:t>s</w:t>
      </w:r>
      <w:r w:rsidR="00D460A8" w:rsidRPr="00C95299">
        <w:rPr>
          <w:rFonts w:ascii="Times New Roman" w:hAnsi="Times New Roman"/>
          <w:sz w:val="24"/>
          <w:szCs w:val="24"/>
          <w:lang w:val="en-GB"/>
        </w:rPr>
        <w:t xml:space="preserve">, </w:t>
      </w:r>
      <w:r w:rsidR="00F964B8" w:rsidRPr="00C95299">
        <w:rPr>
          <w:rFonts w:ascii="Times New Roman" w:hAnsi="Times New Roman"/>
          <w:sz w:val="24"/>
          <w:szCs w:val="24"/>
          <w:lang w:val="en-GB"/>
        </w:rPr>
        <w:t xml:space="preserve">Practices, Unsustainable, </w:t>
      </w:r>
    </w:p>
    <w:p w14:paraId="3616628D" w14:textId="77777777" w:rsidR="004B0B82" w:rsidRPr="00C95299" w:rsidRDefault="004B0B82" w:rsidP="004B0B82">
      <w:pPr>
        <w:spacing w:after="0" w:line="240" w:lineRule="auto"/>
        <w:ind w:right="0"/>
        <w:rPr>
          <w:rFonts w:ascii="Times New Roman" w:hAnsi="Times New Roman"/>
          <w:b/>
          <w:sz w:val="24"/>
          <w:szCs w:val="24"/>
          <w:lang w:val="en-GB"/>
        </w:rPr>
      </w:pPr>
      <w:r w:rsidRPr="00C95299">
        <w:rPr>
          <w:rFonts w:ascii="Times New Roman" w:hAnsi="Times New Roman"/>
          <w:b/>
          <w:sz w:val="24"/>
          <w:szCs w:val="24"/>
          <w:lang w:val="en-GB"/>
        </w:rPr>
        <w:t>Introduction</w:t>
      </w:r>
    </w:p>
    <w:p w14:paraId="13CF972A" w14:textId="77777777" w:rsidR="00123E73" w:rsidRPr="00C95299" w:rsidRDefault="00123E73" w:rsidP="00123E73">
      <w:pPr>
        <w:spacing w:after="0"/>
        <w:ind w:right="0"/>
        <w:rPr>
          <w:rFonts w:ascii="Times New Roman" w:hAnsi="Times New Roman"/>
          <w:sz w:val="24"/>
          <w:szCs w:val="24"/>
          <w:lang w:val="en-GB"/>
        </w:rPr>
      </w:pPr>
      <w:r w:rsidRPr="00C95299">
        <w:rPr>
          <w:rFonts w:ascii="Times New Roman" w:hAnsi="Times New Roman"/>
          <w:sz w:val="24"/>
          <w:szCs w:val="24"/>
          <w:lang w:val="en-GB"/>
        </w:rPr>
        <w:t xml:space="preserve">The environment can be seen as the total factors that surround and influence an organism at a </w:t>
      </w:r>
      <w:proofErr w:type="spellStart"/>
      <w:r w:rsidRPr="00C95299">
        <w:rPr>
          <w:rFonts w:ascii="Times New Roman" w:hAnsi="Times New Roman"/>
          <w:sz w:val="24"/>
          <w:szCs w:val="24"/>
          <w:lang w:val="en-GB"/>
        </w:rPr>
        <w:t>given</w:t>
      </w:r>
      <w:r w:rsidR="008E6A3A" w:rsidRPr="00C95299">
        <w:rPr>
          <w:rFonts w:ascii="Times New Roman" w:hAnsi="Times New Roman"/>
          <w:sz w:val="24"/>
          <w:szCs w:val="24"/>
          <w:lang w:val="en-GB"/>
        </w:rPr>
        <w:t>p</w:t>
      </w:r>
      <w:proofErr w:type="spellEnd"/>
      <w:r w:rsidRPr="00C95299">
        <w:rPr>
          <w:rFonts w:ascii="Times New Roman" w:hAnsi="Times New Roman"/>
          <w:sz w:val="24"/>
          <w:szCs w:val="24"/>
          <w:lang w:val="en-GB"/>
        </w:rPr>
        <w:t xml:space="preserve"> time and place. The failure of the numerous efforts to address the problem of environmental health hazards in developing nations has been attributed to various factors including unhealthy socio-cultural practices, poor environmental sanitation education and awareness, low literacy level, bad governance, disregard to the rule of law and other forms of indiscipline (Odiana &amp; Olorunfemi, 2021).</w:t>
      </w:r>
    </w:p>
    <w:p w14:paraId="1DE6D4DE" w14:textId="77777777" w:rsidR="00123E73" w:rsidRPr="00C95299" w:rsidRDefault="00123E73" w:rsidP="00123E73">
      <w:pPr>
        <w:spacing w:after="0"/>
        <w:ind w:right="0"/>
        <w:rPr>
          <w:rFonts w:ascii="Times New Roman" w:hAnsi="Times New Roman"/>
          <w:sz w:val="24"/>
          <w:szCs w:val="24"/>
          <w:lang w:val="en-GB"/>
        </w:rPr>
      </w:pPr>
      <w:r w:rsidRPr="00C95299">
        <w:rPr>
          <w:rFonts w:ascii="Times New Roman" w:hAnsi="Times New Roman"/>
          <w:sz w:val="24"/>
          <w:szCs w:val="24"/>
          <w:lang w:val="en-GB"/>
        </w:rPr>
        <w:t xml:space="preserve">The increasing rate of urbanization has exacerbated the generation of urban waste to a crisis situation. This is because more than half of the world’s population resides in urban areas or cities </w:t>
      </w:r>
      <w:r w:rsidRPr="00C95299">
        <w:rPr>
          <w:rFonts w:ascii="Times New Roman" w:hAnsi="Times New Roman"/>
          <w:sz w:val="24"/>
          <w:szCs w:val="24"/>
          <w:lang w:val="en-GB"/>
        </w:rPr>
        <w:lastRenderedPageBreak/>
        <w:t>(World</w:t>
      </w:r>
      <w:r w:rsidR="00A21771" w:rsidRPr="00C95299">
        <w:rPr>
          <w:rFonts w:ascii="Times New Roman" w:hAnsi="Times New Roman"/>
          <w:sz w:val="24"/>
          <w:szCs w:val="24"/>
          <w:lang w:val="en-GB"/>
        </w:rPr>
        <w:t xml:space="preserve"> Health Organization (WHO), 2021</w:t>
      </w:r>
      <w:r w:rsidRPr="00C95299">
        <w:rPr>
          <w:rFonts w:ascii="Times New Roman" w:hAnsi="Times New Roman"/>
          <w:sz w:val="24"/>
          <w:szCs w:val="24"/>
          <w:lang w:val="en-GB"/>
        </w:rPr>
        <w:t xml:space="preserve">). United Nations Environmental Programme (UNEP) reported that all over the world, nearly 3,000 million people live in urban areas and everyday approximately 160,000 people migrates to these urban areas (UNEP, 2021). In the year 2025 worldwide, urban population is expected to rise to 60 percent and it is projected that about 90 percent of this growth will occur in developing countries especially in Asia and Africa (UNEP, 2018) and Nigeria is not an exception. </w:t>
      </w:r>
    </w:p>
    <w:p w14:paraId="3B80FB60" w14:textId="77777777" w:rsidR="00123E73" w:rsidRPr="00C95299" w:rsidRDefault="00123E73" w:rsidP="00123E73">
      <w:pPr>
        <w:spacing w:after="0"/>
        <w:ind w:right="0"/>
        <w:rPr>
          <w:rFonts w:ascii="Times New Roman" w:hAnsi="Times New Roman"/>
          <w:sz w:val="24"/>
          <w:szCs w:val="24"/>
          <w:lang w:val="en-GB"/>
        </w:rPr>
      </w:pPr>
      <w:r w:rsidRPr="00C95299">
        <w:rPr>
          <w:rFonts w:ascii="Times New Roman" w:hAnsi="Times New Roman"/>
          <w:sz w:val="24"/>
          <w:szCs w:val="24"/>
          <w:lang w:val="en-GB"/>
        </w:rPr>
        <w:t>Consequently, over the last 20 years many urban areas in developing nations have experienced dramatic growth in urbanization, due to rapid population growth. This is caused by the devastation of rural economies and discouragement of agriculture; people migrate to cities with the hope of finding greener pasture, job opportunities, education and good health care. According to Ahmed and Ali (2014), as the population grows in the cities, so also are the production rate of urb</w:t>
      </w:r>
      <w:r w:rsidR="00A21771" w:rsidRPr="00C95299">
        <w:rPr>
          <w:rFonts w:ascii="Times New Roman" w:hAnsi="Times New Roman"/>
          <w:sz w:val="24"/>
          <w:szCs w:val="24"/>
          <w:lang w:val="en-GB"/>
        </w:rPr>
        <w:t>an waste or municipal waste</w:t>
      </w:r>
      <w:r w:rsidRPr="00C95299">
        <w:rPr>
          <w:rFonts w:ascii="Times New Roman" w:hAnsi="Times New Roman"/>
          <w:sz w:val="24"/>
          <w:szCs w:val="24"/>
          <w:lang w:val="en-GB"/>
        </w:rPr>
        <w:t xml:space="preserve">. Municipal waste may be defined as waste, which is generated by households, commercial enterprises such as offices, hotels, supermarkets, shops, schools, institutions and municipal services. On the other hand, “waste management” includes waste collection, transport, sorting, recycling and disposal. Global waste management report (World Bank Report, 2018) estimated that 2.02 billion tons of solid waste was generated in 2006, and between 2007 to 2017, the global MW increased by 57.3 percent.  The failure of municipal waste management (MWM) has resulted in serious health problems and environmental degradation. For instance, the deficient collection services, uncollected wastes are dumped in the streets and in drains, thereby contributing to flooding, breeding of insect and rodent vectors, and spreading of diseases. More so, some collected wastes have been seen disposed of in uncontrolled dumpsites or burnt openly. These practices cause environmental, economic, social, psychological, cultural and health problems (WHO, 2020). </w:t>
      </w:r>
    </w:p>
    <w:p w14:paraId="5E386A97" w14:textId="77777777" w:rsidR="00123E73" w:rsidRPr="00C95299" w:rsidRDefault="00123E73" w:rsidP="00123E73">
      <w:pPr>
        <w:spacing w:after="0"/>
        <w:ind w:right="0"/>
        <w:rPr>
          <w:rFonts w:ascii="Times New Roman" w:hAnsi="Times New Roman"/>
          <w:sz w:val="24"/>
          <w:szCs w:val="24"/>
          <w:lang w:val="en-GB"/>
        </w:rPr>
      </w:pPr>
      <w:r w:rsidRPr="00C95299">
        <w:rPr>
          <w:rFonts w:ascii="Times New Roman" w:hAnsi="Times New Roman"/>
          <w:sz w:val="24"/>
          <w:szCs w:val="24"/>
          <w:lang w:val="en-GB"/>
        </w:rPr>
        <w:t>Conversely, as reported by Hope (2018), the rate of waste generation in a city is closely related to the density of urban population, size of the urban habitation, consumption rate of commercial goods, income and lifestyles of the people. Furthermore, the rate of industrialization, geographical location, energy resources, climate, living standards and cultural habits has exacerbated the rate of municipal solid waste problems. It is important to note that, the challenges of urban waste are particularly peculiar to developing countries, where resources are limited but urbanization is occurring rapidly. Thus, municipal waste, therefore, deserves careful attention for striking a balance between quality of service and cost effectiveness. However, in Nigeria, due to institutional, regulatory, financial, technical, lack of public participation, inadequate collection facilities, poor and uncontrolled disposal sites, most of the cities are facing difficulties in managing the municipal waste problems</w:t>
      </w:r>
      <w:r w:rsidR="00F32B0B" w:rsidRPr="00C95299">
        <w:rPr>
          <w:rFonts w:ascii="Times New Roman" w:hAnsi="Times New Roman"/>
          <w:w w:val="115"/>
          <w:sz w:val="24"/>
          <w:szCs w:val="24"/>
          <w:lang w:val="en-GB"/>
        </w:rPr>
        <w:t xml:space="preserve"> (Ajetunm</w:t>
      </w:r>
      <w:r w:rsidRPr="00C95299">
        <w:rPr>
          <w:rFonts w:ascii="Times New Roman" w:hAnsi="Times New Roman"/>
          <w:w w:val="115"/>
          <w:sz w:val="24"/>
          <w:szCs w:val="24"/>
          <w:lang w:val="en-GB"/>
        </w:rPr>
        <w:t>obi, 2015)</w:t>
      </w:r>
      <w:r w:rsidRPr="00C95299">
        <w:rPr>
          <w:rFonts w:ascii="Times New Roman" w:hAnsi="Times New Roman"/>
          <w:sz w:val="24"/>
          <w:szCs w:val="24"/>
          <w:lang w:val="en-GB"/>
        </w:rPr>
        <w:t>.</w:t>
      </w:r>
    </w:p>
    <w:p w14:paraId="355DFF18" w14:textId="77777777" w:rsidR="00123E73" w:rsidRPr="00C95299" w:rsidRDefault="00123E73" w:rsidP="00123E73">
      <w:pPr>
        <w:spacing w:after="0"/>
        <w:ind w:right="0"/>
        <w:rPr>
          <w:rFonts w:ascii="Times New Roman" w:hAnsi="Times New Roman"/>
          <w:sz w:val="24"/>
          <w:szCs w:val="24"/>
          <w:lang w:val="en-GB"/>
        </w:rPr>
      </w:pPr>
      <w:r w:rsidRPr="00C95299">
        <w:rPr>
          <w:rFonts w:ascii="Times New Roman" w:hAnsi="Times New Roman"/>
          <w:sz w:val="24"/>
          <w:szCs w:val="24"/>
          <w:lang w:val="en-GB"/>
        </w:rPr>
        <w:t xml:space="preserve">In addition, humans generate a lot of waste which originates from households (domestic), commercial, industrial and agricultural land use areas. Waste according to </w:t>
      </w:r>
      <w:proofErr w:type="spellStart"/>
      <w:r w:rsidRPr="00C95299">
        <w:rPr>
          <w:rFonts w:ascii="Times New Roman" w:hAnsi="Times New Roman"/>
          <w:sz w:val="24"/>
          <w:szCs w:val="24"/>
          <w:lang w:val="en-GB"/>
        </w:rPr>
        <w:t>Tamunobereton</w:t>
      </w:r>
      <w:proofErr w:type="spellEnd"/>
      <w:r w:rsidRPr="00C95299">
        <w:rPr>
          <w:rFonts w:ascii="Times New Roman" w:hAnsi="Times New Roman"/>
          <w:sz w:val="24"/>
          <w:szCs w:val="24"/>
          <w:lang w:val="en-GB"/>
        </w:rPr>
        <w:t xml:space="preserve"> </w:t>
      </w:r>
      <w:r w:rsidRPr="00C95299">
        <w:rPr>
          <w:rFonts w:ascii="Times New Roman" w:hAnsi="Times New Roman"/>
          <w:iCs/>
          <w:sz w:val="24"/>
          <w:szCs w:val="24"/>
          <w:lang w:val="en-GB"/>
        </w:rPr>
        <w:t>et al</w:t>
      </w:r>
      <w:r w:rsidRPr="00C95299">
        <w:rPr>
          <w:rFonts w:ascii="Times New Roman" w:hAnsi="Times New Roman"/>
          <w:sz w:val="24"/>
          <w:szCs w:val="24"/>
          <w:lang w:val="en-GB"/>
        </w:rPr>
        <w:t>. (2012) means substances, which have no purpose or usefulness, seen as nuisance that need to be discarded by the generator of the waste. In other words, wastes which are usually in solid form are man-made. They can simply be said to be residues from domestic, commercial, industrial and agricultural activities (</w:t>
      </w:r>
      <w:proofErr w:type="spellStart"/>
      <w:r w:rsidRPr="00C95299">
        <w:rPr>
          <w:rFonts w:ascii="Times New Roman" w:hAnsi="Times New Roman"/>
          <w:sz w:val="24"/>
          <w:szCs w:val="24"/>
          <w:lang w:val="en-GB"/>
        </w:rPr>
        <w:t>Leton</w:t>
      </w:r>
      <w:proofErr w:type="spellEnd"/>
      <w:r w:rsidRPr="00C95299">
        <w:rPr>
          <w:rFonts w:ascii="Times New Roman" w:hAnsi="Times New Roman"/>
          <w:sz w:val="24"/>
          <w:szCs w:val="24"/>
          <w:lang w:val="en-GB"/>
        </w:rPr>
        <w:t xml:space="preserve">, 2007; </w:t>
      </w:r>
      <w:proofErr w:type="spellStart"/>
      <w:r w:rsidRPr="00C95299">
        <w:rPr>
          <w:rFonts w:ascii="Times New Roman" w:hAnsi="Times New Roman"/>
          <w:sz w:val="24"/>
          <w:szCs w:val="24"/>
          <w:lang w:val="en-GB"/>
        </w:rPr>
        <w:t>Ikebude</w:t>
      </w:r>
      <w:proofErr w:type="spellEnd"/>
      <w:r w:rsidRPr="00C95299">
        <w:rPr>
          <w:rFonts w:ascii="Times New Roman" w:hAnsi="Times New Roman"/>
          <w:sz w:val="24"/>
          <w:szCs w:val="24"/>
          <w:lang w:val="en-GB"/>
        </w:rPr>
        <w:t xml:space="preserve">, 2017). They can also be said to be all waste arising </w:t>
      </w:r>
      <w:r w:rsidRPr="00C95299">
        <w:rPr>
          <w:rFonts w:ascii="Times New Roman" w:hAnsi="Times New Roman"/>
          <w:sz w:val="24"/>
          <w:szCs w:val="24"/>
          <w:lang w:val="en-GB"/>
        </w:rPr>
        <w:lastRenderedPageBreak/>
        <w:t>from human and animal activities that are normally solid and are discarded as useless and unwanted. Solid waste if not properly managed and properly disposed can take up reliable space that could have been used for other important purposes; improper disposal causes roadblocks, poor aesthetic, constitute serious hindrance to free flow of drainages and can also pollute ground water which can eventually lead to an outbreak of disease (</w:t>
      </w:r>
      <w:proofErr w:type="spellStart"/>
      <w:r w:rsidRPr="00C95299">
        <w:rPr>
          <w:rFonts w:ascii="Times New Roman" w:hAnsi="Times New Roman"/>
          <w:sz w:val="24"/>
          <w:szCs w:val="24"/>
          <w:lang w:val="en-GB"/>
        </w:rPr>
        <w:t>Oyebola</w:t>
      </w:r>
      <w:proofErr w:type="spellEnd"/>
      <w:r w:rsidRPr="00C95299">
        <w:rPr>
          <w:rFonts w:ascii="Times New Roman" w:hAnsi="Times New Roman"/>
          <w:sz w:val="24"/>
          <w:szCs w:val="24"/>
          <w:lang w:val="en-GB"/>
        </w:rPr>
        <w:t xml:space="preserve">, 2010).  </w:t>
      </w:r>
    </w:p>
    <w:p w14:paraId="72100632" w14:textId="77777777" w:rsidR="00123E73" w:rsidRPr="00C95299" w:rsidRDefault="00123E73" w:rsidP="00E36B63">
      <w:pPr>
        <w:spacing w:after="0"/>
        <w:ind w:right="0"/>
        <w:rPr>
          <w:rFonts w:ascii="Times New Roman" w:hAnsi="Times New Roman"/>
          <w:sz w:val="24"/>
          <w:szCs w:val="24"/>
          <w:lang w:val="en-GB"/>
        </w:rPr>
      </w:pPr>
      <w:r w:rsidRPr="00C95299">
        <w:rPr>
          <w:rFonts w:ascii="Times New Roman" w:hAnsi="Times New Roman"/>
          <w:sz w:val="24"/>
          <w:szCs w:val="24"/>
          <w:lang w:val="en-GB"/>
        </w:rPr>
        <w:t>More importantly, major cities in Nigeria are currently facing serious environmental problem arising from poor solid waste management (Ajadi &amp; Tunde, 2010) and the rate of solid waste generation in Nigeria has increased with rapid urbanization (Daramola, 2010). This has made solid waste generated at a rate beyond the capacity of the city authorities to handle and maintain a sustainable urban environment. This solid waste management challenge has resulted in poor solid waste management system that portends serious environment crisis in most Nigerian towns and cities. Therefore, unsustainable waste disposal is a sensitive issue which is a serious environmental problem in the world today and the present situation of direct dumping of the waste without proper inspection and separation leaves a serious impact of environmental pollution causing a tremendous growth in health-related problems. Domestic, industrial and other waste, whether low or medium level waste cause environmental pollution and had become perennial problems for mankind (Ramasamy et al., 2013). If this situation is not handled in a proper manner within time then it would lead to worse consequences both on the local and global levels. The environment has been at the receiving end and overburdened with aftermath of the excesses of humans in their struggle for survival, thus, it is a life supporting system for human existence and socio-economic progress (United Nations Development Programme (UNDP), 2001; WHO, 2016). The resultant effects such generation and disposal of waste are environmental challenges that require adequate attention in the recent time. Therefore, solid waste management is a function of combination of various activities such as collection, transportation and disposal of solid waste. It also includes processing and treatment of solid waste before disposing (</w:t>
      </w:r>
      <w:proofErr w:type="spellStart"/>
      <w:r w:rsidRPr="00C95299">
        <w:rPr>
          <w:rFonts w:ascii="Times New Roman" w:hAnsi="Times New Roman"/>
          <w:sz w:val="24"/>
          <w:szCs w:val="24"/>
          <w:lang w:val="en-GB"/>
        </w:rPr>
        <w:t>Ikebude</w:t>
      </w:r>
      <w:proofErr w:type="spellEnd"/>
      <w:r w:rsidRPr="00C95299">
        <w:rPr>
          <w:rFonts w:ascii="Times New Roman" w:hAnsi="Times New Roman"/>
          <w:sz w:val="24"/>
          <w:szCs w:val="24"/>
          <w:lang w:val="en-GB"/>
        </w:rPr>
        <w:t>, 2017). The purpose of solid waste management is to create an uncontaminated environment for people without disturbing natural resources (</w:t>
      </w:r>
      <w:proofErr w:type="spellStart"/>
      <w:r w:rsidRPr="00C95299">
        <w:rPr>
          <w:rFonts w:ascii="Times New Roman" w:hAnsi="Times New Roman"/>
          <w:sz w:val="24"/>
          <w:szCs w:val="24"/>
          <w:lang w:val="en-GB"/>
        </w:rPr>
        <w:t>Muoghalu</w:t>
      </w:r>
      <w:proofErr w:type="spellEnd"/>
      <w:r w:rsidRPr="00C95299">
        <w:rPr>
          <w:rFonts w:ascii="Times New Roman" w:hAnsi="Times New Roman"/>
          <w:sz w:val="24"/>
          <w:szCs w:val="24"/>
          <w:lang w:val="en-GB"/>
        </w:rPr>
        <w:t>, 2004; WHO, 2016) and a proper solid waste management helps safe disposal, reduction of final waste and increase re-use and re-cycling.</w:t>
      </w:r>
      <w:r w:rsidR="00F32B0B" w:rsidRPr="00C95299">
        <w:rPr>
          <w:rFonts w:ascii="Times New Roman" w:hAnsi="Times New Roman"/>
          <w:sz w:val="24"/>
          <w:szCs w:val="24"/>
          <w:lang w:val="en-GB"/>
        </w:rPr>
        <w:t xml:space="preserve"> Notably, a lot of waste from time to time is being generated across the capital cities, much of which now affects the air we breathe, the water we drink, and the land on which we live. This is a serious issue as the problem seem to be getting worse daily amidst past research and recommendations (</w:t>
      </w:r>
      <w:proofErr w:type="spellStart"/>
      <w:r w:rsidR="00F32B0B" w:rsidRPr="00C95299">
        <w:rPr>
          <w:rFonts w:ascii="Times New Roman" w:hAnsi="Times New Roman"/>
          <w:sz w:val="24"/>
          <w:szCs w:val="24"/>
          <w:lang w:val="en-GB"/>
        </w:rPr>
        <w:t>Akinjare</w:t>
      </w:r>
      <w:proofErr w:type="spellEnd"/>
      <w:r w:rsidR="00F32B0B" w:rsidRPr="00C95299">
        <w:rPr>
          <w:rFonts w:ascii="Times New Roman" w:hAnsi="Times New Roman"/>
          <w:sz w:val="24"/>
          <w:szCs w:val="24"/>
          <w:lang w:val="en-GB"/>
        </w:rPr>
        <w:t xml:space="preserve"> et al., 2011; </w:t>
      </w:r>
      <w:proofErr w:type="spellStart"/>
      <w:r w:rsidR="00F32B0B" w:rsidRPr="00C95299">
        <w:rPr>
          <w:rFonts w:ascii="Times New Roman" w:hAnsi="Times New Roman"/>
          <w:sz w:val="24"/>
          <w:szCs w:val="24"/>
          <w:lang w:val="en-GB"/>
        </w:rPr>
        <w:t>Tamunobereton-ari</w:t>
      </w:r>
      <w:proofErr w:type="spellEnd"/>
      <w:r w:rsidR="00F32B0B" w:rsidRPr="00C95299">
        <w:rPr>
          <w:rFonts w:ascii="Times New Roman" w:hAnsi="Times New Roman"/>
          <w:sz w:val="24"/>
          <w:szCs w:val="24"/>
          <w:lang w:val="en-GB"/>
        </w:rPr>
        <w:t xml:space="preserve"> et al., 2012; Ogbonna et al., 2012; </w:t>
      </w:r>
      <w:proofErr w:type="spellStart"/>
      <w:r w:rsidR="00F32B0B" w:rsidRPr="00C95299">
        <w:rPr>
          <w:rFonts w:ascii="Times New Roman" w:hAnsi="Times New Roman"/>
          <w:sz w:val="24"/>
          <w:szCs w:val="24"/>
          <w:lang w:val="en-GB"/>
        </w:rPr>
        <w:t>Mmom</w:t>
      </w:r>
      <w:proofErr w:type="spellEnd"/>
      <w:r w:rsidR="00F32B0B" w:rsidRPr="00C95299">
        <w:rPr>
          <w:rFonts w:ascii="Times New Roman" w:hAnsi="Times New Roman"/>
          <w:sz w:val="24"/>
          <w:szCs w:val="24"/>
          <w:lang w:val="en-GB"/>
        </w:rPr>
        <w:t xml:space="preserve"> &amp; </w:t>
      </w:r>
      <w:proofErr w:type="spellStart"/>
      <w:r w:rsidR="00F32B0B" w:rsidRPr="00C95299">
        <w:rPr>
          <w:rFonts w:ascii="Times New Roman" w:hAnsi="Times New Roman"/>
          <w:sz w:val="24"/>
          <w:szCs w:val="24"/>
          <w:lang w:val="en-GB"/>
        </w:rPr>
        <w:t>Mbee</w:t>
      </w:r>
      <w:proofErr w:type="spellEnd"/>
      <w:r w:rsidR="00F32B0B" w:rsidRPr="00C95299">
        <w:rPr>
          <w:rFonts w:ascii="Times New Roman" w:hAnsi="Times New Roman"/>
          <w:sz w:val="24"/>
          <w:szCs w:val="24"/>
          <w:lang w:val="en-GB"/>
        </w:rPr>
        <w:t xml:space="preserve">, 2013; </w:t>
      </w:r>
      <w:proofErr w:type="spellStart"/>
      <w:r w:rsidR="00F32B0B" w:rsidRPr="00C95299">
        <w:rPr>
          <w:rFonts w:ascii="Times New Roman" w:hAnsi="Times New Roman"/>
          <w:sz w:val="24"/>
          <w:szCs w:val="24"/>
          <w:lang w:val="en-GB"/>
        </w:rPr>
        <w:t>Binafeigha</w:t>
      </w:r>
      <w:proofErr w:type="spellEnd"/>
      <w:r w:rsidR="00F32B0B" w:rsidRPr="00C95299">
        <w:rPr>
          <w:rFonts w:ascii="Times New Roman" w:hAnsi="Times New Roman"/>
          <w:sz w:val="24"/>
          <w:szCs w:val="24"/>
          <w:lang w:val="en-GB"/>
        </w:rPr>
        <w:t xml:space="preserve"> &amp; </w:t>
      </w:r>
      <w:proofErr w:type="spellStart"/>
      <w:r w:rsidR="00F32B0B" w:rsidRPr="00C95299">
        <w:rPr>
          <w:rFonts w:ascii="Times New Roman" w:hAnsi="Times New Roman"/>
          <w:sz w:val="24"/>
          <w:szCs w:val="24"/>
          <w:lang w:val="en-GB"/>
        </w:rPr>
        <w:t>Enwin</w:t>
      </w:r>
      <w:proofErr w:type="spellEnd"/>
      <w:r w:rsidR="00F32B0B" w:rsidRPr="00C95299">
        <w:rPr>
          <w:rFonts w:ascii="Times New Roman" w:hAnsi="Times New Roman"/>
          <w:sz w:val="24"/>
          <w:szCs w:val="24"/>
          <w:lang w:val="en-GB"/>
        </w:rPr>
        <w:t xml:space="preserve">, 2017; </w:t>
      </w:r>
      <w:proofErr w:type="spellStart"/>
      <w:r w:rsidR="00F32B0B" w:rsidRPr="00C95299">
        <w:rPr>
          <w:rFonts w:ascii="Times New Roman" w:hAnsi="Times New Roman"/>
          <w:sz w:val="24"/>
          <w:szCs w:val="24"/>
          <w:lang w:val="en-GB"/>
        </w:rPr>
        <w:t>Odiana</w:t>
      </w:r>
      <w:proofErr w:type="spellEnd"/>
      <w:r w:rsidR="00F32B0B" w:rsidRPr="00C95299">
        <w:rPr>
          <w:rFonts w:ascii="Times New Roman" w:hAnsi="Times New Roman"/>
          <w:sz w:val="24"/>
          <w:szCs w:val="24"/>
          <w:lang w:val="en-GB"/>
        </w:rPr>
        <w:t xml:space="preserve"> &amp; Olorunfemi 2021). According to the United Nations, about 11.2 billion tonnes of solid waste is collected worldwide, almost all of which comes from humans alone. It is therefore not only need to manage these wastes but also come up with strategies that will manage such waste sustainably. Very few of studies on wastes especially in the developing countries could be found in the literature, and thus, the present study </w:t>
      </w:r>
      <w:r w:rsidR="00E36B63" w:rsidRPr="00C95299">
        <w:rPr>
          <w:rFonts w:ascii="Times New Roman" w:hAnsi="Times New Roman"/>
          <w:sz w:val="24"/>
          <w:szCs w:val="24"/>
          <w:lang w:val="en-GB"/>
        </w:rPr>
        <w:t>assessed the characteristics, disposal methods and p</w:t>
      </w:r>
      <w:r w:rsidR="00F32B0B" w:rsidRPr="00C95299">
        <w:rPr>
          <w:rFonts w:ascii="Times New Roman" w:hAnsi="Times New Roman"/>
          <w:sz w:val="24"/>
          <w:szCs w:val="24"/>
          <w:lang w:val="en-GB"/>
        </w:rPr>
        <w:t>ractices</w:t>
      </w:r>
      <w:r w:rsidR="00E36B63" w:rsidRPr="00C95299">
        <w:rPr>
          <w:rFonts w:ascii="Times New Roman" w:hAnsi="Times New Roman"/>
          <w:sz w:val="24"/>
          <w:szCs w:val="24"/>
          <w:lang w:val="en-GB"/>
        </w:rPr>
        <w:t xml:space="preserve"> of wastes with a view to sustainably protecting the environment. </w:t>
      </w:r>
    </w:p>
    <w:p w14:paraId="6BCA9B21" w14:textId="77777777" w:rsidR="004B0B82" w:rsidRPr="00C95299" w:rsidRDefault="004B0B82" w:rsidP="004B0B82">
      <w:pPr>
        <w:spacing w:after="0" w:line="240" w:lineRule="auto"/>
        <w:ind w:right="0"/>
        <w:rPr>
          <w:rFonts w:ascii="Times New Roman" w:hAnsi="Times New Roman"/>
          <w:b/>
          <w:sz w:val="24"/>
          <w:szCs w:val="24"/>
          <w:lang w:val="en-GB"/>
        </w:rPr>
      </w:pPr>
      <w:r w:rsidRPr="00C95299">
        <w:rPr>
          <w:rFonts w:ascii="Times New Roman" w:hAnsi="Times New Roman"/>
          <w:b/>
          <w:sz w:val="24"/>
          <w:szCs w:val="24"/>
          <w:lang w:val="en-GB"/>
        </w:rPr>
        <w:t>Materials and Methods</w:t>
      </w:r>
    </w:p>
    <w:p w14:paraId="56AE41A4" w14:textId="77777777" w:rsidR="002C3BFF" w:rsidRPr="00C95299" w:rsidRDefault="004A51EC" w:rsidP="004B0B82">
      <w:pPr>
        <w:spacing w:after="0" w:line="240" w:lineRule="auto"/>
        <w:ind w:right="0"/>
        <w:rPr>
          <w:rFonts w:ascii="Times New Roman" w:hAnsi="Times New Roman"/>
          <w:sz w:val="24"/>
          <w:szCs w:val="24"/>
          <w:lang w:val="en-GB"/>
        </w:rPr>
      </w:pPr>
      <w:r w:rsidRPr="00C95299">
        <w:rPr>
          <w:rFonts w:ascii="Times New Roman" w:hAnsi="Times New Roman"/>
          <w:sz w:val="24"/>
          <w:szCs w:val="24"/>
          <w:lang w:val="en-GB"/>
        </w:rPr>
        <w:lastRenderedPageBreak/>
        <w:t>The study was carried out in the Capital cities of the Central Niger Delta States involving Delta, Bayelsa and Rivers State</w:t>
      </w:r>
      <w:r w:rsidR="002C3BFF" w:rsidRPr="00C95299">
        <w:rPr>
          <w:rFonts w:ascii="Times New Roman" w:hAnsi="Times New Roman"/>
          <w:sz w:val="24"/>
          <w:szCs w:val="24"/>
          <w:lang w:val="en-GB"/>
        </w:rPr>
        <w:t>s (Figure 1)</w:t>
      </w:r>
      <w:r w:rsidRPr="00C95299">
        <w:rPr>
          <w:rFonts w:ascii="Times New Roman" w:hAnsi="Times New Roman"/>
          <w:sz w:val="24"/>
          <w:szCs w:val="24"/>
          <w:lang w:val="en-GB"/>
        </w:rPr>
        <w:t xml:space="preserve">. </w:t>
      </w:r>
    </w:p>
    <w:p w14:paraId="761905C5" w14:textId="77777777" w:rsidR="002C3BFF" w:rsidRPr="00C95299" w:rsidRDefault="002C3BFF" w:rsidP="004B0B82">
      <w:pPr>
        <w:spacing w:after="0" w:line="240" w:lineRule="auto"/>
        <w:ind w:right="0"/>
        <w:rPr>
          <w:rFonts w:ascii="Times New Roman" w:hAnsi="Times New Roman"/>
          <w:sz w:val="24"/>
          <w:szCs w:val="24"/>
          <w:lang w:val="en-GB"/>
        </w:rPr>
      </w:pPr>
    </w:p>
    <w:p w14:paraId="38FF4490" w14:textId="77777777" w:rsidR="002C3BFF" w:rsidRPr="00C95299" w:rsidRDefault="002C3BFF" w:rsidP="002C3BFF">
      <w:pPr>
        <w:spacing w:after="0" w:line="240" w:lineRule="auto"/>
        <w:ind w:right="4"/>
        <w:rPr>
          <w:rFonts w:ascii="Times New Roman" w:hAnsi="Times New Roman"/>
          <w:sz w:val="24"/>
          <w:szCs w:val="24"/>
          <w:lang w:val="en-GB"/>
        </w:rPr>
      </w:pPr>
      <w:r w:rsidRPr="00C95299">
        <w:rPr>
          <w:rFonts w:ascii="Times New Roman" w:hAnsi="Times New Roman"/>
          <w:noProof/>
          <w:sz w:val="24"/>
          <w:szCs w:val="24"/>
        </w:rPr>
        <w:drawing>
          <wp:inline distT="0" distB="0" distL="0" distR="0" wp14:anchorId="43091BBC" wp14:editId="4F79D9A2">
            <wp:extent cx="5901070" cy="3806456"/>
            <wp:effectExtent l="0" t="0" r="4445" b="381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913445" cy="3814438"/>
                    </a:xfrm>
                    <a:prstGeom prst="rect">
                      <a:avLst/>
                    </a:prstGeom>
                    <a:noFill/>
                    <a:ln>
                      <a:noFill/>
                    </a:ln>
                  </pic:spPr>
                </pic:pic>
              </a:graphicData>
            </a:graphic>
          </wp:inline>
        </w:drawing>
      </w:r>
    </w:p>
    <w:p w14:paraId="33F614AA" w14:textId="77777777" w:rsidR="002C3BFF" w:rsidRPr="00C95299" w:rsidRDefault="002C3BFF" w:rsidP="002C3BFF">
      <w:pPr>
        <w:spacing w:after="0" w:line="240" w:lineRule="auto"/>
        <w:ind w:right="4"/>
        <w:rPr>
          <w:rFonts w:ascii="Times New Roman" w:hAnsi="Times New Roman"/>
          <w:b/>
          <w:iCs/>
          <w:sz w:val="24"/>
          <w:szCs w:val="24"/>
          <w:lang w:val="en-GB"/>
        </w:rPr>
      </w:pPr>
      <w:r w:rsidRPr="00C95299">
        <w:rPr>
          <w:rFonts w:ascii="Times New Roman" w:hAnsi="Times New Roman"/>
          <w:b/>
          <w:sz w:val="24"/>
          <w:szCs w:val="24"/>
          <w:lang w:val="en-GB"/>
        </w:rPr>
        <w:t>Figure 1: Study Area States and its Capitals</w:t>
      </w:r>
    </w:p>
    <w:p w14:paraId="02839B1F" w14:textId="77777777" w:rsidR="002C3BFF" w:rsidRPr="00C95299" w:rsidRDefault="002C3BFF" w:rsidP="004B0B82">
      <w:pPr>
        <w:spacing w:after="0" w:line="240" w:lineRule="auto"/>
        <w:ind w:right="0"/>
        <w:rPr>
          <w:rFonts w:ascii="Times New Roman" w:hAnsi="Times New Roman"/>
          <w:sz w:val="24"/>
          <w:szCs w:val="24"/>
          <w:lang w:val="en-GB"/>
        </w:rPr>
      </w:pPr>
    </w:p>
    <w:p w14:paraId="0DE2B42E" w14:textId="77777777" w:rsidR="004A51EC" w:rsidRPr="00C95299" w:rsidRDefault="00540F86" w:rsidP="004B0B82">
      <w:pPr>
        <w:spacing w:after="0" w:line="240" w:lineRule="auto"/>
        <w:ind w:right="0"/>
        <w:rPr>
          <w:rFonts w:ascii="Times New Roman" w:hAnsi="Times New Roman"/>
          <w:sz w:val="24"/>
          <w:szCs w:val="24"/>
          <w:lang w:val="en-GB"/>
        </w:rPr>
      </w:pPr>
      <w:r w:rsidRPr="00C95299">
        <w:rPr>
          <w:rFonts w:ascii="Times New Roman" w:hAnsi="Times New Roman"/>
          <w:sz w:val="24"/>
          <w:szCs w:val="24"/>
          <w:lang w:val="en-GB"/>
        </w:rPr>
        <w:t>The study</w:t>
      </w:r>
      <w:r w:rsidR="00E56B00" w:rsidRPr="00C95299">
        <w:rPr>
          <w:rFonts w:ascii="Times New Roman" w:hAnsi="Times New Roman"/>
          <w:sz w:val="24"/>
          <w:szCs w:val="24"/>
          <w:lang w:val="en-GB"/>
        </w:rPr>
        <w:t xml:space="preserve"> </w:t>
      </w:r>
      <w:r w:rsidR="009C3AB8" w:rsidRPr="00C95299">
        <w:rPr>
          <w:rFonts w:ascii="Times New Roman" w:hAnsi="Times New Roman"/>
          <w:bCs/>
          <w:sz w:val="24"/>
          <w:szCs w:val="24"/>
          <w:lang w:val="en-GB"/>
        </w:rPr>
        <w:t xml:space="preserve">adopted the cross-sectional research design. </w:t>
      </w:r>
      <w:r w:rsidR="009C3AB8" w:rsidRPr="00C95299">
        <w:rPr>
          <w:rFonts w:ascii="Times New Roman" w:hAnsi="Times New Roman"/>
          <w:sz w:val="24"/>
          <w:szCs w:val="24"/>
          <w:lang w:val="en-GB"/>
        </w:rPr>
        <w:t>The population of the study was drawn from all residents of states capita</w:t>
      </w:r>
      <w:r w:rsidR="005C3C55" w:rsidRPr="00C95299">
        <w:rPr>
          <w:rFonts w:ascii="Times New Roman" w:hAnsi="Times New Roman"/>
          <w:sz w:val="24"/>
          <w:szCs w:val="24"/>
          <w:lang w:val="en-GB"/>
        </w:rPr>
        <w:t>l in Bayelsa, Delta and Rivers S</w:t>
      </w:r>
      <w:r w:rsidR="009C3AB8" w:rsidRPr="00C95299">
        <w:rPr>
          <w:rFonts w:ascii="Times New Roman" w:hAnsi="Times New Roman"/>
          <w:sz w:val="24"/>
          <w:szCs w:val="24"/>
          <w:lang w:val="en-GB"/>
        </w:rPr>
        <w:t xml:space="preserve">tates. </w:t>
      </w:r>
    </w:p>
    <w:p w14:paraId="4D26F9DE" w14:textId="77777777" w:rsidR="004F6735" w:rsidRPr="00C95299" w:rsidRDefault="004F6735" w:rsidP="004B0B82">
      <w:pPr>
        <w:spacing w:after="0" w:line="240" w:lineRule="auto"/>
        <w:ind w:right="0"/>
        <w:rPr>
          <w:rFonts w:ascii="Times New Roman" w:hAnsi="Times New Roman"/>
          <w:sz w:val="24"/>
          <w:szCs w:val="24"/>
          <w:lang w:val="en-GB"/>
        </w:rPr>
      </w:pPr>
      <w:r w:rsidRPr="00C95299">
        <w:rPr>
          <w:rFonts w:ascii="Times New Roman" w:hAnsi="Times New Roman"/>
          <w:sz w:val="24"/>
          <w:szCs w:val="24"/>
          <w:lang w:val="en-GB"/>
        </w:rPr>
        <w:t>The population of the study was drawn from all residents of states capital in Bayelsa, Delta and Rivers states. The issue of wastes and its management in Niger Delta is complex and</w:t>
      </w:r>
      <w:r w:rsidR="008A306A" w:rsidRPr="00C95299">
        <w:rPr>
          <w:rFonts w:ascii="Times New Roman" w:hAnsi="Times New Roman"/>
          <w:sz w:val="24"/>
          <w:szCs w:val="24"/>
          <w:lang w:val="en-GB"/>
        </w:rPr>
        <w:t xml:space="preserve"> their challenges however varied</w:t>
      </w:r>
      <w:r w:rsidRPr="00C95299">
        <w:rPr>
          <w:rFonts w:ascii="Times New Roman" w:hAnsi="Times New Roman"/>
          <w:sz w:val="24"/>
          <w:szCs w:val="24"/>
          <w:lang w:val="en-GB"/>
        </w:rPr>
        <w:t xml:space="preserve"> with location.</w:t>
      </w:r>
      <w:r w:rsidR="008A306A" w:rsidRPr="00C95299">
        <w:rPr>
          <w:rFonts w:ascii="Times New Roman" w:hAnsi="Times New Roman"/>
          <w:sz w:val="24"/>
          <w:szCs w:val="24"/>
          <w:lang w:val="en-GB"/>
        </w:rPr>
        <w:t xml:space="preserve"> The residents’ population was subjected to the Taro Yamane formula in order to determine the sample size of the study. The sample size was drawn from the population of each city in the study areas. Given the 2006 population census of Nigeria and its associated projection till year 2024, the core Niger Delta States’</w:t>
      </w:r>
      <w:r w:rsidR="00417602" w:rsidRPr="00C95299">
        <w:rPr>
          <w:rFonts w:ascii="Times New Roman" w:hAnsi="Times New Roman"/>
          <w:sz w:val="24"/>
          <w:szCs w:val="24"/>
          <w:lang w:val="en-GB"/>
        </w:rPr>
        <w:t xml:space="preserve"> </w:t>
      </w:r>
      <w:r w:rsidR="008A306A" w:rsidRPr="00C95299">
        <w:rPr>
          <w:rFonts w:ascii="Times New Roman" w:hAnsi="Times New Roman"/>
          <w:sz w:val="24"/>
          <w:szCs w:val="24"/>
          <w:lang w:val="en-GB"/>
        </w:rPr>
        <w:t>capital cities based on projected figures from 2006</w:t>
      </w:r>
      <w:r w:rsidR="00DB772A" w:rsidRPr="00C95299">
        <w:rPr>
          <w:rFonts w:ascii="Times New Roman" w:hAnsi="Times New Roman"/>
          <w:sz w:val="24"/>
          <w:szCs w:val="24"/>
          <w:lang w:val="en-GB"/>
        </w:rPr>
        <w:t xml:space="preserve"> to 2024 was utilised (Table 1).</w:t>
      </w:r>
    </w:p>
    <w:p w14:paraId="6B4C8A1E" w14:textId="77777777" w:rsidR="00DB772A" w:rsidRPr="00C95299" w:rsidRDefault="00DB772A" w:rsidP="00DB772A">
      <w:pPr>
        <w:pStyle w:val="Default"/>
        <w:contextualSpacing/>
        <w:jc w:val="both"/>
        <w:rPr>
          <w:b/>
          <w:color w:val="auto"/>
          <w:lang w:val="en-GB"/>
        </w:rPr>
      </w:pPr>
      <w:r w:rsidRPr="00C95299">
        <w:rPr>
          <w:b/>
          <w:color w:val="auto"/>
          <w:lang w:val="en-GB"/>
        </w:rPr>
        <w:t>Table 1: Population of Capital Cities (2006 – 2024)</w:t>
      </w:r>
    </w:p>
    <w:tbl>
      <w:tblPr>
        <w:tblW w:w="5000" w:type="pct"/>
        <w:tblBorders>
          <w:top w:val="single" w:sz="4" w:space="0" w:color="auto"/>
          <w:bottom w:val="single" w:sz="4" w:space="0" w:color="auto"/>
        </w:tblBorders>
        <w:tblLook w:val="04A0" w:firstRow="1" w:lastRow="0" w:firstColumn="1" w:lastColumn="0" w:noHBand="0" w:noVBand="1"/>
      </w:tblPr>
      <w:tblGrid>
        <w:gridCol w:w="1916"/>
        <w:gridCol w:w="1915"/>
        <w:gridCol w:w="1915"/>
        <w:gridCol w:w="1915"/>
        <w:gridCol w:w="1915"/>
      </w:tblGrid>
      <w:tr w:rsidR="00C95299" w:rsidRPr="00C95299" w14:paraId="0ADF53B9" w14:textId="77777777" w:rsidTr="00CB2917">
        <w:trPr>
          <w:trHeight w:val="620"/>
        </w:trPr>
        <w:tc>
          <w:tcPr>
            <w:tcW w:w="1000" w:type="pct"/>
            <w:tcBorders>
              <w:top w:val="single" w:sz="4" w:space="0" w:color="auto"/>
              <w:bottom w:val="single" w:sz="4" w:space="0" w:color="auto"/>
            </w:tcBorders>
          </w:tcPr>
          <w:p w14:paraId="725BA43F" w14:textId="77777777" w:rsidR="00DB772A" w:rsidRPr="00C95299" w:rsidRDefault="00DB772A" w:rsidP="00DB772A">
            <w:pPr>
              <w:pStyle w:val="Default"/>
              <w:contextualSpacing/>
              <w:jc w:val="both"/>
              <w:rPr>
                <w:b/>
                <w:color w:val="auto"/>
                <w:lang w:val="en-GB"/>
              </w:rPr>
            </w:pPr>
            <w:r w:rsidRPr="00C95299">
              <w:rPr>
                <w:b/>
                <w:color w:val="auto"/>
                <w:lang w:val="en-GB"/>
              </w:rPr>
              <w:t>States</w:t>
            </w:r>
          </w:p>
        </w:tc>
        <w:tc>
          <w:tcPr>
            <w:tcW w:w="1000" w:type="pct"/>
            <w:tcBorders>
              <w:top w:val="single" w:sz="4" w:space="0" w:color="auto"/>
              <w:bottom w:val="single" w:sz="4" w:space="0" w:color="auto"/>
            </w:tcBorders>
          </w:tcPr>
          <w:p w14:paraId="40B8EEC3" w14:textId="77777777" w:rsidR="00DB772A" w:rsidRPr="00C95299" w:rsidRDefault="00DB772A" w:rsidP="00DB772A">
            <w:pPr>
              <w:pStyle w:val="Default"/>
              <w:contextualSpacing/>
              <w:jc w:val="both"/>
              <w:rPr>
                <w:b/>
                <w:color w:val="auto"/>
                <w:lang w:val="en-GB"/>
              </w:rPr>
            </w:pPr>
            <w:r w:rsidRPr="00C95299">
              <w:rPr>
                <w:b/>
                <w:color w:val="auto"/>
                <w:lang w:val="en-GB"/>
              </w:rPr>
              <w:t>Capital Cities</w:t>
            </w:r>
          </w:p>
        </w:tc>
        <w:tc>
          <w:tcPr>
            <w:tcW w:w="1000" w:type="pct"/>
            <w:tcBorders>
              <w:top w:val="single" w:sz="4" w:space="0" w:color="auto"/>
              <w:bottom w:val="single" w:sz="4" w:space="0" w:color="auto"/>
            </w:tcBorders>
          </w:tcPr>
          <w:p w14:paraId="11AC7BA5" w14:textId="77777777" w:rsidR="00DB772A" w:rsidRPr="00C95299" w:rsidRDefault="00DB772A" w:rsidP="00DB772A">
            <w:pPr>
              <w:pStyle w:val="Default"/>
              <w:contextualSpacing/>
              <w:jc w:val="both"/>
              <w:rPr>
                <w:b/>
                <w:color w:val="auto"/>
                <w:lang w:val="en-GB"/>
              </w:rPr>
            </w:pPr>
            <w:r w:rsidRPr="00C95299">
              <w:rPr>
                <w:b/>
                <w:color w:val="auto"/>
                <w:lang w:val="en-GB"/>
              </w:rPr>
              <w:t>Population Census 2006</w:t>
            </w:r>
          </w:p>
        </w:tc>
        <w:tc>
          <w:tcPr>
            <w:tcW w:w="1000" w:type="pct"/>
            <w:tcBorders>
              <w:top w:val="single" w:sz="4" w:space="0" w:color="auto"/>
              <w:bottom w:val="single" w:sz="4" w:space="0" w:color="auto"/>
            </w:tcBorders>
          </w:tcPr>
          <w:p w14:paraId="21102363" w14:textId="77777777" w:rsidR="00DB772A" w:rsidRPr="00C95299" w:rsidRDefault="00DB772A" w:rsidP="00DB772A">
            <w:pPr>
              <w:pStyle w:val="Default"/>
              <w:contextualSpacing/>
              <w:jc w:val="both"/>
              <w:rPr>
                <w:b/>
                <w:color w:val="auto"/>
                <w:lang w:val="en-GB"/>
              </w:rPr>
            </w:pPr>
            <w:r w:rsidRPr="00C95299">
              <w:rPr>
                <w:b/>
                <w:color w:val="auto"/>
                <w:lang w:val="en-GB"/>
              </w:rPr>
              <w:t>Total Projected estimate 2020</w:t>
            </w:r>
          </w:p>
        </w:tc>
        <w:tc>
          <w:tcPr>
            <w:tcW w:w="1000" w:type="pct"/>
            <w:tcBorders>
              <w:top w:val="single" w:sz="4" w:space="0" w:color="auto"/>
              <w:bottom w:val="single" w:sz="4" w:space="0" w:color="auto"/>
            </w:tcBorders>
          </w:tcPr>
          <w:p w14:paraId="032A5A85" w14:textId="77777777" w:rsidR="00DB772A" w:rsidRPr="00C95299" w:rsidRDefault="00DB772A" w:rsidP="00DB772A">
            <w:pPr>
              <w:pStyle w:val="Default"/>
              <w:contextualSpacing/>
              <w:jc w:val="both"/>
              <w:rPr>
                <w:b/>
                <w:color w:val="auto"/>
                <w:lang w:val="en-GB"/>
              </w:rPr>
            </w:pPr>
            <w:r w:rsidRPr="00C95299">
              <w:rPr>
                <w:b/>
                <w:color w:val="auto"/>
                <w:lang w:val="en-GB"/>
              </w:rPr>
              <w:t>Total Projected estimate 2024</w:t>
            </w:r>
          </w:p>
        </w:tc>
      </w:tr>
      <w:tr w:rsidR="00C95299" w:rsidRPr="00C95299" w14:paraId="1AB45153" w14:textId="77777777" w:rsidTr="00CB2917">
        <w:trPr>
          <w:trHeight w:val="729"/>
        </w:trPr>
        <w:tc>
          <w:tcPr>
            <w:tcW w:w="1000" w:type="pct"/>
            <w:tcBorders>
              <w:top w:val="single" w:sz="4" w:space="0" w:color="auto"/>
            </w:tcBorders>
          </w:tcPr>
          <w:p w14:paraId="349B848D" w14:textId="77777777" w:rsidR="00DB772A" w:rsidRPr="00C95299" w:rsidRDefault="00DB772A" w:rsidP="00DB772A">
            <w:pPr>
              <w:pStyle w:val="Default"/>
              <w:contextualSpacing/>
              <w:jc w:val="both"/>
              <w:rPr>
                <w:color w:val="auto"/>
                <w:lang w:val="en-GB"/>
              </w:rPr>
            </w:pPr>
            <w:r w:rsidRPr="00C95299">
              <w:rPr>
                <w:color w:val="auto"/>
                <w:lang w:val="en-GB"/>
              </w:rPr>
              <w:t>Bayelsa</w:t>
            </w:r>
          </w:p>
        </w:tc>
        <w:tc>
          <w:tcPr>
            <w:tcW w:w="1000" w:type="pct"/>
            <w:tcBorders>
              <w:top w:val="single" w:sz="4" w:space="0" w:color="auto"/>
            </w:tcBorders>
          </w:tcPr>
          <w:p w14:paraId="4D38E35D" w14:textId="77777777" w:rsidR="00DB772A" w:rsidRPr="00C95299" w:rsidRDefault="00DB772A" w:rsidP="00DB772A">
            <w:pPr>
              <w:pStyle w:val="Default"/>
              <w:contextualSpacing/>
              <w:jc w:val="both"/>
              <w:rPr>
                <w:color w:val="auto"/>
                <w:lang w:val="en-GB"/>
              </w:rPr>
            </w:pPr>
            <w:r w:rsidRPr="00C95299">
              <w:rPr>
                <w:color w:val="auto"/>
                <w:lang w:val="en-GB"/>
              </w:rPr>
              <w:t>Yenagoa</w:t>
            </w:r>
          </w:p>
        </w:tc>
        <w:tc>
          <w:tcPr>
            <w:tcW w:w="1000" w:type="pct"/>
            <w:tcBorders>
              <w:top w:val="single" w:sz="4" w:space="0" w:color="auto"/>
            </w:tcBorders>
          </w:tcPr>
          <w:p w14:paraId="1A7742B0" w14:textId="77777777" w:rsidR="00DB772A" w:rsidRPr="00C95299" w:rsidRDefault="00DB772A" w:rsidP="00DB772A">
            <w:pPr>
              <w:pStyle w:val="Default"/>
              <w:contextualSpacing/>
              <w:jc w:val="both"/>
              <w:rPr>
                <w:color w:val="auto"/>
                <w:lang w:val="en-GB"/>
              </w:rPr>
            </w:pPr>
            <w:r w:rsidRPr="00C95299">
              <w:rPr>
                <w:color w:val="auto"/>
                <w:lang w:val="en-GB"/>
              </w:rPr>
              <w:t>352,285</w:t>
            </w:r>
          </w:p>
        </w:tc>
        <w:tc>
          <w:tcPr>
            <w:tcW w:w="1000" w:type="pct"/>
            <w:tcBorders>
              <w:top w:val="single" w:sz="4" w:space="0" w:color="auto"/>
            </w:tcBorders>
          </w:tcPr>
          <w:p w14:paraId="6C461847" w14:textId="77777777" w:rsidR="00DB772A" w:rsidRPr="00C95299" w:rsidRDefault="00DB772A" w:rsidP="00DB772A">
            <w:pPr>
              <w:pStyle w:val="Default"/>
              <w:contextualSpacing/>
              <w:jc w:val="both"/>
              <w:rPr>
                <w:color w:val="auto"/>
                <w:lang w:val="en-GB"/>
              </w:rPr>
            </w:pPr>
            <w:r w:rsidRPr="00C95299">
              <w:rPr>
                <w:color w:val="auto"/>
                <w:lang w:val="en-GB"/>
              </w:rPr>
              <w:t>504,434</w:t>
            </w:r>
          </w:p>
        </w:tc>
        <w:tc>
          <w:tcPr>
            <w:tcW w:w="1000" w:type="pct"/>
            <w:tcBorders>
              <w:top w:val="single" w:sz="4" w:space="0" w:color="auto"/>
            </w:tcBorders>
          </w:tcPr>
          <w:p w14:paraId="581E3A6D" w14:textId="77777777" w:rsidR="00DB772A" w:rsidRPr="00C95299" w:rsidRDefault="00DB772A" w:rsidP="00DB772A">
            <w:pPr>
              <w:pStyle w:val="Default"/>
              <w:contextualSpacing/>
              <w:jc w:val="both"/>
              <w:rPr>
                <w:color w:val="auto"/>
                <w:lang w:val="en-GB"/>
              </w:rPr>
            </w:pPr>
            <w:r w:rsidRPr="00C95299">
              <w:rPr>
                <w:color w:val="auto"/>
                <w:lang w:val="en-GB"/>
              </w:rPr>
              <w:t>524,400</w:t>
            </w:r>
          </w:p>
        </w:tc>
      </w:tr>
      <w:tr w:rsidR="00C95299" w:rsidRPr="00C95299" w14:paraId="68F78CED" w14:textId="77777777" w:rsidTr="00CB2917">
        <w:trPr>
          <w:trHeight w:val="729"/>
        </w:trPr>
        <w:tc>
          <w:tcPr>
            <w:tcW w:w="1000" w:type="pct"/>
          </w:tcPr>
          <w:p w14:paraId="12A09BF2" w14:textId="77777777" w:rsidR="00DB772A" w:rsidRPr="00C95299" w:rsidRDefault="00DB772A" w:rsidP="00DB772A">
            <w:pPr>
              <w:pStyle w:val="Default"/>
              <w:contextualSpacing/>
              <w:jc w:val="both"/>
              <w:rPr>
                <w:color w:val="auto"/>
                <w:lang w:val="en-GB"/>
              </w:rPr>
            </w:pPr>
            <w:r w:rsidRPr="00C95299">
              <w:rPr>
                <w:color w:val="auto"/>
                <w:lang w:val="en-GB"/>
              </w:rPr>
              <w:t>Delta</w:t>
            </w:r>
          </w:p>
        </w:tc>
        <w:tc>
          <w:tcPr>
            <w:tcW w:w="1000" w:type="pct"/>
          </w:tcPr>
          <w:p w14:paraId="368B4EA2" w14:textId="77777777" w:rsidR="00DB772A" w:rsidRPr="00C95299" w:rsidRDefault="00DB772A" w:rsidP="00DB772A">
            <w:pPr>
              <w:pStyle w:val="Default"/>
              <w:contextualSpacing/>
              <w:jc w:val="both"/>
              <w:rPr>
                <w:color w:val="auto"/>
                <w:lang w:val="en-GB"/>
              </w:rPr>
            </w:pPr>
            <w:r w:rsidRPr="00C95299">
              <w:rPr>
                <w:color w:val="auto"/>
                <w:lang w:val="en-GB"/>
              </w:rPr>
              <w:t>Asaba</w:t>
            </w:r>
          </w:p>
        </w:tc>
        <w:tc>
          <w:tcPr>
            <w:tcW w:w="1000" w:type="pct"/>
          </w:tcPr>
          <w:p w14:paraId="19546DC7" w14:textId="77777777" w:rsidR="00DB772A" w:rsidRPr="00C95299" w:rsidRDefault="00DB772A" w:rsidP="00DB772A">
            <w:pPr>
              <w:pStyle w:val="Default"/>
              <w:contextualSpacing/>
              <w:jc w:val="both"/>
              <w:rPr>
                <w:color w:val="auto"/>
                <w:lang w:val="en-GB"/>
              </w:rPr>
            </w:pPr>
            <w:r w:rsidRPr="00C95299">
              <w:rPr>
                <w:color w:val="auto"/>
                <w:lang w:val="en-GB"/>
              </w:rPr>
              <w:t>150,032</w:t>
            </w:r>
          </w:p>
        </w:tc>
        <w:tc>
          <w:tcPr>
            <w:tcW w:w="1000" w:type="pct"/>
          </w:tcPr>
          <w:p w14:paraId="5704255C" w14:textId="77777777" w:rsidR="00DB772A" w:rsidRPr="00C95299" w:rsidRDefault="00DB772A" w:rsidP="00DB772A">
            <w:pPr>
              <w:pStyle w:val="Default"/>
              <w:contextualSpacing/>
              <w:jc w:val="both"/>
              <w:rPr>
                <w:color w:val="auto"/>
                <w:lang w:val="en-GB"/>
              </w:rPr>
            </w:pPr>
            <w:r w:rsidRPr="00C95299">
              <w:rPr>
                <w:color w:val="auto"/>
                <w:lang w:val="en-GB"/>
              </w:rPr>
              <w:t>214,829</w:t>
            </w:r>
          </w:p>
        </w:tc>
        <w:tc>
          <w:tcPr>
            <w:tcW w:w="1000" w:type="pct"/>
          </w:tcPr>
          <w:p w14:paraId="551A31DB" w14:textId="77777777" w:rsidR="00DB772A" w:rsidRPr="00C95299" w:rsidRDefault="00DB772A" w:rsidP="00DB772A">
            <w:pPr>
              <w:pStyle w:val="Default"/>
              <w:contextualSpacing/>
              <w:jc w:val="both"/>
              <w:rPr>
                <w:color w:val="auto"/>
                <w:lang w:val="en-GB"/>
              </w:rPr>
            </w:pPr>
            <w:r w:rsidRPr="00C95299">
              <w:rPr>
                <w:color w:val="auto"/>
                <w:lang w:val="en-GB"/>
              </w:rPr>
              <w:t>224,794</w:t>
            </w:r>
          </w:p>
        </w:tc>
      </w:tr>
      <w:tr w:rsidR="00C95299" w:rsidRPr="00C95299" w14:paraId="1250A4BC" w14:textId="77777777" w:rsidTr="00CB2917">
        <w:trPr>
          <w:trHeight w:val="924"/>
        </w:trPr>
        <w:tc>
          <w:tcPr>
            <w:tcW w:w="1000" w:type="pct"/>
          </w:tcPr>
          <w:p w14:paraId="7BE64F4A" w14:textId="77777777" w:rsidR="00DB772A" w:rsidRPr="00C95299" w:rsidRDefault="00DB772A" w:rsidP="00DB772A">
            <w:pPr>
              <w:pStyle w:val="Default"/>
              <w:contextualSpacing/>
              <w:jc w:val="both"/>
              <w:rPr>
                <w:color w:val="auto"/>
                <w:lang w:val="en-GB"/>
              </w:rPr>
            </w:pPr>
            <w:r w:rsidRPr="00C95299">
              <w:rPr>
                <w:color w:val="auto"/>
                <w:lang w:val="en-GB"/>
              </w:rPr>
              <w:lastRenderedPageBreak/>
              <w:t>Rivers</w:t>
            </w:r>
          </w:p>
        </w:tc>
        <w:tc>
          <w:tcPr>
            <w:tcW w:w="1000" w:type="pct"/>
          </w:tcPr>
          <w:p w14:paraId="4D7CB900" w14:textId="77777777" w:rsidR="00DB772A" w:rsidRPr="00C95299" w:rsidRDefault="00DB772A" w:rsidP="00DB772A">
            <w:pPr>
              <w:pStyle w:val="Default"/>
              <w:contextualSpacing/>
              <w:jc w:val="both"/>
              <w:rPr>
                <w:color w:val="auto"/>
                <w:lang w:val="en-GB"/>
              </w:rPr>
            </w:pPr>
            <w:r w:rsidRPr="00C95299">
              <w:rPr>
                <w:color w:val="auto"/>
                <w:lang w:val="en-GB"/>
              </w:rPr>
              <w:t>Port Harcourt</w:t>
            </w:r>
          </w:p>
        </w:tc>
        <w:tc>
          <w:tcPr>
            <w:tcW w:w="1000" w:type="pct"/>
          </w:tcPr>
          <w:p w14:paraId="44D21D3A" w14:textId="77777777" w:rsidR="00DB772A" w:rsidRPr="00C95299" w:rsidRDefault="00DB772A" w:rsidP="00DB772A">
            <w:pPr>
              <w:pStyle w:val="Default"/>
              <w:contextualSpacing/>
              <w:jc w:val="both"/>
              <w:rPr>
                <w:color w:val="auto"/>
                <w:lang w:val="en-GB"/>
              </w:rPr>
            </w:pPr>
            <w:r w:rsidRPr="00C95299">
              <w:rPr>
                <w:color w:val="auto"/>
                <w:lang w:val="en-GB"/>
              </w:rPr>
              <w:t>538,558</w:t>
            </w:r>
          </w:p>
        </w:tc>
        <w:tc>
          <w:tcPr>
            <w:tcW w:w="1000" w:type="pct"/>
          </w:tcPr>
          <w:p w14:paraId="4BB806F2" w14:textId="77777777" w:rsidR="00DB772A" w:rsidRPr="00C95299" w:rsidRDefault="00DB772A" w:rsidP="00DB772A">
            <w:pPr>
              <w:pStyle w:val="Default"/>
              <w:contextualSpacing/>
              <w:jc w:val="both"/>
              <w:rPr>
                <w:color w:val="auto"/>
                <w:lang w:val="en-GB"/>
              </w:rPr>
            </w:pPr>
            <w:r w:rsidRPr="00C95299">
              <w:rPr>
                <w:color w:val="auto"/>
                <w:lang w:val="en-GB"/>
              </w:rPr>
              <w:t>771,157</w:t>
            </w:r>
          </w:p>
        </w:tc>
        <w:tc>
          <w:tcPr>
            <w:tcW w:w="1000" w:type="pct"/>
          </w:tcPr>
          <w:p w14:paraId="6DEF59B0" w14:textId="77777777" w:rsidR="00DB772A" w:rsidRPr="00C95299" w:rsidRDefault="00DB772A" w:rsidP="00DB772A">
            <w:pPr>
              <w:pStyle w:val="Default"/>
              <w:contextualSpacing/>
              <w:jc w:val="both"/>
              <w:rPr>
                <w:color w:val="auto"/>
                <w:lang w:val="en-GB"/>
              </w:rPr>
            </w:pPr>
            <w:r w:rsidRPr="00C95299">
              <w:rPr>
                <w:color w:val="auto"/>
                <w:lang w:val="en-GB"/>
              </w:rPr>
              <w:t>1,148,665</w:t>
            </w:r>
          </w:p>
        </w:tc>
      </w:tr>
      <w:tr w:rsidR="00C95299" w:rsidRPr="00C95299" w14:paraId="09D59703" w14:textId="77777777" w:rsidTr="00CB2917">
        <w:trPr>
          <w:trHeight w:val="694"/>
        </w:trPr>
        <w:tc>
          <w:tcPr>
            <w:tcW w:w="1000" w:type="pct"/>
          </w:tcPr>
          <w:p w14:paraId="3ACC7413" w14:textId="77777777" w:rsidR="00DB772A" w:rsidRPr="00C95299" w:rsidRDefault="00DB772A" w:rsidP="00DB772A">
            <w:pPr>
              <w:pStyle w:val="Default"/>
              <w:contextualSpacing/>
              <w:jc w:val="both"/>
              <w:rPr>
                <w:b/>
                <w:bCs/>
                <w:color w:val="auto"/>
                <w:lang w:val="en-GB"/>
              </w:rPr>
            </w:pPr>
            <w:r w:rsidRPr="00C95299">
              <w:rPr>
                <w:b/>
                <w:bCs/>
                <w:color w:val="auto"/>
                <w:lang w:val="en-GB"/>
              </w:rPr>
              <w:t>Total</w:t>
            </w:r>
          </w:p>
        </w:tc>
        <w:tc>
          <w:tcPr>
            <w:tcW w:w="1000" w:type="pct"/>
          </w:tcPr>
          <w:p w14:paraId="508DC415" w14:textId="77777777" w:rsidR="00DB772A" w:rsidRPr="00C95299" w:rsidRDefault="00DB772A" w:rsidP="00DB772A">
            <w:pPr>
              <w:pStyle w:val="Default"/>
              <w:contextualSpacing/>
              <w:jc w:val="both"/>
              <w:rPr>
                <w:b/>
                <w:bCs/>
                <w:color w:val="auto"/>
                <w:lang w:val="en-GB"/>
              </w:rPr>
            </w:pPr>
          </w:p>
        </w:tc>
        <w:tc>
          <w:tcPr>
            <w:tcW w:w="1000" w:type="pct"/>
          </w:tcPr>
          <w:p w14:paraId="69A848E5" w14:textId="77777777" w:rsidR="00DB772A" w:rsidRPr="00C95299" w:rsidRDefault="00DB772A" w:rsidP="00DB772A">
            <w:pPr>
              <w:pStyle w:val="Default"/>
              <w:contextualSpacing/>
              <w:jc w:val="both"/>
              <w:rPr>
                <w:b/>
                <w:bCs/>
                <w:color w:val="auto"/>
                <w:lang w:val="en-GB"/>
              </w:rPr>
            </w:pPr>
            <w:r w:rsidRPr="00C95299">
              <w:rPr>
                <w:b/>
                <w:bCs/>
                <w:color w:val="auto"/>
                <w:lang w:val="en-GB"/>
              </w:rPr>
              <w:t>1,040,875</w:t>
            </w:r>
          </w:p>
        </w:tc>
        <w:tc>
          <w:tcPr>
            <w:tcW w:w="1000" w:type="pct"/>
          </w:tcPr>
          <w:p w14:paraId="78016F46" w14:textId="77777777" w:rsidR="00DB772A" w:rsidRPr="00C95299" w:rsidRDefault="00DB772A" w:rsidP="00DB772A">
            <w:pPr>
              <w:pStyle w:val="Default"/>
              <w:contextualSpacing/>
              <w:jc w:val="both"/>
              <w:rPr>
                <w:b/>
                <w:bCs/>
                <w:color w:val="auto"/>
                <w:lang w:val="en-GB"/>
              </w:rPr>
            </w:pPr>
            <w:r w:rsidRPr="00C95299">
              <w:rPr>
                <w:b/>
                <w:bCs/>
                <w:color w:val="auto"/>
                <w:lang w:val="en-GB"/>
              </w:rPr>
              <w:t>1,490,420</w:t>
            </w:r>
          </w:p>
        </w:tc>
        <w:tc>
          <w:tcPr>
            <w:tcW w:w="1000" w:type="pct"/>
          </w:tcPr>
          <w:p w14:paraId="6A16DAD2" w14:textId="77777777" w:rsidR="00DB772A" w:rsidRPr="00C95299" w:rsidRDefault="00DB772A" w:rsidP="00DB772A">
            <w:pPr>
              <w:pStyle w:val="Default"/>
              <w:contextualSpacing/>
              <w:jc w:val="both"/>
              <w:rPr>
                <w:b/>
                <w:bCs/>
                <w:color w:val="auto"/>
                <w:lang w:val="en-GB"/>
              </w:rPr>
            </w:pPr>
            <w:r w:rsidRPr="00C95299">
              <w:rPr>
                <w:b/>
                <w:bCs/>
                <w:color w:val="auto"/>
                <w:lang w:val="en-GB"/>
              </w:rPr>
              <w:t>1,897,859</w:t>
            </w:r>
          </w:p>
        </w:tc>
      </w:tr>
    </w:tbl>
    <w:p w14:paraId="620F1711" w14:textId="77777777" w:rsidR="00DB772A" w:rsidRPr="00C95299" w:rsidRDefault="00DB772A" w:rsidP="00DB772A">
      <w:pPr>
        <w:pStyle w:val="Default"/>
        <w:spacing w:after="200"/>
        <w:contextualSpacing/>
        <w:jc w:val="both"/>
        <w:rPr>
          <w:b/>
          <w:color w:val="auto"/>
          <w:lang w:val="en-GB"/>
        </w:rPr>
      </w:pPr>
      <w:r w:rsidRPr="00C95299">
        <w:rPr>
          <w:b/>
          <w:color w:val="auto"/>
          <w:lang w:val="en-GB"/>
        </w:rPr>
        <w:t>Source: Adapted from National Population Commission (NPC) (2006)</w:t>
      </w:r>
    </w:p>
    <w:p w14:paraId="77F4E43A" w14:textId="77777777" w:rsidR="00417602" w:rsidRPr="00C95299" w:rsidRDefault="00417602" w:rsidP="00417602">
      <w:pPr>
        <w:pStyle w:val="Default"/>
        <w:spacing w:after="200"/>
        <w:jc w:val="both"/>
        <w:rPr>
          <w:color w:val="auto"/>
          <w:lang w:val="en-GB"/>
        </w:rPr>
      </w:pPr>
      <w:r w:rsidRPr="00C95299">
        <w:rPr>
          <w:color w:val="auto"/>
          <w:lang w:val="en-GB"/>
        </w:rPr>
        <w:t>The population of the study, which was 1,897,859 was subjected to the Yamane (1967) formula in order to determine a sample size. The formula and the result are presented thus:</w:t>
      </w:r>
    </w:p>
    <w:p w14:paraId="08E48B58" w14:textId="77777777" w:rsidR="00417602" w:rsidRPr="00C95299" w:rsidRDefault="00417602" w:rsidP="00417602">
      <w:pPr>
        <w:spacing w:line="240" w:lineRule="auto"/>
        <w:ind w:right="0"/>
        <w:rPr>
          <w:rFonts w:ascii="Times New Roman" w:hAnsi="Times New Roman"/>
          <w:sz w:val="24"/>
          <w:szCs w:val="24"/>
          <w:lang w:val="en-GB"/>
        </w:rPr>
      </w:pPr>
      <w:r w:rsidRPr="00C95299">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109EE9A1" wp14:editId="3B758DCB">
                <wp:simplePos x="0" y="0"/>
                <wp:positionH relativeFrom="column">
                  <wp:posOffset>381000</wp:posOffset>
                </wp:positionH>
                <wp:positionV relativeFrom="paragraph">
                  <wp:posOffset>250190</wp:posOffset>
                </wp:positionV>
                <wp:extent cx="914400" cy="0"/>
                <wp:effectExtent l="9525" t="13970" r="9525" b="3365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3175">
                          <a:solidFill>
                            <a:srgbClr val="000000"/>
                          </a:solidFill>
                          <a:round/>
                        </a:ln>
                        <a:effectLst>
                          <a:outerShdw dist="23000" dir="5400000" rotWithShape="0">
                            <a:srgbClr val="000000">
                              <a:alpha val="34999"/>
                            </a:srgbClr>
                          </a:outerShdw>
                        </a:effectLst>
                      </wps:spPr>
                      <wps:bodyPr/>
                    </wps:wsp>
                  </a:graphicData>
                </a:graphic>
              </wp:anchor>
            </w:drawing>
          </mc:Choice>
          <mc:Fallback>
            <w:pict>
              <v:line w14:anchorId="652EA323" id="Straight Connector 3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0pt,19.7pt" to="102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" strokeweight=".25pt">
                <v:shadow on="t" color="black" opacity="22936f" origin=",.5" offset="0,.63889mm"/>
              </v:line>
            </w:pict>
          </mc:Fallback>
        </mc:AlternateContent>
      </w:r>
      <w:r w:rsidRPr="00C95299">
        <w:rPr>
          <w:rFonts w:ascii="Times New Roman" w:hAnsi="Times New Roman"/>
          <w:sz w:val="24"/>
          <w:szCs w:val="24"/>
          <w:lang w:val="en-GB"/>
        </w:rPr>
        <w:t xml:space="preserve">n    =  </w:t>
      </w:r>
      <w:r w:rsidRPr="00C95299">
        <w:rPr>
          <w:rFonts w:ascii="Times New Roman" w:hAnsi="Times New Roman"/>
          <w:sz w:val="24"/>
          <w:szCs w:val="24"/>
          <w:lang w:val="en-GB"/>
        </w:rPr>
        <w:tab/>
        <w:t xml:space="preserve">       N                                                                                         </w:t>
      </w:r>
      <w:r w:rsidRPr="00C95299">
        <w:rPr>
          <w:rFonts w:ascii="Times New Roman" w:hAnsi="Times New Roman"/>
          <w:sz w:val="24"/>
          <w:szCs w:val="24"/>
          <w:lang w:val="en-GB"/>
        </w:rPr>
        <w:tab/>
      </w:r>
      <w:r w:rsidRPr="00C95299">
        <w:rPr>
          <w:rFonts w:ascii="Times New Roman" w:hAnsi="Times New Roman"/>
          <w:sz w:val="24"/>
          <w:szCs w:val="24"/>
          <w:lang w:val="en-GB"/>
        </w:rPr>
        <w:tab/>
        <w:t>(</w:t>
      </w:r>
      <w:proofErr w:type="spellStart"/>
      <w:r w:rsidRPr="00C95299">
        <w:rPr>
          <w:rFonts w:ascii="Times New Roman" w:hAnsi="Times New Roman"/>
          <w:sz w:val="24"/>
          <w:szCs w:val="24"/>
          <w:lang w:val="en-GB"/>
        </w:rPr>
        <w:t>Equ</w:t>
      </w:r>
      <w:proofErr w:type="spellEnd"/>
      <w:r w:rsidRPr="00C95299">
        <w:rPr>
          <w:rFonts w:ascii="Times New Roman" w:hAnsi="Times New Roman"/>
          <w:sz w:val="24"/>
          <w:szCs w:val="24"/>
          <w:lang w:val="en-GB"/>
        </w:rPr>
        <w:t xml:space="preserve"> 1)</w:t>
      </w:r>
    </w:p>
    <w:p w14:paraId="42C275A0" w14:textId="77777777" w:rsidR="00417602" w:rsidRPr="00C95299" w:rsidRDefault="00417602" w:rsidP="00417602">
      <w:pPr>
        <w:spacing w:line="240" w:lineRule="auto"/>
        <w:ind w:left="720" w:right="0"/>
        <w:rPr>
          <w:rFonts w:ascii="Times New Roman" w:hAnsi="Times New Roman"/>
          <w:sz w:val="24"/>
          <w:szCs w:val="24"/>
          <w:lang w:val="en-GB"/>
        </w:rPr>
      </w:pPr>
      <w:r w:rsidRPr="00C95299">
        <w:rPr>
          <w:rFonts w:ascii="Times New Roman" w:hAnsi="Times New Roman"/>
          <w:sz w:val="24"/>
          <w:szCs w:val="24"/>
          <w:lang w:val="en-GB"/>
        </w:rPr>
        <w:t xml:space="preserve"> 1 +N (</w:t>
      </w:r>
      <w:r w:rsidRPr="00C95299">
        <w:rPr>
          <w:rFonts w:ascii="Times New Roman" w:hAnsi="Times New Roman"/>
          <w:i/>
          <w:sz w:val="24"/>
          <w:szCs w:val="24"/>
          <w:lang w:val="en-GB"/>
        </w:rPr>
        <w:t>e</w:t>
      </w:r>
      <w:r w:rsidRPr="00C95299">
        <w:rPr>
          <w:rFonts w:ascii="Times New Roman" w:hAnsi="Times New Roman"/>
          <w:sz w:val="24"/>
          <w:szCs w:val="24"/>
          <w:lang w:val="en-GB"/>
        </w:rPr>
        <w:t xml:space="preserve">) </w:t>
      </w:r>
      <w:r w:rsidRPr="00C95299">
        <w:rPr>
          <w:rFonts w:ascii="Times New Roman" w:hAnsi="Times New Roman"/>
          <w:sz w:val="24"/>
          <w:szCs w:val="24"/>
          <w:vertAlign w:val="superscript"/>
          <w:lang w:val="en-GB"/>
        </w:rPr>
        <w:t xml:space="preserve">2 </w:t>
      </w:r>
    </w:p>
    <w:p w14:paraId="39275FFB" w14:textId="77777777" w:rsidR="00417602" w:rsidRPr="00C95299" w:rsidRDefault="00417602" w:rsidP="00417602">
      <w:pPr>
        <w:spacing w:line="240" w:lineRule="auto"/>
        <w:ind w:right="0"/>
        <w:rPr>
          <w:rFonts w:ascii="Times New Roman" w:hAnsi="Times New Roman"/>
          <w:sz w:val="24"/>
          <w:szCs w:val="24"/>
          <w:lang w:val="en-GB"/>
        </w:rPr>
      </w:pPr>
      <w:r w:rsidRPr="00C95299">
        <w:rPr>
          <w:rFonts w:ascii="Times New Roman" w:hAnsi="Times New Roman"/>
          <w:sz w:val="24"/>
          <w:szCs w:val="24"/>
          <w:lang w:val="en-GB"/>
        </w:rPr>
        <w:t xml:space="preserve">Where:  n = the sample size  </w:t>
      </w:r>
    </w:p>
    <w:p w14:paraId="3699E664" w14:textId="77777777" w:rsidR="00417602" w:rsidRPr="00C95299" w:rsidRDefault="00417602" w:rsidP="00417602">
      <w:pPr>
        <w:spacing w:line="240" w:lineRule="auto"/>
        <w:ind w:right="0" w:firstLine="720"/>
        <w:rPr>
          <w:rFonts w:ascii="Times New Roman" w:hAnsi="Times New Roman"/>
          <w:sz w:val="24"/>
          <w:szCs w:val="24"/>
          <w:lang w:val="en-GB"/>
        </w:rPr>
      </w:pPr>
      <w:r w:rsidRPr="00C95299">
        <w:rPr>
          <w:rFonts w:ascii="Times New Roman" w:hAnsi="Times New Roman"/>
          <w:sz w:val="24"/>
          <w:szCs w:val="24"/>
          <w:lang w:val="en-GB"/>
        </w:rPr>
        <w:t xml:space="preserve"> N = the total population  </w:t>
      </w:r>
    </w:p>
    <w:p w14:paraId="49286BBC" w14:textId="77777777" w:rsidR="00417602" w:rsidRPr="00C95299" w:rsidRDefault="00417602" w:rsidP="00417602">
      <w:pPr>
        <w:spacing w:line="240" w:lineRule="auto"/>
        <w:ind w:right="0" w:firstLine="720"/>
        <w:rPr>
          <w:rFonts w:ascii="Times New Roman" w:hAnsi="Times New Roman"/>
          <w:sz w:val="24"/>
          <w:szCs w:val="24"/>
          <w:lang w:val="en-GB"/>
        </w:rPr>
      </w:pPr>
      <w:r w:rsidRPr="00C95299">
        <w:rPr>
          <w:rFonts w:ascii="Times New Roman" w:hAnsi="Times New Roman"/>
          <w:i/>
          <w:sz w:val="24"/>
          <w:szCs w:val="24"/>
          <w:lang w:val="en-GB"/>
        </w:rPr>
        <w:t>e</w:t>
      </w:r>
      <w:r w:rsidRPr="00C95299">
        <w:rPr>
          <w:rFonts w:ascii="Times New Roman" w:hAnsi="Times New Roman"/>
          <w:sz w:val="24"/>
          <w:szCs w:val="24"/>
          <w:lang w:val="en-GB"/>
        </w:rPr>
        <w:t xml:space="preserve"> = the error of sampling/accepted error limits (0.05%) </w:t>
      </w:r>
    </w:p>
    <w:p w14:paraId="2EB9EA3B" w14:textId="77777777" w:rsidR="00417602" w:rsidRPr="00C95299" w:rsidRDefault="00417602" w:rsidP="00417602">
      <w:pPr>
        <w:spacing w:line="240" w:lineRule="auto"/>
        <w:ind w:right="0" w:firstLine="720"/>
        <w:rPr>
          <w:rFonts w:ascii="Times New Roman" w:hAnsi="Times New Roman"/>
          <w:sz w:val="24"/>
          <w:szCs w:val="24"/>
          <w:lang w:val="en-GB"/>
        </w:rPr>
      </w:pPr>
      <w:r w:rsidRPr="00C95299">
        <w:rPr>
          <w:rFonts w:ascii="Times New Roman" w:hAnsi="Times New Roman"/>
          <w:sz w:val="24"/>
          <w:szCs w:val="24"/>
          <w:lang w:val="en-GB"/>
        </w:rPr>
        <w:t xml:space="preserve"> 1 = the constant figure/level of precision.</w:t>
      </w:r>
    </w:p>
    <w:p w14:paraId="2D5BB898" w14:textId="77777777" w:rsidR="007074C0" w:rsidRPr="00C95299" w:rsidRDefault="00417602" w:rsidP="00657982">
      <w:pPr>
        <w:spacing w:after="0" w:line="240" w:lineRule="auto"/>
        <w:ind w:right="0"/>
        <w:rPr>
          <w:rFonts w:ascii="Times New Roman" w:hAnsi="Times New Roman"/>
          <w:sz w:val="24"/>
          <w:szCs w:val="24"/>
          <w:lang w:val="en-GB"/>
        </w:rPr>
      </w:pPr>
      <w:r w:rsidRPr="00C95299">
        <w:rPr>
          <w:rFonts w:ascii="Times New Roman" w:hAnsi="Times New Roman"/>
          <w:sz w:val="24"/>
          <w:szCs w:val="24"/>
          <w:lang w:val="en-GB"/>
        </w:rPr>
        <w:t>Using the Taro Yamane formula by substituting 1,897,859 in the equation 3.1</w:t>
      </w:r>
      <w:r w:rsidRPr="00C95299">
        <w:rPr>
          <w:rFonts w:ascii="Times New Roman" w:hAnsi="Times New Roman"/>
          <w:b/>
          <w:sz w:val="24"/>
          <w:szCs w:val="24"/>
          <w:lang w:val="en-GB"/>
        </w:rPr>
        <w:t xml:space="preserve">; </w:t>
      </w:r>
      <w:r w:rsidRPr="00C95299">
        <w:rPr>
          <w:rFonts w:ascii="Times New Roman" w:hAnsi="Times New Roman"/>
          <w:sz w:val="24"/>
          <w:szCs w:val="24"/>
          <w:lang w:val="en-GB"/>
        </w:rPr>
        <w:t>the sample size is 399.93. This is approximately 400.</w:t>
      </w:r>
      <w:r w:rsidR="007074C0" w:rsidRPr="00C95299">
        <w:rPr>
          <w:rFonts w:ascii="Times New Roman" w:hAnsi="Times New Roman"/>
          <w:sz w:val="24"/>
          <w:szCs w:val="24"/>
          <w:lang w:val="en-GB"/>
        </w:rPr>
        <w:t xml:space="preserve"> The sampling procedure employed for the study was the probability sampling procedure for residential land use areas, and the non-probability sampling procedure for commercial and industrial land use areas. The sampling techniques for the study were purposive and random sampling techniques. These techniques were employed for questionnaire administration in the study area. In other words, the total number of respondents as given by the sample size of 400 determined for the study constitutes the targeted respondents for questionnaire administration in the study area. Proportional sample sizes shall be utilized to determine the total number of copies of the questionnaire that shall be administered in each capital city to residents in the residential area land use. The details of these are presented on Table 2. </w:t>
      </w:r>
    </w:p>
    <w:p w14:paraId="32C56CEC" w14:textId="77777777" w:rsidR="00657982" w:rsidRPr="00C95299" w:rsidRDefault="00657982" w:rsidP="00657982">
      <w:pPr>
        <w:spacing w:after="0" w:line="240" w:lineRule="auto"/>
        <w:ind w:right="0"/>
        <w:rPr>
          <w:rFonts w:ascii="Times New Roman" w:hAnsi="Times New Roman"/>
          <w:sz w:val="24"/>
          <w:szCs w:val="24"/>
          <w:lang w:val="en-GB"/>
        </w:rPr>
      </w:pPr>
    </w:p>
    <w:p w14:paraId="5AF05B12" w14:textId="77777777" w:rsidR="00657982" w:rsidRPr="00C95299" w:rsidRDefault="00657982" w:rsidP="00657982">
      <w:pPr>
        <w:spacing w:after="0" w:line="240" w:lineRule="auto"/>
        <w:ind w:right="0"/>
        <w:rPr>
          <w:rFonts w:ascii="Times New Roman" w:hAnsi="Times New Roman"/>
          <w:sz w:val="24"/>
          <w:szCs w:val="24"/>
          <w:lang w:val="en-GB"/>
        </w:rPr>
      </w:pPr>
    </w:p>
    <w:p w14:paraId="51E2AA5D" w14:textId="77777777" w:rsidR="007074C0" w:rsidRPr="00C95299" w:rsidRDefault="007074C0" w:rsidP="007074C0">
      <w:pPr>
        <w:pStyle w:val="Default"/>
        <w:jc w:val="both"/>
        <w:rPr>
          <w:b/>
          <w:color w:val="auto"/>
          <w:lang w:val="en-GB"/>
        </w:rPr>
      </w:pPr>
      <w:r w:rsidRPr="00C95299">
        <w:rPr>
          <w:b/>
          <w:color w:val="auto"/>
          <w:lang w:val="en-GB"/>
        </w:rPr>
        <w:t>Table 2: Proportional Sample Sizes for the Study</w:t>
      </w:r>
    </w:p>
    <w:tbl>
      <w:tblPr>
        <w:tblW w:w="5000" w:type="pct"/>
        <w:tblBorders>
          <w:top w:val="single" w:sz="4" w:space="0" w:color="auto"/>
          <w:bottom w:val="single" w:sz="4" w:space="0" w:color="auto"/>
        </w:tblBorders>
        <w:tblLook w:val="04A0" w:firstRow="1" w:lastRow="0" w:firstColumn="1" w:lastColumn="0" w:noHBand="0" w:noVBand="1"/>
      </w:tblPr>
      <w:tblGrid>
        <w:gridCol w:w="2270"/>
        <w:gridCol w:w="2586"/>
        <w:gridCol w:w="2360"/>
        <w:gridCol w:w="2360"/>
      </w:tblGrid>
      <w:tr w:rsidR="00C95299" w:rsidRPr="00C95299" w14:paraId="5159B8FC" w14:textId="77777777" w:rsidTr="00CB2917">
        <w:trPr>
          <w:trHeight w:val="1070"/>
        </w:trPr>
        <w:tc>
          <w:tcPr>
            <w:tcW w:w="1185" w:type="pct"/>
            <w:tcBorders>
              <w:top w:val="single" w:sz="4" w:space="0" w:color="auto"/>
              <w:bottom w:val="single" w:sz="4" w:space="0" w:color="auto"/>
            </w:tcBorders>
          </w:tcPr>
          <w:p w14:paraId="7FAE900B" w14:textId="77777777" w:rsidR="007074C0" w:rsidRPr="00C95299" w:rsidRDefault="007074C0" w:rsidP="007074C0">
            <w:pPr>
              <w:pStyle w:val="Default"/>
              <w:jc w:val="both"/>
              <w:rPr>
                <w:b/>
                <w:color w:val="auto"/>
                <w:lang w:val="en-GB"/>
              </w:rPr>
            </w:pPr>
            <w:r w:rsidRPr="00C95299">
              <w:rPr>
                <w:b/>
                <w:color w:val="auto"/>
                <w:lang w:val="en-GB"/>
              </w:rPr>
              <w:t>Capital cities</w:t>
            </w:r>
          </w:p>
        </w:tc>
        <w:tc>
          <w:tcPr>
            <w:tcW w:w="1350" w:type="pct"/>
            <w:tcBorders>
              <w:top w:val="single" w:sz="4" w:space="0" w:color="auto"/>
              <w:bottom w:val="single" w:sz="4" w:space="0" w:color="auto"/>
            </w:tcBorders>
          </w:tcPr>
          <w:p w14:paraId="66D8E32A" w14:textId="77777777" w:rsidR="007074C0" w:rsidRPr="00C95299" w:rsidRDefault="007074C0" w:rsidP="007074C0">
            <w:pPr>
              <w:pStyle w:val="Default"/>
              <w:jc w:val="both"/>
              <w:rPr>
                <w:b/>
                <w:color w:val="auto"/>
                <w:lang w:val="en-GB"/>
              </w:rPr>
            </w:pPr>
            <w:r w:rsidRPr="00C95299">
              <w:rPr>
                <w:b/>
                <w:color w:val="auto"/>
                <w:lang w:val="en-GB"/>
              </w:rPr>
              <w:t>Population (2024)</w:t>
            </w:r>
          </w:p>
        </w:tc>
        <w:tc>
          <w:tcPr>
            <w:tcW w:w="1232" w:type="pct"/>
            <w:tcBorders>
              <w:top w:val="single" w:sz="4" w:space="0" w:color="auto"/>
              <w:bottom w:val="single" w:sz="4" w:space="0" w:color="auto"/>
            </w:tcBorders>
          </w:tcPr>
          <w:p w14:paraId="298FB520" w14:textId="77777777" w:rsidR="007074C0" w:rsidRPr="00C95299" w:rsidRDefault="007074C0" w:rsidP="007074C0">
            <w:pPr>
              <w:pStyle w:val="Default"/>
              <w:jc w:val="both"/>
              <w:rPr>
                <w:b/>
                <w:color w:val="auto"/>
                <w:lang w:val="en-GB"/>
              </w:rPr>
            </w:pPr>
            <w:r w:rsidRPr="00C95299">
              <w:rPr>
                <w:b/>
                <w:color w:val="auto"/>
                <w:lang w:val="en-GB"/>
              </w:rPr>
              <w:t>Proportion Sample sizes</w:t>
            </w:r>
          </w:p>
        </w:tc>
        <w:tc>
          <w:tcPr>
            <w:tcW w:w="1232" w:type="pct"/>
            <w:tcBorders>
              <w:top w:val="single" w:sz="4" w:space="0" w:color="auto"/>
              <w:bottom w:val="single" w:sz="4" w:space="0" w:color="auto"/>
            </w:tcBorders>
          </w:tcPr>
          <w:p w14:paraId="09245190" w14:textId="77777777" w:rsidR="007074C0" w:rsidRPr="00C95299" w:rsidRDefault="007074C0" w:rsidP="007074C0">
            <w:pPr>
              <w:pStyle w:val="Default"/>
              <w:rPr>
                <w:b/>
                <w:color w:val="auto"/>
                <w:lang w:val="en-GB"/>
              </w:rPr>
            </w:pPr>
            <w:r w:rsidRPr="00C95299">
              <w:rPr>
                <w:b/>
                <w:color w:val="auto"/>
                <w:lang w:val="en-GB"/>
              </w:rPr>
              <w:t>Total copies of Questionnaire to be administered</w:t>
            </w:r>
          </w:p>
        </w:tc>
      </w:tr>
      <w:tr w:rsidR="00C95299" w:rsidRPr="00C95299" w14:paraId="7E1DB8A9" w14:textId="77777777" w:rsidTr="00CB2917">
        <w:trPr>
          <w:trHeight w:val="461"/>
        </w:trPr>
        <w:tc>
          <w:tcPr>
            <w:tcW w:w="1185" w:type="pct"/>
            <w:tcBorders>
              <w:top w:val="single" w:sz="4" w:space="0" w:color="auto"/>
            </w:tcBorders>
          </w:tcPr>
          <w:p w14:paraId="7A1A73CF" w14:textId="77777777" w:rsidR="007074C0" w:rsidRPr="00C95299" w:rsidRDefault="007074C0" w:rsidP="007074C0">
            <w:pPr>
              <w:pStyle w:val="Default"/>
              <w:jc w:val="both"/>
              <w:rPr>
                <w:color w:val="auto"/>
                <w:lang w:val="en-GB"/>
              </w:rPr>
            </w:pPr>
            <w:r w:rsidRPr="00C95299">
              <w:rPr>
                <w:color w:val="auto"/>
                <w:lang w:val="en-GB"/>
              </w:rPr>
              <w:t>Yenagoa</w:t>
            </w:r>
          </w:p>
        </w:tc>
        <w:tc>
          <w:tcPr>
            <w:tcW w:w="1350" w:type="pct"/>
            <w:tcBorders>
              <w:top w:val="single" w:sz="4" w:space="0" w:color="auto"/>
            </w:tcBorders>
          </w:tcPr>
          <w:p w14:paraId="63D9CB5A" w14:textId="77777777" w:rsidR="007074C0" w:rsidRPr="00C95299" w:rsidRDefault="007074C0" w:rsidP="007074C0">
            <w:pPr>
              <w:pStyle w:val="Default"/>
              <w:jc w:val="both"/>
              <w:rPr>
                <w:color w:val="auto"/>
                <w:lang w:val="en-GB"/>
              </w:rPr>
            </w:pPr>
            <w:r w:rsidRPr="00C95299">
              <w:rPr>
                <w:color w:val="auto"/>
                <w:lang w:val="en-GB"/>
              </w:rPr>
              <w:t>524,400</w:t>
            </w:r>
          </w:p>
        </w:tc>
        <w:tc>
          <w:tcPr>
            <w:tcW w:w="1232" w:type="pct"/>
            <w:tcBorders>
              <w:top w:val="single" w:sz="4" w:space="0" w:color="auto"/>
            </w:tcBorders>
          </w:tcPr>
          <w:p w14:paraId="355B1EFA" w14:textId="77777777" w:rsidR="007074C0" w:rsidRPr="00C95299" w:rsidRDefault="007074C0" w:rsidP="007074C0">
            <w:pPr>
              <w:pStyle w:val="Default"/>
              <w:jc w:val="both"/>
              <w:rPr>
                <w:color w:val="auto"/>
                <w:lang w:val="en-GB"/>
              </w:rPr>
            </w:pPr>
            <w:r w:rsidRPr="00C95299">
              <w:rPr>
                <w:color w:val="auto"/>
                <w:lang w:val="en-GB"/>
              </w:rPr>
              <w:t>110</w:t>
            </w:r>
          </w:p>
        </w:tc>
        <w:tc>
          <w:tcPr>
            <w:tcW w:w="1232" w:type="pct"/>
            <w:tcBorders>
              <w:top w:val="single" w:sz="4" w:space="0" w:color="auto"/>
            </w:tcBorders>
          </w:tcPr>
          <w:p w14:paraId="03C02A26" w14:textId="77777777" w:rsidR="007074C0" w:rsidRPr="00C95299" w:rsidRDefault="007074C0" w:rsidP="007074C0">
            <w:pPr>
              <w:pStyle w:val="Default"/>
              <w:jc w:val="both"/>
              <w:rPr>
                <w:color w:val="auto"/>
                <w:lang w:val="en-GB"/>
              </w:rPr>
            </w:pPr>
            <w:r w:rsidRPr="00C95299">
              <w:rPr>
                <w:color w:val="auto"/>
                <w:lang w:val="en-GB"/>
              </w:rPr>
              <w:t>110</w:t>
            </w:r>
          </w:p>
        </w:tc>
      </w:tr>
      <w:tr w:rsidR="00C95299" w:rsidRPr="00C95299" w14:paraId="03DDF55D" w14:textId="77777777" w:rsidTr="00CB2917">
        <w:trPr>
          <w:trHeight w:val="492"/>
        </w:trPr>
        <w:tc>
          <w:tcPr>
            <w:tcW w:w="1185" w:type="pct"/>
          </w:tcPr>
          <w:p w14:paraId="554228D3" w14:textId="77777777" w:rsidR="007074C0" w:rsidRPr="00C95299" w:rsidRDefault="007074C0" w:rsidP="007074C0">
            <w:pPr>
              <w:pStyle w:val="Default"/>
              <w:jc w:val="both"/>
              <w:rPr>
                <w:color w:val="auto"/>
                <w:lang w:val="en-GB"/>
              </w:rPr>
            </w:pPr>
            <w:r w:rsidRPr="00C95299">
              <w:rPr>
                <w:color w:val="auto"/>
                <w:lang w:val="en-GB"/>
              </w:rPr>
              <w:t>Asaba</w:t>
            </w:r>
          </w:p>
        </w:tc>
        <w:tc>
          <w:tcPr>
            <w:tcW w:w="1350" w:type="pct"/>
          </w:tcPr>
          <w:p w14:paraId="66250330" w14:textId="77777777" w:rsidR="007074C0" w:rsidRPr="00C95299" w:rsidRDefault="007074C0" w:rsidP="007074C0">
            <w:pPr>
              <w:pStyle w:val="Default"/>
              <w:jc w:val="both"/>
              <w:rPr>
                <w:color w:val="auto"/>
                <w:lang w:val="en-GB"/>
              </w:rPr>
            </w:pPr>
            <w:r w:rsidRPr="00C95299">
              <w:rPr>
                <w:color w:val="auto"/>
                <w:lang w:val="en-GB"/>
              </w:rPr>
              <w:t>224,794</w:t>
            </w:r>
          </w:p>
        </w:tc>
        <w:tc>
          <w:tcPr>
            <w:tcW w:w="1232" w:type="pct"/>
          </w:tcPr>
          <w:p w14:paraId="34F82ECA" w14:textId="77777777" w:rsidR="007074C0" w:rsidRPr="00C95299" w:rsidRDefault="007074C0" w:rsidP="007074C0">
            <w:pPr>
              <w:pStyle w:val="Default"/>
              <w:jc w:val="both"/>
              <w:rPr>
                <w:color w:val="auto"/>
                <w:lang w:val="en-GB"/>
              </w:rPr>
            </w:pPr>
            <w:r w:rsidRPr="00C95299">
              <w:rPr>
                <w:color w:val="auto"/>
                <w:lang w:val="en-GB"/>
              </w:rPr>
              <w:t>48</w:t>
            </w:r>
          </w:p>
        </w:tc>
        <w:tc>
          <w:tcPr>
            <w:tcW w:w="1232" w:type="pct"/>
          </w:tcPr>
          <w:p w14:paraId="3027D9DE" w14:textId="77777777" w:rsidR="007074C0" w:rsidRPr="00C95299" w:rsidRDefault="007074C0" w:rsidP="007074C0">
            <w:pPr>
              <w:pStyle w:val="Default"/>
              <w:jc w:val="both"/>
              <w:rPr>
                <w:color w:val="auto"/>
                <w:lang w:val="en-GB"/>
              </w:rPr>
            </w:pPr>
            <w:r w:rsidRPr="00C95299">
              <w:rPr>
                <w:color w:val="auto"/>
                <w:lang w:val="en-GB"/>
              </w:rPr>
              <w:t>48</w:t>
            </w:r>
          </w:p>
        </w:tc>
      </w:tr>
      <w:tr w:rsidR="00C95299" w:rsidRPr="00C95299" w14:paraId="1B25882C" w14:textId="77777777" w:rsidTr="00CB2917">
        <w:trPr>
          <w:trHeight w:val="492"/>
        </w:trPr>
        <w:tc>
          <w:tcPr>
            <w:tcW w:w="1185" w:type="pct"/>
          </w:tcPr>
          <w:p w14:paraId="751AB0D9" w14:textId="77777777" w:rsidR="007074C0" w:rsidRPr="00C95299" w:rsidRDefault="007074C0" w:rsidP="007074C0">
            <w:pPr>
              <w:pStyle w:val="Default"/>
              <w:jc w:val="both"/>
              <w:rPr>
                <w:color w:val="auto"/>
                <w:lang w:val="en-GB"/>
              </w:rPr>
            </w:pPr>
            <w:r w:rsidRPr="00C95299">
              <w:rPr>
                <w:color w:val="auto"/>
                <w:lang w:val="en-GB"/>
              </w:rPr>
              <w:t>Port Harcourt</w:t>
            </w:r>
          </w:p>
        </w:tc>
        <w:tc>
          <w:tcPr>
            <w:tcW w:w="1350" w:type="pct"/>
          </w:tcPr>
          <w:p w14:paraId="1BFF5A4A" w14:textId="77777777" w:rsidR="007074C0" w:rsidRPr="00C95299" w:rsidRDefault="007074C0" w:rsidP="007074C0">
            <w:pPr>
              <w:pStyle w:val="Default"/>
              <w:jc w:val="both"/>
              <w:rPr>
                <w:color w:val="auto"/>
                <w:lang w:val="en-GB"/>
              </w:rPr>
            </w:pPr>
            <w:r w:rsidRPr="00C95299">
              <w:rPr>
                <w:color w:val="auto"/>
                <w:lang w:val="en-GB"/>
              </w:rPr>
              <w:t>1,148,665</w:t>
            </w:r>
          </w:p>
        </w:tc>
        <w:tc>
          <w:tcPr>
            <w:tcW w:w="1232" w:type="pct"/>
          </w:tcPr>
          <w:p w14:paraId="2E377A43" w14:textId="77777777" w:rsidR="007074C0" w:rsidRPr="00C95299" w:rsidRDefault="007074C0" w:rsidP="007074C0">
            <w:pPr>
              <w:pStyle w:val="Default"/>
              <w:jc w:val="both"/>
              <w:rPr>
                <w:color w:val="auto"/>
                <w:lang w:val="en-GB"/>
              </w:rPr>
            </w:pPr>
            <w:r w:rsidRPr="00C95299">
              <w:rPr>
                <w:color w:val="auto"/>
                <w:lang w:val="en-GB"/>
              </w:rPr>
              <w:t>242</w:t>
            </w:r>
          </w:p>
        </w:tc>
        <w:tc>
          <w:tcPr>
            <w:tcW w:w="1232" w:type="pct"/>
          </w:tcPr>
          <w:p w14:paraId="215A2AB8" w14:textId="77777777" w:rsidR="007074C0" w:rsidRPr="00C95299" w:rsidRDefault="007074C0" w:rsidP="007074C0">
            <w:pPr>
              <w:pStyle w:val="Default"/>
              <w:jc w:val="both"/>
              <w:rPr>
                <w:color w:val="auto"/>
                <w:lang w:val="en-GB"/>
              </w:rPr>
            </w:pPr>
            <w:r w:rsidRPr="00C95299">
              <w:rPr>
                <w:color w:val="auto"/>
                <w:lang w:val="en-GB"/>
              </w:rPr>
              <w:t>242</w:t>
            </w:r>
          </w:p>
        </w:tc>
      </w:tr>
      <w:tr w:rsidR="00C95299" w:rsidRPr="00C95299" w14:paraId="7826DB1A" w14:textId="77777777" w:rsidTr="00CB2917">
        <w:trPr>
          <w:trHeight w:val="492"/>
        </w:trPr>
        <w:tc>
          <w:tcPr>
            <w:tcW w:w="1185" w:type="pct"/>
          </w:tcPr>
          <w:p w14:paraId="09E5C3B9" w14:textId="77777777" w:rsidR="007074C0" w:rsidRPr="00C95299" w:rsidRDefault="007074C0" w:rsidP="007074C0">
            <w:pPr>
              <w:pStyle w:val="Default"/>
              <w:jc w:val="both"/>
              <w:rPr>
                <w:color w:val="auto"/>
                <w:lang w:val="en-GB"/>
              </w:rPr>
            </w:pPr>
          </w:p>
        </w:tc>
        <w:tc>
          <w:tcPr>
            <w:tcW w:w="1350" w:type="pct"/>
          </w:tcPr>
          <w:p w14:paraId="4E924B7A" w14:textId="77777777" w:rsidR="007074C0" w:rsidRPr="00C95299" w:rsidRDefault="007074C0" w:rsidP="007074C0">
            <w:pPr>
              <w:pStyle w:val="Default"/>
              <w:jc w:val="both"/>
              <w:rPr>
                <w:b/>
                <w:color w:val="auto"/>
                <w:lang w:val="en-GB"/>
              </w:rPr>
            </w:pPr>
            <w:r w:rsidRPr="00C95299">
              <w:rPr>
                <w:b/>
                <w:bCs/>
                <w:color w:val="auto"/>
                <w:lang w:val="en-GB"/>
              </w:rPr>
              <w:t>1,897,859</w:t>
            </w:r>
          </w:p>
        </w:tc>
        <w:tc>
          <w:tcPr>
            <w:tcW w:w="1232" w:type="pct"/>
          </w:tcPr>
          <w:p w14:paraId="5D6654CB" w14:textId="77777777" w:rsidR="007074C0" w:rsidRPr="00C95299" w:rsidRDefault="007074C0" w:rsidP="007074C0">
            <w:pPr>
              <w:pStyle w:val="Default"/>
              <w:jc w:val="both"/>
              <w:rPr>
                <w:b/>
                <w:color w:val="auto"/>
                <w:lang w:val="en-GB"/>
              </w:rPr>
            </w:pPr>
            <w:r w:rsidRPr="00C95299">
              <w:rPr>
                <w:b/>
                <w:color w:val="auto"/>
                <w:lang w:val="en-GB"/>
              </w:rPr>
              <w:t>400</w:t>
            </w:r>
          </w:p>
        </w:tc>
        <w:tc>
          <w:tcPr>
            <w:tcW w:w="1232" w:type="pct"/>
          </w:tcPr>
          <w:p w14:paraId="39CFE8E8" w14:textId="77777777" w:rsidR="007074C0" w:rsidRPr="00C95299" w:rsidRDefault="007074C0" w:rsidP="007074C0">
            <w:pPr>
              <w:pStyle w:val="Default"/>
              <w:jc w:val="both"/>
              <w:rPr>
                <w:b/>
                <w:color w:val="auto"/>
                <w:lang w:val="en-GB"/>
              </w:rPr>
            </w:pPr>
            <w:r w:rsidRPr="00C95299">
              <w:rPr>
                <w:b/>
                <w:color w:val="auto"/>
                <w:lang w:val="en-GB"/>
              </w:rPr>
              <w:t>400</w:t>
            </w:r>
          </w:p>
        </w:tc>
      </w:tr>
    </w:tbl>
    <w:p w14:paraId="05B077F3" w14:textId="77777777" w:rsidR="00C701A6" w:rsidRPr="00C95299" w:rsidRDefault="00C701A6" w:rsidP="00C701A6">
      <w:pPr>
        <w:pStyle w:val="Default"/>
        <w:spacing w:line="276" w:lineRule="auto"/>
        <w:jc w:val="both"/>
        <w:rPr>
          <w:bCs/>
          <w:color w:val="auto"/>
          <w:lang w:val="en-GB"/>
        </w:rPr>
      </w:pPr>
      <w:r w:rsidRPr="00C95299">
        <w:rPr>
          <w:bCs/>
          <w:color w:val="auto"/>
          <w:lang w:val="en-GB"/>
        </w:rPr>
        <w:lastRenderedPageBreak/>
        <w:t xml:space="preserve">The commercial centres and the industries to be selected for the study relied on their proximity to residential areas. Thus, the study was carried out a pre-survey exercise to identify and enumerate these commercial centres and industries in close proximity to residential areas. Thus, conveniently, based on how easy it was to access these commercial centres and industries, the researcher selected participants for the study from a group of already identified and enumerated participants.  </w:t>
      </w:r>
      <w:r w:rsidR="00392A63" w:rsidRPr="00C95299">
        <w:rPr>
          <w:bCs/>
          <w:color w:val="auto"/>
          <w:lang w:val="en-GB"/>
        </w:rPr>
        <w:t>Descriptive</w:t>
      </w:r>
      <w:r w:rsidR="00BD63FF" w:rsidRPr="00C95299">
        <w:rPr>
          <w:bCs/>
          <w:color w:val="auto"/>
          <w:lang w:val="en-GB"/>
        </w:rPr>
        <w:t xml:space="preserve"> statistics</w:t>
      </w:r>
      <w:r w:rsidR="00392A63" w:rsidRPr="00C95299">
        <w:rPr>
          <w:bCs/>
          <w:color w:val="auto"/>
          <w:lang w:val="en-GB"/>
        </w:rPr>
        <w:t xml:space="preserve"> </w:t>
      </w:r>
      <w:r w:rsidR="00BD63FF" w:rsidRPr="00C95299">
        <w:rPr>
          <w:bCs/>
          <w:color w:val="auto"/>
          <w:lang w:val="en-GB"/>
        </w:rPr>
        <w:t xml:space="preserve">in terms of frequency and percentage and inferential </w:t>
      </w:r>
      <w:r w:rsidR="00392A63" w:rsidRPr="00C95299">
        <w:rPr>
          <w:bCs/>
          <w:color w:val="auto"/>
          <w:lang w:val="en-GB"/>
        </w:rPr>
        <w:t xml:space="preserve">statistics </w:t>
      </w:r>
      <w:r w:rsidR="00BD63FF" w:rsidRPr="00C95299">
        <w:rPr>
          <w:bCs/>
          <w:color w:val="auto"/>
          <w:lang w:val="en-GB"/>
        </w:rPr>
        <w:t xml:space="preserve">in terms of analysis of variance (ANOVA) </w:t>
      </w:r>
      <w:r w:rsidR="00392A63" w:rsidRPr="00C95299">
        <w:rPr>
          <w:bCs/>
          <w:color w:val="auto"/>
          <w:lang w:val="en-GB"/>
        </w:rPr>
        <w:t>were employed for the data analysis.</w:t>
      </w:r>
    </w:p>
    <w:p w14:paraId="5DF6505C" w14:textId="77777777" w:rsidR="004B0B82" w:rsidRPr="00C95299" w:rsidRDefault="004B0B82" w:rsidP="00657982">
      <w:pPr>
        <w:spacing w:before="240" w:after="0" w:line="240" w:lineRule="auto"/>
        <w:ind w:right="0"/>
        <w:rPr>
          <w:rFonts w:ascii="Times New Roman" w:hAnsi="Times New Roman"/>
          <w:b/>
          <w:sz w:val="24"/>
          <w:szCs w:val="24"/>
          <w:lang w:val="en-GB"/>
        </w:rPr>
      </w:pPr>
      <w:r w:rsidRPr="00C95299">
        <w:rPr>
          <w:rFonts w:ascii="Times New Roman" w:hAnsi="Times New Roman"/>
          <w:b/>
          <w:sz w:val="24"/>
          <w:szCs w:val="24"/>
          <w:lang w:val="en-GB"/>
        </w:rPr>
        <w:t>Results and Discussions</w:t>
      </w:r>
    </w:p>
    <w:p w14:paraId="4D75C445" w14:textId="77777777" w:rsidR="00BF4C7B" w:rsidRPr="00C95299" w:rsidRDefault="00BF4C7B" w:rsidP="00657982">
      <w:pPr>
        <w:spacing w:before="240" w:after="0" w:line="240" w:lineRule="auto"/>
        <w:ind w:right="0"/>
        <w:rPr>
          <w:rFonts w:ascii="Times New Roman" w:hAnsi="Times New Roman"/>
          <w:b/>
          <w:sz w:val="24"/>
          <w:szCs w:val="24"/>
          <w:lang w:val="en-GB"/>
        </w:rPr>
      </w:pPr>
      <w:r w:rsidRPr="00C95299">
        <w:rPr>
          <w:rFonts w:ascii="Times New Roman" w:eastAsia="Times New Roman" w:hAnsi="Times New Roman"/>
          <w:b/>
          <w:bCs/>
          <w:sz w:val="24"/>
          <w:szCs w:val="24"/>
          <w:lang w:val="en-GB" w:eastAsia="en-GB"/>
        </w:rPr>
        <w:t>Demographic Characteristics of Respondents in the study area</w:t>
      </w:r>
    </w:p>
    <w:p w14:paraId="39F765A8" w14:textId="77777777" w:rsidR="000E45BD" w:rsidRPr="00C95299" w:rsidRDefault="00BF4C7B" w:rsidP="000E45BD">
      <w:pPr>
        <w:spacing w:after="0" w:line="240" w:lineRule="auto"/>
        <w:ind w:right="0"/>
        <w:rPr>
          <w:rFonts w:ascii="Times New Roman" w:hAnsi="Times New Roman"/>
          <w:sz w:val="24"/>
          <w:szCs w:val="24"/>
          <w:lang w:val="en-GB"/>
        </w:rPr>
      </w:pPr>
      <w:r w:rsidRPr="00C95299">
        <w:rPr>
          <w:rFonts w:ascii="Times New Roman" w:hAnsi="Times New Roman"/>
          <w:sz w:val="24"/>
          <w:szCs w:val="24"/>
          <w:lang w:val="en-GB"/>
        </w:rPr>
        <w:t>A slightly higher proportion of the respondents were female (53.1%) com</w:t>
      </w:r>
      <w:r w:rsidR="00F102B9" w:rsidRPr="00C95299">
        <w:rPr>
          <w:rFonts w:ascii="Times New Roman" w:hAnsi="Times New Roman"/>
          <w:sz w:val="24"/>
          <w:szCs w:val="24"/>
          <w:lang w:val="en-GB"/>
        </w:rPr>
        <w:t>pared to male (46.9%) (Figure 2</w:t>
      </w:r>
      <w:r w:rsidRPr="00C95299">
        <w:rPr>
          <w:rFonts w:ascii="Times New Roman" w:hAnsi="Times New Roman"/>
          <w:sz w:val="24"/>
          <w:szCs w:val="24"/>
          <w:lang w:val="en-GB"/>
        </w:rPr>
        <w:t>). This balance suggests relatively equal gender representation in the sample, though women were more involved in the study.</w:t>
      </w:r>
      <w:r w:rsidR="00EA1298" w:rsidRPr="00C95299">
        <w:rPr>
          <w:rFonts w:ascii="Times New Roman" w:hAnsi="Times New Roman"/>
          <w:sz w:val="24"/>
          <w:szCs w:val="24"/>
          <w:lang w:val="en-GB"/>
        </w:rPr>
        <w:t xml:space="preserve"> The 26–35 age group constituted the largest portion of respondents (31.5%), followed by those aged 36–45 years (27.7%)</w:t>
      </w:r>
      <w:r w:rsidR="00F102B9" w:rsidRPr="00C95299">
        <w:rPr>
          <w:rFonts w:ascii="Times New Roman" w:hAnsi="Times New Roman"/>
          <w:sz w:val="24"/>
          <w:szCs w:val="24"/>
          <w:lang w:val="en-GB"/>
        </w:rPr>
        <w:t xml:space="preserve"> (Figure 3</w:t>
      </w:r>
      <w:r w:rsidR="00EA1298" w:rsidRPr="00C95299">
        <w:rPr>
          <w:rFonts w:ascii="Times New Roman" w:hAnsi="Times New Roman"/>
          <w:sz w:val="24"/>
          <w:szCs w:val="24"/>
          <w:lang w:val="en-GB"/>
        </w:rPr>
        <w:t>). The youngest group (18–25 years) made up 15.1%, while the 46–55 and 56+ age brackets comprised 16.4% and 9.3% (</w:t>
      </w:r>
      <w:r w:rsidR="00F102B9" w:rsidRPr="00C95299">
        <w:rPr>
          <w:rFonts w:ascii="Times New Roman" w:hAnsi="Times New Roman"/>
          <w:sz w:val="24"/>
          <w:szCs w:val="24"/>
          <w:lang w:val="en-GB"/>
        </w:rPr>
        <w:t>Figure 4</w:t>
      </w:r>
      <w:r w:rsidR="00EA1298" w:rsidRPr="00C95299">
        <w:rPr>
          <w:rFonts w:ascii="Times New Roman" w:hAnsi="Times New Roman"/>
          <w:sz w:val="24"/>
          <w:szCs w:val="24"/>
          <w:lang w:val="en-GB"/>
        </w:rPr>
        <w:t>), respectively. This distribution indicates that the majority of respondents fall within the economically active population, potentially reflecting their involvement in household and waste-related decisions.</w:t>
      </w:r>
      <w:r w:rsidR="00D10115" w:rsidRPr="00C95299">
        <w:rPr>
          <w:rFonts w:ascii="Times New Roman" w:hAnsi="Times New Roman"/>
          <w:sz w:val="24"/>
          <w:szCs w:val="24"/>
          <w:lang w:val="en-GB"/>
        </w:rPr>
        <w:t xml:space="preserve"> In Figure 5, the largest occupational groups were business/self-employed (24.7%) and traders (21.4%), followed by artisans/craftsmen (18.6%). Civil servants (12.6%) and unemployed individuals (13.6%) also made up a notable portion. Public servants accounted for 9.1%. </w:t>
      </w:r>
      <w:r w:rsidR="000E45BD" w:rsidRPr="00C95299">
        <w:rPr>
          <w:rFonts w:ascii="Times New Roman" w:hAnsi="Times New Roman"/>
          <w:sz w:val="24"/>
          <w:szCs w:val="24"/>
          <w:lang w:val="en-GB"/>
        </w:rPr>
        <w:t>Respondents with tertiary education were the most represented group (40.8%) (Figure 4), followed by those with secondary education (37%). Those with primary education made up 16.6%, while 5.5% indicated other educational levels. This suggests a relatively educated sample, with over three-quarters (77.8%) attaining at least secondary education, potentially influencing awareness and attitudes toward waste management.</w:t>
      </w:r>
    </w:p>
    <w:p w14:paraId="6303A8A8" w14:textId="77777777" w:rsidR="00D10115" w:rsidRPr="00C95299" w:rsidRDefault="00D10115" w:rsidP="00657982">
      <w:pPr>
        <w:spacing w:after="0" w:line="240" w:lineRule="auto"/>
        <w:ind w:right="0"/>
        <w:rPr>
          <w:rFonts w:ascii="Times New Roman" w:hAnsi="Times New Roman"/>
          <w:sz w:val="24"/>
          <w:szCs w:val="24"/>
          <w:lang w:val="en-GB"/>
        </w:rPr>
      </w:pPr>
      <w:r w:rsidRPr="00C95299">
        <w:rPr>
          <w:rFonts w:ascii="Times New Roman" w:hAnsi="Times New Roman"/>
          <w:sz w:val="24"/>
          <w:szCs w:val="24"/>
          <w:lang w:val="en-GB"/>
        </w:rPr>
        <w:t>This occupational spread reflects a diverse socioeconomic profile, with a significant proportion engaged in informal or self-directed income-generating activities, which may influence their exposure to waste and environmental conditions</w:t>
      </w:r>
      <w:r w:rsidR="000E45BD" w:rsidRPr="00C95299">
        <w:rPr>
          <w:rFonts w:ascii="Times New Roman" w:hAnsi="Times New Roman"/>
          <w:sz w:val="24"/>
          <w:szCs w:val="24"/>
          <w:lang w:val="en-GB"/>
        </w:rPr>
        <w:t xml:space="preserve"> (Figure 5)</w:t>
      </w:r>
      <w:r w:rsidRPr="00C95299">
        <w:rPr>
          <w:rFonts w:ascii="Times New Roman" w:hAnsi="Times New Roman"/>
          <w:sz w:val="24"/>
          <w:szCs w:val="24"/>
          <w:lang w:val="en-GB"/>
        </w:rPr>
        <w:t>.</w:t>
      </w:r>
    </w:p>
    <w:p w14:paraId="1E6A31F0" w14:textId="77777777" w:rsidR="00D10115" w:rsidRPr="00C95299" w:rsidRDefault="00D10115" w:rsidP="00EA1298">
      <w:pPr>
        <w:spacing w:after="0" w:line="240" w:lineRule="auto"/>
        <w:ind w:right="0"/>
        <w:rPr>
          <w:rFonts w:ascii="Times New Roman" w:hAnsi="Times New Roman"/>
          <w:sz w:val="24"/>
          <w:szCs w:val="24"/>
          <w:lang w:val="en-GB"/>
        </w:rPr>
      </w:pPr>
    </w:p>
    <w:p w14:paraId="6B0A9628" w14:textId="77777777" w:rsidR="00BF4C7B" w:rsidRPr="00C95299" w:rsidRDefault="00BF4C7B" w:rsidP="00BF4C7B">
      <w:pPr>
        <w:spacing w:after="0" w:line="240" w:lineRule="auto"/>
        <w:ind w:right="0"/>
        <w:rPr>
          <w:rFonts w:ascii="Times New Roman" w:hAnsi="Times New Roman"/>
          <w:sz w:val="24"/>
          <w:szCs w:val="24"/>
          <w:lang w:val="en-GB"/>
        </w:rPr>
      </w:pPr>
    </w:p>
    <w:p w14:paraId="102F71CC" w14:textId="77777777" w:rsidR="00BF4C7B" w:rsidRPr="00C95299" w:rsidRDefault="00BF4C7B" w:rsidP="00BF4C7B">
      <w:pPr>
        <w:spacing w:after="0" w:line="240" w:lineRule="auto"/>
        <w:ind w:right="0"/>
        <w:rPr>
          <w:rFonts w:ascii="Times New Roman" w:hAnsi="Times New Roman"/>
          <w:sz w:val="24"/>
          <w:szCs w:val="24"/>
          <w:lang w:val="en-GB"/>
        </w:rPr>
      </w:pPr>
    </w:p>
    <w:p w14:paraId="072D5CEE" w14:textId="77777777" w:rsidR="00BF4C7B" w:rsidRPr="00C95299" w:rsidRDefault="00BF4C7B" w:rsidP="00BF4C7B">
      <w:pPr>
        <w:spacing w:after="0" w:line="240" w:lineRule="auto"/>
        <w:ind w:right="0"/>
        <w:rPr>
          <w:rFonts w:ascii="Times New Roman" w:hAnsi="Times New Roman"/>
          <w:sz w:val="24"/>
          <w:szCs w:val="24"/>
          <w:lang w:val="en-GB"/>
        </w:rPr>
      </w:pPr>
    </w:p>
    <w:p w14:paraId="7252C450" w14:textId="77777777" w:rsidR="00BF4C7B" w:rsidRPr="00C95299" w:rsidRDefault="00BF4C7B" w:rsidP="00BF4C7B">
      <w:pPr>
        <w:spacing w:after="0" w:line="240" w:lineRule="auto"/>
        <w:ind w:right="0"/>
        <w:rPr>
          <w:rFonts w:ascii="Times New Roman" w:hAnsi="Times New Roman"/>
          <w:sz w:val="24"/>
          <w:szCs w:val="24"/>
          <w:lang w:val="en-GB"/>
        </w:rPr>
      </w:pPr>
    </w:p>
    <w:p w14:paraId="6C42378E" w14:textId="77777777" w:rsidR="00BF4C7B" w:rsidRPr="00C95299" w:rsidRDefault="00BF4C7B" w:rsidP="00BF4C7B">
      <w:pPr>
        <w:spacing w:after="0" w:line="240" w:lineRule="auto"/>
        <w:ind w:right="0"/>
        <w:rPr>
          <w:rFonts w:ascii="Times New Roman" w:hAnsi="Times New Roman"/>
          <w:sz w:val="24"/>
          <w:szCs w:val="24"/>
          <w:lang w:val="en-GB"/>
        </w:rPr>
      </w:pPr>
    </w:p>
    <w:p w14:paraId="435A4496" w14:textId="77777777" w:rsidR="00BF4C7B" w:rsidRPr="00C95299" w:rsidRDefault="00BF4C7B" w:rsidP="00BF4C7B">
      <w:pPr>
        <w:spacing w:after="0" w:line="240" w:lineRule="auto"/>
        <w:ind w:right="0"/>
        <w:rPr>
          <w:rFonts w:ascii="Times New Roman" w:hAnsi="Times New Roman"/>
          <w:b/>
          <w:sz w:val="24"/>
          <w:szCs w:val="24"/>
          <w:lang w:val="en-GB"/>
        </w:rPr>
      </w:pPr>
      <w:r w:rsidRPr="00C95299">
        <w:rPr>
          <w:rFonts w:ascii="Times New Roman" w:hAnsi="Times New Roman"/>
          <w:noProof/>
          <w:sz w:val="24"/>
          <w:szCs w:val="24"/>
        </w:rPr>
        <w:lastRenderedPageBreak/>
        <w:drawing>
          <wp:inline distT="0" distB="0" distL="0" distR="0" wp14:anchorId="27CD8974" wp14:editId="131EDF6A">
            <wp:extent cx="4572000" cy="27432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9060E06" w14:textId="77777777" w:rsidR="00BF4C7B" w:rsidRPr="00C95299" w:rsidRDefault="00924CAF" w:rsidP="00BF4C7B">
      <w:pPr>
        <w:spacing w:after="0" w:line="240" w:lineRule="auto"/>
        <w:ind w:right="0"/>
        <w:rPr>
          <w:rFonts w:ascii="Times New Roman" w:hAnsi="Times New Roman"/>
          <w:b/>
          <w:sz w:val="24"/>
          <w:szCs w:val="24"/>
          <w:lang w:val="en-GB"/>
        </w:rPr>
      </w:pPr>
      <w:r w:rsidRPr="00C95299">
        <w:rPr>
          <w:rFonts w:ascii="Times New Roman" w:hAnsi="Times New Roman"/>
          <w:b/>
          <w:sz w:val="24"/>
          <w:szCs w:val="24"/>
          <w:lang w:val="en-GB"/>
        </w:rPr>
        <w:t xml:space="preserve">Figure </w:t>
      </w:r>
      <w:r w:rsidR="00946DDA" w:rsidRPr="00C95299">
        <w:rPr>
          <w:rFonts w:ascii="Times New Roman" w:hAnsi="Times New Roman"/>
          <w:b/>
          <w:sz w:val="24"/>
          <w:szCs w:val="24"/>
          <w:lang w:val="en-GB"/>
        </w:rPr>
        <w:t>2</w:t>
      </w:r>
      <w:r w:rsidR="00BF4C7B" w:rsidRPr="00C95299">
        <w:rPr>
          <w:rFonts w:ascii="Times New Roman" w:hAnsi="Times New Roman"/>
          <w:b/>
          <w:sz w:val="24"/>
          <w:szCs w:val="24"/>
          <w:lang w:val="en-GB"/>
        </w:rPr>
        <w:t xml:space="preserve">: Sex distribution of the respondents in the study area </w:t>
      </w:r>
    </w:p>
    <w:p w14:paraId="7854ECB8" w14:textId="77777777" w:rsidR="00BF4C7B" w:rsidRPr="00C95299" w:rsidRDefault="00BF4C7B" w:rsidP="00BF4C7B">
      <w:pPr>
        <w:spacing w:after="0" w:line="240" w:lineRule="auto"/>
        <w:ind w:right="0"/>
        <w:rPr>
          <w:rFonts w:ascii="Times New Roman" w:hAnsi="Times New Roman"/>
          <w:b/>
          <w:sz w:val="24"/>
          <w:szCs w:val="24"/>
          <w:lang w:val="en-GB"/>
        </w:rPr>
      </w:pPr>
    </w:p>
    <w:p w14:paraId="6D0A4873" w14:textId="77777777" w:rsidR="00BF4C7B" w:rsidRPr="00C95299" w:rsidRDefault="00BF4C7B" w:rsidP="00BF4C7B">
      <w:pPr>
        <w:spacing w:after="0" w:line="240" w:lineRule="auto"/>
        <w:ind w:right="0"/>
        <w:rPr>
          <w:rFonts w:ascii="Times New Roman" w:hAnsi="Times New Roman"/>
          <w:b/>
          <w:sz w:val="24"/>
          <w:szCs w:val="24"/>
          <w:lang w:val="en-GB"/>
        </w:rPr>
      </w:pPr>
    </w:p>
    <w:p w14:paraId="3E8A5C7D" w14:textId="77777777" w:rsidR="00BF4C7B" w:rsidRPr="00C95299" w:rsidRDefault="00BF4C7B" w:rsidP="00BF4C7B">
      <w:pPr>
        <w:spacing w:after="0" w:line="240" w:lineRule="auto"/>
        <w:ind w:right="0"/>
        <w:rPr>
          <w:rFonts w:ascii="Times New Roman" w:hAnsi="Times New Roman"/>
          <w:b/>
          <w:sz w:val="24"/>
          <w:szCs w:val="24"/>
          <w:lang w:val="en-GB"/>
        </w:rPr>
      </w:pPr>
    </w:p>
    <w:p w14:paraId="5D0AF2DD" w14:textId="77777777" w:rsidR="00BF4C7B" w:rsidRPr="00C95299" w:rsidRDefault="00BF4C7B" w:rsidP="00BF4C7B">
      <w:pPr>
        <w:spacing w:after="0" w:line="240" w:lineRule="auto"/>
        <w:ind w:right="0"/>
        <w:rPr>
          <w:rFonts w:ascii="Times New Roman" w:hAnsi="Times New Roman"/>
          <w:sz w:val="24"/>
          <w:szCs w:val="24"/>
          <w:lang w:val="en-GB"/>
        </w:rPr>
      </w:pPr>
      <w:r w:rsidRPr="00C95299">
        <w:rPr>
          <w:rFonts w:ascii="Times New Roman" w:hAnsi="Times New Roman"/>
          <w:noProof/>
          <w:sz w:val="24"/>
          <w:szCs w:val="24"/>
        </w:rPr>
        <w:drawing>
          <wp:inline distT="0" distB="0" distL="0" distR="0" wp14:anchorId="226DA8CC" wp14:editId="63F151EE">
            <wp:extent cx="4572000" cy="274320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813DEC2" w14:textId="77777777" w:rsidR="00BF4C7B" w:rsidRPr="00C95299" w:rsidRDefault="00924CAF" w:rsidP="00BF4C7B">
      <w:pPr>
        <w:spacing w:after="0" w:line="240" w:lineRule="auto"/>
        <w:ind w:right="0"/>
        <w:rPr>
          <w:rFonts w:ascii="Times New Roman" w:hAnsi="Times New Roman"/>
          <w:b/>
          <w:sz w:val="24"/>
          <w:szCs w:val="24"/>
          <w:lang w:val="en-GB"/>
        </w:rPr>
      </w:pPr>
      <w:r w:rsidRPr="00C95299">
        <w:rPr>
          <w:rFonts w:ascii="Times New Roman" w:hAnsi="Times New Roman"/>
          <w:b/>
          <w:sz w:val="24"/>
          <w:szCs w:val="24"/>
          <w:lang w:val="en-GB"/>
        </w:rPr>
        <w:t xml:space="preserve">Figure </w:t>
      </w:r>
      <w:r w:rsidR="00946DDA" w:rsidRPr="00C95299">
        <w:rPr>
          <w:rFonts w:ascii="Times New Roman" w:hAnsi="Times New Roman"/>
          <w:b/>
          <w:sz w:val="24"/>
          <w:szCs w:val="24"/>
          <w:lang w:val="en-GB"/>
        </w:rPr>
        <w:t>3</w:t>
      </w:r>
      <w:r w:rsidR="00BF4C7B" w:rsidRPr="00C95299">
        <w:rPr>
          <w:rFonts w:ascii="Times New Roman" w:hAnsi="Times New Roman"/>
          <w:b/>
          <w:sz w:val="24"/>
          <w:szCs w:val="24"/>
          <w:lang w:val="en-GB"/>
        </w:rPr>
        <w:t xml:space="preserve">: The age distribution of the respondents </w:t>
      </w:r>
    </w:p>
    <w:p w14:paraId="7D555D1D" w14:textId="77777777" w:rsidR="00BF4C7B" w:rsidRPr="00C95299" w:rsidRDefault="00BF4C7B" w:rsidP="00BF4C7B">
      <w:pPr>
        <w:spacing w:after="0" w:line="240" w:lineRule="auto"/>
        <w:ind w:right="0"/>
        <w:rPr>
          <w:rFonts w:ascii="Times New Roman" w:hAnsi="Times New Roman"/>
          <w:sz w:val="24"/>
          <w:szCs w:val="24"/>
          <w:lang w:val="en-GB"/>
        </w:rPr>
      </w:pPr>
    </w:p>
    <w:p w14:paraId="4EE21AEB" w14:textId="77777777" w:rsidR="00BF4C7B" w:rsidRPr="00C95299" w:rsidRDefault="00BF4C7B" w:rsidP="00BF4C7B">
      <w:pPr>
        <w:spacing w:after="0" w:line="240" w:lineRule="auto"/>
        <w:ind w:right="0"/>
        <w:rPr>
          <w:rFonts w:ascii="Times New Roman" w:hAnsi="Times New Roman"/>
          <w:sz w:val="24"/>
          <w:szCs w:val="24"/>
          <w:lang w:val="en-GB"/>
        </w:rPr>
      </w:pPr>
    </w:p>
    <w:p w14:paraId="532F8D1A" w14:textId="77777777" w:rsidR="00BF4C7B" w:rsidRPr="00C95299" w:rsidRDefault="00BF4C7B" w:rsidP="00BF4C7B">
      <w:pPr>
        <w:spacing w:after="0" w:line="240" w:lineRule="auto"/>
        <w:ind w:right="0"/>
        <w:rPr>
          <w:rFonts w:ascii="Times New Roman" w:hAnsi="Times New Roman"/>
          <w:sz w:val="24"/>
          <w:szCs w:val="24"/>
          <w:lang w:val="en-GB"/>
        </w:rPr>
      </w:pPr>
    </w:p>
    <w:p w14:paraId="6244EF37" w14:textId="77777777" w:rsidR="00BF4C7B" w:rsidRPr="00C95299" w:rsidRDefault="00BF4C7B" w:rsidP="00BF4C7B">
      <w:pPr>
        <w:spacing w:after="0" w:line="240" w:lineRule="auto"/>
        <w:ind w:right="0"/>
        <w:rPr>
          <w:rFonts w:ascii="Times New Roman" w:hAnsi="Times New Roman"/>
          <w:sz w:val="24"/>
          <w:szCs w:val="24"/>
          <w:lang w:val="en-GB"/>
        </w:rPr>
      </w:pPr>
    </w:p>
    <w:p w14:paraId="099A09D8" w14:textId="77777777" w:rsidR="00BF4C7B" w:rsidRPr="00C95299" w:rsidRDefault="00BF4C7B" w:rsidP="00BF4C7B">
      <w:pPr>
        <w:spacing w:after="0" w:line="240" w:lineRule="auto"/>
        <w:ind w:right="0"/>
        <w:rPr>
          <w:rFonts w:ascii="Times New Roman" w:hAnsi="Times New Roman"/>
          <w:sz w:val="24"/>
          <w:szCs w:val="24"/>
          <w:lang w:val="en-GB"/>
        </w:rPr>
      </w:pPr>
    </w:p>
    <w:p w14:paraId="7578566B" w14:textId="77777777" w:rsidR="00BF4C7B" w:rsidRPr="00C95299" w:rsidRDefault="00BF4C7B" w:rsidP="00BF4C7B">
      <w:pPr>
        <w:spacing w:after="0" w:line="240" w:lineRule="auto"/>
        <w:ind w:right="0"/>
        <w:rPr>
          <w:rFonts w:ascii="Times New Roman" w:hAnsi="Times New Roman"/>
          <w:sz w:val="24"/>
          <w:szCs w:val="24"/>
          <w:lang w:val="en-GB"/>
        </w:rPr>
      </w:pPr>
    </w:p>
    <w:p w14:paraId="2498347E" w14:textId="77777777" w:rsidR="00BF4C7B" w:rsidRPr="00C95299" w:rsidRDefault="00BF4C7B" w:rsidP="00BF4C7B">
      <w:pPr>
        <w:spacing w:after="0" w:line="240" w:lineRule="auto"/>
        <w:ind w:right="0"/>
        <w:rPr>
          <w:rFonts w:ascii="Times New Roman" w:hAnsi="Times New Roman"/>
          <w:sz w:val="24"/>
          <w:szCs w:val="24"/>
          <w:lang w:val="en-GB"/>
        </w:rPr>
      </w:pPr>
      <w:r w:rsidRPr="00C95299">
        <w:rPr>
          <w:rFonts w:ascii="Times New Roman" w:hAnsi="Times New Roman"/>
          <w:noProof/>
          <w:sz w:val="24"/>
          <w:szCs w:val="24"/>
        </w:rPr>
        <w:lastRenderedPageBreak/>
        <w:drawing>
          <wp:inline distT="0" distB="0" distL="0" distR="0" wp14:anchorId="3BE0FDAA" wp14:editId="4170334E">
            <wp:extent cx="5452745" cy="2537460"/>
            <wp:effectExtent l="0" t="0" r="14605" b="1524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E2295B8" w14:textId="77777777" w:rsidR="00BF4C7B" w:rsidRPr="00C95299" w:rsidRDefault="00946DDA" w:rsidP="00BF4C7B">
      <w:pPr>
        <w:spacing w:after="0" w:line="240" w:lineRule="auto"/>
        <w:ind w:right="0"/>
        <w:rPr>
          <w:rFonts w:ascii="Times New Roman" w:hAnsi="Times New Roman"/>
          <w:b/>
          <w:sz w:val="24"/>
          <w:szCs w:val="24"/>
          <w:lang w:val="en-GB"/>
        </w:rPr>
      </w:pPr>
      <w:r w:rsidRPr="00C95299">
        <w:rPr>
          <w:rFonts w:ascii="Times New Roman" w:hAnsi="Times New Roman"/>
          <w:b/>
          <w:sz w:val="24"/>
          <w:szCs w:val="24"/>
          <w:lang w:val="en-GB"/>
        </w:rPr>
        <w:t>Figure 4</w:t>
      </w:r>
      <w:r w:rsidR="00BF4C7B" w:rsidRPr="00C95299">
        <w:rPr>
          <w:rFonts w:ascii="Times New Roman" w:hAnsi="Times New Roman"/>
          <w:b/>
          <w:sz w:val="24"/>
          <w:szCs w:val="24"/>
          <w:lang w:val="en-GB"/>
        </w:rPr>
        <w:t xml:space="preserve">: Level of Education of respondents in the study area </w:t>
      </w:r>
    </w:p>
    <w:p w14:paraId="0FD6ACC8" w14:textId="77777777" w:rsidR="00BF4C7B" w:rsidRPr="00C95299" w:rsidRDefault="00BF4C7B" w:rsidP="00BF4C7B">
      <w:pPr>
        <w:spacing w:after="0" w:line="240" w:lineRule="auto"/>
        <w:ind w:right="0"/>
        <w:rPr>
          <w:rFonts w:ascii="Times New Roman" w:hAnsi="Times New Roman"/>
          <w:sz w:val="24"/>
          <w:szCs w:val="24"/>
          <w:lang w:val="en-GB"/>
        </w:rPr>
      </w:pPr>
    </w:p>
    <w:p w14:paraId="39AF2EBA" w14:textId="77777777" w:rsidR="00BF4C7B" w:rsidRPr="00C95299" w:rsidRDefault="00BF4C7B" w:rsidP="00BF4C7B">
      <w:pPr>
        <w:spacing w:after="0" w:line="240" w:lineRule="auto"/>
        <w:ind w:right="0"/>
        <w:rPr>
          <w:rFonts w:ascii="Times New Roman" w:hAnsi="Times New Roman"/>
          <w:sz w:val="24"/>
          <w:szCs w:val="24"/>
          <w:lang w:val="en-GB"/>
        </w:rPr>
      </w:pPr>
    </w:p>
    <w:p w14:paraId="10A066A5" w14:textId="77777777" w:rsidR="00BF4C7B" w:rsidRPr="00C95299" w:rsidRDefault="00BF4C7B" w:rsidP="00BF4C7B">
      <w:pPr>
        <w:spacing w:after="0" w:line="240" w:lineRule="auto"/>
        <w:ind w:right="0"/>
        <w:rPr>
          <w:rFonts w:ascii="Times New Roman" w:hAnsi="Times New Roman"/>
          <w:sz w:val="24"/>
          <w:szCs w:val="24"/>
          <w:lang w:val="en-GB"/>
        </w:rPr>
      </w:pPr>
      <w:r w:rsidRPr="00C95299">
        <w:rPr>
          <w:rFonts w:ascii="Times New Roman" w:hAnsi="Times New Roman"/>
          <w:noProof/>
          <w:sz w:val="24"/>
          <w:szCs w:val="24"/>
        </w:rPr>
        <w:drawing>
          <wp:inline distT="0" distB="0" distL="0" distR="0" wp14:anchorId="086D1B4B" wp14:editId="5CBCCB8F">
            <wp:extent cx="4572000" cy="27432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48E8FF2" w14:textId="77777777" w:rsidR="00BF4C7B" w:rsidRPr="00C95299" w:rsidRDefault="00946DDA" w:rsidP="00BF4C7B">
      <w:pPr>
        <w:spacing w:after="0" w:line="240" w:lineRule="auto"/>
        <w:ind w:right="0"/>
        <w:rPr>
          <w:rFonts w:ascii="Times New Roman" w:hAnsi="Times New Roman"/>
          <w:b/>
          <w:sz w:val="24"/>
          <w:szCs w:val="24"/>
          <w:lang w:val="en-GB"/>
        </w:rPr>
      </w:pPr>
      <w:r w:rsidRPr="00C95299">
        <w:rPr>
          <w:rFonts w:ascii="Times New Roman" w:hAnsi="Times New Roman"/>
          <w:b/>
          <w:sz w:val="24"/>
          <w:szCs w:val="24"/>
          <w:lang w:val="en-GB"/>
        </w:rPr>
        <w:t>Figure 5</w:t>
      </w:r>
      <w:r w:rsidR="00BF4C7B" w:rsidRPr="00C95299">
        <w:rPr>
          <w:rFonts w:ascii="Times New Roman" w:hAnsi="Times New Roman"/>
          <w:b/>
          <w:sz w:val="24"/>
          <w:szCs w:val="24"/>
          <w:lang w:val="en-GB"/>
        </w:rPr>
        <w:t xml:space="preserve">: Occupation distribution of respondents in the study area </w:t>
      </w:r>
    </w:p>
    <w:p w14:paraId="1C35261C" w14:textId="77777777" w:rsidR="00BF4C7B" w:rsidRPr="00C95299" w:rsidRDefault="00BF4C7B" w:rsidP="00BF4C7B">
      <w:pPr>
        <w:spacing w:after="0" w:line="240" w:lineRule="auto"/>
        <w:ind w:right="0"/>
        <w:rPr>
          <w:rFonts w:ascii="Times New Roman" w:hAnsi="Times New Roman"/>
          <w:sz w:val="24"/>
          <w:szCs w:val="24"/>
          <w:lang w:val="en-GB"/>
        </w:rPr>
      </w:pPr>
    </w:p>
    <w:p w14:paraId="3E03C8ED" w14:textId="77777777" w:rsidR="00946DDA" w:rsidRPr="00C95299" w:rsidRDefault="00946DDA" w:rsidP="00946DDA">
      <w:pPr>
        <w:spacing w:after="0"/>
        <w:ind w:right="0"/>
        <w:rPr>
          <w:rFonts w:ascii="Times New Roman" w:hAnsi="Times New Roman"/>
          <w:b/>
          <w:sz w:val="24"/>
          <w:szCs w:val="24"/>
          <w:lang w:val="en-GB"/>
        </w:rPr>
      </w:pPr>
      <w:r w:rsidRPr="00C95299">
        <w:rPr>
          <w:rFonts w:ascii="Times New Roman" w:hAnsi="Times New Roman"/>
          <w:b/>
          <w:sz w:val="24"/>
          <w:szCs w:val="24"/>
          <w:lang w:val="en-GB"/>
        </w:rPr>
        <w:t>Wastes characteristics in the study area</w:t>
      </w:r>
    </w:p>
    <w:p w14:paraId="32401440" w14:textId="77777777" w:rsidR="00BD63FF" w:rsidRPr="00C95299" w:rsidRDefault="00946DDA" w:rsidP="00BD63FF">
      <w:pPr>
        <w:spacing w:after="0" w:line="240" w:lineRule="auto"/>
        <w:ind w:right="0"/>
        <w:contextualSpacing/>
        <w:rPr>
          <w:rFonts w:ascii="Times New Roman" w:hAnsi="Times New Roman"/>
          <w:sz w:val="24"/>
          <w:szCs w:val="24"/>
        </w:rPr>
      </w:pPr>
      <w:r w:rsidRPr="00C95299">
        <w:rPr>
          <w:rFonts w:ascii="Times New Roman" w:hAnsi="Times New Roman"/>
          <w:sz w:val="24"/>
          <w:szCs w:val="24"/>
        </w:rPr>
        <w:t xml:space="preserve">The fieldwork conducted across Bayelsa, Rivers, and Delta States revealed that the state of waste generation and management practices in the region is disturbing (Table 3). The waste characteristics identified in these areas vary significantly between urban and peri-urban/rural ones, but the overall picture details a hazardous and unsustainable sanitation situation. In urban areas, particularly Yenagoa, the volume of non-biodegradable waste which includes wastes types such as plastics, e-waste, and construction debris was common sights. These wastes were observed to originate primarily from households, markets, commercial hubs, and healthcare institutions. Conversely, the peri-urban and rural regions like which are adjoining areas of the Cities exhibited higher volumes of biodegradable waste, including food residue, agricultural </w:t>
      </w:r>
      <w:r w:rsidRPr="00C95299">
        <w:rPr>
          <w:rFonts w:ascii="Times New Roman" w:hAnsi="Times New Roman"/>
          <w:sz w:val="24"/>
          <w:szCs w:val="24"/>
        </w:rPr>
        <w:lastRenderedPageBreak/>
        <w:t>litter, and animal droppings, which were mainly generated from households, farms, and local markets.</w:t>
      </w:r>
    </w:p>
    <w:p w14:paraId="5F55A128" w14:textId="77777777" w:rsidR="00946DDA" w:rsidRPr="00C95299" w:rsidRDefault="00946DDA" w:rsidP="00BD63FF">
      <w:pPr>
        <w:spacing w:after="0" w:line="240" w:lineRule="auto"/>
        <w:ind w:right="0"/>
        <w:contextualSpacing/>
        <w:rPr>
          <w:rFonts w:ascii="Times New Roman" w:hAnsi="Times New Roman"/>
          <w:sz w:val="24"/>
          <w:szCs w:val="24"/>
        </w:rPr>
      </w:pPr>
      <w:r w:rsidRPr="00C95299">
        <w:rPr>
          <w:rFonts w:ascii="Times New Roman" w:hAnsi="Times New Roman"/>
          <w:sz w:val="24"/>
          <w:szCs w:val="24"/>
        </w:rPr>
        <w:t>Although a significant portion of the waste generated (especially in rural areas) is biodegradable, both settings face serious limitations when it came to recycling and reuse of wastes. In the urban areas a high potential for recycling plastics, metals, and paper were shown; however, the absence of structured recycling systems and lack of awareness have crippled these opportunities. In rural areas, informal reuse methods such as using compost or feeding waste to animals were common but often unhygienic and unregulated. These practices, while resourceful, pose serious health and environmental risks due to the mixture of biodegradable and harmful non-biodegradable waste.</w:t>
      </w:r>
      <w:r w:rsidRPr="00C95299">
        <w:t xml:space="preserve"> </w:t>
      </w:r>
      <w:r w:rsidRPr="00C95299">
        <w:rPr>
          <w:rFonts w:ascii="Times New Roman" w:hAnsi="Times New Roman"/>
          <w:sz w:val="24"/>
          <w:szCs w:val="24"/>
        </w:rPr>
        <w:t xml:space="preserve">The disposal practices observed were particularly concerning. In urban areas, roadside dumping, open burning, and irregular bin collection were widespread in all the areas examined. Overflowing bins and heaps of uncollected waste were seen blocking drainages and attracting rodents and disease-carrying insects (especially mosquitoes). In rural settings, residents mostly relied on backyard pits, open-field dumping, or direct burning (often near homes or water bodies) this was especially the case in </w:t>
      </w:r>
      <w:proofErr w:type="spellStart"/>
      <w:r w:rsidRPr="00C95299">
        <w:rPr>
          <w:rFonts w:ascii="Times New Roman" w:hAnsi="Times New Roman"/>
          <w:sz w:val="24"/>
          <w:szCs w:val="24"/>
        </w:rPr>
        <w:t>Asaba</w:t>
      </w:r>
      <w:proofErr w:type="spellEnd"/>
      <w:r w:rsidRPr="00C95299">
        <w:rPr>
          <w:rFonts w:ascii="Times New Roman" w:hAnsi="Times New Roman"/>
          <w:sz w:val="24"/>
          <w:szCs w:val="24"/>
        </w:rPr>
        <w:t xml:space="preserve"> (</w:t>
      </w:r>
      <w:proofErr w:type="spellStart"/>
      <w:r w:rsidRPr="00C95299">
        <w:rPr>
          <w:rFonts w:ascii="Times New Roman" w:hAnsi="Times New Roman"/>
          <w:sz w:val="24"/>
          <w:szCs w:val="24"/>
        </w:rPr>
        <w:t>Anwai</w:t>
      </w:r>
      <w:proofErr w:type="spellEnd"/>
      <w:r w:rsidRPr="00C95299">
        <w:rPr>
          <w:rFonts w:ascii="Times New Roman" w:hAnsi="Times New Roman"/>
          <w:sz w:val="24"/>
          <w:szCs w:val="24"/>
        </w:rPr>
        <w:t xml:space="preserve"> ar</w:t>
      </w:r>
      <w:r w:rsidR="00BD63FF" w:rsidRPr="00C95299">
        <w:rPr>
          <w:rFonts w:ascii="Times New Roman" w:hAnsi="Times New Roman"/>
          <w:sz w:val="24"/>
          <w:szCs w:val="24"/>
        </w:rPr>
        <w:t>ea). These unsanitary methods are</w:t>
      </w:r>
      <w:r w:rsidRPr="00C95299">
        <w:rPr>
          <w:rFonts w:ascii="Times New Roman" w:hAnsi="Times New Roman"/>
          <w:sz w:val="24"/>
          <w:szCs w:val="24"/>
        </w:rPr>
        <w:t xml:space="preserve"> possibly responsible for soil degradation, polluted water sources, and recurring outbreaks of diseases such as cholera, typhoid, and respiratory infections. During the rainy season, especially, the health risks of the poor sanitary conditions could escalate as waste is carried into rivers and streams, and contaminating sources of domestic water.</w:t>
      </w:r>
      <w:r w:rsidRPr="00C95299">
        <w:t xml:space="preserve"> </w:t>
      </w:r>
      <w:r w:rsidRPr="00C95299">
        <w:rPr>
          <w:rFonts w:ascii="Times New Roman" w:hAnsi="Times New Roman"/>
          <w:sz w:val="24"/>
          <w:szCs w:val="24"/>
        </w:rPr>
        <w:t xml:space="preserve">Waste management systems across the study areas were either poorly managed or altogether absent in some cases. In the urban zones, there was some level of municipal involvement in waste management, but services are irregular and infrastructure is grossly inadequate. In Bayelsa for instance, broken-down collection vehicles and abandoned bins are a common sight. In contrast, the rural communities visited had no formal waste collection or disposal systems. Households and communities had to devise their own means of managing waste, which often translated to unsafe and environmentally damaging methods. </w:t>
      </w:r>
    </w:p>
    <w:p w14:paraId="7314676D" w14:textId="77777777" w:rsidR="00946DDA" w:rsidRPr="00C95299" w:rsidRDefault="00946DDA" w:rsidP="00946DDA">
      <w:pPr>
        <w:spacing w:after="0"/>
        <w:ind w:right="0"/>
        <w:rPr>
          <w:rFonts w:ascii="Times New Roman" w:hAnsi="Times New Roman"/>
          <w:b/>
          <w:sz w:val="24"/>
          <w:szCs w:val="24"/>
          <w:lang w:val="en-GB"/>
        </w:rPr>
      </w:pPr>
      <w:r w:rsidRPr="00C95299">
        <w:rPr>
          <w:rFonts w:ascii="Times New Roman" w:hAnsi="Times New Roman"/>
          <w:b/>
          <w:sz w:val="24"/>
          <w:szCs w:val="24"/>
          <w:lang w:val="en-GB"/>
        </w:rPr>
        <w:t xml:space="preserve">Table 3: Identified waste characteristics in the study area </w:t>
      </w:r>
    </w:p>
    <w:tbl>
      <w:tblPr>
        <w:tblW w:w="5000" w:type="pct"/>
        <w:tblBorders>
          <w:top w:val="single" w:sz="4" w:space="0" w:color="auto"/>
        </w:tblBorders>
        <w:tblLook w:val="04A0" w:firstRow="1" w:lastRow="0" w:firstColumn="1" w:lastColumn="0" w:noHBand="0" w:noVBand="1"/>
      </w:tblPr>
      <w:tblGrid>
        <w:gridCol w:w="2073"/>
        <w:gridCol w:w="4492"/>
        <w:gridCol w:w="3011"/>
      </w:tblGrid>
      <w:tr w:rsidR="00C95299" w:rsidRPr="00C95299" w14:paraId="315B43F2" w14:textId="77777777" w:rsidTr="00CB2917">
        <w:trPr>
          <w:trHeight w:val="232"/>
        </w:trPr>
        <w:tc>
          <w:tcPr>
            <w:tcW w:w="1082" w:type="pct"/>
            <w:tcBorders>
              <w:top w:val="single" w:sz="4" w:space="0" w:color="auto"/>
              <w:bottom w:val="single" w:sz="4" w:space="0" w:color="auto"/>
            </w:tcBorders>
            <w:vAlign w:val="center"/>
          </w:tcPr>
          <w:p w14:paraId="70D0B003" w14:textId="77777777" w:rsidR="00946DDA" w:rsidRPr="00C95299" w:rsidRDefault="00946DDA" w:rsidP="00CB2917">
            <w:pPr>
              <w:spacing w:after="0"/>
              <w:ind w:right="0"/>
              <w:jc w:val="center"/>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Waste Attribute</w:t>
            </w:r>
          </w:p>
        </w:tc>
        <w:tc>
          <w:tcPr>
            <w:tcW w:w="2345" w:type="pct"/>
            <w:tcBorders>
              <w:top w:val="single" w:sz="4" w:space="0" w:color="auto"/>
              <w:bottom w:val="single" w:sz="4" w:space="0" w:color="auto"/>
            </w:tcBorders>
            <w:vAlign w:val="center"/>
          </w:tcPr>
          <w:p w14:paraId="10FD6731" w14:textId="77777777" w:rsidR="00946DDA" w:rsidRPr="00C95299" w:rsidRDefault="00946DDA" w:rsidP="00CB2917">
            <w:pPr>
              <w:spacing w:after="0"/>
              <w:ind w:right="0"/>
              <w:jc w:val="center"/>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Urban Areas</w:t>
            </w:r>
          </w:p>
        </w:tc>
        <w:tc>
          <w:tcPr>
            <w:tcW w:w="1572" w:type="pct"/>
            <w:tcBorders>
              <w:top w:val="single" w:sz="4" w:space="0" w:color="auto"/>
              <w:bottom w:val="single" w:sz="4" w:space="0" w:color="auto"/>
            </w:tcBorders>
            <w:vAlign w:val="center"/>
          </w:tcPr>
          <w:p w14:paraId="646C7F44" w14:textId="77777777" w:rsidR="00946DDA" w:rsidRPr="00C95299" w:rsidRDefault="00946DDA" w:rsidP="00CB2917">
            <w:pPr>
              <w:spacing w:after="0"/>
              <w:ind w:right="0"/>
              <w:jc w:val="center"/>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Peri-urban/rural Areas</w:t>
            </w:r>
          </w:p>
        </w:tc>
      </w:tr>
      <w:tr w:rsidR="00C95299" w:rsidRPr="00C95299" w14:paraId="57D2F582" w14:textId="77777777" w:rsidTr="00CB2917">
        <w:trPr>
          <w:trHeight w:val="232"/>
        </w:trPr>
        <w:tc>
          <w:tcPr>
            <w:tcW w:w="1082" w:type="pct"/>
            <w:vMerge w:val="restart"/>
            <w:tcBorders>
              <w:top w:val="single" w:sz="4" w:space="0" w:color="auto"/>
            </w:tcBorders>
            <w:vAlign w:val="center"/>
          </w:tcPr>
          <w:p w14:paraId="154A7881" w14:textId="77777777" w:rsidR="00946DDA" w:rsidRPr="00C95299" w:rsidRDefault="00946DDA" w:rsidP="00CB2917">
            <w:pPr>
              <w:spacing w:after="0"/>
              <w:ind w:right="0"/>
              <w:jc w:val="left"/>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Main Waste Types</w:t>
            </w:r>
          </w:p>
        </w:tc>
        <w:tc>
          <w:tcPr>
            <w:tcW w:w="2345" w:type="pct"/>
            <w:tcBorders>
              <w:top w:val="single" w:sz="4" w:space="0" w:color="auto"/>
            </w:tcBorders>
            <w:vAlign w:val="center"/>
          </w:tcPr>
          <w:p w14:paraId="64FD9B51"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Plastic waste</w:t>
            </w:r>
          </w:p>
        </w:tc>
        <w:tc>
          <w:tcPr>
            <w:tcW w:w="1572" w:type="pct"/>
            <w:tcBorders>
              <w:top w:val="single" w:sz="4" w:space="0" w:color="auto"/>
            </w:tcBorders>
            <w:vAlign w:val="center"/>
          </w:tcPr>
          <w:p w14:paraId="703C63F1"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Food waste</w:t>
            </w:r>
          </w:p>
        </w:tc>
      </w:tr>
      <w:tr w:rsidR="00C95299" w:rsidRPr="00C95299" w14:paraId="0C3BB6CD" w14:textId="77777777" w:rsidTr="00CB2917">
        <w:trPr>
          <w:trHeight w:val="232"/>
        </w:trPr>
        <w:tc>
          <w:tcPr>
            <w:tcW w:w="1082" w:type="pct"/>
            <w:vMerge/>
            <w:vAlign w:val="center"/>
          </w:tcPr>
          <w:p w14:paraId="532157DD" w14:textId="77777777" w:rsidR="00946DDA" w:rsidRPr="00C95299" w:rsidRDefault="00946DDA" w:rsidP="00CB2917">
            <w:pPr>
              <w:spacing w:after="0"/>
              <w:ind w:right="0"/>
              <w:jc w:val="left"/>
              <w:rPr>
                <w:rFonts w:ascii="Times New Roman" w:eastAsia="Times New Roman" w:hAnsi="Times New Roman"/>
                <w:b/>
                <w:bCs/>
                <w:sz w:val="24"/>
                <w:szCs w:val="24"/>
                <w:lang w:val="en-GB" w:eastAsia="en-GB"/>
              </w:rPr>
            </w:pPr>
          </w:p>
        </w:tc>
        <w:tc>
          <w:tcPr>
            <w:tcW w:w="2345" w:type="pct"/>
            <w:vAlign w:val="center"/>
          </w:tcPr>
          <w:p w14:paraId="413498BE"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Food/kitchen waste</w:t>
            </w:r>
          </w:p>
        </w:tc>
        <w:tc>
          <w:tcPr>
            <w:tcW w:w="1572" w:type="pct"/>
            <w:vAlign w:val="center"/>
          </w:tcPr>
          <w:p w14:paraId="19D49A9A"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Agricultural/organic waste</w:t>
            </w:r>
          </w:p>
        </w:tc>
      </w:tr>
      <w:tr w:rsidR="00C95299" w:rsidRPr="00C95299" w14:paraId="4033B1F5" w14:textId="77777777" w:rsidTr="00CB2917">
        <w:trPr>
          <w:trHeight w:val="232"/>
        </w:trPr>
        <w:tc>
          <w:tcPr>
            <w:tcW w:w="1082" w:type="pct"/>
            <w:vMerge/>
            <w:vAlign w:val="center"/>
          </w:tcPr>
          <w:p w14:paraId="69E09A6E" w14:textId="77777777" w:rsidR="00946DDA" w:rsidRPr="00C95299" w:rsidRDefault="00946DDA" w:rsidP="00CB2917">
            <w:pPr>
              <w:spacing w:after="0"/>
              <w:ind w:right="0"/>
              <w:jc w:val="left"/>
              <w:rPr>
                <w:rFonts w:ascii="Times New Roman" w:eastAsia="Times New Roman" w:hAnsi="Times New Roman"/>
                <w:b/>
                <w:bCs/>
                <w:sz w:val="24"/>
                <w:szCs w:val="24"/>
                <w:lang w:val="en-GB" w:eastAsia="en-GB"/>
              </w:rPr>
            </w:pPr>
          </w:p>
        </w:tc>
        <w:tc>
          <w:tcPr>
            <w:tcW w:w="2345" w:type="pct"/>
            <w:vAlign w:val="center"/>
          </w:tcPr>
          <w:p w14:paraId="6891647F"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Paper/cardboard</w:t>
            </w:r>
          </w:p>
        </w:tc>
        <w:tc>
          <w:tcPr>
            <w:tcW w:w="1572" w:type="pct"/>
            <w:vAlign w:val="center"/>
          </w:tcPr>
          <w:p w14:paraId="2CC9439D"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Animal droppings</w:t>
            </w:r>
          </w:p>
        </w:tc>
      </w:tr>
      <w:tr w:rsidR="00C95299" w:rsidRPr="00C95299" w14:paraId="39E6167F" w14:textId="77777777" w:rsidTr="00CB2917">
        <w:trPr>
          <w:trHeight w:val="232"/>
        </w:trPr>
        <w:tc>
          <w:tcPr>
            <w:tcW w:w="1082" w:type="pct"/>
            <w:vMerge/>
            <w:vAlign w:val="center"/>
          </w:tcPr>
          <w:p w14:paraId="1A3EC844" w14:textId="77777777" w:rsidR="00946DDA" w:rsidRPr="00C95299" w:rsidRDefault="00946DDA" w:rsidP="00CB2917">
            <w:pPr>
              <w:spacing w:after="0"/>
              <w:ind w:right="0"/>
              <w:jc w:val="left"/>
              <w:rPr>
                <w:rFonts w:ascii="Times New Roman" w:eastAsia="Times New Roman" w:hAnsi="Times New Roman"/>
                <w:b/>
                <w:bCs/>
                <w:sz w:val="24"/>
                <w:szCs w:val="24"/>
                <w:lang w:val="en-GB" w:eastAsia="en-GB"/>
              </w:rPr>
            </w:pPr>
          </w:p>
        </w:tc>
        <w:tc>
          <w:tcPr>
            <w:tcW w:w="2345" w:type="pct"/>
            <w:vAlign w:val="center"/>
          </w:tcPr>
          <w:p w14:paraId="75959E62"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e-waste</w:t>
            </w:r>
          </w:p>
        </w:tc>
        <w:tc>
          <w:tcPr>
            <w:tcW w:w="1572" w:type="pct"/>
            <w:vAlign w:val="center"/>
          </w:tcPr>
          <w:p w14:paraId="07EA12F6"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Plant/leaf litter</w:t>
            </w:r>
          </w:p>
        </w:tc>
      </w:tr>
      <w:tr w:rsidR="00C95299" w:rsidRPr="00C95299" w14:paraId="008C55CB" w14:textId="77777777" w:rsidTr="00CB2917">
        <w:trPr>
          <w:trHeight w:val="232"/>
        </w:trPr>
        <w:tc>
          <w:tcPr>
            <w:tcW w:w="1082" w:type="pct"/>
            <w:vMerge/>
            <w:vAlign w:val="center"/>
          </w:tcPr>
          <w:p w14:paraId="4AF9E9A4" w14:textId="77777777" w:rsidR="00946DDA" w:rsidRPr="00C95299" w:rsidRDefault="00946DDA" w:rsidP="00CB2917">
            <w:pPr>
              <w:spacing w:after="0"/>
              <w:ind w:right="0"/>
              <w:jc w:val="left"/>
              <w:rPr>
                <w:rFonts w:ascii="Times New Roman" w:eastAsia="Times New Roman" w:hAnsi="Times New Roman"/>
                <w:b/>
                <w:bCs/>
                <w:sz w:val="24"/>
                <w:szCs w:val="24"/>
                <w:lang w:val="en-GB" w:eastAsia="en-GB"/>
              </w:rPr>
            </w:pPr>
          </w:p>
        </w:tc>
        <w:tc>
          <w:tcPr>
            <w:tcW w:w="2345" w:type="pct"/>
            <w:vAlign w:val="center"/>
          </w:tcPr>
          <w:p w14:paraId="70851ACE"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Construction debris</w:t>
            </w:r>
          </w:p>
        </w:tc>
        <w:tc>
          <w:tcPr>
            <w:tcW w:w="1572" w:type="pct"/>
            <w:vAlign w:val="center"/>
          </w:tcPr>
          <w:p w14:paraId="3D62560F"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Small scale plastic waste</w:t>
            </w:r>
          </w:p>
        </w:tc>
      </w:tr>
      <w:tr w:rsidR="00C95299" w:rsidRPr="00C95299" w14:paraId="056EC0D9" w14:textId="77777777" w:rsidTr="00CB2917">
        <w:trPr>
          <w:trHeight w:val="232"/>
        </w:trPr>
        <w:tc>
          <w:tcPr>
            <w:tcW w:w="1082" w:type="pct"/>
            <w:vMerge w:val="restart"/>
            <w:vAlign w:val="center"/>
          </w:tcPr>
          <w:p w14:paraId="22C40625" w14:textId="77777777" w:rsidR="00946DDA" w:rsidRPr="00C95299" w:rsidRDefault="00946DDA" w:rsidP="00CB2917">
            <w:pPr>
              <w:spacing w:after="0"/>
              <w:ind w:right="0"/>
              <w:jc w:val="left"/>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Dominant Sources</w:t>
            </w:r>
          </w:p>
        </w:tc>
        <w:tc>
          <w:tcPr>
            <w:tcW w:w="2345" w:type="pct"/>
            <w:vAlign w:val="center"/>
          </w:tcPr>
          <w:p w14:paraId="552C722A"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Households</w:t>
            </w:r>
          </w:p>
        </w:tc>
        <w:tc>
          <w:tcPr>
            <w:tcW w:w="1572" w:type="pct"/>
            <w:vAlign w:val="center"/>
          </w:tcPr>
          <w:p w14:paraId="2524877E"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Households</w:t>
            </w:r>
          </w:p>
        </w:tc>
      </w:tr>
      <w:tr w:rsidR="00C95299" w:rsidRPr="00C95299" w14:paraId="7D6CD888" w14:textId="77777777" w:rsidTr="00CB2917">
        <w:trPr>
          <w:trHeight w:val="232"/>
        </w:trPr>
        <w:tc>
          <w:tcPr>
            <w:tcW w:w="1082" w:type="pct"/>
            <w:vMerge/>
            <w:vAlign w:val="center"/>
          </w:tcPr>
          <w:p w14:paraId="04E8F0AB" w14:textId="77777777" w:rsidR="00946DDA" w:rsidRPr="00C95299" w:rsidRDefault="00946DDA" w:rsidP="00CB2917">
            <w:pPr>
              <w:spacing w:after="0"/>
              <w:ind w:right="0"/>
              <w:jc w:val="left"/>
              <w:rPr>
                <w:rFonts w:ascii="Times New Roman" w:eastAsia="Times New Roman" w:hAnsi="Times New Roman"/>
                <w:b/>
                <w:bCs/>
                <w:sz w:val="24"/>
                <w:szCs w:val="24"/>
                <w:lang w:val="en-GB" w:eastAsia="en-GB"/>
              </w:rPr>
            </w:pPr>
          </w:p>
        </w:tc>
        <w:tc>
          <w:tcPr>
            <w:tcW w:w="2345" w:type="pct"/>
            <w:vAlign w:val="center"/>
          </w:tcPr>
          <w:p w14:paraId="77658D8F"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Markets</w:t>
            </w:r>
          </w:p>
        </w:tc>
        <w:tc>
          <w:tcPr>
            <w:tcW w:w="1572" w:type="pct"/>
            <w:vAlign w:val="center"/>
          </w:tcPr>
          <w:p w14:paraId="0DF4A50F"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Farms</w:t>
            </w:r>
          </w:p>
        </w:tc>
      </w:tr>
      <w:tr w:rsidR="00C95299" w:rsidRPr="00C95299" w14:paraId="6F1BB1E1" w14:textId="77777777" w:rsidTr="00CB2917">
        <w:trPr>
          <w:trHeight w:val="232"/>
        </w:trPr>
        <w:tc>
          <w:tcPr>
            <w:tcW w:w="1082" w:type="pct"/>
            <w:vMerge/>
            <w:vAlign w:val="center"/>
          </w:tcPr>
          <w:p w14:paraId="53BBE06D" w14:textId="77777777" w:rsidR="00946DDA" w:rsidRPr="00C95299" w:rsidRDefault="00946DDA" w:rsidP="00CB2917">
            <w:pPr>
              <w:spacing w:after="0"/>
              <w:ind w:right="0"/>
              <w:jc w:val="left"/>
              <w:rPr>
                <w:rFonts w:ascii="Times New Roman" w:eastAsia="Times New Roman" w:hAnsi="Times New Roman"/>
                <w:b/>
                <w:bCs/>
                <w:sz w:val="24"/>
                <w:szCs w:val="24"/>
                <w:lang w:val="en-GB" w:eastAsia="en-GB"/>
              </w:rPr>
            </w:pPr>
          </w:p>
        </w:tc>
        <w:tc>
          <w:tcPr>
            <w:tcW w:w="2345" w:type="pct"/>
            <w:vAlign w:val="center"/>
          </w:tcPr>
          <w:p w14:paraId="699D9BB9"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Industrial/commercial centres</w:t>
            </w:r>
          </w:p>
        </w:tc>
        <w:tc>
          <w:tcPr>
            <w:tcW w:w="1572" w:type="pct"/>
            <w:vAlign w:val="center"/>
          </w:tcPr>
          <w:p w14:paraId="5E6BF826"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Local markets</w:t>
            </w:r>
          </w:p>
        </w:tc>
      </w:tr>
      <w:tr w:rsidR="00C95299" w:rsidRPr="00C95299" w14:paraId="1F3C2384" w14:textId="77777777" w:rsidTr="00CB2917">
        <w:trPr>
          <w:trHeight w:val="232"/>
        </w:trPr>
        <w:tc>
          <w:tcPr>
            <w:tcW w:w="1082" w:type="pct"/>
            <w:vMerge/>
            <w:vAlign w:val="center"/>
          </w:tcPr>
          <w:p w14:paraId="1483EA0B" w14:textId="77777777" w:rsidR="00946DDA" w:rsidRPr="00C95299" w:rsidRDefault="00946DDA" w:rsidP="00CB2917">
            <w:pPr>
              <w:spacing w:after="0"/>
              <w:ind w:right="0"/>
              <w:jc w:val="left"/>
              <w:rPr>
                <w:rFonts w:ascii="Times New Roman" w:eastAsia="Times New Roman" w:hAnsi="Times New Roman"/>
                <w:b/>
                <w:bCs/>
                <w:sz w:val="24"/>
                <w:szCs w:val="24"/>
                <w:lang w:val="en-GB" w:eastAsia="en-GB"/>
              </w:rPr>
            </w:pPr>
          </w:p>
        </w:tc>
        <w:tc>
          <w:tcPr>
            <w:tcW w:w="2345" w:type="pct"/>
            <w:vAlign w:val="center"/>
          </w:tcPr>
          <w:p w14:paraId="23B671A7"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Healthcare facilities</w:t>
            </w:r>
          </w:p>
        </w:tc>
        <w:tc>
          <w:tcPr>
            <w:tcW w:w="1572" w:type="pct"/>
            <w:vAlign w:val="center"/>
          </w:tcPr>
          <w:p w14:paraId="2932DC5A"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Animal husbandry activities</w:t>
            </w:r>
          </w:p>
        </w:tc>
      </w:tr>
      <w:tr w:rsidR="00C95299" w:rsidRPr="00C95299" w14:paraId="14CF74C9" w14:textId="77777777" w:rsidTr="00CB2917">
        <w:trPr>
          <w:trHeight w:val="464"/>
        </w:trPr>
        <w:tc>
          <w:tcPr>
            <w:tcW w:w="1082" w:type="pct"/>
            <w:vMerge w:val="restart"/>
            <w:vAlign w:val="center"/>
          </w:tcPr>
          <w:p w14:paraId="612B48FB" w14:textId="77777777" w:rsidR="00946DDA" w:rsidRPr="00C95299" w:rsidRDefault="00946DDA" w:rsidP="00CB2917">
            <w:pPr>
              <w:spacing w:after="0"/>
              <w:ind w:right="0"/>
              <w:jc w:val="left"/>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Biodegradability</w:t>
            </w:r>
          </w:p>
        </w:tc>
        <w:tc>
          <w:tcPr>
            <w:tcW w:w="2345" w:type="pct"/>
            <w:vAlign w:val="center"/>
          </w:tcPr>
          <w:p w14:paraId="549BB0B4"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40–50% biodegradable (food, paper)</w:t>
            </w:r>
          </w:p>
        </w:tc>
        <w:tc>
          <w:tcPr>
            <w:tcW w:w="1572" w:type="pct"/>
            <w:vAlign w:val="center"/>
          </w:tcPr>
          <w:p w14:paraId="73D6DC54"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70–80% biodegradable (crop residue, food, dung)</w:t>
            </w:r>
          </w:p>
        </w:tc>
      </w:tr>
      <w:tr w:rsidR="00C95299" w:rsidRPr="00C95299" w14:paraId="40C5E47D" w14:textId="77777777" w:rsidTr="00CB2917">
        <w:trPr>
          <w:trHeight w:val="464"/>
        </w:trPr>
        <w:tc>
          <w:tcPr>
            <w:tcW w:w="1082" w:type="pct"/>
            <w:vMerge/>
            <w:vAlign w:val="center"/>
          </w:tcPr>
          <w:p w14:paraId="75BFF6A4" w14:textId="77777777" w:rsidR="00946DDA" w:rsidRPr="00C95299" w:rsidRDefault="00946DDA" w:rsidP="00CB2917">
            <w:pPr>
              <w:spacing w:after="0"/>
              <w:ind w:right="0"/>
              <w:jc w:val="left"/>
              <w:rPr>
                <w:rFonts w:ascii="Times New Roman" w:eastAsia="Times New Roman" w:hAnsi="Times New Roman"/>
                <w:b/>
                <w:bCs/>
                <w:sz w:val="24"/>
                <w:szCs w:val="24"/>
                <w:lang w:val="en-GB" w:eastAsia="en-GB"/>
              </w:rPr>
            </w:pPr>
          </w:p>
        </w:tc>
        <w:tc>
          <w:tcPr>
            <w:tcW w:w="2345" w:type="pct"/>
            <w:vAlign w:val="center"/>
          </w:tcPr>
          <w:p w14:paraId="6065F78C"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50–60% non-biodegradable (plastic, glass, e-waste)</w:t>
            </w:r>
          </w:p>
        </w:tc>
        <w:tc>
          <w:tcPr>
            <w:tcW w:w="1572" w:type="pct"/>
            <w:vAlign w:val="center"/>
          </w:tcPr>
          <w:p w14:paraId="42D6AD5F"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20–30% non-biodegradable</w:t>
            </w:r>
          </w:p>
        </w:tc>
      </w:tr>
      <w:tr w:rsidR="00C95299" w:rsidRPr="00C95299" w14:paraId="6C6007AC" w14:textId="77777777" w:rsidTr="00CB2917">
        <w:trPr>
          <w:trHeight w:val="464"/>
        </w:trPr>
        <w:tc>
          <w:tcPr>
            <w:tcW w:w="1082" w:type="pct"/>
            <w:vAlign w:val="center"/>
          </w:tcPr>
          <w:p w14:paraId="02DB5420" w14:textId="77777777" w:rsidR="00946DDA" w:rsidRPr="00C95299" w:rsidRDefault="00946DDA" w:rsidP="00CB2917">
            <w:pPr>
              <w:spacing w:after="0"/>
              <w:ind w:right="0"/>
              <w:jc w:val="left"/>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Recyclability</w:t>
            </w:r>
          </w:p>
        </w:tc>
        <w:tc>
          <w:tcPr>
            <w:tcW w:w="2345" w:type="pct"/>
            <w:vAlign w:val="center"/>
          </w:tcPr>
          <w:p w14:paraId="3336F265"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High potential (plastics, metals, papers) but low actual recycling due to poor systems</w:t>
            </w:r>
          </w:p>
        </w:tc>
        <w:tc>
          <w:tcPr>
            <w:tcW w:w="1572" w:type="pct"/>
            <w:vAlign w:val="center"/>
          </w:tcPr>
          <w:p w14:paraId="5DFDCAF5"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Low formal recycling, high informal reuse (e.g., composting, animal feed)</w:t>
            </w:r>
          </w:p>
        </w:tc>
      </w:tr>
      <w:tr w:rsidR="00C95299" w:rsidRPr="00C95299" w14:paraId="6F0859C5" w14:textId="77777777" w:rsidTr="00CB2917">
        <w:trPr>
          <w:trHeight w:val="232"/>
        </w:trPr>
        <w:tc>
          <w:tcPr>
            <w:tcW w:w="1082" w:type="pct"/>
            <w:vMerge w:val="restart"/>
            <w:vAlign w:val="center"/>
          </w:tcPr>
          <w:p w14:paraId="3B133630" w14:textId="77777777" w:rsidR="00946DDA" w:rsidRPr="00C95299" w:rsidRDefault="00946DDA" w:rsidP="00CB2917">
            <w:pPr>
              <w:spacing w:after="0"/>
              <w:ind w:right="0"/>
              <w:jc w:val="left"/>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lastRenderedPageBreak/>
              <w:t>Disposal Practices</w:t>
            </w:r>
          </w:p>
        </w:tc>
        <w:tc>
          <w:tcPr>
            <w:tcW w:w="2345" w:type="pct"/>
            <w:vAlign w:val="center"/>
          </w:tcPr>
          <w:p w14:paraId="6B12AE12"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Roadside dumping</w:t>
            </w:r>
          </w:p>
        </w:tc>
        <w:tc>
          <w:tcPr>
            <w:tcW w:w="1572" w:type="pct"/>
            <w:vAlign w:val="center"/>
          </w:tcPr>
          <w:p w14:paraId="46ACD230"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Backyard pits</w:t>
            </w:r>
          </w:p>
        </w:tc>
      </w:tr>
      <w:tr w:rsidR="00C95299" w:rsidRPr="00C95299" w14:paraId="7F10CC95" w14:textId="77777777" w:rsidTr="00CB2917">
        <w:trPr>
          <w:trHeight w:val="232"/>
        </w:trPr>
        <w:tc>
          <w:tcPr>
            <w:tcW w:w="1082" w:type="pct"/>
            <w:vMerge/>
            <w:vAlign w:val="center"/>
          </w:tcPr>
          <w:p w14:paraId="2E68CEB5" w14:textId="77777777" w:rsidR="00946DDA" w:rsidRPr="00C95299" w:rsidRDefault="00946DDA" w:rsidP="00CB2917">
            <w:pPr>
              <w:spacing w:after="0"/>
              <w:ind w:right="0"/>
              <w:jc w:val="left"/>
              <w:rPr>
                <w:rFonts w:ascii="Times New Roman" w:eastAsia="Times New Roman" w:hAnsi="Times New Roman"/>
                <w:b/>
                <w:bCs/>
                <w:sz w:val="24"/>
                <w:szCs w:val="24"/>
                <w:lang w:val="en-GB" w:eastAsia="en-GB"/>
              </w:rPr>
            </w:pPr>
          </w:p>
        </w:tc>
        <w:tc>
          <w:tcPr>
            <w:tcW w:w="2345" w:type="pct"/>
            <w:vAlign w:val="center"/>
          </w:tcPr>
          <w:p w14:paraId="05CEBE37"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Bin collection</w:t>
            </w:r>
          </w:p>
        </w:tc>
        <w:tc>
          <w:tcPr>
            <w:tcW w:w="1572" w:type="pct"/>
            <w:vAlign w:val="center"/>
          </w:tcPr>
          <w:p w14:paraId="6763E9E4"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Open fields</w:t>
            </w:r>
          </w:p>
        </w:tc>
      </w:tr>
      <w:tr w:rsidR="00C95299" w:rsidRPr="00C95299" w14:paraId="34DAAA42" w14:textId="77777777" w:rsidTr="00CB2917">
        <w:trPr>
          <w:trHeight w:val="232"/>
        </w:trPr>
        <w:tc>
          <w:tcPr>
            <w:tcW w:w="1082" w:type="pct"/>
            <w:vMerge/>
            <w:vAlign w:val="center"/>
          </w:tcPr>
          <w:p w14:paraId="42855A87" w14:textId="77777777" w:rsidR="00946DDA" w:rsidRPr="00C95299" w:rsidRDefault="00946DDA" w:rsidP="00CB2917">
            <w:pPr>
              <w:spacing w:after="0"/>
              <w:ind w:right="0"/>
              <w:jc w:val="left"/>
              <w:rPr>
                <w:rFonts w:ascii="Times New Roman" w:eastAsia="Times New Roman" w:hAnsi="Times New Roman"/>
                <w:b/>
                <w:bCs/>
                <w:sz w:val="24"/>
                <w:szCs w:val="24"/>
                <w:lang w:val="en-GB" w:eastAsia="en-GB"/>
              </w:rPr>
            </w:pPr>
          </w:p>
        </w:tc>
        <w:tc>
          <w:tcPr>
            <w:tcW w:w="2345" w:type="pct"/>
            <w:vAlign w:val="center"/>
          </w:tcPr>
          <w:p w14:paraId="10EEC430"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Open burning</w:t>
            </w:r>
          </w:p>
        </w:tc>
        <w:tc>
          <w:tcPr>
            <w:tcW w:w="1572" w:type="pct"/>
            <w:vAlign w:val="center"/>
          </w:tcPr>
          <w:p w14:paraId="32E9226E"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Burning or burying waste</w:t>
            </w:r>
          </w:p>
        </w:tc>
      </w:tr>
      <w:tr w:rsidR="00C95299" w:rsidRPr="00C95299" w14:paraId="713B0EC1" w14:textId="77777777" w:rsidTr="00CB2917">
        <w:trPr>
          <w:trHeight w:val="232"/>
        </w:trPr>
        <w:tc>
          <w:tcPr>
            <w:tcW w:w="1082" w:type="pct"/>
            <w:vMerge/>
            <w:vAlign w:val="center"/>
          </w:tcPr>
          <w:p w14:paraId="43C266B7" w14:textId="77777777" w:rsidR="00946DDA" w:rsidRPr="00C95299" w:rsidRDefault="00946DDA" w:rsidP="00CB2917">
            <w:pPr>
              <w:spacing w:after="0"/>
              <w:ind w:right="0"/>
              <w:jc w:val="left"/>
              <w:rPr>
                <w:rFonts w:ascii="Times New Roman" w:eastAsia="Times New Roman" w:hAnsi="Times New Roman"/>
                <w:b/>
                <w:bCs/>
                <w:sz w:val="24"/>
                <w:szCs w:val="24"/>
                <w:lang w:val="en-GB" w:eastAsia="en-GB"/>
              </w:rPr>
            </w:pPr>
          </w:p>
        </w:tc>
        <w:tc>
          <w:tcPr>
            <w:tcW w:w="2345" w:type="pct"/>
            <w:vAlign w:val="center"/>
          </w:tcPr>
          <w:p w14:paraId="13EB51ED"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Limited formal landfills</w:t>
            </w:r>
          </w:p>
        </w:tc>
        <w:tc>
          <w:tcPr>
            <w:tcW w:w="1572" w:type="pct"/>
            <w:vAlign w:val="center"/>
          </w:tcPr>
          <w:p w14:paraId="45B2A399"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p>
        </w:tc>
      </w:tr>
      <w:tr w:rsidR="00C95299" w:rsidRPr="00C95299" w14:paraId="1652F651" w14:textId="77777777" w:rsidTr="00CB2917">
        <w:trPr>
          <w:trHeight w:val="232"/>
        </w:trPr>
        <w:tc>
          <w:tcPr>
            <w:tcW w:w="1082" w:type="pct"/>
            <w:vMerge w:val="restart"/>
            <w:vAlign w:val="center"/>
          </w:tcPr>
          <w:p w14:paraId="01B1EAB8" w14:textId="77777777" w:rsidR="00946DDA" w:rsidRPr="00C95299" w:rsidRDefault="00946DDA" w:rsidP="00CB2917">
            <w:pPr>
              <w:spacing w:after="0"/>
              <w:ind w:right="0"/>
              <w:jc w:val="left"/>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Environmental Impact</w:t>
            </w:r>
          </w:p>
        </w:tc>
        <w:tc>
          <w:tcPr>
            <w:tcW w:w="2345" w:type="pct"/>
            <w:vAlign w:val="center"/>
          </w:tcPr>
          <w:p w14:paraId="218637D6"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Drainage blockage</w:t>
            </w:r>
          </w:p>
        </w:tc>
        <w:tc>
          <w:tcPr>
            <w:tcW w:w="1572" w:type="pct"/>
            <w:vAlign w:val="center"/>
          </w:tcPr>
          <w:p w14:paraId="3518DFEA"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Soil contamination</w:t>
            </w:r>
          </w:p>
        </w:tc>
      </w:tr>
      <w:tr w:rsidR="00C95299" w:rsidRPr="00C95299" w14:paraId="2459DCA2" w14:textId="77777777" w:rsidTr="00CB2917">
        <w:trPr>
          <w:trHeight w:val="232"/>
        </w:trPr>
        <w:tc>
          <w:tcPr>
            <w:tcW w:w="1082" w:type="pct"/>
            <w:vMerge/>
            <w:vAlign w:val="center"/>
          </w:tcPr>
          <w:p w14:paraId="07C040E5" w14:textId="77777777" w:rsidR="00946DDA" w:rsidRPr="00C95299" w:rsidRDefault="00946DDA" w:rsidP="00CB2917">
            <w:pPr>
              <w:spacing w:after="0"/>
              <w:ind w:right="0"/>
              <w:jc w:val="left"/>
              <w:rPr>
                <w:rFonts w:ascii="Times New Roman" w:eastAsia="Times New Roman" w:hAnsi="Times New Roman"/>
                <w:b/>
                <w:bCs/>
                <w:sz w:val="24"/>
                <w:szCs w:val="24"/>
                <w:lang w:val="en-GB" w:eastAsia="en-GB"/>
              </w:rPr>
            </w:pPr>
          </w:p>
        </w:tc>
        <w:tc>
          <w:tcPr>
            <w:tcW w:w="2345" w:type="pct"/>
            <w:vAlign w:val="center"/>
          </w:tcPr>
          <w:p w14:paraId="75863EE5"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Air and soil pollution</w:t>
            </w:r>
          </w:p>
        </w:tc>
        <w:tc>
          <w:tcPr>
            <w:tcW w:w="1572" w:type="pct"/>
            <w:vAlign w:val="center"/>
          </w:tcPr>
          <w:p w14:paraId="3A27CFC0"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Smoke from burning</w:t>
            </w:r>
          </w:p>
        </w:tc>
      </w:tr>
      <w:tr w:rsidR="00C95299" w:rsidRPr="00C95299" w14:paraId="2FF4B892" w14:textId="77777777" w:rsidTr="00CB2917">
        <w:trPr>
          <w:trHeight w:val="232"/>
        </w:trPr>
        <w:tc>
          <w:tcPr>
            <w:tcW w:w="1082" w:type="pct"/>
            <w:vMerge/>
            <w:tcBorders>
              <w:bottom w:val="nil"/>
            </w:tcBorders>
            <w:vAlign w:val="center"/>
          </w:tcPr>
          <w:p w14:paraId="2671EB33" w14:textId="77777777" w:rsidR="00946DDA" w:rsidRPr="00C95299" w:rsidRDefault="00946DDA" w:rsidP="00CB2917">
            <w:pPr>
              <w:spacing w:after="0"/>
              <w:ind w:right="0"/>
              <w:jc w:val="left"/>
              <w:rPr>
                <w:rFonts w:ascii="Times New Roman" w:eastAsia="Times New Roman" w:hAnsi="Times New Roman"/>
                <w:b/>
                <w:bCs/>
                <w:sz w:val="24"/>
                <w:szCs w:val="24"/>
                <w:lang w:val="en-GB" w:eastAsia="en-GB"/>
              </w:rPr>
            </w:pPr>
          </w:p>
        </w:tc>
        <w:tc>
          <w:tcPr>
            <w:tcW w:w="2345" w:type="pct"/>
            <w:tcBorders>
              <w:bottom w:val="nil"/>
            </w:tcBorders>
            <w:vAlign w:val="center"/>
          </w:tcPr>
          <w:p w14:paraId="7B58CDC7"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Health hazards from indiscriminate dumping</w:t>
            </w:r>
          </w:p>
        </w:tc>
        <w:tc>
          <w:tcPr>
            <w:tcW w:w="1572" w:type="pct"/>
            <w:tcBorders>
              <w:bottom w:val="nil"/>
            </w:tcBorders>
            <w:vAlign w:val="center"/>
          </w:tcPr>
          <w:p w14:paraId="18DB4BB9"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Water source pollution in rainy season</w:t>
            </w:r>
          </w:p>
        </w:tc>
      </w:tr>
      <w:tr w:rsidR="00C95299" w:rsidRPr="00C95299" w14:paraId="61989509" w14:textId="77777777" w:rsidTr="00CB2917">
        <w:trPr>
          <w:trHeight w:val="232"/>
        </w:trPr>
        <w:tc>
          <w:tcPr>
            <w:tcW w:w="1082" w:type="pct"/>
            <w:vMerge w:val="restart"/>
            <w:tcBorders>
              <w:top w:val="nil"/>
            </w:tcBorders>
            <w:vAlign w:val="center"/>
          </w:tcPr>
          <w:p w14:paraId="5A599400" w14:textId="77777777" w:rsidR="00946DDA" w:rsidRPr="00C95299" w:rsidRDefault="00946DDA" w:rsidP="00CB2917">
            <w:pPr>
              <w:spacing w:after="0"/>
              <w:ind w:right="0"/>
              <w:jc w:val="left"/>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Waste Management System</w:t>
            </w:r>
          </w:p>
        </w:tc>
        <w:tc>
          <w:tcPr>
            <w:tcW w:w="2345" w:type="pct"/>
            <w:tcBorders>
              <w:top w:val="nil"/>
            </w:tcBorders>
            <w:vAlign w:val="center"/>
          </w:tcPr>
          <w:p w14:paraId="398FB179"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Partial coverage by municipal services</w:t>
            </w:r>
          </w:p>
        </w:tc>
        <w:tc>
          <w:tcPr>
            <w:tcW w:w="1572" w:type="pct"/>
            <w:tcBorders>
              <w:top w:val="nil"/>
            </w:tcBorders>
            <w:vAlign w:val="center"/>
          </w:tcPr>
          <w:p w14:paraId="589830E5"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Minimal or no formal systems</w:t>
            </w:r>
          </w:p>
        </w:tc>
      </w:tr>
      <w:tr w:rsidR="00C95299" w:rsidRPr="00C95299" w14:paraId="4707CAB6" w14:textId="77777777" w:rsidTr="00CB2917">
        <w:trPr>
          <w:trHeight w:val="464"/>
        </w:trPr>
        <w:tc>
          <w:tcPr>
            <w:tcW w:w="1082" w:type="pct"/>
            <w:vMerge/>
            <w:tcBorders>
              <w:top w:val="nil"/>
              <w:bottom w:val="single" w:sz="4" w:space="0" w:color="auto"/>
            </w:tcBorders>
            <w:vAlign w:val="center"/>
          </w:tcPr>
          <w:p w14:paraId="359A5DED" w14:textId="77777777" w:rsidR="00946DDA" w:rsidRPr="00C95299" w:rsidRDefault="00946DDA" w:rsidP="00CB2917">
            <w:pPr>
              <w:spacing w:after="0"/>
              <w:ind w:right="0"/>
              <w:jc w:val="left"/>
              <w:rPr>
                <w:rFonts w:ascii="Times New Roman" w:eastAsia="Times New Roman" w:hAnsi="Times New Roman"/>
                <w:b/>
                <w:bCs/>
                <w:sz w:val="24"/>
                <w:szCs w:val="24"/>
                <w:lang w:val="en-GB" w:eastAsia="en-GB"/>
              </w:rPr>
            </w:pPr>
          </w:p>
        </w:tc>
        <w:tc>
          <w:tcPr>
            <w:tcW w:w="2345" w:type="pct"/>
            <w:tcBorders>
              <w:top w:val="nil"/>
              <w:bottom w:val="single" w:sz="4" w:space="0" w:color="auto"/>
            </w:tcBorders>
            <w:vAlign w:val="center"/>
          </w:tcPr>
          <w:p w14:paraId="7E1216E6"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Often inefficient or poorly maintained</w:t>
            </w:r>
          </w:p>
        </w:tc>
        <w:tc>
          <w:tcPr>
            <w:tcW w:w="1572" w:type="pct"/>
            <w:tcBorders>
              <w:top w:val="nil"/>
              <w:bottom w:val="single" w:sz="4" w:space="0" w:color="auto"/>
            </w:tcBorders>
            <w:vAlign w:val="center"/>
          </w:tcPr>
          <w:p w14:paraId="1705728A" w14:textId="77777777" w:rsidR="00946DDA" w:rsidRPr="00C95299" w:rsidRDefault="00946DDA" w:rsidP="00CB2917">
            <w:pPr>
              <w:spacing w:after="0"/>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 Reliance on personal or communal disposal methods</w:t>
            </w:r>
          </w:p>
        </w:tc>
      </w:tr>
    </w:tbl>
    <w:p w14:paraId="10F872E6" w14:textId="77777777" w:rsidR="00946DDA" w:rsidRPr="00C95299" w:rsidRDefault="00946DDA" w:rsidP="00946DDA">
      <w:pPr>
        <w:spacing w:line="240" w:lineRule="auto"/>
        <w:ind w:right="-2007"/>
        <w:rPr>
          <w:rFonts w:ascii="Times New Roman" w:hAnsi="Times New Roman"/>
          <w:sz w:val="24"/>
          <w:szCs w:val="24"/>
          <w:lang w:val="en-GB"/>
        </w:rPr>
      </w:pPr>
    </w:p>
    <w:p w14:paraId="265C9FAC" w14:textId="77777777" w:rsidR="00445534" w:rsidRPr="00C95299" w:rsidRDefault="00445534" w:rsidP="00C86873">
      <w:pPr>
        <w:spacing w:after="0" w:line="240" w:lineRule="auto"/>
        <w:ind w:right="0"/>
        <w:rPr>
          <w:rFonts w:ascii="Times New Roman" w:hAnsi="Times New Roman"/>
          <w:b/>
          <w:sz w:val="24"/>
          <w:szCs w:val="24"/>
          <w:lang w:val="en-GB"/>
        </w:rPr>
      </w:pPr>
      <w:r w:rsidRPr="00C95299">
        <w:rPr>
          <w:rFonts w:ascii="Times New Roman" w:hAnsi="Times New Roman"/>
          <w:b/>
          <w:sz w:val="24"/>
          <w:szCs w:val="24"/>
          <w:lang w:val="en-GB"/>
        </w:rPr>
        <w:t>Waste disposal methods and practices of residents, commercial centres and industries across capital cities in the study area</w:t>
      </w:r>
    </w:p>
    <w:p w14:paraId="4A665337" w14:textId="77777777" w:rsidR="00C86873" w:rsidRPr="00C95299" w:rsidRDefault="00445534" w:rsidP="00C86873">
      <w:pPr>
        <w:spacing w:after="0" w:line="240" w:lineRule="auto"/>
        <w:ind w:right="0"/>
        <w:rPr>
          <w:rFonts w:ascii="Times New Roman" w:hAnsi="Times New Roman"/>
          <w:sz w:val="24"/>
          <w:szCs w:val="24"/>
          <w:lang w:val="en-GB"/>
        </w:rPr>
      </w:pPr>
      <w:r w:rsidRPr="00C95299">
        <w:rPr>
          <w:rFonts w:ascii="Times New Roman" w:hAnsi="Times New Roman"/>
          <w:sz w:val="24"/>
          <w:szCs w:val="24"/>
          <w:lang w:val="en-GB"/>
        </w:rPr>
        <w:t>The data presented in Table 4 reveals a troubling trend in waste disposal practices among residents in the study ar</w:t>
      </w:r>
      <w:r w:rsidR="008723A7" w:rsidRPr="00C95299">
        <w:rPr>
          <w:rFonts w:ascii="Times New Roman" w:hAnsi="Times New Roman"/>
          <w:sz w:val="24"/>
          <w:szCs w:val="24"/>
          <w:lang w:val="en-GB"/>
        </w:rPr>
        <w:t xml:space="preserve">ea, which includes Bayelsa State, </w:t>
      </w:r>
      <w:r w:rsidRPr="00C95299">
        <w:rPr>
          <w:rFonts w:ascii="Times New Roman" w:hAnsi="Times New Roman"/>
          <w:sz w:val="24"/>
          <w:szCs w:val="24"/>
          <w:lang w:val="en-GB"/>
        </w:rPr>
        <w:t xml:space="preserve">Rivers State, and Delta State. The most frequently reported method of waste disposal is </w:t>
      </w:r>
      <w:r w:rsidRPr="00C95299">
        <w:rPr>
          <w:rFonts w:ascii="Times New Roman" w:hAnsi="Times New Roman"/>
          <w:bCs/>
          <w:sz w:val="24"/>
          <w:szCs w:val="24"/>
          <w:lang w:val="en-GB"/>
        </w:rPr>
        <w:t>burning</w:t>
      </w:r>
      <w:r w:rsidRPr="00C95299">
        <w:rPr>
          <w:rFonts w:ascii="Times New Roman" w:hAnsi="Times New Roman"/>
          <w:sz w:val="24"/>
          <w:szCs w:val="24"/>
          <w:lang w:val="en-GB"/>
        </w:rPr>
        <w:t xml:space="preserve">, with </w:t>
      </w:r>
      <w:r w:rsidRPr="00C95299">
        <w:rPr>
          <w:rFonts w:ascii="Times New Roman" w:hAnsi="Times New Roman"/>
          <w:bCs/>
          <w:sz w:val="24"/>
          <w:szCs w:val="24"/>
          <w:lang w:val="en-GB"/>
        </w:rPr>
        <w:t>100 respondents (25.2%)</w:t>
      </w:r>
      <w:r w:rsidRPr="00C95299">
        <w:rPr>
          <w:rFonts w:ascii="Times New Roman" w:hAnsi="Times New Roman"/>
          <w:sz w:val="24"/>
          <w:szCs w:val="24"/>
          <w:lang w:val="en-GB"/>
        </w:rPr>
        <w:t xml:space="preserve"> indicating this as their primary method. Incineration of garbage outside emits toxic chemicals, degrades the quality of air, and raises people's risks of contracting respiratory infections, so it is clear that the activity is bad for the environment and the health of people.  Besides, it shows how ill-prepared the rubbish collection system is and how unaware people are of safer methods of rubbish disposal.</w:t>
      </w:r>
    </w:p>
    <w:p w14:paraId="529334A1" w14:textId="77777777" w:rsidR="00445534" w:rsidRPr="00C95299" w:rsidRDefault="00445534" w:rsidP="00C86873">
      <w:pPr>
        <w:spacing w:after="0" w:line="240" w:lineRule="auto"/>
        <w:ind w:right="0"/>
        <w:rPr>
          <w:rFonts w:ascii="Times New Roman" w:hAnsi="Times New Roman"/>
          <w:sz w:val="24"/>
          <w:szCs w:val="24"/>
          <w:lang w:val="en-GB"/>
        </w:rPr>
      </w:pPr>
      <w:r w:rsidRPr="00C95299">
        <w:rPr>
          <w:rFonts w:ascii="Times New Roman" w:hAnsi="Times New Roman"/>
          <w:sz w:val="24"/>
          <w:szCs w:val="24"/>
          <w:lang w:val="en-GB"/>
        </w:rPr>
        <w:t>Using large black polythene bags is the second most popular technique, with 90 respondents (22.7%) saying this.  The lack of appropriate collecting methods means people dispose of these bags in a random manner, causing blocked drains and street litter, though this indicates some attempt at containment.  Supporting the argument that garbage packing and disposal within the locality is informal and uncontrolled, another big 18.9% of the respondents also stated that they used any available polythene bag.</w:t>
      </w:r>
    </w:p>
    <w:p w14:paraId="7456E18C" w14:textId="77777777" w:rsidR="00445534" w:rsidRPr="00C95299" w:rsidRDefault="00445534" w:rsidP="008723A7">
      <w:pPr>
        <w:spacing w:after="0" w:line="240" w:lineRule="auto"/>
        <w:ind w:right="0"/>
        <w:contextualSpacing/>
        <w:rPr>
          <w:rFonts w:ascii="Times New Roman" w:hAnsi="Times New Roman"/>
          <w:sz w:val="24"/>
          <w:szCs w:val="24"/>
          <w:lang w:val="en-GB"/>
        </w:rPr>
      </w:pPr>
      <w:r w:rsidRPr="00C95299">
        <w:rPr>
          <w:rFonts w:ascii="Times New Roman" w:hAnsi="Times New Roman"/>
          <w:sz w:val="24"/>
          <w:szCs w:val="24"/>
          <w:lang w:val="en-GB"/>
        </w:rPr>
        <w:t xml:space="preserve">Use of </w:t>
      </w:r>
      <w:r w:rsidRPr="00C95299">
        <w:rPr>
          <w:rFonts w:ascii="Times New Roman" w:hAnsi="Times New Roman"/>
          <w:bCs/>
          <w:sz w:val="24"/>
          <w:szCs w:val="24"/>
          <w:lang w:val="en-GB"/>
        </w:rPr>
        <w:t>commercial waste bins or drums</w:t>
      </w:r>
      <w:r w:rsidRPr="00C95299">
        <w:rPr>
          <w:rFonts w:ascii="Times New Roman" w:hAnsi="Times New Roman"/>
          <w:sz w:val="24"/>
          <w:szCs w:val="24"/>
          <w:lang w:val="en-GB"/>
        </w:rPr>
        <w:t xml:space="preserve"> was reported by only </w:t>
      </w:r>
      <w:r w:rsidRPr="00C95299">
        <w:rPr>
          <w:rFonts w:ascii="Times New Roman" w:hAnsi="Times New Roman"/>
          <w:bCs/>
          <w:sz w:val="24"/>
          <w:szCs w:val="24"/>
          <w:lang w:val="en-GB"/>
        </w:rPr>
        <w:t>40 respondents (10.1%)</w:t>
      </w:r>
      <w:r w:rsidRPr="00C95299">
        <w:rPr>
          <w:rFonts w:ascii="Times New Roman" w:hAnsi="Times New Roman"/>
          <w:sz w:val="24"/>
          <w:szCs w:val="24"/>
          <w:lang w:val="en-GB"/>
        </w:rPr>
        <w:t xml:space="preserve">, and </w:t>
      </w:r>
      <w:r w:rsidRPr="00C95299">
        <w:rPr>
          <w:rFonts w:ascii="Times New Roman" w:hAnsi="Times New Roman"/>
          <w:bCs/>
          <w:sz w:val="24"/>
          <w:szCs w:val="24"/>
          <w:lang w:val="en-GB"/>
        </w:rPr>
        <w:t>drums covered in black polythene</w:t>
      </w:r>
      <w:r w:rsidRPr="00C95299">
        <w:rPr>
          <w:rFonts w:ascii="Times New Roman" w:hAnsi="Times New Roman"/>
          <w:sz w:val="24"/>
          <w:szCs w:val="24"/>
          <w:lang w:val="en-GB"/>
        </w:rPr>
        <w:t xml:space="preserve"> by a mere </w:t>
      </w:r>
      <w:r w:rsidRPr="00C95299">
        <w:rPr>
          <w:rFonts w:ascii="Times New Roman" w:hAnsi="Times New Roman"/>
          <w:bCs/>
          <w:sz w:val="24"/>
          <w:szCs w:val="24"/>
          <w:lang w:val="en-GB"/>
        </w:rPr>
        <w:t>28 respondents (7.1%)</w:t>
      </w:r>
      <w:r w:rsidRPr="00C95299">
        <w:rPr>
          <w:rFonts w:ascii="Times New Roman" w:hAnsi="Times New Roman"/>
          <w:sz w:val="24"/>
          <w:szCs w:val="24"/>
          <w:lang w:val="en-GB"/>
        </w:rPr>
        <w:t xml:space="preserve">, suggesting that structured waste management systems are underutilized or unavailable to most residents. More concerning is the low adoption of environmentally sustainable methods: only </w:t>
      </w:r>
      <w:r w:rsidRPr="00C95299">
        <w:rPr>
          <w:rFonts w:ascii="Times New Roman" w:hAnsi="Times New Roman"/>
          <w:bCs/>
          <w:sz w:val="24"/>
          <w:szCs w:val="24"/>
          <w:lang w:val="en-GB"/>
        </w:rPr>
        <w:t>4.5%</w:t>
      </w:r>
      <w:r w:rsidRPr="00C95299">
        <w:rPr>
          <w:rFonts w:ascii="Times New Roman" w:hAnsi="Times New Roman"/>
          <w:sz w:val="24"/>
          <w:szCs w:val="24"/>
          <w:lang w:val="en-GB"/>
        </w:rPr>
        <w:t xml:space="preserve"> engage in </w:t>
      </w:r>
      <w:r w:rsidRPr="00C95299">
        <w:rPr>
          <w:rFonts w:ascii="Times New Roman" w:hAnsi="Times New Roman"/>
          <w:bCs/>
          <w:sz w:val="24"/>
          <w:szCs w:val="24"/>
          <w:lang w:val="en-GB"/>
        </w:rPr>
        <w:t>recycling</w:t>
      </w:r>
      <w:r w:rsidRPr="00C95299">
        <w:rPr>
          <w:rFonts w:ascii="Times New Roman" w:hAnsi="Times New Roman"/>
          <w:sz w:val="24"/>
          <w:szCs w:val="24"/>
          <w:lang w:val="en-GB"/>
        </w:rPr>
        <w:t xml:space="preserve">, and just </w:t>
      </w:r>
      <w:r w:rsidRPr="00C95299">
        <w:rPr>
          <w:rFonts w:ascii="Times New Roman" w:hAnsi="Times New Roman"/>
          <w:bCs/>
          <w:sz w:val="24"/>
          <w:szCs w:val="24"/>
          <w:lang w:val="en-GB"/>
        </w:rPr>
        <w:t>6.0%</w:t>
      </w:r>
      <w:r w:rsidRPr="00C95299">
        <w:rPr>
          <w:rFonts w:ascii="Times New Roman" w:hAnsi="Times New Roman"/>
          <w:sz w:val="24"/>
          <w:szCs w:val="24"/>
          <w:lang w:val="en-GB"/>
        </w:rPr>
        <w:t xml:space="preserve"> in </w:t>
      </w:r>
      <w:r w:rsidRPr="00C95299">
        <w:rPr>
          <w:rFonts w:ascii="Times New Roman" w:hAnsi="Times New Roman"/>
          <w:bCs/>
          <w:sz w:val="24"/>
          <w:szCs w:val="24"/>
          <w:lang w:val="en-GB"/>
        </w:rPr>
        <w:t>composting</w:t>
      </w:r>
      <w:r w:rsidRPr="00C95299">
        <w:rPr>
          <w:rFonts w:ascii="Times New Roman" w:hAnsi="Times New Roman"/>
          <w:sz w:val="24"/>
          <w:szCs w:val="24"/>
          <w:lang w:val="en-GB"/>
        </w:rPr>
        <w:t>. These figures point to a serious gap in both public education and waste infrastructure to support reuse and resource recovery.</w:t>
      </w:r>
    </w:p>
    <w:p w14:paraId="4417A8A0" w14:textId="77777777" w:rsidR="00445534" w:rsidRPr="00C95299" w:rsidRDefault="00445534" w:rsidP="008723A7">
      <w:pPr>
        <w:spacing w:before="100" w:beforeAutospacing="1" w:after="0" w:line="240" w:lineRule="auto"/>
        <w:ind w:right="0"/>
        <w:contextualSpacing/>
        <w:rPr>
          <w:rFonts w:ascii="Times New Roman" w:hAnsi="Times New Roman"/>
          <w:sz w:val="24"/>
          <w:szCs w:val="24"/>
          <w:lang w:val="en-GB"/>
        </w:rPr>
      </w:pPr>
      <w:r w:rsidRPr="00C95299">
        <w:rPr>
          <w:rFonts w:ascii="Times New Roman" w:hAnsi="Times New Roman"/>
          <w:sz w:val="24"/>
          <w:szCs w:val="24"/>
          <w:lang w:val="en-GB"/>
        </w:rPr>
        <w:t xml:space="preserve">The use of </w:t>
      </w:r>
      <w:r w:rsidRPr="00C95299">
        <w:rPr>
          <w:rFonts w:ascii="Times New Roman" w:hAnsi="Times New Roman"/>
          <w:bCs/>
          <w:sz w:val="24"/>
          <w:szCs w:val="24"/>
          <w:lang w:val="en-GB"/>
        </w:rPr>
        <w:t>landfills</w:t>
      </w:r>
      <w:r w:rsidRPr="00C95299">
        <w:rPr>
          <w:rFonts w:ascii="Times New Roman" w:hAnsi="Times New Roman"/>
          <w:sz w:val="24"/>
          <w:szCs w:val="24"/>
          <w:lang w:val="en-GB"/>
        </w:rPr>
        <w:t xml:space="preserve">, a basic waste disposal method in many urban systems, is shockingly low at </w:t>
      </w:r>
      <w:r w:rsidRPr="00C95299">
        <w:rPr>
          <w:rFonts w:ascii="Times New Roman" w:hAnsi="Times New Roman"/>
          <w:bCs/>
          <w:sz w:val="24"/>
          <w:szCs w:val="24"/>
          <w:lang w:val="en-GB"/>
        </w:rPr>
        <w:t>5.5%</w:t>
      </w:r>
      <w:r w:rsidRPr="00C95299">
        <w:rPr>
          <w:rFonts w:ascii="Times New Roman" w:hAnsi="Times New Roman"/>
          <w:sz w:val="24"/>
          <w:szCs w:val="24"/>
          <w:lang w:val="en-GB"/>
        </w:rPr>
        <w:t>, indicating either a lack of access to designated landfills or the absence of properly managed landfill systems. Overall, the pattern of disposal practices underscores a waste management crisis in the study area, characterized by informal, unsustainable methods, and an over-reliance on burning and dumping. Without immediate intervention through policy, education, and investment in infrastructure, these practices will continue to endanger both environmental and public health.</w:t>
      </w:r>
    </w:p>
    <w:p w14:paraId="5AACEA33" w14:textId="77777777" w:rsidR="0035622C" w:rsidRPr="00C95299" w:rsidRDefault="0035622C" w:rsidP="00445534">
      <w:pPr>
        <w:spacing w:before="100" w:beforeAutospacing="1" w:after="0" w:line="240" w:lineRule="auto"/>
        <w:ind w:right="-180"/>
        <w:rPr>
          <w:rFonts w:ascii="Times New Roman" w:hAnsi="Times New Roman"/>
          <w:b/>
          <w:sz w:val="24"/>
          <w:szCs w:val="24"/>
          <w:lang w:val="en-GB"/>
        </w:rPr>
      </w:pPr>
    </w:p>
    <w:p w14:paraId="36A18BD5" w14:textId="77777777" w:rsidR="00445534" w:rsidRPr="00C95299" w:rsidRDefault="00445534" w:rsidP="00445534">
      <w:pPr>
        <w:spacing w:before="100" w:beforeAutospacing="1" w:after="0" w:line="240" w:lineRule="auto"/>
        <w:ind w:right="-180"/>
        <w:rPr>
          <w:rFonts w:ascii="Times New Roman" w:hAnsi="Times New Roman"/>
          <w:b/>
          <w:sz w:val="24"/>
          <w:szCs w:val="24"/>
          <w:lang w:val="en-GB"/>
        </w:rPr>
      </w:pPr>
      <w:r w:rsidRPr="00C95299">
        <w:rPr>
          <w:rFonts w:ascii="Times New Roman" w:hAnsi="Times New Roman"/>
          <w:b/>
          <w:sz w:val="24"/>
          <w:szCs w:val="24"/>
          <w:lang w:val="en-GB"/>
        </w:rPr>
        <w:lastRenderedPageBreak/>
        <w:t xml:space="preserve">Table 4: Waste disposal practices by respondents in the study area </w:t>
      </w:r>
    </w:p>
    <w:tbl>
      <w:tblPr>
        <w:tblW w:w="8548" w:type="dxa"/>
        <w:tblInd w:w="-10" w:type="dxa"/>
        <w:tblBorders>
          <w:top w:val="single" w:sz="4" w:space="0" w:color="auto"/>
          <w:bottom w:val="single" w:sz="4" w:space="0" w:color="auto"/>
        </w:tblBorders>
        <w:tblLook w:val="04A0" w:firstRow="1" w:lastRow="0" w:firstColumn="1" w:lastColumn="0" w:noHBand="0" w:noVBand="1"/>
      </w:tblPr>
      <w:tblGrid>
        <w:gridCol w:w="3264"/>
        <w:gridCol w:w="2020"/>
        <w:gridCol w:w="1479"/>
        <w:gridCol w:w="1785"/>
      </w:tblGrid>
      <w:tr w:rsidR="00445534" w:rsidRPr="00C95299" w14:paraId="4AB6845D" w14:textId="77777777" w:rsidTr="00CB2917">
        <w:trPr>
          <w:trHeight w:val="307"/>
        </w:trPr>
        <w:tc>
          <w:tcPr>
            <w:tcW w:w="3264" w:type="dxa"/>
            <w:tcBorders>
              <w:top w:val="single" w:sz="4" w:space="0" w:color="auto"/>
              <w:bottom w:val="single" w:sz="4" w:space="0" w:color="auto"/>
            </w:tcBorders>
            <w:vAlign w:val="center"/>
          </w:tcPr>
          <w:p w14:paraId="6E7E3408" w14:textId="77777777" w:rsidR="00445534" w:rsidRPr="00C95299" w:rsidRDefault="00445534" w:rsidP="00CB2917">
            <w:pPr>
              <w:spacing w:after="0" w:line="240" w:lineRule="auto"/>
              <w:ind w:right="0"/>
              <w:jc w:val="center"/>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Ways of Disposing Wastes</w:t>
            </w:r>
          </w:p>
        </w:tc>
        <w:tc>
          <w:tcPr>
            <w:tcW w:w="2020" w:type="dxa"/>
            <w:tcBorders>
              <w:top w:val="single" w:sz="4" w:space="0" w:color="auto"/>
              <w:bottom w:val="single" w:sz="4" w:space="0" w:color="auto"/>
            </w:tcBorders>
            <w:vAlign w:val="center"/>
          </w:tcPr>
          <w:p w14:paraId="7A9F05F2" w14:textId="77777777" w:rsidR="00445534" w:rsidRPr="00C95299" w:rsidRDefault="00445534" w:rsidP="00CB2917">
            <w:pPr>
              <w:spacing w:after="0" w:line="240" w:lineRule="auto"/>
              <w:ind w:right="0"/>
              <w:jc w:val="center"/>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Frequency (f)</w:t>
            </w:r>
          </w:p>
        </w:tc>
        <w:tc>
          <w:tcPr>
            <w:tcW w:w="1479" w:type="dxa"/>
            <w:tcBorders>
              <w:top w:val="single" w:sz="4" w:space="0" w:color="auto"/>
              <w:bottom w:val="single" w:sz="4" w:space="0" w:color="auto"/>
            </w:tcBorders>
            <w:vAlign w:val="center"/>
          </w:tcPr>
          <w:p w14:paraId="41B41C9C" w14:textId="77777777" w:rsidR="00445534" w:rsidRPr="00C95299" w:rsidRDefault="00445534" w:rsidP="00CB2917">
            <w:pPr>
              <w:spacing w:after="0" w:line="240" w:lineRule="auto"/>
              <w:ind w:right="0"/>
              <w:jc w:val="center"/>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Percentage (%)</w:t>
            </w:r>
          </w:p>
        </w:tc>
        <w:tc>
          <w:tcPr>
            <w:tcW w:w="1785" w:type="dxa"/>
            <w:tcBorders>
              <w:top w:val="single" w:sz="4" w:space="0" w:color="auto"/>
              <w:bottom w:val="single" w:sz="4" w:space="0" w:color="auto"/>
            </w:tcBorders>
            <w:vAlign w:val="center"/>
          </w:tcPr>
          <w:p w14:paraId="35BA64B7" w14:textId="77777777" w:rsidR="00445534" w:rsidRPr="00C95299" w:rsidRDefault="00445534" w:rsidP="00CB2917">
            <w:pPr>
              <w:spacing w:after="0" w:line="240" w:lineRule="auto"/>
              <w:ind w:right="0"/>
              <w:jc w:val="center"/>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σ (Standard Deviation)</w:t>
            </w:r>
          </w:p>
        </w:tc>
      </w:tr>
      <w:tr w:rsidR="00445534" w:rsidRPr="00C95299" w14:paraId="7A6E7754" w14:textId="77777777" w:rsidTr="00CB2917">
        <w:trPr>
          <w:trHeight w:val="316"/>
        </w:trPr>
        <w:tc>
          <w:tcPr>
            <w:tcW w:w="3264" w:type="dxa"/>
            <w:tcBorders>
              <w:top w:val="single" w:sz="4" w:space="0" w:color="auto"/>
            </w:tcBorders>
            <w:vAlign w:val="center"/>
          </w:tcPr>
          <w:p w14:paraId="5700D35A" w14:textId="77777777" w:rsidR="00445534" w:rsidRPr="00C95299" w:rsidRDefault="00445534" w:rsidP="00CB2917">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Big black Polythene bags only</w:t>
            </w:r>
          </w:p>
        </w:tc>
        <w:tc>
          <w:tcPr>
            <w:tcW w:w="2020" w:type="dxa"/>
            <w:tcBorders>
              <w:top w:val="single" w:sz="4" w:space="0" w:color="auto"/>
            </w:tcBorders>
            <w:vAlign w:val="center"/>
          </w:tcPr>
          <w:p w14:paraId="55B90F4B" w14:textId="77777777" w:rsidR="00445534" w:rsidRPr="00C95299" w:rsidRDefault="00445534" w:rsidP="00CB2917">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90</w:t>
            </w:r>
          </w:p>
        </w:tc>
        <w:tc>
          <w:tcPr>
            <w:tcW w:w="1479" w:type="dxa"/>
            <w:tcBorders>
              <w:top w:val="single" w:sz="4" w:space="0" w:color="auto"/>
            </w:tcBorders>
            <w:vAlign w:val="center"/>
          </w:tcPr>
          <w:p w14:paraId="378C83CB" w14:textId="77777777" w:rsidR="00445534" w:rsidRPr="00C95299" w:rsidRDefault="00445534" w:rsidP="00CB2917">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22.7</w:t>
            </w:r>
          </w:p>
        </w:tc>
        <w:tc>
          <w:tcPr>
            <w:tcW w:w="1785" w:type="dxa"/>
            <w:vMerge w:val="restart"/>
            <w:tcBorders>
              <w:top w:val="single" w:sz="4" w:space="0" w:color="auto"/>
            </w:tcBorders>
            <w:vAlign w:val="center"/>
          </w:tcPr>
          <w:p w14:paraId="24A8CA88" w14:textId="77777777" w:rsidR="00445534" w:rsidRPr="00C95299" w:rsidRDefault="00445534" w:rsidP="00CB2917">
            <w:pPr>
              <w:spacing w:after="0" w:line="240" w:lineRule="auto"/>
              <w:ind w:right="0"/>
              <w:jc w:val="right"/>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1.56</w:t>
            </w:r>
          </w:p>
        </w:tc>
      </w:tr>
      <w:tr w:rsidR="00445534" w:rsidRPr="00C95299" w14:paraId="2535F790" w14:textId="77777777" w:rsidTr="00CB2917">
        <w:trPr>
          <w:trHeight w:val="316"/>
        </w:trPr>
        <w:tc>
          <w:tcPr>
            <w:tcW w:w="3264" w:type="dxa"/>
            <w:vAlign w:val="center"/>
          </w:tcPr>
          <w:p w14:paraId="7AE4CCFF" w14:textId="77777777" w:rsidR="00445534" w:rsidRPr="00C95299" w:rsidRDefault="00445534" w:rsidP="00CB2917">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Commercial waste bins/Drums only</w:t>
            </w:r>
          </w:p>
        </w:tc>
        <w:tc>
          <w:tcPr>
            <w:tcW w:w="2020" w:type="dxa"/>
            <w:vAlign w:val="center"/>
          </w:tcPr>
          <w:p w14:paraId="369939AA" w14:textId="77777777" w:rsidR="00445534" w:rsidRPr="00C95299" w:rsidRDefault="00445534" w:rsidP="00CB2917">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40</w:t>
            </w:r>
          </w:p>
        </w:tc>
        <w:tc>
          <w:tcPr>
            <w:tcW w:w="1479" w:type="dxa"/>
            <w:vAlign w:val="center"/>
          </w:tcPr>
          <w:p w14:paraId="2F45FF4F" w14:textId="77777777" w:rsidR="00445534" w:rsidRPr="00C95299" w:rsidRDefault="00445534" w:rsidP="00CB2917">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10.1</w:t>
            </w:r>
          </w:p>
        </w:tc>
        <w:tc>
          <w:tcPr>
            <w:tcW w:w="1785" w:type="dxa"/>
            <w:vMerge/>
            <w:vAlign w:val="center"/>
          </w:tcPr>
          <w:p w14:paraId="2B60374B" w14:textId="77777777" w:rsidR="00445534" w:rsidRPr="00C95299" w:rsidRDefault="00445534" w:rsidP="00CB2917">
            <w:pPr>
              <w:spacing w:after="0" w:line="240" w:lineRule="auto"/>
              <w:ind w:right="0"/>
              <w:jc w:val="left"/>
              <w:rPr>
                <w:rFonts w:ascii="Times New Roman" w:eastAsia="Times New Roman" w:hAnsi="Times New Roman"/>
                <w:b/>
                <w:bCs/>
                <w:sz w:val="24"/>
                <w:szCs w:val="24"/>
                <w:lang w:val="en-GB" w:eastAsia="en-GB"/>
              </w:rPr>
            </w:pPr>
          </w:p>
        </w:tc>
      </w:tr>
      <w:tr w:rsidR="00445534" w:rsidRPr="00C95299" w14:paraId="493E567E" w14:textId="77777777" w:rsidTr="00CB2917">
        <w:trPr>
          <w:trHeight w:val="316"/>
        </w:trPr>
        <w:tc>
          <w:tcPr>
            <w:tcW w:w="3264" w:type="dxa"/>
            <w:vAlign w:val="center"/>
          </w:tcPr>
          <w:p w14:paraId="22671573" w14:textId="77777777" w:rsidR="00445534" w:rsidRPr="00C95299" w:rsidRDefault="00445534" w:rsidP="00CB2917">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Drums covered in big black Polythene</w:t>
            </w:r>
          </w:p>
        </w:tc>
        <w:tc>
          <w:tcPr>
            <w:tcW w:w="2020" w:type="dxa"/>
            <w:vAlign w:val="center"/>
          </w:tcPr>
          <w:p w14:paraId="67AE90DA" w14:textId="77777777" w:rsidR="00445534" w:rsidRPr="00C95299" w:rsidRDefault="00445534" w:rsidP="00CB2917">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28</w:t>
            </w:r>
          </w:p>
        </w:tc>
        <w:tc>
          <w:tcPr>
            <w:tcW w:w="1479" w:type="dxa"/>
            <w:vAlign w:val="center"/>
          </w:tcPr>
          <w:p w14:paraId="2EF7DE40" w14:textId="77777777" w:rsidR="00445534" w:rsidRPr="00C95299" w:rsidRDefault="00445534" w:rsidP="00CB2917">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7.1</w:t>
            </w:r>
          </w:p>
        </w:tc>
        <w:tc>
          <w:tcPr>
            <w:tcW w:w="1785" w:type="dxa"/>
            <w:vMerge/>
            <w:vAlign w:val="center"/>
          </w:tcPr>
          <w:p w14:paraId="76161C08" w14:textId="77777777" w:rsidR="00445534" w:rsidRPr="00C95299" w:rsidRDefault="00445534" w:rsidP="00CB2917">
            <w:pPr>
              <w:spacing w:after="0" w:line="240" w:lineRule="auto"/>
              <w:ind w:right="0"/>
              <w:jc w:val="left"/>
              <w:rPr>
                <w:rFonts w:ascii="Times New Roman" w:eastAsia="Times New Roman" w:hAnsi="Times New Roman"/>
                <w:b/>
                <w:bCs/>
                <w:sz w:val="24"/>
                <w:szCs w:val="24"/>
                <w:lang w:val="en-GB" w:eastAsia="en-GB"/>
              </w:rPr>
            </w:pPr>
          </w:p>
        </w:tc>
      </w:tr>
      <w:tr w:rsidR="00445534" w:rsidRPr="00C95299" w14:paraId="11975778" w14:textId="77777777" w:rsidTr="00CB2917">
        <w:trPr>
          <w:trHeight w:val="316"/>
        </w:trPr>
        <w:tc>
          <w:tcPr>
            <w:tcW w:w="3264" w:type="dxa"/>
            <w:vAlign w:val="center"/>
          </w:tcPr>
          <w:p w14:paraId="7788F5B7" w14:textId="77777777" w:rsidR="00445534" w:rsidRPr="00C95299" w:rsidRDefault="00445534" w:rsidP="00CB2917">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Any polythene bags</w:t>
            </w:r>
          </w:p>
        </w:tc>
        <w:tc>
          <w:tcPr>
            <w:tcW w:w="2020" w:type="dxa"/>
            <w:vAlign w:val="center"/>
          </w:tcPr>
          <w:p w14:paraId="5C47546E" w14:textId="77777777" w:rsidR="00445534" w:rsidRPr="00C95299" w:rsidRDefault="00445534" w:rsidP="00CB2917">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75</w:t>
            </w:r>
          </w:p>
        </w:tc>
        <w:tc>
          <w:tcPr>
            <w:tcW w:w="1479" w:type="dxa"/>
            <w:vAlign w:val="center"/>
          </w:tcPr>
          <w:p w14:paraId="377EEFFB" w14:textId="77777777" w:rsidR="00445534" w:rsidRPr="00C95299" w:rsidRDefault="00445534" w:rsidP="00CB2917">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18.9</w:t>
            </w:r>
          </w:p>
        </w:tc>
        <w:tc>
          <w:tcPr>
            <w:tcW w:w="1785" w:type="dxa"/>
            <w:vMerge/>
            <w:vAlign w:val="center"/>
          </w:tcPr>
          <w:p w14:paraId="1BC938DE" w14:textId="77777777" w:rsidR="00445534" w:rsidRPr="00C95299" w:rsidRDefault="00445534" w:rsidP="00CB2917">
            <w:pPr>
              <w:spacing w:after="0" w:line="240" w:lineRule="auto"/>
              <w:ind w:right="0"/>
              <w:jc w:val="left"/>
              <w:rPr>
                <w:rFonts w:ascii="Times New Roman" w:eastAsia="Times New Roman" w:hAnsi="Times New Roman"/>
                <w:b/>
                <w:bCs/>
                <w:sz w:val="24"/>
                <w:szCs w:val="24"/>
                <w:lang w:val="en-GB" w:eastAsia="en-GB"/>
              </w:rPr>
            </w:pPr>
          </w:p>
        </w:tc>
      </w:tr>
      <w:tr w:rsidR="00445534" w:rsidRPr="00C95299" w14:paraId="0077893A" w14:textId="77777777" w:rsidTr="00CB2917">
        <w:trPr>
          <w:trHeight w:val="316"/>
        </w:trPr>
        <w:tc>
          <w:tcPr>
            <w:tcW w:w="3264" w:type="dxa"/>
            <w:vAlign w:val="center"/>
          </w:tcPr>
          <w:p w14:paraId="7603609F" w14:textId="77777777" w:rsidR="00445534" w:rsidRPr="00C95299" w:rsidRDefault="00445534" w:rsidP="00CB2917">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Burning</w:t>
            </w:r>
          </w:p>
        </w:tc>
        <w:tc>
          <w:tcPr>
            <w:tcW w:w="2020" w:type="dxa"/>
            <w:vAlign w:val="center"/>
          </w:tcPr>
          <w:p w14:paraId="7A9E9F48" w14:textId="77777777" w:rsidR="00445534" w:rsidRPr="00C95299" w:rsidRDefault="00445534" w:rsidP="00CB2917">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100</w:t>
            </w:r>
          </w:p>
        </w:tc>
        <w:tc>
          <w:tcPr>
            <w:tcW w:w="1479" w:type="dxa"/>
            <w:vAlign w:val="center"/>
          </w:tcPr>
          <w:p w14:paraId="3251802C" w14:textId="77777777" w:rsidR="00445534" w:rsidRPr="00C95299" w:rsidRDefault="00445534" w:rsidP="00CB2917">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25.2</w:t>
            </w:r>
          </w:p>
        </w:tc>
        <w:tc>
          <w:tcPr>
            <w:tcW w:w="1785" w:type="dxa"/>
            <w:vMerge/>
            <w:vAlign w:val="center"/>
          </w:tcPr>
          <w:p w14:paraId="7BAEEAED" w14:textId="77777777" w:rsidR="00445534" w:rsidRPr="00C95299" w:rsidRDefault="00445534" w:rsidP="00CB2917">
            <w:pPr>
              <w:spacing w:after="0" w:line="240" w:lineRule="auto"/>
              <w:ind w:right="0"/>
              <w:jc w:val="left"/>
              <w:rPr>
                <w:rFonts w:ascii="Times New Roman" w:eastAsia="Times New Roman" w:hAnsi="Times New Roman"/>
                <w:b/>
                <w:bCs/>
                <w:sz w:val="24"/>
                <w:szCs w:val="24"/>
                <w:lang w:val="en-GB" w:eastAsia="en-GB"/>
              </w:rPr>
            </w:pPr>
          </w:p>
        </w:tc>
      </w:tr>
      <w:tr w:rsidR="00445534" w:rsidRPr="00C95299" w14:paraId="152793D0" w14:textId="77777777" w:rsidTr="00CB2917">
        <w:trPr>
          <w:trHeight w:val="316"/>
        </w:trPr>
        <w:tc>
          <w:tcPr>
            <w:tcW w:w="3264" w:type="dxa"/>
            <w:vAlign w:val="center"/>
          </w:tcPr>
          <w:p w14:paraId="04D824C1" w14:textId="77777777" w:rsidR="00445534" w:rsidRPr="00C95299" w:rsidRDefault="00445534" w:rsidP="00CB2917">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Landfill</w:t>
            </w:r>
          </w:p>
        </w:tc>
        <w:tc>
          <w:tcPr>
            <w:tcW w:w="2020" w:type="dxa"/>
            <w:vAlign w:val="center"/>
          </w:tcPr>
          <w:p w14:paraId="7306B9CE" w14:textId="77777777" w:rsidR="00445534" w:rsidRPr="00C95299" w:rsidRDefault="00445534" w:rsidP="00CB2917">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22</w:t>
            </w:r>
          </w:p>
        </w:tc>
        <w:tc>
          <w:tcPr>
            <w:tcW w:w="1479" w:type="dxa"/>
            <w:vAlign w:val="center"/>
          </w:tcPr>
          <w:p w14:paraId="64131A4A" w14:textId="77777777" w:rsidR="00445534" w:rsidRPr="00C95299" w:rsidRDefault="00445534" w:rsidP="00CB2917">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5.5</w:t>
            </w:r>
          </w:p>
        </w:tc>
        <w:tc>
          <w:tcPr>
            <w:tcW w:w="1785" w:type="dxa"/>
            <w:vMerge/>
            <w:vAlign w:val="center"/>
          </w:tcPr>
          <w:p w14:paraId="4BE46C9D" w14:textId="77777777" w:rsidR="00445534" w:rsidRPr="00C95299" w:rsidRDefault="00445534" w:rsidP="00CB2917">
            <w:pPr>
              <w:spacing w:after="0" w:line="240" w:lineRule="auto"/>
              <w:ind w:right="0"/>
              <w:jc w:val="left"/>
              <w:rPr>
                <w:rFonts w:ascii="Times New Roman" w:eastAsia="Times New Roman" w:hAnsi="Times New Roman"/>
                <w:b/>
                <w:bCs/>
                <w:sz w:val="24"/>
                <w:szCs w:val="24"/>
                <w:lang w:val="en-GB" w:eastAsia="en-GB"/>
              </w:rPr>
            </w:pPr>
          </w:p>
        </w:tc>
      </w:tr>
      <w:tr w:rsidR="00445534" w:rsidRPr="00C95299" w14:paraId="5229F0A5" w14:textId="77777777" w:rsidTr="00CB2917">
        <w:trPr>
          <w:trHeight w:val="316"/>
        </w:trPr>
        <w:tc>
          <w:tcPr>
            <w:tcW w:w="3264" w:type="dxa"/>
            <w:vAlign w:val="center"/>
          </w:tcPr>
          <w:p w14:paraId="2A5E3EB2" w14:textId="77777777" w:rsidR="00445534" w:rsidRPr="00C95299" w:rsidRDefault="00445534" w:rsidP="00CB2917">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Recycling</w:t>
            </w:r>
          </w:p>
        </w:tc>
        <w:tc>
          <w:tcPr>
            <w:tcW w:w="2020" w:type="dxa"/>
            <w:vAlign w:val="center"/>
          </w:tcPr>
          <w:p w14:paraId="7C980BFA" w14:textId="77777777" w:rsidR="00445534" w:rsidRPr="00C95299" w:rsidRDefault="00445534" w:rsidP="00CB2917">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18</w:t>
            </w:r>
          </w:p>
        </w:tc>
        <w:tc>
          <w:tcPr>
            <w:tcW w:w="1479" w:type="dxa"/>
            <w:vAlign w:val="center"/>
          </w:tcPr>
          <w:p w14:paraId="70106370" w14:textId="77777777" w:rsidR="00445534" w:rsidRPr="00C95299" w:rsidRDefault="00445534" w:rsidP="00CB2917">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4.5</w:t>
            </w:r>
          </w:p>
        </w:tc>
        <w:tc>
          <w:tcPr>
            <w:tcW w:w="1785" w:type="dxa"/>
            <w:vMerge/>
            <w:vAlign w:val="center"/>
          </w:tcPr>
          <w:p w14:paraId="3FC3B600" w14:textId="77777777" w:rsidR="00445534" w:rsidRPr="00C95299" w:rsidRDefault="00445534" w:rsidP="00CB2917">
            <w:pPr>
              <w:spacing w:after="0" w:line="240" w:lineRule="auto"/>
              <w:ind w:right="0"/>
              <w:jc w:val="left"/>
              <w:rPr>
                <w:rFonts w:ascii="Times New Roman" w:eastAsia="Times New Roman" w:hAnsi="Times New Roman"/>
                <w:b/>
                <w:bCs/>
                <w:sz w:val="24"/>
                <w:szCs w:val="24"/>
                <w:lang w:val="en-GB" w:eastAsia="en-GB"/>
              </w:rPr>
            </w:pPr>
          </w:p>
        </w:tc>
      </w:tr>
      <w:tr w:rsidR="00445534" w:rsidRPr="00C95299" w14:paraId="25013408" w14:textId="77777777" w:rsidTr="00CB2917">
        <w:trPr>
          <w:trHeight w:val="316"/>
        </w:trPr>
        <w:tc>
          <w:tcPr>
            <w:tcW w:w="3264" w:type="dxa"/>
            <w:vAlign w:val="center"/>
          </w:tcPr>
          <w:p w14:paraId="2E01D132" w14:textId="77777777" w:rsidR="00445534" w:rsidRPr="00C95299" w:rsidRDefault="00445534" w:rsidP="00CB2917">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Composting</w:t>
            </w:r>
          </w:p>
        </w:tc>
        <w:tc>
          <w:tcPr>
            <w:tcW w:w="2020" w:type="dxa"/>
            <w:vAlign w:val="center"/>
          </w:tcPr>
          <w:p w14:paraId="16C32A2E" w14:textId="77777777" w:rsidR="00445534" w:rsidRPr="00C95299" w:rsidRDefault="00445534" w:rsidP="00CB2917">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24</w:t>
            </w:r>
          </w:p>
        </w:tc>
        <w:tc>
          <w:tcPr>
            <w:tcW w:w="1479" w:type="dxa"/>
            <w:vAlign w:val="center"/>
          </w:tcPr>
          <w:p w14:paraId="5835F755" w14:textId="77777777" w:rsidR="00445534" w:rsidRPr="00C95299" w:rsidRDefault="00445534" w:rsidP="00CB2917">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6.0</w:t>
            </w:r>
          </w:p>
        </w:tc>
        <w:tc>
          <w:tcPr>
            <w:tcW w:w="1785" w:type="dxa"/>
            <w:vMerge/>
            <w:vAlign w:val="center"/>
          </w:tcPr>
          <w:p w14:paraId="295E62CE" w14:textId="77777777" w:rsidR="00445534" w:rsidRPr="00C95299" w:rsidRDefault="00445534" w:rsidP="00CB2917">
            <w:pPr>
              <w:spacing w:after="0" w:line="240" w:lineRule="auto"/>
              <w:ind w:right="0"/>
              <w:jc w:val="left"/>
              <w:rPr>
                <w:rFonts w:ascii="Times New Roman" w:eastAsia="Times New Roman" w:hAnsi="Times New Roman"/>
                <w:b/>
                <w:bCs/>
                <w:sz w:val="24"/>
                <w:szCs w:val="24"/>
                <w:lang w:val="en-GB" w:eastAsia="en-GB"/>
              </w:rPr>
            </w:pPr>
          </w:p>
        </w:tc>
      </w:tr>
      <w:tr w:rsidR="00445534" w:rsidRPr="00C95299" w14:paraId="0B81A66F" w14:textId="77777777" w:rsidTr="00CB2917">
        <w:trPr>
          <w:trHeight w:val="307"/>
        </w:trPr>
        <w:tc>
          <w:tcPr>
            <w:tcW w:w="3264" w:type="dxa"/>
            <w:vAlign w:val="center"/>
          </w:tcPr>
          <w:p w14:paraId="3A35DD6A" w14:textId="77777777" w:rsidR="00445534" w:rsidRPr="00C95299" w:rsidRDefault="00445534" w:rsidP="00CB2917">
            <w:pPr>
              <w:spacing w:after="0" w:line="240" w:lineRule="auto"/>
              <w:ind w:right="0"/>
              <w:jc w:val="left"/>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Total</w:t>
            </w:r>
          </w:p>
        </w:tc>
        <w:tc>
          <w:tcPr>
            <w:tcW w:w="2020" w:type="dxa"/>
            <w:vAlign w:val="center"/>
          </w:tcPr>
          <w:p w14:paraId="3F7C026D" w14:textId="77777777" w:rsidR="00445534" w:rsidRPr="00C95299" w:rsidRDefault="00445534" w:rsidP="00CB2917">
            <w:pPr>
              <w:spacing w:after="0" w:line="240" w:lineRule="auto"/>
              <w:ind w:right="0"/>
              <w:jc w:val="right"/>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397</w:t>
            </w:r>
          </w:p>
        </w:tc>
        <w:tc>
          <w:tcPr>
            <w:tcW w:w="1479" w:type="dxa"/>
            <w:vAlign w:val="center"/>
          </w:tcPr>
          <w:p w14:paraId="1375DE0D" w14:textId="77777777" w:rsidR="00445534" w:rsidRPr="00C95299" w:rsidRDefault="00445534" w:rsidP="00CB2917">
            <w:pPr>
              <w:spacing w:after="0" w:line="240" w:lineRule="auto"/>
              <w:ind w:right="0"/>
              <w:jc w:val="right"/>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100</w:t>
            </w:r>
          </w:p>
        </w:tc>
        <w:tc>
          <w:tcPr>
            <w:tcW w:w="1785" w:type="dxa"/>
            <w:vMerge/>
            <w:vAlign w:val="center"/>
          </w:tcPr>
          <w:p w14:paraId="2BD45305" w14:textId="77777777" w:rsidR="00445534" w:rsidRPr="00C95299" w:rsidRDefault="00445534" w:rsidP="00CB2917">
            <w:pPr>
              <w:spacing w:after="0" w:line="240" w:lineRule="auto"/>
              <w:ind w:right="0"/>
              <w:jc w:val="left"/>
              <w:rPr>
                <w:rFonts w:ascii="Times New Roman" w:eastAsia="Times New Roman" w:hAnsi="Times New Roman"/>
                <w:b/>
                <w:bCs/>
                <w:sz w:val="24"/>
                <w:szCs w:val="24"/>
                <w:lang w:val="en-GB" w:eastAsia="en-GB"/>
              </w:rPr>
            </w:pPr>
          </w:p>
        </w:tc>
      </w:tr>
    </w:tbl>
    <w:p w14:paraId="07DAABF9" w14:textId="77777777" w:rsidR="00445534" w:rsidRPr="00C95299" w:rsidRDefault="00445534" w:rsidP="00445534">
      <w:pPr>
        <w:spacing w:after="0"/>
        <w:ind w:right="-2"/>
        <w:rPr>
          <w:rFonts w:ascii="Times New Roman" w:hAnsi="Times New Roman"/>
          <w:sz w:val="24"/>
          <w:szCs w:val="24"/>
          <w:lang w:val="en-GB"/>
        </w:rPr>
      </w:pPr>
    </w:p>
    <w:p w14:paraId="6B04130C" w14:textId="5E9576A7" w:rsidR="00445534" w:rsidRPr="00C95299" w:rsidRDefault="00445534" w:rsidP="00445534">
      <w:pPr>
        <w:spacing w:after="0"/>
        <w:ind w:right="-2"/>
        <w:rPr>
          <w:rFonts w:ascii="Times New Roman" w:hAnsi="Times New Roman"/>
          <w:sz w:val="24"/>
          <w:szCs w:val="24"/>
          <w:lang w:val="en-GB"/>
        </w:rPr>
      </w:pPr>
      <w:r w:rsidRPr="00C95299">
        <w:rPr>
          <w:rFonts w:ascii="Times New Roman" w:hAnsi="Times New Roman"/>
          <w:sz w:val="24"/>
          <w:szCs w:val="24"/>
          <w:lang w:val="en-GB"/>
        </w:rPr>
        <w:t xml:space="preserve">The ANOVA and post-hoc analysis results in </w:t>
      </w:r>
      <w:r w:rsidRPr="00C95299">
        <w:rPr>
          <w:rFonts w:ascii="Times New Roman" w:hAnsi="Times New Roman"/>
          <w:bCs/>
          <w:sz w:val="24"/>
          <w:szCs w:val="24"/>
          <w:lang w:val="en-GB"/>
        </w:rPr>
        <w:t xml:space="preserve">Table </w:t>
      </w:r>
      <w:r w:rsidR="008C23FE">
        <w:rPr>
          <w:rFonts w:ascii="Times New Roman" w:hAnsi="Times New Roman"/>
          <w:bCs/>
          <w:sz w:val="24"/>
          <w:szCs w:val="24"/>
          <w:lang w:val="en-GB"/>
        </w:rPr>
        <w:t>4</w:t>
      </w:r>
      <w:r w:rsidRPr="00C95299">
        <w:rPr>
          <w:rFonts w:ascii="Times New Roman" w:hAnsi="Times New Roman"/>
          <w:sz w:val="24"/>
          <w:szCs w:val="24"/>
          <w:lang w:val="en-GB"/>
        </w:rPr>
        <w:t xml:space="preserve"> indicate that there are </w:t>
      </w:r>
      <w:r w:rsidRPr="00C95299">
        <w:rPr>
          <w:rFonts w:ascii="Times New Roman" w:hAnsi="Times New Roman"/>
          <w:bCs/>
          <w:sz w:val="24"/>
          <w:szCs w:val="24"/>
          <w:lang w:val="en-GB"/>
        </w:rPr>
        <w:t>statistically significant differences</w:t>
      </w:r>
      <w:r w:rsidRPr="00C95299">
        <w:rPr>
          <w:rFonts w:ascii="Times New Roman" w:hAnsi="Times New Roman"/>
          <w:sz w:val="24"/>
          <w:szCs w:val="24"/>
          <w:lang w:val="en-GB"/>
        </w:rPr>
        <w:t xml:space="preserve"> in waste disposal practices among respondents across the three states surveyed—</w:t>
      </w:r>
      <w:r w:rsidRPr="00C95299">
        <w:rPr>
          <w:rFonts w:ascii="Times New Roman" w:hAnsi="Times New Roman"/>
          <w:bCs/>
          <w:sz w:val="24"/>
          <w:szCs w:val="24"/>
          <w:lang w:val="en-GB"/>
        </w:rPr>
        <w:t>Bayelsa</w:t>
      </w:r>
      <w:r w:rsidRPr="00C95299">
        <w:rPr>
          <w:rFonts w:ascii="Times New Roman" w:hAnsi="Times New Roman"/>
          <w:sz w:val="24"/>
          <w:szCs w:val="24"/>
          <w:lang w:val="en-GB"/>
        </w:rPr>
        <w:t xml:space="preserve">, </w:t>
      </w:r>
      <w:r w:rsidRPr="00C95299">
        <w:rPr>
          <w:rFonts w:ascii="Times New Roman" w:hAnsi="Times New Roman"/>
          <w:bCs/>
          <w:sz w:val="24"/>
          <w:szCs w:val="24"/>
          <w:lang w:val="en-GB"/>
        </w:rPr>
        <w:t>Port Harcourt</w:t>
      </w:r>
      <w:r w:rsidRPr="00C95299">
        <w:rPr>
          <w:rFonts w:ascii="Times New Roman" w:hAnsi="Times New Roman"/>
          <w:sz w:val="24"/>
          <w:szCs w:val="24"/>
          <w:lang w:val="en-GB"/>
        </w:rPr>
        <w:t xml:space="preserve">, and </w:t>
      </w:r>
      <w:r w:rsidRPr="00C95299">
        <w:rPr>
          <w:rFonts w:ascii="Times New Roman" w:hAnsi="Times New Roman"/>
          <w:bCs/>
          <w:sz w:val="24"/>
          <w:szCs w:val="24"/>
          <w:lang w:val="en-GB"/>
        </w:rPr>
        <w:t>Delta</w:t>
      </w:r>
      <w:r w:rsidRPr="00C95299">
        <w:rPr>
          <w:rFonts w:ascii="Times New Roman" w:hAnsi="Times New Roman"/>
          <w:sz w:val="24"/>
          <w:szCs w:val="24"/>
          <w:lang w:val="en-GB"/>
        </w:rPr>
        <w:t>—for all listed disposal methods (</w:t>
      </w:r>
      <w:r w:rsidRPr="00C95299">
        <w:rPr>
          <w:rFonts w:ascii="Times New Roman" w:hAnsi="Times New Roman"/>
          <w:bCs/>
          <w:sz w:val="24"/>
          <w:szCs w:val="24"/>
          <w:lang w:val="en-GB"/>
        </w:rPr>
        <w:t>p &lt; 0.05</w:t>
      </w:r>
      <w:r w:rsidRPr="00C95299">
        <w:rPr>
          <w:rFonts w:ascii="Times New Roman" w:hAnsi="Times New Roman"/>
          <w:sz w:val="24"/>
          <w:szCs w:val="24"/>
          <w:lang w:val="en-GB"/>
        </w:rPr>
        <w:t xml:space="preserve"> in each case).</w:t>
      </w:r>
    </w:p>
    <w:p w14:paraId="165B97EB" w14:textId="77777777" w:rsidR="00445534" w:rsidRPr="00C95299" w:rsidRDefault="00445534" w:rsidP="00445534">
      <w:pPr>
        <w:spacing w:after="0"/>
        <w:ind w:right="-2"/>
        <w:rPr>
          <w:rFonts w:ascii="Times New Roman" w:hAnsi="Times New Roman"/>
          <w:sz w:val="24"/>
          <w:szCs w:val="24"/>
          <w:lang w:val="en-GB"/>
        </w:rPr>
      </w:pPr>
      <w:r w:rsidRPr="00C95299">
        <w:rPr>
          <w:rFonts w:ascii="Times New Roman" w:hAnsi="Times New Roman"/>
          <w:sz w:val="24"/>
          <w:szCs w:val="24"/>
          <w:lang w:val="en-GB"/>
        </w:rPr>
        <w:t xml:space="preserve">For the use of </w:t>
      </w:r>
      <w:r w:rsidRPr="00C95299">
        <w:rPr>
          <w:rFonts w:ascii="Times New Roman" w:hAnsi="Times New Roman"/>
          <w:bCs/>
          <w:sz w:val="24"/>
          <w:szCs w:val="24"/>
          <w:lang w:val="en-GB"/>
        </w:rPr>
        <w:t>big black polythene bags</w:t>
      </w:r>
      <w:r w:rsidRPr="00C95299">
        <w:rPr>
          <w:rFonts w:ascii="Times New Roman" w:hAnsi="Times New Roman"/>
          <w:sz w:val="24"/>
          <w:szCs w:val="24"/>
          <w:lang w:val="en-GB"/>
        </w:rPr>
        <w:t xml:space="preserve">, the F-value of </w:t>
      </w:r>
      <w:r w:rsidRPr="00C95299">
        <w:rPr>
          <w:rFonts w:ascii="Times New Roman" w:hAnsi="Times New Roman"/>
          <w:bCs/>
          <w:sz w:val="24"/>
          <w:szCs w:val="24"/>
          <w:lang w:val="en-GB"/>
        </w:rPr>
        <w:t>4.312</w:t>
      </w:r>
      <w:r w:rsidRPr="00C95299">
        <w:rPr>
          <w:rFonts w:ascii="Times New Roman" w:hAnsi="Times New Roman"/>
          <w:sz w:val="24"/>
          <w:szCs w:val="24"/>
          <w:lang w:val="en-GB"/>
        </w:rPr>
        <w:t xml:space="preserve"> and a </w:t>
      </w:r>
      <w:r w:rsidRPr="00C95299">
        <w:rPr>
          <w:rFonts w:ascii="Times New Roman" w:hAnsi="Times New Roman"/>
          <w:bCs/>
          <w:sz w:val="24"/>
          <w:szCs w:val="24"/>
          <w:lang w:val="en-GB"/>
        </w:rPr>
        <w:t>p-value of 0.014</w:t>
      </w:r>
      <w:r w:rsidRPr="00C95299">
        <w:rPr>
          <w:rFonts w:ascii="Times New Roman" w:hAnsi="Times New Roman"/>
          <w:sz w:val="24"/>
          <w:szCs w:val="24"/>
          <w:lang w:val="en-GB"/>
        </w:rPr>
        <w:t xml:space="preserve"> confirm a significant difference, with </w:t>
      </w:r>
      <w:r w:rsidRPr="00C95299">
        <w:rPr>
          <w:rFonts w:ascii="Times New Roman" w:hAnsi="Times New Roman"/>
          <w:bCs/>
          <w:sz w:val="24"/>
          <w:szCs w:val="24"/>
          <w:lang w:val="en-GB"/>
        </w:rPr>
        <w:t>Bayelsa and Delta</w:t>
      </w:r>
      <w:r w:rsidRPr="00C95299">
        <w:rPr>
          <w:rFonts w:ascii="Times New Roman" w:hAnsi="Times New Roman"/>
          <w:sz w:val="24"/>
          <w:szCs w:val="24"/>
          <w:lang w:val="en-GB"/>
        </w:rPr>
        <w:t xml:space="preserve"> reporting lower usage compared to </w:t>
      </w:r>
      <w:r w:rsidRPr="00C95299">
        <w:rPr>
          <w:rFonts w:ascii="Times New Roman" w:hAnsi="Times New Roman"/>
          <w:bCs/>
          <w:sz w:val="24"/>
          <w:szCs w:val="24"/>
          <w:lang w:val="en-GB"/>
        </w:rPr>
        <w:t>Port Harcourt</w:t>
      </w:r>
      <w:r w:rsidRPr="00C95299">
        <w:rPr>
          <w:rFonts w:ascii="Times New Roman" w:hAnsi="Times New Roman"/>
          <w:sz w:val="24"/>
          <w:szCs w:val="24"/>
          <w:lang w:val="en-GB"/>
        </w:rPr>
        <w:t xml:space="preserve">. A similar pattern is observed for </w:t>
      </w:r>
      <w:r w:rsidRPr="00C95299">
        <w:rPr>
          <w:rFonts w:ascii="Times New Roman" w:hAnsi="Times New Roman"/>
          <w:bCs/>
          <w:sz w:val="24"/>
          <w:szCs w:val="24"/>
          <w:lang w:val="en-GB"/>
        </w:rPr>
        <w:t>commercial waste bins/drums only</w:t>
      </w:r>
      <w:r w:rsidRPr="00C95299">
        <w:rPr>
          <w:rFonts w:ascii="Times New Roman" w:hAnsi="Times New Roman"/>
          <w:sz w:val="24"/>
          <w:szCs w:val="24"/>
          <w:lang w:val="en-GB"/>
        </w:rPr>
        <w:t xml:space="preserve">, where the F-value is </w:t>
      </w:r>
      <w:r w:rsidRPr="00C95299">
        <w:rPr>
          <w:rFonts w:ascii="Times New Roman" w:hAnsi="Times New Roman"/>
          <w:bCs/>
          <w:sz w:val="24"/>
          <w:szCs w:val="24"/>
          <w:lang w:val="en-GB"/>
        </w:rPr>
        <w:t>5.897</w:t>
      </w:r>
      <w:r w:rsidRPr="00C95299">
        <w:rPr>
          <w:rFonts w:ascii="Times New Roman" w:hAnsi="Times New Roman"/>
          <w:sz w:val="24"/>
          <w:szCs w:val="24"/>
          <w:lang w:val="en-GB"/>
        </w:rPr>
        <w:t xml:space="preserve"> and </w:t>
      </w:r>
      <w:r w:rsidRPr="00C95299">
        <w:rPr>
          <w:rFonts w:ascii="Times New Roman" w:hAnsi="Times New Roman"/>
          <w:bCs/>
          <w:sz w:val="24"/>
          <w:szCs w:val="24"/>
          <w:lang w:val="en-GB"/>
        </w:rPr>
        <w:t>p = 0.003</w:t>
      </w:r>
      <w:r w:rsidRPr="00C95299">
        <w:rPr>
          <w:rFonts w:ascii="Times New Roman" w:hAnsi="Times New Roman"/>
          <w:sz w:val="24"/>
          <w:szCs w:val="24"/>
          <w:lang w:val="en-GB"/>
        </w:rPr>
        <w:t xml:space="preserve">, again showing that usage is significantly higher in </w:t>
      </w:r>
      <w:r w:rsidRPr="00C95299">
        <w:rPr>
          <w:rFonts w:ascii="Times New Roman" w:hAnsi="Times New Roman"/>
          <w:bCs/>
          <w:sz w:val="24"/>
          <w:szCs w:val="24"/>
          <w:lang w:val="en-GB"/>
        </w:rPr>
        <w:t xml:space="preserve">Port </w:t>
      </w:r>
      <w:proofErr w:type="spellStart"/>
      <w:r w:rsidRPr="00C95299">
        <w:rPr>
          <w:rFonts w:ascii="Times New Roman" w:hAnsi="Times New Roman"/>
          <w:bCs/>
          <w:sz w:val="24"/>
          <w:szCs w:val="24"/>
          <w:lang w:val="en-GB"/>
        </w:rPr>
        <w:t>harcourt</w:t>
      </w:r>
      <w:r w:rsidRPr="00C95299">
        <w:rPr>
          <w:rFonts w:ascii="Times New Roman" w:hAnsi="Times New Roman"/>
          <w:sz w:val="24"/>
          <w:szCs w:val="24"/>
          <w:lang w:val="en-GB"/>
        </w:rPr>
        <w:t>than</w:t>
      </w:r>
      <w:proofErr w:type="spellEnd"/>
      <w:r w:rsidRPr="00C95299">
        <w:rPr>
          <w:rFonts w:ascii="Times New Roman" w:hAnsi="Times New Roman"/>
          <w:sz w:val="24"/>
          <w:szCs w:val="24"/>
          <w:lang w:val="en-GB"/>
        </w:rPr>
        <w:t xml:space="preserve"> in </w:t>
      </w:r>
      <w:r w:rsidRPr="00C95299">
        <w:rPr>
          <w:rFonts w:ascii="Times New Roman" w:hAnsi="Times New Roman"/>
          <w:bCs/>
          <w:sz w:val="24"/>
          <w:szCs w:val="24"/>
          <w:lang w:val="en-GB"/>
        </w:rPr>
        <w:t>Bayelsa</w:t>
      </w:r>
      <w:r w:rsidRPr="00C95299">
        <w:rPr>
          <w:rFonts w:ascii="Times New Roman" w:hAnsi="Times New Roman"/>
          <w:sz w:val="24"/>
          <w:szCs w:val="24"/>
          <w:lang w:val="en-GB"/>
        </w:rPr>
        <w:t xml:space="preserve"> and </w:t>
      </w:r>
      <w:r w:rsidRPr="00C95299">
        <w:rPr>
          <w:rFonts w:ascii="Times New Roman" w:hAnsi="Times New Roman"/>
          <w:bCs/>
          <w:sz w:val="24"/>
          <w:szCs w:val="24"/>
          <w:lang w:val="en-GB"/>
        </w:rPr>
        <w:t>Delta</w:t>
      </w:r>
      <w:r w:rsidRPr="00C95299">
        <w:rPr>
          <w:rFonts w:ascii="Times New Roman" w:hAnsi="Times New Roman"/>
          <w:sz w:val="24"/>
          <w:szCs w:val="24"/>
          <w:lang w:val="en-GB"/>
        </w:rPr>
        <w:t>.</w:t>
      </w:r>
    </w:p>
    <w:p w14:paraId="52DFBCDB" w14:textId="77777777" w:rsidR="00445534" w:rsidRPr="00C95299" w:rsidRDefault="00445534" w:rsidP="00445534">
      <w:pPr>
        <w:spacing w:after="0"/>
        <w:ind w:right="-2"/>
        <w:rPr>
          <w:rFonts w:ascii="Times New Roman" w:hAnsi="Times New Roman"/>
          <w:sz w:val="24"/>
          <w:szCs w:val="24"/>
          <w:lang w:val="en-GB"/>
        </w:rPr>
      </w:pPr>
      <w:r w:rsidRPr="00C95299">
        <w:rPr>
          <w:rFonts w:ascii="Times New Roman" w:hAnsi="Times New Roman"/>
          <w:sz w:val="24"/>
          <w:szCs w:val="24"/>
          <w:lang w:val="en-GB"/>
        </w:rPr>
        <w:t xml:space="preserve">The disposal method involving </w:t>
      </w:r>
      <w:r w:rsidRPr="00C95299">
        <w:rPr>
          <w:rFonts w:ascii="Times New Roman" w:hAnsi="Times New Roman"/>
          <w:bCs/>
          <w:sz w:val="24"/>
          <w:szCs w:val="24"/>
          <w:lang w:val="en-GB"/>
        </w:rPr>
        <w:t>drums covered in black polythene</w:t>
      </w:r>
      <w:r w:rsidRPr="00C95299">
        <w:rPr>
          <w:rFonts w:ascii="Times New Roman" w:hAnsi="Times New Roman"/>
          <w:sz w:val="24"/>
          <w:szCs w:val="24"/>
          <w:lang w:val="en-GB"/>
        </w:rPr>
        <w:t xml:space="preserve"> also shows a significant difference (</w:t>
      </w:r>
      <w:r w:rsidRPr="00C95299">
        <w:rPr>
          <w:rFonts w:ascii="Times New Roman" w:hAnsi="Times New Roman"/>
          <w:bCs/>
          <w:sz w:val="24"/>
          <w:szCs w:val="24"/>
          <w:lang w:val="en-GB"/>
        </w:rPr>
        <w:t>F = 6.104, p = 0.002</w:t>
      </w:r>
      <w:r w:rsidRPr="00C95299">
        <w:rPr>
          <w:rFonts w:ascii="Times New Roman" w:hAnsi="Times New Roman"/>
          <w:sz w:val="24"/>
          <w:szCs w:val="24"/>
          <w:lang w:val="en-GB"/>
        </w:rPr>
        <w:t xml:space="preserve">), with </w:t>
      </w:r>
      <w:r w:rsidRPr="00C95299">
        <w:rPr>
          <w:rFonts w:ascii="Times New Roman" w:hAnsi="Times New Roman"/>
          <w:bCs/>
          <w:sz w:val="24"/>
          <w:szCs w:val="24"/>
          <w:lang w:val="en-GB"/>
        </w:rPr>
        <w:t xml:space="preserve">Port Harcourt </w:t>
      </w:r>
      <w:r w:rsidRPr="00C95299">
        <w:rPr>
          <w:rFonts w:ascii="Times New Roman" w:hAnsi="Times New Roman"/>
          <w:sz w:val="24"/>
          <w:szCs w:val="24"/>
          <w:lang w:val="en-GB"/>
        </w:rPr>
        <w:t xml:space="preserve">exhibiting a higher rate of adoption. For </w:t>
      </w:r>
      <w:r w:rsidRPr="00C95299">
        <w:rPr>
          <w:rFonts w:ascii="Times New Roman" w:hAnsi="Times New Roman"/>
          <w:bCs/>
          <w:sz w:val="24"/>
          <w:szCs w:val="24"/>
          <w:lang w:val="en-GB"/>
        </w:rPr>
        <w:t>general use of any polythene bags</w:t>
      </w:r>
      <w:r w:rsidRPr="00C95299">
        <w:rPr>
          <w:rFonts w:ascii="Times New Roman" w:hAnsi="Times New Roman"/>
          <w:sz w:val="24"/>
          <w:szCs w:val="24"/>
          <w:lang w:val="en-GB"/>
        </w:rPr>
        <w:t>, the highest F-value in this group is recorded (</w:t>
      </w:r>
      <w:r w:rsidRPr="00C95299">
        <w:rPr>
          <w:rFonts w:ascii="Times New Roman" w:hAnsi="Times New Roman"/>
          <w:bCs/>
          <w:sz w:val="24"/>
          <w:szCs w:val="24"/>
          <w:lang w:val="en-GB"/>
        </w:rPr>
        <w:t>7.672</w:t>
      </w:r>
      <w:r w:rsidRPr="00C95299">
        <w:rPr>
          <w:rFonts w:ascii="Times New Roman" w:hAnsi="Times New Roman"/>
          <w:sz w:val="24"/>
          <w:szCs w:val="24"/>
          <w:lang w:val="en-GB"/>
        </w:rPr>
        <w:t xml:space="preserve">), with a </w:t>
      </w:r>
      <w:r w:rsidRPr="00C95299">
        <w:rPr>
          <w:rFonts w:ascii="Times New Roman" w:hAnsi="Times New Roman"/>
          <w:bCs/>
          <w:sz w:val="24"/>
          <w:szCs w:val="24"/>
          <w:lang w:val="en-GB"/>
        </w:rPr>
        <w:t>p-value of 0.001</w:t>
      </w:r>
      <w:r w:rsidRPr="00C95299">
        <w:rPr>
          <w:rFonts w:ascii="Times New Roman" w:hAnsi="Times New Roman"/>
          <w:sz w:val="24"/>
          <w:szCs w:val="24"/>
          <w:lang w:val="en-GB"/>
        </w:rPr>
        <w:t xml:space="preserve">, reinforcing that </w:t>
      </w:r>
      <w:r w:rsidRPr="00C95299">
        <w:rPr>
          <w:rFonts w:ascii="Times New Roman" w:hAnsi="Times New Roman"/>
          <w:bCs/>
          <w:sz w:val="24"/>
          <w:szCs w:val="24"/>
          <w:lang w:val="en-GB"/>
        </w:rPr>
        <w:t>Port Harcourt</w:t>
      </w:r>
      <w:r w:rsidRPr="00C95299">
        <w:rPr>
          <w:rFonts w:ascii="Times New Roman" w:hAnsi="Times New Roman"/>
          <w:sz w:val="24"/>
          <w:szCs w:val="24"/>
          <w:lang w:val="en-GB"/>
        </w:rPr>
        <w:t xml:space="preserve"> significantly outpaces </w:t>
      </w:r>
      <w:r w:rsidRPr="00C95299">
        <w:rPr>
          <w:rFonts w:ascii="Times New Roman" w:hAnsi="Times New Roman"/>
          <w:bCs/>
          <w:sz w:val="24"/>
          <w:szCs w:val="24"/>
          <w:lang w:val="en-GB"/>
        </w:rPr>
        <w:t>Bayelsa</w:t>
      </w:r>
      <w:r w:rsidRPr="00C95299">
        <w:rPr>
          <w:rFonts w:ascii="Times New Roman" w:hAnsi="Times New Roman"/>
          <w:sz w:val="24"/>
          <w:szCs w:val="24"/>
          <w:lang w:val="en-GB"/>
        </w:rPr>
        <w:t xml:space="preserve"> and </w:t>
      </w:r>
      <w:r w:rsidRPr="00C95299">
        <w:rPr>
          <w:rFonts w:ascii="Times New Roman" w:hAnsi="Times New Roman"/>
          <w:bCs/>
          <w:sz w:val="24"/>
          <w:szCs w:val="24"/>
          <w:lang w:val="en-GB"/>
        </w:rPr>
        <w:t>Delta</w:t>
      </w:r>
      <w:r w:rsidRPr="00C95299">
        <w:rPr>
          <w:rFonts w:ascii="Times New Roman" w:hAnsi="Times New Roman"/>
          <w:sz w:val="24"/>
          <w:szCs w:val="24"/>
          <w:lang w:val="en-GB"/>
        </w:rPr>
        <w:t xml:space="preserve"> in polythene bag-based disposal practices.</w:t>
      </w:r>
    </w:p>
    <w:p w14:paraId="6C5CF705" w14:textId="77777777" w:rsidR="00445534" w:rsidRPr="00C95299" w:rsidRDefault="00445534" w:rsidP="00445534">
      <w:pPr>
        <w:spacing w:after="0"/>
        <w:ind w:right="-2"/>
        <w:rPr>
          <w:rFonts w:ascii="Times New Roman" w:hAnsi="Times New Roman"/>
          <w:sz w:val="24"/>
          <w:szCs w:val="24"/>
          <w:lang w:val="en-GB"/>
        </w:rPr>
      </w:pPr>
      <w:r w:rsidRPr="00C95299">
        <w:rPr>
          <w:rFonts w:ascii="Times New Roman" w:hAnsi="Times New Roman"/>
          <w:bCs/>
          <w:sz w:val="24"/>
          <w:szCs w:val="24"/>
          <w:lang w:val="en-GB"/>
        </w:rPr>
        <w:t>Burning</w:t>
      </w:r>
      <w:r w:rsidRPr="00C95299">
        <w:rPr>
          <w:rFonts w:ascii="Times New Roman" w:hAnsi="Times New Roman"/>
          <w:sz w:val="24"/>
          <w:szCs w:val="24"/>
          <w:lang w:val="en-GB"/>
        </w:rPr>
        <w:t>, the most dominant and concerning disposal method, has the highest F-value (</w:t>
      </w:r>
      <w:r w:rsidRPr="00C95299">
        <w:rPr>
          <w:rFonts w:ascii="Times New Roman" w:hAnsi="Times New Roman"/>
          <w:bCs/>
          <w:sz w:val="24"/>
          <w:szCs w:val="24"/>
          <w:lang w:val="en-GB"/>
        </w:rPr>
        <w:t>9.837</w:t>
      </w:r>
      <w:r w:rsidRPr="00C95299">
        <w:rPr>
          <w:rFonts w:ascii="Times New Roman" w:hAnsi="Times New Roman"/>
          <w:sz w:val="24"/>
          <w:szCs w:val="24"/>
          <w:lang w:val="en-GB"/>
        </w:rPr>
        <w:t>) and is highly significant (</w:t>
      </w:r>
      <w:r w:rsidRPr="00C95299">
        <w:rPr>
          <w:rFonts w:ascii="Times New Roman" w:hAnsi="Times New Roman"/>
          <w:bCs/>
          <w:sz w:val="24"/>
          <w:szCs w:val="24"/>
          <w:lang w:val="en-GB"/>
        </w:rPr>
        <w:t>p = 0.000</w:t>
      </w:r>
      <w:r w:rsidRPr="00C95299">
        <w:rPr>
          <w:rFonts w:ascii="Times New Roman" w:hAnsi="Times New Roman"/>
          <w:sz w:val="24"/>
          <w:szCs w:val="24"/>
          <w:lang w:val="en-GB"/>
        </w:rPr>
        <w:t xml:space="preserve">). Here, </w:t>
      </w:r>
      <w:r w:rsidRPr="00C95299">
        <w:rPr>
          <w:rFonts w:ascii="Times New Roman" w:hAnsi="Times New Roman"/>
          <w:bCs/>
          <w:sz w:val="24"/>
          <w:szCs w:val="24"/>
          <w:lang w:val="en-GB"/>
        </w:rPr>
        <w:t xml:space="preserve">Port Harcourt </w:t>
      </w:r>
      <w:r w:rsidRPr="00C95299">
        <w:rPr>
          <w:rFonts w:ascii="Times New Roman" w:hAnsi="Times New Roman"/>
          <w:sz w:val="24"/>
          <w:szCs w:val="24"/>
          <w:lang w:val="en-GB"/>
        </w:rPr>
        <w:t xml:space="preserve">again leads, with </w:t>
      </w:r>
      <w:r w:rsidRPr="00C95299">
        <w:rPr>
          <w:rFonts w:ascii="Times New Roman" w:hAnsi="Times New Roman"/>
          <w:bCs/>
          <w:sz w:val="24"/>
          <w:szCs w:val="24"/>
          <w:lang w:val="en-GB"/>
        </w:rPr>
        <w:t>Bayelsa and Delta</w:t>
      </w:r>
      <w:r w:rsidRPr="00C95299">
        <w:rPr>
          <w:rFonts w:ascii="Times New Roman" w:hAnsi="Times New Roman"/>
          <w:sz w:val="24"/>
          <w:szCs w:val="24"/>
          <w:lang w:val="en-GB"/>
        </w:rPr>
        <w:t xml:space="preserve"> showing significantly lower frequencies, indicating that burning is more rampant in the Port Harcourt area, likely due to limited formal waste management systems or greater urban waste accumulation.</w:t>
      </w:r>
    </w:p>
    <w:p w14:paraId="457D7660" w14:textId="77777777" w:rsidR="00445534" w:rsidRPr="00C95299" w:rsidRDefault="00445534" w:rsidP="00445534">
      <w:pPr>
        <w:spacing w:after="0"/>
        <w:ind w:right="-2"/>
        <w:rPr>
          <w:rFonts w:ascii="Times New Roman" w:hAnsi="Times New Roman"/>
          <w:sz w:val="24"/>
          <w:szCs w:val="24"/>
          <w:lang w:val="en-GB"/>
        </w:rPr>
      </w:pPr>
      <w:r w:rsidRPr="00C95299">
        <w:rPr>
          <w:rFonts w:ascii="Times New Roman" w:hAnsi="Times New Roman"/>
          <w:sz w:val="24"/>
          <w:szCs w:val="24"/>
          <w:lang w:val="en-GB"/>
        </w:rPr>
        <w:t xml:space="preserve">For more structured methods like </w:t>
      </w:r>
      <w:r w:rsidRPr="00C95299">
        <w:rPr>
          <w:rFonts w:ascii="Times New Roman" w:hAnsi="Times New Roman"/>
          <w:bCs/>
          <w:sz w:val="24"/>
          <w:szCs w:val="24"/>
          <w:lang w:val="en-GB"/>
        </w:rPr>
        <w:t>landfilling</w:t>
      </w:r>
      <w:r w:rsidRPr="00C95299">
        <w:rPr>
          <w:rFonts w:ascii="Times New Roman" w:hAnsi="Times New Roman"/>
          <w:sz w:val="24"/>
          <w:szCs w:val="24"/>
          <w:lang w:val="en-GB"/>
        </w:rPr>
        <w:t xml:space="preserve">, </w:t>
      </w:r>
      <w:r w:rsidRPr="00C95299">
        <w:rPr>
          <w:rFonts w:ascii="Times New Roman" w:hAnsi="Times New Roman"/>
          <w:bCs/>
          <w:sz w:val="24"/>
          <w:szCs w:val="24"/>
          <w:lang w:val="en-GB"/>
        </w:rPr>
        <w:t>recycling</w:t>
      </w:r>
      <w:r w:rsidRPr="00C95299">
        <w:rPr>
          <w:rFonts w:ascii="Times New Roman" w:hAnsi="Times New Roman"/>
          <w:sz w:val="24"/>
          <w:szCs w:val="24"/>
          <w:lang w:val="en-GB"/>
        </w:rPr>
        <w:t xml:space="preserve">, and </w:t>
      </w:r>
      <w:r w:rsidRPr="00C95299">
        <w:rPr>
          <w:rFonts w:ascii="Times New Roman" w:hAnsi="Times New Roman"/>
          <w:bCs/>
          <w:sz w:val="24"/>
          <w:szCs w:val="24"/>
          <w:lang w:val="en-GB"/>
        </w:rPr>
        <w:t>composting</w:t>
      </w:r>
      <w:r w:rsidRPr="00C95299">
        <w:rPr>
          <w:rFonts w:ascii="Times New Roman" w:hAnsi="Times New Roman"/>
          <w:sz w:val="24"/>
          <w:szCs w:val="24"/>
          <w:lang w:val="en-GB"/>
        </w:rPr>
        <w:t xml:space="preserve">, significant differences also emerge, with </w:t>
      </w:r>
      <w:r w:rsidRPr="00C95299">
        <w:rPr>
          <w:rFonts w:ascii="Times New Roman" w:hAnsi="Times New Roman"/>
          <w:bCs/>
          <w:sz w:val="24"/>
          <w:szCs w:val="24"/>
          <w:lang w:val="en-GB"/>
        </w:rPr>
        <w:t>Bayelsa</w:t>
      </w:r>
      <w:r w:rsidRPr="00C95299">
        <w:rPr>
          <w:rFonts w:ascii="Times New Roman" w:hAnsi="Times New Roman"/>
          <w:sz w:val="24"/>
          <w:szCs w:val="24"/>
          <w:lang w:val="en-GB"/>
        </w:rPr>
        <w:t xml:space="preserve"> often ranking lowest in adoption, while </w:t>
      </w:r>
      <w:proofErr w:type="spellStart"/>
      <w:r w:rsidRPr="00C95299">
        <w:rPr>
          <w:rFonts w:ascii="Times New Roman" w:hAnsi="Times New Roman"/>
          <w:bCs/>
          <w:sz w:val="24"/>
          <w:szCs w:val="24"/>
          <w:lang w:val="en-GB"/>
        </w:rPr>
        <w:t>Portharcourt</w:t>
      </w:r>
      <w:r w:rsidRPr="00C95299">
        <w:rPr>
          <w:rFonts w:ascii="Times New Roman" w:hAnsi="Times New Roman"/>
          <w:sz w:val="24"/>
          <w:szCs w:val="24"/>
          <w:lang w:val="en-GB"/>
        </w:rPr>
        <w:t>ranks</w:t>
      </w:r>
      <w:proofErr w:type="spellEnd"/>
      <w:r w:rsidRPr="00C95299">
        <w:rPr>
          <w:rFonts w:ascii="Times New Roman" w:hAnsi="Times New Roman"/>
          <w:sz w:val="24"/>
          <w:szCs w:val="24"/>
          <w:lang w:val="en-GB"/>
        </w:rPr>
        <w:t xml:space="preserve"> highest, indicating better access or slightly more developed infrastructure in </w:t>
      </w:r>
      <w:proofErr w:type="spellStart"/>
      <w:r w:rsidRPr="00C95299">
        <w:rPr>
          <w:rFonts w:ascii="Times New Roman" w:hAnsi="Times New Roman"/>
          <w:sz w:val="24"/>
          <w:szCs w:val="24"/>
          <w:lang w:val="en-GB"/>
        </w:rPr>
        <w:t>Portharcourtcompared</w:t>
      </w:r>
      <w:proofErr w:type="spellEnd"/>
      <w:r w:rsidRPr="00C95299">
        <w:rPr>
          <w:rFonts w:ascii="Times New Roman" w:hAnsi="Times New Roman"/>
          <w:sz w:val="24"/>
          <w:szCs w:val="24"/>
          <w:lang w:val="en-GB"/>
        </w:rPr>
        <w:t xml:space="preserve"> to the others. </w:t>
      </w:r>
      <w:r w:rsidRPr="00C95299">
        <w:rPr>
          <w:rFonts w:ascii="Times New Roman" w:hAnsi="Times New Roman"/>
          <w:bCs/>
          <w:sz w:val="24"/>
          <w:szCs w:val="24"/>
          <w:lang w:val="en-GB"/>
        </w:rPr>
        <w:t>Landfilling (F = 6.54, p = 0.002)</w:t>
      </w:r>
      <w:r w:rsidRPr="00C95299">
        <w:rPr>
          <w:rFonts w:ascii="Times New Roman" w:hAnsi="Times New Roman"/>
          <w:sz w:val="24"/>
          <w:szCs w:val="24"/>
          <w:lang w:val="en-GB"/>
        </w:rPr>
        <w:t xml:space="preserve">, </w:t>
      </w:r>
      <w:r w:rsidRPr="00C95299">
        <w:rPr>
          <w:rFonts w:ascii="Times New Roman" w:hAnsi="Times New Roman"/>
          <w:bCs/>
          <w:sz w:val="24"/>
          <w:szCs w:val="24"/>
          <w:lang w:val="en-GB"/>
        </w:rPr>
        <w:t>Recycling (F = 5.032, p = 0.007)</w:t>
      </w:r>
      <w:r w:rsidRPr="00C95299">
        <w:rPr>
          <w:rFonts w:ascii="Times New Roman" w:hAnsi="Times New Roman"/>
          <w:sz w:val="24"/>
          <w:szCs w:val="24"/>
          <w:lang w:val="en-GB"/>
        </w:rPr>
        <w:t xml:space="preserve">, and </w:t>
      </w:r>
      <w:r w:rsidRPr="00C95299">
        <w:rPr>
          <w:rFonts w:ascii="Times New Roman" w:hAnsi="Times New Roman"/>
          <w:bCs/>
          <w:sz w:val="24"/>
          <w:szCs w:val="24"/>
          <w:lang w:val="en-GB"/>
        </w:rPr>
        <w:t>Composting (F = 4.785, p = 0.009)</w:t>
      </w:r>
      <w:r w:rsidRPr="00C95299">
        <w:rPr>
          <w:rFonts w:ascii="Times New Roman" w:hAnsi="Times New Roman"/>
          <w:sz w:val="24"/>
          <w:szCs w:val="24"/>
          <w:lang w:val="en-GB"/>
        </w:rPr>
        <w:t xml:space="preserve"> all point to substantial disparities among states, with </w:t>
      </w:r>
      <w:r w:rsidRPr="00C95299">
        <w:rPr>
          <w:rFonts w:ascii="Times New Roman" w:hAnsi="Times New Roman"/>
          <w:bCs/>
          <w:sz w:val="24"/>
          <w:szCs w:val="24"/>
          <w:lang w:val="en-GB"/>
        </w:rPr>
        <w:t>Port Harcourt consistently reporting higher usage</w:t>
      </w:r>
      <w:r w:rsidRPr="00C95299">
        <w:rPr>
          <w:rFonts w:ascii="Times New Roman" w:hAnsi="Times New Roman"/>
          <w:sz w:val="24"/>
          <w:szCs w:val="24"/>
          <w:lang w:val="en-GB"/>
        </w:rPr>
        <w:t>.</w:t>
      </w:r>
    </w:p>
    <w:p w14:paraId="79330894" w14:textId="77777777" w:rsidR="00445534" w:rsidRPr="00C95299" w:rsidRDefault="00445534" w:rsidP="00445534">
      <w:pPr>
        <w:spacing w:after="0"/>
        <w:ind w:right="-2"/>
        <w:rPr>
          <w:rFonts w:ascii="Times New Roman" w:hAnsi="Times New Roman"/>
          <w:sz w:val="24"/>
          <w:szCs w:val="24"/>
          <w:lang w:val="en-GB"/>
        </w:rPr>
      </w:pPr>
      <w:r w:rsidRPr="00C95299">
        <w:rPr>
          <w:rFonts w:ascii="Times New Roman" w:hAnsi="Times New Roman"/>
          <w:sz w:val="24"/>
          <w:szCs w:val="24"/>
          <w:lang w:val="en-GB"/>
        </w:rPr>
        <w:lastRenderedPageBreak/>
        <w:t xml:space="preserve">In summary, the data reveal a clear </w:t>
      </w:r>
      <w:r w:rsidRPr="00C95299">
        <w:rPr>
          <w:rFonts w:ascii="Times New Roman" w:hAnsi="Times New Roman"/>
          <w:bCs/>
          <w:sz w:val="24"/>
          <w:szCs w:val="24"/>
          <w:lang w:val="en-GB"/>
        </w:rPr>
        <w:t>geographical variation</w:t>
      </w:r>
      <w:r w:rsidRPr="00C95299">
        <w:rPr>
          <w:rFonts w:ascii="Times New Roman" w:hAnsi="Times New Roman"/>
          <w:sz w:val="24"/>
          <w:szCs w:val="24"/>
          <w:lang w:val="en-GB"/>
        </w:rPr>
        <w:t xml:space="preserve"> in waste disposal practices across the study area. </w:t>
      </w:r>
      <w:r w:rsidRPr="00C95299">
        <w:rPr>
          <w:rFonts w:ascii="Times New Roman" w:hAnsi="Times New Roman"/>
          <w:bCs/>
          <w:sz w:val="24"/>
          <w:szCs w:val="24"/>
          <w:lang w:val="en-GB"/>
        </w:rPr>
        <w:t xml:space="preserve">Port Harcourt </w:t>
      </w:r>
      <w:r w:rsidRPr="00C95299">
        <w:rPr>
          <w:rFonts w:ascii="Times New Roman" w:hAnsi="Times New Roman"/>
          <w:sz w:val="24"/>
          <w:szCs w:val="24"/>
          <w:lang w:val="en-GB"/>
        </w:rPr>
        <w:t xml:space="preserve">demonstrates significantly </w:t>
      </w:r>
      <w:r w:rsidRPr="00C95299">
        <w:rPr>
          <w:rFonts w:ascii="Times New Roman" w:hAnsi="Times New Roman"/>
          <w:bCs/>
          <w:sz w:val="24"/>
          <w:szCs w:val="24"/>
          <w:lang w:val="en-GB"/>
        </w:rPr>
        <w:t>higher usage of both formal and informal waste disposal methods</w:t>
      </w:r>
      <w:r w:rsidRPr="00C95299">
        <w:rPr>
          <w:rFonts w:ascii="Times New Roman" w:hAnsi="Times New Roman"/>
          <w:sz w:val="24"/>
          <w:szCs w:val="24"/>
          <w:lang w:val="en-GB"/>
        </w:rPr>
        <w:t xml:space="preserve">, while </w:t>
      </w:r>
      <w:r w:rsidRPr="00C95299">
        <w:rPr>
          <w:rFonts w:ascii="Times New Roman" w:hAnsi="Times New Roman"/>
          <w:bCs/>
          <w:sz w:val="24"/>
          <w:szCs w:val="24"/>
          <w:lang w:val="en-GB"/>
        </w:rPr>
        <w:t>Bayelsa</w:t>
      </w:r>
      <w:r w:rsidRPr="00C95299">
        <w:rPr>
          <w:rFonts w:ascii="Times New Roman" w:hAnsi="Times New Roman"/>
          <w:sz w:val="24"/>
          <w:szCs w:val="24"/>
          <w:lang w:val="en-GB"/>
        </w:rPr>
        <w:t xml:space="preserve"> and </w:t>
      </w:r>
      <w:r w:rsidRPr="00C95299">
        <w:rPr>
          <w:rFonts w:ascii="Times New Roman" w:hAnsi="Times New Roman"/>
          <w:bCs/>
          <w:sz w:val="24"/>
          <w:szCs w:val="24"/>
          <w:lang w:val="en-GB"/>
        </w:rPr>
        <w:t>Delta</w:t>
      </w:r>
      <w:r w:rsidRPr="00C95299">
        <w:rPr>
          <w:rFonts w:ascii="Times New Roman" w:hAnsi="Times New Roman"/>
          <w:sz w:val="24"/>
          <w:szCs w:val="24"/>
          <w:lang w:val="en-GB"/>
        </w:rPr>
        <w:t xml:space="preserve"> consistently show </w:t>
      </w:r>
      <w:r w:rsidRPr="00C95299">
        <w:rPr>
          <w:rFonts w:ascii="Times New Roman" w:hAnsi="Times New Roman"/>
          <w:bCs/>
          <w:sz w:val="24"/>
          <w:szCs w:val="24"/>
          <w:lang w:val="en-GB"/>
        </w:rPr>
        <w:t>lower engagement</w:t>
      </w:r>
      <w:r w:rsidRPr="00C95299">
        <w:rPr>
          <w:rFonts w:ascii="Times New Roman" w:hAnsi="Times New Roman"/>
          <w:sz w:val="24"/>
          <w:szCs w:val="24"/>
          <w:lang w:val="en-GB"/>
        </w:rPr>
        <w:t>, which may reflect infrastructural, educational, or policy gaps in those states.</w:t>
      </w:r>
    </w:p>
    <w:p w14:paraId="35DD0F73" w14:textId="6D12AEA8" w:rsidR="00445534" w:rsidRPr="00C95299" w:rsidRDefault="00445534" w:rsidP="00445534">
      <w:pPr>
        <w:spacing w:after="0"/>
        <w:ind w:right="-2"/>
        <w:rPr>
          <w:rFonts w:ascii="Times New Roman" w:hAnsi="Times New Roman"/>
          <w:sz w:val="24"/>
          <w:szCs w:val="24"/>
          <w:lang w:val="en-GB"/>
        </w:rPr>
      </w:pPr>
      <w:r w:rsidRPr="00C95299">
        <w:rPr>
          <w:rFonts w:ascii="Times New Roman" w:hAnsi="Times New Roman"/>
          <w:b/>
          <w:sz w:val="24"/>
          <w:szCs w:val="24"/>
          <w:lang w:val="en-GB"/>
        </w:rPr>
        <w:t xml:space="preserve">Table </w:t>
      </w:r>
      <w:r w:rsidR="008C23FE">
        <w:rPr>
          <w:rFonts w:ascii="Times New Roman" w:hAnsi="Times New Roman"/>
          <w:b/>
          <w:sz w:val="24"/>
          <w:szCs w:val="24"/>
          <w:lang w:val="en-GB"/>
        </w:rPr>
        <w:t>5</w:t>
      </w:r>
      <w:r w:rsidRPr="00C95299">
        <w:rPr>
          <w:rFonts w:ascii="Times New Roman" w:hAnsi="Times New Roman"/>
          <w:b/>
          <w:sz w:val="24"/>
          <w:szCs w:val="24"/>
          <w:lang w:val="en-GB"/>
        </w:rPr>
        <w:t>: ANOVA and Post-hoc analysis of significant difference in waste disposal practices by respondents in the study area</w:t>
      </w:r>
    </w:p>
    <w:tbl>
      <w:tblPr>
        <w:tblW w:w="5000" w:type="pct"/>
        <w:tblBorders>
          <w:top w:val="single" w:sz="4" w:space="0" w:color="auto"/>
          <w:bottom w:val="single" w:sz="4" w:space="0" w:color="auto"/>
        </w:tblBorders>
        <w:tblLook w:val="04A0" w:firstRow="1" w:lastRow="0" w:firstColumn="1" w:lastColumn="0" w:noHBand="0" w:noVBand="1"/>
      </w:tblPr>
      <w:tblGrid>
        <w:gridCol w:w="1891"/>
        <w:gridCol w:w="647"/>
        <w:gridCol w:w="626"/>
        <w:gridCol w:w="1237"/>
        <w:gridCol w:w="914"/>
        <w:gridCol w:w="2103"/>
        <w:gridCol w:w="2158"/>
      </w:tblGrid>
      <w:tr w:rsidR="00C95299" w:rsidRPr="00C95299" w14:paraId="3DC86D2E" w14:textId="77777777" w:rsidTr="00CB2917">
        <w:trPr>
          <w:trHeight w:val="290"/>
        </w:trPr>
        <w:tc>
          <w:tcPr>
            <w:tcW w:w="987" w:type="pct"/>
            <w:tcBorders>
              <w:top w:val="single" w:sz="4" w:space="0" w:color="auto"/>
              <w:bottom w:val="nil"/>
            </w:tcBorders>
            <w:vAlign w:val="center"/>
          </w:tcPr>
          <w:p w14:paraId="7CA68803" w14:textId="77777777" w:rsidR="00445534" w:rsidRPr="00C95299" w:rsidRDefault="00445534" w:rsidP="00445534">
            <w:pPr>
              <w:spacing w:after="0" w:line="240" w:lineRule="auto"/>
              <w:ind w:right="0"/>
              <w:jc w:val="center"/>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Waste Disposal Methods</w:t>
            </w:r>
          </w:p>
        </w:tc>
        <w:tc>
          <w:tcPr>
            <w:tcW w:w="338" w:type="pct"/>
            <w:tcBorders>
              <w:top w:val="single" w:sz="4" w:space="0" w:color="auto"/>
              <w:bottom w:val="nil"/>
            </w:tcBorders>
            <w:vAlign w:val="center"/>
          </w:tcPr>
          <w:p w14:paraId="1BBCE81C" w14:textId="77777777" w:rsidR="00445534" w:rsidRPr="00C95299" w:rsidRDefault="00445534" w:rsidP="00445534">
            <w:pPr>
              <w:spacing w:after="0" w:line="240" w:lineRule="auto"/>
              <w:ind w:right="0"/>
              <w:jc w:val="center"/>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n</w:t>
            </w:r>
          </w:p>
        </w:tc>
        <w:tc>
          <w:tcPr>
            <w:tcW w:w="327" w:type="pct"/>
            <w:tcBorders>
              <w:top w:val="single" w:sz="4" w:space="0" w:color="auto"/>
              <w:bottom w:val="nil"/>
            </w:tcBorders>
            <w:vAlign w:val="center"/>
          </w:tcPr>
          <w:p w14:paraId="392127F4" w14:textId="77777777" w:rsidR="00445534" w:rsidRPr="00C95299" w:rsidRDefault="00445534" w:rsidP="00445534">
            <w:pPr>
              <w:spacing w:after="0" w:line="240" w:lineRule="auto"/>
              <w:ind w:right="0"/>
              <w:jc w:val="center"/>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df</w:t>
            </w:r>
          </w:p>
        </w:tc>
        <w:tc>
          <w:tcPr>
            <w:tcW w:w="646" w:type="pct"/>
            <w:tcBorders>
              <w:top w:val="single" w:sz="4" w:space="0" w:color="auto"/>
              <w:bottom w:val="nil"/>
            </w:tcBorders>
            <w:vAlign w:val="center"/>
          </w:tcPr>
          <w:p w14:paraId="480694CE" w14:textId="77777777" w:rsidR="00445534" w:rsidRPr="00C95299" w:rsidRDefault="00445534" w:rsidP="00445534">
            <w:pPr>
              <w:spacing w:after="0" w:line="240" w:lineRule="auto"/>
              <w:ind w:right="0"/>
              <w:jc w:val="center"/>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F</w:t>
            </w:r>
          </w:p>
        </w:tc>
        <w:tc>
          <w:tcPr>
            <w:tcW w:w="477" w:type="pct"/>
            <w:tcBorders>
              <w:top w:val="single" w:sz="4" w:space="0" w:color="auto"/>
              <w:bottom w:val="nil"/>
            </w:tcBorders>
            <w:vAlign w:val="center"/>
          </w:tcPr>
          <w:p w14:paraId="3F878285" w14:textId="77777777" w:rsidR="00445534" w:rsidRPr="00C95299" w:rsidRDefault="00445534" w:rsidP="00445534">
            <w:pPr>
              <w:spacing w:after="0" w:line="240" w:lineRule="auto"/>
              <w:ind w:right="0"/>
              <w:jc w:val="center"/>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P-value</w:t>
            </w:r>
          </w:p>
        </w:tc>
        <w:tc>
          <w:tcPr>
            <w:tcW w:w="2225" w:type="pct"/>
            <w:gridSpan w:val="2"/>
            <w:tcBorders>
              <w:top w:val="single" w:sz="4" w:space="0" w:color="auto"/>
              <w:bottom w:val="nil"/>
            </w:tcBorders>
          </w:tcPr>
          <w:p w14:paraId="4CA7006E" w14:textId="77777777" w:rsidR="00445534" w:rsidRPr="00C95299" w:rsidRDefault="00445534" w:rsidP="00445534">
            <w:pPr>
              <w:spacing w:after="0" w:line="240" w:lineRule="auto"/>
              <w:ind w:right="0"/>
              <w:jc w:val="center"/>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 xml:space="preserve">Post-hoc </w:t>
            </w:r>
          </w:p>
        </w:tc>
      </w:tr>
      <w:tr w:rsidR="00C95299" w:rsidRPr="00C95299" w14:paraId="29EAC346" w14:textId="77777777" w:rsidTr="00CB2917">
        <w:trPr>
          <w:trHeight w:val="290"/>
        </w:trPr>
        <w:tc>
          <w:tcPr>
            <w:tcW w:w="987" w:type="pct"/>
            <w:tcBorders>
              <w:top w:val="nil"/>
              <w:bottom w:val="single" w:sz="4" w:space="0" w:color="auto"/>
            </w:tcBorders>
            <w:vAlign w:val="center"/>
          </w:tcPr>
          <w:p w14:paraId="4D1142CB" w14:textId="77777777" w:rsidR="00445534" w:rsidRPr="00C95299" w:rsidRDefault="00445534" w:rsidP="00445534">
            <w:pPr>
              <w:spacing w:after="0" w:line="240" w:lineRule="auto"/>
              <w:ind w:right="0"/>
              <w:jc w:val="center"/>
              <w:rPr>
                <w:rFonts w:ascii="Times New Roman" w:eastAsia="Times New Roman" w:hAnsi="Times New Roman"/>
                <w:b/>
                <w:bCs/>
                <w:sz w:val="24"/>
                <w:szCs w:val="24"/>
                <w:lang w:val="en-GB" w:eastAsia="en-GB"/>
              </w:rPr>
            </w:pPr>
          </w:p>
        </w:tc>
        <w:tc>
          <w:tcPr>
            <w:tcW w:w="338" w:type="pct"/>
            <w:tcBorders>
              <w:top w:val="nil"/>
              <w:bottom w:val="single" w:sz="4" w:space="0" w:color="auto"/>
            </w:tcBorders>
            <w:vAlign w:val="center"/>
          </w:tcPr>
          <w:p w14:paraId="2A3C51B8" w14:textId="77777777" w:rsidR="00445534" w:rsidRPr="00C95299" w:rsidRDefault="00445534" w:rsidP="00445534">
            <w:pPr>
              <w:spacing w:after="0" w:line="240" w:lineRule="auto"/>
              <w:ind w:right="0"/>
              <w:jc w:val="center"/>
              <w:rPr>
                <w:rFonts w:ascii="Times New Roman" w:eastAsia="Times New Roman" w:hAnsi="Times New Roman"/>
                <w:b/>
                <w:bCs/>
                <w:sz w:val="24"/>
                <w:szCs w:val="24"/>
                <w:lang w:val="en-GB" w:eastAsia="en-GB"/>
              </w:rPr>
            </w:pPr>
          </w:p>
        </w:tc>
        <w:tc>
          <w:tcPr>
            <w:tcW w:w="327" w:type="pct"/>
            <w:tcBorders>
              <w:top w:val="nil"/>
              <w:bottom w:val="single" w:sz="4" w:space="0" w:color="auto"/>
            </w:tcBorders>
            <w:vAlign w:val="center"/>
          </w:tcPr>
          <w:p w14:paraId="6717CFDD" w14:textId="77777777" w:rsidR="00445534" w:rsidRPr="00C95299" w:rsidRDefault="00445534" w:rsidP="00445534">
            <w:pPr>
              <w:spacing w:after="0" w:line="240" w:lineRule="auto"/>
              <w:ind w:right="0"/>
              <w:jc w:val="center"/>
              <w:rPr>
                <w:rFonts w:ascii="Times New Roman" w:eastAsia="Times New Roman" w:hAnsi="Times New Roman"/>
                <w:b/>
                <w:bCs/>
                <w:sz w:val="24"/>
                <w:szCs w:val="24"/>
                <w:lang w:val="en-GB" w:eastAsia="en-GB"/>
              </w:rPr>
            </w:pPr>
          </w:p>
        </w:tc>
        <w:tc>
          <w:tcPr>
            <w:tcW w:w="646" w:type="pct"/>
            <w:tcBorders>
              <w:top w:val="nil"/>
              <w:bottom w:val="single" w:sz="4" w:space="0" w:color="auto"/>
            </w:tcBorders>
            <w:vAlign w:val="center"/>
          </w:tcPr>
          <w:p w14:paraId="178E5131" w14:textId="77777777" w:rsidR="00445534" w:rsidRPr="00C95299" w:rsidRDefault="00445534" w:rsidP="00445534">
            <w:pPr>
              <w:spacing w:after="0" w:line="240" w:lineRule="auto"/>
              <w:ind w:right="0"/>
              <w:jc w:val="center"/>
              <w:rPr>
                <w:rFonts w:ascii="Times New Roman" w:eastAsia="Times New Roman" w:hAnsi="Times New Roman"/>
                <w:b/>
                <w:bCs/>
                <w:sz w:val="24"/>
                <w:szCs w:val="24"/>
                <w:lang w:val="en-GB" w:eastAsia="en-GB"/>
              </w:rPr>
            </w:pPr>
          </w:p>
        </w:tc>
        <w:tc>
          <w:tcPr>
            <w:tcW w:w="477" w:type="pct"/>
            <w:tcBorders>
              <w:top w:val="nil"/>
              <w:bottom w:val="single" w:sz="4" w:space="0" w:color="auto"/>
            </w:tcBorders>
            <w:vAlign w:val="center"/>
          </w:tcPr>
          <w:p w14:paraId="49CD7A99" w14:textId="77777777" w:rsidR="00445534" w:rsidRPr="00C95299" w:rsidRDefault="00445534" w:rsidP="00445534">
            <w:pPr>
              <w:spacing w:after="0" w:line="240" w:lineRule="auto"/>
              <w:ind w:right="0"/>
              <w:jc w:val="center"/>
              <w:rPr>
                <w:rFonts w:ascii="Times New Roman" w:eastAsia="Times New Roman" w:hAnsi="Times New Roman"/>
                <w:b/>
                <w:bCs/>
                <w:sz w:val="24"/>
                <w:szCs w:val="24"/>
                <w:lang w:val="en-GB" w:eastAsia="en-GB"/>
              </w:rPr>
            </w:pPr>
          </w:p>
        </w:tc>
        <w:tc>
          <w:tcPr>
            <w:tcW w:w="1098" w:type="pct"/>
            <w:tcBorders>
              <w:top w:val="nil"/>
              <w:bottom w:val="single" w:sz="4" w:space="0" w:color="auto"/>
            </w:tcBorders>
          </w:tcPr>
          <w:p w14:paraId="6AE52974" w14:textId="77777777" w:rsidR="00445534" w:rsidRPr="00C95299" w:rsidRDefault="00445534" w:rsidP="00445534">
            <w:pPr>
              <w:spacing w:after="0" w:line="240" w:lineRule="auto"/>
              <w:ind w:right="0"/>
              <w:jc w:val="center"/>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 xml:space="preserve">Less </w:t>
            </w:r>
          </w:p>
        </w:tc>
        <w:tc>
          <w:tcPr>
            <w:tcW w:w="1127" w:type="pct"/>
            <w:tcBorders>
              <w:top w:val="nil"/>
              <w:bottom w:val="single" w:sz="4" w:space="0" w:color="auto"/>
            </w:tcBorders>
          </w:tcPr>
          <w:p w14:paraId="74743A3A" w14:textId="77777777" w:rsidR="00445534" w:rsidRPr="00C95299" w:rsidRDefault="00445534" w:rsidP="00445534">
            <w:pPr>
              <w:spacing w:after="0" w:line="240" w:lineRule="auto"/>
              <w:ind w:right="0"/>
              <w:jc w:val="center"/>
              <w:rPr>
                <w:rFonts w:ascii="Times New Roman" w:eastAsia="Times New Roman" w:hAnsi="Times New Roman"/>
                <w:b/>
                <w:bCs/>
                <w:sz w:val="24"/>
                <w:szCs w:val="24"/>
                <w:lang w:val="en-GB" w:eastAsia="en-GB"/>
              </w:rPr>
            </w:pPr>
            <w:r w:rsidRPr="00C95299">
              <w:rPr>
                <w:rFonts w:ascii="Times New Roman" w:eastAsia="Times New Roman" w:hAnsi="Times New Roman"/>
                <w:b/>
                <w:bCs/>
                <w:sz w:val="24"/>
                <w:szCs w:val="24"/>
                <w:lang w:val="en-GB" w:eastAsia="en-GB"/>
              </w:rPr>
              <w:t>More</w:t>
            </w:r>
          </w:p>
        </w:tc>
      </w:tr>
      <w:tr w:rsidR="00C95299" w:rsidRPr="00C95299" w14:paraId="761EBA42" w14:textId="77777777" w:rsidTr="00CB2917">
        <w:trPr>
          <w:trHeight w:val="290"/>
        </w:trPr>
        <w:tc>
          <w:tcPr>
            <w:tcW w:w="987" w:type="pct"/>
            <w:tcBorders>
              <w:top w:val="single" w:sz="4" w:space="0" w:color="auto"/>
            </w:tcBorders>
            <w:vAlign w:val="center"/>
          </w:tcPr>
          <w:p w14:paraId="2E52262E"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Big black Polythene bags only</w:t>
            </w:r>
          </w:p>
        </w:tc>
        <w:tc>
          <w:tcPr>
            <w:tcW w:w="338" w:type="pct"/>
            <w:tcBorders>
              <w:top w:val="single" w:sz="4" w:space="0" w:color="auto"/>
            </w:tcBorders>
            <w:vAlign w:val="center"/>
          </w:tcPr>
          <w:p w14:paraId="208F6CB5" w14:textId="77777777" w:rsidR="00445534" w:rsidRPr="00C95299" w:rsidRDefault="00445534" w:rsidP="00445534">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397</w:t>
            </w:r>
          </w:p>
        </w:tc>
        <w:tc>
          <w:tcPr>
            <w:tcW w:w="327" w:type="pct"/>
            <w:tcBorders>
              <w:top w:val="single" w:sz="4" w:space="0" w:color="auto"/>
            </w:tcBorders>
            <w:vAlign w:val="center"/>
          </w:tcPr>
          <w:p w14:paraId="394A25DC" w14:textId="77777777" w:rsidR="00445534" w:rsidRPr="00C95299" w:rsidRDefault="00445534" w:rsidP="00445534">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2</w:t>
            </w:r>
          </w:p>
        </w:tc>
        <w:tc>
          <w:tcPr>
            <w:tcW w:w="646" w:type="pct"/>
            <w:tcBorders>
              <w:top w:val="single" w:sz="4" w:space="0" w:color="auto"/>
            </w:tcBorders>
            <w:vAlign w:val="center"/>
          </w:tcPr>
          <w:p w14:paraId="6C9B350C" w14:textId="77777777" w:rsidR="00445534" w:rsidRPr="00C95299" w:rsidRDefault="00445534" w:rsidP="00445534">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4.312</w:t>
            </w:r>
          </w:p>
        </w:tc>
        <w:tc>
          <w:tcPr>
            <w:tcW w:w="477" w:type="pct"/>
            <w:tcBorders>
              <w:top w:val="single" w:sz="4" w:space="0" w:color="auto"/>
            </w:tcBorders>
            <w:vAlign w:val="center"/>
          </w:tcPr>
          <w:p w14:paraId="194EFC2E"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0.014*</w:t>
            </w:r>
          </w:p>
        </w:tc>
        <w:tc>
          <w:tcPr>
            <w:tcW w:w="1098" w:type="pct"/>
            <w:tcBorders>
              <w:top w:val="single" w:sz="4" w:space="0" w:color="auto"/>
            </w:tcBorders>
          </w:tcPr>
          <w:p w14:paraId="062D3D11"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noProof/>
                <w:sz w:val="24"/>
                <w:szCs w:val="24"/>
              </w:rPr>
              <mc:AlternateContent>
                <mc:Choice Requires="wps">
                  <w:drawing>
                    <wp:anchor distT="0" distB="0" distL="114300" distR="114300" simplePos="0" relativeHeight="251661312" behindDoc="0" locked="0" layoutInCell="1" allowOverlap="1" wp14:anchorId="51DA1972" wp14:editId="370F04DA">
                      <wp:simplePos x="0" y="0"/>
                      <wp:positionH relativeFrom="column">
                        <wp:posOffset>725170</wp:posOffset>
                      </wp:positionH>
                      <wp:positionV relativeFrom="paragraph">
                        <wp:posOffset>99695</wp:posOffset>
                      </wp:positionV>
                      <wp:extent cx="225425" cy="45720"/>
                      <wp:effectExtent l="19050" t="19050" r="41910" b="31115"/>
                      <wp:wrapNone/>
                      <wp:docPr id="1" name="Left-Right Arrow 1"/>
                      <wp:cNvGraphicFramePr/>
                      <a:graphic xmlns:a="http://schemas.openxmlformats.org/drawingml/2006/main">
                        <a:graphicData uri="http://schemas.microsoft.com/office/word/2010/wordprocessingShape">
                          <wps:wsp>
                            <wps:cNvSpPr/>
                            <wps:spPr>
                              <a:xfrm>
                                <a:off x="0" y="0"/>
                                <a:ext cx="225287" cy="45719"/>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717CF529"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 o:spid="_x0000_s1026" type="#_x0000_t69" style="position:absolute;margin-left:57.1pt;margin-top:7.85pt;width:17.7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" adj="2192" fillcolor="#4f81bd [3204]" strokecolor="#243f60 [1604]" strokeweight="2pt"/>
                  </w:pict>
                </mc:Fallback>
              </mc:AlternateContent>
            </w:r>
            <w:r w:rsidRPr="00C95299">
              <w:rPr>
                <w:rFonts w:ascii="Times New Roman" w:eastAsia="Times New Roman" w:hAnsi="Times New Roman"/>
                <w:sz w:val="24"/>
                <w:szCs w:val="24"/>
                <w:lang w:val="en-GB" w:eastAsia="en-GB"/>
              </w:rPr>
              <w:t xml:space="preserve">Bayelsa           Delta </w:t>
            </w:r>
          </w:p>
        </w:tc>
        <w:tc>
          <w:tcPr>
            <w:tcW w:w="1127" w:type="pct"/>
            <w:tcBorders>
              <w:top w:val="single" w:sz="4" w:space="0" w:color="auto"/>
            </w:tcBorders>
          </w:tcPr>
          <w:p w14:paraId="108C6C2D"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Port Harcourt </w:t>
            </w:r>
          </w:p>
        </w:tc>
      </w:tr>
      <w:tr w:rsidR="00C95299" w:rsidRPr="00C95299" w14:paraId="61982090" w14:textId="77777777" w:rsidTr="00CB2917">
        <w:trPr>
          <w:trHeight w:val="290"/>
        </w:trPr>
        <w:tc>
          <w:tcPr>
            <w:tcW w:w="987" w:type="pct"/>
            <w:vAlign w:val="center"/>
          </w:tcPr>
          <w:p w14:paraId="13DC73DC"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Commercial waste bins/Drums only</w:t>
            </w:r>
          </w:p>
        </w:tc>
        <w:tc>
          <w:tcPr>
            <w:tcW w:w="338" w:type="pct"/>
            <w:vAlign w:val="center"/>
          </w:tcPr>
          <w:p w14:paraId="0B557865" w14:textId="77777777" w:rsidR="00445534" w:rsidRPr="00C95299" w:rsidRDefault="00445534" w:rsidP="00445534">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397</w:t>
            </w:r>
          </w:p>
        </w:tc>
        <w:tc>
          <w:tcPr>
            <w:tcW w:w="327" w:type="pct"/>
            <w:vAlign w:val="center"/>
          </w:tcPr>
          <w:p w14:paraId="68F87A61" w14:textId="77777777" w:rsidR="00445534" w:rsidRPr="00C95299" w:rsidRDefault="00445534" w:rsidP="00445534">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2</w:t>
            </w:r>
          </w:p>
        </w:tc>
        <w:tc>
          <w:tcPr>
            <w:tcW w:w="646" w:type="pct"/>
            <w:vAlign w:val="center"/>
          </w:tcPr>
          <w:p w14:paraId="1F7BC437" w14:textId="77777777" w:rsidR="00445534" w:rsidRPr="00C95299" w:rsidRDefault="00445534" w:rsidP="00445534">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5.897</w:t>
            </w:r>
          </w:p>
        </w:tc>
        <w:tc>
          <w:tcPr>
            <w:tcW w:w="477" w:type="pct"/>
            <w:vAlign w:val="center"/>
          </w:tcPr>
          <w:p w14:paraId="6A2337D0"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0.003*</w:t>
            </w:r>
          </w:p>
        </w:tc>
        <w:tc>
          <w:tcPr>
            <w:tcW w:w="1098" w:type="pct"/>
          </w:tcPr>
          <w:p w14:paraId="64210B7D"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noProof/>
                <w:sz w:val="24"/>
                <w:szCs w:val="24"/>
              </w:rPr>
              <mc:AlternateContent>
                <mc:Choice Requires="wps">
                  <w:drawing>
                    <wp:anchor distT="0" distB="0" distL="114300" distR="114300" simplePos="0" relativeHeight="251662336" behindDoc="0" locked="0" layoutInCell="1" allowOverlap="1" wp14:anchorId="563A0240" wp14:editId="0A75300A">
                      <wp:simplePos x="0" y="0"/>
                      <wp:positionH relativeFrom="column">
                        <wp:posOffset>772795</wp:posOffset>
                      </wp:positionH>
                      <wp:positionV relativeFrom="paragraph">
                        <wp:posOffset>90170</wp:posOffset>
                      </wp:positionV>
                      <wp:extent cx="225425" cy="45720"/>
                      <wp:effectExtent l="19050" t="19050" r="41910" b="31115"/>
                      <wp:wrapNone/>
                      <wp:docPr id="2" name="Left-Right Arrow 2"/>
                      <wp:cNvGraphicFramePr/>
                      <a:graphic xmlns:a="http://schemas.openxmlformats.org/drawingml/2006/main">
                        <a:graphicData uri="http://schemas.microsoft.com/office/word/2010/wordprocessingShape">
                          <wps:wsp>
                            <wps:cNvSpPr/>
                            <wps:spPr>
                              <a:xfrm>
                                <a:off x="0" y="0"/>
                                <a:ext cx="225287" cy="45719"/>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162DF50" id="Left-Right Arrow 2" o:spid="_x0000_s1026" type="#_x0000_t69" style="position:absolute;margin-left:60.85pt;margin-top:7.1pt;width:17.75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" adj="2192" fillcolor="#4f81bd [3204]" strokecolor="#243f60 [1604]" strokeweight="2pt"/>
                  </w:pict>
                </mc:Fallback>
              </mc:AlternateContent>
            </w:r>
            <w:r w:rsidRPr="00C95299">
              <w:rPr>
                <w:rFonts w:ascii="Times New Roman" w:eastAsia="Times New Roman" w:hAnsi="Times New Roman"/>
                <w:sz w:val="24"/>
                <w:szCs w:val="24"/>
                <w:lang w:val="en-GB" w:eastAsia="en-GB"/>
              </w:rPr>
              <w:t xml:space="preserve">Bayelsa           Delta </w:t>
            </w:r>
          </w:p>
        </w:tc>
        <w:tc>
          <w:tcPr>
            <w:tcW w:w="1127" w:type="pct"/>
          </w:tcPr>
          <w:p w14:paraId="62C2ADF3"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Port Harcourt </w:t>
            </w:r>
          </w:p>
        </w:tc>
      </w:tr>
      <w:tr w:rsidR="00C95299" w:rsidRPr="00C95299" w14:paraId="4965AF24" w14:textId="77777777" w:rsidTr="00CB2917">
        <w:trPr>
          <w:trHeight w:val="290"/>
        </w:trPr>
        <w:tc>
          <w:tcPr>
            <w:tcW w:w="987" w:type="pct"/>
            <w:vAlign w:val="center"/>
          </w:tcPr>
          <w:p w14:paraId="242613A0"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Drums covered in big black Polythene</w:t>
            </w:r>
          </w:p>
        </w:tc>
        <w:tc>
          <w:tcPr>
            <w:tcW w:w="338" w:type="pct"/>
            <w:vAlign w:val="center"/>
          </w:tcPr>
          <w:p w14:paraId="63CB9666" w14:textId="77777777" w:rsidR="00445534" w:rsidRPr="00C95299" w:rsidRDefault="00445534" w:rsidP="00445534">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397</w:t>
            </w:r>
          </w:p>
        </w:tc>
        <w:tc>
          <w:tcPr>
            <w:tcW w:w="327" w:type="pct"/>
            <w:vAlign w:val="center"/>
          </w:tcPr>
          <w:p w14:paraId="1455A684" w14:textId="77777777" w:rsidR="00445534" w:rsidRPr="00C95299" w:rsidRDefault="00445534" w:rsidP="00445534">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2</w:t>
            </w:r>
          </w:p>
        </w:tc>
        <w:tc>
          <w:tcPr>
            <w:tcW w:w="646" w:type="pct"/>
            <w:vAlign w:val="center"/>
          </w:tcPr>
          <w:p w14:paraId="34E1D92A" w14:textId="77777777" w:rsidR="00445534" w:rsidRPr="00C95299" w:rsidRDefault="00445534" w:rsidP="00445534">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6.104</w:t>
            </w:r>
          </w:p>
        </w:tc>
        <w:tc>
          <w:tcPr>
            <w:tcW w:w="477" w:type="pct"/>
            <w:vAlign w:val="center"/>
          </w:tcPr>
          <w:p w14:paraId="5754F779"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0.002*</w:t>
            </w:r>
          </w:p>
        </w:tc>
        <w:tc>
          <w:tcPr>
            <w:tcW w:w="1098" w:type="pct"/>
          </w:tcPr>
          <w:p w14:paraId="71A6C747"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noProof/>
                <w:sz w:val="24"/>
                <w:szCs w:val="24"/>
              </w:rPr>
              <mc:AlternateContent>
                <mc:Choice Requires="wps">
                  <w:drawing>
                    <wp:anchor distT="0" distB="0" distL="114300" distR="114300" simplePos="0" relativeHeight="251663360" behindDoc="0" locked="0" layoutInCell="1" allowOverlap="1" wp14:anchorId="4CC09A7E" wp14:editId="13F3A9B8">
                      <wp:simplePos x="0" y="0"/>
                      <wp:positionH relativeFrom="column">
                        <wp:posOffset>734695</wp:posOffset>
                      </wp:positionH>
                      <wp:positionV relativeFrom="paragraph">
                        <wp:posOffset>90170</wp:posOffset>
                      </wp:positionV>
                      <wp:extent cx="225425" cy="45720"/>
                      <wp:effectExtent l="19050" t="19050" r="41910" b="31115"/>
                      <wp:wrapNone/>
                      <wp:docPr id="3" name="Left-Right Arrow 3"/>
                      <wp:cNvGraphicFramePr/>
                      <a:graphic xmlns:a="http://schemas.openxmlformats.org/drawingml/2006/main">
                        <a:graphicData uri="http://schemas.microsoft.com/office/word/2010/wordprocessingShape">
                          <wps:wsp>
                            <wps:cNvSpPr/>
                            <wps:spPr>
                              <a:xfrm>
                                <a:off x="0" y="0"/>
                                <a:ext cx="225287" cy="45719"/>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475AA2A" id="Left-Right Arrow 3" o:spid="_x0000_s1026" type="#_x0000_t69" style="position:absolute;margin-left:57.85pt;margin-top:7.1pt;width:17.75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" adj="2192" fillcolor="#4f81bd [3204]" strokecolor="#243f60 [1604]" strokeweight="2pt"/>
                  </w:pict>
                </mc:Fallback>
              </mc:AlternateContent>
            </w:r>
            <w:r w:rsidRPr="00C95299">
              <w:rPr>
                <w:rFonts w:ascii="Times New Roman" w:eastAsia="Times New Roman" w:hAnsi="Times New Roman"/>
                <w:sz w:val="24"/>
                <w:szCs w:val="24"/>
                <w:lang w:val="en-GB" w:eastAsia="en-GB"/>
              </w:rPr>
              <w:t xml:space="preserve">Bayelsa           Delta </w:t>
            </w:r>
          </w:p>
        </w:tc>
        <w:tc>
          <w:tcPr>
            <w:tcW w:w="1127" w:type="pct"/>
          </w:tcPr>
          <w:p w14:paraId="2637E555"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Port Harcourt </w:t>
            </w:r>
          </w:p>
        </w:tc>
      </w:tr>
      <w:tr w:rsidR="00C95299" w:rsidRPr="00C95299" w14:paraId="77823174" w14:textId="77777777" w:rsidTr="00CB2917">
        <w:trPr>
          <w:trHeight w:val="290"/>
        </w:trPr>
        <w:tc>
          <w:tcPr>
            <w:tcW w:w="987" w:type="pct"/>
            <w:vAlign w:val="center"/>
          </w:tcPr>
          <w:p w14:paraId="5CFCD9EF"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Any polythene bags</w:t>
            </w:r>
          </w:p>
        </w:tc>
        <w:tc>
          <w:tcPr>
            <w:tcW w:w="338" w:type="pct"/>
            <w:vAlign w:val="center"/>
          </w:tcPr>
          <w:p w14:paraId="6B418834" w14:textId="77777777" w:rsidR="00445534" w:rsidRPr="00C95299" w:rsidRDefault="00445534" w:rsidP="00445534">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397</w:t>
            </w:r>
          </w:p>
        </w:tc>
        <w:tc>
          <w:tcPr>
            <w:tcW w:w="327" w:type="pct"/>
            <w:vAlign w:val="center"/>
          </w:tcPr>
          <w:p w14:paraId="4C131FB0" w14:textId="77777777" w:rsidR="00445534" w:rsidRPr="00C95299" w:rsidRDefault="00445534" w:rsidP="00445534">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2</w:t>
            </w:r>
          </w:p>
        </w:tc>
        <w:tc>
          <w:tcPr>
            <w:tcW w:w="646" w:type="pct"/>
            <w:vAlign w:val="center"/>
          </w:tcPr>
          <w:p w14:paraId="14B372E4" w14:textId="77777777" w:rsidR="00445534" w:rsidRPr="00C95299" w:rsidRDefault="00445534" w:rsidP="00445534">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7.672</w:t>
            </w:r>
          </w:p>
        </w:tc>
        <w:tc>
          <w:tcPr>
            <w:tcW w:w="477" w:type="pct"/>
            <w:vAlign w:val="center"/>
          </w:tcPr>
          <w:p w14:paraId="434B4109"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0.001*</w:t>
            </w:r>
          </w:p>
        </w:tc>
        <w:tc>
          <w:tcPr>
            <w:tcW w:w="1098" w:type="pct"/>
          </w:tcPr>
          <w:p w14:paraId="390AD68E"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noProof/>
                <w:sz w:val="24"/>
                <w:szCs w:val="24"/>
              </w:rPr>
              <mc:AlternateContent>
                <mc:Choice Requires="wps">
                  <w:drawing>
                    <wp:anchor distT="0" distB="0" distL="114300" distR="114300" simplePos="0" relativeHeight="251664384" behindDoc="0" locked="0" layoutInCell="1" allowOverlap="1" wp14:anchorId="05C2B870" wp14:editId="1A2A43D5">
                      <wp:simplePos x="0" y="0"/>
                      <wp:positionH relativeFrom="column">
                        <wp:posOffset>734695</wp:posOffset>
                      </wp:positionH>
                      <wp:positionV relativeFrom="paragraph">
                        <wp:posOffset>90170</wp:posOffset>
                      </wp:positionV>
                      <wp:extent cx="225425" cy="45720"/>
                      <wp:effectExtent l="19050" t="19050" r="41910" b="31115"/>
                      <wp:wrapNone/>
                      <wp:docPr id="4" name="Left-Right Arrow 4"/>
                      <wp:cNvGraphicFramePr/>
                      <a:graphic xmlns:a="http://schemas.openxmlformats.org/drawingml/2006/main">
                        <a:graphicData uri="http://schemas.microsoft.com/office/word/2010/wordprocessingShape">
                          <wps:wsp>
                            <wps:cNvSpPr/>
                            <wps:spPr>
                              <a:xfrm>
                                <a:off x="0" y="0"/>
                                <a:ext cx="225287" cy="45719"/>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F49C152" id="Left-Right Arrow 4" o:spid="_x0000_s1026" type="#_x0000_t69" style="position:absolute;margin-left:57.85pt;margin-top:7.1pt;width:17.75pt;height:3.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" adj="2192" fillcolor="#4f81bd [3204]" strokecolor="#243f60 [1604]" strokeweight="2pt"/>
                  </w:pict>
                </mc:Fallback>
              </mc:AlternateContent>
            </w:r>
            <w:r w:rsidRPr="00C95299">
              <w:rPr>
                <w:rFonts w:ascii="Times New Roman" w:eastAsia="Times New Roman" w:hAnsi="Times New Roman"/>
                <w:sz w:val="24"/>
                <w:szCs w:val="24"/>
                <w:lang w:val="en-GB" w:eastAsia="en-GB"/>
              </w:rPr>
              <w:t xml:space="preserve">Bayelsa           Delta </w:t>
            </w:r>
          </w:p>
        </w:tc>
        <w:tc>
          <w:tcPr>
            <w:tcW w:w="1127" w:type="pct"/>
          </w:tcPr>
          <w:p w14:paraId="6FD5C8B8"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Port Harcourt </w:t>
            </w:r>
          </w:p>
        </w:tc>
      </w:tr>
      <w:tr w:rsidR="00C95299" w:rsidRPr="00C95299" w14:paraId="1C2F8CDF" w14:textId="77777777" w:rsidTr="00CB2917">
        <w:trPr>
          <w:trHeight w:val="290"/>
        </w:trPr>
        <w:tc>
          <w:tcPr>
            <w:tcW w:w="987" w:type="pct"/>
            <w:vAlign w:val="center"/>
          </w:tcPr>
          <w:p w14:paraId="58B01DA9"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Burning</w:t>
            </w:r>
          </w:p>
        </w:tc>
        <w:tc>
          <w:tcPr>
            <w:tcW w:w="338" w:type="pct"/>
            <w:vAlign w:val="center"/>
          </w:tcPr>
          <w:p w14:paraId="776EB33C" w14:textId="77777777" w:rsidR="00445534" w:rsidRPr="00C95299" w:rsidRDefault="00445534" w:rsidP="00445534">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397</w:t>
            </w:r>
          </w:p>
        </w:tc>
        <w:tc>
          <w:tcPr>
            <w:tcW w:w="327" w:type="pct"/>
            <w:vAlign w:val="center"/>
          </w:tcPr>
          <w:p w14:paraId="6CDEF2A4" w14:textId="77777777" w:rsidR="00445534" w:rsidRPr="00C95299" w:rsidRDefault="00445534" w:rsidP="00445534">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2</w:t>
            </w:r>
          </w:p>
        </w:tc>
        <w:tc>
          <w:tcPr>
            <w:tcW w:w="646" w:type="pct"/>
            <w:vAlign w:val="center"/>
          </w:tcPr>
          <w:p w14:paraId="400F6282" w14:textId="77777777" w:rsidR="00445534" w:rsidRPr="00C95299" w:rsidRDefault="00445534" w:rsidP="00445534">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9.837</w:t>
            </w:r>
          </w:p>
        </w:tc>
        <w:tc>
          <w:tcPr>
            <w:tcW w:w="477" w:type="pct"/>
            <w:vAlign w:val="center"/>
          </w:tcPr>
          <w:p w14:paraId="2942E27B"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0.000*</w:t>
            </w:r>
          </w:p>
        </w:tc>
        <w:tc>
          <w:tcPr>
            <w:tcW w:w="1098" w:type="pct"/>
          </w:tcPr>
          <w:p w14:paraId="05F74694"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noProof/>
                <w:sz w:val="24"/>
                <w:szCs w:val="24"/>
              </w:rPr>
              <mc:AlternateContent>
                <mc:Choice Requires="wps">
                  <w:drawing>
                    <wp:anchor distT="0" distB="0" distL="114300" distR="114300" simplePos="0" relativeHeight="251667456" behindDoc="0" locked="0" layoutInCell="1" allowOverlap="1" wp14:anchorId="6278FD1F" wp14:editId="569377AF">
                      <wp:simplePos x="0" y="0"/>
                      <wp:positionH relativeFrom="column">
                        <wp:posOffset>918210</wp:posOffset>
                      </wp:positionH>
                      <wp:positionV relativeFrom="paragraph">
                        <wp:posOffset>111125</wp:posOffset>
                      </wp:positionV>
                      <wp:extent cx="225425" cy="45720"/>
                      <wp:effectExtent l="19050" t="19050" r="41910" b="31115"/>
                      <wp:wrapNone/>
                      <wp:docPr id="5" name="Left-Right Arrow 5"/>
                      <wp:cNvGraphicFramePr/>
                      <a:graphic xmlns:a="http://schemas.openxmlformats.org/drawingml/2006/main">
                        <a:graphicData uri="http://schemas.microsoft.com/office/word/2010/wordprocessingShape">
                          <wps:wsp>
                            <wps:cNvSpPr/>
                            <wps:spPr>
                              <a:xfrm>
                                <a:off x="0" y="0"/>
                                <a:ext cx="225287" cy="45719"/>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8685B8F" id="Left-Right Arrow 5" o:spid="_x0000_s1026" type="#_x0000_t69" style="position:absolute;margin-left:72.3pt;margin-top:8.75pt;width:17.75pt;height:3.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" adj="2192" fillcolor="#4f81bd [3204]" strokecolor="#243f60 [1604]" strokeweight="2pt"/>
                  </w:pict>
                </mc:Fallback>
              </mc:AlternateContent>
            </w:r>
            <w:r w:rsidRPr="00C95299">
              <w:rPr>
                <w:rFonts w:ascii="Times New Roman" w:eastAsia="Times New Roman" w:hAnsi="Times New Roman"/>
                <w:sz w:val="24"/>
                <w:szCs w:val="24"/>
                <w:lang w:val="en-GB" w:eastAsia="en-GB"/>
              </w:rPr>
              <w:t xml:space="preserve"> Port Harcourt</w:t>
            </w:r>
          </w:p>
        </w:tc>
        <w:tc>
          <w:tcPr>
            <w:tcW w:w="1127" w:type="pct"/>
          </w:tcPr>
          <w:p w14:paraId="7A5B5096"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Bayelsa           Delta</w:t>
            </w:r>
          </w:p>
        </w:tc>
      </w:tr>
      <w:tr w:rsidR="00C95299" w:rsidRPr="00C95299" w14:paraId="58BAE760" w14:textId="77777777" w:rsidTr="00CB2917">
        <w:trPr>
          <w:trHeight w:val="145"/>
        </w:trPr>
        <w:tc>
          <w:tcPr>
            <w:tcW w:w="987" w:type="pct"/>
            <w:vAlign w:val="center"/>
          </w:tcPr>
          <w:p w14:paraId="673BFC95"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Landfill</w:t>
            </w:r>
          </w:p>
        </w:tc>
        <w:tc>
          <w:tcPr>
            <w:tcW w:w="338" w:type="pct"/>
            <w:vAlign w:val="center"/>
          </w:tcPr>
          <w:p w14:paraId="0355DB77" w14:textId="77777777" w:rsidR="00445534" w:rsidRPr="00C95299" w:rsidRDefault="00445534" w:rsidP="00445534">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397</w:t>
            </w:r>
          </w:p>
        </w:tc>
        <w:tc>
          <w:tcPr>
            <w:tcW w:w="327" w:type="pct"/>
            <w:vAlign w:val="center"/>
          </w:tcPr>
          <w:p w14:paraId="0FD116F6" w14:textId="77777777" w:rsidR="00445534" w:rsidRPr="00C95299" w:rsidRDefault="00445534" w:rsidP="00445534">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2</w:t>
            </w:r>
          </w:p>
        </w:tc>
        <w:tc>
          <w:tcPr>
            <w:tcW w:w="646" w:type="pct"/>
            <w:vAlign w:val="center"/>
          </w:tcPr>
          <w:p w14:paraId="636A8DB8" w14:textId="77777777" w:rsidR="00445534" w:rsidRPr="00C95299" w:rsidRDefault="00445534" w:rsidP="00445534">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6.54</w:t>
            </w:r>
          </w:p>
        </w:tc>
        <w:tc>
          <w:tcPr>
            <w:tcW w:w="477" w:type="pct"/>
            <w:vAlign w:val="center"/>
          </w:tcPr>
          <w:p w14:paraId="09CBA816"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0.002*</w:t>
            </w:r>
          </w:p>
        </w:tc>
        <w:tc>
          <w:tcPr>
            <w:tcW w:w="1098" w:type="pct"/>
          </w:tcPr>
          <w:p w14:paraId="64FBF81B"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noProof/>
                <w:sz w:val="24"/>
                <w:szCs w:val="24"/>
              </w:rPr>
              <mc:AlternateContent>
                <mc:Choice Requires="wps">
                  <w:drawing>
                    <wp:anchor distT="0" distB="0" distL="114300" distR="114300" simplePos="0" relativeHeight="251670528" behindDoc="0" locked="0" layoutInCell="1" allowOverlap="1" wp14:anchorId="72636437" wp14:editId="6A08848B">
                      <wp:simplePos x="0" y="0"/>
                      <wp:positionH relativeFrom="column">
                        <wp:posOffset>698500</wp:posOffset>
                      </wp:positionH>
                      <wp:positionV relativeFrom="paragraph">
                        <wp:posOffset>69850</wp:posOffset>
                      </wp:positionV>
                      <wp:extent cx="225425" cy="45720"/>
                      <wp:effectExtent l="19050" t="19050" r="41910" b="31115"/>
                      <wp:wrapNone/>
                      <wp:docPr id="10" name="Left-Right Arrow 10"/>
                      <wp:cNvGraphicFramePr/>
                      <a:graphic xmlns:a="http://schemas.openxmlformats.org/drawingml/2006/main">
                        <a:graphicData uri="http://schemas.microsoft.com/office/word/2010/wordprocessingShape">
                          <wps:wsp>
                            <wps:cNvSpPr/>
                            <wps:spPr>
                              <a:xfrm>
                                <a:off x="0" y="0"/>
                                <a:ext cx="225287" cy="45719"/>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8948F29" id="Left-Right Arrow 10" o:spid="_x0000_s1026" type="#_x0000_t69" style="position:absolute;margin-left:55pt;margin-top:5.5pt;width:17.75pt;height:3.6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" adj="2192" fillcolor="#4f81bd [3204]" strokecolor="#243f60 [1604]" strokeweight="2pt"/>
                  </w:pict>
                </mc:Fallback>
              </mc:AlternateContent>
            </w:r>
            <w:r w:rsidRPr="00C95299">
              <w:rPr>
                <w:rFonts w:ascii="Times New Roman" w:eastAsia="Times New Roman" w:hAnsi="Times New Roman"/>
                <w:sz w:val="24"/>
                <w:szCs w:val="24"/>
                <w:lang w:val="en-GB" w:eastAsia="en-GB"/>
              </w:rPr>
              <w:t xml:space="preserve">Bayelsa       </w:t>
            </w:r>
          </w:p>
        </w:tc>
        <w:tc>
          <w:tcPr>
            <w:tcW w:w="1127" w:type="pct"/>
          </w:tcPr>
          <w:p w14:paraId="316A12C7"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Port Harcourt </w:t>
            </w:r>
            <w:r w:rsidRPr="00C95299">
              <w:rPr>
                <w:rFonts w:ascii="Times New Roman" w:eastAsia="Times New Roman" w:hAnsi="Times New Roman"/>
                <w:noProof/>
                <w:sz w:val="24"/>
                <w:szCs w:val="24"/>
              </w:rPr>
              <mc:AlternateContent>
                <mc:Choice Requires="wps">
                  <w:drawing>
                    <wp:anchor distT="0" distB="0" distL="114300" distR="114300" simplePos="0" relativeHeight="251669504" behindDoc="0" locked="0" layoutInCell="1" allowOverlap="1" wp14:anchorId="63D1BE5B" wp14:editId="00809E8D">
                      <wp:simplePos x="0" y="0"/>
                      <wp:positionH relativeFrom="column">
                        <wp:posOffset>4943475</wp:posOffset>
                      </wp:positionH>
                      <wp:positionV relativeFrom="paragraph">
                        <wp:posOffset>7291705</wp:posOffset>
                      </wp:positionV>
                      <wp:extent cx="225425" cy="45720"/>
                      <wp:effectExtent l="19050" t="19050" r="41910" b="31115"/>
                      <wp:wrapNone/>
                      <wp:docPr id="9" name="Left-Right Arrow 9"/>
                      <wp:cNvGraphicFramePr/>
                      <a:graphic xmlns:a="http://schemas.openxmlformats.org/drawingml/2006/main">
                        <a:graphicData uri="http://schemas.microsoft.com/office/word/2010/wordprocessingShape">
                          <wps:wsp>
                            <wps:cNvSpPr/>
                            <wps:spPr>
                              <a:xfrm>
                                <a:off x="0" y="0"/>
                                <a:ext cx="225287" cy="45719"/>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EA8493A" id="Left-Right Arrow 9" o:spid="_x0000_s1026" type="#_x0000_t69" style="position:absolute;margin-left:389.25pt;margin-top:574.15pt;width:17.75pt;height:3.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" adj="2192" fillcolor="#4f81bd [3204]" strokecolor="#243f60 [1604]" strokeweight="2pt"/>
                  </w:pict>
                </mc:Fallback>
              </mc:AlternateContent>
            </w:r>
            <w:r w:rsidRPr="00C95299">
              <w:rPr>
                <w:rFonts w:ascii="Times New Roman" w:eastAsia="Times New Roman" w:hAnsi="Times New Roman"/>
                <w:sz w:val="24"/>
                <w:szCs w:val="24"/>
                <w:lang w:val="en-GB" w:eastAsia="en-GB"/>
              </w:rPr>
              <w:t xml:space="preserve"> </w:t>
            </w:r>
          </w:p>
          <w:p w14:paraId="4D5F3682"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noProof/>
                <w:sz w:val="24"/>
                <w:szCs w:val="24"/>
              </w:rPr>
              <mc:AlternateContent>
                <mc:Choice Requires="wps">
                  <w:drawing>
                    <wp:anchor distT="0" distB="0" distL="114300" distR="114300" simplePos="0" relativeHeight="251668480" behindDoc="0" locked="0" layoutInCell="1" allowOverlap="1" wp14:anchorId="614F3381" wp14:editId="3677C31E">
                      <wp:simplePos x="0" y="0"/>
                      <wp:positionH relativeFrom="column">
                        <wp:posOffset>4943475</wp:posOffset>
                      </wp:positionH>
                      <wp:positionV relativeFrom="paragraph">
                        <wp:posOffset>7291705</wp:posOffset>
                      </wp:positionV>
                      <wp:extent cx="225425" cy="45720"/>
                      <wp:effectExtent l="19050" t="19050" r="41910" b="31115"/>
                      <wp:wrapNone/>
                      <wp:docPr id="6" name="Left-Right Arrow 6"/>
                      <wp:cNvGraphicFramePr/>
                      <a:graphic xmlns:a="http://schemas.openxmlformats.org/drawingml/2006/main">
                        <a:graphicData uri="http://schemas.microsoft.com/office/word/2010/wordprocessingShape">
                          <wps:wsp>
                            <wps:cNvSpPr/>
                            <wps:spPr>
                              <a:xfrm>
                                <a:off x="0" y="0"/>
                                <a:ext cx="225287" cy="45719"/>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E4B7D4C" id="Left-Right Arrow 6" o:spid="_x0000_s1026" type="#_x0000_t69" style="position:absolute;margin-left:389.25pt;margin-top:574.15pt;width:17.75pt;height:3.6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" adj="2192" fillcolor="#4f81bd [3204]" strokecolor="#243f60 [1604]" strokeweight="2pt"/>
                  </w:pict>
                </mc:Fallback>
              </mc:AlternateContent>
            </w:r>
            <w:r w:rsidRPr="00C95299">
              <w:rPr>
                <w:rFonts w:ascii="Times New Roman" w:eastAsia="Times New Roman" w:hAnsi="Times New Roman"/>
                <w:sz w:val="24"/>
                <w:szCs w:val="24"/>
                <w:lang w:val="en-GB" w:eastAsia="en-GB"/>
              </w:rPr>
              <w:t xml:space="preserve"> Delta</w:t>
            </w:r>
          </w:p>
        </w:tc>
      </w:tr>
      <w:tr w:rsidR="00C95299" w:rsidRPr="00C95299" w14:paraId="24851FE8" w14:textId="77777777" w:rsidTr="00CB2917">
        <w:trPr>
          <w:trHeight w:val="290"/>
        </w:trPr>
        <w:tc>
          <w:tcPr>
            <w:tcW w:w="987" w:type="pct"/>
            <w:vAlign w:val="center"/>
          </w:tcPr>
          <w:p w14:paraId="154B3906"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Recycling</w:t>
            </w:r>
          </w:p>
        </w:tc>
        <w:tc>
          <w:tcPr>
            <w:tcW w:w="338" w:type="pct"/>
            <w:vAlign w:val="center"/>
          </w:tcPr>
          <w:p w14:paraId="01D76B48" w14:textId="77777777" w:rsidR="00445534" w:rsidRPr="00C95299" w:rsidRDefault="00445534" w:rsidP="00445534">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397</w:t>
            </w:r>
          </w:p>
        </w:tc>
        <w:tc>
          <w:tcPr>
            <w:tcW w:w="327" w:type="pct"/>
            <w:vAlign w:val="center"/>
          </w:tcPr>
          <w:p w14:paraId="403B634D" w14:textId="77777777" w:rsidR="00445534" w:rsidRPr="00C95299" w:rsidRDefault="00445534" w:rsidP="00445534">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2</w:t>
            </w:r>
          </w:p>
        </w:tc>
        <w:tc>
          <w:tcPr>
            <w:tcW w:w="646" w:type="pct"/>
            <w:vAlign w:val="center"/>
          </w:tcPr>
          <w:p w14:paraId="415D5904" w14:textId="77777777" w:rsidR="00445534" w:rsidRPr="00C95299" w:rsidRDefault="00445534" w:rsidP="00445534">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5.032</w:t>
            </w:r>
          </w:p>
        </w:tc>
        <w:tc>
          <w:tcPr>
            <w:tcW w:w="477" w:type="pct"/>
            <w:vAlign w:val="center"/>
          </w:tcPr>
          <w:p w14:paraId="352CC958"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0.007*</w:t>
            </w:r>
          </w:p>
        </w:tc>
        <w:tc>
          <w:tcPr>
            <w:tcW w:w="1098" w:type="pct"/>
          </w:tcPr>
          <w:p w14:paraId="1234F51C"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noProof/>
                <w:sz w:val="24"/>
                <w:szCs w:val="24"/>
              </w:rPr>
              <mc:AlternateContent>
                <mc:Choice Requires="wps">
                  <w:drawing>
                    <wp:anchor distT="0" distB="0" distL="114300" distR="114300" simplePos="0" relativeHeight="251665408" behindDoc="0" locked="0" layoutInCell="1" allowOverlap="1" wp14:anchorId="2B852061" wp14:editId="2D37F1D8">
                      <wp:simplePos x="0" y="0"/>
                      <wp:positionH relativeFrom="column">
                        <wp:posOffset>820420</wp:posOffset>
                      </wp:positionH>
                      <wp:positionV relativeFrom="paragraph">
                        <wp:posOffset>99695</wp:posOffset>
                      </wp:positionV>
                      <wp:extent cx="225425" cy="45720"/>
                      <wp:effectExtent l="19050" t="19050" r="41910" b="31115"/>
                      <wp:wrapNone/>
                      <wp:docPr id="7" name="Left-Right Arrow 7"/>
                      <wp:cNvGraphicFramePr/>
                      <a:graphic xmlns:a="http://schemas.openxmlformats.org/drawingml/2006/main">
                        <a:graphicData uri="http://schemas.microsoft.com/office/word/2010/wordprocessingShape">
                          <wps:wsp>
                            <wps:cNvSpPr/>
                            <wps:spPr>
                              <a:xfrm>
                                <a:off x="0" y="0"/>
                                <a:ext cx="225287" cy="45719"/>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FD35888" id="Left-Right Arrow 7" o:spid="_x0000_s1026" type="#_x0000_t69" style="position:absolute;margin-left:64.6pt;margin-top:7.85pt;width:17.7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" adj="2192" fillcolor="#4f81bd [3204]" strokecolor="#243f60 [1604]" strokeweight="2pt"/>
                  </w:pict>
                </mc:Fallback>
              </mc:AlternateContent>
            </w:r>
            <w:r w:rsidRPr="00C95299">
              <w:rPr>
                <w:rFonts w:ascii="Times New Roman" w:eastAsia="Times New Roman" w:hAnsi="Times New Roman"/>
                <w:sz w:val="24"/>
                <w:szCs w:val="24"/>
                <w:lang w:val="en-GB" w:eastAsia="en-GB"/>
              </w:rPr>
              <w:t xml:space="preserve">Bayelsa           Delta </w:t>
            </w:r>
          </w:p>
        </w:tc>
        <w:tc>
          <w:tcPr>
            <w:tcW w:w="1127" w:type="pct"/>
          </w:tcPr>
          <w:p w14:paraId="14ABF93C"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proofErr w:type="spellStart"/>
            <w:r w:rsidRPr="00C95299">
              <w:rPr>
                <w:rFonts w:ascii="Times New Roman" w:eastAsia="Times New Roman" w:hAnsi="Times New Roman"/>
                <w:sz w:val="24"/>
                <w:szCs w:val="24"/>
                <w:lang w:val="en-GB" w:eastAsia="en-GB"/>
              </w:rPr>
              <w:t>Portharcourt</w:t>
            </w:r>
            <w:proofErr w:type="spellEnd"/>
            <w:r w:rsidRPr="00C95299">
              <w:rPr>
                <w:rFonts w:ascii="Times New Roman" w:eastAsia="Times New Roman" w:hAnsi="Times New Roman"/>
                <w:sz w:val="24"/>
                <w:szCs w:val="24"/>
                <w:lang w:val="en-GB" w:eastAsia="en-GB"/>
              </w:rPr>
              <w:t xml:space="preserve"> </w:t>
            </w:r>
          </w:p>
        </w:tc>
      </w:tr>
      <w:tr w:rsidR="00C95299" w:rsidRPr="00C95299" w14:paraId="6F9099A1" w14:textId="77777777" w:rsidTr="00CB2917">
        <w:trPr>
          <w:trHeight w:val="290"/>
        </w:trPr>
        <w:tc>
          <w:tcPr>
            <w:tcW w:w="987" w:type="pct"/>
            <w:vAlign w:val="center"/>
          </w:tcPr>
          <w:p w14:paraId="2225C819"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Composting</w:t>
            </w:r>
          </w:p>
        </w:tc>
        <w:tc>
          <w:tcPr>
            <w:tcW w:w="338" w:type="pct"/>
            <w:vAlign w:val="center"/>
          </w:tcPr>
          <w:p w14:paraId="1E7A1F21" w14:textId="77777777" w:rsidR="00445534" w:rsidRPr="00C95299" w:rsidRDefault="00445534" w:rsidP="00445534">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397</w:t>
            </w:r>
          </w:p>
        </w:tc>
        <w:tc>
          <w:tcPr>
            <w:tcW w:w="327" w:type="pct"/>
            <w:vAlign w:val="center"/>
          </w:tcPr>
          <w:p w14:paraId="4E0909BB" w14:textId="77777777" w:rsidR="00445534" w:rsidRPr="00C95299" w:rsidRDefault="00445534" w:rsidP="00445534">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2</w:t>
            </w:r>
          </w:p>
        </w:tc>
        <w:tc>
          <w:tcPr>
            <w:tcW w:w="646" w:type="pct"/>
            <w:vAlign w:val="center"/>
          </w:tcPr>
          <w:p w14:paraId="4BC7357B" w14:textId="77777777" w:rsidR="00445534" w:rsidRPr="00C95299" w:rsidRDefault="00445534" w:rsidP="00445534">
            <w:pPr>
              <w:spacing w:after="0" w:line="240" w:lineRule="auto"/>
              <w:ind w:right="0"/>
              <w:jc w:val="righ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4.785</w:t>
            </w:r>
          </w:p>
        </w:tc>
        <w:tc>
          <w:tcPr>
            <w:tcW w:w="477" w:type="pct"/>
            <w:vAlign w:val="center"/>
          </w:tcPr>
          <w:p w14:paraId="345B94C3"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0.009*</w:t>
            </w:r>
          </w:p>
        </w:tc>
        <w:tc>
          <w:tcPr>
            <w:tcW w:w="1098" w:type="pct"/>
          </w:tcPr>
          <w:p w14:paraId="3866D7F4"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noProof/>
                <w:sz w:val="24"/>
                <w:szCs w:val="24"/>
              </w:rPr>
              <mc:AlternateContent>
                <mc:Choice Requires="wps">
                  <w:drawing>
                    <wp:anchor distT="0" distB="0" distL="114300" distR="114300" simplePos="0" relativeHeight="251666432" behindDoc="0" locked="0" layoutInCell="1" allowOverlap="1" wp14:anchorId="5645C5AE" wp14:editId="4DBD98B9">
                      <wp:simplePos x="0" y="0"/>
                      <wp:positionH relativeFrom="column">
                        <wp:posOffset>795655</wp:posOffset>
                      </wp:positionH>
                      <wp:positionV relativeFrom="paragraph">
                        <wp:posOffset>90170</wp:posOffset>
                      </wp:positionV>
                      <wp:extent cx="225425" cy="45720"/>
                      <wp:effectExtent l="19050" t="19050" r="41910" b="31115"/>
                      <wp:wrapNone/>
                      <wp:docPr id="8" name="Left-Right Arrow 8"/>
                      <wp:cNvGraphicFramePr/>
                      <a:graphic xmlns:a="http://schemas.openxmlformats.org/drawingml/2006/main">
                        <a:graphicData uri="http://schemas.microsoft.com/office/word/2010/wordprocessingShape">
                          <wps:wsp>
                            <wps:cNvSpPr/>
                            <wps:spPr>
                              <a:xfrm>
                                <a:off x="0" y="0"/>
                                <a:ext cx="225287" cy="45719"/>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77832D7" id="Left-Right Arrow 8" o:spid="_x0000_s1026" type="#_x0000_t69" style="position:absolute;margin-left:62.65pt;margin-top:7.1pt;width:17.75pt;height:3.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" adj="2192" fillcolor="#4f81bd [3204]" strokecolor="#243f60 [1604]" strokeweight="2pt"/>
                  </w:pict>
                </mc:Fallback>
              </mc:AlternateContent>
            </w:r>
            <w:r w:rsidRPr="00C95299">
              <w:rPr>
                <w:rFonts w:ascii="Times New Roman" w:eastAsia="Times New Roman" w:hAnsi="Times New Roman"/>
                <w:sz w:val="24"/>
                <w:szCs w:val="24"/>
                <w:lang w:val="en-GB" w:eastAsia="en-GB"/>
              </w:rPr>
              <w:t xml:space="preserve">Bayelsa           Delta </w:t>
            </w:r>
          </w:p>
        </w:tc>
        <w:tc>
          <w:tcPr>
            <w:tcW w:w="1127" w:type="pct"/>
          </w:tcPr>
          <w:p w14:paraId="5C7780AF" w14:textId="77777777" w:rsidR="00445534" w:rsidRPr="00C95299" w:rsidRDefault="00445534" w:rsidP="00445534">
            <w:pPr>
              <w:spacing w:after="0" w:line="240" w:lineRule="auto"/>
              <w:ind w:right="0"/>
              <w:jc w:val="left"/>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Port Harcourt </w:t>
            </w:r>
          </w:p>
        </w:tc>
      </w:tr>
    </w:tbl>
    <w:p w14:paraId="1962B073" w14:textId="77777777" w:rsidR="00075450" w:rsidRPr="00C95299" w:rsidRDefault="00075450" w:rsidP="004B0B82">
      <w:pPr>
        <w:spacing w:after="0" w:line="240" w:lineRule="auto"/>
        <w:ind w:right="0"/>
        <w:rPr>
          <w:rFonts w:ascii="Times New Roman" w:hAnsi="Times New Roman"/>
          <w:b/>
          <w:sz w:val="24"/>
          <w:szCs w:val="24"/>
          <w:lang w:val="en-GB"/>
        </w:rPr>
      </w:pPr>
      <w:r w:rsidRPr="00C95299">
        <w:rPr>
          <w:rFonts w:ascii="Times New Roman" w:hAnsi="Times New Roman"/>
          <w:b/>
          <w:sz w:val="24"/>
          <w:szCs w:val="24"/>
          <w:lang w:val="en-GB"/>
        </w:rPr>
        <w:t>Discussions of Findings</w:t>
      </w:r>
    </w:p>
    <w:p w14:paraId="7A17E219" w14:textId="77777777" w:rsidR="00075450" w:rsidRPr="00C95299" w:rsidRDefault="00075450" w:rsidP="00075450">
      <w:pPr>
        <w:spacing w:after="0"/>
        <w:ind w:right="26"/>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The fieldwork conducted across Bayelsa, Rivers, and Delta States paints a grim but revealing picture of the current state of waste generation and management in the Niger Delta region. The findings show a distinct contrast between waste types found in urban centres and those common in peri-urban or rural environments, yet a common thread of inadequate and unsustainable practices ties them all together. Plastics, electronic waste, and construction waste make up the majority of urban non-biodegradable refuse in towns like Yenagoa and Port Harcourt. This is because there is more commercialization, rising urban populations, and a consumer culture with more reliance on disposable items. As a result of population pressure and economic modernization, our findings agree with Radwan et al. (2021) and Rauch et al. (2024) reports that record the increasing proportion of synthetic, non-biodegradable waste in Nigerian cities.</w:t>
      </w:r>
    </w:p>
    <w:p w14:paraId="0149CD60" w14:textId="77777777" w:rsidR="00075450" w:rsidRPr="00C95299" w:rsidRDefault="00075450" w:rsidP="00075450">
      <w:pPr>
        <w:spacing w:after="0"/>
        <w:ind w:right="26"/>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The majority of the biodegradable waste in peri-urban and rural fringes of cities like </w:t>
      </w:r>
      <w:proofErr w:type="spellStart"/>
      <w:r w:rsidRPr="00C95299">
        <w:rPr>
          <w:rFonts w:ascii="Times New Roman" w:eastAsia="Times New Roman" w:hAnsi="Times New Roman"/>
          <w:sz w:val="24"/>
          <w:szCs w:val="24"/>
          <w:lang w:val="en-GB" w:eastAsia="en-GB"/>
        </w:rPr>
        <w:t>Asaba</w:t>
      </w:r>
      <w:proofErr w:type="spellEnd"/>
      <w:r w:rsidRPr="00C95299">
        <w:rPr>
          <w:rFonts w:ascii="Times New Roman" w:eastAsia="Times New Roman" w:hAnsi="Times New Roman"/>
          <w:sz w:val="24"/>
          <w:szCs w:val="24"/>
          <w:lang w:val="en-GB" w:eastAsia="en-GB"/>
        </w:rPr>
        <w:t xml:space="preserve"> and </w:t>
      </w:r>
      <w:proofErr w:type="spellStart"/>
      <w:r w:rsidRPr="00C95299">
        <w:rPr>
          <w:rFonts w:ascii="Times New Roman" w:eastAsia="Times New Roman" w:hAnsi="Times New Roman"/>
          <w:sz w:val="24"/>
          <w:szCs w:val="24"/>
          <w:lang w:val="en-GB" w:eastAsia="en-GB"/>
        </w:rPr>
        <w:t>Anwai</w:t>
      </w:r>
      <w:proofErr w:type="spellEnd"/>
      <w:r w:rsidRPr="00C95299">
        <w:rPr>
          <w:rFonts w:ascii="Times New Roman" w:eastAsia="Times New Roman" w:hAnsi="Times New Roman"/>
          <w:sz w:val="24"/>
          <w:szCs w:val="24"/>
          <w:lang w:val="en-GB" w:eastAsia="en-GB"/>
        </w:rPr>
        <w:t xml:space="preserve"> area are produced from agricultural rubbish, food waste, and faeces, which are mostly produced by livestock and household activities. Lack of proper management of these forms of waste is extremely hazardous to health and the environment, even though they may appear less harmful. According to the study, the majority of rural communities do not have formal systems </w:t>
      </w:r>
      <w:r w:rsidRPr="00C95299">
        <w:rPr>
          <w:rFonts w:ascii="Times New Roman" w:eastAsia="Times New Roman" w:hAnsi="Times New Roman"/>
          <w:sz w:val="24"/>
          <w:szCs w:val="24"/>
          <w:lang w:val="en-GB" w:eastAsia="en-GB"/>
        </w:rPr>
        <w:lastRenderedPageBreak/>
        <w:t xml:space="preserve">of waste disposal and fall back on open dumping or burning.  </w:t>
      </w:r>
      <w:proofErr w:type="spellStart"/>
      <w:r w:rsidRPr="00C95299">
        <w:rPr>
          <w:rFonts w:ascii="Times New Roman" w:eastAsia="Times New Roman" w:hAnsi="Times New Roman"/>
          <w:sz w:val="24"/>
          <w:szCs w:val="24"/>
          <w:lang w:val="en-GB" w:eastAsia="en-GB"/>
        </w:rPr>
        <w:t>Oluwagbayide</w:t>
      </w:r>
      <w:proofErr w:type="spellEnd"/>
      <w:r w:rsidRPr="00C95299">
        <w:rPr>
          <w:rFonts w:ascii="Times New Roman" w:eastAsia="Times New Roman" w:hAnsi="Times New Roman"/>
          <w:sz w:val="24"/>
          <w:szCs w:val="24"/>
          <w:lang w:val="en-GB" w:eastAsia="en-GB"/>
        </w:rPr>
        <w:t xml:space="preserve"> et al. (2024) came to the conclusion that unsafe practices have emerged in rural Nigeria due to the lack of formal waste management, posing a risk to human health and the environment.  This is in agreement with their findings.</w:t>
      </w:r>
    </w:p>
    <w:p w14:paraId="07588BC2" w14:textId="77777777" w:rsidR="00075450" w:rsidRPr="00C95299" w:rsidRDefault="00075450" w:rsidP="00075450">
      <w:pPr>
        <w:spacing w:after="0"/>
        <w:ind w:right="26"/>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Interestingly, the urban areas have some recycling opportunities (plastics, paper, and metals) but these are not used due to system failures such as non-availability of recycling plants, absence of interest among citizens, and policy failure in enforcement. The rural areas, on the other hand, have ad-hoc reuse methods such as composting or giving food waste to animals. But these activities are rarely controlled and hygienically performed, typically resulting in uncontrolled contamination of toxic and biodegradable waste. This is a reflection of evidence by Canton (2021) which reported that even resourceful grassroots innovations in developing regions end up becoming disease vectors if not supported by institutions and infrastructure.</w:t>
      </w:r>
    </w:p>
    <w:p w14:paraId="6AF64793" w14:textId="77777777" w:rsidR="00075450" w:rsidRPr="00C95299" w:rsidRDefault="00075450" w:rsidP="00075450">
      <w:pPr>
        <w:spacing w:after="0"/>
        <w:ind w:right="26"/>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Waste disposal practices are perhaps the most troubling aspect documented in this study. In urban settings, roadsides and markets are littered with open heaps of waste, which in many cases block drainage systems and become breeding grounds for vectors such as mosquitoes and rodents. The situation in Asaba peri-urban zones is similarly precarious, where backyard pits or fields near water bodies serve as dumpsites. The environmental consequences, particularly during the rainy season, include runoff that contaminates water bodies—posing serious threats to water quality and increasing the risk of disease outbreaks. This aligns with </w:t>
      </w:r>
      <w:proofErr w:type="spellStart"/>
      <w:r w:rsidRPr="00C95299">
        <w:rPr>
          <w:rFonts w:ascii="Times New Roman" w:eastAsia="Times New Roman" w:hAnsi="Times New Roman"/>
          <w:bCs/>
          <w:sz w:val="24"/>
          <w:szCs w:val="24"/>
          <w:lang w:val="en-GB" w:eastAsia="en-GB"/>
        </w:rPr>
        <w:t>Nabegu</w:t>
      </w:r>
      <w:proofErr w:type="spellEnd"/>
      <w:r w:rsidRPr="00C95299">
        <w:rPr>
          <w:rFonts w:ascii="Times New Roman" w:eastAsia="Times New Roman" w:hAnsi="Times New Roman"/>
          <w:bCs/>
          <w:sz w:val="24"/>
          <w:szCs w:val="24"/>
          <w:lang w:val="en-GB" w:eastAsia="en-GB"/>
        </w:rPr>
        <w:t xml:space="preserve"> (2010)</w:t>
      </w:r>
      <w:r w:rsidRPr="00C95299">
        <w:rPr>
          <w:rFonts w:ascii="Times New Roman" w:eastAsia="Times New Roman" w:hAnsi="Times New Roman"/>
          <w:sz w:val="24"/>
          <w:szCs w:val="24"/>
          <w:lang w:val="en-GB" w:eastAsia="en-GB"/>
        </w:rPr>
        <w:t>, who found that the lack of sanitary landfills and proper collection systems contributes directly to surface and groundwater pollution in Nigeria’s southern states.</w:t>
      </w:r>
    </w:p>
    <w:p w14:paraId="0524BD4B" w14:textId="731C8FFB" w:rsidR="00075450" w:rsidRPr="00C95299" w:rsidRDefault="00075450" w:rsidP="00075450">
      <w:pPr>
        <w:spacing w:after="0"/>
        <w:ind w:right="26"/>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 xml:space="preserve">Supporting these field observations is quantitative data from Figure 5, which reports a daily waste generation of 518.2 kg across surveyed areas. Food and kitchen waste lead at 120.7 kg/day, reflecting the dominance of organic waste in both domestic and commercial activities. Plastic waste follows closely at 96.5 kg/day, further underlining the growing concern of plastic pollution in the region. Agricultural residues and animal waste also make up substantial portions, pointing to the semi-urban and agrarian dynamics of many communities. The presence of e-waste (18.6 kg/day) and construction debris (12.3 kg/day), although smaller in volume, signals a need for focused attention due to their toxic or bulky nature—paralleling global discussions on hazardous waste led by the </w:t>
      </w:r>
      <w:r w:rsidRPr="00C95299">
        <w:rPr>
          <w:rFonts w:ascii="Times New Roman" w:hAnsi="Times New Roman"/>
          <w:sz w:val="24"/>
          <w:szCs w:val="24"/>
          <w:shd w:val="clear" w:color="auto" w:fill="FFFFFF"/>
          <w:lang w:val="en-GB"/>
        </w:rPr>
        <w:t>Portas (2011)</w:t>
      </w:r>
      <w:r w:rsidRPr="00C95299">
        <w:rPr>
          <w:rFonts w:ascii="Times New Roman" w:eastAsia="Times New Roman" w:hAnsi="Times New Roman"/>
          <w:sz w:val="24"/>
          <w:szCs w:val="24"/>
          <w:lang w:val="en-GB" w:eastAsia="en-GB"/>
        </w:rPr>
        <w:t>.</w:t>
      </w:r>
    </w:p>
    <w:p w14:paraId="6D7E8AE2" w14:textId="77777777" w:rsidR="00075450" w:rsidRPr="00C95299" w:rsidRDefault="00075450" w:rsidP="00075450">
      <w:pPr>
        <w:spacing w:after="0"/>
        <w:ind w:right="26"/>
        <w:rPr>
          <w:rFonts w:ascii="Times New Roman" w:eastAsia="Times New Roman" w:hAnsi="Times New Roman"/>
          <w:sz w:val="24"/>
          <w:szCs w:val="24"/>
          <w:lang w:val="en-GB" w:eastAsia="en-GB"/>
        </w:rPr>
      </w:pPr>
      <w:r w:rsidRPr="00C95299">
        <w:rPr>
          <w:rFonts w:ascii="Times New Roman" w:eastAsia="Times New Roman" w:hAnsi="Times New Roman"/>
          <w:sz w:val="24"/>
          <w:szCs w:val="24"/>
          <w:lang w:val="en-GB" w:eastAsia="en-GB"/>
        </w:rPr>
        <w:t>Taken together, these findings suggest that effective waste management in the Niger Delta must be multifaceted. There is a clear need for region-specific solutions—urban areas demand improved recycling infrastructure, policy enforcement, and public education, while rural areas require basic formalization of waste handling practices and community training. Future strategies should prioritize organic waste treatment (e.g., composting), regulate informal disposal practices, and curb plastic pollution through extended producer responsibility. Without such integrated efforts, the region risks entrenching environmental degradation and public health crises under mounting waste burdens.</w:t>
      </w:r>
    </w:p>
    <w:p w14:paraId="2AA2F97D" w14:textId="77777777" w:rsidR="00075450" w:rsidRPr="00C95299" w:rsidRDefault="00075450" w:rsidP="00075450">
      <w:pPr>
        <w:spacing w:after="0"/>
        <w:ind w:right="26"/>
        <w:rPr>
          <w:rFonts w:ascii="Times New Roman" w:hAnsi="Times New Roman"/>
          <w:b/>
          <w:sz w:val="24"/>
          <w:szCs w:val="24"/>
          <w:lang w:val="en-GB"/>
        </w:rPr>
      </w:pPr>
      <w:r w:rsidRPr="00C95299">
        <w:rPr>
          <w:rFonts w:ascii="Times New Roman" w:hAnsi="Times New Roman"/>
          <w:sz w:val="24"/>
          <w:szCs w:val="24"/>
          <w:lang w:val="en-GB"/>
        </w:rPr>
        <w:t xml:space="preserve">The findings from this study reveal a profoundly fragmented and inefficient system of waste disposal practices across Bayelsa, Port Harcourt (Rivers State), and Delta State. The </w:t>
      </w:r>
      <w:r w:rsidRPr="00C95299">
        <w:rPr>
          <w:rFonts w:ascii="Times New Roman" w:hAnsi="Times New Roman"/>
          <w:sz w:val="24"/>
          <w:szCs w:val="24"/>
          <w:lang w:val="en-GB"/>
        </w:rPr>
        <w:lastRenderedPageBreak/>
        <w:t>predominance of burning as the primary disposal method (reported by 25.2% of respondents) reinforces widespread concerns raised in earlier studies about the dangers of open burning in urban and peri-urban Nigeria. Scholars such as Afon (2012) and Adewole (2009) have long emphasized the environmental and public health consequences of indiscriminate burning, linking it to increased emissions of greenhouse gases, particulate matter, and respiratory illnesses, particularly among vulnerable populations such as children and the elderly.</w:t>
      </w:r>
    </w:p>
    <w:p w14:paraId="4949EDC7" w14:textId="77777777" w:rsidR="00075450" w:rsidRPr="00C95299" w:rsidRDefault="00075450" w:rsidP="00075450">
      <w:pPr>
        <w:spacing w:after="0"/>
        <w:ind w:right="26"/>
        <w:rPr>
          <w:rFonts w:ascii="Times New Roman" w:hAnsi="Times New Roman"/>
          <w:b/>
          <w:sz w:val="24"/>
          <w:szCs w:val="24"/>
          <w:lang w:val="en-GB"/>
        </w:rPr>
      </w:pPr>
      <w:r w:rsidRPr="00C95299">
        <w:rPr>
          <w:rFonts w:ascii="Times New Roman" w:hAnsi="Times New Roman"/>
          <w:sz w:val="24"/>
          <w:szCs w:val="24"/>
          <w:lang w:val="en-GB"/>
        </w:rPr>
        <w:t xml:space="preserve">The continued use of polythene bags, both large black types and any available ones (reported by 22.7% and 18.9% of respondents respectively), further supports the argument made by </w:t>
      </w:r>
      <w:proofErr w:type="spellStart"/>
      <w:r w:rsidRPr="00C95299">
        <w:rPr>
          <w:rFonts w:ascii="Times New Roman" w:hAnsi="Times New Roman"/>
          <w:sz w:val="24"/>
          <w:szCs w:val="24"/>
          <w:lang w:val="en-GB"/>
        </w:rPr>
        <w:t>Nzeadibe</w:t>
      </w:r>
      <w:proofErr w:type="spellEnd"/>
      <w:r w:rsidRPr="00C95299">
        <w:rPr>
          <w:rFonts w:ascii="Times New Roman" w:hAnsi="Times New Roman"/>
          <w:sz w:val="24"/>
          <w:szCs w:val="24"/>
          <w:lang w:val="en-GB"/>
        </w:rPr>
        <w:t xml:space="preserve"> and </w:t>
      </w:r>
      <w:proofErr w:type="spellStart"/>
      <w:r w:rsidRPr="00C95299">
        <w:rPr>
          <w:rFonts w:ascii="Times New Roman" w:hAnsi="Times New Roman"/>
          <w:sz w:val="24"/>
          <w:szCs w:val="24"/>
          <w:lang w:val="en-GB"/>
        </w:rPr>
        <w:t>Ajaero</w:t>
      </w:r>
      <w:proofErr w:type="spellEnd"/>
      <w:r w:rsidRPr="00C95299">
        <w:rPr>
          <w:rFonts w:ascii="Times New Roman" w:hAnsi="Times New Roman"/>
          <w:sz w:val="24"/>
          <w:szCs w:val="24"/>
          <w:lang w:val="en-GB"/>
        </w:rPr>
        <w:t xml:space="preserve"> (2010) that plastic waste remains a ubiquitous challenge in Nigeria's waste stream due to the absence of regulated collection systems and the widespread culture of “use and discard.” These practices often lead to clogged drainage systems and urban flooding, as observed in Port</w:t>
      </w:r>
      <w:r w:rsidR="0035622C" w:rsidRPr="00C95299">
        <w:rPr>
          <w:rFonts w:ascii="Times New Roman" w:hAnsi="Times New Roman"/>
          <w:sz w:val="24"/>
          <w:szCs w:val="24"/>
          <w:lang w:val="en-GB"/>
        </w:rPr>
        <w:t xml:space="preserve"> H</w:t>
      </w:r>
      <w:r w:rsidRPr="00C95299">
        <w:rPr>
          <w:rFonts w:ascii="Times New Roman" w:hAnsi="Times New Roman"/>
          <w:sz w:val="24"/>
          <w:szCs w:val="24"/>
          <w:lang w:val="en-GB"/>
        </w:rPr>
        <w:t>arcourt and Yenagoa, especially during the rainy season. This is a pattern corroborated by Ihuoma et al. (2021).</w:t>
      </w:r>
    </w:p>
    <w:p w14:paraId="3433BC11" w14:textId="77777777" w:rsidR="00075450" w:rsidRPr="00C95299" w:rsidRDefault="00075450" w:rsidP="00075450">
      <w:pPr>
        <w:spacing w:after="0"/>
        <w:ind w:right="26"/>
        <w:rPr>
          <w:rFonts w:ascii="Times New Roman" w:hAnsi="Times New Roman"/>
          <w:b/>
          <w:sz w:val="24"/>
          <w:szCs w:val="24"/>
          <w:lang w:val="en-GB"/>
        </w:rPr>
      </w:pPr>
      <w:r w:rsidRPr="00C95299">
        <w:rPr>
          <w:rFonts w:ascii="Times New Roman" w:hAnsi="Times New Roman"/>
          <w:sz w:val="24"/>
          <w:szCs w:val="24"/>
          <w:lang w:val="en-GB"/>
        </w:rPr>
        <w:t>Perhaps more worrying is the extremely low engagement in sustainable waste practices such as recycling (4.5%) and composting (6.0%), despite the dominance of organic and recyclable waste in the daily waste stream. This trend reflects a structural weakness in policy and institutional response to waste valorisation, echoing concerns by Imam et al. (2008) and Ogbonna et al. (2007), who noted that despite Nigeria’s massive waste generation, only a fraction is reused or recycled due to the lack of sorting infrastructure, public education, and regulatory incentives.</w:t>
      </w:r>
    </w:p>
    <w:p w14:paraId="3FC2AAAC" w14:textId="77777777" w:rsidR="00075450" w:rsidRPr="00C95299" w:rsidRDefault="00075450" w:rsidP="00075450">
      <w:pPr>
        <w:spacing w:after="0"/>
        <w:ind w:right="26"/>
        <w:rPr>
          <w:rFonts w:ascii="Times New Roman" w:hAnsi="Times New Roman"/>
          <w:b/>
          <w:sz w:val="24"/>
          <w:szCs w:val="24"/>
          <w:lang w:val="en-GB"/>
        </w:rPr>
      </w:pPr>
      <w:r w:rsidRPr="00C95299">
        <w:rPr>
          <w:rFonts w:ascii="Times New Roman" w:hAnsi="Times New Roman"/>
          <w:sz w:val="24"/>
          <w:szCs w:val="24"/>
          <w:lang w:val="en-GB"/>
        </w:rPr>
        <w:t xml:space="preserve">The disparities across the states, as revealed by the ANOVA and post-hoc analyses, are consistent with earlier geographical assessments by Abila and Kantola (2013), who found that urban centres such as Port Harcourt tend to fare marginally better in waste service provision than more peri-urban or rural areas like those found in Delta and Bayelsa. The significantly higher reliance on structured disposal methods (e.g., bins and covered drums) in Port Harcourt, versus a heavier reliance on burning and open dumping in Delta and Bayelsa, reflects variations in infrastructural investment and policy enforcement, supporting the argument by </w:t>
      </w:r>
      <w:proofErr w:type="spellStart"/>
      <w:r w:rsidRPr="00C95299">
        <w:rPr>
          <w:rFonts w:ascii="Times New Roman" w:hAnsi="Times New Roman"/>
          <w:sz w:val="24"/>
          <w:szCs w:val="24"/>
          <w:lang w:val="en-GB"/>
        </w:rPr>
        <w:t>Ogwueleka</w:t>
      </w:r>
      <w:proofErr w:type="spellEnd"/>
      <w:r w:rsidRPr="00C95299">
        <w:rPr>
          <w:rFonts w:ascii="Times New Roman" w:hAnsi="Times New Roman"/>
          <w:sz w:val="24"/>
          <w:szCs w:val="24"/>
          <w:lang w:val="en-GB"/>
        </w:rPr>
        <w:t xml:space="preserve"> (2009) that waste management outcomes in Nigeria are highly dependent on local governance effectiveness and socioeconomic context.</w:t>
      </w:r>
    </w:p>
    <w:p w14:paraId="2A1A61CD" w14:textId="4E277898" w:rsidR="00075450" w:rsidRPr="00C95299" w:rsidRDefault="00075450" w:rsidP="00075450">
      <w:pPr>
        <w:spacing w:after="0"/>
        <w:ind w:right="26"/>
        <w:rPr>
          <w:rFonts w:ascii="Times New Roman" w:hAnsi="Times New Roman"/>
          <w:b/>
          <w:sz w:val="24"/>
          <w:szCs w:val="24"/>
          <w:lang w:val="en-GB"/>
        </w:rPr>
      </w:pPr>
      <w:r w:rsidRPr="00C95299">
        <w:rPr>
          <w:rFonts w:ascii="Times New Roman" w:hAnsi="Times New Roman"/>
          <w:sz w:val="24"/>
          <w:szCs w:val="24"/>
          <w:lang w:val="en-GB"/>
        </w:rPr>
        <w:t xml:space="preserve">Table </w:t>
      </w:r>
      <w:r w:rsidR="008C23FE">
        <w:rPr>
          <w:rFonts w:ascii="Times New Roman" w:hAnsi="Times New Roman"/>
          <w:sz w:val="24"/>
          <w:szCs w:val="24"/>
          <w:lang w:val="en-GB"/>
        </w:rPr>
        <w:t>5</w:t>
      </w:r>
      <w:r w:rsidRPr="00C95299">
        <w:rPr>
          <w:rFonts w:ascii="Times New Roman" w:hAnsi="Times New Roman"/>
          <w:sz w:val="24"/>
          <w:szCs w:val="24"/>
          <w:lang w:val="en-GB"/>
        </w:rPr>
        <w:t xml:space="preserve">’s finding that 63.9% of respondents dump waste at “any time of day” suggests a complete breakdown in regulatory scheduling and public adherence to sanitary waste protocols. As </w:t>
      </w:r>
      <w:proofErr w:type="spellStart"/>
      <w:r w:rsidRPr="00C95299">
        <w:rPr>
          <w:rFonts w:ascii="Times New Roman" w:hAnsi="Times New Roman"/>
          <w:sz w:val="24"/>
          <w:szCs w:val="24"/>
          <w:lang w:val="en-GB"/>
        </w:rPr>
        <w:t>Ojedokun</w:t>
      </w:r>
      <w:proofErr w:type="spellEnd"/>
      <w:r w:rsidRPr="00C95299">
        <w:rPr>
          <w:rFonts w:ascii="Times New Roman" w:hAnsi="Times New Roman"/>
          <w:sz w:val="24"/>
          <w:szCs w:val="24"/>
          <w:lang w:val="en-GB"/>
        </w:rPr>
        <w:t xml:space="preserve"> (2014) observed in similar studies from southwestern Nigeria, the absence of fixed waste disposal windows creates opportunities for environmental degradation, poor odour control, and vector infestations. These outcomes are worsened by the erratic and infrequent waste collection cycles identified in Table </w:t>
      </w:r>
      <w:r w:rsidR="008C23FE">
        <w:rPr>
          <w:rFonts w:ascii="Times New Roman" w:hAnsi="Times New Roman"/>
          <w:sz w:val="24"/>
          <w:szCs w:val="24"/>
          <w:lang w:val="en-GB"/>
        </w:rPr>
        <w:t>5</w:t>
      </w:r>
      <w:r w:rsidRPr="00C95299">
        <w:rPr>
          <w:rFonts w:ascii="Times New Roman" w:hAnsi="Times New Roman"/>
          <w:sz w:val="24"/>
          <w:szCs w:val="24"/>
          <w:lang w:val="en-GB"/>
        </w:rPr>
        <w:t xml:space="preserve">, where only 4.5% of respondents reported daily evacuation. Daily collection is globally recognized as the minimum standard in densely populated urban areas (World Bank, 2018), and this shortfall is consistent with patterns found in </w:t>
      </w:r>
      <w:r w:rsidRPr="00C95299">
        <w:rPr>
          <w:rFonts w:ascii="Times New Roman" w:hAnsi="Times New Roman"/>
          <w:sz w:val="24"/>
          <w:szCs w:val="24"/>
          <w:shd w:val="clear" w:color="auto" w:fill="FFFFFF"/>
          <w:lang w:val="en-GB"/>
        </w:rPr>
        <w:t>Dauda et al. (2023</w:t>
      </w:r>
      <w:r w:rsidRPr="00C95299">
        <w:rPr>
          <w:rFonts w:ascii="Times New Roman" w:hAnsi="Times New Roman"/>
          <w:sz w:val="24"/>
          <w:szCs w:val="24"/>
          <w:lang w:val="en-GB"/>
        </w:rPr>
        <w:t>) study of Ibadan, which documented how infrequent collection led to self-help strategies like burning and illegal dumping.</w:t>
      </w:r>
    </w:p>
    <w:p w14:paraId="5126BCBB" w14:textId="77777777" w:rsidR="00075450" w:rsidRPr="00C95299" w:rsidRDefault="00075450" w:rsidP="00075450">
      <w:pPr>
        <w:spacing w:after="0"/>
        <w:ind w:right="26"/>
        <w:rPr>
          <w:rFonts w:ascii="Times New Roman" w:hAnsi="Times New Roman"/>
          <w:b/>
          <w:sz w:val="24"/>
          <w:szCs w:val="24"/>
          <w:lang w:val="en-GB"/>
        </w:rPr>
      </w:pPr>
      <w:r w:rsidRPr="00C95299">
        <w:rPr>
          <w:rFonts w:ascii="Times New Roman" w:hAnsi="Times New Roman"/>
          <w:sz w:val="24"/>
          <w:szCs w:val="24"/>
          <w:lang w:val="en-GB"/>
        </w:rPr>
        <w:t xml:space="preserve">Equally revealing is the attribution of responsibility for waste management. While 45.3% of respondents reported that “authorized personnel” manage their waste, the fact that service </w:t>
      </w:r>
      <w:r w:rsidRPr="00C95299">
        <w:rPr>
          <w:rFonts w:ascii="Times New Roman" w:hAnsi="Times New Roman"/>
          <w:sz w:val="24"/>
          <w:szCs w:val="24"/>
          <w:lang w:val="en-GB"/>
        </w:rPr>
        <w:lastRenderedPageBreak/>
        <w:t>delivery remains poor reflects a classic case of misalignment between responsibility and accountability. This mirrors findings by Wilson et al. (2012) and UN-Habitat (2010), who argue that privatization or contracting out of waste services—reported by 35.3% in this study—often fails where regulatory oversight is weak, and citizen engagement is minimal.</w:t>
      </w:r>
    </w:p>
    <w:p w14:paraId="562321CE" w14:textId="77777777" w:rsidR="00075450" w:rsidRPr="00C95299" w:rsidRDefault="00075450" w:rsidP="00075450">
      <w:pPr>
        <w:spacing w:after="0"/>
        <w:ind w:right="26"/>
        <w:rPr>
          <w:rFonts w:ascii="Times New Roman" w:hAnsi="Times New Roman"/>
          <w:b/>
          <w:sz w:val="24"/>
          <w:szCs w:val="24"/>
          <w:lang w:val="en-GB"/>
        </w:rPr>
      </w:pPr>
      <w:r w:rsidRPr="00C95299">
        <w:rPr>
          <w:rFonts w:ascii="Times New Roman" w:hAnsi="Times New Roman"/>
          <w:sz w:val="24"/>
          <w:szCs w:val="24"/>
          <w:lang w:val="en-GB"/>
        </w:rPr>
        <w:t>The low level of household waste separation (13.1%) is a critical issue, further validating Oteng-Ababio’s (2011) position that the success of recycling systems is largely dependent on separation at source. In the absence of color-coded bins, public sensitization, or incentives for sorting, most recyclables are lost in the waste stream. This inefficiency drives up the cost of downstream material recovery and negates the principles of circular economy touted in international policy frameworks (e.g., SDG 12: Responsible Consumption and Production).</w:t>
      </w:r>
    </w:p>
    <w:p w14:paraId="1CD4CDCE" w14:textId="06C9541F" w:rsidR="00075450" w:rsidRPr="00C95299" w:rsidRDefault="00075450" w:rsidP="00075450">
      <w:pPr>
        <w:spacing w:after="0"/>
        <w:ind w:right="26"/>
        <w:rPr>
          <w:rFonts w:ascii="Times New Roman" w:hAnsi="Times New Roman"/>
          <w:b/>
          <w:sz w:val="24"/>
          <w:szCs w:val="24"/>
          <w:lang w:val="en-GB"/>
        </w:rPr>
      </w:pPr>
      <w:r w:rsidRPr="00C95299">
        <w:rPr>
          <w:rFonts w:ascii="Times New Roman" w:hAnsi="Times New Roman"/>
          <w:sz w:val="24"/>
          <w:szCs w:val="24"/>
          <w:lang w:val="en-GB"/>
        </w:rPr>
        <w:t xml:space="preserve">Table </w:t>
      </w:r>
      <w:r w:rsidR="008C23FE">
        <w:rPr>
          <w:rFonts w:ascii="Times New Roman" w:hAnsi="Times New Roman"/>
          <w:sz w:val="24"/>
          <w:szCs w:val="24"/>
          <w:lang w:val="en-GB"/>
        </w:rPr>
        <w:t>5</w:t>
      </w:r>
      <w:r w:rsidRPr="00C95299">
        <w:rPr>
          <w:rFonts w:ascii="Times New Roman" w:hAnsi="Times New Roman"/>
          <w:sz w:val="24"/>
          <w:szCs w:val="24"/>
          <w:lang w:val="en-GB"/>
        </w:rPr>
        <w:t xml:space="preserve">, which shows open dumping (40.3%) and incineration (35.3%) as the dominant waste collection methods, raises concerns about exposure to toxic fumes and leachate. Studies by </w:t>
      </w:r>
      <w:proofErr w:type="spellStart"/>
      <w:r w:rsidRPr="00C95299">
        <w:rPr>
          <w:rFonts w:ascii="Times New Roman" w:hAnsi="Times New Roman"/>
          <w:sz w:val="24"/>
          <w:szCs w:val="24"/>
          <w:lang w:val="en-GB"/>
        </w:rPr>
        <w:t>Ogunjuyigbe</w:t>
      </w:r>
      <w:proofErr w:type="spellEnd"/>
      <w:r w:rsidRPr="00C95299">
        <w:rPr>
          <w:rFonts w:ascii="Times New Roman" w:hAnsi="Times New Roman"/>
          <w:sz w:val="24"/>
          <w:szCs w:val="24"/>
          <w:lang w:val="en-GB"/>
        </w:rPr>
        <w:t xml:space="preserve"> et al. (2017) and </w:t>
      </w:r>
      <w:proofErr w:type="spellStart"/>
      <w:r w:rsidRPr="00C95299">
        <w:rPr>
          <w:rFonts w:ascii="Times New Roman" w:hAnsi="Times New Roman"/>
          <w:sz w:val="24"/>
          <w:szCs w:val="24"/>
          <w:shd w:val="clear" w:color="auto" w:fill="FFFFFF"/>
          <w:lang w:val="en-GB"/>
        </w:rPr>
        <w:t>Oresanya</w:t>
      </w:r>
      <w:proofErr w:type="spellEnd"/>
      <w:r w:rsidRPr="00C95299">
        <w:rPr>
          <w:rFonts w:ascii="Times New Roman" w:hAnsi="Times New Roman"/>
          <w:sz w:val="24"/>
          <w:szCs w:val="24"/>
          <w:shd w:val="clear" w:color="auto" w:fill="FFFFFF"/>
          <w:lang w:val="en-GB"/>
        </w:rPr>
        <w:t xml:space="preserve"> et al. (2017</w:t>
      </w:r>
      <w:r w:rsidRPr="00C95299">
        <w:rPr>
          <w:rFonts w:ascii="Times New Roman" w:hAnsi="Times New Roman"/>
          <w:sz w:val="24"/>
          <w:szCs w:val="24"/>
          <w:lang w:val="en-GB"/>
        </w:rPr>
        <w:t xml:space="preserve">) have shown that uncontrolled dumping and burning are directly associated with contaminated water sources, soil infertility, and disease outbreaks in Nigerian cities. The negligible mention of composting (8.8%) and engineered landfills (15.6%) reveals that ecologically sound and scientifically accepted waste treatment methods are either unavailable or underutilized. This echoes </w:t>
      </w:r>
      <w:proofErr w:type="spellStart"/>
      <w:r w:rsidRPr="00C95299">
        <w:rPr>
          <w:rFonts w:ascii="Times New Roman" w:hAnsi="Times New Roman"/>
          <w:sz w:val="24"/>
          <w:szCs w:val="24"/>
          <w:lang w:val="en-GB"/>
        </w:rPr>
        <w:t>Ezeah</w:t>
      </w:r>
      <w:proofErr w:type="spellEnd"/>
      <w:r w:rsidRPr="00C95299">
        <w:rPr>
          <w:rFonts w:ascii="Times New Roman" w:hAnsi="Times New Roman"/>
          <w:sz w:val="24"/>
          <w:szCs w:val="24"/>
          <w:lang w:val="en-GB"/>
        </w:rPr>
        <w:t xml:space="preserve"> and Roberts’ (2012) call for integrated solid waste management (ISWM) strategies that align waste generation with infrastructure, local knowledge, and community-based approaches.</w:t>
      </w:r>
    </w:p>
    <w:p w14:paraId="2AE815E1" w14:textId="77777777" w:rsidR="00075450" w:rsidRPr="00C95299" w:rsidRDefault="00075450" w:rsidP="00075450">
      <w:pPr>
        <w:spacing w:after="0"/>
        <w:ind w:right="26"/>
        <w:rPr>
          <w:rFonts w:ascii="Times New Roman" w:hAnsi="Times New Roman"/>
          <w:b/>
          <w:sz w:val="24"/>
          <w:szCs w:val="24"/>
          <w:lang w:val="en-GB"/>
        </w:rPr>
      </w:pPr>
      <w:r w:rsidRPr="00C95299">
        <w:rPr>
          <w:rFonts w:ascii="Times New Roman" w:hAnsi="Times New Roman"/>
          <w:sz w:val="24"/>
          <w:szCs w:val="24"/>
          <w:lang w:val="en-GB"/>
        </w:rPr>
        <w:t xml:space="preserve">The overwhelming disagreement (75.9%) with the notion that current waste evacuation systems incorporate recycling, re-use, and sustainable disposal further underscores the perception gap and actual policy failure. As pointed out by </w:t>
      </w:r>
      <w:proofErr w:type="spellStart"/>
      <w:r w:rsidRPr="00C95299">
        <w:rPr>
          <w:rFonts w:ascii="Times New Roman" w:hAnsi="Times New Roman"/>
          <w:sz w:val="24"/>
          <w:szCs w:val="24"/>
          <w:lang w:val="en-GB"/>
        </w:rPr>
        <w:t>Odewumi</w:t>
      </w:r>
      <w:proofErr w:type="spellEnd"/>
      <w:r w:rsidRPr="00C95299">
        <w:rPr>
          <w:rFonts w:ascii="Times New Roman" w:hAnsi="Times New Roman"/>
          <w:sz w:val="24"/>
          <w:szCs w:val="24"/>
          <w:lang w:val="en-GB"/>
        </w:rPr>
        <w:t xml:space="preserve"> et al. (2015), where citizen confidence in public systems is low, compliance and cooperation also fall, making any sustainable waste strategy difficult to implement. The wide standard deviations in perceptions also suggest significant regional inequality, reinforcing earlier calls for state-specific interventions as opposed to a blanket national strategy.</w:t>
      </w:r>
    </w:p>
    <w:p w14:paraId="249C1B80" w14:textId="77777777" w:rsidR="00075450" w:rsidRPr="00C95299" w:rsidRDefault="00075450" w:rsidP="00075450">
      <w:pPr>
        <w:spacing w:after="0"/>
        <w:ind w:right="26"/>
        <w:rPr>
          <w:rFonts w:ascii="Times New Roman" w:hAnsi="Times New Roman"/>
          <w:b/>
          <w:sz w:val="24"/>
          <w:szCs w:val="24"/>
          <w:lang w:val="en-GB"/>
        </w:rPr>
      </w:pPr>
      <w:r w:rsidRPr="00C95299">
        <w:rPr>
          <w:rFonts w:ascii="Times New Roman" w:hAnsi="Times New Roman"/>
          <w:sz w:val="24"/>
          <w:szCs w:val="24"/>
          <w:lang w:val="en-GB"/>
        </w:rPr>
        <w:t xml:space="preserve">In conclusion, the evidence from this study offers strong support for prior literature on the multidimensional weaknesses of waste management in Nigeria. The findings call for an urgent rethinking of current systems, emphasizing inclusive governance, community engagement, and investment in infrastructure and education, as advocated by the UNDP (2019) and </w:t>
      </w:r>
      <w:r w:rsidRPr="00C95299">
        <w:rPr>
          <w:rFonts w:ascii="Times New Roman" w:hAnsi="Times New Roman"/>
          <w:sz w:val="24"/>
          <w:szCs w:val="24"/>
          <w:shd w:val="clear" w:color="auto" w:fill="FFFFFF"/>
          <w:lang w:val="en-GB"/>
        </w:rPr>
        <w:t>De Siqueira (2012</w:t>
      </w:r>
      <w:r w:rsidRPr="00C95299">
        <w:rPr>
          <w:rFonts w:ascii="Times New Roman" w:hAnsi="Times New Roman"/>
          <w:sz w:val="24"/>
          <w:szCs w:val="24"/>
          <w:lang w:val="en-GB"/>
        </w:rPr>
        <w:t>). Without these, informal, unsafe, and environmentally destructive practices will continue to define waste management in the region, with devastating consequences for public health, ecological integrity, and sustainable urban development.</w:t>
      </w:r>
    </w:p>
    <w:p w14:paraId="13D7D146" w14:textId="77777777" w:rsidR="00075450" w:rsidRPr="00C95299" w:rsidRDefault="00075450" w:rsidP="004B0B82">
      <w:pPr>
        <w:spacing w:after="0" w:line="240" w:lineRule="auto"/>
        <w:ind w:right="0"/>
        <w:rPr>
          <w:rFonts w:ascii="Times New Roman" w:hAnsi="Times New Roman"/>
          <w:b/>
          <w:sz w:val="24"/>
          <w:szCs w:val="24"/>
          <w:lang w:val="en-GB"/>
        </w:rPr>
      </w:pPr>
    </w:p>
    <w:p w14:paraId="598420C0" w14:textId="77777777" w:rsidR="004B0B82" w:rsidRPr="00C95299" w:rsidRDefault="004B0B82" w:rsidP="004B0B82">
      <w:pPr>
        <w:spacing w:after="0" w:line="240" w:lineRule="auto"/>
        <w:ind w:right="0"/>
        <w:rPr>
          <w:rFonts w:ascii="Times New Roman" w:hAnsi="Times New Roman"/>
          <w:b/>
          <w:sz w:val="24"/>
          <w:szCs w:val="24"/>
          <w:lang w:val="en-GB"/>
        </w:rPr>
      </w:pPr>
      <w:r w:rsidRPr="00C95299">
        <w:rPr>
          <w:rFonts w:ascii="Times New Roman" w:hAnsi="Times New Roman"/>
          <w:b/>
          <w:sz w:val="24"/>
          <w:szCs w:val="24"/>
          <w:lang w:val="en-GB"/>
        </w:rPr>
        <w:t>Conclusions and Recommendations</w:t>
      </w:r>
    </w:p>
    <w:p w14:paraId="3CE95A0A" w14:textId="77777777" w:rsidR="003916B1" w:rsidRPr="00C95299" w:rsidRDefault="008723A7" w:rsidP="003916B1">
      <w:pPr>
        <w:spacing w:after="0" w:line="240" w:lineRule="auto"/>
        <w:ind w:right="0"/>
        <w:rPr>
          <w:rFonts w:ascii="Times New Roman" w:hAnsi="Times New Roman"/>
          <w:sz w:val="24"/>
          <w:szCs w:val="24"/>
          <w:lang w:val="en-GB"/>
        </w:rPr>
      </w:pPr>
      <w:r w:rsidRPr="00C95299">
        <w:rPr>
          <w:rFonts w:ascii="Times New Roman" w:hAnsi="Times New Roman"/>
          <w:sz w:val="24"/>
          <w:szCs w:val="24"/>
          <w:lang w:val="en-GB"/>
        </w:rPr>
        <w:t>It is concluded that</w:t>
      </w:r>
      <w:r w:rsidRPr="00C95299">
        <w:rPr>
          <w:rFonts w:ascii="Times New Roman" w:hAnsi="Times New Roman"/>
          <w:b/>
          <w:sz w:val="24"/>
          <w:szCs w:val="24"/>
          <w:lang w:val="en-GB"/>
        </w:rPr>
        <w:t xml:space="preserve"> </w:t>
      </w:r>
      <w:r w:rsidRPr="00C95299">
        <w:rPr>
          <w:rFonts w:ascii="Times New Roman" w:hAnsi="Times New Roman"/>
          <w:sz w:val="24"/>
          <w:szCs w:val="24"/>
        </w:rPr>
        <w:t xml:space="preserve">the waste characteristics varied significantly between urban and peri-urban/rural ones, but the overall picture details a hazardous and unsustainable sanitation situation with volume of non-biodegradable wastes which included plastics, e-waste, and construction debris. In addition, </w:t>
      </w:r>
      <w:r w:rsidRPr="00C95299">
        <w:rPr>
          <w:rFonts w:ascii="Times New Roman" w:hAnsi="Times New Roman"/>
          <w:sz w:val="24"/>
          <w:szCs w:val="24"/>
          <w:lang w:val="en-GB"/>
        </w:rPr>
        <w:t xml:space="preserve">the most frequently reported methods of waste disposal is </w:t>
      </w:r>
      <w:r w:rsidRPr="00C95299">
        <w:rPr>
          <w:rFonts w:ascii="Times New Roman" w:hAnsi="Times New Roman"/>
          <w:bCs/>
          <w:sz w:val="24"/>
          <w:szCs w:val="24"/>
          <w:lang w:val="en-GB"/>
        </w:rPr>
        <w:t>burning</w:t>
      </w:r>
      <w:r w:rsidRPr="00C95299">
        <w:rPr>
          <w:rFonts w:ascii="Times New Roman" w:hAnsi="Times New Roman"/>
          <w:sz w:val="24"/>
          <w:szCs w:val="24"/>
          <w:lang w:val="en-GB"/>
        </w:rPr>
        <w:t xml:space="preserve"> which emits toxic chemicals, degrades the quality of air, and raises people's risks of contracting respiratory infections; and using of large black polythene bags for dumping waste in a random manner, and causing blocked drains and street litter.</w:t>
      </w:r>
      <w:r w:rsidR="003916B1" w:rsidRPr="00C95299">
        <w:rPr>
          <w:rFonts w:ascii="Times New Roman" w:hAnsi="Times New Roman"/>
          <w:sz w:val="24"/>
          <w:szCs w:val="24"/>
          <w:lang w:val="en-GB"/>
        </w:rPr>
        <w:t xml:space="preserve"> The study therefore</w:t>
      </w:r>
      <w:r w:rsidRPr="00C95299">
        <w:rPr>
          <w:rFonts w:ascii="Times New Roman" w:hAnsi="Times New Roman"/>
          <w:sz w:val="24"/>
          <w:szCs w:val="24"/>
          <w:lang w:val="en-GB"/>
        </w:rPr>
        <w:t xml:space="preserve"> recommended that </w:t>
      </w:r>
      <w:r w:rsidR="003916B1" w:rsidRPr="00C95299">
        <w:rPr>
          <w:rFonts w:ascii="Times New Roman" w:hAnsi="Times New Roman"/>
          <w:sz w:val="24"/>
          <w:szCs w:val="24"/>
          <w:lang w:val="en-GB"/>
        </w:rPr>
        <w:t xml:space="preserve">there </w:t>
      </w:r>
      <w:r w:rsidR="003916B1" w:rsidRPr="00C95299">
        <w:rPr>
          <w:rFonts w:ascii="Times New Roman" w:hAnsi="Times New Roman"/>
          <w:sz w:val="24"/>
          <w:szCs w:val="24"/>
          <w:lang w:val="en-GB"/>
        </w:rPr>
        <w:lastRenderedPageBreak/>
        <w:t>is need to establish a decentralized waste management systems tailored to urban and rural realities in strategic places in the Niger Delta. This should include formal composting for organic waste, localized recycling hubs for plastics and e-wastes, and community education programs to reduce unsafe disposal practices witnessed in this study, thereby improving environmental health and sustainability across the study area. Also, policymakers should urgently invest in decentralized, state-specific integrated solid waste management (ISWM) systems that combine household-level waste segregation, daily collection, public sensitization, and infrastructure for recycling and composting. This will reduce reliance on burning and open dumping, improve environmental health, and align local practices with sustainable development goals.</w:t>
      </w:r>
    </w:p>
    <w:p w14:paraId="5F3007E0" w14:textId="77777777" w:rsidR="00DF5230" w:rsidRPr="00C95299" w:rsidRDefault="00DF5230" w:rsidP="003916B1">
      <w:pPr>
        <w:spacing w:after="0" w:line="240" w:lineRule="auto"/>
        <w:ind w:right="0"/>
        <w:rPr>
          <w:rFonts w:ascii="Times New Roman" w:hAnsi="Times New Roman"/>
          <w:sz w:val="24"/>
          <w:szCs w:val="24"/>
          <w:lang w:val="en-GB"/>
        </w:rPr>
      </w:pPr>
    </w:p>
    <w:p w14:paraId="50AAF8D6" w14:textId="77777777" w:rsidR="00DF5230" w:rsidRPr="00C95299" w:rsidRDefault="00DF5230" w:rsidP="003916B1">
      <w:pPr>
        <w:spacing w:after="0" w:line="240" w:lineRule="auto"/>
        <w:ind w:right="0"/>
        <w:rPr>
          <w:rFonts w:ascii="Times New Roman" w:hAnsi="Times New Roman"/>
          <w:b/>
          <w:sz w:val="24"/>
          <w:szCs w:val="24"/>
          <w:lang w:val="en-GB"/>
        </w:rPr>
      </w:pPr>
      <w:r w:rsidRPr="00C95299">
        <w:rPr>
          <w:rFonts w:ascii="Times New Roman" w:hAnsi="Times New Roman"/>
          <w:b/>
          <w:sz w:val="24"/>
          <w:szCs w:val="24"/>
          <w:lang w:val="en-GB"/>
        </w:rPr>
        <w:t>References</w:t>
      </w:r>
    </w:p>
    <w:p w14:paraId="4A190920" w14:textId="77777777" w:rsidR="00DB5150" w:rsidRPr="00C95299" w:rsidRDefault="00DB5150" w:rsidP="00DB5150">
      <w:pPr>
        <w:pStyle w:val="Heading2"/>
        <w:shd w:val="clear" w:color="auto" w:fill="FFFFFF"/>
        <w:ind w:left="720" w:hanging="720"/>
        <w:jc w:val="both"/>
        <w:rPr>
          <w:rFonts w:ascii="Times New Roman" w:hAnsi="Times New Roman"/>
          <w:b w:val="0"/>
          <w:i w:val="0"/>
          <w:color w:val="auto"/>
          <w:sz w:val="24"/>
          <w:szCs w:val="24"/>
          <w:shd w:val="clear" w:color="auto" w:fill="FFFFFF"/>
          <w:lang w:val="en-GB"/>
        </w:rPr>
      </w:pPr>
      <w:r w:rsidRPr="00C95299">
        <w:rPr>
          <w:rFonts w:ascii="Times New Roman" w:hAnsi="Times New Roman"/>
          <w:b w:val="0"/>
          <w:i w:val="0"/>
          <w:color w:val="auto"/>
          <w:sz w:val="24"/>
          <w:szCs w:val="24"/>
          <w:shd w:val="clear" w:color="auto" w:fill="FFFFFF"/>
          <w:lang w:val="en-GB"/>
        </w:rPr>
        <w:t xml:space="preserve">Abila, B., &amp; Kantola, J. (2013). Municipal solid waste management problems in Nigeria: Evolving knowledge management solution. </w:t>
      </w:r>
      <w:r w:rsidRPr="00C95299">
        <w:rPr>
          <w:rFonts w:ascii="Times New Roman" w:hAnsi="Times New Roman"/>
          <w:b w:val="0"/>
          <w:color w:val="auto"/>
          <w:sz w:val="24"/>
          <w:szCs w:val="24"/>
          <w:shd w:val="clear" w:color="auto" w:fill="FFFFFF"/>
          <w:lang w:val="en-GB"/>
        </w:rPr>
        <w:t>In </w:t>
      </w:r>
      <w:r w:rsidRPr="00C95299">
        <w:rPr>
          <w:rFonts w:ascii="Times New Roman" w:hAnsi="Times New Roman"/>
          <w:b w:val="0"/>
          <w:iCs w:val="0"/>
          <w:color w:val="auto"/>
          <w:sz w:val="24"/>
          <w:szCs w:val="24"/>
          <w:shd w:val="clear" w:color="auto" w:fill="FFFFFF"/>
          <w:lang w:val="en-GB"/>
        </w:rPr>
        <w:t>Proceedings of World Academy of Science, Engineering and Technology</w:t>
      </w:r>
      <w:r w:rsidRPr="00C95299">
        <w:rPr>
          <w:rFonts w:ascii="Times New Roman" w:hAnsi="Times New Roman"/>
          <w:b w:val="0"/>
          <w:color w:val="auto"/>
          <w:sz w:val="24"/>
          <w:szCs w:val="24"/>
          <w:shd w:val="clear" w:color="auto" w:fill="FFFFFF"/>
          <w:lang w:val="en-GB"/>
        </w:rPr>
        <w:t> </w:t>
      </w:r>
      <w:r w:rsidRPr="00C95299">
        <w:rPr>
          <w:rFonts w:ascii="Times New Roman" w:hAnsi="Times New Roman"/>
          <w:b w:val="0"/>
          <w:i w:val="0"/>
          <w:color w:val="auto"/>
          <w:sz w:val="24"/>
          <w:szCs w:val="24"/>
          <w:shd w:val="clear" w:color="auto" w:fill="FFFFFF"/>
          <w:lang w:val="en-GB"/>
        </w:rPr>
        <w:t>(No. 78, p. 292). World Academy of Science, Engineering and Technology (WASET).</w:t>
      </w:r>
    </w:p>
    <w:p w14:paraId="3D7FF33B" w14:textId="77777777" w:rsidR="00DB5150" w:rsidRPr="00C95299" w:rsidRDefault="00DB5150" w:rsidP="00DB5150">
      <w:pPr>
        <w:pStyle w:val="Heading2"/>
        <w:shd w:val="clear" w:color="auto" w:fill="FFFFFF"/>
        <w:ind w:left="720" w:hanging="720"/>
        <w:jc w:val="both"/>
        <w:rPr>
          <w:rFonts w:ascii="Times New Roman" w:hAnsi="Times New Roman"/>
          <w:b w:val="0"/>
          <w:color w:val="auto"/>
          <w:sz w:val="24"/>
          <w:szCs w:val="24"/>
          <w:shd w:val="clear" w:color="auto" w:fill="FFFFFF"/>
          <w:lang w:val="en-GB"/>
        </w:rPr>
      </w:pPr>
      <w:r w:rsidRPr="00C95299">
        <w:rPr>
          <w:rFonts w:ascii="Times New Roman" w:hAnsi="Times New Roman"/>
          <w:b w:val="0"/>
          <w:i w:val="0"/>
          <w:color w:val="auto"/>
          <w:sz w:val="24"/>
          <w:szCs w:val="24"/>
          <w:shd w:val="clear" w:color="auto" w:fill="FFFFFF"/>
          <w:lang w:val="en-GB"/>
        </w:rPr>
        <w:t>Adewole, A. T. (2009). Waste management towards sustainable development in Nigeria: A case study of Lagos state</w:t>
      </w:r>
      <w:r w:rsidRPr="00C95299">
        <w:rPr>
          <w:rFonts w:ascii="Times New Roman" w:hAnsi="Times New Roman"/>
          <w:b w:val="0"/>
          <w:color w:val="auto"/>
          <w:sz w:val="24"/>
          <w:szCs w:val="24"/>
          <w:shd w:val="clear" w:color="auto" w:fill="FFFFFF"/>
          <w:lang w:val="en-GB"/>
        </w:rPr>
        <w:t>. </w:t>
      </w:r>
      <w:r w:rsidRPr="00C95299">
        <w:rPr>
          <w:rFonts w:ascii="Times New Roman" w:hAnsi="Times New Roman"/>
          <w:b w:val="0"/>
          <w:iCs w:val="0"/>
          <w:color w:val="auto"/>
          <w:sz w:val="24"/>
          <w:szCs w:val="24"/>
          <w:shd w:val="clear" w:color="auto" w:fill="FFFFFF"/>
          <w:lang w:val="en-GB"/>
        </w:rPr>
        <w:t>International NGO Journal</w:t>
      </w:r>
      <w:r w:rsidRPr="00C95299">
        <w:rPr>
          <w:rFonts w:ascii="Times New Roman" w:hAnsi="Times New Roman"/>
          <w:b w:val="0"/>
          <w:color w:val="auto"/>
          <w:sz w:val="24"/>
          <w:szCs w:val="24"/>
          <w:shd w:val="clear" w:color="auto" w:fill="FFFFFF"/>
          <w:lang w:val="en-GB"/>
        </w:rPr>
        <w:t>, </w:t>
      </w:r>
      <w:r w:rsidRPr="00C95299">
        <w:rPr>
          <w:rFonts w:ascii="Times New Roman" w:hAnsi="Times New Roman"/>
          <w:b w:val="0"/>
          <w:i w:val="0"/>
          <w:iCs w:val="0"/>
          <w:color w:val="auto"/>
          <w:sz w:val="24"/>
          <w:szCs w:val="24"/>
          <w:shd w:val="clear" w:color="auto" w:fill="FFFFFF"/>
          <w:lang w:val="en-GB"/>
        </w:rPr>
        <w:t>4</w:t>
      </w:r>
      <w:r w:rsidRPr="00C95299">
        <w:rPr>
          <w:rFonts w:ascii="Times New Roman" w:hAnsi="Times New Roman"/>
          <w:b w:val="0"/>
          <w:i w:val="0"/>
          <w:color w:val="auto"/>
          <w:sz w:val="24"/>
          <w:szCs w:val="24"/>
          <w:shd w:val="clear" w:color="auto" w:fill="FFFFFF"/>
          <w:lang w:val="en-GB"/>
        </w:rPr>
        <w:t>(4), 173-179.</w:t>
      </w:r>
    </w:p>
    <w:p w14:paraId="70A2F9C5" w14:textId="77777777" w:rsidR="00DB5150" w:rsidRPr="00C95299" w:rsidRDefault="00DB5150" w:rsidP="00DB5150">
      <w:pPr>
        <w:pStyle w:val="Heading2"/>
        <w:shd w:val="clear" w:color="auto" w:fill="FFFFFF"/>
        <w:ind w:left="720" w:hanging="720"/>
        <w:jc w:val="both"/>
        <w:rPr>
          <w:rFonts w:ascii="Times New Roman" w:hAnsi="Times New Roman"/>
          <w:b w:val="0"/>
          <w:i w:val="0"/>
          <w:color w:val="auto"/>
          <w:sz w:val="24"/>
          <w:szCs w:val="24"/>
          <w:shd w:val="clear" w:color="auto" w:fill="FFFFFF"/>
          <w:lang w:val="en-GB"/>
        </w:rPr>
      </w:pPr>
      <w:r w:rsidRPr="00C95299">
        <w:rPr>
          <w:rFonts w:ascii="Times New Roman" w:hAnsi="Times New Roman"/>
          <w:b w:val="0"/>
          <w:i w:val="0"/>
          <w:color w:val="auto"/>
          <w:sz w:val="24"/>
          <w:szCs w:val="24"/>
          <w:shd w:val="clear" w:color="auto" w:fill="FFFFFF"/>
          <w:lang w:val="en-GB"/>
        </w:rPr>
        <w:t>Afon, A. O. (2007). Informal sector initiative in the primary sub-system of urban solid waste management in Lagos, Nigeria. </w:t>
      </w:r>
      <w:r w:rsidRPr="00C95299">
        <w:rPr>
          <w:rFonts w:ascii="Times New Roman" w:hAnsi="Times New Roman"/>
          <w:b w:val="0"/>
          <w:iCs w:val="0"/>
          <w:color w:val="auto"/>
          <w:sz w:val="24"/>
          <w:szCs w:val="24"/>
          <w:shd w:val="clear" w:color="auto" w:fill="FFFFFF"/>
          <w:lang w:val="en-GB"/>
        </w:rPr>
        <w:t>Habitat International</w:t>
      </w:r>
      <w:r w:rsidRPr="00C95299">
        <w:rPr>
          <w:rFonts w:ascii="Times New Roman" w:hAnsi="Times New Roman"/>
          <w:b w:val="0"/>
          <w:i w:val="0"/>
          <w:color w:val="auto"/>
          <w:sz w:val="24"/>
          <w:szCs w:val="24"/>
          <w:shd w:val="clear" w:color="auto" w:fill="FFFFFF"/>
          <w:lang w:val="en-GB"/>
        </w:rPr>
        <w:t>, </w:t>
      </w:r>
      <w:r w:rsidRPr="00C95299">
        <w:rPr>
          <w:rFonts w:ascii="Times New Roman" w:hAnsi="Times New Roman"/>
          <w:b w:val="0"/>
          <w:i w:val="0"/>
          <w:iCs w:val="0"/>
          <w:color w:val="auto"/>
          <w:sz w:val="24"/>
          <w:szCs w:val="24"/>
          <w:shd w:val="clear" w:color="auto" w:fill="FFFFFF"/>
          <w:lang w:val="en-GB"/>
        </w:rPr>
        <w:t>31</w:t>
      </w:r>
      <w:r w:rsidRPr="00C95299">
        <w:rPr>
          <w:rFonts w:ascii="Times New Roman" w:hAnsi="Times New Roman"/>
          <w:b w:val="0"/>
          <w:i w:val="0"/>
          <w:color w:val="auto"/>
          <w:sz w:val="24"/>
          <w:szCs w:val="24"/>
          <w:shd w:val="clear" w:color="auto" w:fill="FFFFFF"/>
          <w:lang w:val="en-GB"/>
        </w:rPr>
        <w:t>(2), 193-204.</w:t>
      </w:r>
    </w:p>
    <w:p w14:paraId="3754E484" w14:textId="77777777" w:rsidR="00DB5150" w:rsidRPr="00C95299" w:rsidRDefault="00DB5150" w:rsidP="00DB5150">
      <w:pPr>
        <w:pStyle w:val="Heading2"/>
        <w:shd w:val="clear" w:color="auto" w:fill="FFFFFF"/>
        <w:ind w:left="720" w:hanging="720"/>
        <w:jc w:val="both"/>
        <w:rPr>
          <w:rFonts w:ascii="Times New Roman" w:hAnsi="Times New Roman" w:cs="Times New Roman"/>
          <w:b w:val="0"/>
          <w:i w:val="0"/>
          <w:color w:val="auto"/>
          <w:sz w:val="24"/>
          <w:szCs w:val="24"/>
          <w:lang w:val="en-GB"/>
        </w:rPr>
      </w:pPr>
      <w:r w:rsidRPr="00C95299">
        <w:rPr>
          <w:rFonts w:ascii="Times New Roman" w:hAnsi="Times New Roman" w:cs="Times New Roman"/>
          <w:b w:val="0"/>
          <w:i w:val="0"/>
          <w:color w:val="auto"/>
          <w:sz w:val="24"/>
          <w:szCs w:val="24"/>
          <w:lang w:val="en-GB"/>
        </w:rPr>
        <w:t xml:space="preserve">Ajadi, B.S. &amp; Tunde, A.M. (2010). Spatial Variation in Solid Waste Composition and Management in Ilorin Metropolis, Nigeria. </w:t>
      </w:r>
      <w:r w:rsidRPr="00C95299">
        <w:rPr>
          <w:rFonts w:ascii="Times New Roman" w:hAnsi="Times New Roman" w:cs="Times New Roman"/>
          <w:b w:val="0"/>
          <w:color w:val="auto"/>
          <w:sz w:val="24"/>
          <w:szCs w:val="24"/>
          <w:lang w:val="en-GB"/>
        </w:rPr>
        <w:t>Journal of Human Ecology</w:t>
      </w:r>
      <w:r w:rsidRPr="00C95299">
        <w:rPr>
          <w:rFonts w:ascii="Times New Roman" w:hAnsi="Times New Roman" w:cs="Times New Roman"/>
          <w:b w:val="0"/>
          <w:i w:val="0"/>
          <w:color w:val="auto"/>
          <w:sz w:val="24"/>
          <w:szCs w:val="24"/>
          <w:lang w:val="en-GB"/>
        </w:rPr>
        <w:t>, 32(2), 101-108.</w:t>
      </w:r>
    </w:p>
    <w:p w14:paraId="4ECF6FCC" w14:textId="77777777" w:rsidR="00DB5150" w:rsidRPr="00C95299" w:rsidRDefault="00DB5150" w:rsidP="00DB5150">
      <w:pPr>
        <w:pStyle w:val="Heading2"/>
        <w:shd w:val="clear" w:color="auto" w:fill="FFFFFF"/>
        <w:ind w:left="720" w:hanging="720"/>
        <w:jc w:val="both"/>
        <w:rPr>
          <w:rFonts w:ascii="Times New Roman" w:hAnsi="Times New Roman" w:cs="Times New Roman"/>
          <w:b w:val="0"/>
          <w:i w:val="0"/>
          <w:color w:val="auto"/>
          <w:sz w:val="24"/>
          <w:szCs w:val="24"/>
          <w:lang w:val="en-GB"/>
        </w:rPr>
      </w:pPr>
      <w:proofErr w:type="spellStart"/>
      <w:r w:rsidRPr="00C95299">
        <w:rPr>
          <w:rFonts w:ascii="Times New Roman" w:hAnsi="Times New Roman" w:cs="Times New Roman"/>
          <w:b w:val="0"/>
          <w:i w:val="0"/>
          <w:color w:val="auto"/>
          <w:sz w:val="24"/>
          <w:szCs w:val="24"/>
          <w:lang w:val="en-GB"/>
        </w:rPr>
        <w:t>Akinjare</w:t>
      </w:r>
      <w:proofErr w:type="spellEnd"/>
      <w:r w:rsidRPr="00C95299">
        <w:rPr>
          <w:rFonts w:ascii="Times New Roman" w:hAnsi="Times New Roman" w:cs="Times New Roman"/>
          <w:b w:val="0"/>
          <w:i w:val="0"/>
          <w:color w:val="auto"/>
          <w:sz w:val="24"/>
          <w:szCs w:val="24"/>
          <w:lang w:val="en-GB"/>
        </w:rPr>
        <w:t xml:space="preserve">, O.A., </w:t>
      </w:r>
      <w:proofErr w:type="spellStart"/>
      <w:r w:rsidRPr="00C95299">
        <w:rPr>
          <w:rFonts w:ascii="Times New Roman" w:hAnsi="Times New Roman" w:cs="Times New Roman"/>
          <w:b w:val="0"/>
          <w:i w:val="0"/>
          <w:color w:val="auto"/>
          <w:sz w:val="24"/>
          <w:szCs w:val="24"/>
          <w:lang w:val="en-GB"/>
        </w:rPr>
        <w:t>Oluwatobi</w:t>
      </w:r>
      <w:proofErr w:type="spellEnd"/>
      <w:r w:rsidRPr="00C95299">
        <w:rPr>
          <w:rFonts w:ascii="Times New Roman" w:hAnsi="Times New Roman" w:cs="Times New Roman"/>
          <w:b w:val="0"/>
          <w:i w:val="0"/>
          <w:color w:val="auto"/>
          <w:sz w:val="24"/>
          <w:szCs w:val="24"/>
          <w:lang w:val="en-GB"/>
        </w:rPr>
        <w:t xml:space="preserve">, A.O., &amp; </w:t>
      </w:r>
      <w:proofErr w:type="spellStart"/>
      <w:r w:rsidRPr="00C95299">
        <w:rPr>
          <w:rFonts w:ascii="Times New Roman" w:hAnsi="Times New Roman" w:cs="Times New Roman"/>
          <w:b w:val="0"/>
          <w:i w:val="0"/>
          <w:color w:val="auto"/>
          <w:sz w:val="24"/>
          <w:szCs w:val="24"/>
          <w:lang w:val="en-GB"/>
        </w:rPr>
        <w:t>Iroham</w:t>
      </w:r>
      <w:proofErr w:type="spellEnd"/>
      <w:r w:rsidRPr="00C95299">
        <w:rPr>
          <w:rFonts w:ascii="Times New Roman" w:hAnsi="Times New Roman" w:cs="Times New Roman"/>
          <w:b w:val="0"/>
          <w:i w:val="0"/>
          <w:color w:val="auto"/>
          <w:sz w:val="24"/>
          <w:szCs w:val="24"/>
          <w:lang w:val="en-GB"/>
        </w:rPr>
        <w:t>, O.C. (2011). Impact of sanitary landfills on urban residential property value in Lagos state, Nigeria. </w:t>
      </w:r>
      <w:r w:rsidRPr="00C95299">
        <w:rPr>
          <w:rFonts w:ascii="Times New Roman" w:hAnsi="Times New Roman" w:cs="Times New Roman"/>
          <w:b w:val="0"/>
          <w:color w:val="auto"/>
          <w:sz w:val="24"/>
          <w:szCs w:val="24"/>
          <w:lang w:val="en-GB"/>
        </w:rPr>
        <w:t>Journal of Sustainable Development</w:t>
      </w:r>
      <w:r w:rsidRPr="00C95299">
        <w:rPr>
          <w:rFonts w:ascii="Times New Roman" w:hAnsi="Times New Roman" w:cs="Times New Roman"/>
          <w:b w:val="0"/>
          <w:i w:val="0"/>
          <w:color w:val="auto"/>
          <w:sz w:val="24"/>
          <w:szCs w:val="24"/>
          <w:lang w:val="en-GB"/>
        </w:rPr>
        <w:t>, 4, 48-52 </w:t>
      </w:r>
    </w:p>
    <w:p w14:paraId="0700C8C5" w14:textId="77777777" w:rsidR="00DB5150" w:rsidRPr="00C95299" w:rsidRDefault="00DB5150" w:rsidP="00DB5150">
      <w:pPr>
        <w:pStyle w:val="Heading2"/>
        <w:shd w:val="clear" w:color="auto" w:fill="FFFFFF"/>
        <w:ind w:left="720" w:hanging="720"/>
        <w:jc w:val="both"/>
        <w:rPr>
          <w:rFonts w:ascii="Times New Roman" w:hAnsi="Times New Roman" w:cs="Times New Roman"/>
          <w:b w:val="0"/>
          <w:i w:val="0"/>
          <w:color w:val="auto"/>
          <w:sz w:val="24"/>
          <w:szCs w:val="24"/>
          <w:lang w:val="en-GB"/>
        </w:rPr>
      </w:pPr>
      <w:proofErr w:type="spellStart"/>
      <w:r w:rsidRPr="00C95299">
        <w:rPr>
          <w:rFonts w:ascii="Times New Roman" w:hAnsi="Times New Roman" w:cs="Times New Roman"/>
          <w:b w:val="0"/>
          <w:i w:val="0"/>
          <w:color w:val="auto"/>
          <w:sz w:val="24"/>
          <w:szCs w:val="24"/>
          <w:lang w:val="en-GB"/>
        </w:rPr>
        <w:t>Binafeigha</w:t>
      </w:r>
      <w:proofErr w:type="spellEnd"/>
      <w:r w:rsidRPr="00C95299">
        <w:rPr>
          <w:rFonts w:ascii="Times New Roman" w:hAnsi="Times New Roman" w:cs="Times New Roman"/>
          <w:b w:val="0"/>
          <w:i w:val="0"/>
          <w:color w:val="auto"/>
          <w:sz w:val="24"/>
          <w:szCs w:val="24"/>
          <w:lang w:val="en-GB"/>
        </w:rPr>
        <w:t xml:space="preserve">, T.R., &amp; </w:t>
      </w:r>
      <w:proofErr w:type="spellStart"/>
      <w:r w:rsidRPr="00C95299">
        <w:rPr>
          <w:rFonts w:ascii="Times New Roman" w:hAnsi="Times New Roman" w:cs="Times New Roman"/>
          <w:b w:val="0"/>
          <w:i w:val="0"/>
          <w:color w:val="auto"/>
          <w:sz w:val="24"/>
          <w:szCs w:val="24"/>
          <w:lang w:val="en-GB"/>
        </w:rPr>
        <w:t>Enwin</w:t>
      </w:r>
      <w:proofErr w:type="spellEnd"/>
      <w:r w:rsidRPr="00C95299">
        <w:rPr>
          <w:rFonts w:ascii="Times New Roman" w:hAnsi="Times New Roman" w:cs="Times New Roman"/>
          <w:b w:val="0"/>
          <w:i w:val="0"/>
          <w:color w:val="auto"/>
          <w:sz w:val="24"/>
          <w:szCs w:val="24"/>
          <w:lang w:val="en-GB"/>
        </w:rPr>
        <w:t xml:space="preserve">, A. (2017). The state of solid waste management in Port Harcourt City, Nigeria. </w:t>
      </w:r>
      <w:r w:rsidRPr="00C95299">
        <w:rPr>
          <w:rFonts w:ascii="Times New Roman" w:hAnsi="Times New Roman" w:cs="Times New Roman"/>
          <w:b w:val="0"/>
          <w:color w:val="auto"/>
          <w:sz w:val="24"/>
          <w:szCs w:val="24"/>
          <w:lang w:val="en-GB"/>
        </w:rPr>
        <w:t>American Journal of Civil Engineering and Architecture</w:t>
      </w:r>
      <w:r w:rsidRPr="00C95299">
        <w:rPr>
          <w:rFonts w:ascii="Times New Roman" w:hAnsi="Times New Roman" w:cs="Times New Roman"/>
          <w:b w:val="0"/>
          <w:i w:val="0"/>
          <w:color w:val="auto"/>
          <w:sz w:val="24"/>
          <w:szCs w:val="24"/>
          <w:lang w:val="en-GB"/>
        </w:rPr>
        <w:t xml:space="preserve">, 5(4), 160-166. </w:t>
      </w:r>
    </w:p>
    <w:p w14:paraId="4422D102" w14:textId="77777777" w:rsidR="00DB5150" w:rsidRPr="00C95299" w:rsidRDefault="00DB5150" w:rsidP="00DB5150">
      <w:pPr>
        <w:pStyle w:val="Heading2"/>
        <w:shd w:val="clear" w:color="auto" w:fill="FFFFFF"/>
        <w:ind w:left="720" w:hanging="720"/>
        <w:jc w:val="both"/>
        <w:rPr>
          <w:rFonts w:ascii="Times New Roman" w:eastAsia="Times New Roman" w:hAnsi="Times New Roman" w:cs="Times New Roman"/>
          <w:b w:val="0"/>
          <w:i w:val="0"/>
          <w:color w:val="auto"/>
          <w:sz w:val="24"/>
          <w:szCs w:val="24"/>
          <w:shd w:val="clear" w:color="auto" w:fill="FFFFFF"/>
          <w:lang w:val="en-GB"/>
        </w:rPr>
      </w:pPr>
      <w:r w:rsidRPr="00C95299">
        <w:rPr>
          <w:rFonts w:ascii="Times New Roman" w:hAnsi="Times New Roman"/>
          <w:b w:val="0"/>
          <w:i w:val="0"/>
          <w:color w:val="auto"/>
          <w:sz w:val="24"/>
          <w:szCs w:val="24"/>
          <w:shd w:val="clear" w:color="auto" w:fill="FFFFFF"/>
          <w:lang w:val="en-GB"/>
        </w:rPr>
        <w:t xml:space="preserve">Canton, H. (2021). United Nations human settlements programme—UN-Habitat. </w:t>
      </w:r>
      <w:r w:rsidRPr="00C95299">
        <w:rPr>
          <w:rFonts w:ascii="Times New Roman" w:hAnsi="Times New Roman"/>
          <w:b w:val="0"/>
          <w:color w:val="auto"/>
          <w:sz w:val="24"/>
          <w:szCs w:val="24"/>
          <w:shd w:val="clear" w:color="auto" w:fill="FFFFFF"/>
          <w:lang w:val="en-GB"/>
        </w:rPr>
        <w:t>In </w:t>
      </w:r>
      <w:r w:rsidRPr="00C95299">
        <w:rPr>
          <w:rFonts w:ascii="Times New Roman" w:hAnsi="Times New Roman"/>
          <w:b w:val="0"/>
          <w:iCs w:val="0"/>
          <w:color w:val="auto"/>
          <w:sz w:val="24"/>
          <w:szCs w:val="24"/>
          <w:shd w:val="clear" w:color="auto" w:fill="FFFFFF"/>
          <w:lang w:val="en-GB"/>
        </w:rPr>
        <w:t xml:space="preserve">The Europa Directory of International Organizations </w:t>
      </w:r>
      <w:r w:rsidRPr="00C95299">
        <w:rPr>
          <w:rFonts w:ascii="Times New Roman" w:hAnsi="Times New Roman"/>
          <w:b w:val="0"/>
          <w:i w:val="0"/>
          <w:iCs w:val="0"/>
          <w:color w:val="auto"/>
          <w:sz w:val="24"/>
          <w:szCs w:val="24"/>
          <w:shd w:val="clear" w:color="auto" w:fill="FFFFFF"/>
          <w:lang w:val="en-GB"/>
        </w:rPr>
        <w:t>2021</w:t>
      </w:r>
      <w:r w:rsidRPr="00C95299">
        <w:rPr>
          <w:rFonts w:ascii="Times New Roman" w:hAnsi="Times New Roman"/>
          <w:b w:val="0"/>
          <w:i w:val="0"/>
          <w:color w:val="auto"/>
          <w:sz w:val="24"/>
          <w:szCs w:val="24"/>
          <w:shd w:val="clear" w:color="auto" w:fill="FFFFFF"/>
          <w:lang w:val="en-GB"/>
        </w:rPr>
        <w:t> (pp. 234-240). Routledge.</w:t>
      </w:r>
    </w:p>
    <w:p w14:paraId="06B91059" w14:textId="77777777" w:rsidR="00DB5150" w:rsidRPr="00C95299" w:rsidRDefault="00DB5150" w:rsidP="00DB5150">
      <w:pPr>
        <w:pStyle w:val="Heading2"/>
        <w:shd w:val="clear" w:color="auto" w:fill="FFFFFF"/>
        <w:ind w:left="720" w:hanging="720"/>
        <w:jc w:val="both"/>
        <w:rPr>
          <w:rFonts w:ascii="Times New Roman" w:hAnsi="Times New Roman" w:cs="Times New Roman"/>
          <w:b w:val="0"/>
          <w:i w:val="0"/>
          <w:color w:val="auto"/>
          <w:sz w:val="24"/>
          <w:szCs w:val="24"/>
          <w:shd w:val="clear" w:color="auto" w:fill="FFFFFF"/>
          <w:lang w:val="en-GB"/>
        </w:rPr>
      </w:pPr>
      <w:r w:rsidRPr="00C95299">
        <w:rPr>
          <w:rFonts w:ascii="Times New Roman" w:hAnsi="Times New Roman" w:cs="Times New Roman"/>
          <w:b w:val="0"/>
          <w:i w:val="0"/>
          <w:color w:val="auto"/>
          <w:sz w:val="24"/>
          <w:szCs w:val="24"/>
          <w:lang w:val="en-GB"/>
        </w:rPr>
        <w:t xml:space="preserve">Daramola, A., &amp; </w:t>
      </w:r>
      <w:proofErr w:type="spellStart"/>
      <w:r w:rsidRPr="00C95299">
        <w:rPr>
          <w:rFonts w:ascii="Times New Roman" w:hAnsi="Times New Roman" w:cs="Times New Roman"/>
          <w:b w:val="0"/>
          <w:i w:val="0"/>
          <w:color w:val="auto"/>
          <w:sz w:val="24"/>
          <w:szCs w:val="24"/>
          <w:lang w:val="en-GB"/>
        </w:rPr>
        <w:t>Ibezi</w:t>
      </w:r>
      <w:proofErr w:type="spellEnd"/>
      <w:r w:rsidRPr="00C95299">
        <w:rPr>
          <w:rFonts w:ascii="Times New Roman" w:hAnsi="Times New Roman" w:cs="Times New Roman"/>
          <w:b w:val="0"/>
          <w:i w:val="0"/>
          <w:color w:val="auto"/>
          <w:sz w:val="24"/>
          <w:szCs w:val="24"/>
          <w:lang w:val="en-GB"/>
        </w:rPr>
        <w:t xml:space="preserve">, E. (2010). Urban environmental problems in Nigeria: Implication for sustainable development. </w:t>
      </w:r>
      <w:r w:rsidRPr="00C95299">
        <w:rPr>
          <w:rFonts w:ascii="Times New Roman" w:hAnsi="Times New Roman" w:cs="Times New Roman"/>
          <w:b w:val="0"/>
          <w:color w:val="auto"/>
          <w:sz w:val="24"/>
          <w:szCs w:val="24"/>
          <w:lang w:val="en-GB"/>
        </w:rPr>
        <w:t>Journal of Sustainable Development in Africa</w:t>
      </w:r>
      <w:r w:rsidRPr="00C95299">
        <w:rPr>
          <w:rFonts w:ascii="Times New Roman" w:hAnsi="Times New Roman" w:cs="Times New Roman"/>
          <w:b w:val="0"/>
          <w:i w:val="0"/>
          <w:color w:val="auto"/>
          <w:sz w:val="24"/>
          <w:szCs w:val="24"/>
          <w:lang w:val="en-GB"/>
        </w:rPr>
        <w:t xml:space="preserve">, 12(1), 124-145. </w:t>
      </w:r>
      <w:hyperlink r:id="rId12" w:history="1">
        <w:r w:rsidRPr="00C95299">
          <w:rPr>
            <w:rStyle w:val="Hyperlink"/>
            <w:rFonts w:ascii="Times New Roman" w:hAnsi="Times New Roman" w:cs="Times New Roman"/>
            <w:b w:val="0"/>
            <w:i w:val="0"/>
            <w:color w:val="auto"/>
            <w:sz w:val="24"/>
            <w:szCs w:val="24"/>
            <w:shd w:val="clear" w:color="auto" w:fill="FFFFFF"/>
            <w:lang w:val="en-GB"/>
          </w:rPr>
          <w:t>https://core.ac.uk/download/pdf/12356053.pdf</w:t>
        </w:r>
      </w:hyperlink>
      <w:r w:rsidRPr="00C95299">
        <w:rPr>
          <w:rFonts w:ascii="Times New Roman" w:hAnsi="Times New Roman" w:cs="Times New Roman"/>
          <w:b w:val="0"/>
          <w:i w:val="0"/>
          <w:color w:val="auto"/>
          <w:sz w:val="24"/>
          <w:szCs w:val="24"/>
          <w:shd w:val="clear" w:color="auto" w:fill="FFFFFF"/>
          <w:lang w:val="en-GB"/>
        </w:rPr>
        <w:t>.</w:t>
      </w:r>
    </w:p>
    <w:p w14:paraId="04B4D8EA" w14:textId="77777777" w:rsidR="00DB5150" w:rsidRPr="00C95299" w:rsidRDefault="00DB5150" w:rsidP="00DB5150">
      <w:pPr>
        <w:pStyle w:val="Heading2"/>
        <w:shd w:val="clear" w:color="auto" w:fill="FFFFFF"/>
        <w:ind w:left="720" w:hanging="720"/>
        <w:jc w:val="both"/>
        <w:rPr>
          <w:rFonts w:ascii="Times New Roman" w:hAnsi="Times New Roman"/>
          <w:b w:val="0"/>
          <w:color w:val="auto"/>
          <w:sz w:val="24"/>
          <w:szCs w:val="24"/>
          <w:shd w:val="clear" w:color="auto" w:fill="FFFFFF"/>
          <w:lang w:val="en-GB"/>
        </w:rPr>
      </w:pPr>
      <w:r w:rsidRPr="00C95299">
        <w:rPr>
          <w:rFonts w:ascii="Times New Roman" w:hAnsi="Times New Roman"/>
          <w:b w:val="0"/>
          <w:i w:val="0"/>
          <w:color w:val="auto"/>
          <w:sz w:val="24"/>
          <w:szCs w:val="24"/>
          <w:shd w:val="clear" w:color="auto" w:fill="FFFFFF"/>
          <w:lang w:val="en-GB"/>
        </w:rPr>
        <w:t xml:space="preserve">Dauda, M., Ajani, A., </w:t>
      </w:r>
      <w:proofErr w:type="spellStart"/>
      <w:r w:rsidRPr="00C95299">
        <w:rPr>
          <w:rFonts w:ascii="Times New Roman" w:hAnsi="Times New Roman"/>
          <w:b w:val="0"/>
          <w:i w:val="0"/>
          <w:color w:val="auto"/>
          <w:sz w:val="24"/>
          <w:szCs w:val="24"/>
          <w:shd w:val="clear" w:color="auto" w:fill="FFFFFF"/>
          <w:lang w:val="en-GB"/>
        </w:rPr>
        <w:t>Afolabı</w:t>
      </w:r>
      <w:proofErr w:type="spellEnd"/>
      <w:r w:rsidRPr="00C95299">
        <w:rPr>
          <w:rFonts w:ascii="Times New Roman" w:hAnsi="Times New Roman"/>
          <w:b w:val="0"/>
          <w:i w:val="0"/>
          <w:color w:val="auto"/>
          <w:sz w:val="24"/>
          <w:szCs w:val="24"/>
          <w:shd w:val="clear" w:color="auto" w:fill="FFFFFF"/>
          <w:lang w:val="en-GB"/>
        </w:rPr>
        <w:t>, T. J., &amp; Alade, A. (2023). Investigation of adsorptive removal of methylene blue from synthetic wastewater using polymeric composite</w:t>
      </w:r>
      <w:r w:rsidRPr="00C95299">
        <w:rPr>
          <w:rFonts w:ascii="Times New Roman" w:hAnsi="Times New Roman"/>
          <w:b w:val="0"/>
          <w:color w:val="auto"/>
          <w:sz w:val="24"/>
          <w:szCs w:val="24"/>
          <w:shd w:val="clear" w:color="auto" w:fill="FFFFFF"/>
          <w:lang w:val="en-GB"/>
        </w:rPr>
        <w:t>. </w:t>
      </w:r>
      <w:r w:rsidRPr="00C95299">
        <w:rPr>
          <w:rFonts w:ascii="Times New Roman" w:hAnsi="Times New Roman"/>
          <w:b w:val="0"/>
          <w:iCs w:val="0"/>
          <w:color w:val="auto"/>
          <w:sz w:val="24"/>
          <w:szCs w:val="24"/>
          <w:shd w:val="clear" w:color="auto" w:fill="FFFFFF"/>
          <w:lang w:val="en-GB"/>
        </w:rPr>
        <w:t>Journal of the Turkish Chemical Society Section A: Chemistry</w:t>
      </w:r>
      <w:r w:rsidRPr="00C95299">
        <w:rPr>
          <w:rFonts w:ascii="Times New Roman" w:hAnsi="Times New Roman"/>
          <w:b w:val="0"/>
          <w:color w:val="auto"/>
          <w:sz w:val="24"/>
          <w:szCs w:val="24"/>
          <w:shd w:val="clear" w:color="auto" w:fill="FFFFFF"/>
          <w:lang w:val="en-GB"/>
        </w:rPr>
        <w:t>, </w:t>
      </w:r>
      <w:r w:rsidRPr="00C95299">
        <w:rPr>
          <w:rFonts w:ascii="Times New Roman" w:hAnsi="Times New Roman"/>
          <w:b w:val="0"/>
          <w:i w:val="0"/>
          <w:iCs w:val="0"/>
          <w:color w:val="auto"/>
          <w:sz w:val="24"/>
          <w:szCs w:val="24"/>
          <w:shd w:val="clear" w:color="auto" w:fill="FFFFFF"/>
          <w:lang w:val="en-GB"/>
        </w:rPr>
        <w:t>10</w:t>
      </w:r>
      <w:r w:rsidRPr="00C95299">
        <w:rPr>
          <w:rFonts w:ascii="Times New Roman" w:hAnsi="Times New Roman"/>
          <w:b w:val="0"/>
          <w:i w:val="0"/>
          <w:color w:val="auto"/>
          <w:sz w:val="24"/>
          <w:szCs w:val="24"/>
          <w:shd w:val="clear" w:color="auto" w:fill="FFFFFF"/>
          <w:lang w:val="en-GB"/>
        </w:rPr>
        <w:t>(4), 961-974.</w:t>
      </w:r>
    </w:p>
    <w:p w14:paraId="28F22D6D" w14:textId="77777777" w:rsidR="00DB5150" w:rsidRPr="00C95299" w:rsidRDefault="00DB5150" w:rsidP="00DB5150">
      <w:pPr>
        <w:pStyle w:val="Heading2"/>
        <w:shd w:val="clear" w:color="auto" w:fill="FFFFFF"/>
        <w:ind w:left="720" w:hanging="720"/>
        <w:jc w:val="both"/>
        <w:rPr>
          <w:rFonts w:ascii="Times New Roman" w:hAnsi="Times New Roman"/>
          <w:b w:val="0"/>
          <w:color w:val="auto"/>
          <w:sz w:val="24"/>
          <w:szCs w:val="24"/>
          <w:shd w:val="clear" w:color="auto" w:fill="FFFFFF"/>
          <w:lang w:val="en-GB"/>
        </w:rPr>
      </w:pPr>
      <w:r w:rsidRPr="00C95299">
        <w:rPr>
          <w:rFonts w:ascii="Times New Roman" w:hAnsi="Times New Roman"/>
          <w:b w:val="0"/>
          <w:i w:val="0"/>
          <w:color w:val="auto"/>
          <w:sz w:val="24"/>
          <w:szCs w:val="24"/>
          <w:shd w:val="clear" w:color="auto" w:fill="FFFFFF"/>
          <w:lang w:val="en-GB"/>
        </w:rPr>
        <w:t>De Siqueira, A. C. (2012). The 2020 World Bank education strategy: Nothing new, or the same</w:t>
      </w:r>
      <w:r w:rsidRPr="00C95299">
        <w:rPr>
          <w:rFonts w:ascii="Times New Roman" w:hAnsi="Times New Roman"/>
          <w:b w:val="0"/>
          <w:color w:val="auto"/>
          <w:sz w:val="24"/>
          <w:szCs w:val="24"/>
          <w:shd w:val="clear" w:color="auto" w:fill="FFFFFF"/>
          <w:lang w:val="en-GB"/>
        </w:rPr>
        <w:t xml:space="preserve"> </w:t>
      </w:r>
      <w:r w:rsidRPr="00C95299">
        <w:rPr>
          <w:rFonts w:ascii="Times New Roman" w:hAnsi="Times New Roman"/>
          <w:b w:val="0"/>
          <w:i w:val="0"/>
          <w:color w:val="auto"/>
          <w:sz w:val="24"/>
          <w:szCs w:val="24"/>
          <w:shd w:val="clear" w:color="auto" w:fill="FFFFFF"/>
          <w:lang w:val="en-GB"/>
        </w:rPr>
        <w:t>old gospel</w:t>
      </w:r>
      <w:r w:rsidRPr="00C95299">
        <w:rPr>
          <w:rFonts w:ascii="Times New Roman" w:hAnsi="Times New Roman"/>
          <w:b w:val="0"/>
          <w:color w:val="auto"/>
          <w:sz w:val="24"/>
          <w:szCs w:val="24"/>
          <w:shd w:val="clear" w:color="auto" w:fill="FFFFFF"/>
          <w:lang w:val="en-GB"/>
        </w:rPr>
        <w:t>. In </w:t>
      </w:r>
      <w:r w:rsidRPr="00C95299">
        <w:rPr>
          <w:rFonts w:ascii="Times New Roman" w:hAnsi="Times New Roman"/>
          <w:b w:val="0"/>
          <w:iCs w:val="0"/>
          <w:color w:val="auto"/>
          <w:sz w:val="24"/>
          <w:szCs w:val="24"/>
          <w:shd w:val="clear" w:color="auto" w:fill="FFFFFF"/>
          <w:lang w:val="en-GB"/>
        </w:rPr>
        <w:t>The World Bank and Education</w:t>
      </w:r>
      <w:r w:rsidRPr="00C95299">
        <w:rPr>
          <w:rFonts w:ascii="Times New Roman" w:hAnsi="Times New Roman"/>
          <w:b w:val="0"/>
          <w:color w:val="auto"/>
          <w:sz w:val="24"/>
          <w:szCs w:val="24"/>
          <w:shd w:val="clear" w:color="auto" w:fill="FFFFFF"/>
          <w:lang w:val="en-GB"/>
        </w:rPr>
        <w:t> </w:t>
      </w:r>
      <w:r w:rsidRPr="00C95299">
        <w:rPr>
          <w:rFonts w:ascii="Times New Roman" w:hAnsi="Times New Roman"/>
          <w:b w:val="0"/>
          <w:i w:val="0"/>
          <w:color w:val="auto"/>
          <w:sz w:val="24"/>
          <w:szCs w:val="24"/>
          <w:shd w:val="clear" w:color="auto" w:fill="FFFFFF"/>
          <w:lang w:val="en-GB"/>
        </w:rPr>
        <w:t>(pp. 67-81). Brill.</w:t>
      </w:r>
    </w:p>
    <w:p w14:paraId="6DC56CB6" w14:textId="77777777" w:rsidR="00DB5150" w:rsidRPr="00C95299" w:rsidRDefault="00DB5150" w:rsidP="00DB5150">
      <w:pPr>
        <w:shd w:val="clear" w:color="auto" w:fill="FFFFFF" w:themeFill="background1"/>
        <w:ind w:left="720" w:right="26" w:hanging="720"/>
        <w:rPr>
          <w:rFonts w:ascii="Times New Roman" w:hAnsi="Times New Roman"/>
          <w:sz w:val="24"/>
          <w:szCs w:val="24"/>
          <w:shd w:val="clear" w:color="auto" w:fill="FFFFFF"/>
          <w:lang w:val="en-GB"/>
        </w:rPr>
      </w:pPr>
      <w:proofErr w:type="spellStart"/>
      <w:r w:rsidRPr="00C95299">
        <w:rPr>
          <w:rFonts w:ascii="Times New Roman" w:hAnsi="Times New Roman"/>
          <w:sz w:val="24"/>
          <w:szCs w:val="24"/>
          <w:shd w:val="clear" w:color="auto" w:fill="FFFFFF"/>
          <w:lang w:val="en-GB"/>
        </w:rPr>
        <w:t>Ezeah</w:t>
      </w:r>
      <w:proofErr w:type="spellEnd"/>
      <w:r w:rsidRPr="00C95299">
        <w:rPr>
          <w:rFonts w:ascii="Times New Roman" w:hAnsi="Times New Roman"/>
          <w:sz w:val="24"/>
          <w:szCs w:val="24"/>
          <w:shd w:val="clear" w:color="auto" w:fill="FFFFFF"/>
          <w:lang w:val="en-GB"/>
        </w:rPr>
        <w:t>, C., &amp; Roberts, C. L. (2012). Analysis of barriers and success factors affecting the adoption of sustainable management of municipal solid waste in Nigeria. </w:t>
      </w:r>
      <w:r w:rsidRPr="00C95299">
        <w:rPr>
          <w:rFonts w:ascii="Times New Roman" w:hAnsi="Times New Roman"/>
          <w:i/>
          <w:iCs/>
          <w:sz w:val="24"/>
          <w:szCs w:val="24"/>
          <w:shd w:val="clear" w:color="auto" w:fill="FFFFFF"/>
          <w:lang w:val="en-GB"/>
        </w:rPr>
        <w:t>Journal of environmental management</w:t>
      </w:r>
      <w:r w:rsidRPr="00C95299">
        <w:rPr>
          <w:rFonts w:ascii="Times New Roman" w:hAnsi="Times New Roman"/>
          <w:sz w:val="24"/>
          <w:szCs w:val="24"/>
          <w:shd w:val="clear" w:color="auto" w:fill="FFFFFF"/>
          <w:lang w:val="en-GB"/>
        </w:rPr>
        <w:t>, </w:t>
      </w:r>
      <w:r w:rsidRPr="00C95299">
        <w:rPr>
          <w:rFonts w:ascii="Times New Roman" w:hAnsi="Times New Roman"/>
          <w:i/>
          <w:iCs/>
          <w:sz w:val="24"/>
          <w:szCs w:val="24"/>
          <w:shd w:val="clear" w:color="auto" w:fill="FFFFFF"/>
          <w:lang w:val="en-GB"/>
        </w:rPr>
        <w:t>103</w:t>
      </w:r>
      <w:r w:rsidRPr="00C95299">
        <w:rPr>
          <w:rFonts w:ascii="Times New Roman" w:hAnsi="Times New Roman"/>
          <w:sz w:val="24"/>
          <w:szCs w:val="24"/>
          <w:shd w:val="clear" w:color="auto" w:fill="FFFFFF"/>
          <w:lang w:val="en-GB"/>
        </w:rPr>
        <w:t>, 9-14.</w:t>
      </w:r>
    </w:p>
    <w:p w14:paraId="49E87236" w14:textId="77777777" w:rsidR="00DB5150" w:rsidRPr="00C95299" w:rsidRDefault="00DB5150" w:rsidP="00DB5150">
      <w:pPr>
        <w:spacing w:after="0" w:line="240" w:lineRule="auto"/>
        <w:ind w:left="1080" w:right="0" w:hanging="1080"/>
        <w:rPr>
          <w:rFonts w:ascii="Times New Roman" w:hAnsi="Times New Roman"/>
          <w:sz w:val="24"/>
          <w:szCs w:val="24"/>
          <w:lang w:val="en-GB"/>
        </w:rPr>
      </w:pPr>
      <w:r w:rsidRPr="00C95299">
        <w:rPr>
          <w:rFonts w:ascii="Times New Roman" w:hAnsi="Times New Roman"/>
          <w:sz w:val="24"/>
          <w:szCs w:val="24"/>
          <w:shd w:val="clear" w:color="auto" w:fill="FFFFFF"/>
          <w:lang w:val="en-GB"/>
        </w:rPr>
        <w:t xml:space="preserve">Ihuoma, S. O., Madramootoo, C. A., &amp; </w:t>
      </w:r>
      <w:proofErr w:type="spellStart"/>
      <w:r w:rsidRPr="00C95299">
        <w:rPr>
          <w:rFonts w:ascii="Times New Roman" w:hAnsi="Times New Roman"/>
          <w:sz w:val="24"/>
          <w:szCs w:val="24"/>
          <w:shd w:val="clear" w:color="auto" w:fill="FFFFFF"/>
          <w:lang w:val="en-GB"/>
        </w:rPr>
        <w:t>Kalacska</w:t>
      </w:r>
      <w:proofErr w:type="spellEnd"/>
      <w:r w:rsidRPr="00C95299">
        <w:rPr>
          <w:rFonts w:ascii="Times New Roman" w:hAnsi="Times New Roman"/>
          <w:sz w:val="24"/>
          <w:szCs w:val="24"/>
          <w:shd w:val="clear" w:color="auto" w:fill="FFFFFF"/>
          <w:lang w:val="en-GB"/>
        </w:rPr>
        <w:t>, M. (2021). Integration of satellite imagery and in situ soil moisture data for estimating irrigation water requirements. </w:t>
      </w:r>
      <w:r w:rsidRPr="00C95299">
        <w:rPr>
          <w:rFonts w:ascii="Times New Roman" w:hAnsi="Times New Roman"/>
          <w:i/>
          <w:iCs/>
          <w:sz w:val="24"/>
          <w:szCs w:val="24"/>
          <w:shd w:val="clear" w:color="auto" w:fill="FFFFFF"/>
          <w:lang w:val="en-GB"/>
        </w:rPr>
        <w:t>International Journal of Applied Earth Observation and Geoinformation</w:t>
      </w:r>
      <w:r w:rsidRPr="00C95299">
        <w:rPr>
          <w:rFonts w:ascii="Times New Roman" w:hAnsi="Times New Roman"/>
          <w:sz w:val="24"/>
          <w:szCs w:val="24"/>
          <w:shd w:val="clear" w:color="auto" w:fill="FFFFFF"/>
          <w:lang w:val="en-GB"/>
        </w:rPr>
        <w:t>, </w:t>
      </w:r>
      <w:r w:rsidRPr="00C95299">
        <w:rPr>
          <w:rFonts w:ascii="Times New Roman" w:hAnsi="Times New Roman"/>
          <w:i/>
          <w:iCs/>
          <w:sz w:val="24"/>
          <w:szCs w:val="24"/>
          <w:shd w:val="clear" w:color="auto" w:fill="FFFFFF"/>
          <w:lang w:val="en-GB"/>
        </w:rPr>
        <w:t>102</w:t>
      </w:r>
      <w:r w:rsidRPr="00C95299">
        <w:rPr>
          <w:rFonts w:ascii="Times New Roman" w:hAnsi="Times New Roman"/>
          <w:sz w:val="24"/>
          <w:szCs w:val="24"/>
          <w:shd w:val="clear" w:color="auto" w:fill="FFFFFF"/>
          <w:lang w:val="en-GB"/>
        </w:rPr>
        <w:t>, 102396.</w:t>
      </w:r>
    </w:p>
    <w:p w14:paraId="75725143" w14:textId="77777777" w:rsidR="00DB5150" w:rsidRPr="00C95299" w:rsidRDefault="00DB5150" w:rsidP="00DB5150">
      <w:pPr>
        <w:spacing w:after="0" w:line="240" w:lineRule="auto"/>
        <w:ind w:left="1080" w:right="0" w:hanging="1080"/>
        <w:rPr>
          <w:rFonts w:ascii="Times New Roman" w:hAnsi="Times New Roman"/>
          <w:sz w:val="24"/>
          <w:szCs w:val="24"/>
          <w:lang w:val="en-GB"/>
        </w:rPr>
      </w:pPr>
      <w:proofErr w:type="spellStart"/>
      <w:r w:rsidRPr="00C95299">
        <w:rPr>
          <w:rFonts w:ascii="Times New Roman" w:hAnsi="Times New Roman"/>
          <w:sz w:val="24"/>
          <w:szCs w:val="24"/>
          <w:lang w:val="en-GB"/>
        </w:rPr>
        <w:t>Ikebude</w:t>
      </w:r>
      <w:proofErr w:type="spellEnd"/>
      <w:r w:rsidRPr="00C95299">
        <w:rPr>
          <w:rFonts w:ascii="Times New Roman" w:hAnsi="Times New Roman"/>
          <w:sz w:val="24"/>
          <w:szCs w:val="24"/>
          <w:lang w:val="en-GB"/>
        </w:rPr>
        <w:t xml:space="preserve">, C.F. (2017). Feasibility study on solid waste management in Port Harcourt metropolis: causes, effect and possible solutions. </w:t>
      </w:r>
      <w:r w:rsidRPr="00C95299">
        <w:rPr>
          <w:rFonts w:ascii="Times New Roman" w:hAnsi="Times New Roman"/>
          <w:i/>
          <w:sz w:val="24"/>
          <w:szCs w:val="24"/>
          <w:lang w:val="en-GB"/>
        </w:rPr>
        <w:t>Nigerian Journal of Technology, 36</w:t>
      </w:r>
      <w:r w:rsidRPr="00C95299">
        <w:rPr>
          <w:rFonts w:ascii="Times New Roman" w:hAnsi="Times New Roman"/>
          <w:sz w:val="24"/>
          <w:szCs w:val="24"/>
          <w:lang w:val="en-GB"/>
        </w:rPr>
        <w:t xml:space="preserve">(1), 276-281. </w:t>
      </w:r>
    </w:p>
    <w:p w14:paraId="3DA47AC4" w14:textId="77777777" w:rsidR="00DB5150" w:rsidRPr="00C95299" w:rsidRDefault="00DB5150" w:rsidP="00DB5150">
      <w:pPr>
        <w:spacing w:after="0" w:line="240" w:lineRule="auto"/>
        <w:ind w:left="990" w:right="0" w:hanging="990"/>
        <w:rPr>
          <w:rFonts w:ascii="Times New Roman" w:hAnsi="Times New Roman"/>
          <w:sz w:val="24"/>
          <w:szCs w:val="24"/>
          <w:lang w:val="en-GB"/>
        </w:rPr>
      </w:pPr>
      <w:r w:rsidRPr="00C95299">
        <w:rPr>
          <w:rFonts w:ascii="Times New Roman" w:hAnsi="Times New Roman"/>
          <w:sz w:val="24"/>
          <w:szCs w:val="24"/>
          <w:shd w:val="clear" w:color="auto" w:fill="FFFFFF"/>
          <w:lang w:val="en-GB"/>
        </w:rPr>
        <w:lastRenderedPageBreak/>
        <w:t>Imam, A., Mohammed, B., Wilson, D. C., &amp; Cheeseman, C. R. (2008). Solid waste management in Abuja, Nigeria. </w:t>
      </w:r>
      <w:r w:rsidRPr="00C95299">
        <w:rPr>
          <w:rFonts w:ascii="Times New Roman" w:hAnsi="Times New Roman"/>
          <w:i/>
          <w:iCs/>
          <w:sz w:val="24"/>
          <w:szCs w:val="24"/>
          <w:shd w:val="clear" w:color="auto" w:fill="FFFFFF"/>
          <w:lang w:val="en-GB"/>
        </w:rPr>
        <w:t>Waste management</w:t>
      </w:r>
      <w:r w:rsidRPr="00C95299">
        <w:rPr>
          <w:rFonts w:ascii="Times New Roman" w:hAnsi="Times New Roman"/>
          <w:sz w:val="24"/>
          <w:szCs w:val="24"/>
          <w:shd w:val="clear" w:color="auto" w:fill="FFFFFF"/>
          <w:lang w:val="en-GB"/>
        </w:rPr>
        <w:t>, </w:t>
      </w:r>
      <w:r w:rsidRPr="00C95299">
        <w:rPr>
          <w:rFonts w:ascii="Times New Roman" w:hAnsi="Times New Roman"/>
          <w:i/>
          <w:iCs/>
          <w:sz w:val="24"/>
          <w:szCs w:val="24"/>
          <w:shd w:val="clear" w:color="auto" w:fill="FFFFFF"/>
          <w:lang w:val="en-GB"/>
        </w:rPr>
        <w:t>28</w:t>
      </w:r>
      <w:r w:rsidRPr="00C95299">
        <w:rPr>
          <w:rFonts w:ascii="Times New Roman" w:hAnsi="Times New Roman"/>
          <w:sz w:val="24"/>
          <w:szCs w:val="24"/>
          <w:shd w:val="clear" w:color="auto" w:fill="FFFFFF"/>
          <w:lang w:val="en-GB"/>
        </w:rPr>
        <w:t>(2), 468-472.</w:t>
      </w:r>
    </w:p>
    <w:p w14:paraId="6A067BC1" w14:textId="77777777" w:rsidR="00DB5150" w:rsidRPr="00C95299" w:rsidRDefault="00DB5150" w:rsidP="00DB5150">
      <w:pPr>
        <w:spacing w:after="0" w:line="240" w:lineRule="auto"/>
        <w:ind w:left="990" w:right="0" w:hanging="990"/>
        <w:rPr>
          <w:rFonts w:ascii="Times New Roman" w:hAnsi="Times New Roman"/>
          <w:sz w:val="24"/>
          <w:szCs w:val="24"/>
          <w:lang w:val="en-GB"/>
        </w:rPr>
      </w:pPr>
      <w:proofErr w:type="spellStart"/>
      <w:r w:rsidRPr="00C95299">
        <w:rPr>
          <w:rFonts w:ascii="Times New Roman" w:hAnsi="Times New Roman"/>
          <w:sz w:val="24"/>
          <w:szCs w:val="24"/>
          <w:lang w:val="en-GB"/>
        </w:rPr>
        <w:t>Leton</w:t>
      </w:r>
      <w:proofErr w:type="spellEnd"/>
      <w:r w:rsidRPr="00C95299">
        <w:rPr>
          <w:rFonts w:ascii="Times New Roman" w:hAnsi="Times New Roman"/>
          <w:sz w:val="24"/>
          <w:szCs w:val="24"/>
          <w:lang w:val="en-GB"/>
        </w:rPr>
        <w:t>, T. G. (2007). Water and waste water engineering. The Pearls publishers, Port Harcourt, Rivers State, Nigeria.</w:t>
      </w:r>
    </w:p>
    <w:p w14:paraId="15C6910E" w14:textId="77777777" w:rsidR="00DB5150" w:rsidRPr="00C95299" w:rsidRDefault="00DB5150" w:rsidP="00DB5150">
      <w:pPr>
        <w:spacing w:after="0" w:line="240" w:lineRule="auto"/>
        <w:ind w:left="720" w:right="0" w:hanging="720"/>
        <w:rPr>
          <w:rFonts w:ascii="Times New Roman" w:eastAsia="Times New Roman" w:hAnsi="Times New Roman"/>
          <w:sz w:val="24"/>
          <w:szCs w:val="24"/>
          <w:lang w:val="en-GB"/>
        </w:rPr>
      </w:pPr>
      <w:r w:rsidRPr="00C95299">
        <w:rPr>
          <w:rFonts w:ascii="Times New Roman" w:hAnsi="Times New Roman"/>
          <w:sz w:val="24"/>
          <w:szCs w:val="24"/>
          <w:lang w:val="en-GB"/>
        </w:rPr>
        <w:t xml:space="preserve">Mmom, P.C. &amp; </w:t>
      </w:r>
      <w:proofErr w:type="spellStart"/>
      <w:r w:rsidRPr="00C95299">
        <w:rPr>
          <w:rFonts w:ascii="Times New Roman" w:hAnsi="Times New Roman"/>
          <w:sz w:val="24"/>
          <w:szCs w:val="24"/>
          <w:lang w:val="en-GB"/>
        </w:rPr>
        <w:t>Mbee</w:t>
      </w:r>
      <w:proofErr w:type="spellEnd"/>
      <w:r w:rsidRPr="00C95299">
        <w:rPr>
          <w:rFonts w:ascii="Times New Roman" w:hAnsi="Times New Roman"/>
          <w:sz w:val="24"/>
          <w:szCs w:val="24"/>
          <w:lang w:val="en-GB"/>
        </w:rPr>
        <w:t xml:space="preserve">, M.D. (2013). Impact of Landfill Site on real Estate Values in Port Harcourt </w:t>
      </w:r>
      <w:proofErr w:type="spellStart"/>
      <w:r w:rsidRPr="00C95299">
        <w:rPr>
          <w:rFonts w:ascii="Times New Roman" w:hAnsi="Times New Roman"/>
          <w:sz w:val="24"/>
          <w:szCs w:val="24"/>
          <w:lang w:val="en-GB"/>
        </w:rPr>
        <w:t>Metroplois</w:t>
      </w:r>
      <w:proofErr w:type="spellEnd"/>
      <w:r w:rsidRPr="00C95299">
        <w:rPr>
          <w:rFonts w:ascii="Times New Roman" w:hAnsi="Times New Roman"/>
          <w:sz w:val="24"/>
          <w:szCs w:val="24"/>
          <w:lang w:val="en-GB"/>
        </w:rPr>
        <w:t>, Nigeria. </w:t>
      </w:r>
      <w:r w:rsidRPr="00C95299">
        <w:rPr>
          <w:rFonts w:ascii="Times New Roman" w:hAnsi="Times New Roman"/>
          <w:i/>
          <w:sz w:val="24"/>
          <w:szCs w:val="24"/>
          <w:lang w:val="en-GB"/>
        </w:rPr>
        <w:t xml:space="preserve">Journal Humanity and Social Science, </w:t>
      </w:r>
      <w:r w:rsidRPr="00C95299">
        <w:rPr>
          <w:rFonts w:ascii="Times New Roman" w:hAnsi="Times New Roman"/>
          <w:b/>
          <w:sz w:val="24"/>
          <w:szCs w:val="24"/>
          <w:lang w:val="en-GB"/>
        </w:rPr>
        <w:t>10</w:t>
      </w:r>
      <w:r w:rsidRPr="00C95299">
        <w:rPr>
          <w:rFonts w:ascii="Times New Roman" w:hAnsi="Times New Roman"/>
          <w:sz w:val="24"/>
          <w:szCs w:val="24"/>
          <w:lang w:val="en-GB"/>
        </w:rPr>
        <w:t>, 34–39. </w:t>
      </w:r>
      <w:r w:rsidRPr="00C95299">
        <w:rPr>
          <w:rFonts w:ascii="Times New Roman" w:hAnsi="Times New Roman"/>
          <w:sz w:val="24"/>
          <w:szCs w:val="24"/>
          <w:shd w:val="clear" w:color="auto" w:fill="FFFFFF"/>
          <w:lang w:val="en-GB"/>
        </w:rPr>
        <w:t>DOI: </w:t>
      </w:r>
      <w:hyperlink r:id="rId13" w:tgtFrame="_blank" w:history="1">
        <w:r w:rsidRPr="00C95299">
          <w:rPr>
            <w:rFonts w:ascii="Times New Roman" w:hAnsi="Times New Roman"/>
            <w:sz w:val="24"/>
            <w:szCs w:val="24"/>
            <w:bdr w:val="single" w:sz="2" w:space="0" w:color="auto"/>
            <w:shd w:val="clear" w:color="auto" w:fill="FFFFFF"/>
            <w:lang w:val="en-GB"/>
          </w:rPr>
          <w:t>10.9790/0837-1063439</w:t>
        </w:r>
      </w:hyperlink>
    </w:p>
    <w:p w14:paraId="7DB775D0" w14:textId="77777777" w:rsidR="00DB5150" w:rsidRPr="00C95299" w:rsidRDefault="00DB5150" w:rsidP="00DB5150">
      <w:pPr>
        <w:spacing w:after="0" w:line="240" w:lineRule="auto"/>
        <w:ind w:left="720" w:right="0" w:hanging="720"/>
        <w:rPr>
          <w:rFonts w:ascii="Times New Roman" w:eastAsia="Times New Roman" w:hAnsi="Times New Roman"/>
          <w:sz w:val="24"/>
          <w:szCs w:val="24"/>
          <w:lang w:val="en-GB"/>
        </w:rPr>
      </w:pPr>
      <w:proofErr w:type="spellStart"/>
      <w:r w:rsidRPr="00C95299">
        <w:rPr>
          <w:rFonts w:ascii="Times New Roman" w:hAnsi="Times New Roman"/>
          <w:sz w:val="24"/>
          <w:szCs w:val="24"/>
          <w:lang w:val="en-GB"/>
        </w:rPr>
        <w:t>Muoghalu</w:t>
      </w:r>
      <w:proofErr w:type="spellEnd"/>
      <w:r w:rsidRPr="00C95299">
        <w:rPr>
          <w:rFonts w:ascii="Times New Roman" w:hAnsi="Times New Roman"/>
          <w:sz w:val="24"/>
          <w:szCs w:val="24"/>
          <w:lang w:val="en-GB"/>
        </w:rPr>
        <w:t xml:space="preserve">, L.N. (2004). Environmental Problems and their Effects on Human Life: From Awareness to Action. </w:t>
      </w:r>
      <w:r w:rsidRPr="00C95299">
        <w:rPr>
          <w:rFonts w:ascii="Times New Roman" w:hAnsi="Times New Roman"/>
          <w:i/>
          <w:sz w:val="24"/>
          <w:szCs w:val="24"/>
          <w:lang w:val="en-GB"/>
        </w:rPr>
        <w:t>In</w:t>
      </w:r>
      <w:r w:rsidRPr="00C95299">
        <w:rPr>
          <w:rFonts w:ascii="Times New Roman" w:hAnsi="Times New Roman"/>
          <w:sz w:val="24"/>
          <w:szCs w:val="24"/>
          <w:lang w:val="en-GB"/>
        </w:rPr>
        <w:t xml:space="preserve"> H.C. Mba </w:t>
      </w:r>
      <w:r w:rsidRPr="00C95299">
        <w:rPr>
          <w:rFonts w:ascii="Times New Roman" w:hAnsi="Times New Roman"/>
          <w:i/>
          <w:sz w:val="24"/>
          <w:szCs w:val="24"/>
          <w:lang w:val="en-GB"/>
        </w:rPr>
        <w:t>et al.</w:t>
      </w:r>
      <w:r w:rsidRPr="00C95299">
        <w:rPr>
          <w:rFonts w:ascii="Times New Roman" w:hAnsi="Times New Roman"/>
          <w:sz w:val="24"/>
          <w:szCs w:val="24"/>
          <w:lang w:val="en-GB"/>
        </w:rPr>
        <w:t xml:space="preserve">, (eds) </w:t>
      </w:r>
      <w:r w:rsidRPr="00C95299">
        <w:rPr>
          <w:rFonts w:ascii="Times New Roman" w:hAnsi="Times New Roman"/>
          <w:i/>
          <w:sz w:val="24"/>
          <w:szCs w:val="24"/>
          <w:lang w:val="en-GB"/>
        </w:rPr>
        <w:t>Ibid</w:t>
      </w:r>
      <w:r w:rsidRPr="00C95299">
        <w:rPr>
          <w:rFonts w:ascii="Times New Roman" w:hAnsi="Times New Roman"/>
          <w:sz w:val="24"/>
          <w:szCs w:val="24"/>
          <w:lang w:val="en-GB"/>
        </w:rPr>
        <w:t>., 93-107.</w:t>
      </w:r>
    </w:p>
    <w:p w14:paraId="022FA174" w14:textId="77777777" w:rsidR="00DB5150" w:rsidRPr="00C95299" w:rsidRDefault="00DB5150" w:rsidP="00DB5150">
      <w:pPr>
        <w:spacing w:after="0" w:line="240" w:lineRule="auto"/>
        <w:ind w:left="720" w:right="0" w:hanging="720"/>
        <w:rPr>
          <w:rFonts w:ascii="Times New Roman" w:eastAsia="Times New Roman" w:hAnsi="Times New Roman"/>
          <w:sz w:val="24"/>
          <w:szCs w:val="24"/>
          <w:lang w:val="en-GB"/>
        </w:rPr>
      </w:pPr>
      <w:proofErr w:type="spellStart"/>
      <w:r w:rsidRPr="00C95299">
        <w:rPr>
          <w:rFonts w:ascii="Times New Roman" w:hAnsi="Times New Roman"/>
          <w:sz w:val="24"/>
          <w:szCs w:val="24"/>
          <w:shd w:val="clear" w:color="auto" w:fill="FFFFFF"/>
          <w:lang w:val="en-GB"/>
        </w:rPr>
        <w:t>Nabegu</w:t>
      </w:r>
      <w:proofErr w:type="spellEnd"/>
      <w:r w:rsidRPr="00C95299">
        <w:rPr>
          <w:rFonts w:ascii="Times New Roman" w:hAnsi="Times New Roman"/>
          <w:sz w:val="24"/>
          <w:szCs w:val="24"/>
          <w:shd w:val="clear" w:color="auto" w:fill="FFFFFF"/>
          <w:lang w:val="en-GB"/>
        </w:rPr>
        <w:t>, A. B. (2010). An analysis of municipal solid waste in Kano metropolis, Nigeria. </w:t>
      </w:r>
      <w:r w:rsidRPr="00C95299">
        <w:rPr>
          <w:rFonts w:ascii="Times New Roman" w:hAnsi="Times New Roman"/>
          <w:i/>
          <w:iCs/>
          <w:sz w:val="24"/>
          <w:szCs w:val="24"/>
          <w:shd w:val="clear" w:color="auto" w:fill="FFFFFF"/>
          <w:lang w:val="en-GB"/>
        </w:rPr>
        <w:t>Journal of Human Ecology</w:t>
      </w:r>
      <w:r w:rsidRPr="00C95299">
        <w:rPr>
          <w:rFonts w:ascii="Times New Roman" w:hAnsi="Times New Roman"/>
          <w:sz w:val="24"/>
          <w:szCs w:val="24"/>
          <w:shd w:val="clear" w:color="auto" w:fill="FFFFFF"/>
          <w:lang w:val="en-GB"/>
        </w:rPr>
        <w:t>, </w:t>
      </w:r>
      <w:r w:rsidRPr="00C95299">
        <w:rPr>
          <w:rFonts w:ascii="Times New Roman" w:hAnsi="Times New Roman"/>
          <w:i/>
          <w:iCs/>
          <w:sz w:val="24"/>
          <w:szCs w:val="24"/>
          <w:shd w:val="clear" w:color="auto" w:fill="FFFFFF"/>
          <w:lang w:val="en-GB"/>
        </w:rPr>
        <w:t>31</w:t>
      </w:r>
      <w:r w:rsidRPr="00C95299">
        <w:rPr>
          <w:rFonts w:ascii="Times New Roman" w:hAnsi="Times New Roman"/>
          <w:sz w:val="24"/>
          <w:szCs w:val="24"/>
          <w:shd w:val="clear" w:color="auto" w:fill="FFFFFF"/>
          <w:lang w:val="en-GB"/>
        </w:rPr>
        <w:t>(2), 111-119.</w:t>
      </w:r>
    </w:p>
    <w:p w14:paraId="7851A066" w14:textId="77777777" w:rsidR="00DB5150" w:rsidRPr="00C95299" w:rsidRDefault="00DB5150" w:rsidP="00DB5150">
      <w:pPr>
        <w:spacing w:after="0" w:line="240" w:lineRule="auto"/>
        <w:ind w:left="720" w:right="0" w:hanging="720"/>
        <w:rPr>
          <w:rFonts w:ascii="Times New Roman" w:eastAsia="Times New Roman" w:hAnsi="Times New Roman"/>
          <w:sz w:val="24"/>
          <w:szCs w:val="24"/>
          <w:lang w:val="en-GB"/>
        </w:rPr>
      </w:pPr>
      <w:proofErr w:type="spellStart"/>
      <w:r w:rsidRPr="00C95299">
        <w:rPr>
          <w:rFonts w:ascii="Times New Roman" w:hAnsi="Times New Roman"/>
          <w:sz w:val="24"/>
          <w:szCs w:val="24"/>
          <w:shd w:val="clear" w:color="auto" w:fill="FFFFFF"/>
          <w:lang w:val="en-GB"/>
        </w:rPr>
        <w:t>Nzeadibe</w:t>
      </w:r>
      <w:proofErr w:type="spellEnd"/>
      <w:r w:rsidRPr="00C95299">
        <w:rPr>
          <w:rFonts w:ascii="Times New Roman" w:hAnsi="Times New Roman"/>
          <w:sz w:val="24"/>
          <w:szCs w:val="24"/>
          <w:shd w:val="clear" w:color="auto" w:fill="FFFFFF"/>
          <w:lang w:val="en-GB"/>
        </w:rPr>
        <w:t xml:space="preserve">, T. C., &amp; </w:t>
      </w:r>
      <w:proofErr w:type="spellStart"/>
      <w:r w:rsidRPr="00C95299">
        <w:rPr>
          <w:rFonts w:ascii="Times New Roman" w:hAnsi="Times New Roman"/>
          <w:sz w:val="24"/>
          <w:szCs w:val="24"/>
          <w:shd w:val="clear" w:color="auto" w:fill="FFFFFF"/>
          <w:lang w:val="en-GB"/>
        </w:rPr>
        <w:t>Ajaero</w:t>
      </w:r>
      <w:proofErr w:type="spellEnd"/>
      <w:r w:rsidRPr="00C95299">
        <w:rPr>
          <w:rFonts w:ascii="Times New Roman" w:hAnsi="Times New Roman"/>
          <w:sz w:val="24"/>
          <w:szCs w:val="24"/>
          <w:shd w:val="clear" w:color="auto" w:fill="FFFFFF"/>
          <w:lang w:val="en-GB"/>
        </w:rPr>
        <w:t>, C. K. (2010). Informal waste recycling and urban governance in Nigeria: Some experiences and policy implications. </w:t>
      </w:r>
      <w:r w:rsidRPr="00C95299">
        <w:rPr>
          <w:rFonts w:ascii="Times New Roman" w:hAnsi="Times New Roman"/>
          <w:i/>
          <w:iCs/>
          <w:sz w:val="24"/>
          <w:szCs w:val="24"/>
          <w:shd w:val="clear" w:color="auto" w:fill="FFFFFF"/>
          <w:lang w:val="en-GB"/>
        </w:rPr>
        <w:t>Handbook of environmental policy</w:t>
      </w:r>
      <w:r w:rsidRPr="00C95299">
        <w:rPr>
          <w:rFonts w:ascii="Times New Roman" w:hAnsi="Times New Roman"/>
          <w:sz w:val="24"/>
          <w:szCs w:val="24"/>
          <w:shd w:val="clear" w:color="auto" w:fill="FFFFFF"/>
          <w:lang w:val="en-GB"/>
        </w:rPr>
        <w:t>, 245-264.</w:t>
      </w:r>
    </w:p>
    <w:p w14:paraId="6E837146" w14:textId="77777777" w:rsidR="00DB5150" w:rsidRPr="00C95299" w:rsidRDefault="00DB5150" w:rsidP="00DB5150">
      <w:pPr>
        <w:spacing w:after="0" w:line="240" w:lineRule="auto"/>
        <w:ind w:left="720" w:right="0" w:hanging="720"/>
        <w:rPr>
          <w:rFonts w:ascii="Times New Roman" w:eastAsia="Times New Roman" w:hAnsi="Times New Roman"/>
          <w:sz w:val="24"/>
          <w:szCs w:val="24"/>
          <w:lang w:val="en-GB"/>
        </w:rPr>
      </w:pPr>
      <w:proofErr w:type="spellStart"/>
      <w:r w:rsidRPr="00C95299">
        <w:rPr>
          <w:rFonts w:ascii="Times New Roman" w:hAnsi="Times New Roman"/>
          <w:sz w:val="24"/>
          <w:szCs w:val="24"/>
          <w:shd w:val="clear" w:color="auto" w:fill="FFFFFF"/>
          <w:lang w:val="en-GB"/>
        </w:rPr>
        <w:t>Odewunmi</w:t>
      </w:r>
      <w:proofErr w:type="spellEnd"/>
      <w:r w:rsidRPr="00C95299">
        <w:rPr>
          <w:rFonts w:ascii="Times New Roman" w:hAnsi="Times New Roman"/>
          <w:sz w:val="24"/>
          <w:szCs w:val="24"/>
          <w:shd w:val="clear" w:color="auto" w:fill="FFFFFF"/>
          <w:lang w:val="en-GB"/>
        </w:rPr>
        <w:t>, N. A., Umoren, S. A., &amp; Gasem, Z. M. (2015). Watermelon waste products as green corrosion inhibitors for mild steel in HCl solution. </w:t>
      </w:r>
      <w:r w:rsidRPr="00C95299">
        <w:rPr>
          <w:rFonts w:ascii="Times New Roman" w:hAnsi="Times New Roman"/>
          <w:i/>
          <w:iCs/>
          <w:sz w:val="24"/>
          <w:szCs w:val="24"/>
          <w:shd w:val="clear" w:color="auto" w:fill="FFFFFF"/>
          <w:lang w:val="en-GB"/>
        </w:rPr>
        <w:t>Journal of Environmental Chemical Engineering</w:t>
      </w:r>
      <w:r w:rsidRPr="00C95299">
        <w:rPr>
          <w:rFonts w:ascii="Times New Roman" w:hAnsi="Times New Roman"/>
          <w:sz w:val="24"/>
          <w:szCs w:val="24"/>
          <w:shd w:val="clear" w:color="auto" w:fill="FFFFFF"/>
          <w:lang w:val="en-GB"/>
        </w:rPr>
        <w:t>, </w:t>
      </w:r>
      <w:r w:rsidRPr="00C95299">
        <w:rPr>
          <w:rFonts w:ascii="Times New Roman" w:hAnsi="Times New Roman"/>
          <w:i/>
          <w:iCs/>
          <w:sz w:val="24"/>
          <w:szCs w:val="24"/>
          <w:shd w:val="clear" w:color="auto" w:fill="FFFFFF"/>
          <w:lang w:val="en-GB"/>
        </w:rPr>
        <w:t>3</w:t>
      </w:r>
      <w:r w:rsidRPr="00C95299">
        <w:rPr>
          <w:rFonts w:ascii="Times New Roman" w:hAnsi="Times New Roman"/>
          <w:sz w:val="24"/>
          <w:szCs w:val="24"/>
          <w:shd w:val="clear" w:color="auto" w:fill="FFFFFF"/>
          <w:lang w:val="en-GB"/>
        </w:rPr>
        <w:t>(1), 286-296.</w:t>
      </w:r>
    </w:p>
    <w:p w14:paraId="439D83E3" w14:textId="77777777" w:rsidR="00DB5150" w:rsidRPr="00C95299" w:rsidRDefault="00DB5150" w:rsidP="00DB5150">
      <w:pPr>
        <w:spacing w:after="0" w:line="240" w:lineRule="auto"/>
        <w:ind w:left="720" w:right="0" w:hanging="720"/>
        <w:rPr>
          <w:rFonts w:ascii="Times New Roman" w:eastAsia="Times New Roman" w:hAnsi="Times New Roman"/>
          <w:sz w:val="24"/>
          <w:szCs w:val="24"/>
          <w:lang w:val="en-GB"/>
        </w:rPr>
      </w:pPr>
      <w:r w:rsidRPr="00C95299">
        <w:rPr>
          <w:rFonts w:ascii="Times New Roman" w:hAnsi="Times New Roman"/>
          <w:sz w:val="24"/>
          <w:szCs w:val="24"/>
          <w:lang w:val="en-GB"/>
        </w:rPr>
        <w:t xml:space="preserve">Odiana, S., &amp; Olorunfemi, I. (2021). An Overview of Solid Waste in Nigeria: Challenges and Management. </w:t>
      </w:r>
      <w:r w:rsidRPr="00C95299">
        <w:rPr>
          <w:rFonts w:ascii="Times New Roman" w:hAnsi="Times New Roman"/>
          <w:i/>
          <w:iCs/>
          <w:sz w:val="24"/>
          <w:szCs w:val="24"/>
          <w:lang w:val="en-GB"/>
        </w:rPr>
        <w:t>Jordan Journal of Earth and Environmental Sciences (JJEES), 12</w:t>
      </w:r>
      <w:r w:rsidRPr="00C95299">
        <w:rPr>
          <w:rFonts w:ascii="Times New Roman" w:hAnsi="Times New Roman"/>
          <w:iCs/>
          <w:sz w:val="24"/>
          <w:szCs w:val="24"/>
          <w:lang w:val="en-GB"/>
        </w:rPr>
        <w:t>(1),</w:t>
      </w:r>
      <w:r w:rsidRPr="00C95299">
        <w:rPr>
          <w:rFonts w:ascii="Times New Roman" w:hAnsi="Times New Roman"/>
          <w:i/>
          <w:iCs/>
          <w:sz w:val="24"/>
          <w:szCs w:val="24"/>
          <w:lang w:val="en-GB"/>
        </w:rPr>
        <w:t xml:space="preserve"> </w:t>
      </w:r>
      <w:r w:rsidRPr="00C95299">
        <w:rPr>
          <w:rFonts w:ascii="Times New Roman" w:hAnsi="Times New Roman"/>
          <w:sz w:val="24"/>
          <w:szCs w:val="24"/>
          <w:lang w:val="en-GB"/>
        </w:rPr>
        <w:t>36-43.</w:t>
      </w:r>
    </w:p>
    <w:p w14:paraId="0CD9863E" w14:textId="77777777" w:rsidR="00DB5150" w:rsidRPr="00C95299" w:rsidRDefault="00DB5150" w:rsidP="00DB5150">
      <w:pPr>
        <w:spacing w:after="0" w:line="240" w:lineRule="auto"/>
        <w:ind w:left="720" w:right="0" w:hanging="720"/>
        <w:rPr>
          <w:rFonts w:ascii="Times New Roman" w:eastAsia="Times New Roman" w:hAnsi="Times New Roman"/>
          <w:sz w:val="24"/>
          <w:szCs w:val="24"/>
          <w:lang w:val="en-GB"/>
        </w:rPr>
      </w:pPr>
      <w:r w:rsidRPr="00C95299">
        <w:rPr>
          <w:rFonts w:ascii="Times New Roman" w:hAnsi="Times New Roman"/>
          <w:sz w:val="24"/>
          <w:szCs w:val="24"/>
          <w:shd w:val="clear" w:color="auto" w:fill="FFFFFF"/>
          <w:lang w:val="en-GB"/>
        </w:rPr>
        <w:t xml:space="preserve">Ogbonna, D. N., </w:t>
      </w:r>
      <w:proofErr w:type="spellStart"/>
      <w:r w:rsidRPr="00C95299">
        <w:rPr>
          <w:rFonts w:ascii="Times New Roman" w:hAnsi="Times New Roman"/>
          <w:sz w:val="24"/>
          <w:szCs w:val="24"/>
          <w:shd w:val="clear" w:color="auto" w:fill="FFFFFF"/>
          <w:lang w:val="en-GB"/>
        </w:rPr>
        <w:t>Iwegbue</w:t>
      </w:r>
      <w:proofErr w:type="spellEnd"/>
      <w:r w:rsidRPr="00C95299">
        <w:rPr>
          <w:rFonts w:ascii="Times New Roman" w:hAnsi="Times New Roman"/>
          <w:sz w:val="24"/>
          <w:szCs w:val="24"/>
          <w:shd w:val="clear" w:color="auto" w:fill="FFFFFF"/>
          <w:lang w:val="en-GB"/>
        </w:rPr>
        <w:t xml:space="preserve">, C. M. A., </w:t>
      </w:r>
      <w:proofErr w:type="spellStart"/>
      <w:r w:rsidRPr="00C95299">
        <w:rPr>
          <w:rFonts w:ascii="Times New Roman" w:hAnsi="Times New Roman"/>
          <w:sz w:val="24"/>
          <w:szCs w:val="24"/>
          <w:shd w:val="clear" w:color="auto" w:fill="FFFFFF"/>
          <w:lang w:val="en-GB"/>
        </w:rPr>
        <w:t>Sokari</w:t>
      </w:r>
      <w:proofErr w:type="spellEnd"/>
      <w:r w:rsidRPr="00C95299">
        <w:rPr>
          <w:rFonts w:ascii="Times New Roman" w:hAnsi="Times New Roman"/>
          <w:sz w:val="24"/>
          <w:szCs w:val="24"/>
          <w:shd w:val="clear" w:color="auto" w:fill="FFFFFF"/>
          <w:lang w:val="en-GB"/>
        </w:rPr>
        <w:t xml:space="preserve">, T. G., &amp; Akoko, I. O. (2007). Effect of bioremediation on the growth of </w:t>
      </w:r>
      <w:proofErr w:type="spellStart"/>
      <w:r w:rsidRPr="00C95299">
        <w:rPr>
          <w:rFonts w:ascii="Times New Roman" w:hAnsi="Times New Roman"/>
          <w:sz w:val="24"/>
          <w:szCs w:val="24"/>
          <w:shd w:val="clear" w:color="auto" w:fill="FFFFFF"/>
          <w:lang w:val="en-GB"/>
        </w:rPr>
        <w:t>Okro</w:t>
      </w:r>
      <w:proofErr w:type="spellEnd"/>
      <w:r w:rsidRPr="00C95299">
        <w:rPr>
          <w:rFonts w:ascii="Times New Roman" w:hAnsi="Times New Roman"/>
          <w:sz w:val="24"/>
          <w:szCs w:val="24"/>
          <w:shd w:val="clear" w:color="auto" w:fill="FFFFFF"/>
          <w:lang w:val="en-GB"/>
        </w:rPr>
        <w:t xml:space="preserve"> (</w:t>
      </w:r>
      <w:proofErr w:type="spellStart"/>
      <w:r w:rsidRPr="00C95299">
        <w:rPr>
          <w:rFonts w:ascii="Times New Roman" w:hAnsi="Times New Roman"/>
          <w:sz w:val="24"/>
          <w:szCs w:val="24"/>
          <w:shd w:val="clear" w:color="auto" w:fill="FFFFFF"/>
          <w:lang w:val="en-GB"/>
        </w:rPr>
        <w:t>Abelmoshus</w:t>
      </w:r>
      <w:proofErr w:type="spellEnd"/>
      <w:r w:rsidRPr="00C95299">
        <w:rPr>
          <w:rFonts w:ascii="Times New Roman" w:hAnsi="Times New Roman"/>
          <w:sz w:val="24"/>
          <w:szCs w:val="24"/>
          <w:shd w:val="clear" w:color="auto" w:fill="FFFFFF"/>
          <w:lang w:val="en-GB"/>
        </w:rPr>
        <w:t xml:space="preserve"> </w:t>
      </w:r>
      <w:proofErr w:type="spellStart"/>
      <w:r w:rsidRPr="00C95299">
        <w:rPr>
          <w:rFonts w:ascii="Times New Roman" w:hAnsi="Times New Roman"/>
          <w:sz w:val="24"/>
          <w:szCs w:val="24"/>
          <w:shd w:val="clear" w:color="auto" w:fill="FFFFFF"/>
          <w:lang w:val="en-GB"/>
        </w:rPr>
        <w:t>esculetus</w:t>
      </w:r>
      <w:proofErr w:type="spellEnd"/>
      <w:r w:rsidRPr="00C95299">
        <w:rPr>
          <w:rFonts w:ascii="Times New Roman" w:hAnsi="Times New Roman"/>
          <w:sz w:val="24"/>
          <w:szCs w:val="24"/>
          <w:shd w:val="clear" w:color="auto" w:fill="FFFFFF"/>
          <w:lang w:val="en-GB"/>
        </w:rPr>
        <w:t>) in the Niger Delta soils. </w:t>
      </w:r>
      <w:r w:rsidRPr="00C95299">
        <w:rPr>
          <w:rFonts w:ascii="Times New Roman" w:hAnsi="Times New Roman"/>
          <w:i/>
          <w:iCs/>
          <w:sz w:val="24"/>
          <w:szCs w:val="24"/>
          <w:shd w:val="clear" w:color="auto" w:fill="FFFFFF"/>
          <w:lang w:val="en-GB"/>
        </w:rPr>
        <w:t>The Environmentalist</w:t>
      </w:r>
      <w:r w:rsidRPr="00C95299">
        <w:rPr>
          <w:rFonts w:ascii="Times New Roman" w:hAnsi="Times New Roman"/>
          <w:sz w:val="24"/>
          <w:szCs w:val="24"/>
          <w:shd w:val="clear" w:color="auto" w:fill="FFFFFF"/>
          <w:lang w:val="en-GB"/>
        </w:rPr>
        <w:t>, </w:t>
      </w:r>
      <w:r w:rsidRPr="00C95299">
        <w:rPr>
          <w:rFonts w:ascii="Times New Roman" w:hAnsi="Times New Roman"/>
          <w:i/>
          <w:iCs/>
          <w:sz w:val="24"/>
          <w:szCs w:val="24"/>
          <w:shd w:val="clear" w:color="auto" w:fill="FFFFFF"/>
          <w:lang w:val="en-GB"/>
        </w:rPr>
        <w:t>27</w:t>
      </w:r>
      <w:r w:rsidRPr="00C95299">
        <w:rPr>
          <w:rFonts w:ascii="Times New Roman" w:hAnsi="Times New Roman"/>
          <w:sz w:val="24"/>
          <w:szCs w:val="24"/>
          <w:shd w:val="clear" w:color="auto" w:fill="FFFFFF"/>
          <w:lang w:val="en-GB"/>
        </w:rPr>
        <w:t>, 303-309.</w:t>
      </w:r>
    </w:p>
    <w:p w14:paraId="0FFFA5C9" w14:textId="77777777" w:rsidR="00DB5150" w:rsidRPr="00C95299" w:rsidRDefault="00DB5150" w:rsidP="00DB5150">
      <w:pPr>
        <w:spacing w:after="0" w:line="240" w:lineRule="auto"/>
        <w:ind w:left="720" w:right="0" w:hanging="720"/>
        <w:rPr>
          <w:rFonts w:ascii="Times New Roman" w:hAnsi="Times New Roman"/>
          <w:sz w:val="24"/>
          <w:szCs w:val="24"/>
          <w:lang w:val="en-GB"/>
        </w:rPr>
      </w:pPr>
    </w:p>
    <w:p w14:paraId="5D87B868" w14:textId="77777777" w:rsidR="00DB5150" w:rsidRPr="00C95299" w:rsidRDefault="00DB5150" w:rsidP="00DB5150">
      <w:pPr>
        <w:spacing w:after="0" w:line="240" w:lineRule="auto"/>
        <w:ind w:left="720" w:right="0" w:hanging="720"/>
        <w:rPr>
          <w:rFonts w:ascii="Times New Roman" w:eastAsia="Times New Roman" w:hAnsi="Times New Roman"/>
          <w:sz w:val="24"/>
          <w:szCs w:val="24"/>
          <w:lang w:val="en-GB"/>
        </w:rPr>
      </w:pPr>
      <w:r w:rsidRPr="00C95299">
        <w:rPr>
          <w:rFonts w:ascii="Times New Roman" w:hAnsi="Times New Roman"/>
          <w:sz w:val="24"/>
          <w:szCs w:val="24"/>
          <w:lang w:val="en-GB"/>
        </w:rPr>
        <w:t xml:space="preserve">Ogbonna, D.N., </w:t>
      </w:r>
      <w:proofErr w:type="spellStart"/>
      <w:r w:rsidRPr="00C95299">
        <w:rPr>
          <w:rFonts w:ascii="Times New Roman" w:hAnsi="Times New Roman"/>
          <w:sz w:val="24"/>
          <w:szCs w:val="24"/>
          <w:lang w:val="en-GB"/>
        </w:rPr>
        <w:t>Chindah</w:t>
      </w:r>
      <w:proofErr w:type="spellEnd"/>
      <w:r w:rsidRPr="00C95299">
        <w:rPr>
          <w:rFonts w:ascii="Times New Roman" w:hAnsi="Times New Roman"/>
          <w:sz w:val="24"/>
          <w:szCs w:val="24"/>
          <w:lang w:val="en-GB"/>
        </w:rPr>
        <w:t xml:space="preserve">, A., &amp; Ubani, N. (2012). Waste management options for health care wastes in Nigeria: A case study of Port Harcourt hospitals. </w:t>
      </w:r>
      <w:r w:rsidRPr="00C95299">
        <w:rPr>
          <w:rFonts w:ascii="Times New Roman" w:hAnsi="Times New Roman"/>
          <w:i/>
          <w:sz w:val="24"/>
          <w:szCs w:val="24"/>
          <w:lang w:val="en-GB"/>
        </w:rPr>
        <w:t>Journal of Public Health and Epidemiology, 4</w:t>
      </w:r>
      <w:r w:rsidRPr="00C95299">
        <w:rPr>
          <w:rFonts w:ascii="Times New Roman" w:hAnsi="Times New Roman"/>
          <w:sz w:val="24"/>
          <w:szCs w:val="24"/>
          <w:lang w:val="en-GB"/>
        </w:rPr>
        <w:t>(6), 156-169. DOI: 10.5897/JPHE12.012</w:t>
      </w:r>
    </w:p>
    <w:p w14:paraId="3ABA43F3" w14:textId="77777777" w:rsidR="00DB5150" w:rsidRPr="00C95299" w:rsidRDefault="00DB5150" w:rsidP="00DB5150">
      <w:pPr>
        <w:spacing w:after="0" w:line="240" w:lineRule="auto"/>
        <w:ind w:left="720" w:right="0" w:hanging="720"/>
        <w:rPr>
          <w:rFonts w:ascii="Times New Roman" w:eastAsia="Times New Roman" w:hAnsi="Times New Roman"/>
          <w:sz w:val="24"/>
          <w:szCs w:val="24"/>
          <w:lang w:val="en-GB"/>
        </w:rPr>
      </w:pPr>
      <w:proofErr w:type="spellStart"/>
      <w:r w:rsidRPr="00C95299">
        <w:rPr>
          <w:rFonts w:ascii="Times New Roman" w:hAnsi="Times New Roman"/>
          <w:sz w:val="24"/>
          <w:szCs w:val="24"/>
          <w:shd w:val="clear" w:color="auto" w:fill="FFFFFF"/>
          <w:lang w:val="en-GB"/>
        </w:rPr>
        <w:t>Ogunjuyigbe</w:t>
      </w:r>
      <w:proofErr w:type="spellEnd"/>
      <w:r w:rsidRPr="00C95299">
        <w:rPr>
          <w:rFonts w:ascii="Times New Roman" w:hAnsi="Times New Roman"/>
          <w:sz w:val="24"/>
          <w:szCs w:val="24"/>
          <w:shd w:val="clear" w:color="auto" w:fill="FFFFFF"/>
          <w:lang w:val="en-GB"/>
        </w:rPr>
        <w:t>, A. S. O., Ayodele, T. R., &amp; Alao, M. A. (2017). Electricity generation from municipal solid waste in some selected cities of Nigeria: An assessment of feasibility, potential and technologies. </w:t>
      </w:r>
      <w:r w:rsidRPr="00C95299">
        <w:rPr>
          <w:rFonts w:ascii="Times New Roman" w:hAnsi="Times New Roman"/>
          <w:i/>
          <w:iCs/>
          <w:sz w:val="24"/>
          <w:szCs w:val="24"/>
          <w:shd w:val="clear" w:color="auto" w:fill="FFFFFF"/>
          <w:lang w:val="en-GB"/>
        </w:rPr>
        <w:t>Renewable and Sustainable Energy Reviews</w:t>
      </w:r>
      <w:r w:rsidRPr="00C95299">
        <w:rPr>
          <w:rFonts w:ascii="Times New Roman" w:hAnsi="Times New Roman"/>
          <w:sz w:val="24"/>
          <w:szCs w:val="24"/>
          <w:shd w:val="clear" w:color="auto" w:fill="FFFFFF"/>
          <w:lang w:val="en-GB"/>
        </w:rPr>
        <w:t>, </w:t>
      </w:r>
      <w:r w:rsidRPr="00C95299">
        <w:rPr>
          <w:rFonts w:ascii="Times New Roman" w:hAnsi="Times New Roman"/>
          <w:i/>
          <w:iCs/>
          <w:sz w:val="24"/>
          <w:szCs w:val="24"/>
          <w:shd w:val="clear" w:color="auto" w:fill="FFFFFF"/>
          <w:lang w:val="en-GB"/>
        </w:rPr>
        <w:t>80</w:t>
      </w:r>
      <w:r w:rsidRPr="00C95299">
        <w:rPr>
          <w:rFonts w:ascii="Times New Roman" w:hAnsi="Times New Roman"/>
          <w:sz w:val="24"/>
          <w:szCs w:val="24"/>
          <w:shd w:val="clear" w:color="auto" w:fill="FFFFFF"/>
          <w:lang w:val="en-GB"/>
        </w:rPr>
        <w:t>, 149-162.</w:t>
      </w:r>
    </w:p>
    <w:p w14:paraId="16CD96C6" w14:textId="77777777" w:rsidR="00DB5150" w:rsidRPr="00C95299" w:rsidRDefault="00DB5150" w:rsidP="00DB5150">
      <w:pPr>
        <w:spacing w:after="0" w:line="240" w:lineRule="auto"/>
        <w:ind w:left="720" w:right="0" w:hanging="720"/>
        <w:rPr>
          <w:rFonts w:ascii="Times New Roman" w:eastAsia="Times New Roman" w:hAnsi="Times New Roman"/>
          <w:sz w:val="24"/>
          <w:szCs w:val="24"/>
          <w:lang w:val="en-GB"/>
        </w:rPr>
      </w:pPr>
      <w:proofErr w:type="spellStart"/>
      <w:r w:rsidRPr="00C95299">
        <w:rPr>
          <w:rFonts w:ascii="Times New Roman" w:hAnsi="Times New Roman"/>
          <w:sz w:val="24"/>
          <w:szCs w:val="24"/>
          <w:lang w:val="en-GB"/>
        </w:rPr>
        <w:t>Ogwueleka</w:t>
      </w:r>
      <w:proofErr w:type="spellEnd"/>
      <w:r w:rsidRPr="00C95299">
        <w:rPr>
          <w:rFonts w:ascii="Times New Roman" w:hAnsi="Times New Roman"/>
          <w:sz w:val="24"/>
          <w:szCs w:val="24"/>
          <w:lang w:val="en-GB"/>
        </w:rPr>
        <w:t xml:space="preserve">, T. C. (2009). Municipal solid waste characteristics and management in Nigeria. </w:t>
      </w:r>
      <w:r w:rsidRPr="00C95299">
        <w:rPr>
          <w:rFonts w:ascii="Times New Roman" w:hAnsi="Times New Roman"/>
          <w:i/>
          <w:iCs/>
          <w:sz w:val="24"/>
          <w:szCs w:val="24"/>
          <w:lang w:val="en-GB"/>
        </w:rPr>
        <w:t>Iranian Journal of Environmental Health Science and Engineering, 6</w:t>
      </w:r>
      <w:r w:rsidRPr="00C95299">
        <w:rPr>
          <w:rFonts w:ascii="Times New Roman" w:hAnsi="Times New Roman"/>
          <w:sz w:val="24"/>
          <w:szCs w:val="24"/>
          <w:lang w:val="en-GB"/>
        </w:rPr>
        <w:t xml:space="preserve">(3), 173-180. </w:t>
      </w:r>
    </w:p>
    <w:p w14:paraId="681DE712" w14:textId="77777777" w:rsidR="00DB5150" w:rsidRPr="00C95299" w:rsidRDefault="00DB5150" w:rsidP="00DB5150">
      <w:pPr>
        <w:spacing w:after="0" w:line="240" w:lineRule="auto"/>
        <w:ind w:left="720" w:right="0" w:hanging="720"/>
        <w:rPr>
          <w:rFonts w:ascii="Times New Roman" w:eastAsia="Times New Roman" w:hAnsi="Times New Roman"/>
          <w:sz w:val="24"/>
          <w:szCs w:val="24"/>
          <w:lang w:val="en-GB"/>
        </w:rPr>
      </w:pPr>
      <w:proofErr w:type="spellStart"/>
      <w:r w:rsidRPr="00C95299">
        <w:rPr>
          <w:rFonts w:ascii="Times New Roman" w:hAnsi="Times New Roman"/>
          <w:sz w:val="24"/>
          <w:szCs w:val="24"/>
          <w:shd w:val="clear" w:color="auto" w:fill="FFFFFF"/>
          <w:lang w:val="en-GB"/>
        </w:rPr>
        <w:t>Ojedokun</w:t>
      </w:r>
      <w:proofErr w:type="spellEnd"/>
      <w:r w:rsidRPr="00C95299">
        <w:rPr>
          <w:rFonts w:ascii="Times New Roman" w:hAnsi="Times New Roman"/>
          <w:sz w:val="24"/>
          <w:szCs w:val="24"/>
          <w:shd w:val="clear" w:color="auto" w:fill="FFFFFF"/>
          <w:lang w:val="en-GB"/>
        </w:rPr>
        <w:t xml:space="preserve">, O., Adeniran, A. A., Raheem, S. B., &amp; </w:t>
      </w:r>
      <w:proofErr w:type="spellStart"/>
      <w:r w:rsidRPr="00C95299">
        <w:rPr>
          <w:rFonts w:ascii="Times New Roman" w:hAnsi="Times New Roman"/>
          <w:sz w:val="24"/>
          <w:szCs w:val="24"/>
          <w:shd w:val="clear" w:color="auto" w:fill="FFFFFF"/>
          <w:lang w:val="en-GB"/>
        </w:rPr>
        <w:t>Aderinto</w:t>
      </w:r>
      <w:proofErr w:type="spellEnd"/>
      <w:r w:rsidRPr="00C95299">
        <w:rPr>
          <w:rFonts w:ascii="Times New Roman" w:hAnsi="Times New Roman"/>
          <w:sz w:val="24"/>
          <w:szCs w:val="24"/>
          <w:shd w:val="clear" w:color="auto" w:fill="FFFFFF"/>
          <w:lang w:val="en-GB"/>
        </w:rPr>
        <w:t>, S. J. (2014). Cow dung ash (</w:t>
      </w:r>
      <w:proofErr w:type="spellStart"/>
      <w:r w:rsidRPr="00C95299">
        <w:rPr>
          <w:rFonts w:ascii="Times New Roman" w:hAnsi="Times New Roman"/>
          <w:sz w:val="24"/>
          <w:szCs w:val="24"/>
          <w:shd w:val="clear" w:color="auto" w:fill="FFFFFF"/>
          <w:lang w:val="en-GB"/>
        </w:rPr>
        <w:t>cda</w:t>
      </w:r>
      <w:proofErr w:type="spellEnd"/>
      <w:r w:rsidRPr="00C95299">
        <w:rPr>
          <w:rFonts w:ascii="Times New Roman" w:hAnsi="Times New Roman"/>
          <w:sz w:val="24"/>
          <w:szCs w:val="24"/>
          <w:shd w:val="clear" w:color="auto" w:fill="FFFFFF"/>
          <w:lang w:val="en-GB"/>
        </w:rPr>
        <w:t>) as partial replacement of cementing material in the production of concrete. </w:t>
      </w:r>
      <w:r w:rsidRPr="00C95299">
        <w:rPr>
          <w:rFonts w:ascii="Times New Roman" w:hAnsi="Times New Roman"/>
          <w:i/>
          <w:iCs/>
          <w:sz w:val="24"/>
          <w:szCs w:val="24"/>
          <w:shd w:val="clear" w:color="auto" w:fill="FFFFFF"/>
          <w:lang w:val="en-GB"/>
        </w:rPr>
        <w:t>British Journal of Applied Science &amp; Technology</w:t>
      </w:r>
      <w:r w:rsidRPr="00C95299">
        <w:rPr>
          <w:rFonts w:ascii="Times New Roman" w:hAnsi="Times New Roman"/>
          <w:sz w:val="24"/>
          <w:szCs w:val="24"/>
          <w:shd w:val="clear" w:color="auto" w:fill="FFFFFF"/>
          <w:lang w:val="en-GB"/>
        </w:rPr>
        <w:t>, </w:t>
      </w:r>
      <w:r w:rsidRPr="00C95299">
        <w:rPr>
          <w:rFonts w:ascii="Times New Roman" w:hAnsi="Times New Roman"/>
          <w:i/>
          <w:iCs/>
          <w:sz w:val="24"/>
          <w:szCs w:val="24"/>
          <w:shd w:val="clear" w:color="auto" w:fill="FFFFFF"/>
          <w:lang w:val="en-GB"/>
        </w:rPr>
        <w:t>4</w:t>
      </w:r>
      <w:r w:rsidRPr="00C95299">
        <w:rPr>
          <w:rFonts w:ascii="Times New Roman" w:hAnsi="Times New Roman"/>
          <w:sz w:val="24"/>
          <w:szCs w:val="24"/>
          <w:shd w:val="clear" w:color="auto" w:fill="FFFFFF"/>
          <w:lang w:val="en-GB"/>
        </w:rPr>
        <w:t>(24), 3445-3454.</w:t>
      </w:r>
    </w:p>
    <w:p w14:paraId="5E367FC5" w14:textId="77777777" w:rsidR="00DB5150" w:rsidRPr="00C95299" w:rsidRDefault="00DB5150" w:rsidP="00DB5150">
      <w:pPr>
        <w:spacing w:after="0" w:line="240" w:lineRule="auto"/>
        <w:ind w:left="720" w:right="0" w:hanging="720"/>
        <w:rPr>
          <w:rFonts w:ascii="Times New Roman" w:eastAsia="Times New Roman" w:hAnsi="Times New Roman"/>
          <w:sz w:val="24"/>
          <w:szCs w:val="24"/>
          <w:lang w:val="en-GB"/>
        </w:rPr>
      </w:pPr>
      <w:proofErr w:type="spellStart"/>
      <w:r w:rsidRPr="00C95299">
        <w:rPr>
          <w:rFonts w:ascii="Times New Roman" w:hAnsi="Times New Roman"/>
          <w:sz w:val="24"/>
          <w:szCs w:val="24"/>
          <w:shd w:val="clear" w:color="auto" w:fill="FFFFFF"/>
          <w:lang w:val="en-GB"/>
        </w:rPr>
        <w:t>Oluwagbayide</w:t>
      </w:r>
      <w:proofErr w:type="spellEnd"/>
      <w:r w:rsidRPr="00C95299">
        <w:rPr>
          <w:rFonts w:ascii="Times New Roman" w:hAnsi="Times New Roman"/>
          <w:sz w:val="24"/>
          <w:szCs w:val="24"/>
          <w:shd w:val="clear" w:color="auto" w:fill="FFFFFF"/>
          <w:lang w:val="en-GB"/>
        </w:rPr>
        <w:t xml:space="preserve">, S. D., </w:t>
      </w:r>
      <w:proofErr w:type="spellStart"/>
      <w:r w:rsidRPr="00C95299">
        <w:rPr>
          <w:rFonts w:ascii="Times New Roman" w:hAnsi="Times New Roman"/>
          <w:sz w:val="24"/>
          <w:szCs w:val="24"/>
          <w:shd w:val="clear" w:color="auto" w:fill="FFFFFF"/>
          <w:lang w:val="en-GB"/>
        </w:rPr>
        <w:t>Abulude</w:t>
      </w:r>
      <w:proofErr w:type="spellEnd"/>
      <w:r w:rsidRPr="00C95299">
        <w:rPr>
          <w:rFonts w:ascii="Times New Roman" w:hAnsi="Times New Roman"/>
          <w:sz w:val="24"/>
          <w:szCs w:val="24"/>
          <w:shd w:val="clear" w:color="auto" w:fill="FFFFFF"/>
          <w:lang w:val="en-GB"/>
        </w:rPr>
        <w:t xml:space="preserve">, F. O., </w:t>
      </w:r>
      <w:proofErr w:type="spellStart"/>
      <w:r w:rsidRPr="00C95299">
        <w:rPr>
          <w:rFonts w:ascii="Times New Roman" w:hAnsi="Times New Roman"/>
          <w:sz w:val="24"/>
          <w:szCs w:val="24"/>
          <w:shd w:val="clear" w:color="auto" w:fill="FFFFFF"/>
          <w:lang w:val="en-GB"/>
        </w:rPr>
        <w:t>Akinnusotu</w:t>
      </w:r>
      <w:proofErr w:type="spellEnd"/>
      <w:r w:rsidRPr="00C95299">
        <w:rPr>
          <w:rFonts w:ascii="Times New Roman" w:hAnsi="Times New Roman"/>
          <w:sz w:val="24"/>
          <w:szCs w:val="24"/>
          <w:shd w:val="clear" w:color="auto" w:fill="FFFFFF"/>
          <w:lang w:val="en-GB"/>
        </w:rPr>
        <w:t xml:space="preserve">, A., &amp; </w:t>
      </w:r>
      <w:proofErr w:type="spellStart"/>
      <w:r w:rsidRPr="00C95299">
        <w:rPr>
          <w:rFonts w:ascii="Times New Roman" w:hAnsi="Times New Roman"/>
          <w:sz w:val="24"/>
          <w:szCs w:val="24"/>
          <w:shd w:val="clear" w:color="auto" w:fill="FFFFFF"/>
          <w:lang w:val="en-GB"/>
        </w:rPr>
        <w:t>Arifalo</w:t>
      </w:r>
      <w:proofErr w:type="spellEnd"/>
      <w:r w:rsidRPr="00C95299">
        <w:rPr>
          <w:rFonts w:ascii="Times New Roman" w:hAnsi="Times New Roman"/>
          <w:sz w:val="24"/>
          <w:szCs w:val="24"/>
          <w:shd w:val="clear" w:color="auto" w:fill="FFFFFF"/>
          <w:lang w:val="en-GB"/>
        </w:rPr>
        <w:t>, K. M. (2024). The Relationship between Waste Management Practices and Human Health: New Perspective and Consequences. </w:t>
      </w:r>
      <w:r w:rsidRPr="00C95299">
        <w:rPr>
          <w:rFonts w:ascii="Times New Roman" w:hAnsi="Times New Roman"/>
          <w:i/>
          <w:iCs/>
          <w:sz w:val="24"/>
          <w:szCs w:val="24"/>
          <w:shd w:val="clear" w:color="auto" w:fill="FFFFFF"/>
          <w:lang w:val="en-GB"/>
        </w:rPr>
        <w:t>Indonesian Journal of Innovation and Applied Sciences (IJIAS)</w:t>
      </w:r>
      <w:r w:rsidRPr="00C95299">
        <w:rPr>
          <w:rFonts w:ascii="Times New Roman" w:hAnsi="Times New Roman"/>
          <w:sz w:val="24"/>
          <w:szCs w:val="24"/>
          <w:shd w:val="clear" w:color="auto" w:fill="FFFFFF"/>
          <w:lang w:val="en-GB"/>
        </w:rPr>
        <w:t>, </w:t>
      </w:r>
      <w:r w:rsidRPr="00C95299">
        <w:rPr>
          <w:rFonts w:ascii="Times New Roman" w:hAnsi="Times New Roman"/>
          <w:i/>
          <w:iCs/>
          <w:sz w:val="24"/>
          <w:szCs w:val="24"/>
          <w:shd w:val="clear" w:color="auto" w:fill="FFFFFF"/>
          <w:lang w:val="en-GB"/>
        </w:rPr>
        <w:t>4</w:t>
      </w:r>
      <w:r w:rsidRPr="00C95299">
        <w:rPr>
          <w:rFonts w:ascii="Times New Roman" w:hAnsi="Times New Roman"/>
          <w:sz w:val="24"/>
          <w:szCs w:val="24"/>
          <w:shd w:val="clear" w:color="auto" w:fill="FFFFFF"/>
          <w:lang w:val="en-GB"/>
        </w:rPr>
        <w:t>(1), 19-34.</w:t>
      </w:r>
    </w:p>
    <w:p w14:paraId="6BD0876C" w14:textId="77777777" w:rsidR="00DB5150" w:rsidRPr="00C95299" w:rsidRDefault="00DB5150" w:rsidP="00DB5150">
      <w:pPr>
        <w:spacing w:after="0" w:line="240" w:lineRule="auto"/>
        <w:ind w:left="720" w:right="0" w:hanging="720"/>
        <w:rPr>
          <w:rFonts w:ascii="Times New Roman" w:eastAsia="Times New Roman" w:hAnsi="Times New Roman"/>
          <w:sz w:val="24"/>
          <w:szCs w:val="24"/>
          <w:lang w:val="en-GB"/>
        </w:rPr>
      </w:pPr>
      <w:proofErr w:type="spellStart"/>
      <w:r w:rsidRPr="00C95299">
        <w:rPr>
          <w:rFonts w:ascii="Times New Roman" w:hAnsi="Times New Roman"/>
          <w:sz w:val="24"/>
          <w:szCs w:val="24"/>
          <w:shd w:val="clear" w:color="auto" w:fill="FFFFFF"/>
          <w:lang w:val="en-GB"/>
        </w:rPr>
        <w:t>Oresanya</w:t>
      </w:r>
      <w:proofErr w:type="spellEnd"/>
      <w:r w:rsidRPr="00C95299">
        <w:rPr>
          <w:rFonts w:ascii="Times New Roman" w:hAnsi="Times New Roman"/>
          <w:sz w:val="24"/>
          <w:szCs w:val="24"/>
          <w:shd w:val="clear" w:color="auto" w:fill="FFFFFF"/>
          <w:lang w:val="en-GB"/>
        </w:rPr>
        <w:t>, T., Ben-</w:t>
      </w:r>
      <w:proofErr w:type="spellStart"/>
      <w:r w:rsidRPr="00C95299">
        <w:rPr>
          <w:rFonts w:ascii="Times New Roman" w:hAnsi="Times New Roman"/>
          <w:sz w:val="24"/>
          <w:szCs w:val="24"/>
          <w:shd w:val="clear" w:color="auto" w:fill="FFFFFF"/>
          <w:lang w:val="en-GB"/>
        </w:rPr>
        <w:t>Enukora</w:t>
      </w:r>
      <w:proofErr w:type="spellEnd"/>
      <w:r w:rsidRPr="00C95299">
        <w:rPr>
          <w:rFonts w:ascii="Times New Roman" w:hAnsi="Times New Roman"/>
          <w:sz w:val="24"/>
          <w:szCs w:val="24"/>
          <w:shd w:val="clear" w:color="auto" w:fill="FFFFFF"/>
          <w:lang w:val="en-GB"/>
        </w:rPr>
        <w:t xml:space="preserve">, C., </w:t>
      </w:r>
      <w:proofErr w:type="spellStart"/>
      <w:r w:rsidRPr="00C95299">
        <w:rPr>
          <w:rFonts w:ascii="Times New Roman" w:hAnsi="Times New Roman"/>
          <w:sz w:val="24"/>
          <w:szCs w:val="24"/>
          <w:shd w:val="clear" w:color="auto" w:fill="FFFFFF"/>
          <w:lang w:val="en-GB"/>
        </w:rPr>
        <w:t>Omojola</w:t>
      </w:r>
      <w:proofErr w:type="spellEnd"/>
      <w:r w:rsidRPr="00C95299">
        <w:rPr>
          <w:rFonts w:ascii="Times New Roman" w:hAnsi="Times New Roman"/>
          <w:sz w:val="24"/>
          <w:szCs w:val="24"/>
          <w:shd w:val="clear" w:color="auto" w:fill="FFFFFF"/>
          <w:lang w:val="en-GB"/>
        </w:rPr>
        <w:t xml:space="preserve">, O., </w:t>
      </w:r>
      <w:proofErr w:type="spellStart"/>
      <w:r w:rsidRPr="00C95299">
        <w:rPr>
          <w:rFonts w:ascii="Times New Roman" w:hAnsi="Times New Roman"/>
          <w:sz w:val="24"/>
          <w:szCs w:val="24"/>
          <w:shd w:val="clear" w:color="auto" w:fill="FFFFFF"/>
          <w:lang w:val="en-GB"/>
        </w:rPr>
        <w:t>Oyero</w:t>
      </w:r>
      <w:proofErr w:type="spellEnd"/>
      <w:r w:rsidRPr="00C95299">
        <w:rPr>
          <w:rFonts w:ascii="Times New Roman" w:hAnsi="Times New Roman"/>
          <w:sz w:val="24"/>
          <w:szCs w:val="24"/>
          <w:shd w:val="clear" w:color="auto" w:fill="FFFFFF"/>
          <w:lang w:val="en-GB"/>
        </w:rPr>
        <w:t>, O., &amp; Amodu, L. (2017). Health communication and awareness of aluminium-waste disposal effects among Ogun state housing corporation residents. </w:t>
      </w:r>
      <w:r w:rsidRPr="00C95299">
        <w:rPr>
          <w:rFonts w:ascii="Times New Roman" w:hAnsi="Times New Roman"/>
          <w:i/>
          <w:iCs/>
          <w:sz w:val="24"/>
          <w:szCs w:val="24"/>
          <w:shd w:val="clear" w:color="auto" w:fill="FFFFFF"/>
          <w:lang w:val="en-GB"/>
        </w:rPr>
        <w:t>Proceedings of SOCIOINT</w:t>
      </w:r>
      <w:r w:rsidRPr="00C95299">
        <w:rPr>
          <w:rFonts w:ascii="Times New Roman" w:hAnsi="Times New Roman"/>
          <w:sz w:val="24"/>
          <w:szCs w:val="24"/>
          <w:shd w:val="clear" w:color="auto" w:fill="FFFFFF"/>
          <w:lang w:val="en-GB"/>
        </w:rPr>
        <w:t>, 1375-1381.</w:t>
      </w:r>
    </w:p>
    <w:p w14:paraId="39E838CA" w14:textId="77777777" w:rsidR="00DB5150" w:rsidRPr="00C95299" w:rsidRDefault="00DB5150" w:rsidP="00DB5150">
      <w:pPr>
        <w:spacing w:after="0" w:line="240" w:lineRule="auto"/>
        <w:ind w:left="720" w:right="0" w:hanging="720"/>
        <w:rPr>
          <w:rFonts w:ascii="Times New Roman" w:eastAsia="Times New Roman" w:hAnsi="Times New Roman"/>
          <w:sz w:val="24"/>
          <w:szCs w:val="24"/>
          <w:lang w:val="en-GB"/>
        </w:rPr>
      </w:pPr>
      <w:r w:rsidRPr="00C95299">
        <w:rPr>
          <w:rFonts w:ascii="Times New Roman" w:hAnsi="Times New Roman"/>
          <w:sz w:val="24"/>
          <w:szCs w:val="24"/>
          <w:shd w:val="clear" w:color="auto" w:fill="FFFFFF"/>
          <w:lang w:val="en-GB"/>
        </w:rPr>
        <w:t>Oteng-Ababio, M. (2011). Missing links in solid waste management in the Greater Accra Metropolitan Area in Ghana. </w:t>
      </w:r>
      <w:proofErr w:type="spellStart"/>
      <w:r w:rsidRPr="00C95299">
        <w:rPr>
          <w:rFonts w:ascii="Times New Roman" w:hAnsi="Times New Roman"/>
          <w:i/>
          <w:iCs/>
          <w:sz w:val="24"/>
          <w:szCs w:val="24"/>
          <w:shd w:val="clear" w:color="auto" w:fill="FFFFFF"/>
          <w:lang w:val="en-GB"/>
        </w:rPr>
        <w:t>GeoJournal</w:t>
      </w:r>
      <w:proofErr w:type="spellEnd"/>
      <w:r w:rsidRPr="00C95299">
        <w:rPr>
          <w:rFonts w:ascii="Times New Roman" w:hAnsi="Times New Roman"/>
          <w:sz w:val="24"/>
          <w:szCs w:val="24"/>
          <w:shd w:val="clear" w:color="auto" w:fill="FFFFFF"/>
          <w:lang w:val="en-GB"/>
        </w:rPr>
        <w:t>, </w:t>
      </w:r>
      <w:r w:rsidRPr="00C95299">
        <w:rPr>
          <w:rFonts w:ascii="Times New Roman" w:hAnsi="Times New Roman"/>
          <w:i/>
          <w:iCs/>
          <w:sz w:val="24"/>
          <w:szCs w:val="24"/>
          <w:shd w:val="clear" w:color="auto" w:fill="FFFFFF"/>
          <w:lang w:val="en-GB"/>
        </w:rPr>
        <w:t>76</w:t>
      </w:r>
      <w:r w:rsidRPr="00C95299">
        <w:rPr>
          <w:rFonts w:ascii="Times New Roman" w:hAnsi="Times New Roman"/>
          <w:sz w:val="24"/>
          <w:szCs w:val="24"/>
          <w:shd w:val="clear" w:color="auto" w:fill="FFFFFF"/>
          <w:lang w:val="en-GB"/>
        </w:rPr>
        <w:t>(5), 551-560.</w:t>
      </w:r>
    </w:p>
    <w:p w14:paraId="1CD76F48" w14:textId="77777777" w:rsidR="00DB5150" w:rsidRPr="00C95299" w:rsidRDefault="00DB5150" w:rsidP="00DB5150">
      <w:pPr>
        <w:spacing w:after="0" w:line="240" w:lineRule="auto"/>
        <w:ind w:left="720" w:right="0" w:hanging="720"/>
        <w:rPr>
          <w:rFonts w:ascii="Times New Roman" w:eastAsia="Times New Roman" w:hAnsi="Times New Roman"/>
          <w:sz w:val="24"/>
          <w:szCs w:val="24"/>
          <w:lang w:val="en-GB"/>
        </w:rPr>
      </w:pPr>
      <w:proofErr w:type="spellStart"/>
      <w:r w:rsidRPr="00C95299">
        <w:rPr>
          <w:rFonts w:ascii="Times New Roman" w:hAnsi="Times New Roman"/>
          <w:sz w:val="24"/>
          <w:szCs w:val="24"/>
          <w:lang w:val="en-GB"/>
        </w:rPr>
        <w:t>Oyebola</w:t>
      </w:r>
      <w:proofErr w:type="spellEnd"/>
      <w:r w:rsidRPr="00C95299">
        <w:rPr>
          <w:rFonts w:ascii="Times New Roman" w:hAnsi="Times New Roman"/>
          <w:sz w:val="24"/>
          <w:szCs w:val="24"/>
          <w:lang w:val="en-GB"/>
        </w:rPr>
        <w:t xml:space="preserve">, (2010). Health implications of solid waste disposal: case study of </w:t>
      </w:r>
      <w:proofErr w:type="spellStart"/>
      <w:r w:rsidRPr="00C95299">
        <w:rPr>
          <w:rFonts w:ascii="Times New Roman" w:hAnsi="Times New Roman"/>
          <w:sz w:val="24"/>
          <w:szCs w:val="24"/>
          <w:lang w:val="en-GB"/>
        </w:rPr>
        <w:t>Olusosun</w:t>
      </w:r>
      <w:proofErr w:type="spellEnd"/>
      <w:r w:rsidRPr="00C95299">
        <w:rPr>
          <w:rFonts w:ascii="Times New Roman" w:hAnsi="Times New Roman"/>
          <w:sz w:val="24"/>
          <w:szCs w:val="24"/>
          <w:lang w:val="en-GB"/>
        </w:rPr>
        <w:t xml:space="preserve"> Dumpsite, Lagos Nigeria. </w:t>
      </w:r>
      <w:r w:rsidRPr="00C95299">
        <w:rPr>
          <w:rFonts w:ascii="Times New Roman" w:hAnsi="Times New Roman"/>
          <w:i/>
          <w:sz w:val="24"/>
          <w:szCs w:val="24"/>
          <w:lang w:val="en-GB"/>
        </w:rPr>
        <w:t>International Journal of Pure and Applied Sciences</w:t>
      </w:r>
      <w:r w:rsidRPr="00C95299">
        <w:rPr>
          <w:rFonts w:ascii="Times New Roman" w:hAnsi="Times New Roman"/>
          <w:sz w:val="24"/>
          <w:szCs w:val="24"/>
          <w:lang w:val="en-GB"/>
        </w:rPr>
        <w:t xml:space="preserve">, </w:t>
      </w:r>
      <w:r w:rsidRPr="00C95299">
        <w:rPr>
          <w:rFonts w:ascii="Times New Roman" w:hAnsi="Times New Roman"/>
          <w:b/>
          <w:sz w:val="24"/>
          <w:szCs w:val="24"/>
          <w:lang w:val="en-GB"/>
        </w:rPr>
        <w:t>12</w:t>
      </w:r>
      <w:r w:rsidRPr="00C95299">
        <w:rPr>
          <w:rFonts w:ascii="Times New Roman" w:hAnsi="Times New Roman"/>
          <w:i/>
          <w:sz w:val="24"/>
          <w:szCs w:val="24"/>
          <w:lang w:val="en-GB"/>
        </w:rPr>
        <w:t xml:space="preserve">, </w:t>
      </w:r>
      <w:r w:rsidRPr="00C95299">
        <w:rPr>
          <w:rFonts w:ascii="Times New Roman" w:hAnsi="Times New Roman"/>
          <w:sz w:val="24"/>
          <w:szCs w:val="24"/>
          <w:lang w:val="en-GB"/>
        </w:rPr>
        <w:t>17-20.</w:t>
      </w:r>
    </w:p>
    <w:p w14:paraId="0FD4E517" w14:textId="77777777" w:rsidR="00DB5150" w:rsidRPr="00C95299" w:rsidRDefault="00DB5150" w:rsidP="00DB5150">
      <w:pPr>
        <w:spacing w:after="0" w:line="240" w:lineRule="auto"/>
        <w:ind w:left="720" w:right="0" w:hanging="720"/>
        <w:rPr>
          <w:rFonts w:ascii="Times New Roman" w:eastAsia="Times New Roman" w:hAnsi="Times New Roman"/>
          <w:sz w:val="24"/>
          <w:szCs w:val="24"/>
          <w:lang w:val="en-GB"/>
        </w:rPr>
      </w:pPr>
      <w:r w:rsidRPr="00C95299">
        <w:rPr>
          <w:rFonts w:ascii="Times New Roman" w:hAnsi="Times New Roman"/>
          <w:sz w:val="24"/>
          <w:szCs w:val="24"/>
          <w:shd w:val="clear" w:color="auto" w:fill="FFFFFF"/>
          <w:lang w:val="en-GB"/>
        </w:rPr>
        <w:lastRenderedPageBreak/>
        <w:t>Portas, P. (2011). 8 The Basel Convention—A Promising Future. </w:t>
      </w:r>
      <w:r w:rsidRPr="00C95299">
        <w:rPr>
          <w:rFonts w:ascii="Times New Roman" w:hAnsi="Times New Roman"/>
          <w:i/>
          <w:iCs/>
          <w:sz w:val="24"/>
          <w:szCs w:val="24"/>
          <w:shd w:val="clear" w:color="auto" w:fill="FFFFFF"/>
          <w:lang w:val="en-GB"/>
        </w:rPr>
        <w:t>Chemicals, Environment, Health: A Global Management Perspective</w:t>
      </w:r>
      <w:r w:rsidRPr="00C95299">
        <w:rPr>
          <w:rFonts w:ascii="Times New Roman" w:hAnsi="Times New Roman"/>
          <w:sz w:val="24"/>
          <w:szCs w:val="24"/>
          <w:shd w:val="clear" w:color="auto" w:fill="FFFFFF"/>
          <w:lang w:val="en-GB"/>
        </w:rPr>
        <w:t>, 121.</w:t>
      </w:r>
    </w:p>
    <w:p w14:paraId="75656537" w14:textId="77777777" w:rsidR="00DB5150" w:rsidRPr="00C95299" w:rsidRDefault="00DB5150" w:rsidP="00DB5150">
      <w:pPr>
        <w:spacing w:after="0" w:line="240" w:lineRule="auto"/>
        <w:ind w:left="720" w:right="0" w:hanging="720"/>
        <w:rPr>
          <w:rFonts w:ascii="Times New Roman" w:eastAsia="Times New Roman" w:hAnsi="Times New Roman"/>
          <w:sz w:val="24"/>
          <w:szCs w:val="24"/>
          <w:lang w:val="en-GB"/>
        </w:rPr>
      </w:pPr>
      <w:r w:rsidRPr="00C95299">
        <w:rPr>
          <w:rFonts w:ascii="Times New Roman" w:hAnsi="Times New Roman"/>
          <w:sz w:val="24"/>
          <w:szCs w:val="24"/>
          <w:shd w:val="clear" w:color="auto" w:fill="FFFFFF"/>
          <w:lang w:val="en-GB"/>
        </w:rPr>
        <w:t xml:space="preserve">Radwan, N., Khan, N. A., &amp; </w:t>
      </w:r>
      <w:proofErr w:type="spellStart"/>
      <w:r w:rsidRPr="00C95299">
        <w:rPr>
          <w:rFonts w:ascii="Times New Roman" w:hAnsi="Times New Roman"/>
          <w:sz w:val="24"/>
          <w:szCs w:val="24"/>
          <w:shd w:val="clear" w:color="auto" w:fill="FFFFFF"/>
          <w:lang w:val="en-GB"/>
        </w:rPr>
        <w:t>Elmanfaloty</w:t>
      </w:r>
      <w:proofErr w:type="spellEnd"/>
      <w:r w:rsidRPr="00C95299">
        <w:rPr>
          <w:rFonts w:ascii="Times New Roman" w:hAnsi="Times New Roman"/>
          <w:sz w:val="24"/>
          <w:szCs w:val="24"/>
          <w:shd w:val="clear" w:color="auto" w:fill="FFFFFF"/>
          <w:lang w:val="en-GB"/>
        </w:rPr>
        <w:t>, R. A. G. (2021). Optimization of solid waste collection using RSM approach, and strategies delivering sustainable development goals (SDG’s) in Jeddah, Saudi Arabia. </w:t>
      </w:r>
      <w:r w:rsidRPr="00C95299">
        <w:rPr>
          <w:rFonts w:ascii="Times New Roman" w:hAnsi="Times New Roman"/>
          <w:i/>
          <w:iCs/>
          <w:sz w:val="24"/>
          <w:szCs w:val="24"/>
          <w:shd w:val="clear" w:color="auto" w:fill="FFFFFF"/>
          <w:lang w:val="en-GB"/>
        </w:rPr>
        <w:t>Scientific reports</w:t>
      </w:r>
      <w:r w:rsidRPr="00C95299">
        <w:rPr>
          <w:rFonts w:ascii="Times New Roman" w:hAnsi="Times New Roman"/>
          <w:sz w:val="24"/>
          <w:szCs w:val="24"/>
          <w:shd w:val="clear" w:color="auto" w:fill="FFFFFF"/>
          <w:lang w:val="en-GB"/>
        </w:rPr>
        <w:t>, </w:t>
      </w:r>
      <w:r w:rsidRPr="00C95299">
        <w:rPr>
          <w:rFonts w:ascii="Times New Roman" w:hAnsi="Times New Roman"/>
          <w:i/>
          <w:iCs/>
          <w:sz w:val="24"/>
          <w:szCs w:val="24"/>
          <w:shd w:val="clear" w:color="auto" w:fill="FFFFFF"/>
          <w:lang w:val="en-GB"/>
        </w:rPr>
        <w:t>11</w:t>
      </w:r>
      <w:r w:rsidRPr="00C95299">
        <w:rPr>
          <w:rFonts w:ascii="Times New Roman" w:hAnsi="Times New Roman"/>
          <w:sz w:val="24"/>
          <w:szCs w:val="24"/>
          <w:shd w:val="clear" w:color="auto" w:fill="FFFFFF"/>
          <w:lang w:val="en-GB"/>
        </w:rPr>
        <w:t>(1), 16612.</w:t>
      </w:r>
    </w:p>
    <w:p w14:paraId="4DE8E238" w14:textId="77777777" w:rsidR="00DB5150" w:rsidRPr="00C95299" w:rsidRDefault="00DB5150" w:rsidP="00DB5150">
      <w:pPr>
        <w:spacing w:after="0" w:line="240" w:lineRule="auto"/>
        <w:ind w:left="720" w:right="0" w:hanging="720"/>
        <w:rPr>
          <w:rFonts w:ascii="Times New Roman" w:eastAsia="Times New Roman" w:hAnsi="Times New Roman"/>
          <w:sz w:val="24"/>
          <w:szCs w:val="24"/>
          <w:lang w:val="en-GB"/>
        </w:rPr>
      </w:pPr>
      <w:proofErr w:type="spellStart"/>
      <w:r w:rsidRPr="00C95299">
        <w:rPr>
          <w:rFonts w:ascii="Times New Roman" w:hAnsi="Times New Roman"/>
          <w:sz w:val="24"/>
          <w:szCs w:val="24"/>
          <w:lang w:val="en-GB"/>
        </w:rPr>
        <w:t>Ramasamay</w:t>
      </w:r>
      <w:proofErr w:type="spellEnd"/>
      <w:r w:rsidRPr="00C95299">
        <w:rPr>
          <w:rFonts w:ascii="Times New Roman" w:hAnsi="Times New Roman"/>
          <w:sz w:val="24"/>
          <w:szCs w:val="24"/>
          <w:lang w:val="en-GB"/>
        </w:rPr>
        <w:t xml:space="preserve">, S.M., </w:t>
      </w:r>
      <w:proofErr w:type="spellStart"/>
      <w:r w:rsidRPr="00C95299">
        <w:rPr>
          <w:rFonts w:ascii="Times New Roman" w:hAnsi="Times New Roman"/>
          <w:sz w:val="24"/>
          <w:szCs w:val="24"/>
          <w:lang w:val="en-GB"/>
        </w:rPr>
        <w:t>Kumanan</w:t>
      </w:r>
      <w:proofErr w:type="spellEnd"/>
      <w:r w:rsidRPr="00C95299">
        <w:rPr>
          <w:rFonts w:ascii="Times New Roman" w:hAnsi="Times New Roman"/>
          <w:sz w:val="24"/>
          <w:szCs w:val="24"/>
          <w:lang w:val="en-GB"/>
        </w:rPr>
        <w:t xml:space="preserve">, C.J., &amp; Palanivel, K. (2013). GIS based solutions for waste disposals- Geospatial World. Available at: </w:t>
      </w:r>
      <w:hyperlink r:id="rId14" w:history="1">
        <w:r w:rsidRPr="00C95299">
          <w:rPr>
            <w:rStyle w:val="Hyperlink"/>
            <w:rFonts w:ascii="Times New Roman" w:hAnsi="Times New Roman"/>
            <w:color w:val="auto"/>
            <w:sz w:val="24"/>
            <w:szCs w:val="24"/>
            <w:lang w:val="en-GB"/>
          </w:rPr>
          <w:t>https://www.geospatialworld.net/article/gis-based-solutions-for-waste-</w:t>
        </w:r>
      </w:hyperlink>
      <w:r w:rsidRPr="00C95299">
        <w:rPr>
          <w:rFonts w:ascii="Times New Roman" w:hAnsi="Times New Roman"/>
          <w:sz w:val="24"/>
          <w:szCs w:val="24"/>
          <w:lang w:val="en-GB"/>
        </w:rPr>
        <w:t>...</w:t>
      </w:r>
    </w:p>
    <w:p w14:paraId="7A3B6644" w14:textId="77777777" w:rsidR="00DB5150" w:rsidRPr="00C95299" w:rsidRDefault="00DB5150" w:rsidP="00DB5150">
      <w:pPr>
        <w:spacing w:after="0" w:line="240" w:lineRule="auto"/>
        <w:ind w:left="720" w:right="0" w:hanging="720"/>
        <w:rPr>
          <w:rFonts w:ascii="Times New Roman" w:eastAsia="Times New Roman" w:hAnsi="Times New Roman"/>
          <w:sz w:val="24"/>
          <w:szCs w:val="24"/>
          <w:lang w:val="en-GB"/>
        </w:rPr>
      </w:pPr>
      <w:r w:rsidRPr="00C95299">
        <w:rPr>
          <w:rFonts w:ascii="Times New Roman" w:hAnsi="Times New Roman"/>
          <w:sz w:val="24"/>
          <w:szCs w:val="24"/>
          <w:shd w:val="clear" w:color="auto" w:fill="FFFFFF"/>
          <w:lang w:val="en-GB"/>
        </w:rPr>
        <w:t xml:space="preserve">Rauch, R., Kiros, Y., Engvall, K., </w:t>
      </w:r>
      <w:proofErr w:type="spellStart"/>
      <w:r w:rsidRPr="00C95299">
        <w:rPr>
          <w:rFonts w:ascii="Times New Roman" w:hAnsi="Times New Roman"/>
          <w:sz w:val="24"/>
          <w:szCs w:val="24"/>
          <w:shd w:val="clear" w:color="auto" w:fill="FFFFFF"/>
          <w:lang w:val="en-GB"/>
        </w:rPr>
        <w:t>Kantarelis</w:t>
      </w:r>
      <w:proofErr w:type="spellEnd"/>
      <w:r w:rsidRPr="00C95299">
        <w:rPr>
          <w:rFonts w:ascii="Times New Roman" w:hAnsi="Times New Roman"/>
          <w:sz w:val="24"/>
          <w:szCs w:val="24"/>
          <w:shd w:val="clear" w:color="auto" w:fill="FFFFFF"/>
          <w:lang w:val="en-GB"/>
        </w:rPr>
        <w:t>, E., Brito, P., Nobre, C. &amp; Graefe, P. A. (2024). Hydrogen from waste gasification. </w:t>
      </w:r>
      <w:r w:rsidRPr="00C95299">
        <w:rPr>
          <w:rFonts w:ascii="Times New Roman" w:hAnsi="Times New Roman"/>
          <w:i/>
          <w:iCs/>
          <w:sz w:val="24"/>
          <w:szCs w:val="24"/>
          <w:shd w:val="clear" w:color="auto" w:fill="FFFFFF"/>
          <w:lang w:val="en-GB"/>
        </w:rPr>
        <w:t>Hydrogen</w:t>
      </w:r>
      <w:r w:rsidRPr="00C95299">
        <w:rPr>
          <w:rFonts w:ascii="Times New Roman" w:hAnsi="Times New Roman"/>
          <w:sz w:val="24"/>
          <w:szCs w:val="24"/>
          <w:shd w:val="clear" w:color="auto" w:fill="FFFFFF"/>
          <w:lang w:val="en-GB"/>
        </w:rPr>
        <w:t>, </w:t>
      </w:r>
      <w:r w:rsidRPr="00C95299">
        <w:rPr>
          <w:rFonts w:ascii="Times New Roman" w:hAnsi="Times New Roman"/>
          <w:i/>
          <w:iCs/>
          <w:sz w:val="24"/>
          <w:szCs w:val="24"/>
          <w:shd w:val="clear" w:color="auto" w:fill="FFFFFF"/>
          <w:lang w:val="en-GB"/>
        </w:rPr>
        <w:t>5</w:t>
      </w:r>
      <w:r w:rsidRPr="00C95299">
        <w:rPr>
          <w:rFonts w:ascii="Times New Roman" w:hAnsi="Times New Roman"/>
          <w:sz w:val="24"/>
          <w:szCs w:val="24"/>
          <w:shd w:val="clear" w:color="auto" w:fill="FFFFFF"/>
          <w:lang w:val="en-GB"/>
        </w:rPr>
        <w:t>(1), 70-101.</w:t>
      </w:r>
    </w:p>
    <w:p w14:paraId="53CF3C6F" w14:textId="77777777" w:rsidR="00DB5150" w:rsidRPr="00C95299" w:rsidRDefault="00DB5150" w:rsidP="00DB5150">
      <w:pPr>
        <w:shd w:val="clear" w:color="auto" w:fill="FFFFFF"/>
        <w:spacing w:after="0" w:line="240" w:lineRule="auto"/>
        <w:ind w:left="720" w:right="0" w:hanging="720"/>
        <w:rPr>
          <w:rFonts w:ascii="Times New Roman" w:eastAsia="Times New Roman" w:hAnsi="Times New Roman"/>
          <w:sz w:val="24"/>
          <w:szCs w:val="24"/>
          <w:lang w:val="en-GB"/>
        </w:rPr>
      </w:pPr>
      <w:proofErr w:type="spellStart"/>
      <w:r w:rsidRPr="00C95299">
        <w:rPr>
          <w:rFonts w:ascii="Times New Roman" w:hAnsi="Times New Roman"/>
          <w:sz w:val="24"/>
          <w:szCs w:val="24"/>
          <w:lang w:val="en-GB"/>
        </w:rPr>
        <w:t>Tamunobereton-ari</w:t>
      </w:r>
      <w:proofErr w:type="spellEnd"/>
      <w:r w:rsidRPr="00C95299">
        <w:rPr>
          <w:rFonts w:ascii="Times New Roman" w:hAnsi="Times New Roman"/>
          <w:sz w:val="24"/>
          <w:szCs w:val="24"/>
          <w:lang w:val="en-GB"/>
        </w:rPr>
        <w:t xml:space="preserve">, I., </w:t>
      </w:r>
      <w:proofErr w:type="spellStart"/>
      <w:r w:rsidRPr="00C95299">
        <w:rPr>
          <w:rFonts w:ascii="Times New Roman" w:hAnsi="Times New Roman"/>
          <w:sz w:val="24"/>
          <w:szCs w:val="24"/>
          <w:lang w:val="en-GB"/>
        </w:rPr>
        <w:t>Omobu-Pepple</w:t>
      </w:r>
      <w:proofErr w:type="spellEnd"/>
      <w:r w:rsidRPr="00C95299">
        <w:rPr>
          <w:rFonts w:ascii="Times New Roman" w:hAnsi="Times New Roman"/>
          <w:sz w:val="24"/>
          <w:szCs w:val="24"/>
          <w:lang w:val="en-GB"/>
        </w:rPr>
        <w:t xml:space="preserve">, V.B., &amp; </w:t>
      </w:r>
      <w:proofErr w:type="spellStart"/>
      <w:r w:rsidRPr="00C95299">
        <w:rPr>
          <w:rFonts w:ascii="Times New Roman" w:hAnsi="Times New Roman"/>
          <w:sz w:val="24"/>
          <w:szCs w:val="24"/>
          <w:lang w:val="en-GB"/>
        </w:rPr>
        <w:t>Igbani</w:t>
      </w:r>
      <w:proofErr w:type="spellEnd"/>
      <w:r w:rsidRPr="00C95299">
        <w:rPr>
          <w:rFonts w:ascii="Times New Roman" w:hAnsi="Times New Roman"/>
          <w:sz w:val="24"/>
          <w:szCs w:val="24"/>
          <w:lang w:val="en-GB"/>
        </w:rPr>
        <w:t xml:space="preserve">, G.N. (2012). Solid waste management approach in Port Harcourt Municipality, Rivers State, Nigeria: the effects on public health and the environment. </w:t>
      </w:r>
      <w:r w:rsidRPr="00C95299">
        <w:rPr>
          <w:rFonts w:ascii="Times New Roman" w:hAnsi="Times New Roman"/>
          <w:i/>
          <w:sz w:val="24"/>
          <w:szCs w:val="24"/>
          <w:lang w:val="en-GB"/>
        </w:rPr>
        <w:t>Asian Journal of Science and Technology, 4</w:t>
      </w:r>
      <w:r w:rsidRPr="00C95299">
        <w:rPr>
          <w:rFonts w:ascii="Times New Roman" w:hAnsi="Times New Roman"/>
          <w:sz w:val="24"/>
          <w:szCs w:val="24"/>
          <w:lang w:val="en-GB"/>
        </w:rPr>
        <w:t>(12), 42-54.</w:t>
      </w:r>
    </w:p>
    <w:p w14:paraId="504E405F" w14:textId="77777777" w:rsidR="00DB5150" w:rsidRPr="00C95299" w:rsidRDefault="00DB5150" w:rsidP="00DB5150">
      <w:pPr>
        <w:shd w:val="clear" w:color="auto" w:fill="FFFFFF"/>
        <w:spacing w:after="0" w:line="240" w:lineRule="auto"/>
        <w:ind w:left="720" w:right="0" w:hanging="720"/>
        <w:rPr>
          <w:rFonts w:ascii="Times New Roman" w:eastAsia="Times New Roman" w:hAnsi="Times New Roman"/>
          <w:sz w:val="24"/>
          <w:szCs w:val="24"/>
          <w:lang w:val="en-GB"/>
        </w:rPr>
      </w:pPr>
      <w:r w:rsidRPr="00C95299">
        <w:rPr>
          <w:rFonts w:ascii="Times New Roman" w:hAnsi="Times New Roman"/>
          <w:sz w:val="24"/>
          <w:szCs w:val="24"/>
          <w:shd w:val="clear" w:color="auto" w:fill="FFFFFF"/>
          <w:lang w:val="en-GB"/>
        </w:rPr>
        <w:t>UNDP (2019). Population growth: Implications for human development.</w:t>
      </w:r>
    </w:p>
    <w:p w14:paraId="65085261" w14:textId="77777777" w:rsidR="00DB5150" w:rsidRPr="00C95299" w:rsidRDefault="00DB5150" w:rsidP="00DB5150">
      <w:pPr>
        <w:shd w:val="clear" w:color="auto" w:fill="FFFFFF"/>
        <w:spacing w:after="0" w:line="240" w:lineRule="auto"/>
        <w:ind w:left="720" w:right="0" w:hanging="720"/>
        <w:rPr>
          <w:rFonts w:ascii="Times New Roman" w:eastAsia="Times New Roman" w:hAnsi="Times New Roman"/>
          <w:sz w:val="24"/>
          <w:szCs w:val="24"/>
          <w:lang w:val="en-GB"/>
        </w:rPr>
      </w:pPr>
      <w:r w:rsidRPr="00C95299">
        <w:rPr>
          <w:rFonts w:ascii="Times New Roman" w:hAnsi="Times New Roman"/>
          <w:sz w:val="24"/>
          <w:szCs w:val="24"/>
          <w:shd w:val="clear" w:color="auto" w:fill="FFFFFF"/>
          <w:lang w:val="en-GB"/>
        </w:rPr>
        <w:t>Un-Habitat. (2010). </w:t>
      </w:r>
      <w:r w:rsidRPr="00C95299">
        <w:rPr>
          <w:rFonts w:ascii="Times New Roman" w:hAnsi="Times New Roman"/>
          <w:i/>
          <w:iCs/>
          <w:sz w:val="24"/>
          <w:szCs w:val="24"/>
          <w:shd w:val="clear" w:color="auto" w:fill="FFFFFF"/>
          <w:lang w:val="en-GB"/>
        </w:rPr>
        <w:t>Solid waste management in the world's cities: Water and sanitation in the world's cities 2010</w:t>
      </w:r>
      <w:r w:rsidRPr="00C95299">
        <w:rPr>
          <w:rFonts w:ascii="Times New Roman" w:hAnsi="Times New Roman"/>
          <w:sz w:val="24"/>
          <w:szCs w:val="24"/>
          <w:shd w:val="clear" w:color="auto" w:fill="FFFFFF"/>
          <w:lang w:val="en-GB"/>
        </w:rPr>
        <w:t>. Routledge.</w:t>
      </w:r>
    </w:p>
    <w:p w14:paraId="0B4D333A" w14:textId="77777777" w:rsidR="00DB5150" w:rsidRPr="00C95299" w:rsidRDefault="00DB5150" w:rsidP="00DB5150">
      <w:pPr>
        <w:shd w:val="clear" w:color="auto" w:fill="FFFFFF"/>
        <w:spacing w:after="0" w:line="240" w:lineRule="auto"/>
        <w:ind w:left="720" w:right="0" w:hanging="720"/>
        <w:rPr>
          <w:rFonts w:ascii="Times New Roman" w:eastAsia="Times New Roman" w:hAnsi="Times New Roman"/>
          <w:sz w:val="24"/>
          <w:szCs w:val="24"/>
          <w:lang w:val="en-GB"/>
        </w:rPr>
      </w:pPr>
      <w:r w:rsidRPr="00C95299">
        <w:rPr>
          <w:rFonts w:ascii="Times New Roman" w:hAnsi="Times New Roman"/>
          <w:sz w:val="24"/>
          <w:szCs w:val="24"/>
          <w:lang w:val="en-GB"/>
        </w:rPr>
        <w:t xml:space="preserve">United Nations Projections (2018). World Population Projections. https:// </w:t>
      </w:r>
      <w:hyperlink r:id="rId15" w:anchor=":~:text" w:history="1">
        <w:r w:rsidRPr="00C95299">
          <w:rPr>
            <w:rStyle w:val="Hyperlink"/>
            <w:rFonts w:ascii="Times New Roman" w:hAnsi="Times New Roman"/>
            <w:color w:val="auto"/>
            <w:sz w:val="24"/>
            <w:szCs w:val="24"/>
            <w:lang w:val="en-GB"/>
          </w:rPr>
          <w:t>www.macrotrends.net/cities/22018/port-harcourt/population#:~:text</w:t>
        </w:r>
      </w:hyperlink>
      <w:r w:rsidRPr="00C95299">
        <w:rPr>
          <w:rFonts w:ascii="Times New Roman" w:hAnsi="Times New Roman"/>
          <w:sz w:val="24"/>
          <w:szCs w:val="24"/>
          <w:lang w:val="en-GB"/>
        </w:rPr>
        <w:t>=...   Retrieved 2022-03-14</w:t>
      </w:r>
      <w:r w:rsidRPr="00C95299">
        <w:rPr>
          <w:rFonts w:ascii="Times New Roman" w:eastAsia="Times New Roman" w:hAnsi="Times New Roman"/>
          <w:sz w:val="24"/>
          <w:szCs w:val="24"/>
          <w:lang w:val="en-GB"/>
        </w:rPr>
        <w:t>.</w:t>
      </w:r>
    </w:p>
    <w:p w14:paraId="2BB2DF56" w14:textId="77777777" w:rsidR="00DB5150" w:rsidRPr="00C95299" w:rsidRDefault="00DB5150" w:rsidP="00DB5150">
      <w:pPr>
        <w:shd w:val="clear" w:color="auto" w:fill="FFFFFF"/>
        <w:spacing w:after="0" w:line="240" w:lineRule="auto"/>
        <w:ind w:left="720" w:right="0" w:hanging="720"/>
        <w:rPr>
          <w:rFonts w:ascii="Times New Roman" w:eastAsia="Times New Roman" w:hAnsi="Times New Roman"/>
          <w:sz w:val="24"/>
          <w:szCs w:val="24"/>
          <w:lang w:val="en-GB"/>
        </w:rPr>
      </w:pPr>
      <w:r w:rsidRPr="00C95299">
        <w:rPr>
          <w:rFonts w:ascii="Times New Roman" w:hAnsi="Times New Roman"/>
          <w:sz w:val="24"/>
          <w:szCs w:val="24"/>
          <w:shd w:val="clear" w:color="auto" w:fill="FFFFFF"/>
          <w:lang w:val="en-GB"/>
        </w:rPr>
        <w:t>Wilson, D. C., Rodic, L., Scheinberg, A., Velis, C. A., &amp; Alabaster, G. (2012). Comparative analysis of solid waste management in 20 cities. </w:t>
      </w:r>
      <w:r w:rsidRPr="00C95299">
        <w:rPr>
          <w:rFonts w:ascii="Times New Roman" w:hAnsi="Times New Roman"/>
          <w:i/>
          <w:iCs/>
          <w:sz w:val="24"/>
          <w:szCs w:val="24"/>
          <w:shd w:val="clear" w:color="auto" w:fill="FFFFFF"/>
          <w:lang w:val="en-GB"/>
        </w:rPr>
        <w:t>Waste management &amp; research</w:t>
      </w:r>
      <w:r w:rsidRPr="00C95299">
        <w:rPr>
          <w:rFonts w:ascii="Times New Roman" w:hAnsi="Times New Roman"/>
          <w:sz w:val="24"/>
          <w:szCs w:val="24"/>
          <w:shd w:val="clear" w:color="auto" w:fill="FFFFFF"/>
          <w:lang w:val="en-GB"/>
        </w:rPr>
        <w:t>, </w:t>
      </w:r>
      <w:r w:rsidRPr="00C95299">
        <w:rPr>
          <w:rFonts w:ascii="Times New Roman" w:hAnsi="Times New Roman"/>
          <w:i/>
          <w:iCs/>
          <w:sz w:val="24"/>
          <w:szCs w:val="24"/>
          <w:shd w:val="clear" w:color="auto" w:fill="FFFFFF"/>
          <w:lang w:val="en-GB"/>
        </w:rPr>
        <w:t>30</w:t>
      </w:r>
      <w:r w:rsidRPr="00C95299">
        <w:rPr>
          <w:rFonts w:ascii="Times New Roman" w:hAnsi="Times New Roman"/>
          <w:sz w:val="24"/>
          <w:szCs w:val="24"/>
          <w:shd w:val="clear" w:color="auto" w:fill="FFFFFF"/>
          <w:lang w:val="en-GB"/>
        </w:rPr>
        <w:t>(3), 237-254.</w:t>
      </w:r>
    </w:p>
    <w:p w14:paraId="082EA09D" w14:textId="77777777" w:rsidR="00DB5150" w:rsidRPr="00C95299" w:rsidRDefault="00DB5150" w:rsidP="00DB5150">
      <w:pPr>
        <w:shd w:val="clear" w:color="auto" w:fill="FFFFFF"/>
        <w:spacing w:after="0" w:line="240" w:lineRule="auto"/>
        <w:ind w:left="720" w:right="0" w:hanging="720"/>
        <w:rPr>
          <w:rFonts w:ascii="Times New Roman" w:eastAsia="Times New Roman" w:hAnsi="Times New Roman"/>
          <w:sz w:val="24"/>
          <w:szCs w:val="24"/>
          <w:lang w:val="en-GB"/>
        </w:rPr>
      </w:pPr>
      <w:r w:rsidRPr="00C95299">
        <w:rPr>
          <w:rFonts w:ascii="Times New Roman" w:hAnsi="Times New Roman"/>
          <w:sz w:val="24"/>
          <w:szCs w:val="24"/>
          <w:lang w:val="en-GB"/>
        </w:rPr>
        <w:t xml:space="preserve">World Bank (2021). Bridging the Gap in Solid Waste Management. https:// </w:t>
      </w:r>
      <w:hyperlink r:id="rId16" w:history="1">
        <w:r w:rsidRPr="00C95299">
          <w:rPr>
            <w:rStyle w:val="Hyperlink"/>
            <w:rFonts w:ascii="Times New Roman" w:hAnsi="Times New Roman"/>
            <w:color w:val="auto"/>
            <w:sz w:val="24"/>
            <w:szCs w:val="24"/>
            <w:lang w:val="en-GB"/>
          </w:rPr>
          <w:t>www.worldbank.org/en/topic/urbandevelopment/publication/bridging-the-gap-in-solid-waste-management</w:t>
        </w:r>
      </w:hyperlink>
      <w:r w:rsidRPr="00C95299">
        <w:rPr>
          <w:rFonts w:ascii="Times New Roman" w:hAnsi="Times New Roman"/>
          <w:sz w:val="24"/>
          <w:szCs w:val="24"/>
          <w:lang w:val="en-GB"/>
        </w:rPr>
        <w:t xml:space="preserve">     Retrieved 2022-03-21</w:t>
      </w:r>
      <w:r w:rsidRPr="00C95299">
        <w:rPr>
          <w:rFonts w:ascii="Times New Roman" w:eastAsia="Times New Roman" w:hAnsi="Times New Roman"/>
          <w:sz w:val="24"/>
          <w:szCs w:val="24"/>
          <w:lang w:val="en-GB"/>
        </w:rPr>
        <w:t>.</w:t>
      </w:r>
    </w:p>
    <w:p w14:paraId="7FD46D9D" w14:textId="77777777" w:rsidR="00DB5150" w:rsidRPr="00C95299" w:rsidRDefault="00DB5150" w:rsidP="00DB5150">
      <w:pPr>
        <w:shd w:val="clear" w:color="auto" w:fill="FFFFFF"/>
        <w:spacing w:after="0" w:line="240" w:lineRule="auto"/>
        <w:ind w:left="720" w:right="0" w:hanging="720"/>
        <w:rPr>
          <w:rFonts w:ascii="Times New Roman" w:eastAsia="Times New Roman" w:hAnsi="Times New Roman"/>
          <w:sz w:val="24"/>
          <w:szCs w:val="24"/>
          <w:lang w:val="en-GB"/>
        </w:rPr>
      </w:pPr>
      <w:r w:rsidRPr="00C95299">
        <w:rPr>
          <w:rFonts w:ascii="Times New Roman" w:hAnsi="Times New Roman"/>
          <w:sz w:val="24"/>
          <w:szCs w:val="24"/>
          <w:lang w:val="en-GB"/>
        </w:rPr>
        <w:t xml:space="preserve">World Health Organization (WHO) (2016). Health of the People. </w:t>
      </w:r>
      <w:r w:rsidRPr="00C95299">
        <w:rPr>
          <w:rFonts w:ascii="Times New Roman" w:hAnsi="Times New Roman"/>
          <w:i/>
          <w:sz w:val="24"/>
          <w:szCs w:val="24"/>
          <w:lang w:val="en-GB"/>
        </w:rPr>
        <w:t>The African Regional Report, 32</w:t>
      </w:r>
      <w:r w:rsidRPr="00C95299">
        <w:rPr>
          <w:rFonts w:ascii="Times New Roman" w:hAnsi="Times New Roman"/>
          <w:sz w:val="24"/>
          <w:szCs w:val="24"/>
          <w:lang w:val="en-GB"/>
        </w:rPr>
        <w:t>(14), 45-55.</w:t>
      </w:r>
    </w:p>
    <w:p w14:paraId="137E2449" w14:textId="77777777" w:rsidR="00DB5150" w:rsidRPr="00C95299" w:rsidRDefault="00DB5150" w:rsidP="00DB5150">
      <w:pPr>
        <w:shd w:val="clear" w:color="auto" w:fill="FFFFFF"/>
        <w:spacing w:after="0" w:line="240" w:lineRule="auto"/>
        <w:ind w:left="720" w:right="0" w:hanging="720"/>
        <w:rPr>
          <w:rFonts w:ascii="Times New Roman" w:eastAsia="Times New Roman" w:hAnsi="Times New Roman"/>
          <w:sz w:val="24"/>
          <w:szCs w:val="24"/>
          <w:lang w:val="en-GB"/>
        </w:rPr>
      </w:pPr>
      <w:r w:rsidRPr="00C95299">
        <w:rPr>
          <w:rFonts w:ascii="Times New Roman" w:hAnsi="Times New Roman"/>
          <w:sz w:val="24"/>
          <w:szCs w:val="24"/>
          <w:lang w:val="en-GB"/>
        </w:rPr>
        <w:t>Yamane, T. (1967). Statistics: An Introductory Analysis, 2</w:t>
      </w:r>
      <w:r w:rsidRPr="00C95299">
        <w:rPr>
          <w:rFonts w:ascii="Times New Roman" w:hAnsi="Times New Roman"/>
          <w:sz w:val="24"/>
          <w:szCs w:val="24"/>
          <w:vertAlign w:val="superscript"/>
          <w:lang w:val="en-GB"/>
        </w:rPr>
        <w:t>nd</w:t>
      </w:r>
      <w:r w:rsidRPr="00C95299">
        <w:rPr>
          <w:rFonts w:ascii="Times New Roman" w:hAnsi="Times New Roman"/>
          <w:sz w:val="24"/>
          <w:szCs w:val="24"/>
          <w:lang w:val="en-GB"/>
        </w:rPr>
        <w:t xml:space="preserve"> </w:t>
      </w:r>
      <w:proofErr w:type="spellStart"/>
      <w:r w:rsidRPr="00C95299">
        <w:rPr>
          <w:rFonts w:ascii="Times New Roman" w:hAnsi="Times New Roman"/>
          <w:sz w:val="24"/>
          <w:szCs w:val="24"/>
          <w:lang w:val="en-GB"/>
        </w:rPr>
        <w:t>Edition.Harper</w:t>
      </w:r>
      <w:proofErr w:type="spellEnd"/>
      <w:r w:rsidRPr="00C95299">
        <w:rPr>
          <w:rFonts w:ascii="Times New Roman" w:hAnsi="Times New Roman"/>
          <w:sz w:val="24"/>
          <w:szCs w:val="24"/>
          <w:lang w:val="en-GB"/>
        </w:rPr>
        <w:t xml:space="preserve"> and Row, New York.</w:t>
      </w:r>
    </w:p>
    <w:p w14:paraId="6942CEEC" w14:textId="77777777" w:rsidR="003916B1" w:rsidRPr="00C95299" w:rsidRDefault="003916B1" w:rsidP="004B0B82">
      <w:pPr>
        <w:spacing w:after="0" w:line="240" w:lineRule="auto"/>
        <w:ind w:right="0"/>
        <w:rPr>
          <w:rFonts w:ascii="Times New Roman" w:hAnsi="Times New Roman"/>
          <w:b/>
          <w:sz w:val="24"/>
          <w:szCs w:val="24"/>
          <w:lang w:val="en-GB"/>
        </w:rPr>
      </w:pPr>
    </w:p>
    <w:sectPr w:rsidR="003916B1" w:rsidRPr="00C95299">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09CDD" w14:textId="77777777" w:rsidR="00E547F6" w:rsidRDefault="00E547F6" w:rsidP="00F13965">
      <w:pPr>
        <w:spacing w:after="0" w:line="240" w:lineRule="auto"/>
      </w:pPr>
      <w:r>
        <w:separator/>
      </w:r>
    </w:p>
  </w:endnote>
  <w:endnote w:type="continuationSeparator" w:id="0">
    <w:p w14:paraId="781E7CFD" w14:textId="77777777" w:rsidR="00E547F6" w:rsidRDefault="00E547F6" w:rsidP="00F13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B711A" w14:textId="77777777" w:rsidR="00F13965" w:rsidRDefault="00F139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4EBA4" w14:textId="77777777" w:rsidR="00F13965" w:rsidRDefault="00F13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78252" w14:textId="77777777" w:rsidR="00F13965" w:rsidRDefault="00F13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17745" w14:textId="77777777" w:rsidR="00E547F6" w:rsidRDefault="00E547F6" w:rsidP="00F13965">
      <w:pPr>
        <w:spacing w:after="0" w:line="240" w:lineRule="auto"/>
      </w:pPr>
      <w:r>
        <w:separator/>
      </w:r>
    </w:p>
  </w:footnote>
  <w:footnote w:type="continuationSeparator" w:id="0">
    <w:p w14:paraId="38B732AF" w14:textId="77777777" w:rsidR="00E547F6" w:rsidRDefault="00E547F6" w:rsidP="00F13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CF49D" w14:textId="3DF3A3FB" w:rsidR="00F13965" w:rsidRDefault="00F13965">
    <w:pPr>
      <w:pStyle w:val="Header"/>
    </w:pPr>
    <w:r>
      <w:rPr>
        <w:noProof/>
      </w:rPr>
      <w:pict w14:anchorId="58A7F1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052626"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66D4C" w14:textId="4C806E83" w:rsidR="00F13965" w:rsidRDefault="00F13965">
    <w:pPr>
      <w:pStyle w:val="Header"/>
    </w:pPr>
    <w:r>
      <w:rPr>
        <w:noProof/>
      </w:rPr>
      <w:pict w14:anchorId="1DD697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052627"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AABF0" w14:textId="2059D6FC" w:rsidR="00F13965" w:rsidRDefault="00F13965">
    <w:pPr>
      <w:pStyle w:val="Header"/>
    </w:pPr>
    <w:r>
      <w:rPr>
        <w:noProof/>
      </w:rPr>
      <w:pict w14:anchorId="075D4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052625"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6A23FC"/>
    <w:multiLevelType w:val="multilevel"/>
    <w:tmpl w:val="376A23FC"/>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7E22E8A"/>
    <w:multiLevelType w:val="multilevel"/>
    <w:tmpl w:val="57E22E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0B82"/>
    <w:rsid w:val="00067391"/>
    <w:rsid w:val="00075450"/>
    <w:rsid w:val="000851AE"/>
    <w:rsid w:val="000E45BD"/>
    <w:rsid w:val="00123E73"/>
    <w:rsid w:val="00132140"/>
    <w:rsid w:val="001C6DCA"/>
    <w:rsid w:val="002C3BFF"/>
    <w:rsid w:val="00354F20"/>
    <w:rsid w:val="0035622C"/>
    <w:rsid w:val="003916B1"/>
    <w:rsid w:val="00392A63"/>
    <w:rsid w:val="003B3B04"/>
    <w:rsid w:val="003D6063"/>
    <w:rsid w:val="003F4BD3"/>
    <w:rsid w:val="00417602"/>
    <w:rsid w:val="00445534"/>
    <w:rsid w:val="0045538B"/>
    <w:rsid w:val="004A51EC"/>
    <w:rsid w:val="004A71EF"/>
    <w:rsid w:val="004B0B82"/>
    <w:rsid w:val="004F6735"/>
    <w:rsid w:val="00540F86"/>
    <w:rsid w:val="005C3C55"/>
    <w:rsid w:val="006264B6"/>
    <w:rsid w:val="0063221E"/>
    <w:rsid w:val="00656C7B"/>
    <w:rsid w:val="00657982"/>
    <w:rsid w:val="007074C0"/>
    <w:rsid w:val="00712CC0"/>
    <w:rsid w:val="00816BE2"/>
    <w:rsid w:val="00860474"/>
    <w:rsid w:val="008723A7"/>
    <w:rsid w:val="008A306A"/>
    <w:rsid w:val="008C23FE"/>
    <w:rsid w:val="008E3E62"/>
    <w:rsid w:val="008E6A3A"/>
    <w:rsid w:val="00924CAF"/>
    <w:rsid w:val="00946DDA"/>
    <w:rsid w:val="009C3AB8"/>
    <w:rsid w:val="00A21771"/>
    <w:rsid w:val="00A7058B"/>
    <w:rsid w:val="00AC106D"/>
    <w:rsid w:val="00AF3E49"/>
    <w:rsid w:val="00B8683C"/>
    <w:rsid w:val="00BB5521"/>
    <w:rsid w:val="00BC1C81"/>
    <w:rsid w:val="00BD63FF"/>
    <w:rsid w:val="00BF4C7B"/>
    <w:rsid w:val="00C2672F"/>
    <w:rsid w:val="00C60347"/>
    <w:rsid w:val="00C701A6"/>
    <w:rsid w:val="00C86873"/>
    <w:rsid w:val="00C95299"/>
    <w:rsid w:val="00CB5FB8"/>
    <w:rsid w:val="00D10115"/>
    <w:rsid w:val="00D460A8"/>
    <w:rsid w:val="00DB5150"/>
    <w:rsid w:val="00DB772A"/>
    <w:rsid w:val="00DE5DC9"/>
    <w:rsid w:val="00DF5230"/>
    <w:rsid w:val="00E36B63"/>
    <w:rsid w:val="00E547F6"/>
    <w:rsid w:val="00E56B00"/>
    <w:rsid w:val="00E77C23"/>
    <w:rsid w:val="00EA1298"/>
    <w:rsid w:val="00EF6FF2"/>
    <w:rsid w:val="00F01995"/>
    <w:rsid w:val="00F023C3"/>
    <w:rsid w:val="00F102B9"/>
    <w:rsid w:val="00F13965"/>
    <w:rsid w:val="00F32B0B"/>
    <w:rsid w:val="00F96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1CA469"/>
  <w15:docId w15:val="{A8E010E3-DC8B-468F-94FE-2663C97D8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0B82"/>
    <w:pPr>
      <w:ind w:right="806"/>
      <w:jc w:val="both"/>
    </w:pPr>
    <w:rPr>
      <w:rFonts w:ascii="Calibri" w:eastAsia="Calibri" w:hAnsi="Calibri" w:cs="Times New Roman"/>
    </w:rPr>
  </w:style>
  <w:style w:type="paragraph" w:styleId="Heading2">
    <w:name w:val="heading 2"/>
    <w:basedOn w:val="Normal"/>
    <w:next w:val="Normal"/>
    <w:link w:val="Heading2Char"/>
    <w:uiPriority w:val="99"/>
    <w:qFormat/>
    <w:rsid w:val="00DB5150"/>
    <w:pPr>
      <w:autoSpaceDE w:val="0"/>
      <w:autoSpaceDN w:val="0"/>
      <w:adjustRightInd w:val="0"/>
      <w:spacing w:after="0" w:line="240" w:lineRule="auto"/>
      <w:ind w:right="0"/>
      <w:jc w:val="left"/>
      <w:outlineLvl w:val="1"/>
    </w:pPr>
    <w:rPr>
      <w:rFonts w:ascii="Courier New" w:hAnsi="Courier New" w:cs="Courier New"/>
      <w:b/>
      <w:bCs/>
      <w:i/>
      <w:iCs/>
      <w:color w:val="000000"/>
      <w:sz w:val="28"/>
      <w:szCs w:val="28"/>
    </w:rPr>
  </w:style>
  <w:style w:type="paragraph" w:styleId="Heading3">
    <w:name w:val="heading 3"/>
    <w:basedOn w:val="Normal"/>
    <w:next w:val="Normal"/>
    <w:link w:val="Heading3Char"/>
    <w:uiPriority w:val="9"/>
    <w:semiHidden/>
    <w:unhideWhenUsed/>
    <w:qFormat/>
    <w:rsid w:val="003F4BD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DB772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F4C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C7B"/>
    <w:rPr>
      <w:rFonts w:ascii="Tahoma" w:eastAsia="Calibri" w:hAnsi="Tahoma" w:cs="Tahoma"/>
      <w:sz w:val="16"/>
      <w:szCs w:val="16"/>
    </w:rPr>
  </w:style>
  <w:style w:type="paragraph" w:styleId="NormalWeb">
    <w:name w:val="Normal (Web)"/>
    <w:basedOn w:val="Normal"/>
    <w:uiPriority w:val="99"/>
    <w:unhideWhenUsed/>
    <w:rsid w:val="00D10115"/>
    <w:pPr>
      <w:spacing w:before="100" w:beforeAutospacing="1" w:after="100" w:afterAutospacing="1" w:line="240" w:lineRule="auto"/>
      <w:ind w:right="0"/>
      <w:jc w:val="left"/>
    </w:pPr>
    <w:rPr>
      <w:rFonts w:ascii="Times New Roman" w:eastAsia="Times New Roman" w:hAnsi="Times New Roman"/>
      <w:sz w:val="24"/>
      <w:szCs w:val="24"/>
      <w:lang w:val="en-GB" w:eastAsia="en-GB"/>
    </w:rPr>
  </w:style>
  <w:style w:type="paragraph" w:styleId="ListParagraph">
    <w:name w:val="List Paragraph"/>
    <w:basedOn w:val="Normal"/>
    <w:uiPriority w:val="34"/>
    <w:qFormat/>
    <w:rsid w:val="003916B1"/>
    <w:pPr>
      <w:ind w:left="720"/>
      <w:contextualSpacing/>
    </w:pPr>
  </w:style>
  <w:style w:type="character" w:customStyle="1" w:styleId="Heading2Char">
    <w:name w:val="Heading 2 Char"/>
    <w:basedOn w:val="DefaultParagraphFont"/>
    <w:link w:val="Heading2"/>
    <w:uiPriority w:val="99"/>
    <w:qFormat/>
    <w:rsid w:val="00DB5150"/>
    <w:rPr>
      <w:rFonts w:ascii="Courier New" w:eastAsia="Calibri" w:hAnsi="Courier New" w:cs="Courier New"/>
      <w:b/>
      <w:bCs/>
      <w:i/>
      <w:iCs/>
      <w:color w:val="000000"/>
      <w:sz w:val="28"/>
      <w:szCs w:val="28"/>
    </w:rPr>
  </w:style>
  <w:style w:type="character" w:styleId="Hyperlink">
    <w:name w:val="Hyperlink"/>
    <w:uiPriority w:val="99"/>
    <w:unhideWhenUsed/>
    <w:qFormat/>
    <w:rsid w:val="00DB5150"/>
    <w:rPr>
      <w:color w:val="0000FF"/>
      <w:u w:val="single"/>
    </w:rPr>
  </w:style>
  <w:style w:type="character" w:customStyle="1" w:styleId="ref-journal">
    <w:name w:val="ref-journal"/>
    <w:qFormat/>
    <w:rsid w:val="00DB5150"/>
  </w:style>
  <w:style w:type="character" w:customStyle="1" w:styleId="ref-vol">
    <w:name w:val="ref-vol"/>
    <w:qFormat/>
    <w:rsid w:val="00DB5150"/>
  </w:style>
  <w:style w:type="character" w:customStyle="1" w:styleId="anchor-text">
    <w:name w:val="anchor-text"/>
    <w:qFormat/>
    <w:rsid w:val="00DB5150"/>
  </w:style>
  <w:style w:type="character" w:customStyle="1" w:styleId="Heading3Char">
    <w:name w:val="Heading 3 Char"/>
    <w:basedOn w:val="DefaultParagraphFont"/>
    <w:link w:val="Heading3"/>
    <w:uiPriority w:val="9"/>
    <w:semiHidden/>
    <w:rsid w:val="003F4BD3"/>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3F4BD3"/>
    <w:rPr>
      <w:color w:val="605E5C"/>
      <w:shd w:val="clear" w:color="auto" w:fill="E1DFDD"/>
    </w:rPr>
  </w:style>
  <w:style w:type="paragraph" w:styleId="Header">
    <w:name w:val="header"/>
    <w:basedOn w:val="Normal"/>
    <w:link w:val="HeaderChar"/>
    <w:uiPriority w:val="99"/>
    <w:unhideWhenUsed/>
    <w:rsid w:val="00F13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965"/>
    <w:rPr>
      <w:rFonts w:ascii="Calibri" w:eastAsia="Calibri" w:hAnsi="Calibri" w:cs="Times New Roman"/>
    </w:rPr>
  </w:style>
  <w:style w:type="paragraph" w:styleId="Footer">
    <w:name w:val="footer"/>
    <w:basedOn w:val="Normal"/>
    <w:link w:val="FooterChar"/>
    <w:uiPriority w:val="99"/>
    <w:unhideWhenUsed/>
    <w:rsid w:val="00F13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96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dx.doi.org/10.9790/0837-1063439"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core.ac.uk/download/pdf/12356053.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worldbank.org/en/topic/urbandevelopment/publication/bridging-the-gap-in-solid-waste-management"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acrotrends.net/cities/22018/port-harcourt/population" TargetMode="Externa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www.geospatialworld.net/article/gis-based-solutions-for-waste-"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AppData\Roaming\Microsoft\Excel\Book1%20(version%201).xlsb"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AppData\Roaming\Microsoft\Excel\Book1%20(version%201).xlsb"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AppData\Roaming\Microsoft\Excel\Book1%20(version%201).xlsb"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AppData\Roaming\Microsoft\Excel\Book1%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GB"/>
              <a:t>SEX</a:t>
            </a:r>
          </a:p>
        </c:rich>
      </c:tx>
      <c:layout>
        <c:manualLayout>
          <c:xMode val="edge"/>
          <c:yMode val="edge"/>
          <c:x val="0.406715223097113"/>
          <c:y val="0"/>
        </c:manualLayout>
      </c:layout>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1BC-4B1A-B93A-CA3045F18BE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1BC-4B1A-B93A-CA3045F18BE7}"/>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multiLvlStrRef>
              <c:f>Sheet4!$A$2:$B$3</c:f>
              <c:multiLvlStrCache>
                <c:ptCount val="2"/>
                <c:lvl>
                  <c:pt idx="0">
                    <c:v>Male</c:v>
                  </c:pt>
                  <c:pt idx="1">
                    <c:v>Female</c:v>
                  </c:pt>
                </c:lvl>
                <c:lvl>
                  <c:pt idx="0">
                    <c:v>Sex</c:v>
                  </c:pt>
                </c:lvl>
              </c:multiLvlStrCache>
            </c:multiLvlStrRef>
          </c:cat>
          <c:val>
            <c:numRef>
              <c:f>Sheet4!$C$2:$C$3</c:f>
              <c:numCache>
                <c:formatCode>General</c:formatCode>
                <c:ptCount val="2"/>
                <c:pt idx="0">
                  <c:v>46.9</c:v>
                </c:pt>
                <c:pt idx="1">
                  <c:v>53.1</c:v>
                </c:pt>
              </c:numCache>
            </c:numRef>
          </c:val>
          <c:extLst>
            <c:ext xmlns:c16="http://schemas.microsoft.com/office/drawing/2014/chart" uri="{C3380CC4-5D6E-409C-BE32-E72D297353CC}">
              <c16:uniqueId val="{00000004-31BC-4B1A-B93A-CA3045F18BE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b60171fb-4fc9-4b93-b40e-e58841e8ea72}"/>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1"/>
            </a:solidFill>
            <a:ln>
              <a:noFill/>
            </a:ln>
            <a:effectLst/>
          </c:spPr>
          <c:invertIfNegative val="0"/>
          <c:cat>
            <c:multiLvlStrRef>
              <c:f>Sheet4!$A$4:$B$8</c:f>
              <c:multiLvlStrCache>
                <c:ptCount val="5"/>
                <c:lvl>
                  <c:pt idx="0">
                    <c:v>18–25</c:v>
                  </c:pt>
                  <c:pt idx="1">
                    <c:v>26–35</c:v>
                  </c:pt>
                  <c:pt idx="2">
                    <c:v>36–45</c:v>
                  </c:pt>
                  <c:pt idx="3">
                    <c:v>46–55</c:v>
                  </c:pt>
                  <c:pt idx="4">
                    <c:v>56 and above</c:v>
                  </c:pt>
                </c:lvl>
                <c:lvl>
                  <c:pt idx="0">
                    <c:v>Age Group</c:v>
                  </c:pt>
                </c:lvl>
              </c:multiLvlStrCache>
            </c:multiLvlStrRef>
          </c:cat>
          <c:val>
            <c:numRef>
              <c:f>Sheet4!$C$4:$C$8</c:f>
              <c:numCache>
                <c:formatCode>General</c:formatCode>
                <c:ptCount val="5"/>
                <c:pt idx="0">
                  <c:v>15.1</c:v>
                </c:pt>
                <c:pt idx="1">
                  <c:v>31.5</c:v>
                </c:pt>
                <c:pt idx="2">
                  <c:v>27.7</c:v>
                </c:pt>
                <c:pt idx="3">
                  <c:v>16.399999999999999</c:v>
                </c:pt>
                <c:pt idx="4">
                  <c:v>9.3000000000000007</c:v>
                </c:pt>
              </c:numCache>
            </c:numRef>
          </c:val>
          <c:extLst>
            <c:ext xmlns:c16="http://schemas.microsoft.com/office/drawing/2014/chart" uri="{C3380CC4-5D6E-409C-BE32-E72D297353CC}">
              <c16:uniqueId val="{00000000-13FA-40A3-BC25-59E9CA29F605}"/>
            </c:ext>
          </c:extLst>
        </c:ser>
        <c:dLbls>
          <c:showLegendKey val="0"/>
          <c:showVal val="0"/>
          <c:showCatName val="0"/>
          <c:showSerName val="0"/>
          <c:showPercent val="0"/>
          <c:showBubbleSize val="0"/>
        </c:dLbls>
        <c:gapWidth val="219"/>
        <c:overlap val="-27"/>
        <c:axId val="474468352"/>
        <c:axId val="474471040"/>
      </c:barChart>
      <c:catAx>
        <c:axId val="474468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74471040"/>
        <c:crosses val="autoZero"/>
        <c:auto val="1"/>
        <c:lblAlgn val="ctr"/>
        <c:lblOffset val="100"/>
        <c:noMultiLvlLbl val="0"/>
      </c:catAx>
      <c:valAx>
        <c:axId val="474471040"/>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GB"/>
                  <a:t>Percentages (%)</a:t>
                </a:r>
              </a:p>
            </c:rich>
          </c:tx>
          <c:layout>
            <c:manualLayout>
              <c:xMode val="edge"/>
              <c:yMode val="edge"/>
              <c:x val="2.5000000000000001E-2"/>
              <c:y val="0.33503098571012002"/>
            </c:manualLayout>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74468352"/>
        <c:crosses val="autoZero"/>
        <c:crossBetween val="between"/>
      </c:valAx>
      <c:spPr>
        <a:noFill/>
        <a:ln>
          <a:noFill/>
        </a:ln>
        <a:effectLst/>
      </c:spPr>
    </c:plotArea>
    <c:plotVisOnly val="1"/>
    <c:dispBlanksAs val="gap"/>
    <c:showDLblsOverMax val="0"/>
    <c:extLst>
      <c:ext uri="{0b15fc19-7d7d-44ad-8c2d-2c3a37ce22c3}">
        <chartProps xmlns="https://web.wps.cn/et/2018/main" chartId="{58e45e08-d3bf-40b4-b777-3b3877e2581f}"/>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00B0F0"/>
            </a:solidFill>
            <a:ln>
              <a:noFill/>
            </a:ln>
            <a:effectLst/>
          </c:spPr>
          <c:invertIfNegative val="0"/>
          <c:cat>
            <c:strRef>
              <c:f>Sheet4!$A$9:$B$12</c:f>
              <c:strCache>
                <c:ptCount val="4"/>
                <c:pt idx="0">
                  <c:v>Primary</c:v>
                </c:pt>
                <c:pt idx="1">
                  <c:v>Secondary</c:v>
                </c:pt>
                <c:pt idx="2">
                  <c:v>Tertiary</c:v>
                </c:pt>
                <c:pt idx="3">
                  <c:v>Others (specify)</c:v>
                </c:pt>
              </c:strCache>
            </c:strRef>
          </c:cat>
          <c:val>
            <c:numRef>
              <c:f>Sheet4!$C$9:$C$12</c:f>
              <c:numCache>
                <c:formatCode>General</c:formatCode>
                <c:ptCount val="4"/>
                <c:pt idx="0">
                  <c:v>16.600000000000001</c:v>
                </c:pt>
                <c:pt idx="1">
                  <c:v>37</c:v>
                </c:pt>
                <c:pt idx="2">
                  <c:v>40.799999999999997</c:v>
                </c:pt>
                <c:pt idx="3">
                  <c:v>5.5</c:v>
                </c:pt>
              </c:numCache>
            </c:numRef>
          </c:val>
          <c:extLst>
            <c:ext xmlns:c16="http://schemas.microsoft.com/office/drawing/2014/chart" uri="{C3380CC4-5D6E-409C-BE32-E72D297353CC}">
              <c16:uniqueId val="{00000000-5F02-4683-8548-4B67F22B74FA}"/>
            </c:ext>
          </c:extLst>
        </c:ser>
        <c:dLbls>
          <c:showLegendKey val="0"/>
          <c:showVal val="0"/>
          <c:showCatName val="0"/>
          <c:showSerName val="0"/>
          <c:showPercent val="0"/>
          <c:showBubbleSize val="0"/>
        </c:dLbls>
        <c:gapWidth val="182"/>
        <c:axId val="566104448"/>
        <c:axId val="566107520"/>
      </c:barChart>
      <c:catAx>
        <c:axId val="566104448"/>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GB"/>
                  <a:t>Education</a:t>
                </a:r>
                <a:r>
                  <a:rPr lang="en-GB" baseline="0"/>
                  <a:t> categories </a:t>
                </a:r>
                <a:endParaRPr lang="en-GB"/>
              </a:p>
            </c:rich>
          </c:tx>
          <c:layout>
            <c:manualLayout>
              <c:xMode val="edge"/>
              <c:yMode val="edge"/>
              <c:x val="2.5000000000000001E-2"/>
              <c:y val="0.3245986439195099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66107520"/>
        <c:crosses val="autoZero"/>
        <c:auto val="1"/>
        <c:lblAlgn val="ctr"/>
        <c:lblOffset val="100"/>
        <c:noMultiLvlLbl val="0"/>
      </c:catAx>
      <c:valAx>
        <c:axId val="566107520"/>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GB"/>
                  <a:t>Percentages</a:t>
                </a:r>
                <a:r>
                  <a:rPr lang="en-GB" baseline="0"/>
                  <a:t> (%)</a:t>
                </a:r>
                <a:endParaRPr lang="en-GB"/>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66104448"/>
        <c:crosses val="autoZero"/>
        <c:crossBetween val="between"/>
      </c:valAx>
      <c:spPr>
        <a:noFill/>
        <a:ln>
          <a:noFill/>
        </a:ln>
        <a:effectLst/>
      </c:spPr>
    </c:plotArea>
    <c:plotVisOnly val="1"/>
    <c:dispBlanksAs val="gap"/>
    <c:showDLblsOverMax val="0"/>
    <c:extLst>
      <c:ext uri="{0b15fc19-7d7d-44ad-8c2d-2c3a37ce22c3}">
        <chartProps xmlns="https://web.wps.cn/et/2018/main" chartId="{689e6074-a316-47fb-8b0c-bdb06a1a4a7a}"/>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GB"/>
              <a:t>Occupation</a:t>
            </a:r>
            <a:r>
              <a:rPr lang="en-GB" baseline="0"/>
              <a:t> of respondents </a:t>
            </a:r>
            <a:endParaRPr lang="en-GB"/>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B8B-48C6-8AFA-EF8C1B9AB4E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B8B-48C6-8AFA-EF8C1B9AB4E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B8B-48C6-8AFA-EF8C1B9AB4E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B8B-48C6-8AFA-EF8C1B9AB4E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B8B-48C6-8AFA-EF8C1B9AB4EE}"/>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6B8B-48C6-8AFA-EF8C1B9AB4EE}"/>
              </c:ext>
            </c:extLst>
          </c:dPt>
          <c:dLbls>
            <c:dLbl>
              <c:idx val="0"/>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B8B-48C6-8AFA-EF8C1B9AB4EE}"/>
                </c:ext>
              </c:extLst>
            </c:dLbl>
            <c:dLbl>
              <c:idx val="1"/>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B8B-48C6-8AFA-EF8C1B9AB4EE}"/>
                </c:ext>
              </c:extLst>
            </c:dLbl>
            <c:dLbl>
              <c:idx val="2"/>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B8B-48C6-8AFA-EF8C1B9AB4EE}"/>
                </c:ext>
              </c:extLst>
            </c:dLbl>
            <c:dLbl>
              <c:idx val="3"/>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B8B-48C6-8AFA-EF8C1B9AB4EE}"/>
                </c:ext>
              </c:extLst>
            </c:dLbl>
            <c:dLbl>
              <c:idx val="4"/>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B8B-48C6-8AFA-EF8C1B9AB4EE}"/>
                </c:ext>
              </c:extLst>
            </c:dLbl>
            <c:dLbl>
              <c:idx val="5"/>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B8B-48C6-8AFA-EF8C1B9AB4EE}"/>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0"/>
            <c:showBubbleSize val="0"/>
            <c:extLst>
              <c:ext xmlns:c15="http://schemas.microsoft.com/office/drawing/2012/chart" uri="{CE6537A1-D6FC-4f65-9D91-7224C49458BB}"/>
            </c:extLst>
          </c:dLbls>
          <c:cat>
            <c:strRef>
              <c:f>Sheet4!$A$13:$B$18</c:f>
              <c:strCache>
                <c:ptCount val="6"/>
                <c:pt idx="0">
                  <c:v>Civil Servant</c:v>
                </c:pt>
                <c:pt idx="1">
                  <c:v>Trading</c:v>
                </c:pt>
                <c:pt idx="2">
                  <c:v>Business/Self-employed</c:v>
                </c:pt>
                <c:pt idx="3">
                  <c:v>Public Servant</c:v>
                </c:pt>
                <c:pt idx="4">
                  <c:v>Artisan/Crafts</c:v>
                </c:pt>
                <c:pt idx="5">
                  <c:v>Unemployed</c:v>
                </c:pt>
              </c:strCache>
            </c:strRef>
          </c:cat>
          <c:val>
            <c:numRef>
              <c:f>Sheet4!$C$13:$C$18</c:f>
              <c:numCache>
                <c:formatCode>General</c:formatCode>
                <c:ptCount val="6"/>
                <c:pt idx="0">
                  <c:v>12.6</c:v>
                </c:pt>
                <c:pt idx="1">
                  <c:v>21.4</c:v>
                </c:pt>
                <c:pt idx="2">
                  <c:v>24.7</c:v>
                </c:pt>
                <c:pt idx="3">
                  <c:v>9.1</c:v>
                </c:pt>
                <c:pt idx="4">
                  <c:v>18.600000000000001</c:v>
                </c:pt>
                <c:pt idx="5">
                  <c:v>13.6</c:v>
                </c:pt>
              </c:numCache>
            </c:numRef>
          </c:val>
          <c:extLst>
            <c:ext xmlns:c16="http://schemas.microsoft.com/office/drawing/2014/chart" uri="{C3380CC4-5D6E-409C-BE32-E72D297353CC}">
              <c16:uniqueId val="{0000000C-6B8B-48C6-8AFA-EF8C1B9AB4E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addedf03-04b7-455c-b34c-97c82a393ba5}"/>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2563</TotalTime>
  <Pages>18</Pages>
  <Words>7181</Words>
  <Characters>40937</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Olatunde Eludoyin</dc:creator>
  <cp:lastModifiedBy>SDI 1084</cp:lastModifiedBy>
  <cp:revision>48</cp:revision>
  <dcterms:created xsi:type="dcterms:W3CDTF">2025-09-26T10:42:00Z</dcterms:created>
  <dcterms:modified xsi:type="dcterms:W3CDTF">2025-10-04T05:35:00Z</dcterms:modified>
</cp:coreProperties>
</file>