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D8D35" w14:textId="534A5FAA" w:rsidR="00A14158" w:rsidRDefault="00A14158" w:rsidP="00A14158">
      <w:pPr>
        <w:spacing w:line="276" w:lineRule="auto"/>
        <w:rPr>
          <w:rFonts w:ascii="Arial" w:hAnsi="Arial" w:cs="Arial"/>
          <w:b/>
          <w:bCs/>
          <w:sz w:val="20"/>
          <w:szCs w:val="20"/>
        </w:rPr>
      </w:pPr>
      <w:bookmarkStart w:id="0" w:name="_Toc197102069"/>
      <w:r w:rsidRPr="00A14158">
        <w:rPr>
          <w:rFonts w:ascii="Arial" w:hAnsi="Arial" w:cs="Arial"/>
          <w:b/>
          <w:bCs/>
          <w:sz w:val="20"/>
          <w:szCs w:val="20"/>
        </w:rPr>
        <w:t>Consumption Patterns and Associated Health Implications of Energy Drinks among Undergraduate Students in Rivers State, Nigeria</w:t>
      </w:r>
      <w:r>
        <w:rPr>
          <w:rFonts w:ascii="Arial" w:hAnsi="Arial" w:cs="Arial"/>
          <w:b/>
          <w:bCs/>
          <w:sz w:val="20"/>
          <w:szCs w:val="20"/>
        </w:rPr>
        <w:t>: A Cross-Sectional Study</w:t>
      </w:r>
    </w:p>
    <w:p w14:paraId="7EA8CE7C" w14:textId="77777777" w:rsidR="001F4E61" w:rsidRDefault="001F4E61" w:rsidP="00A14158">
      <w:pPr>
        <w:spacing w:line="276" w:lineRule="auto"/>
        <w:rPr>
          <w:rFonts w:ascii="Arial" w:hAnsi="Arial" w:cs="Arial"/>
          <w:b/>
          <w:bCs/>
          <w:sz w:val="20"/>
          <w:szCs w:val="20"/>
        </w:rPr>
      </w:pPr>
    </w:p>
    <w:p w14:paraId="73DD8963" w14:textId="3762F92A" w:rsidR="00A14158" w:rsidRPr="00A14158" w:rsidRDefault="00A14158" w:rsidP="00A14158">
      <w:pPr>
        <w:spacing w:line="276" w:lineRule="auto"/>
        <w:rPr>
          <w:rFonts w:ascii="Arial" w:hAnsi="Arial" w:cs="Arial"/>
          <w:b/>
          <w:bCs/>
          <w:sz w:val="20"/>
          <w:szCs w:val="20"/>
        </w:rPr>
      </w:pPr>
      <w:r w:rsidRPr="00A14158">
        <w:rPr>
          <w:rFonts w:ascii="Arial" w:hAnsi="Arial" w:cs="Arial"/>
          <w:b/>
          <w:bCs/>
          <w:sz w:val="20"/>
          <w:szCs w:val="20"/>
        </w:rPr>
        <w:t>Abstract</w:t>
      </w:r>
    </w:p>
    <w:p w14:paraId="3E3FA63F" w14:textId="5678AA73" w:rsidR="00A14158" w:rsidRPr="00A14158" w:rsidRDefault="00A14158" w:rsidP="00A14158">
      <w:pPr>
        <w:spacing w:line="276" w:lineRule="auto"/>
        <w:rPr>
          <w:rFonts w:ascii="Arial" w:hAnsi="Arial" w:cs="Arial"/>
          <w:sz w:val="20"/>
          <w:szCs w:val="20"/>
        </w:rPr>
      </w:pPr>
      <w:r>
        <w:rPr>
          <w:rFonts w:ascii="Arial" w:hAnsi="Arial" w:cs="Arial"/>
          <w:b/>
          <w:bCs/>
          <w:sz w:val="20"/>
          <w:szCs w:val="20"/>
        </w:rPr>
        <w:t>Background</w:t>
      </w:r>
      <w:r w:rsidRPr="00A14158">
        <w:rPr>
          <w:rFonts w:ascii="Arial" w:hAnsi="Arial" w:cs="Arial"/>
          <w:sz w:val="20"/>
          <w:szCs w:val="20"/>
        </w:rPr>
        <w:t>: Energy drink consumption among young adults represents a significant public health concern due to associated health risks. This study aimed to investigate the prevalence, determinants, and health implications of energy drink consumption among undergraduate students in Rivers State, Nigeria.</w:t>
      </w:r>
      <w:r>
        <w:rPr>
          <w:rFonts w:ascii="Arial" w:hAnsi="Arial" w:cs="Arial"/>
          <w:sz w:val="20"/>
          <w:szCs w:val="20"/>
        </w:rPr>
        <w:t xml:space="preserve"> </w:t>
      </w:r>
      <w:r w:rsidRPr="00A14158">
        <w:rPr>
          <w:rFonts w:ascii="Arial" w:hAnsi="Arial" w:cs="Arial"/>
          <w:b/>
          <w:bCs/>
          <w:sz w:val="20"/>
          <w:szCs w:val="20"/>
        </w:rPr>
        <w:t>Methods</w:t>
      </w:r>
      <w:r w:rsidRPr="00A14158">
        <w:rPr>
          <w:rFonts w:ascii="Arial" w:hAnsi="Arial" w:cs="Arial"/>
          <w:sz w:val="20"/>
          <w:szCs w:val="20"/>
        </w:rPr>
        <w:t>: A cross-sectional study was conducted among 378 undergraduates selected through multi-stage sampling. Data were collected using a validated questionnaire assessing consumption patterns, knowledge, attitudes, practices, and sleep quality. Statistical analyses included chi-square tests and logistic regression to identify predictors of consumption.</w:t>
      </w:r>
      <w:r>
        <w:rPr>
          <w:rFonts w:ascii="Arial" w:hAnsi="Arial" w:cs="Arial"/>
          <w:sz w:val="20"/>
          <w:szCs w:val="20"/>
        </w:rPr>
        <w:t xml:space="preserve"> </w:t>
      </w:r>
      <w:r w:rsidRPr="00A14158">
        <w:rPr>
          <w:rFonts w:ascii="Arial" w:hAnsi="Arial" w:cs="Arial"/>
          <w:b/>
          <w:bCs/>
          <w:sz w:val="20"/>
          <w:szCs w:val="20"/>
        </w:rPr>
        <w:t>Results</w:t>
      </w:r>
      <w:r w:rsidRPr="00A14158">
        <w:rPr>
          <w:rFonts w:ascii="Arial" w:hAnsi="Arial" w:cs="Arial"/>
          <w:sz w:val="20"/>
          <w:szCs w:val="20"/>
        </w:rPr>
        <w:t>: The study revealed high prevalence rates, with 92.1% lifetime exposure and 45.2% current consumers. Male gender was the strongest predictor of consumption (AOR = 2.55, 95% CI: 1.51-4.31, p &lt; 0.001), while Igbo/Ikwerre ethnicity showed protective effects (AOR = 0.56, 95% CI: 0.36-0.89, p = 0.014). Despite 69.6% demonstrating good knowledge, significant misconceptions persisted, with 20.1% believing energy drinks were safe for unrestricted daily use. Practice behaviours were stronger predictors than attitudes (AOR = 2.54, p &lt; 0.001). Nearly half (49.5%) reported adverse effects, including gastrointestinal distress (23.7%), headaches (23.3%), and insomnia (20.5%).</w:t>
      </w:r>
      <w:r>
        <w:rPr>
          <w:rFonts w:ascii="Arial" w:hAnsi="Arial" w:cs="Arial"/>
          <w:sz w:val="20"/>
          <w:szCs w:val="20"/>
        </w:rPr>
        <w:t xml:space="preserve"> </w:t>
      </w:r>
      <w:r w:rsidRPr="00A14158">
        <w:rPr>
          <w:rFonts w:ascii="Arial" w:hAnsi="Arial" w:cs="Arial"/>
          <w:b/>
          <w:bCs/>
          <w:sz w:val="20"/>
          <w:szCs w:val="20"/>
        </w:rPr>
        <w:t>Conclusion</w:t>
      </w:r>
      <w:r w:rsidRPr="00A14158">
        <w:rPr>
          <w:rFonts w:ascii="Arial" w:hAnsi="Arial" w:cs="Arial"/>
          <w:sz w:val="20"/>
          <w:szCs w:val="20"/>
        </w:rPr>
        <w:t xml:space="preserve">: Energy drink consumption is highly prevalent among undergraduates in Rivers State, driven primarily by male gender and behavioural patterns rather than knowledge or attitudes. The high rate of adverse effects </w:t>
      </w:r>
      <w:r>
        <w:rPr>
          <w:rFonts w:ascii="Arial" w:hAnsi="Arial" w:cs="Arial"/>
          <w:sz w:val="20"/>
          <w:szCs w:val="20"/>
        </w:rPr>
        <w:t xml:space="preserve">highlights </w:t>
      </w:r>
      <w:r w:rsidRPr="00A14158">
        <w:rPr>
          <w:rFonts w:ascii="Arial" w:hAnsi="Arial" w:cs="Arial"/>
          <w:sz w:val="20"/>
          <w:szCs w:val="20"/>
        </w:rPr>
        <w:t>the need for targeted interventions addressing misconceptions and promoting healthier alternatives for academic performance enhancement.</w:t>
      </w:r>
    </w:p>
    <w:p w14:paraId="2AD98386" w14:textId="77777777" w:rsidR="00A14158" w:rsidRPr="00A14158" w:rsidRDefault="00A14158" w:rsidP="00A14158">
      <w:pPr>
        <w:rPr>
          <w:rFonts w:ascii="Arial" w:hAnsi="Arial" w:cs="Arial"/>
          <w:sz w:val="20"/>
          <w:szCs w:val="20"/>
        </w:rPr>
      </w:pPr>
      <w:r w:rsidRPr="00A14158">
        <w:rPr>
          <w:rFonts w:ascii="Arial" w:hAnsi="Arial" w:cs="Arial"/>
          <w:b/>
          <w:bCs/>
          <w:sz w:val="20"/>
          <w:szCs w:val="20"/>
        </w:rPr>
        <w:t>Keywords</w:t>
      </w:r>
      <w:r w:rsidRPr="00A14158">
        <w:rPr>
          <w:rFonts w:ascii="Arial" w:hAnsi="Arial" w:cs="Arial"/>
          <w:sz w:val="20"/>
          <w:szCs w:val="20"/>
        </w:rPr>
        <w:t>: Energy drinks, undergraduate students, prevalence, consumption patterns, Nigeria, public health</w:t>
      </w:r>
    </w:p>
    <w:p w14:paraId="08F6E6E5" w14:textId="77777777" w:rsidR="00A14158" w:rsidRDefault="00A14158" w:rsidP="00586B66">
      <w:pPr>
        <w:rPr>
          <w:rFonts w:ascii="Arial" w:hAnsi="Arial" w:cs="Arial"/>
          <w:sz w:val="20"/>
          <w:szCs w:val="20"/>
        </w:rPr>
      </w:pPr>
    </w:p>
    <w:p w14:paraId="3FD0D325" w14:textId="77777777" w:rsidR="00A14158" w:rsidRDefault="00A14158" w:rsidP="00586B66">
      <w:pPr>
        <w:rPr>
          <w:rFonts w:ascii="Arial" w:hAnsi="Arial" w:cs="Arial"/>
          <w:sz w:val="20"/>
          <w:szCs w:val="20"/>
        </w:rPr>
      </w:pPr>
    </w:p>
    <w:p w14:paraId="5D870E97" w14:textId="77777777" w:rsidR="00A14158" w:rsidRDefault="00A14158" w:rsidP="00586B66">
      <w:pPr>
        <w:rPr>
          <w:rFonts w:ascii="Arial" w:hAnsi="Arial" w:cs="Arial"/>
          <w:sz w:val="20"/>
          <w:szCs w:val="20"/>
        </w:rPr>
      </w:pPr>
    </w:p>
    <w:p w14:paraId="50EB9552" w14:textId="77777777" w:rsidR="00A14158" w:rsidRDefault="00A14158" w:rsidP="00586B66">
      <w:pPr>
        <w:rPr>
          <w:rFonts w:ascii="Arial" w:hAnsi="Arial" w:cs="Arial"/>
          <w:sz w:val="20"/>
          <w:szCs w:val="20"/>
        </w:rPr>
      </w:pPr>
    </w:p>
    <w:p w14:paraId="4E3B3420" w14:textId="4EEEDDD7" w:rsidR="00A14158" w:rsidRDefault="00A14158" w:rsidP="00586B66">
      <w:pPr>
        <w:rPr>
          <w:rFonts w:ascii="Arial" w:hAnsi="Arial" w:cs="Arial"/>
          <w:sz w:val="20"/>
          <w:szCs w:val="20"/>
        </w:rPr>
      </w:pPr>
    </w:p>
    <w:p w14:paraId="3CC14D9C" w14:textId="5ECB1E9B" w:rsidR="00CF7C0E" w:rsidRDefault="00CF7C0E" w:rsidP="00586B66">
      <w:pPr>
        <w:rPr>
          <w:rFonts w:ascii="Arial" w:hAnsi="Arial" w:cs="Arial"/>
          <w:sz w:val="20"/>
          <w:szCs w:val="20"/>
        </w:rPr>
      </w:pPr>
    </w:p>
    <w:p w14:paraId="3161FE58" w14:textId="17674E3D" w:rsidR="00CF7C0E" w:rsidRDefault="00CF7C0E" w:rsidP="00586B66">
      <w:pPr>
        <w:rPr>
          <w:rFonts w:ascii="Arial" w:hAnsi="Arial" w:cs="Arial"/>
          <w:sz w:val="20"/>
          <w:szCs w:val="20"/>
        </w:rPr>
      </w:pPr>
    </w:p>
    <w:p w14:paraId="71312C96" w14:textId="068859B3" w:rsidR="00CF7C0E" w:rsidRDefault="00CF7C0E" w:rsidP="00586B66">
      <w:pPr>
        <w:rPr>
          <w:rFonts w:ascii="Arial" w:hAnsi="Arial" w:cs="Arial"/>
          <w:sz w:val="20"/>
          <w:szCs w:val="20"/>
        </w:rPr>
      </w:pPr>
    </w:p>
    <w:p w14:paraId="37E5EE63" w14:textId="0AF714F3" w:rsidR="00CF7C0E" w:rsidRDefault="00CF7C0E" w:rsidP="00586B66">
      <w:pPr>
        <w:rPr>
          <w:rFonts w:ascii="Arial" w:hAnsi="Arial" w:cs="Arial"/>
          <w:sz w:val="20"/>
          <w:szCs w:val="20"/>
        </w:rPr>
      </w:pPr>
    </w:p>
    <w:p w14:paraId="43EB5E9B" w14:textId="77777777" w:rsidR="00CF7C0E" w:rsidRDefault="00CF7C0E" w:rsidP="00586B66">
      <w:pPr>
        <w:rPr>
          <w:rFonts w:ascii="Arial" w:hAnsi="Arial" w:cs="Arial"/>
          <w:sz w:val="20"/>
          <w:szCs w:val="20"/>
        </w:rPr>
      </w:pPr>
    </w:p>
    <w:p w14:paraId="004F4497" w14:textId="77777777" w:rsidR="00A14158" w:rsidRDefault="00A14158" w:rsidP="00586B66">
      <w:pPr>
        <w:rPr>
          <w:rFonts w:ascii="Arial" w:hAnsi="Arial" w:cs="Arial"/>
          <w:sz w:val="20"/>
          <w:szCs w:val="20"/>
        </w:rPr>
      </w:pPr>
    </w:p>
    <w:p w14:paraId="07C4CFC9" w14:textId="42A39315" w:rsidR="003A294B" w:rsidRPr="001F34A2" w:rsidRDefault="008965B3" w:rsidP="00586B66">
      <w:pPr>
        <w:rPr>
          <w:rFonts w:ascii="Arial" w:hAnsi="Arial" w:cs="Arial"/>
          <w:b/>
          <w:bCs/>
          <w:sz w:val="20"/>
          <w:szCs w:val="20"/>
        </w:rPr>
      </w:pPr>
      <w:r w:rsidRPr="001F34A2">
        <w:rPr>
          <w:rFonts w:ascii="Arial" w:hAnsi="Arial" w:cs="Arial"/>
          <w:b/>
          <w:bCs/>
          <w:sz w:val="20"/>
          <w:szCs w:val="20"/>
        </w:rPr>
        <w:t>INTRODUCTION</w:t>
      </w:r>
    </w:p>
    <w:p w14:paraId="07EDC0BB" w14:textId="0B9F062A" w:rsidR="003A294B" w:rsidRPr="001F34A2" w:rsidRDefault="003A294B" w:rsidP="003A294B">
      <w:pPr>
        <w:rPr>
          <w:rFonts w:ascii="Arial" w:hAnsi="Arial" w:cs="Arial"/>
          <w:sz w:val="20"/>
          <w:szCs w:val="20"/>
        </w:rPr>
      </w:pPr>
      <w:bookmarkStart w:id="1" w:name="_Toc197102070"/>
      <w:bookmarkEnd w:id="0"/>
      <w:r w:rsidRPr="001F34A2">
        <w:rPr>
          <w:rFonts w:ascii="Arial" w:hAnsi="Arial" w:cs="Arial"/>
          <w:sz w:val="20"/>
          <w:szCs w:val="20"/>
        </w:rPr>
        <w:t xml:space="preserve">Energy drinks (EDs) </w:t>
      </w:r>
      <w:r w:rsidR="00C444A8" w:rsidRPr="001F34A2">
        <w:rPr>
          <w:rFonts w:ascii="Arial" w:hAnsi="Arial" w:cs="Arial"/>
          <w:sz w:val="20"/>
          <w:szCs w:val="20"/>
        </w:rPr>
        <w:t xml:space="preserve">are now a </w:t>
      </w:r>
      <w:r w:rsidRPr="001F34A2">
        <w:rPr>
          <w:rFonts w:ascii="Arial" w:hAnsi="Arial" w:cs="Arial"/>
          <w:sz w:val="20"/>
          <w:szCs w:val="20"/>
        </w:rPr>
        <w:t>globally popular beverage, particularly among adolescents and young adults, with market values projected to reach $86.1 billion by 2027 (</w:t>
      </w:r>
      <w:r w:rsidR="00305CF5" w:rsidRPr="001F34A2">
        <w:rPr>
          <w:rFonts w:ascii="Arial" w:hAnsi="Arial" w:cs="Arial"/>
          <w:sz w:val="20"/>
          <w:szCs w:val="20"/>
        </w:rPr>
        <w:t>Howley &amp; Miller, 2024)</w:t>
      </w:r>
      <w:r w:rsidRPr="001F34A2">
        <w:rPr>
          <w:rFonts w:ascii="Arial" w:hAnsi="Arial" w:cs="Arial"/>
          <w:sz w:val="20"/>
          <w:szCs w:val="20"/>
        </w:rPr>
        <w:t>. These functional beverages are specifically formulated to provide immediate energy boosts, enhance mental alertness, and improve physical performance through a combination of stimulant compounds and psychoactive ingredients</w:t>
      </w:r>
      <w:r w:rsidR="00305CF5" w:rsidRPr="001F34A2">
        <w:rPr>
          <w:rFonts w:ascii="Arial" w:hAnsi="Arial" w:cs="Arial"/>
          <w:sz w:val="20"/>
          <w:szCs w:val="20"/>
        </w:rPr>
        <w:t xml:space="preserve">. </w:t>
      </w:r>
      <w:r w:rsidRPr="001F34A2">
        <w:rPr>
          <w:rFonts w:ascii="Arial" w:hAnsi="Arial" w:cs="Arial"/>
          <w:sz w:val="20"/>
          <w:szCs w:val="20"/>
        </w:rPr>
        <w:t xml:space="preserve">The global consumption of EDs has increased dramatically since the launch of commercial products like Red Bull in 1997, with approximately 5.8 billion </w:t>
      </w:r>
      <w:proofErr w:type="spellStart"/>
      <w:r w:rsidRPr="001F34A2">
        <w:rPr>
          <w:rFonts w:ascii="Arial" w:hAnsi="Arial" w:cs="Arial"/>
          <w:sz w:val="20"/>
          <w:szCs w:val="20"/>
        </w:rPr>
        <w:t>liters</w:t>
      </w:r>
      <w:proofErr w:type="spellEnd"/>
      <w:r w:rsidRPr="001F34A2">
        <w:rPr>
          <w:rFonts w:ascii="Arial" w:hAnsi="Arial" w:cs="Arial"/>
          <w:sz w:val="20"/>
          <w:szCs w:val="20"/>
        </w:rPr>
        <w:t xml:space="preserve"> consumed annually across 160 countries by 2013 </w:t>
      </w:r>
      <w:r w:rsidR="00305CF5" w:rsidRPr="001F34A2">
        <w:rPr>
          <w:rFonts w:ascii="Arial" w:hAnsi="Arial" w:cs="Arial"/>
          <w:sz w:val="20"/>
          <w:szCs w:val="20"/>
        </w:rPr>
        <w:t>(</w:t>
      </w:r>
      <w:proofErr w:type="spellStart"/>
      <w:r w:rsidR="00305CF5" w:rsidRPr="001F34A2">
        <w:rPr>
          <w:rFonts w:ascii="Arial" w:hAnsi="Arial" w:cs="Arial"/>
          <w:sz w:val="20"/>
          <w:szCs w:val="20"/>
        </w:rPr>
        <w:t>Alsunni</w:t>
      </w:r>
      <w:proofErr w:type="spellEnd"/>
      <w:r w:rsidR="00305CF5" w:rsidRPr="001F34A2">
        <w:rPr>
          <w:rFonts w:ascii="Arial" w:hAnsi="Arial" w:cs="Arial"/>
          <w:sz w:val="20"/>
          <w:szCs w:val="20"/>
        </w:rPr>
        <w:t xml:space="preserve">, 2015; </w:t>
      </w:r>
      <w:proofErr w:type="spellStart"/>
      <w:r w:rsidR="00305CF5" w:rsidRPr="001F34A2">
        <w:rPr>
          <w:rFonts w:ascii="Arial" w:hAnsi="Arial" w:cs="Arial"/>
          <w:sz w:val="20"/>
          <w:szCs w:val="20"/>
        </w:rPr>
        <w:t>Ariffin</w:t>
      </w:r>
      <w:proofErr w:type="spellEnd"/>
      <w:r w:rsidR="00305CF5" w:rsidRPr="001F34A2">
        <w:rPr>
          <w:rFonts w:ascii="Arial" w:hAnsi="Arial" w:cs="Arial"/>
          <w:sz w:val="20"/>
          <w:szCs w:val="20"/>
        </w:rPr>
        <w:t xml:space="preserve"> et al., 2022)</w:t>
      </w:r>
      <w:r w:rsidRPr="001F34A2">
        <w:rPr>
          <w:rFonts w:ascii="Arial" w:hAnsi="Arial" w:cs="Arial"/>
          <w:sz w:val="20"/>
          <w:szCs w:val="20"/>
        </w:rPr>
        <w:t xml:space="preserve">. This consumption trend is particularly pronounced among university students, who represent a primary target market for aggressive marketing campaigns that promote EDs as essential tools for enhancing academic performance and social activities </w:t>
      </w:r>
      <w:r w:rsidR="00305CF5" w:rsidRPr="001F34A2">
        <w:rPr>
          <w:rFonts w:ascii="Arial" w:hAnsi="Arial" w:cs="Arial"/>
          <w:sz w:val="20"/>
          <w:szCs w:val="20"/>
        </w:rPr>
        <w:t>(</w:t>
      </w:r>
      <w:r w:rsidR="00CE7E34" w:rsidRPr="001F34A2">
        <w:rPr>
          <w:rFonts w:ascii="Arial" w:hAnsi="Arial" w:cs="Arial"/>
          <w:sz w:val="20"/>
          <w:szCs w:val="20"/>
        </w:rPr>
        <w:t xml:space="preserve">Hasan et al., 2019; </w:t>
      </w:r>
      <w:r w:rsidR="00305CF5" w:rsidRPr="001F34A2">
        <w:rPr>
          <w:rFonts w:ascii="Arial" w:hAnsi="Arial" w:cs="Arial"/>
          <w:sz w:val="20"/>
          <w:szCs w:val="20"/>
        </w:rPr>
        <w:t>Zidan et al., 2025)</w:t>
      </w:r>
      <w:r w:rsidRPr="001F34A2">
        <w:rPr>
          <w:rFonts w:ascii="Arial" w:hAnsi="Arial" w:cs="Arial"/>
          <w:sz w:val="20"/>
          <w:szCs w:val="20"/>
        </w:rPr>
        <w:t>.</w:t>
      </w:r>
    </w:p>
    <w:p w14:paraId="03C3EE97" w14:textId="0BF42A68" w:rsidR="003A294B" w:rsidRPr="001F34A2" w:rsidRDefault="003A294B" w:rsidP="003A294B">
      <w:pPr>
        <w:rPr>
          <w:rFonts w:ascii="Arial" w:hAnsi="Arial" w:cs="Arial"/>
          <w:sz w:val="20"/>
          <w:szCs w:val="20"/>
        </w:rPr>
      </w:pPr>
      <w:r w:rsidRPr="001F34A2">
        <w:rPr>
          <w:rFonts w:ascii="Arial" w:hAnsi="Arial" w:cs="Arial"/>
          <w:sz w:val="20"/>
          <w:szCs w:val="20"/>
        </w:rPr>
        <w:t xml:space="preserve">The complex formulation of typical EDs includes caffeine (ranging from 80-150 mg per 8 oz), substantial quantities of sugar or artificial sweeteners, and various supplements such as taurine, guarana, ginseng, and B vitamins </w:t>
      </w:r>
      <w:r w:rsidR="00305CF5" w:rsidRPr="001F34A2">
        <w:rPr>
          <w:rFonts w:ascii="Arial" w:hAnsi="Arial" w:cs="Arial"/>
          <w:sz w:val="20"/>
          <w:szCs w:val="20"/>
        </w:rPr>
        <w:t>(Ariffin et al., 2022; Howley &amp; Miller, 2024)</w:t>
      </w:r>
      <w:r w:rsidRPr="001F34A2">
        <w:rPr>
          <w:rFonts w:ascii="Arial" w:hAnsi="Arial" w:cs="Arial"/>
          <w:sz w:val="20"/>
          <w:szCs w:val="20"/>
        </w:rPr>
        <w:t xml:space="preserve">. These ingredients work synergistically to produce stimulatory effects on the central nervous system, with caffeine serving as the primary active component through its antagonism of adenosine receptors and stimulation of dopamine neurotransmission </w:t>
      </w:r>
      <w:r w:rsidR="00305CF5" w:rsidRPr="001F34A2">
        <w:rPr>
          <w:rFonts w:ascii="Arial" w:hAnsi="Arial" w:cs="Arial"/>
          <w:sz w:val="20"/>
          <w:szCs w:val="20"/>
        </w:rPr>
        <w:t>(</w:t>
      </w:r>
      <w:proofErr w:type="spellStart"/>
      <w:r w:rsidR="00305CF5" w:rsidRPr="001F34A2">
        <w:rPr>
          <w:rFonts w:ascii="Arial" w:hAnsi="Arial" w:cs="Arial"/>
          <w:sz w:val="20"/>
          <w:szCs w:val="20"/>
        </w:rPr>
        <w:t>Zeidán-Chuliá</w:t>
      </w:r>
      <w:proofErr w:type="spellEnd"/>
      <w:r w:rsidR="00305CF5" w:rsidRPr="001F34A2">
        <w:rPr>
          <w:rFonts w:ascii="Arial" w:hAnsi="Arial" w:cs="Arial"/>
          <w:sz w:val="20"/>
          <w:szCs w:val="20"/>
        </w:rPr>
        <w:t xml:space="preserve"> et al., 2013)</w:t>
      </w:r>
      <w:r w:rsidRPr="001F34A2">
        <w:rPr>
          <w:rFonts w:ascii="Arial" w:hAnsi="Arial" w:cs="Arial"/>
          <w:sz w:val="20"/>
          <w:szCs w:val="20"/>
        </w:rPr>
        <w:t>. While moderate consumption (up to 400 mg caffeine daily) is generally considered safe for healthy adults</w:t>
      </w:r>
      <w:r w:rsidR="00C444A8" w:rsidRPr="001F34A2">
        <w:rPr>
          <w:rFonts w:ascii="Arial" w:hAnsi="Arial" w:cs="Arial"/>
          <w:sz w:val="20"/>
          <w:szCs w:val="20"/>
        </w:rPr>
        <w:t xml:space="preserve"> (</w:t>
      </w:r>
      <w:r w:rsidR="00C444A8" w:rsidRPr="00B76F99">
        <w:rPr>
          <w:rFonts w:ascii="Arial" w:hAnsi="Arial" w:cs="Arial"/>
          <w:sz w:val="20"/>
          <w:szCs w:val="20"/>
        </w:rPr>
        <w:t>Freedman</w:t>
      </w:r>
      <w:r w:rsidR="00C444A8" w:rsidRPr="001F34A2">
        <w:rPr>
          <w:rFonts w:ascii="Arial" w:hAnsi="Arial" w:cs="Arial"/>
          <w:sz w:val="20"/>
          <w:szCs w:val="20"/>
        </w:rPr>
        <w:t>, 2024)</w:t>
      </w:r>
      <w:r w:rsidRPr="001F34A2">
        <w:rPr>
          <w:rFonts w:ascii="Arial" w:hAnsi="Arial" w:cs="Arial"/>
          <w:sz w:val="20"/>
          <w:szCs w:val="20"/>
        </w:rPr>
        <w:t xml:space="preserve">, the potentially detrimental health consequences of excessive ED consumption include adverse cardiovascular effects, neurological and psychological disturbances, metabolic disorders, renal impairment, and dental erosion </w:t>
      </w:r>
      <w:r w:rsidR="00305CF5" w:rsidRPr="001F34A2">
        <w:rPr>
          <w:rFonts w:ascii="Arial" w:hAnsi="Arial" w:cs="Arial"/>
          <w:sz w:val="20"/>
          <w:szCs w:val="20"/>
        </w:rPr>
        <w:t>(</w:t>
      </w:r>
      <w:proofErr w:type="spellStart"/>
      <w:r w:rsidR="00305CF5" w:rsidRPr="001F34A2">
        <w:rPr>
          <w:rFonts w:ascii="Arial" w:hAnsi="Arial" w:cs="Arial"/>
          <w:sz w:val="20"/>
          <w:szCs w:val="20"/>
        </w:rPr>
        <w:t>Alsunni</w:t>
      </w:r>
      <w:proofErr w:type="spellEnd"/>
      <w:r w:rsidR="00305CF5" w:rsidRPr="001F34A2">
        <w:rPr>
          <w:rFonts w:ascii="Arial" w:hAnsi="Arial" w:cs="Arial"/>
          <w:sz w:val="20"/>
          <w:szCs w:val="20"/>
        </w:rPr>
        <w:t xml:space="preserve">, 2015; </w:t>
      </w:r>
      <w:proofErr w:type="spellStart"/>
      <w:r w:rsidR="00305CF5" w:rsidRPr="001F34A2">
        <w:rPr>
          <w:rFonts w:ascii="Arial" w:hAnsi="Arial" w:cs="Arial"/>
          <w:sz w:val="20"/>
          <w:szCs w:val="20"/>
        </w:rPr>
        <w:t>Ariffin</w:t>
      </w:r>
      <w:proofErr w:type="spellEnd"/>
      <w:r w:rsidR="00305CF5" w:rsidRPr="001F34A2">
        <w:rPr>
          <w:rFonts w:ascii="Arial" w:hAnsi="Arial" w:cs="Arial"/>
          <w:sz w:val="20"/>
          <w:szCs w:val="20"/>
        </w:rPr>
        <w:t xml:space="preserve"> et al., 2022)</w:t>
      </w:r>
      <w:r w:rsidRPr="001F34A2">
        <w:rPr>
          <w:rFonts w:ascii="Arial" w:hAnsi="Arial" w:cs="Arial"/>
          <w:sz w:val="20"/>
          <w:szCs w:val="20"/>
        </w:rPr>
        <w:t xml:space="preserve">. Of particular concern are findings that certain ED components can induce apoptosis in human neuronal cells at concentrations equivalent to those found in commercially available products </w:t>
      </w:r>
      <w:r w:rsidR="00C444A8" w:rsidRPr="001F34A2">
        <w:rPr>
          <w:rFonts w:ascii="Arial" w:hAnsi="Arial" w:cs="Arial"/>
          <w:sz w:val="20"/>
          <w:szCs w:val="20"/>
        </w:rPr>
        <w:t>(</w:t>
      </w:r>
      <w:proofErr w:type="spellStart"/>
      <w:r w:rsidR="00C444A8" w:rsidRPr="001F34A2">
        <w:rPr>
          <w:rFonts w:ascii="Arial" w:hAnsi="Arial" w:cs="Arial"/>
          <w:sz w:val="20"/>
          <w:szCs w:val="20"/>
        </w:rPr>
        <w:t>Zeidán-Chuliá</w:t>
      </w:r>
      <w:proofErr w:type="spellEnd"/>
      <w:r w:rsidR="00C444A8" w:rsidRPr="001F34A2">
        <w:rPr>
          <w:rFonts w:ascii="Arial" w:hAnsi="Arial" w:cs="Arial"/>
          <w:sz w:val="20"/>
          <w:szCs w:val="20"/>
        </w:rPr>
        <w:t xml:space="preserve"> et al., 2013).</w:t>
      </w:r>
    </w:p>
    <w:p w14:paraId="61972033" w14:textId="22DCE695" w:rsidR="003A294B" w:rsidRPr="001F34A2" w:rsidRDefault="003A294B" w:rsidP="003A294B">
      <w:pPr>
        <w:rPr>
          <w:rFonts w:ascii="Arial" w:hAnsi="Arial" w:cs="Arial"/>
          <w:sz w:val="20"/>
          <w:szCs w:val="20"/>
        </w:rPr>
      </w:pPr>
      <w:r w:rsidRPr="001F34A2">
        <w:rPr>
          <w:rFonts w:ascii="Arial" w:hAnsi="Arial" w:cs="Arial"/>
          <w:sz w:val="20"/>
          <w:szCs w:val="20"/>
        </w:rPr>
        <w:t xml:space="preserve">Research indicates that multiple factors influence ED consumption patterns among university students, including demographic characteristics, lifestyle </w:t>
      </w:r>
      <w:r w:rsidR="00F957FD" w:rsidRPr="001F34A2">
        <w:rPr>
          <w:rFonts w:ascii="Arial" w:hAnsi="Arial" w:cs="Arial"/>
          <w:sz w:val="20"/>
          <w:szCs w:val="20"/>
        </w:rPr>
        <w:t>behaviours</w:t>
      </w:r>
      <w:r w:rsidRPr="001F34A2">
        <w:rPr>
          <w:rFonts w:ascii="Arial" w:hAnsi="Arial" w:cs="Arial"/>
          <w:sz w:val="20"/>
          <w:szCs w:val="20"/>
        </w:rPr>
        <w:t>, and academic pressures. Studies conducted in Nigeria have revealed period prevalences of 67.0% among undergraduates in Kano, with significant associations between consumption and male gender, Hausa/Fulani ethnicity, and age below 24 years</w:t>
      </w:r>
      <w:r w:rsidR="00CE7E34" w:rsidRPr="001F34A2">
        <w:rPr>
          <w:rFonts w:ascii="Arial" w:hAnsi="Arial" w:cs="Arial"/>
          <w:sz w:val="20"/>
          <w:szCs w:val="20"/>
        </w:rPr>
        <w:t xml:space="preserve"> (Ibrahim et al., 2021</w:t>
      </w:r>
      <w:r w:rsidR="001B665A">
        <w:rPr>
          <w:rFonts w:ascii="Arial" w:hAnsi="Arial" w:cs="Arial"/>
          <w:sz w:val="20"/>
          <w:szCs w:val="20"/>
        </w:rPr>
        <w:t>a</w:t>
      </w:r>
      <w:r w:rsidR="00CE7E34" w:rsidRPr="001F34A2">
        <w:rPr>
          <w:rFonts w:ascii="Arial" w:hAnsi="Arial" w:cs="Arial"/>
          <w:sz w:val="20"/>
          <w:szCs w:val="20"/>
        </w:rPr>
        <w:t>)</w:t>
      </w:r>
      <w:r w:rsidRPr="001F34A2">
        <w:rPr>
          <w:rFonts w:ascii="Arial" w:hAnsi="Arial" w:cs="Arial"/>
          <w:sz w:val="20"/>
          <w:szCs w:val="20"/>
        </w:rPr>
        <w:t xml:space="preserve">. Similar research across diverse geographical contexts consistently </w:t>
      </w:r>
      <w:r w:rsidRPr="001F34A2">
        <w:rPr>
          <w:rFonts w:ascii="Arial" w:hAnsi="Arial" w:cs="Arial"/>
          <w:sz w:val="20"/>
          <w:szCs w:val="20"/>
        </w:rPr>
        <w:lastRenderedPageBreak/>
        <w:t xml:space="preserve">identifies male gender as a strong predictor of ED use, alongside participation in sports, alcohol consumption, smoking, and inadequate sleep patterns. The primary motivations for consumption typically include the desire to boost physical and mental capacity, especially during examination periods, with 59.6% of Nigerian students reporting this as their main reason for use </w:t>
      </w:r>
      <w:r w:rsidR="00CE7E34" w:rsidRPr="001F34A2">
        <w:rPr>
          <w:rFonts w:ascii="Arial" w:hAnsi="Arial" w:cs="Arial"/>
          <w:sz w:val="20"/>
          <w:szCs w:val="20"/>
        </w:rPr>
        <w:t>(Ibrahim et al., 2021</w:t>
      </w:r>
      <w:r w:rsidR="001B665A">
        <w:rPr>
          <w:rFonts w:ascii="Arial" w:hAnsi="Arial" w:cs="Arial"/>
          <w:sz w:val="20"/>
          <w:szCs w:val="20"/>
        </w:rPr>
        <w:t>a</w:t>
      </w:r>
      <w:r w:rsidR="00CE7E34" w:rsidRPr="001F34A2">
        <w:rPr>
          <w:rFonts w:ascii="Arial" w:hAnsi="Arial" w:cs="Arial"/>
          <w:sz w:val="20"/>
          <w:szCs w:val="20"/>
        </w:rPr>
        <w:t>; Zidan et al., 2025)</w:t>
      </w:r>
      <w:r w:rsidRPr="001F34A2">
        <w:rPr>
          <w:rFonts w:ascii="Arial" w:hAnsi="Arial" w:cs="Arial"/>
          <w:sz w:val="20"/>
          <w:szCs w:val="20"/>
        </w:rPr>
        <w:t>.</w:t>
      </w:r>
    </w:p>
    <w:p w14:paraId="0E74AEBB" w14:textId="0F869DA0" w:rsidR="003A294B" w:rsidRPr="001F34A2" w:rsidRDefault="003A294B" w:rsidP="003A294B">
      <w:pPr>
        <w:rPr>
          <w:rFonts w:ascii="Arial" w:hAnsi="Arial" w:cs="Arial"/>
          <w:sz w:val="20"/>
          <w:szCs w:val="20"/>
        </w:rPr>
      </w:pPr>
      <w:r w:rsidRPr="001F34A2">
        <w:rPr>
          <w:rFonts w:ascii="Arial" w:hAnsi="Arial" w:cs="Arial"/>
          <w:sz w:val="20"/>
          <w:szCs w:val="20"/>
        </w:rPr>
        <w:t xml:space="preserve">The Nigerian context presents a particularly interesting landscape for investigating ED consumption patterns, given the country's rapidly growing market that is expected to generate US$4.49bn in at-home revenue by 2025 </w:t>
      </w:r>
      <w:r w:rsidR="00CE7E34" w:rsidRPr="001F34A2">
        <w:rPr>
          <w:rFonts w:ascii="Arial" w:hAnsi="Arial" w:cs="Arial"/>
          <w:sz w:val="20"/>
          <w:szCs w:val="20"/>
        </w:rPr>
        <w:t>(Statista, 2025)</w:t>
      </w:r>
      <w:r w:rsidRPr="001F34A2">
        <w:rPr>
          <w:rFonts w:ascii="Arial" w:hAnsi="Arial" w:cs="Arial"/>
          <w:sz w:val="20"/>
          <w:szCs w:val="20"/>
        </w:rPr>
        <w:t>. Despite this substantial market presence, research on ED consumption patterns among Nigerian undergraduates remains limited, with existing studies focusing primarily on northern regions. The unique socio-cultural and demographic characteristics of Rivers State undergraduates warrant particular investigation, as regional variations in consumption patterns have been documented across Nigeria</w:t>
      </w:r>
      <w:r w:rsidR="00CE7E34" w:rsidRPr="001F34A2">
        <w:rPr>
          <w:rFonts w:ascii="Arial" w:hAnsi="Arial" w:cs="Arial"/>
          <w:sz w:val="20"/>
          <w:szCs w:val="20"/>
        </w:rPr>
        <w:t xml:space="preserve"> </w:t>
      </w:r>
      <w:r w:rsidRPr="001F34A2">
        <w:rPr>
          <w:rFonts w:ascii="Arial" w:hAnsi="Arial" w:cs="Arial"/>
          <w:sz w:val="20"/>
          <w:szCs w:val="20"/>
        </w:rPr>
        <w:t>Furthermore, research suggests that many Nigerian students demonstrate insufficient knowledge regarding ED ingredients and potential health effects, despite</w:t>
      </w:r>
      <w:r w:rsidR="00CE7E34" w:rsidRPr="001F34A2">
        <w:rPr>
          <w:rFonts w:ascii="Arial" w:hAnsi="Arial" w:cs="Arial"/>
          <w:sz w:val="20"/>
          <w:szCs w:val="20"/>
        </w:rPr>
        <w:t>.</w:t>
      </w:r>
      <w:r w:rsidRPr="001F34A2">
        <w:rPr>
          <w:rFonts w:ascii="Arial" w:hAnsi="Arial" w:cs="Arial"/>
          <w:sz w:val="20"/>
          <w:szCs w:val="20"/>
        </w:rPr>
        <w:t xml:space="preserve"> reporting negative attitudes toward these beverages </w:t>
      </w:r>
      <w:r w:rsidR="00CE7E34" w:rsidRPr="001F34A2">
        <w:rPr>
          <w:rFonts w:ascii="Arial" w:hAnsi="Arial" w:cs="Arial"/>
          <w:sz w:val="20"/>
          <w:szCs w:val="20"/>
        </w:rPr>
        <w:t>(Ibrahim et al., 2021</w:t>
      </w:r>
      <w:r w:rsidR="001B665A">
        <w:rPr>
          <w:rFonts w:ascii="Arial" w:hAnsi="Arial" w:cs="Arial"/>
          <w:sz w:val="20"/>
          <w:szCs w:val="20"/>
        </w:rPr>
        <w:t>a</w:t>
      </w:r>
      <w:r w:rsidR="00CE7E34" w:rsidRPr="001F34A2">
        <w:rPr>
          <w:rFonts w:ascii="Arial" w:hAnsi="Arial" w:cs="Arial"/>
          <w:sz w:val="20"/>
          <w:szCs w:val="20"/>
        </w:rPr>
        <w:t>)</w:t>
      </w:r>
      <w:r w:rsidRPr="001F34A2">
        <w:rPr>
          <w:rFonts w:ascii="Arial" w:hAnsi="Arial" w:cs="Arial"/>
          <w:sz w:val="20"/>
          <w:szCs w:val="20"/>
        </w:rPr>
        <w:t>.</w:t>
      </w:r>
    </w:p>
    <w:p w14:paraId="41324318" w14:textId="77777777" w:rsidR="00C30D53" w:rsidRPr="001F34A2" w:rsidRDefault="003A294B" w:rsidP="00C30D53">
      <w:pPr>
        <w:rPr>
          <w:rFonts w:ascii="Arial" w:hAnsi="Arial" w:cs="Arial"/>
          <w:sz w:val="20"/>
          <w:szCs w:val="20"/>
        </w:rPr>
      </w:pPr>
      <w:r w:rsidRPr="001F34A2">
        <w:rPr>
          <w:rFonts w:ascii="Arial" w:hAnsi="Arial" w:cs="Arial"/>
          <w:sz w:val="20"/>
          <w:szCs w:val="20"/>
        </w:rPr>
        <w:t>This study aims to address critical gaps in the current literature by comprehensively examining the prevalence, patterns, determinants, and knowledge</w:t>
      </w:r>
      <w:r w:rsidR="00CE7E34" w:rsidRPr="001F34A2">
        <w:rPr>
          <w:rFonts w:ascii="Arial" w:hAnsi="Arial" w:cs="Arial"/>
          <w:sz w:val="20"/>
          <w:szCs w:val="20"/>
        </w:rPr>
        <w:t>,</w:t>
      </w:r>
      <w:r w:rsidRPr="001F34A2">
        <w:rPr>
          <w:rFonts w:ascii="Arial" w:hAnsi="Arial" w:cs="Arial"/>
          <w:sz w:val="20"/>
          <w:szCs w:val="20"/>
        </w:rPr>
        <w:t xml:space="preserve"> attitudes and practices regarding ED consumption among university undergraduates in Rivers State, Nigeria. The findings will contribute to the development of evidence-based public health interventions and educational programs tailored to the specific needs of this population, ultimately promoting healthier beverage consumption patterns and reducing the potential for adverse health outcomes associated with excessive ED use.</w:t>
      </w:r>
      <w:bookmarkStart w:id="2" w:name="_Toc197102082"/>
      <w:bookmarkStart w:id="3" w:name="_Toc208394431"/>
      <w:bookmarkEnd w:id="1"/>
    </w:p>
    <w:p w14:paraId="49AD06D7" w14:textId="77777777" w:rsidR="00C30D53" w:rsidRPr="009142AC" w:rsidRDefault="00C30D53" w:rsidP="00C30D53">
      <w:pPr>
        <w:rPr>
          <w:rFonts w:ascii="Arial" w:hAnsi="Arial" w:cs="Arial"/>
          <w:b/>
          <w:bCs/>
          <w:sz w:val="20"/>
          <w:szCs w:val="20"/>
        </w:rPr>
      </w:pPr>
      <w:r w:rsidRPr="009142AC">
        <w:rPr>
          <w:rFonts w:ascii="Arial" w:hAnsi="Arial" w:cs="Arial"/>
          <w:b/>
          <w:bCs/>
          <w:sz w:val="20"/>
          <w:szCs w:val="20"/>
        </w:rPr>
        <w:t>Methods</w:t>
      </w:r>
    </w:p>
    <w:p w14:paraId="12F43B8A" w14:textId="45B99487" w:rsidR="00586B66" w:rsidRPr="009142AC" w:rsidRDefault="00586B66" w:rsidP="00C30D53">
      <w:pPr>
        <w:rPr>
          <w:rFonts w:ascii="Arial" w:hAnsi="Arial" w:cs="Arial"/>
          <w:b/>
          <w:bCs/>
          <w:sz w:val="20"/>
          <w:szCs w:val="20"/>
        </w:rPr>
      </w:pPr>
      <w:r w:rsidRPr="009142AC">
        <w:rPr>
          <w:rFonts w:ascii="Arial" w:hAnsi="Arial" w:cs="Arial"/>
          <w:b/>
          <w:bCs/>
          <w:sz w:val="20"/>
          <w:szCs w:val="20"/>
        </w:rPr>
        <w:t xml:space="preserve">Study </w:t>
      </w:r>
      <w:r w:rsidR="00C30D53" w:rsidRPr="009142AC">
        <w:rPr>
          <w:rFonts w:ascii="Arial" w:hAnsi="Arial" w:cs="Arial"/>
          <w:b/>
          <w:bCs/>
          <w:sz w:val="20"/>
          <w:szCs w:val="20"/>
        </w:rPr>
        <w:t>design</w:t>
      </w:r>
      <w:bookmarkEnd w:id="2"/>
      <w:bookmarkEnd w:id="3"/>
    </w:p>
    <w:p w14:paraId="59916E9F" w14:textId="77777777" w:rsidR="00C30D53" w:rsidRPr="009142AC" w:rsidRDefault="00586B66" w:rsidP="00C30D53">
      <w:pPr>
        <w:rPr>
          <w:rFonts w:ascii="Arial" w:hAnsi="Arial" w:cs="Arial"/>
          <w:sz w:val="20"/>
          <w:szCs w:val="20"/>
        </w:rPr>
      </w:pPr>
      <w:r w:rsidRPr="009142AC">
        <w:rPr>
          <w:rFonts w:ascii="Arial" w:hAnsi="Arial" w:cs="Arial"/>
          <w:sz w:val="20"/>
          <w:szCs w:val="20"/>
        </w:rPr>
        <w:t xml:space="preserve">The current study adopts a cross-sectional study design. </w:t>
      </w:r>
      <w:bookmarkStart w:id="4" w:name="_Toc197102083"/>
      <w:bookmarkStart w:id="5" w:name="_Toc208394432"/>
    </w:p>
    <w:p w14:paraId="3E28BFDC" w14:textId="412A8BB6" w:rsidR="00586B66" w:rsidRPr="009142AC" w:rsidRDefault="00586B66" w:rsidP="00C30D53">
      <w:pPr>
        <w:rPr>
          <w:rFonts w:ascii="Arial" w:hAnsi="Arial" w:cs="Arial"/>
          <w:b/>
          <w:bCs/>
          <w:sz w:val="20"/>
          <w:szCs w:val="20"/>
        </w:rPr>
      </w:pPr>
      <w:r w:rsidRPr="009142AC">
        <w:rPr>
          <w:rFonts w:ascii="Arial" w:hAnsi="Arial" w:cs="Arial"/>
          <w:b/>
          <w:bCs/>
          <w:sz w:val="20"/>
          <w:szCs w:val="20"/>
        </w:rPr>
        <w:t xml:space="preserve">Study </w:t>
      </w:r>
      <w:r w:rsidR="00C30D53" w:rsidRPr="009142AC">
        <w:rPr>
          <w:rFonts w:ascii="Arial" w:hAnsi="Arial" w:cs="Arial"/>
          <w:b/>
          <w:bCs/>
          <w:sz w:val="20"/>
          <w:szCs w:val="20"/>
        </w:rPr>
        <w:t>area</w:t>
      </w:r>
      <w:bookmarkEnd w:id="4"/>
      <w:bookmarkEnd w:id="5"/>
    </w:p>
    <w:p w14:paraId="66011589" w14:textId="32B77875" w:rsidR="00C30D53" w:rsidRPr="00C30D53" w:rsidRDefault="00C30D53" w:rsidP="00C30D53">
      <w:pPr>
        <w:rPr>
          <w:rFonts w:ascii="Arial" w:hAnsi="Arial" w:cs="Arial"/>
          <w:sz w:val="20"/>
          <w:szCs w:val="20"/>
        </w:rPr>
      </w:pPr>
      <w:r w:rsidRPr="00C30D53">
        <w:rPr>
          <w:rFonts w:ascii="Arial" w:hAnsi="Arial" w:cs="Arial"/>
          <w:sz w:val="20"/>
          <w:szCs w:val="20"/>
        </w:rPr>
        <w:t>Rivers State is situated in the Niger Delta region of southern Nigeria, geographically located between latitudes 4°30’N and 5°30’N and longitudes 6°45’E and 7°30’E. It is bordered by Imo, Abia, and Anambra states to the north, Akwa Ibom State to the east, and Bayelsa and Delta states to the west, with its southern flank opening to the Atlantic Ocean (National Bureau of Statistics [NBS], 2023).</w:t>
      </w:r>
      <w:r w:rsidRPr="009142AC">
        <w:rPr>
          <w:rFonts w:ascii="Arial" w:hAnsi="Arial" w:cs="Arial"/>
          <w:sz w:val="20"/>
          <w:szCs w:val="20"/>
        </w:rPr>
        <w:t xml:space="preserve"> </w:t>
      </w:r>
      <w:r w:rsidRPr="00C30D53">
        <w:rPr>
          <w:rFonts w:ascii="Arial" w:hAnsi="Arial" w:cs="Arial"/>
          <w:sz w:val="20"/>
          <w:szCs w:val="20"/>
        </w:rPr>
        <w:t xml:space="preserve">This region </w:t>
      </w:r>
      <w:r w:rsidRPr="00C30D53">
        <w:rPr>
          <w:rFonts w:ascii="Arial" w:hAnsi="Arial" w:cs="Arial"/>
          <w:sz w:val="20"/>
          <w:szCs w:val="20"/>
        </w:rPr>
        <w:lastRenderedPageBreak/>
        <w:t>presents a compelling context for investigating energy drink consumption patterns among undergraduates. As a leading hub for Nigeria's oil and gas industry, the state's economy is characterized by relative vibrancy and rapid urbanization, particularly in its capital, Port Harcourt (Obinna et al., 2010). This economic activity fosters a consumer-oriented environment with easy access to commercial products, including energy drinks.</w:t>
      </w:r>
    </w:p>
    <w:p w14:paraId="7CADA95C" w14:textId="36A0AF46" w:rsidR="00C30D53" w:rsidRPr="009142AC" w:rsidRDefault="00C30D53" w:rsidP="00C30D53">
      <w:pPr>
        <w:rPr>
          <w:rFonts w:ascii="Arial" w:hAnsi="Arial" w:cs="Arial"/>
          <w:sz w:val="20"/>
          <w:szCs w:val="20"/>
        </w:rPr>
      </w:pPr>
      <w:r w:rsidRPr="00C30D53">
        <w:rPr>
          <w:rFonts w:ascii="Arial" w:hAnsi="Arial" w:cs="Arial"/>
          <w:sz w:val="20"/>
          <w:szCs w:val="20"/>
        </w:rPr>
        <w:t>The academic landscape is a critical feature of the study area. Rivers State hosts a high density of tertiary institutions, including the University of Port Harcourt, Rivers State University, and Ignatius Ajuru University of Education. These institutions attract a large and diverse undergraduate population from various socio-economic and cultural backgrounds, providing a robust sample for this study (National Universities Commission [NUC], 2023). The academic culture, often characterized by high pressure and demanding schedules</w:t>
      </w:r>
      <w:r w:rsidRPr="009142AC">
        <w:rPr>
          <w:rFonts w:ascii="Arial" w:hAnsi="Arial" w:cs="Arial"/>
          <w:sz w:val="20"/>
          <w:szCs w:val="20"/>
        </w:rPr>
        <w:t xml:space="preserve">, </w:t>
      </w:r>
      <w:r w:rsidRPr="00C30D53">
        <w:rPr>
          <w:rFonts w:ascii="Arial" w:hAnsi="Arial" w:cs="Arial"/>
          <w:sz w:val="20"/>
          <w:szCs w:val="20"/>
        </w:rPr>
        <w:t>exemplified by specialized, high-stakes programs like the Centre of Excellence in Marine and Offshore Engineering at Rivers State University</w:t>
      </w:r>
      <w:r w:rsidRPr="009142AC">
        <w:rPr>
          <w:rFonts w:ascii="Arial" w:hAnsi="Arial" w:cs="Arial"/>
          <w:sz w:val="20"/>
          <w:szCs w:val="20"/>
        </w:rPr>
        <w:t xml:space="preserve">, </w:t>
      </w:r>
      <w:r w:rsidRPr="00C30D53">
        <w:rPr>
          <w:rFonts w:ascii="Arial" w:hAnsi="Arial" w:cs="Arial"/>
          <w:sz w:val="20"/>
          <w:szCs w:val="20"/>
        </w:rPr>
        <w:t>creates an environment where stimulant use for cognitive enhancement and fatigue mitigation may be prevalent.</w:t>
      </w:r>
      <w:r w:rsidRPr="009142AC">
        <w:rPr>
          <w:rFonts w:ascii="Arial" w:hAnsi="Arial" w:cs="Arial"/>
          <w:sz w:val="20"/>
          <w:szCs w:val="20"/>
        </w:rPr>
        <w:t xml:space="preserve"> </w:t>
      </w:r>
      <w:r w:rsidRPr="00C30D53">
        <w:rPr>
          <w:rFonts w:ascii="Arial" w:hAnsi="Arial" w:cs="Arial"/>
          <w:sz w:val="20"/>
          <w:szCs w:val="20"/>
        </w:rPr>
        <w:t>Furthermore, the unique urban lifestyle of Port Harcourt, marked by its fast pace and the confluence of modern consumer trends with local cultural practices, offers an ideal setting to examine established determinants of energy drink consumption, such as academic stress, social influence, and the pursuit of enhanced performance (Ibrahim et al., 2021</w:t>
      </w:r>
      <w:r w:rsidR="001B665A">
        <w:rPr>
          <w:rFonts w:ascii="Arial" w:hAnsi="Arial" w:cs="Arial"/>
          <w:sz w:val="20"/>
          <w:szCs w:val="20"/>
        </w:rPr>
        <w:t>b</w:t>
      </w:r>
      <w:r w:rsidRPr="00C30D53">
        <w:rPr>
          <w:rFonts w:ascii="Arial" w:hAnsi="Arial" w:cs="Arial"/>
          <w:sz w:val="20"/>
          <w:szCs w:val="20"/>
        </w:rPr>
        <w:t>; NBS, 2023). Investigating these patterns within this specific socio-economic and academic context will yield valuable insights for designing targeted public health interventions for university populations in similar urban settings.</w:t>
      </w:r>
    </w:p>
    <w:p w14:paraId="6E00C9F3" w14:textId="22F857CD" w:rsidR="00586B66" w:rsidRPr="009142AC" w:rsidRDefault="00586B66" w:rsidP="00C30D53">
      <w:pPr>
        <w:rPr>
          <w:rFonts w:ascii="Arial" w:hAnsi="Arial" w:cs="Arial"/>
          <w:b/>
          <w:bCs/>
          <w:sz w:val="20"/>
          <w:szCs w:val="20"/>
        </w:rPr>
      </w:pPr>
      <w:bookmarkStart w:id="6" w:name="_Toc197102085"/>
      <w:bookmarkStart w:id="7" w:name="_Toc208394434"/>
      <w:r w:rsidRPr="009142AC">
        <w:rPr>
          <w:rFonts w:ascii="Arial" w:hAnsi="Arial" w:cs="Arial"/>
          <w:b/>
          <w:bCs/>
          <w:sz w:val="20"/>
          <w:szCs w:val="20"/>
        </w:rPr>
        <w:t xml:space="preserve">Study </w:t>
      </w:r>
      <w:r w:rsidR="00C30D53" w:rsidRPr="009142AC">
        <w:rPr>
          <w:rFonts w:ascii="Arial" w:hAnsi="Arial" w:cs="Arial"/>
          <w:b/>
          <w:bCs/>
          <w:sz w:val="20"/>
          <w:szCs w:val="20"/>
        </w:rPr>
        <w:t>population</w:t>
      </w:r>
      <w:bookmarkEnd w:id="6"/>
      <w:bookmarkEnd w:id="7"/>
    </w:p>
    <w:p w14:paraId="347BCA16" w14:textId="77777777" w:rsidR="00C30D53" w:rsidRPr="009142AC" w:rsidRDefault="00C30D53" w:rsidP="00C30D53">
      <w:pPr>
        <w:rPr>
          <w:rFonts w:ascii="Arial" w:hAnsi="Arial" w:cs="Arial"/>
          <w:sz w:val="20"/>
          <w:szCs w:val="20"/>
        </w:rPr>
      </w:pPr>
      <w:r w:rsidRPr="009142AC">
        <w:rPr>
          <w:rFonts w:ascii="Arial" w:hAnsi="Arial" w:cs="Arial"/>
          <w:sz w:val="20"/>
          <w:szCs w:val="20"/>
        </w:rPr>
        <w:t xml:space="preserve">The study population encompasses all undergraduate students aged 18 years and above who are currently enrolled and residing in Rivers State, Nigeria, including institutions such as the University of Port Harcourt (approximately 42,000 students), Rivers State University (over 28,000 students), Ignatius </w:t>
      </w:r>
      <w:proofErr w:type="spellStart"/>
      <w:r w:rsidRPr="009142AC">
        <w:rPr>
          <w:rFonts w:ascii="Arial" w:hAnsi="Arial" w:cs="Arial"/>
          <w:sz w:val="20"/>
          <w:szCs w:val="20"/>
        </w:rPr>
        <w:t>Ajuru</w:t>
      </w:r>
      <w:proofErr w:type="spellEnd"/>
      <w:r w:rsidRPr="009142AC">
        <w:rPr>
          <w:rFonts w:ascii="Arial" w:hAnsi="Arial" w:cs="Arial"/>
          <w:sz w:val="20"/>
          <w:szCs w:val="20"/>
        </w:rPr>
        <w:t xml:space="preserve"> University of Education, and private universities including Madona University and PAMO University of Medical Sciences (Rivers State University, 2023; University of Port Harcourt, 2024), with exclusion of students not present during the data collection period.</w:t>
      </w:r>
      <w:bookmarkStart w:id="8" w:name="_Toc197102086"/>
      <w:bookmarkStart w:id="9" w:name="_Toc208394435"/>
    </w:p>
    <w:bookmarkEnd w:id="8"/>
    <w:bookmarkEnd w:id="9"/>
    <w:p w14:paraId="5634F0F6" w14:textId="069F5428" w:rsidR="00586B66" w:rsidRPr="009142AC" w:rsidRDefault="00586B66" w:rsidP="00586B66">
      <w:pPr>
        <w:rPr>
          <w:rFonts w:ascii="Arial" w:hAnsi="Arial" w:cs="Arial"/>
          <w:b/>
          <w:bCs/>
          <w:sz w:val="20"/>
          <w:szCs w:val="20"/>
        </w:rPr>
      </w:pPr>
      <w:r w:rsidRPr="009142AC">
        <w:rPr>
          <w:rFonts w:ascii="Arial" w:hAnsi="Arial" w:cs="Arial"/>
          <w:b/>
          <w:bCs/>
          <w:sz w:val="20"/>
          <w:szCs w:val="20"/>
        </w:rPr>
        <w:t xml:space="preserve">Sample </w:t>
      </w:r>
      <w:r w:rsidR="00C30D53" w:rsidRPr="009142AC">
        <w:rPr>
          <w:rFonts w:ascii="Arial" w:hAnsi="Arial" w:cs="Arial"/>
          <w:b/>
          <w:bCs/>
          <w:sz w:val="20"/>
          <w:szCs w:val="20"/>
        </w:rPr>
        <w:t xml:space="preserve">size determination </w:t>
      </w:r>
    </w:p>
    <w:p w14:paraId="5B6762CF" w14:textId="6A1100B3" w:rsidR="00BE2693" w:rsidRPr="009142AC" w:rsidRDefault="00BE2693" w:rsidP="00586B66">
      <w:pPr>
        <w:rPr>
          <w:rFonts w:ascii="Arial" w:hAnsi="Arial" w:cs="Arial"/>
          <w:sz w:val="20"/>
          <w:szCs w:val="20"/>
        </w:rPr>
      </w:pPr>
      <w:r w:rsidRPr="009142AC">
        <w:rPr>
          <w:rFonts w:ascii="Arial" w:hAnsi="Arial" w:cs="Arial"/>
          <w:sz w:val="20"/>
          <w:szCs w:val="20"/>
        </w:rPr>
        <w:lastRenderedPageBreak/>
        <w:t xml:space="preserve">The sample size for this study was determined using the Cochran formula </w:t>
      </w:r>
      <m:oMath>
        <m:r>
          <w:rPr>
            <w:rFonts w:ascii="Cambria Math" w:hAnsi="Cambria Math" w:cs="Arial"/>
            <w:sz w:val="20"/>
            <w:szCs w:val="20"/>
          </w:rPr>
          <m:t>n=</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2</m:t>
                </m:r>
              </m:sup>
            </m:sSup>
            <m:r>
              <w:rPr>
                <w:rFonts w:ascii="Cambria Math" w:hAnsi="Cambria Math" w:cs="Arial"/>
                <w:sz w:val="20"/>
                <w:szCs w:val="20"/>
              </w:rPr>
              <m:t>pq</m:t>
            </m:r>
          </m:num>
          <m:den>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2</m:t>
                </m:r>
              </m:sup>
            </m:sSup>
          </m:den>
        </m:f>
      </m:oMath>
      <w:r w:rsidRPr="009142AC">
        <w:rPr>
          <w:rFonts w:ascii="Arial" w:eastAsiaTheme="minorEastAsia" w:hAnsi="Arial" w:cs="Arial"/>
          <w:sz w:val="20"/>
          <w:szCs w:val="20"/>
        </w:rPr>
        <w:t xml:space="preserve"> </w:t>
      </w:r>
      <w:r w:rsidRPr="009142AC">
        <w:rPr>
          <w:rFonts w:ascii="Arial" w:hAnsi="Arial" w:cs="Arial"/>
          <w:sz w:val="20"/>
          <w:szCs w:val="20"/>
        </w:rPr>
        <w:t>for population proportions. The calculation yielded a minimum sample size of n = 339.7 ≈ 340 participants, based on a 95% confidence level (Z = 1.96), a margin of error of 0.05, and an estimated prevalence rate of energy drink consumption of 67% (p = 0.67) obtained from previous research (Ibrahim et al., 2021</w:t>
      </w:r>
      <w:r w:rsidR="001B665A">
        <w:rPr>
          <w:rFonts w:ascii="Arial" w:hAnsi="Arial" w:cs="Arial"/>
          <w:sz w:val="20"/>
          <w:szCs w:val="20"/>
        </w:rPr>
        <w:t>b</w:t>
      </w:r>
      <w:r w:rsidRPr="009142AC">
        <w:rPr>
          <w:rFonts w:ascii="Arial" w:hAnsi="Arial" w:cs="Arial"/>
          <w:sz w:val="20"/>
          <w:szCs w:val="20"/>
        </w:rPr>
        <w:t>). To account for potential non-response, this initial sample size was increased by 10%, resulting in a final sample size of 378 participants.</w:t>
      </w:r>
    </w:p>
    <w:p w14:paraId="758187C7" w14:textId="5E46C102" w:rsidR="00586B66" w:rsidRPr="009142AC" w:rsidRDefault="00586B66" w:rsidP="00586B66">
      <w:pPr>
        <w:rPr>
          <w:rFonts w:ascii="Arial" w:hAnsi="Arial" w:cs="Arial"/>
          <w:sz w:val="20"/>
          <w:szCs w:val="20"/>
        </w:rPr>
      </w:pPr>
      <w:r w:rsidRPr="009142AC">
        <w:rPr>
          <w:rFonts w:ascii="Arial" w:hAnsi="Arial" w:cs="Arial"/>
          <w:b/>
          <w:bCs/>
          <w:sz w:val="20"/>
          <w:szCs w:val="20"/>
        </w:rPr>
        <w:t>Sampling technique</w:t>
      </w:r>
    </w:p>
    <w:p w14:paraId="45F8BC67" w14:textId="1DFB2E7F" w:rsidR="00586B66" w:rsidRPr="009142AC" w:rsidRDefault="00BE2693" w:rsidP="00586B66">
      <w:pPr>
        <w:rPr>
          <w:rFonts w:ascii="Arial" w:hAnsi="Arial" w:cs="Arial"/>
          <w:sz w:val="20"/>
          <w:szCs w:val="20"/>
        </w:rPr>
      </w:pPr>
      <w:bookmarkStart w:id="10" w:name="_Toc197102087"/>
      <w:r w:rsidRPr="009142AC">
        <w:rPr>
          <w:rFonts w:ascii="Arial" w:hAnsi="Arial" w:cs="Arial"/>
          <w:sz w:val="20"/>
          <w:szCs w:val="20"/>
        </w:rPr>
        <w:t xml:space="preserve">A multi-stage sampling technique was employed, beginning with the stratified selection of one public and one private university from all accredited institutions in Rivers State to ensure representation across institutional types, followed by simple random sampling (balloting method) of faculties within selected universities to capture diverse academic disciplines, and concluding with random selection of undergraduate participants from compiled departmental sampling frames using proportional allocation based on institutional </w:t>
      </w:r>
      <w:r w:rsidR="000E48E3" w:rsidRPr="009142AC">
        <w:rPr>
          <w:rFonts w:ascii="Arial" w:hAnsi="Arial" w:cs="Arial"/>
          <w:sz w:val="20"/>
          <w:szCs w:val="20"/>
        </w:rPr>
        <w:t>enrolment</w:t>
      </w:r>
      <w:r w:rsidRPr="009142AC">
        <w:rPr>
          <w:rFonts w:ascii="Arial" w:hAnsi="Arial" w:cs="Arial"/>
          <w:sz w:val="20"/>
          <w:szCs w:val="20"/>
        </w:rPr>
        <w:t xml:space="preserve"> size (e.g., 54.2% from the University of Port Harcourt as the largest institution), with survey links distributed via class representatives until reaching the target sample size of 378 participants</w:t>
      </w:r>
    </w:p>
    <w:p w14:paraId="1795A176" w14:textId="6C73FEBF" w:rsidR="00BE2693" w:rsidRPr="009142AC" w:rsidRDefault="00BE2693" w:rsidP="00BE2693">
      <w:pPr>
        <w:rPr>
          <w:rFonts w:ascii="Arial" w:hAnsi="Arial" w:cs="Arial"/>
          <w:b/>
          <w:bCs/>
          <w:sz w:val="20"/>
          <w:szCs w:val="20"/>
        </w:rPr>
      </w:pPr>
      <w:bookmarkStart w:id="11" w:name="_Toc197102088"/>
      <w:bookmarkEnd w:id="10"/>
      <w:r w:rsidRPr="009142AC">
        <w:rPr>
          <w:rFonts w:ascii="Arial" w:hAnsi="Arial" w:cs="Arial"/>
          <w:b/>
          <w:bCs/>
          <w:sz w:val="20"/>
          <w:szCs w:val="20"/>
        </w:rPr>
        <w:t xml:space="preserve">Methods of </w:t>
      </w:r>
      <w:r w:rsidR="00AD434A" w:rsidRPr="009142AC">
        <w:rPr>
          <w:rFonts w:ascii="Arial" w:hAnsi="Arial" w:cs="Arial"/>
          <w:b/>
          <w:bCs/>
          <w:sz w:val="20"/>
          <w:szCs w:val="20"/>
        </w:rPr>
        <w:t xml:space="preserve">data collection </w:t>
      </w:r>
    </w:p>
    <w:p w14:paraId="17500E11" w14:textId="2954BBDB" w:rsidR="00EF21D0" w:rsidRPr="009142AC" w:rsidRDefault="00AD434A" w:rsidP="00EF21D0">
      <w:pPr>
        <w:rPr>
          <w:rFonts w:ascii="Arial" w:hAnsi="Arial" w:cs="Arial"/>
          <w:sz w:val="20"/>
          <w:szCs w:val="20"/>
        </w:rPr>
      </w:pPr>
      <w:r w:rsidRPr="00AD434A">
        <w:rPr>
          <w:rFonts w:ascii="Arial" w:hAnsi="Arial" w:cs="Arial"/>
          <w:sz w:val="20"/>
          <w:szCs w:val="20"/>
        </w:rPr>
        <w:t>Data were collected using a pre-tested, validated, self-administered questionnaire adapted from previously published studies (Ibrahim et al., 2021</w:t>
      </w:r>
      <w:r w:rsidR="001B665A">
        <w:rPr>
          <w:rFonts w:ascii="Arial" w:hAnsi="Arial" w:cs="Arial"/>
          <w:sz w:val="20"/>
          <w:szCs w:val="20"/>
        </w:rPr>
        <w:t>b</w:t>
      </w:r>
      <w:r w:rsidRPr="00AD434A">
        <w:rPr>
          <w:rFonts w:ascii="Arial" w:hAnsi="Arial" w:cs="Arial"/>
          <w:sz w:val="20"/>
          <w:szCs w:val="20"/>
        </w:rPr>
        <w:t>; Ezemenahi et al., 2024). The instrument was structured into six sections to comprehensively assess key variables: Section A (sociodemographic characteristics), Section B (prevalence of energy drink consumption), Section C (knowledge of energy drink components, benefits, and health risks), Section D (attitudes toward energy drink consumption), Section E (consumption practices and patterns), and Section F (sleep patterns and quality).</w:t>
      </w:r>
      <w:r w:rsidRPr="009142AC">
        <w:rPr>
          <w:rFonts w:ascii="Arial" w:hAnsi="Arial" w:cs="Arial"/>
          <w:sz w:val="20"/>
          <w:szCs w:val="20"/>
        </w:rPr>
        <w:t xml:space="preserve"> </w:t>
      </w:r>
      <w:r w:rsidRPr="00AD434A">
        <w:rPr>
          <w:rFonts w:ascii="Arial" w:hAnsi="Arial" w:cs="Arial"/>
          <w:sz w:val="20"/>
          <w:szCs w:val="20"/>
        </w:rPr>
        <w:t>To ensure consistency and reliability in data gathering, research assistants underwent a two-day intensive training program at a facility near the university campus. The training covered ethical considerations, questionnaire administration, virtual engagement protocols, and techniques for minimizing recruitment and response bias. Data collection was conducted virtually over a two-month period (June to August 2025) using online platforms, primarily WhatsApp, for questionnaire distribution. This digital approach was selected to enhance accessibility, facilitate wider geographical coverage across study institutions, and align with the tech-savvy nature of the undergraduate population.</w:t>
      </w:r>
      <w:r w:rsidRPr="009142AC">
        <w:rPr>
          <w:rFonts w:ascii="Arial" w:hAnsi="Arial" w:cs="Arial"/>
          <w:sz w:val="20"/>
          <w:szCs w:val="20"/>
        </w:rPr>
        <w:t xml:space="preserve"> </w:t>
      </w:r>
      <w:r w:rsidRPr="00AD434A">
        <w:rPr>
          <w:rFonts w:ascii="Arial" w:hAnsi="Arial" w:cs="Arial"/>
          <w:sz w:val="20"/>
          <w:szCs w:val="20"/>
        </w:rPr>
        <w:t xml:space="preserve">The use of trained research </w:t>
      </w:r>
      <w:r w:rsidRPr="00AD434A">
        <w:rPr>
          <w:rFonts w:ascii="Arial" w:hAnsi="Arial" w:cs="Arial"/>
          <w:sz w:val="20"/>
          <w:szCs w:val="20"/>
        </w:rPr>
        <w:lastRenderedPageBreak/>
        <w:t>assistants and a standardized virtual administration protocol helped maintain uniformity in instructions and reduce inter-administrator variability, thereby improving the validity and reproducibility of the data collection process.</w:t>
      </w:r>
      <w:bookmarkStart w:id="12" w:name="_Toc197102089"/>
      <w:bookmarkStart w:id="13" w:name="_Toc208394438"/>
      <w:bookmarkEnd w:id="11"/>
    </w:p>
    <w:p w14:paraId="0C9DE8A5" w14:textId="77777777" w:rsidR="00EF21D0" w:rsidRPr="009142AC" w:rsidRDefault="00586B66" w:rsidP="00EF21D0">
      <w:pPr>
        <w:rPr>
          <w:rFonts w:ascii="Arial" w:hAnsi="Arial" w:cs="Arial"/>
          <w:b/>
          <w:bCs/>
          <w:sz w:val="20"/>
          <w:szCs w:val="20"/>
        </w:rPr>
      </w:pPr>
      <w:r w:rsidRPr="009142AC">
        <w:rPr>
          <w:rFonts w:ascii="Arial" w:hAnsi="Arial" w:cs="Arial"/>
          <w:b/>
          <w:bCs/>
          <w:sz w:val="20"/>
          <w:szCs w:val="20"/>
        </w:rPr>
        <w:t xml:space="preserve">Validity and </w:t>
      </w:r>
      <w:r w:rsidR="00EF21D0" w:rsidRPr="009142AC">
        <w:rPr>
          <w:rFonts w:ascii="Arial" w:hAnsi="Arial" w:cs="Arial"/>
          <w:b/>
          <w:bCs/>
          <w:sz w:val="20"/>
          <w:szCs w:val="20"/>
        </w:rPr>
        <w:t xml:space="preserve">reliability </w:t>
      </w:r>
      <w:r w:rsidRPr="009142AC">
        <w:rPr>
          <w:rFonts w:ascii="Arial" w:hAnsi="Arial" w:cs="Arial"/>
          <w:b/>
          <w:bCs/>
          <w:sz w:val="20"/>
          <w:szCs w:val="20"/>
        </w:rPr>
        <w:t xml:space="preserve">of </w:t>
      </w:r>
      <w:r w:rsidR="00EF21D0" w:rsidRPr="009142AC">
        <w:rPr>
          <w:rFonts w:ascii="Arial" w:hAnsi="Arial" w:cs="Arial"/>
          <w:b/>
          <w:bCs/>
          <w:sz w:val="20"/>
          <w:szCs w:val="20"/>
        </w:rPr>
        <w:t>study tools</w:t>
      </w:r>
      <w:bookmarkStart w:id="14" w:name="_Toc197102090"/>
      <w:bookmarkStart w:id="15" w:name="_Toc208394439"/>
      <w:bookmarkEnd w:id="12"/>
      <w:bookmarkEnd w:id="13"/>
    </w:p>
    <w:p w14:paraId="5381CA05" w14:textId="77777777" w:rsidR="00EF21D0" w:rsidRPr="009142AC" w:rsidRDefault="00EF21D0" w:rsidP="00EF21D0">
      <w:pPr>
        <w:rPr>
          <w:rFonts w:ascii="Arial" w:hAnsi="Arial" w:cs="Arial"/>
          <w:sz w:val="20"/>
          <w:szCs w:val="20"/>
        </w:rPr>
      </w:pPr>
      <w:r w:rsidRPr="009142AC">
        <w:rPr>
          <w:rFonts w:ascii="Arial" w:hAnsi="Arial" w:cs="Arial"/>
          <w:sz w:val="20"/>
          <w:szCs w:val="20"/>
        </w:rPr>
        <w:t>The questionnaire was validated through a multi-step process to ensure accuracy and reliability. A pilot test was conducted with 10% of the sample size (n = 38) from a comparable student population outside the study area to refine clarity, wording, and relevance. Content validity was established through review by a panel of subject-matter experts who assessed domain representation and item appropriateness. Internal consistency was evaluated using Cronbach’s alpha for multi-item scales, with values above 0.7 considered acceptable. Test–retest reliability was assessed over a two-week interval with a subsample to evaluate temporal stability. This rigorous process ensured the instrument was valid, reliable, and suitable for measuring energy drink consumption and related constructs among undergraduates.</w:t>
      </w:r>
    </w:p>
    <w:p w14:paraId="5AC9D172" w14:textId="257E052B" w:rsidR="00586B66" w:rsidRPr="009142AC" w:rsidRDefault="00586B66" w:rsidP="00EF21D0">
      <w:pPr>
        <w:rPr>
          <w:rFonts w:ascii="Arial" w:hAnsi="Arial" w:cs="Arial"/>
          <w:b/>
          <w:bCs/>
          <w:sz w:val="20"/>
          <w:szCs w:val="20"/>
        </w:rPr>
      </w:pPr>
      <w:r w:rsidRPr="009142AC">
        <w:rPr>
          <w:rFonts w:ascii="Arial" w:hAnsi="Arial" w:cs="Arial"/>
          <w:b/>
          <w:bCs/>
          <w:sz w:val="20"/>
          <w:szCs w:val="20"/>
        </w:rPr>
        <w:t xml:space="preserve">Method of </w:t>
      </w:r>
      <w:r w:rsidR="00EF21D0" w:rsidRPr="009142AC">
        <w:rPr>
          <w:rFonts w:ascii="Arial" w:hAnsi="Arial" w:cs="Arial"/>
          <w:b/>
          <w:bCs/>
          <w:sz w:val="20"/>
          <w:szCs w:val="20"/>
        </w:rPr>
        <w:t>data analysis</w:t>
      </w:r>
      <w:bookmarkEnd w:id="14"/>
      <w:bookmarkEnd w:id="15"/>
    </w:p>
    <w:p w14:paraId="173B49FB" w14:textId="5C8834A6" w:rsidR="000E48E3" w:rsidRDefault="00586B66" w:rsidP="00EF21D0">
      <w:pPr>
        <w:rPr>
          <w:rFonts w:ascii="Arial" w:hAnsi="Arial" w:cs="Arial"/>
          <w:sz w:val="20"/>
          <w:szCs w:val="20"/>
        </w:rPr>
      </w:pPr>
      <w:r w:rsidRPr="009142AC">
        <w:rPr>
          <w:rFonts w:ascii="Arial" w:hAnsi="Arial" w:cs="Arial"/>
          <w:sz w:val="20"/>
          <w:szCs w:val="20"/>
        </w:rPr>
        <w:t xml:space="preserve">The data collected in this study were organised and analysed in detail by various statistical software tools. The data initially was entered into the Microsoft Excel software version, Office 365, with a lot of careful entry to make sure that there is no misleading or out-of-data entry in the data files at all. Following this, the dataset </w:t>
      </w:r>
      <w:r w:rsidR="000E48E3">
        <w:rPr>
          <w:rFonts w:ascii="Arial" w:hAnsi="Arial" w:cs="Arial"/>
          <w:sz w:val="20"/>
          <w:szCs w:val="20"/>
        </w:rPr>
        <w:t xml:space="preserve">was exported and </w:t>
      </w:r>
      <w:proofErr w:type="spellStart"/>
      <w:r w:rsidR="000E48E3" w:rsidRPr="000E48E3">
        <w:rPr>
          <w:rFonts w:ascii="Arial" w:hAnsi="Arial" w:cs="Arial"/>
          <w:sz w:val="20"/>
          <w:szCs w:val="20"/>
        </w:rPr>
        <w:t>analyzed</w:t>
      </w:r>
      <w:proofErr w:type="spellEnd"/>
      <w:r w:rsidR="000E48E3" w:rsidRPr="000E48E3">
        <w:rPr>
          <w:rFonts w:ascii="Arial" w:hAnsi="Arial" w:cs="Arial"/>
          <w:sz w:val="20"/>
          <w:szCs w:val="20"/>
        </w:rPr>
        <w:t xml:space="preserve"> using SPSS version 2</w:t>
      </w:r>
      <w:r w:rsidR="000E48E3">
        <w:rPr>
          <w:rFonts w:ascii="Arial" w:hAnsi="Arial" w:cs="Arial"/>
          <w:sz w:val="20"/>
          <w:szCs w:val="20"/>
        </w:rPr>
        <w:t>6</w:t>
      </w:r>
      <w:r w:rsidR="000E48E3" w:rsidRPr="000E48E3">
        <w:rPr>
          <w:rFonts w:ascii="Arial" w:hAnsi="Arial" w:cs="Arial"/>
          <w:sz w:val="20"/>
          <w:szCs w:val="20"/>
        </w:rPr>
        <w:t>.0, employing descriptive statistics (frequencies, percentages, means, and standard deviations) to summarize sociodemographic and consumption variables, while inferential analyses included chi-square tests to examine associations between categorical variables and binary logistic regression to identify predictors of energy drink consumption, with statistical significance set at p &lt; 0.05.</w:t>
      </w:r>
    </w:p>
    <w:p w14:paraId="284675EC" w14:textId="0BA089A0" w:rsidR="00EF21D0" w:rsidRPr="009142AC" w:rsidRDefault="00EF21D0" w:rsidP="00EF21D0">
      <w:pPr>
        <w:rPr>
          <w:rFonts w:ascii="Arial" w:hAnsi="Arial" w:cs="Arial"/>
          <w:b/>
          <w:bCs/>
          <w:sz w:val="20"/>
          <w:szCs w:val="20"/>
        </w:rPr>
      </w:pPr>
      <w:r w:rsidRPr="00EF21D0">
        <w:rPr>
          <w:rFonts w:ascii="Arial" w:hAnsi="Arial" w:cs="Arial"/>
          <w:b/>
          <w:bCs/>
          <w:sz w:val="20"/>
          <w:szCs w:val="20"/>
        </w:rPr>
        <w:t>Ethical Considerations</w:t>
      </w:r>
    </w:p>
    <w:p w14:paraId="13713887" w14:textId="3BB85A6B" w:rsidR="009142AC" w:rsidRPr="00BD7E1A" w:rsidRDefault="00EF21D0" w:rsidP="00BD7E1A">
      <w:pPr>
        <w:rPr>
          <w:rFonts w:ascii="Arial" w:hAnsi="Arial" w:cs="Arial"/>
          <w:sz w:val="20"/>
          <w:szCs w:val="20"/>
        </w:rPr>
      </w:pPr>
      <w:r w:rsidRPr="009142AC">
        <w:rPr>
          <w:rFonts w:ascii="Arial" w:hAnsi="Arial" w:cs="Arial"/>
          <w:sz w:val="20"/>
          <w:szCs w:val="20"/>
        </w:rPr>
        <w:t xml:space="preserve">Ethical approval was granted by the University of Port Harcourt Ethical Committee. Written informed consent was obtained from all participants after explaining the study’s purpose, risks, and benefits. Data were collected anonymously without personal identifiers, stored securely with password protection and unique codes, and </w:t>
      </w:r>
      <w:proofErr w:type="spellStart"/>
      <w:r w:rsidRPr="009142AC">
        <w:rPr>
          <w:rFonts w:ascii="Arial" w:hAnsi="Arial" w:cs="Arial"/>
          <w:sz w:val="20"/>
          <w:szCs w:val="20"/>
        </w:rPr>
        <w:t>analyzed</w:t>
      </w:r>
      <w:proofErr w:type="spellEnd"/>
      <w:r w:rsidRPr="009142AC">
        <w:rPr>
          <w:rFonts w:ascii="Arial" w:hAnsi="Arial" w:cs="Arial"/>
          <w:sz w:val="20"/>
          <w:szCs w:val="20"/>
        </w:rPr>
        <w:t xml:space="preserve"> in aggregate form to ensure confidentiality. Participants could skip questions or withdraw freely. Selection was based solely on undergraduate status in Rivers State and willingness to participate, ensuring equitable inclusion.</w:t>
      </w:r>
      <w:bookmarkStart w:id="16" w:name="_Toc208394442"/>
    </w:p>
    <w:p w14:paraId="1250A02F" w14:textId="77777777" w:rsidR="008965B3" w:rsidRDefault="008965B3" w:rsidP="00EF21D0">
      <w:pPr>
        <w:spacing w:before="100" w:beforeAutospacing="1" w:after="100" w:afterAutospacing="1" w:line="278" w:lineRule="auto"/>
        <w:jc w:val="left"/>
        <w:rPr>
          <w:rFonts w:ascii="Arial" w:hAnsi="Arial" w:cs="Arial"/>
          <w:b/>
          <w:sz w:val="20"/>
          <w:szCs w:val="20"/>
        </w:rPr>
      </w:pPr>
    </w:p>
    <w:p w14:paraId="7B1DA36D" w14:textId="3FC54334" w:rsidR="00586B66" w:rsidRDefault="008965B3" w:rsidP="00EF21D0">
      <w:pPr>
        <w:spacing w:before="100" w:beforeAutospacing="1" w:after="100" w:afterAutospacing="1" w:line="278" w:lineRule="auto"/>
        <w:jc w:val="left"/>
        <w:rPr>
          <w:rFonts w:ascii="Arial" w:hAnsi="Arial" w:cs="Arial"/>
          <w:b/>
          <w:sz w:val="20"/>
          <w:szCs w:val="20"/>
        </w:rPr>
      </w:pPr>
      <w:r w:rsidRPr="009142AC">
        <w:rPr>
          <w:rFonts w:ascii="Arial" w:hAnsi="Arial" w:cs="Arial"/>
          <w:b/>
          <w:sz w:val="20"/>
          <w:szCs w:val="20"/>
        </w:rPr>
        <w:t>RESULTS</w:t>
      </w:r>
      <w:bookmarkEnd w:id="16"/>
    </w:p>
    <w:p w14:paraId="5E7B43D0" w14:textId="7CA2EF7D" w:rsidR="00BD7E1A" w:rsidRDefault="00BD7E1A" w:rsidP="00C52DA8">
      <w:pPr>
        <w:spacing w:after="0" w:line="360" w:lineRule="auto"/>
        <w:rPr>
          <w:rFonts w:ascii="Arial" w:hAnsi="Arial" w:cs="Arial"/>
          <w:b/>
          <w:sz w:val="20"/>
          <w:szCs w:val="20"/>
        </w:rPr>
      </w:pPr>
      <w:r>
        <w:rPr>
          <w:rFonts w:ascii="Arial" w:hAnsi="Arial" w:cs="Arial"/>
          <w:b/>
          <w:sz w:val="20"/>
          <w:szCs w:val="20"/>
        </w:rPr>
        <w:t>Sociodemographic characteristics</w:t>
      </w:r>
    </w:p>
    <w:p w14:paraId="00BA3821" w14:textId="74F47ECB" w:rsidR="00BD7E1A" w:rsidRPr="009142AC" w:rsidRDefault="00BD7E1A" w:rsidP="00C52DA8">
      <w:pPr>
        <w:spacing w:line="360" w:lineRule="auto"/>
        <w:rPr>
          <w:rFonts w:ascii="Arial" w:hAnsi="Arial" w:cs="Arial"/>
          <w:sz w:val="20"/>
          <w:szCs w:val="20"/>
        </w:rPr>
      </w:pPr>
      <w:r w:rsidRPr="00BD7E1A">
        <w:rPr>
          <w:rFonts w:ascii="Arial" w:hAnsi="Arial" w:cs="Arial"/>
          <w:sz w:val="20"/>
          <w:szCs w:val="20"/>
        </w:rPr>
        <w:t xml:space="preserve">Table 1 presents the sociodemographic profile of the study participants (N=378), indicating a predominantly young (mean age=21.36±1.92 years) and female (71.7%) population, with nearly all respondents being single (96.0%), ethnically diverse (predominantly Igbo [38.1%] and </w:t>
      </w:r>
      <w:proofErr w:type="spellStart"/>
      <w:r w:rsidRPr="00BD7E1A">
        <w:rPr>
          <w:rFonts w:ascii="Arial" w:hAnsi="Arial" w:cs="Arial"/>
          <w:sz w:val="20"/>
          <w:szCs w:val="20"/>
        </w:rPr>
        <w:t>Ikwerre</w:t>
      </w:r>
      <w:proofErr w:type="spellEnd"/>
      <w:r w:rsidRPr="00BD7E1A">
        <w:rPr>
          <w:rFonts w:ascii="Arial" w:hAnsi="Arial" w:cs="Arial"/>
          <w:sz w:val="20"/>
          <w:szCs w:val="20"/>
        </w:rPr>
        <w:t xml:space="preserve"> [19.0%]), academically distributed across all years (with highest representation in fourth year [33.1%]), and primarily enrolled in public universities (81.7%).</w:t>
      </w:r>
    </w:p>
    <w:p w14:paraId="3B137952" w14:textId="6070B08E" w:rsidR="00586B66" w:rsidRPr="009142AC" w:rsidRDefault="00586B66" w:rsidP="00EF21D0">
      <w:pPr>
        <w:spacing w:after="0" w:line="276" w:lineRule="auto"/>
        <w:rPr>
          <w:rFonts w:ascii="Arial" w:hAnsi="Arial" w:cs="Arial"/>
          <w:b/>
          <w:sz w:val="20"/>
          <w:szCs w:val="20"/>
        </w:rPr>
      </w:pPr>
      <w:bookmarkStart w:id="17" w:name="_Toc208394256"/>
      <w:bookmarkStart w:id="18" w:name="_Toc208394443"/>
      <w:r w:rsidRPr="009142AC">
        <w:rPr>
          <w:rFonts w:ascii="Arial" w:hAnsi="Arial" w:cs="Arial"/>
          <w:b/>
          <w:sz w:val="20"/>
          <w:szCs w:val="20"/>
        </w:rPr>
        <w:t>Table 1</w:t>
      </w:r>
      <w:r w:rsidR="00EF21D0" w:rsidRPr="009142AC">
        <w:rPr>
          <w:rFonts w:ascii="Arial" w:hAnsi="Arial" w:cs="Arial"/>
          <w:b/>
          <w:sz w:val="20"/>
          <w:szCs w:val="20"/>
        </w:rPr>
        <w:t>.</w:t>
      </w:r>
      <w:r w:rsidRPr="009142AC">
        <w:rPr>
          <w:rFonts w:ascii="Arial" w:hAnsi="Arial" w:cs="Arial"/>
          <w:b/>
          <w:sz w:val="20"/>
          <w:szCs w:val="20"/>
        </w:rPr>
        <w:t xml:space="preserve"> Socio</w:t>
      </w:r>
      <w:r w:rsidR="00EF21D0" w:rsidRPr="009142AC">
        <w:rPr>
          <w:rFonts w:ascii="Arial" w:hAnsi="Arial" w:cs="Arial"/>
          <w:b/>
          <w:sz w:val="20"/>
          <w:szCs w:val="20"/>
        </w:rPr>
        <w:t>d</w:t>
      </w:r>
      <w:r w:rsidRPr="009142AC">
        <w:rPr>
          <w:rFonts w:ascii="Arial" w:hAnsi="Arial" w:cs="Arial"/>
          <w:b/>
          <w:sz w:val="20"/>
          <w:szCs w:val="20"/>
        </w:rPr>
        <w:t xml:space="preserve">emographic </w:t>
      </w:r>
      <w:r w:rsidR="00EF21D0" w:rsidRPr="009142AC">
        <w:rPr>
          <w:rFonts w:ascii="Arial" w:hAnsi="Arial" w:cs="Arial"/>
          <w:b/>
          <w:sz w:val="20"/>
          <w:szCs w:val="20"/>
        </w:rPr>
        <w:t xml:space="preserve">characteristics </w:t>
      </w:r>
      <w:r w:rsidRPr="009142AC">
        <w:rPr>
          <w:rFonts w:ascii="Arial" w:hAnsi="Arial" w:cs="Arial"/>
          <w:b/>
          <w:sz w:val="20"/>
          <w:szCs w:val="20"/>
        </w:rPr>
        <w:t>of the study undergraduate university students in Rivers State</w:t>
      </w:r>
      <w:bookmarkEnd w:id="17"/>
      <w:bookmarkEnd w:id="1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2779"/>
      </w:tblGrid>
      <w:tr w:rsidR="00586B66" w:rsidRPr="009142AC" w14:paraId="39081111" w14:textId="77777777" w:rsidTr="004E283F">
        <w:tc>
          <w:tcPr>
            <w:tcW w:w="3544" w:type="dxa"/>
            <w:tcBorders>
              <w:top w:val="single" w:sz="4" w:space="0" w:color="auto"/>
              <w:bottom w:val="single" w:sz="4" w:space="0" w:color="auto"/>
            </w:tcBorders>
            <w:hideMark/>
          </w:tcPr>
          <w:p w14:paraId="752207D7" w14:textId="77777777" w:rsidR="00586B66" w:rsidRPr="009142AC" w:rsidRDefault="00586B66" w:rsidP="00EF21D0">
            <w:pPr>
              <w:spacing w:line="240" w:lineRule="auto"/>
              <w:rPr>
                <w:rFonts w:ascii="Arial" w:hAnsi="Arial" w:cs="Arial"/>
                <w:b/>
                <w:sz w:val="20"/>
                <w:szCs w:val="20"/>
              </w:rPr>
            </w:pPr>
            <w:r w:rsidRPr="009142AC">
              <w:rPr>
                <w:rFonts w:ascii="Arial" w:hAnsi="Arial" w:cs="Arial"/>
                <w:b/>
                <w:sz w:val="20"/>
                <w:szCs w:val="20"/>
              </w:rPr>
              <w:t>Variables</w:t>
            </w:r>
          </w:p>
        </w:tc>
        <w:tc>
          <w:tcPr>
            <w:tcW w:w="2693" w:type="dxa"/>
            <w:tcBorders>
              <w:top w:val="single" w:sz="4" w:space="0" w:color="auto"/>
              <w:bottom w:val="single" w:sz="4" w:space="0" w:color="auto"/>
            </w:tcBorders>
            <w:hideMark/>
          </w:tcPr>
          <w:p w14:paraId="3593C721" w14:textId="1B6E8CED" w:rsidR="00586B66" w:rsidRPr="009142AC" w:rsidRDefault="00586B66" w:rsidP="00EF21D0">
            <w:pPr>
              <w:spacing w:line="240" w:lineRule="auto"/>
              <w:rPr>
                <w:rFonts w:ascii="Arial" w:hAnsi="Arial" w:cs="Arial"/>
                <w:b/>
                <w:sz w:val="20"/>
                <w:szCs w:val="20"/>
              </w:rPr>
            </w:pPr>
            <w:r w:rsidRPr="009142AC">
              <w:rPr>
                <w:rFonts w:ascii="Arial" w:hAnsi="Arial" w:cs="Arial"/>
                <w:b/>
                <w:sz w:val="20"/>
                <w:szCs w:val="20"/>
              </w:rPr>
              <w:t>Frequency</w:t>
            </w:r>
            <w:r w:rsidR="00EF21D0" w:rsidRPr="009142AC">
              <w:rPr>
                <w:rFonts w:ascii="Arial" w:hAnsi="Arial" w:cs="Arial"/>
                <w:b/>
                <w:sz w:val="20"/>
                <w:szCs w:val="20"/>
              </w:rPr>
              <w:t xml:space="preserve"> </w:t>
            </w:r>
            <w:r w:rsidRPr="009142AC">
              <w:rPr>
                <w:rFonts w:ascii="Arial" w:hAnsi="Arial" w:cs="Arial"/>
                <w:b/>
                <w:sz w:val="20"/>
                <w:szCs w:val="20"/>
              </w:rPr>
              <w:t>(n=378)</w:t>
            </w:r>
          </w:p>
        </w:tc>
        <w:tc>
          <w:tcPr>
            <w:tcW w:w="2779" w:type="dxa"/>
            <w:tcBorders>
              <w:top w:val="single" w:sz="4" w:space="0" w:color="auto"/>
              <w:bottom w:val="single" w:sz="4" w:space="0" w:color="auto"/>
            </w:tcBorders>
            <w:hideMark/>
          </w:tcPr>
          <w:p w14:paraId="014B18EE" w14:textId="77777777" w:rsidR="00586B66" w:rsidRPr="009142AC" w:rsidRDefault="00586B66" w:rsidP="00EF21D0">
            <w:pPr>
              <w:spacing w:line="240" w:lineRule="auto"/>
              <w:rPr>
                <w:rFonts w:ascii="Arial" w:hAnsi="Arial" w:cs="Arial"/>
                <w:b/>
                <w:sz w:val="20"/>
                <w:szCs w:val="20"/>
              </w:rPr>
            </w:pPr>
            <w:r w:rsidRPr="009142AC">
              <w:rPr>
                <w:rFonts w:ascii="Arial" w:hAnsi="Arial" w:cs="Arial"/>
                <w:b/>
                <w:sz w:val="20"/>
                <w:szCs w:val="20"/>
              </w:rPr>
              <w:t>Percentage (%)</w:t>
            </w:r>
          </w:p>
        </w:tc>
      </w:tr>
      <w:tr w:rsidR="004E283F" w:rsidRPr="009142AC" w14:paraId="600061EC" w14:textId="77777777" w:rsidTr="005734BB">
        <w:tc>
          <w:tcPr>
            <w:tcW w:w="9016" w:type="dxa"/>
            <w:gridSpan w:val="3"/>
            <w:tcBorders>
              <w:top w:val="single" w:sz="4" w:space="0" w:color="auto"/>
              <w:bottom w:val="single" w:sz="4" w:space="0" w:color="auto"/>
            </w:tcBorders>
            <w:hideMark/>
          </w:tcPr>
          <w:p w14:paraId="44A09852" w14:textId="27B58F95"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 xml:space="preserve">Age </w:t>
            </w:r>
          </w:p>
        </w:tc>
      </w:tr>
      <w:tr w:rsidR="00586B66" w:rsidRPr="009142AC" w14:paraId="2EE38F23" w14:textId="77777777" w:rsidTr="004E283F">
        <w:tc>
          <w:tcPr>
            <w:tcW w:w="3544" w:type="dxa"/>
            <w:tcBorders>
              <w:top w:val="single" w:sz="4" w:space="0" w:color="auto"/>
            </w:tcBorders>
            <w:hideMark/>
          </w:tcPr>
          <w:p w14:paraId="09B9764D"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16-20</w:t>
            </w:r>
          </w:p>
        </w:tc>
        <w:tc>
          <w:tcPr>
            <w:tcW w:w="2693" w:type="dxa"/>
            <w:tcBorders>
              <w:top w:val="single" w:sz="4" w:space="0" w:color="auto"/>
            </w:tcBorders>
            <w:hideMark/>
          </w:tcPr>
          <w:p w14:paraId="2AFC1A1A"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161</w:t>
            </w:r>
          </w:p>
        </w:tc>
        <w:tc>
          <w:tcPr>
            <w:tcW w:w="2779" w:type="dxa"/>
            <w:tcBorders>
              <w:top w:val="single" w:sz="4" w:space="0" w:color="auto"/>
            </w:tcBorders>
            <w:hideMark/>
          </w:tcPr>
          <w:p w14:paraId="24821EC7"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42.6</w:t>
            </w:r>
          </w:p>
        </w:tc>
      </w:tr>
      <w:tr w:rsidR="00586B66" w:rsidRPr="009142AC" w14:paraId="740B8390" w14:textId="77777777" w:rsidTr="004E283F">
        <w:tc>
          <w:tcPr>
            <w:tcW w:w="3544" w:type="dxa"/>
            <w:hideMark/>
          </w:tcPr>
          <w:p w14:paraId="6AF6F932"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21-25</w:t>
            </w:r>
          </w:p>
        </w:tc>
        <w:tc>
          <w:tcPr>
            <w:tcW w:w="2693" w:type="dxa"/>
            <w:hideMark/>
          </w:tcPr>
          <w:p w14:paraId="1FC2D7F2"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185</w:t>
            </w:r>
          </w:p>
        </w:tc>
        <w:tc>
          <w:tcPr>
            <w:tcW w:w="2779" w:type="dxa"/>
            <w:hideMark/>
          </w:tcPr>
          <w:p w14:paraId="10E31E3B"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48.9</w:t>
            </w:r>
          </w:p>
        </w:tc>
      </w:tr>
      <w:tr w:rsidR="00586B66" w:rsidRPr="009142AC" w14:paraId="427400A3" w14:textId="77777777" w:rsidTr="004E283F">
        <w:tc>
          <w:tcPr>
            <w:tcW w:w="3544" w:type="dxa"/>
            <w:hideMark/>
          </w:tcPr>
          <w:p w14:paraId="78C32C1C"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26-30</w:t>
            </w:r>
          </w:p>
        </w:tc>
        <w:tc>
          <w:tcPr>
            <w:tcW w:w="2693" w:type="dxa"/>
            <w:hideMark/>
          </w:tcPr>
          <w:p w14:paraId="728037AA"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26</w:t>
            </w:r>
          </w:p>
        </w:tc>
        <w:tc>
          <w:tcPr>
            <w:tcW w:w="2779" w:type="dxa"/>
            <w:hideMark/>
          </w:tcPr>
          <w:p w14:paraId="3BE45A96"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6.9</w:t>
            </w:r>
          </w:p>
        </w:tc>
      </w:tr>
      <w:tr w:rsidR="00586B66" w:rsidRPr="009142AC" w14:paraId="04FC9CEC" w14:textId="77777777" w:rsidTr="004E283F">
        <w:tc>
          <w:tcPr>
            <w:tcW w:w="3544" w:type="dxa"/>
            <w:hideMark/>
          </w:tcPr>
          <w:p w14:paraId="77494660" w14:textId="35CCEDC3"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31</w:t>
            </w:r>
            <w:r w:rsidR="00EF21D0" w:rsidRPr="009142AC">
              <w:rPr>
                <w:rFonts w:ascii="Arial" w:hAnsi="Arial" w:cs="Arial"/>
                <w:sz w:val="20"/>
                <w:szCs w:val="20"/>
              </w:rPr>
              <w:t xml:space="preserve"> and above</w:t>
            </w:r>
          </w:p>
        </w:tc>
        <w:tc>
          <w:tcPr>
            <w:tcW w:w="2693" w:type="dxa"/>
            <w:hideMark/>
          </w:tcPr>
          <w:p w14:paraId="511DD6EC" w14:textId="14DAB9CC" w:rsidR="00586B66" w:rsidRPr="009142AC" w:rsidRDefault="00EF21D0" w:rsidP="00EF21D0">
            <w:pPr>
              <w:spacing w:line="240" w:lineRule="auto"/>
              <w:rPr>
                <w:rFonts w:ascii="Arial" w:hAnsi="Arial" w:cs="Arial"/>
                <w:sz w:val="20"/>
                <w:szCs w:val="20"/>
              </w:rPr>
            </w:pPr>
            <w:r w:rsidRPr="009142AC">
              <w:rPr>
                <w:rFonts w:ascii="Arial" w:hAnsi="Arial" w:cs="Arial"/>
                <w:sz w:val="20"/>
                <w:szCs w:val="20"/>
              </w:rPr>
              <w:t>6</w:t>
            </w:r>
          </w:p>
        </w:tc>
        <w:tc>
          <w:tcPr>
            <w:tcW w:w="2779" w:type="dxa"/>
            <w:hideMark/>
          </w:tcPr>
          <w:p w14:paraId="00CAF3EE" w14:textId="46C724AE" w:rsidR="00586B66" w:rsidRPr="009142AC" w:rsidRDefault="00EF21D0" w:rsidP="00EF21D0">
            <w:pPr>
              <w:spacing w:line="240" w:lineRule="auto"/>
              <w:rPr>
                <w:rFonts w:ascii="Arial" w:hAnsi="Arial" w:cs="Arial"/>
                <w:sz w:val="20"/>
                <w:szCs w:val="20"/>
              </w:rPr>
            </w:pPr>
            <w:r w:rsidRPr="009142AC">
              <w:rPr>
                <w:rFonts w:ascii="Arial" w:hAnsi="Arial" w:cs="Arial"/>
                <w:sz w:val="20"/>
                <w:szCs w:val="20"/>
              </w:rPr>
              <w:t>1.7</w:t>
            </w:r>
          </w:p>
        </w:tc>
      </w:tr>
      <w:tr w:rsidR="00586B66" w:rsidRPr="009142AC" w14:paraId="0730AEEC" w14:textId="77777777" w:rsidTr="004E283F">
        <w:tc>
          <w:tcPr>
            <w:tcW w:w="6237" w:type="dxa"/>
            <w:gridSpan w:val="2"/>
            <w:tcBorders>
              <w:bottom w:val="single" w:sz="4" w:space="0" w:color="auto"/>
            </w:tcBorders>
            <w:hideMark/>
          </w:tcPr>
          <w:p w14:paraId="5A3631A8"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Mean</w:t>
            </w:r>
            <w:r w:rsidRPr="009142AC">
              <w:rPr>
                <w:rFonts w:ascii="Arial" w:hAnsi="Arial" w:cs="Arial"/>
                <w:sz w:val="20"/>
                <w:szCs w:val="20"/>
                <w:u w:val="single"/>
              </w:rPr>
              <w:t xml:space="preserve">+ </w:t>
            </w:r>
            <w:r w:rsidRPr="009142AC">
              <w:rPr>
                <w:rFonts w:ascii="Arial" w:hAnsi="Arial" w:cs="Arial"/>
                <w:sz w:val="20"/>
                <w:szCs w:val="20"/>
              </w:rPr>
              <w:t xml:space="preserve">standard deviation=21.36 </w:t>
            </w:r>
            <w:r w:rsidRPr="009142AC">
              <w:rPr>
                <w:rFonts w:ascii="Arial" w:hAnsi="Arial" w:cs="Arial"/>
                <w:sz w:val="20"/>
                <w:szCs w:val="20"/>
                <w:u w:val="single"/>
              </w:rPr>
              <w:t>+</w:t>
            </w:r>
            <w:r w:rsidRPr="009142AC">
              <w:rPr>
                <w:rFonts w:ascii="Arial" w:hAnsi="Arial" w:cs="Arial"/>
                <w:sz w:val="20"/>
                <w:szCs w:val="20"/>
              </w:rPr>
              <w:t xml:space="preserve"> 1.92</w:t>
            </w:r>
          </w:p>
        </w:tc>
        <w:tc>
          <w:tcPr>
            <w:tcW w:w="2779" w:type="dxa"/>
            <w:tcBorders>
              <w:bottom w:val="single" w:sz="4" w:space="0" w:color="auto"/>
            </w:tcBorders>
          </w:tcPr>
          <w:p w14:paraId="6C1BF270" w14:textId="77777777" w:rsidR="00586B66" w:rsidRPr="009142AC" w:rsidRDefault="00586B66" w:rsidP="00EF21D0">
            <w:pPr>
              <w:spacing w:line="240" w:lineRule="auto"/>
              <w:rPr>
                <w:rFonts w:ascii="Arial" w:hAnsi="Arial" w:cs="Arial"/>
                <w:sz w:val="20"/>
                <w:szCs w:val="20"/>
              </w:rPr>
            </w:pPr>
          </w:p>
        </w:tc>
      </w:tr>
      <w:tr w:rsidR="004E283F" w:rsidRPr="009142AC" w14:paraId="63CCBA5E" w14:textId="77777777" w:rsidTr="00CD5021">
        <w:tc>
          <w:tcPr>
            <w:tcW w:w="9016" w:type="dxa"/>
            <w:gridSpan w:val="3"/>
            <w:tcBorders>
              <w:top w:val="single" w:sz="4" w:space="0" w:color="auto"/>
              <w:bottom w:val="single" w:sz="4" w:space="0" w:color="auto"/>
            </w:tcBorders>
            <w:hideMark/>
          </w:tcPr>
          <w:p w14:paraId="1DABD30F" w14:textId="4FAB4A60"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Gender</w:t>
            </w:r>
          </w:p>
        </w:tc>
      </w:tr>
      <w:tr w:rsidR="00586B66" w:rsidRPr="009142AC" w14:paraId="0E789AF7" w14:textId="77777777" w:rsidTr="004E283F">
        <w:tc>
          <w:tcPr>
            <w:tcW w:w="3544" w:type="dxa"/>
            <w:tcBorders>
              <w:top w:val="single" w:sz="4" w:space="0" w:color="auto"/>
            </w:tcBorders>
            <w:hideMark/>
          </w:tcPr>
          <w:p w14:paraId="401692C6"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Male</w:t>
            </w:r>
          </w:p>
        </w:tc>
        <w:tc>
          <w:tcPr>
            <w:tcW w:w="2693" w:type="dxa"/>
            <w:tcBorders>
              <w:top w:val="single" w:sz="4" w:space="0" w:color="auto"/>
            </w:tcBorders>
            <w:hideMark/>
          </w:tcPr>
          <w:p w14:paraId="3D097B9D"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107</w:t>
            </w:r>
          </w:p>
        </w:tc>
        <w:tc>
          <w:tcPr>
            <w:tcW w:w="2779" w:type="dxa"/>
            <w:tcBorders>
              <w:top w:val="single" w:sz="4" w:space="0" w:color="auto"/>
            </w:tcBorders>
            <w:hideMark/>
          </w:tcPr>
          <w:p w14:paraId="2FD80D07"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28.3</w:t>
            </w:r>
          </w:p>
        </w:tc>
      </w:tr>
      <w:tr w:rsidR="00586B66" w:rsidRPr="009142AC" w14:paraId="3F1D38EF" w14:textId="77777777" w:rsidTr="004E283F">
        <w:tc>
          <w:tcPr>
            <w:tcW w:w="3544" w:type="dxa"/>
            <w:tcBorders>
              <w:bottom w:val="single" w:sz="4" w:space="0" w:color="auto"/>
            </w:tcBorders>
            <w:hideMark/>
          </w:tcPr>
          <w:p w14:paraId="43DDABE7"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Female</w:t>
            </w:r>
          </w:p>
        </w:tc>
        <w:tc>
          <w:tcPr>
            <w:tcW w:w="2693" w:type="dxa"/>
            <w:tcBorders>
              <w:bottom w:val="single" w:sz="4" w:space="0" w:color="auto"/>
            </w:tcBorders>
            <w:hideMark/>
          </w:tcPr>
          <w:p w14:paraId="2A18A346"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271</w:t>
            </w:r>
          </w:p>
        </w:tc>
        <w:tc>
          <w:tcPr>
            <w:tcW w:w="2779" w:type="dxa"/>
            <w:tcBorders>
              <w:bottom w:val="single" w:sz="4" w:space="0" w:color="auto"/>
            </w:tcBorders>
            <w:hideMark/>
          </w:tcPr>
          <w:p w14:paraId="0E3C6C8E"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71.7</w:t>
            </w:r>
          </w:p>
        </w:tc>
      </w:tr>
      <w:tr w:rsidR="004E283F" w:rsidRPr="009142AC" w14:paraId="5A665547" w14:textId="77777777" w:rsidTr="004E283F">
        <w:tc>
          <w:tcPr>
            <w:tcW w:w="9016" w:type="dxa"/>
            <w:gridSpan w:val="3"/>
            <w:tcBorders>
              <w:top w:val="single" w:sz="4" w:space="0" w:color="auto"/>
              <w:bottom w:val="single" w:sz="4" w:space="0" w:color="auto"/>
            </w:tcBorders>
          </w:tcPr>
          <w:p w14:paraId="0F9ECE8B" w14:textId="67077211"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Marital Status</w:t>
            </w:r>
          </w:p>
        </w:tc>
      </w:tr>
      <w:tr w:rsidR="00EF21D0" w:rsidRPr="009142AC" w14:paraId="35BB5EC1" w14:textId="77777777" w:rsidTr="004E283F">
        <w:tc>
          <w:tcPr>
            <w:tcW w:w="3544" w:type="dxa"/>
            <w:tcBorders>
              <w:top w:val="single" w:sz="4" w:space="0" w:color="auto"/>
            </w:tcBorders>
          </w:tcPr>
          <w:p w14:paraId="30749F2E" w14:textId="2E82505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Single</w:t>
            </w:r>
          </w:p>
        </w:tc>
        <w:tc>
          <w:tcPr>
            <w:tcW w:w="2693" w:type="dxa"/>
            <w:tcBorders>
              <w:top w:val="single" w:sz="4" w:space="0" w:color="auto"/>
            </w:tcBorders>
          </w:tcPr>
          <w:p w14:paraId="050B7F62" w14:textId="585033E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363</w:t>
            </w:r>
          </w:p>
        </w:tc>
        <w:tc>
          <w:tcPr>
            <w:tcW w:w="2779" w:type="dxa"/>
            <w:tcBorders>
              <w:top w:val="single" w:sz="4" w:space="0" w:color="auto"/>
            </w:tcBorders>
          </w:tcPr>
          <w:p w14:paraId="252273A6" w14:textId="17E4F8A5"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96.0</w:t>
            </w:r>
          </w:p>
        </w:tc>
      </w:tr>
      <w:tr w:rsidR="00EF21D0" w:rsidRPr="009142AC" w14:paraId="0ED91466" w14:textId="77777777" w:rsidTr="004E283F">
        <w:tc>
          <w:tcPr>
            <w:tcW w:w="3544" w:type="dxa"/>
            <w:tcBorders>
              <w:bottom w:val="single" w:sz="4" w:space="0" w:color="auto"/>
            </w:tcBorders>
          </w:tcPr>
          <w:p w14:paraId="2F482BAB" w14:textId="46239AD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Married</w:t>
            </w:r>
          </w:p>
        </w:tc>
        <w:tc>
          <w:tcPr>
            <w:tcW w:w="2693" w:type="dxa"/>
            <w:tcBorders>
              <w:bottom w:val="single" w:sz="4" w:space="0" w:color="auto"/>
            </w:tcBorders>
          </w:tcPr>
          <w:p w14:paraId="7EC01762" w14:textId="5EF8468E"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15</w:t>
            </w:r>
          </w:p>
        </w:tc>
        <w:tc>
          <w:tcPr>
            <w:tcW w:w="2779" w:type="dxa"/>
            <w:tcBorders>
              <w:bottom w:val="single" w:sz="4" w:space="0" w:color="auto"/>
            </w:tcBorders>
          </w:tcPr>
          <w:p w14:paraId="2A4E09C2" w14:textId="75B7999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4.0</w:t>
            </w:r>
          </w:p>
        </w:tc>
      </w:tr>
      <w:tr w:rsidR="004E283F" w:rsidRPr="009142AC" w14:paraId="16D2D37A" w14:textId="77777777" w:rsidTr="008115E4">
        <w:tc>
          <w:tcPr>
            <w:tcW w:w="9016" w:type="dxa"/>
            <w:gridSpan w:val="3"/>
            <w:tcBorders>
              <w:top w:val="single" w:sz="4" w:space="0" w:color="auto"/>
              <w:bottom w:val="single" w:sz="4" w:space="0" w:color="auto"/>
            </w:tcBorders>
          </w:tcPr>
          <w:p w14:paraId="30ADCE5F" w14:textId="07CE7179"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Ethnicity</w:t>
            </w:r>
          </w:p>
        </w:tc>
      </w:tr>
      <w:tr w:rsidR="00EF21D0" w:rsidRPr="009142AC" w14:paraId="4FCA14EF" w14:textId="77777777" w:rsidTr="004E283F">
        <w:tc>
          <w:tcPr>
            <w:tcW w:w="3544" w:type="dxa"/>
            <w:tcBorders>
              <w:top w:val="single" w:sz="4" w:space="0" w:color="auto"/>
            </w:tcBorders>
          </w:tcPr>
          <w:p w14:paraId="101042EF" w14:textId="3542619C"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Igbo</w:t>
            </w:r>
          </w:p>
        </w:tc>
        <w:tc>
          <w:tcPr>
            <w:tcW w:w="2693" w:type="dxa"/>
            <w:tcBorders>
              <w:top w:val="single" w:sz="4" w:space="0" w:color="auto"/>
            </w:tcBorders>
          </w:tcPr>
          <w:p w14:paraId="5AE48E55" w14:textId="4EA77B4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144</w:t>
            </w:r>
          </w:p>
        </w:tc>
        <w:tc>
          <w:tcPr>
            <w:tcW w:w="2779" w:type="dxa"/>
            <w:tcBorders>
              <w:top w:val="single" w:sz="4" w:space="0" w:color="auto"/>
            </w:tcBorders>
          </w:tcPr>
          <w:p w14:paraId="0D3545F9" w14:textId="0A3067C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38.1</w:t>
            </w:r>
          </w:p>
        </w:tc>
      </w:tr>
      <w:tr w:rsidR="00EF21D0" w:rsidRPr="009142AC" w14:paraId="0F3B8011" w14:textId="77777777" w:rsidTr="004E283F">
        <w:tc>
          <w:tcPr>
            <w:tcW w:w="3544" w:type="dxa"/>
          </w:tcPr>
          <w:p w14:paraId="6CC866C5" w14:textId="7E0AC84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Yoruba</w:t>
            </w:r>
          </w:p>
        </w:tc>
        <w:tc>
          <w:tcPr>
            <w:tcW w:w="2693" w:type="dxa"/>
          </w:tcPr>
          <w:p w14:paraId="5F1B920B" w14:textId="7EB1934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14</w:t>
            </w:r>
          </w:p>
        </w:tc>
        <w:tc>
          <w:tcPr>
            <w:tcW w:w="2779" w:type="dxa"/>
          </w:tcPr>
          <w:p w14:paraId="3FBEA137" w14:textId="7D6CA63E"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3.7</w:t>
            </w:r>
          </w:p>
        </w:tc>
      </w:tr>
      <w:tr w:rsidR="00EF21D0" w:rsidRPr="009142AC" w14:paraId="496B65C2" w14:textId="77777777" w:rsidTr="004E283F">
        <w:tc>
          <w:tcPr>
            <w:tcW w:w="3544" w:type="dxa"/>
          </w:tcPr>
          <w:p w14:paraId="58A9DFAF" w14:textId="4C329E6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Hausa</w:t>
            </w:r>
          </w:p>
        </w:tc>
        <w:tc>
          <w:tcPr>
            <w:tcW w:w="2693" w:type="dxa"/>
          </w:tcPr>
          <w:p w14:paraId="07F71AC3" w14:textId="4CF45F7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w:t>
            </w:r>
          </w:p>
        </w:tc>
        <w:tc>
          <w:tcPr>
            <w:tcW w:w="2779" w:type="dxa"/>
          </w:tcPr>
          <w:p w14:paraId="2DCA6AAE" w14:textId="5600187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1.1</w:t>
            </w:r>
          </w:p>
        </w:tc>
      </w:tr>
      <w:tr w:rsidR="00EF21D0" w:rsidRPr="009142AC" w14:paraId="1BAF0D9D" w14:textId="77777777" w:rsidTr="004E283F">
        <w:tc>
          <w:tcPr>
            <w:tcW w:w="3544" w:type="dxa"/>
          </w:tcPr>
          <w:p w14:paraId="00594950" w14:textId="5CB7C08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Isoko</w:t>
            </w:r>
          </w:p>
        </w:tc>
        <w:tc>
          <w:tcPr>
            <w:tcW w:w="2693" w:type="dxa"/>
          </w:tcPr>
          <w:p w14:paraId="7C5E30BD" w14:textId="106214C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20</w:t>
            </w:r>
          </w:p>
        </w:tc>
        <w:tc>
          <w:tcPr>
            <w:tcW w:w="2779" w:type="dxa"/>
          </w:tcPr>
          <w:p w14:paraId="4480C915" w14:textId="1DC4A57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5.3</w:t>
            </w:r>
          </w:p>
        </w:tc>
      </w:tr>
      <w:tr w:rsidR="00EF21D0" w:rsidRPr="009142AC" w14:paraId="48D09C8C" w14:textId="77777777" w:rsidTr="004E283F">
        <w:tc>
          <w:tcPr>
            <w:tcW w:w="3544" w:type="dxa"/>
          </w:tcPr>
          <w:p w14:paraId="04431226" w14:textId="1C0C610F" w:rsidR="00EF21D0" w:rsidRPr="009142AC" w:rsidRDefault="00EF21D0" w:rsidP="00EF21D0">
            <w:pPr>
              <w:spacing w:line="240" w:lineRule="auto"/>
              <w:rPr>
                <w:rFonts w:ascii="Arial" w:hAnsi="Arial" w:cs="Arial"/>
                <w:sz w:val="20"/>
                <w:szCs w:val="20"/>
              </w:rPr>
            </w:pPr>
            <w:proofErr w:type="spellStart"/>
            <w:r w:rsidRPr="009142AC">
              <w:rPr>
                <w:rFonts w:ascii="Arial" w:hAnsi="Arial" w:cs="Arial"/>
                <w:sz w:val="20"/>
                <w:szCs w:val="20"/>
              </w:rPr>
              <w:t>Ikwerre</w:t>
            </w:r>
            <w:proofErr w:type="spellEnd"/>
            <w:r w:rsidRPr="009142AC">
              <w:rPr>
                <w:rFonts w:ascii="Arial" w:hAnsi="Arial" w:cs="Arial"/>
                <w:sz w:val="20"/>
                <w:szCs w:val="20"/>
              </w:rPr>
              <w:t xml:space="preserve"> (Rivers)</w:t>
            </w:r>
          </w:p>
        </w:tc>
        <w:tc>
          <w:tcPr>
            <w:tcW w:w="2693" w:type="dxa"/>
          </w:tcPr>
          <w:p w14:paraId="1C1BF08F" w14:textId="21F430FA"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72</w:t>
            </w:r>
          </w:p>
        </w:tc>
        <w:tc>
          <w:tcPr>
            <w:tcW w:w="2779" w:type="dxa"/>
          </w:tcPr>
          <w:p w14:paraId="76E84CA0" w14:textId="3007A6F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19.0</w:t>
            </w:r>
          </w:p>
        </w:tc>
      </w:tr>
      <w:tr w:rsidR="00EF21D0" w:rsidRPr="009142AC" w14:paraId="0646C9DB" w14:textId="77777777" w:rsidTr="004E283F">
        <w:tc>
          <w:tcPr>
            <w:tcW w:w="3544" w:type="dxa"/>
          </w:tcPr>
          <w:p w14:paraId="303DE576" w14:textId="309CF16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Ibibio</w:t>
            </w:r>
          </w:p>
        </w:tc>
        <w:tc>
          <w:tcPr>
            <w:tcW w:w="2693" w:type="dxa"/>
          </w:tcPr>
          <w:p w14:paraId="5198A5ED" w14:textId="0FE6B61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17</w:t>
            </w:r>
          </w:p>
        </w:tc>
        <w:tc>
          <w:tcPr>
            <w:tcW w:w="2779" w:type="dxa"/>
          </w:tcPr>
          <w:p w14:paraId="68224891" w14:textId="20E3915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4.5</w:t>
            </w:r>
          </w:p>
        </w:tc>
      </w:tr>
      <w:tr w:rsidR="00EF21D0" w:rsidRPr="009142AC" w14:paraId="706018B3" w14:textId="77777777" w:rsidTr="004E283F">
        <w:tc>
          <w:tcPr>
            <w:tcW w:w="3544" w:type="dxa"/>
          </w:tcPr>
          <w:p w14:paraId="431D002E" w14:textId="554C081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Ijaw</w:t>
            </w:r>
          </w:p>
        </w:tc>
        <w:tc>
          <w:tcPr>
            <w:tcW w:w="2693" w:type="dxa"/>
          </w:tcPr>
          <w:p w14:paraId="4A9CBA5B" w14:textId="60DFC88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40</w:t>
            </w:r>
          </w:p>
        </w:tc>
        <w:tc>
          <w:tcPr>
            <w:tcW w:w="2779" w:type="dxa"/>
          </w:tcPr>
          <w:p w14:paraId="79A60022" w14:textId="041DB3C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10.6</w:t>
            </w:r>
          </w:p>
        </w:tc>
      </w:tr>
      <w:tr w:rsidR="00EF21D0" w:rsidRPr="009142AC" w14:paraId="6927BCC7" w14:textId="77777777" w:rsidTr="004E283F">
        <w:tc>
          <w:tcPr>
            <w:tcW w:w="3544" w:type="dxa"/>
            <w:tcBorders>
              <w:bottom w:val="single" w:sz="4" w:space="0" w:color="auto"/>
            </w:tcBorders>
          </w:tcPr>
          <w:p w14:paraId="2DE91543" w14:textId="028671A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Others</w:t>
            </w:r>
          </w:p>
        </w:tc>
        <w:tc>
          <w:tcPr>
            <w:tcW w:w="2693" w:type="dxa"/>
            <w:tcBorders>
              <w:bottom w:val="single" w:sz="4" w:space="0" w:color="auto"/>
            </w:tcBorders>
          </w:tcPr>
          <w:p w14:paraId="61E172D2" w14:textId="7AC2A20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67</w:t>
            </w:r>
          </w:p>
        </w:tc>
        <w:tc>
          <w:tcPr>
            <w:tcW w:w="2779" w:type="dxa"/>
            <w:tcBorders>
              <w:bottom w:val="single" w:sz="4" w:space="0" w:color="auto"/>
            </w:tcBorders>
          </w:tcPr>
          <w:p w14:paraId="20FEC712" w14:textId="17CFC82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17.7</w:t>
            </w:r>
          </w:p>
        </w:tc>
      </w:tr>
      <w:tr w:rsidR="004E283F" w:rsidRPr="009142AC" w14:paraId="7EB53D1C" w14:textId="77777777" w:rsidTr="00A7408E">
        <w:tc>
          <w:tcPr>
            <w:tcW w:w="9016" w:type="dxa"/>
            <w:gridSpan w:val="3"/>
            <w:tcBorders>
              <w:top w:val="single" w:sz="4" w:space="0" w:color="auto"/>
              <w:bottom w:val="single" w:sz="4" w:space="0" w:color="auto"/>
            </w:tcBorders>
          </w:tcPr>
          <w:p w14:paraId="54CE057C" w14:textId="48F829FF"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Academic Level/Year of Study</w:t>
            </w:r>
          </w:p>
        </w:tc>
      </w:tr>
      <w:tr w:rsidR="00EF21D0" w:rsidRPr="009142AC" w14:paraId="4EE97A23" w14:textId="77777777" w:rsidTr="004E283F">
        <w:tc>
          <w:tcPr>
            <w:tcW w:w="3544" w:type="dxa"/>
            <w:tcBorders>
              <w:top w:val="single" w:sz="4" w:space="0" w:color="auto"/>
            </w:tcBorders>
          </w:tcPr>
          <w:p w14:paraId="791454D9" w14:textId="1543AB9C"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First year</w:t>
            </w:r>
          </w:p>
        </w:tc>
        <w:tc>
          <w:tcPr>
            <w:tcW w:w="2693" w:type="dxa"/>
            <w:tcBorders>
              <w:top w:val="single" w:sz="4" w:space="0" w:color="auto"/>
            </w:tcBorders>
          </w:tcPr>
          <w:p w14:paraId="1C07FB67" w14:textId="601B45BA"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94</w:t>
            </w:r>
          </w:p>
        </w:tc>
        <w:tc>
          <w:tcPr>
            <w:tcW w:w="2779" w:type="dxa"/>
            <w:tcBorders>
              <w:top w:val="single" w:sz="4" w:space="0" w:color="auto"/>
            </w:tcBorders>
          </w:tcPr>
          <w:p w14:paraId="79445E7A" w14:textId="114EEA6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24.9</w:t>
            </w:r>
          </w:p>
        </w:tc>
      </w:tr>
      <w:tr w:rsidR="00EF21D0" w:rsidRPr="009142AC" w14:paraId="3DAA0971" w14:textId="77777777" w:rsidTr="004E283F">
        <w:tc>
          <w:tcPr>
            <w:tcW w:w="3544" w:type="dxa"/>
          </w:tcPr>
          <w:p w14:paraId="344A75C1" w14:textId="1B83589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Second year</w:t>
            </w:r>
          </w:p>
        </w:tc>
        <w:tc>
          <w:tcPr>
            <w:tcW w:w="2693" w:type="dxa"/>
          </w:tcPr>
          <w:p w14:paraId="27942EFA" w14:textId="18EA9DA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50</w:t>
            </w:r>
          </w:p>
        </w:tc>
        <w:tc>
          <w:tcPr>
            <w:tcW w:w="2779" w:type="dxa"/>
          </w:tcPr>
          <w:p w14:paraId="7ADAF9B2" w14:textId="7BADFE3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13.2</w:t>
            </w:r>
          </w:p>
        </w:tc>
      </w:tr>
      <w:tr w:rsidR="00EF21D0" w:rsidRPr="009142AC" w14:paraId="677AFA4F" w14:textId="77777777" w:rsidTr="004E283F">
        <w:tc>
          <w:tcPr>
            <w:tcW w:w="3544" w:type="dxa"/>
          </w:tcPr>
          <w:p w14:paraId="496C0C75" w14:textId="5CFF07F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Third year</w:t>
            </w:r>
          </w:p>
        </w:tc>
        <w:tc>
          <w:tcPr>
            <w:tcW w:w="2693" w:type="dxa"/>
          </w:tcPr>
          <w:p w14:paraId="5126B9FF" w14:textId="3EE20D6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48</w:t>
            </w:r>
          </w:p>
        </w:tc>
        <w:tc>
          <w:tcPr>
            <w:tcW w:w="2779" w:type="dxa"/>
          </w:tcPr>
          <w:p w14:paraId="55BA4F24" w14:textId="01295E33"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12.7</w:t>
            </w:r>
          </w:p>
        </w:tc>
      </w:tr>
      <w:tr w:rsidR="00EF21D0" w:rsidRPr="009142AC" w14:paraId="740E885F" w14:textId="77777777" w:rsidTr="004E283F">
        <w:tc>
          <w:tcPr>
            <w:tcW w:w="3544" w:type="dxa"/>
          </w:tcPr>
          <w:p w14:paraId="1D3F1F68" w14:textId="2B0F70F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Fourth year</w:t>
            </w:r>
          </w:p>
        </w:tc>
        <w:tc>
          <w:tcPr>
            <w:tcW w:w="2693" w:type="dxa"/>
          </w:tcPr>
          <w:p w14:paraId="19A49FAB" w14:textId="0A6D948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125</w:t>
            </w:r>
          </w:p>
        </w:tc>
        <w:tc>
          <w:tcPr>
            <w:tcW w:w="2779" w:type="dxa"/>
          </w:tcPr>
          <w:p w14:paraId="5B8E1027" w14:textId="28E84B30"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33.1</w:t>
            </w:r>
          </w:p>
        </w:tc>
      </w:tr>
      <w:tr w:rsidR="00EF21D0" w:rsidRPr="009142AC" w14:paraId="0E1B8518" w14:textId="77777777" w:rsidTr="004E283F">
        <w:tc>
          <w:tcPr>
            <w:tcW w:w="3544" w:type="dxa"/>
            <w:tcBorders>
              <w:bottom w:val="single" w:sz="4" w:space="0" w:color="auto"/>
            </w:tcBorders>
          </w:tcPr>
          <w:p w14:paraId="36339E92" w14:textId="7299327C"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Fifth year and above</w:t>
            </w:r>
          </w:p>
        </w:tc>
        <w:tc>
          <w:tcPr>
            <w:tcW w:w="2693" w:type="dxa"/>
            <w:tcBorders>
              <w:bottom w:val="single" w:sz="4" w:space="0" w:color="auto"/>
            </w:tcBorders>
          </w:tcPr>
          <w:p w14:paraId="75571DCE" w14:textId="7A32B08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61</w:t>
            </w:r>
          </w:p>
        </w:tc>
        <w:tc>
          <w:tcPr>
            <w:tcW w:w="2779" w:type="dxa"/>
            <w:tcBorders>
              <w:bottom w:val="single" w:sz="4" w:space="0" w:color="auto"/>
            </w:tcBorders>
          </w:tcPr>
          <w:p w14:paraId="2A1F4EB7" w14:textId="05AAF573"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16.1</w:t>
            </w:r>
          </w:p>
        </w:tc>
      </w:tr>
      <w:tr w:rsidR="004E283F" w:rsidRPr="009142AC" w14:paraId="2EE9C785" w14:textId="77777777" w:rsidTr="00A42293">
        <w:tc>
          <w:tcPr>
            <w:tcW w:w="9016" w:type="dxa"/>
            <w:gridSpan w:val="3"/>
            <w:tcBorders>
              <w:top w:val="single" w:sz="4" w:space="0" w:color="auto"/>
              <w:bottom w:val="single" w:sz="4" w:space="0" w:color="auto"/>
            </w:tcBorders>
          </w:tcPr>
          <w:p w14:paraId="293344F9" w14:textId="1204A08F"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University type</w:t>
            </w:r>
          </w:p>
        </w:tc>
      </w:tr>
      <w:tr w:rsidR="00EF21D0" w:rsidRPr="009142AC" w14:paraId="6C048CCB" w14:textId="77777777" w:rsidTr="004E283F">
        <w:tc>
          <w:tcPr>
            <w:tcW w:w="3544" w:type="dxa"/>
            <w:tcBorders>
              <w:top w:val="single" w:sz="4" w:space="0" w:color="auto"/>
            </w:tcBorders>
          </w:tcPr>
          <w:p w14:paraId="7A7B2234" w14:textId="5C07E185"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Public</w:t>
            </w:r>
          </w:p>
        </w:tc>
        <w:tc>
          <w:tcPr>
            <w:tcW w:w="2693" w:type="dxa"/>
            <w:tcBorders>
              <w:top w:val="single" w:sz="4" w:space="0" w:color="auto"/>
            </w:tcBorders>
          </w:tcPr>
          <w:p w14:paraId="60DC11C2" w14:textId="356383E0"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309</w:t>
            </w:r>
          </w:p>
        </w:tc>
        <w:tc>
          <w:tcPr>
            <w:tcW w:w="2779" w:type="dxa"/>
            <w:tcBorders>
              <w:top w:val="single" w:sz="4" w:space="0" w:color="auto"/>
            </w:tcBorders>
          </w:tcPr>
          <w:p w14:paraId="75A23CD4" w14:textId="45C6E764"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81.7</w:t>
            </w:r>
          </w:p>
        </w:tc>
      </w:tr>
      <w:tr w:rsidR="00EF21D0" w:rsidRPr="009142AC" w14:paraId="163BA4CF" w14:textId="77777777" w:rsidTr="004E283F">
        <w:tc>
          <w:tcPr>
            <w:tcW w:w="3544" w:type="dxa"/>
          </w:tcPr>
          <w:p w14:paraId="7669FD18" w14:textId="7AA7B7F3"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Private</w:t>
            </w:r>
          </w:p>
        </w:tc>
        <w:tc>
          <w:tcPr>
            <w:tcW w:w="2693" w:type="dxa"/>
          </w:tcPr>
          <w:p w14:paraId="5B1F7734" w14:textId="0F48D034"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69</w:t>
            </w:r>
          </w:p>
        </w:tc>
        <w:tc>
          <w:tcPr>
            <w:tcW w:w="2779" w:type="dxa"/>
          </w:tcPr>
          <w:p w14:paraId="612CFEE6" w14:textId="7768162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18.3</w:t>
            </w:r>
          </w:p>
        </w:tc>
      </w:tr>
    </w:tbl>
    <w:p w14:paraId="5245B240" w14:textId="27B8CE3D" w:rsidR="00C524A5" w:rsidRDefault="00C524A5" w:rsidP="00C524A5">
      <w:bookmarkStart w:id="19" w:name="_Toc208394257"/>
      <w:bookmarkStart w:id="20" w:name="_Toc208394444"/>
    </w:p>
    <w:p w14:paraId="35F2923D" w14:textId="77777777" w:rsidR="00C524A5" w:rsidRDefault="00C524A5" w:rsidP="00C524A5">
      <w:pPr>
        <w:rPr>
          <w:rFonts w:ascii="Arial" w:hAnsi="Arial" w:cs="Arial"/>
          <w:b/>
          <w:bCs/>
          <w:sz w:val="20"/>
          <w:szCs w:val="20"/>
        </w:rPr>
      </w:pPr>
      <w:r w:rsidRPr="00C524A5">
        <w:rPr>
          <w:rFonts w:ascii="Arial" w:hAnsi="Arial" w:cs="Arial"/>
          <w:b/>
          <w:bCs/>
          <w:sz w:val="20"/>
          <w:szCs w:val="20"/>
        </w:rPr>
        <w:t>Prevalence of Energy Drink Consumption</w:t>
      </w:r>
    </w:p>
    <w:p w14:paraId="49150D92" w14:textId="795E6917" w:rsidR="00C524A5" w:rsidRPr="00C524A5" w:rsidRDefault="00C524A5" w:rsidP="00C524A5">
      <w:pPr>
        <w:rPr>
          <w:rFonts w:ascii="Arial" w:hAnsi="Arial" w:cs="Arial"/>
          <w:sz w:val="20"/>
          <w:szCs w:val="20"/>
        </w:rPr>
      </w:pPr>
      <w:r w:rsidRPr="00C524A5">
        <w:rPr>
          <w:rFonts w:ascii="Arial" w:hAnsi="Arial" w:cs="Arial"/>
          <w:sz w:val="20"/>
          <w:szCs w:val="20"/>
        </w:rPr>
        <w:t xml:space="preserve">Table 2 reveals that energy drink consumption is highly prevalent among undergraduates in Rivers State, with near-universal lifetime exposure (92.1%) and a substantial proportion of current consumers (45.2%). While recent use is common (73.3% within six months; 47.6% within 30 days), consumption </w:t>
      </w:r>
      <w:r w:rsidRPr="00C524A5">
        <w:rPr>
          <w:rFonts w:ascii="Arial" w:hAnsi="Arial" w:cs="Arial"/>
          <w:sz w:val="20"/>
          <w:szCs w:val="20"/>
        </w:rPr>
        <w:lastRenderedPageBreak/>
        <w:t>is predominantly characterized by a strong preference for regular, sugary formulations (85.2%) over sugar-free alternatives (14.6%), and mixing with alcohol remains a relatively infrequent practice (12.7%).</w:t>
      </w:r>
    </w:p>
    <w:p w14:paraId="2BAE8B8F" w14:textId="4E9D6264" w:rsidR="00586B66" w:rsidRPr="009142AC" w:rsidRDefault="00586B66" w:rsidP="009142AC">
      <w:pPr>
        <w:spacing w:after="0" w:line="276" w:lineRule="auto"/>
        <w:rPr>
          <w:rFonts w:ascii="Arial" w:hAnsi="Arial" w:cs="Arial"/>
          <w:b/>
          <w:bCs/>
          <w:sz w:val="20"/>
          <w:szCs w:val="20"/>
        </w:rPr>
      </w:pPr>
      <w:r w:rsidRPr="009142AC">
        <w:rPr>
          <w:rFonts w:ascii="Arial" w:hAnsi="Arial" w:cs="Arial"/>
          <w:b/>
          <w:bCs/>
          <w:sz w:val="20"/>
          <w:szCs w:val="20"/>
        </w:rPr>
        <w:t>Table 2</w:t>
      </w:r>
      <w:r w:rsidR="004E283F" w:rsidRPr="009142AC">
        <w:rPr>
          <w:rFonts w:ascii="Arial" w:hAnsi="Arial" w:cs="Arial"/>
          <w:b/>
          <w:bCs/>
          <w:sz w:val="20"/>
          <w:szCs w:val="20"/>
        </w:rPr>
        <w:t>.</w:t>
      </w:r>
      <w:r w:rsidRPr="009142AC">
        <w:rPr>
          <w:rFonts w:ascii="Arial" w:hAnsi="Arial" w:cs="Arial"/>
          <w:b/>
          <w:bCs/>
          <w:sz w:val="20"/>
          <w:szCs w:val="20"/>
        </w:rPr>
        <w:t xml:space="preserve"> Prevalence of energy drink consumption among undergraduate university students in Rivers State</w:t>
      </w:r>
      <w:bookmarkEnd w:id="19"/>
      <w:bookmarkEnd w:id="2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559"/>
        <w:gridCol w:w="1508"/>
      </w:tblGrid>
      <w:tr w:rsidR="00586B66" w:rsidRPr="009142AC" w14:paraId="5A4B035A" w14:textId="77777777" w:rsidTr="00365FA0">
        <w:tc>
          <w:tcPr>
            <w:tcW w:w="5949" w:type="dxa"/>
            <w:tcBorders>
              <w:top w:val="single" w:sz="4" w:space="0" w:color="auto"/>
              <w:bottom w:val="single" w:sz="4" w:space="0" w:color="auto"/>
            </w:tcBorders>
            <w:hideMark/>
          </w:tcPr>
          <w:p w14:paraId="622CB148" w14:textId="77777777" w:rsidR="00586B66" w:rsidRPr="009142AC" w:rsidRDefault="00586B66" w:rsidP="009142AC">
            <w:pPr>
              <w:spacing w:line="276" w:lineRule="auto"/>
              <w:rPr>
                <w:rFonts w:ascii="Arial" w:hAnsi="Arial" w:cs="Arial"/>
                <w:b/>
                <w:sz w:val="20"/>
                <w:szCs w:val="20"/>
              </w:rPr>
            </w:pPr>
            <w:r w:rsidRPr="009142AC">
              <w:rPr>
                <w:rFonts w:ascii="Arial" w:hAnsi="Arial" w:cs="Arial"/>
                <w:b/>
                <w:sz w:val="20"/>
                <w:szCs w:val="20"/>
              </w:rPr>
              <w:t>Variables</w:t>
            </w:r>
          </w:p>
        </w:tc>
        <w:tc>
          <w:tcPr>
            <w:tcW w:w="1559" w:type="dxa"/>
            <w:tcBorders>
              <w:top w:val="single" w:sz="4" w:space="0" w:color="auto"/>
              <w:bottom w:val="single" w:sz="4" w:space="0" w:color="auto"/>
            </w:tcBorders>
            <w:hideMark/>
          </w:tcPr>
          <w:p w14:paraId="679A0A2B" w14:textId="77777777" w:rsidR="00586B66" w:rsidRPr="009142AC" w:rsidRDefault="00586B66" w:rsidP="009142AC">
            <w:pPr>
              <w:spacing w:line="276" w:lineRule="auto"/>
              <w:rPr>
                <w:rFonts w:ascii="Arial" w:hAnsi="Arial" w:cs="Arial"/>
                <w:b/>
                <w:sz w:val="20"/>
                <w:szCs w:val="20"/>
              </w:rPr>
            </w:pPr>
            <w:r w:rsidRPr="009142AC">
              <w:rPr>
                <w:rFonts w:ascii="Arial" w:hAnsi="Arial" w:cs="Arial"/>
                <w:b/>
                <w:sz w:val="20"/>
                <w:szCs w:val="20"/>
              </w:rPr>
              <w:t>Frequency (n= 378)</w:t>
            </w:r>
          </w:p>
        </w:tc>
        <w:tc>
          <w:tcPr>
            <w:tcW w:w="1508" w:type="dxa"/>
            <w:tcBorders>
              <w:top w:val="single" w:sz="4" w:space="0" w:color="auto"/>
              <w:bottom w:val="single" w:sz="4" w:space="0" w:color="auto"/>
            </w:tcBorders>
            <w:hideMark/>
          </w:tcPr>
          <w:p w14:paraId="1B850CDC" w14:textId="77777777" w:rsidR="00586B66" w:rsidRPr="009142AC" w:rsidRDefault="00586B66" w:rsidP="009142AC">
            <w:pPr>
              <w:spacing w:line="276" w:lineRule="auto"/>
              <w:rPr>
                <w:rFonts w:ascii="Arial" w:hAnsi="Arial" w:cs="Arial"/>
                <w:b/>
                <w:sz w:val="20"/>
                <w:szCs w:val="20"/>
              </w:rPr>
            </w:pPr>
            <w:r w:rsidRPr="009142AC">
              <w:rPr>
                <w:rFonts w:ascii="Arial" w:hAnsi="Arial" w:cs="Arial"/>
                <w:b/>
                <w:sz w:val="20"/>
                <w:szCs w:val="20"/>
              </w:rPr>
              <w:t>Percentage (%)</w:t>
            </w:r>
          </w:p>
        </w:tc>
      </w:tr>
      <w:tr w:rsidR="004E283F" w:rsidRPr="009142AC" w14:paraId="5161F50B" w14:textId="77777777" w:rsidTr="00365FA0">
        <w:tc>
          <w:tcPr>
            <w:tcW w:w="9016" w:type="dxa"/>
            <w:gridSpan w:val="3"/>
            <w:tcBorders>
              <w:top w:val="single" w:sz="4" w:space="0" w:color="auto"/>
              <w:bottom w:val="single" w:sz="4" w:space="0" w:color="auto"/>
            </w:tcBorders>
            <w:hideMark/>
          </w:tcPr>
          <w:p w14:paraId="666525A4" w14:textId="7AF92470"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Ever consumed an energy drink in your lifetime</w:t>
            </w:r>
          </w:p>
        </w:tc>
      </w:tr>
      <w:tr w:rsidR="00586B66" w:rsidRPr="009142AC" w14:paraId="4E56027D" w14:textId="77777777" w:rsidTr="00365FA0">
        <w:tc>
          <w:tcPr>
            <w:tcW w:w="5949" w:type="dxa"/>
            <w:tcBorders>
              <w:top w:val="single" w:sz="4" w:space="0" w:color="auto"/>
            </w:tcBorders>
            <w:hideMark/>
          </w:tcPr>
          <w:p w14:paraId="3602997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1CC718D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30</w:t>
            </w:r>
          </w:p>
        </w:tc>
        <w:tc>
          <w:tcPr>
            <w:tcW w:w="1508" w:type="dxa"/>
            <w:tcBorders>
              <w:top w:val="single" w:sz="4" w:space="0" w:color="auto"/>
            </w:tcBorders>
            <w:hideMark/>
          </w:tcPr>
          <w:p w14:paraId="1D11C8E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7.9</w:t>
            </w:r>
          </w:p>
        </w:tc>
      </w:tr>
      <w:tr w:rsidR="00586B66" w:rsidRPr="009142AC" w14:paraId="360C04AA" w14:textId="77777777" w:rsidTr="00365FA0">
        <w:tc>
          <w:tcPr>
            <w:tcW w:w="5949" w:type="dxa"/>
            <w:tcBorders>
              <w:bottom w:val="single" w:sz="4" w:space="0" w:color="auto"/>
            </w:tcBorders>
            <w:hideMark/>
          </w:tcPr>
          <w:p w14:paraId="54AA5FCF"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272A5F58"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348</w:t>
            </w:r>
          </w:p>
        </w:tc>
        <w:tc>
          <w:tcPr>
            <w:tcW w:w="1508" w:type="dxa"/>
            <w:tcBorders>
              <w:bottom w:val="single" w:sz="4" w:space="0" w:color="auto"/>
            </w:tcBorders>
            <w:hideMark/>
          </w:tcPr>
          <w:p w14:paraId="1F986FF6"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92.1</w:t>
            </w:r>
          </w:p>
        </w:tc>
      </w:tr>
      <w:tr w:rsidR="004E283F" w:rsidRPr="009142AC" w14:paraId="06E5B5D1" w14:textId="77777777" w:rsidTr="00365FA0">
        <w:tc>
          <w:tcPr>
            <w:tcW w:w="9016" w:type="dxa"/>
            <w:gridSpan w:val="3"/>
            <w:tcBorders>
              <w:top w:val="single" w:sz="4" w:space="0" w:color="auto"/>
              <w:bottom w:val="single" w:sz="4" w:space="0" w:color="auto"/>
            </w:tcBorders>
            <w:hideMark/>
          </w:tcPr>
          <w:p w14:paraId="3E02A7A2" w14:textId="00B1BE89"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In the past 30 days, have you consumed any energy drinks</w:t>
            </w:r>
          </w:p>
        </w:tc>
      </w:tr>
      <w:tr w:rsidR="00586B66" w:rsidRPr="009142AC" w14:paraId="0E0E2975" w14:textId="77777777" w:rsidTr="00365FA0">
        <w:tc>
          <w:tcPr>
            <w:tcW w:w="5949" w:type="dxa"/>
            <w:tcBorders>
              <w:top w:val="single" w:sz="4" w:space="0" w:color="auto"/>
            </w:tcBorders>
            <w:hideMark/>
          </w:tcPr>
          <w:p w14:paraId="357CBCB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0D615FC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198</w:t>
            </w:r>
          </w:p>
        </w:tc>
        <w:tc>
          <w:tcPr>
            <w:tcW w:w="1508" w:type="dxa"/>
            <w:tcBorders>
              <w:top w:val="single" w:sz="4" w:space="0" w:color="auto"/>
            </w:tcBorders>
            <w:hideMark/>
          </w:tcPr>
          <w:p w14:paraId="6BA402D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52.4</w:t>
            </w:r>
          </w:p>
        </w:tc>
      </w:tr>
      <w:tr w:rsidR="00586B66" w:rsidRPr="009142AC" w14:paraId="214C69FB" w14:textId="77777777" w:rsidTr="00365FA0">
        <w:tc>
          <w:tcPr>
            <w:tcW w:w="5949" w:type="dxa"/>
            <w:tcBorders>
              <w:bottom w:val="single" w:sz="4" w:space="0" w:color="auto"/>
            </w:tcBorders>
            <w:hideMark/>
          </w:tcPr>
          <w:p w14:paraId="5059334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09106F4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180</w:t>
            </w:r>
          </w:p>
        </w:tc>
        <w:tc>
          <w:tcPr>
            <w:tcW w:w="1508" w:type="dxa"/>
            <w:tcBorders>
              <w:bottom w:val="single" w:sz="4" w:space="0" w:color="auto"/>
            </w:tcBorders>
            <w:hideMark/>
          </w:tcPr>
          <w:p w14:paraId="568AAE45"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47.6</w:t>
            </w:r>
          </w:p>
        </w:tc>
      </w:tr>
      <w:tr w:rsidR="004E283F" w:rsidRPr="009142AC" w14:paraId="2DDE283C" w14:textId="77777777" w:rsidTr="00365FA0">
        <w:tc>
          <w:tcPr>
            <w:tcW w:w="9016" w:type="dxa"/>
            <w:gridSpan w:val="3"/>
            <w:tcBorders>
              <w:top w:val="single" w:sz="4" w:space="0" w:color="auto"/>
              <w:bottom w:val="single" w:sz="4" w:space="0" w:color="auto"/>
            </w:tcBorders>
            <w:hideMark/>
          </w:tcPr>
          <w:p w14:paraId="65815671" w14:textId="421027DB"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In the past 6 months, have you consumed energy drinks at least once</w:t>
            </w:r>
          </w:p>
        </w:tc>
      </w:tr>
      <w:tr w:rsidR="00586B66" w:rsidRPr="009142AC" w14:paraId="1B740A0B" w14:textId="77777777" w:rsidTr="00365FA0">
        <w:tc>
          <w:tcPr>
            <w:tcW w:w="5949" w:type="dxa"/>
            <w:tcBorders>
              <w:top w:val="single" w:sz="4" w:space="0" w:color="auto"/>
            </w:tcBorders>
            <w:hideMark/>
          </w:tcPr>
          <w:p w14:paraId="3EBA50F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0CC05B3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101</w:t>
            </w:r>
          </w:p>
        </w:tc>
        <w:tc>
          <w:tcPr>
            <w:tcW w:w="1508" w:type="dxa"/>
            <w:tcBorders>
              <w:top w:val="single" w:sz="4" w:space="0" w:color="auto"/>
            </w:tcBorders>
            <w:hideMark/>
          </w:tcPr>
          <w:p w14:paraId="4A78E84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26.7</w:t>
            </w:r>
          </w:p>
        </w:tc>
      </w:tr>
      <w:tr w:rsidR="00586B66" w:rsidRPr="009142AC" w14:paraId="773CEDD8" w14:textId="77777777" w:rsidTr="00365FA0">
        <w:tc>
          <w:tcPr>
            <w:tcW w:w="5949" w:type="dxa"/>
            <w:tcBorders>
              <w:bottom w:val="single" w:sz="4" w:space="0" w:color="auto"/>
            </w:tcBorders>
            <w:hideMark/>
          </w:tcPr>
          <w:p w14:paraId="4DB2137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43A0F93F"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277</w:t>
            </w:r>
          </w:p>
        </w:tc>
        <w:tc>
          <w:tcPr>
            <w:tcW w:w="1508" w:type="dxa"/>
            <w:tcBorders>
              <w:bottom w:val="single" w:sz="4" w:space="0" w:color="auto"/>
            </w:tcBorders>
            <w:hideMark/>
          </w:tcPr>
          <w:p w14:paraId="1186B0E5"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73.3</w:t>
            </w:r>
          </w:p>
        </w:tc>
      </w:tr>
      <w:tr w:rsidR="004E283F" w:rsidRPr="009142AC" w14:paraId="0585967D" w14:textId="77777777" w:rsidTr="00365FA0">
        <w:tc>
          <w:tcPr>
            <w:tcW w:w="9016" w:type="dxa"/>
            <w:gridSpan w:val="3"/>
            <w:tcBorders>
              <w:top w:val="single" w:sz="4" w:space="0" w:color="auto"/>
              <w:bottom w:val="single" w:sz="4" w:space="0" w:color="auto"/>
            </w:tcBorders>
            <w:hideMark/>
          </w:tcPr>
          <w:p w14:paraId="4A56F86F" w14:textId="75E6CE13"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Consumed energy drinks mixed with alcohol</w:t>
            </w:r>
          </w:p>
        </w:tc>
      </w:tr>
      <w:tr w:rsidR="00586B66" w:rsidRPr="009142AC" w14:paraId="38B93F6E" w14:textId="77777777" w:rsidTr="00365FA0">
        <w:tc>
          <w:tcPr>
            <w:tcW w:w="5949" w:type="dxa"/>
            <w:tcBorders>
              <w:top w:val="single" w:sz="4" w:space="0" w:color="auto"/>
            </w:tcBorders>
            <w:hideMark/>
          </w:tcPr>
          <w:p w14:paraId="70EAFCEB"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01F5B67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330</w:t>
            </w:r>
          </w:p>
        </w:tc>
        <w:tc>
          <w:tcPr>
            <w:tcW w:w="1508" w:type="dxa"/>
            <w:tcBorders>
              <w:top w:val="single" w:sz="4" w:space="0" w:color="auto"/>
            </w:tcBorders>
            <w:hideMark/>
          </w:tcPr>
          <w:p w14:paraId="4A65A6B5"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87.3</w:t>
            </w:r>
          </w:p>
        </w:tc>
      </w:tr>
      <w:tr w:rsidR="00586B66" w:rsidRPr="009142AC" w14:paraId="1C6E64D3" w14:textId="77777777" w:rsidTr="00365FA0">
        <w:tc>
          <w:tcPr>
            <w:tcW w:w="5949" w:type="dxa"/>
            <w:tcBorders>
              <w:bottom w:val="single" w:sz="4" w:space="0" w:color="auto"/>
            </w:tcBorders>
            <w:hideMark/>
          </w:tcPr>
          <w:p w14:paraId="35C328F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1B085D6F"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48</w:t>
            </w:r>
          </w:p>
        </w:tc>
        <w:tc>
          <w:tcPr>
            <w:tcW w:w="1508" w:type="dxa"/>
            <w:tcBorders>
              <w:bottom w:val="single" w:sz="4" w:space="0" w:color="auto"/>
            </w:tcBorders>
            <w:hideMark/>
          </w:tcPr>
          <w:p w14:paraId="2AF537E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12.7</w:t>
            </w:r>
          </w:p>
        </w:tc>
      </w:tr>
      <w:tr w:rsidR="004E283F" w:rsidRPr="009142AC" w14:paraId="5F0F9299" w14:textId="77777777" w:rsidTr="00365FA0">
        <w:tc>
          <w:tcPr>
            <w:tcW w:w="9016" w:type="dxa"/>
            <w:gridSpan w:val="3"/>
            <w:tcBorders>
              <w:top w:val="single" w:sz="4" w:space="0" w:color="auto"/>
              <w:bottom w:val="single" w:sz="4" w:space="0" w:color="auto"/>
            </w:tcBorders>
            <w:hideMark/>
          </w:tcPr>
          <w:p w14:paraId="7670C3AC" w14:textId="51E40CD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Consumed Sugar-free versions</w:t>
            </w:r>
          </w:p>
        </w:tc>
      </w:tr>
      <w:tr w:rsidR="00586B66" w:rsidRPr="009142AC" w14:paraId="40DB68B8" w14:textId="77777777" w:rsidTr="00365FA0">
        <w:tc>
          <w:tcPr>
            <w:tcW w:w="5949" w:type="dxa"/>
            <w:tcBorders>
              <w:top w:val="single" w:sz="4" w:space="0" w:color="auto"/>
              <w:bottom w:val="nil"/>
            </w:tcBorders>
            <w:hideMark/>
          </w:tcPr>
          <w:p w14:paraId="7377CDD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bottom w:val="nil"/>
            </w:tcBorders>
            <w:hideMark/>
          </w:tcPr>
          <w:p w14:paraId="561FF41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323</w:t>
            </w:r>
          </w:p>
        </w:tc>
        <w:tc>
          <w:tcPr>
            <w:tcW w:w="1508" w:type="dxa"/>
            <w:tcBorders>
              <w:top w:val="single" w:sz="4" w:space="0" w:color="auto"/>
              <w:bottom w:val="nil"/>
            </w:tcBorders>
            <w:hideMark/>
          </w:tcPr>
          <w:p w14:paraId="22E4DC1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85.4</w:t>
            </w:r>
          </w:p>
        </w:tc>
      </w:tr>
      <w:tr w:rsidR="00586B66" w:rsidRPr="009142AC" w14:paraId="4C40C8D8" w14:textId="77777777" w:rsidTr="00365FA0">
        <w:tc>
          <w:tcPr>
            <w:tcW w:w="5949" w:type="dxa"/>
            <w:tcBorders>
              <w:top w:val="nil"/>
              <w:bottom w:val="single" w:sz="4" w:space="0" w:color="auto"/>
            </w:tcBorders>
            <w:hideMark/>
          </w:tcPr>
          <w:p w14:paraId="3C4D2DF1"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top w:val="nil"/>
              <w:bottom w:val="single" w:sz="4" w:space="0" w:color="auto"/>
            </w:tcBorders>
            <w:hideMark/>
          </w:tcPr>
          <w:p w14:paraId="77E83AE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55</w:t>
            </w:r>
          </w:p>
        </w:tc>
        <w:tc>
          <w:tcPr>
            <w:tcW w:w="1508" w:type="dxa"/>
            <w:tcBorders>
              <w:top w:val="nil"/>
              <w:bottom w:val="single" w:sz="4" w:space="0" w:color="auto"/>
            </w:tcBorders>
            <w:hideMark/>
          </w:tcPr>
          <w:p w14:paraId="2327E31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14.6</w:t>
            </w:r>
          </w:p>
        </w:tc>
      </w:tr>
      <w:tr w:rsidR="004E283F" w:rsidRPr="009142AC" w14:paraId="21286CED" w14:textId="77777777" w:rsidTr="00365FA0">
        <w:tc>
          <w:tcPr>
            <w:tcW w:w="9016" w:type="dxa"/>
            <w:gridSpan w:val="3"/>
            <w:tcBorders>
              <w:top w:val="single" w:sz="4" w:space="0" w:color="auto"/>
              <w:bottom w:val="single" w:sz="4" w:space="0" w:color="auto"/>
            </w:tcBorders>
            <w:hideMark/>
          </w:tcPr>
          <w:p w14:paraId="5B171FB6" w14:textId="29069C39"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Consumed Regular energy drinks</w:t>
            </w:r>
          </w:p>
        </w:tc>
      </w:tr>
      <w:tr w:rsidR="00586B66" w:rsidRPr="009142AC" w14:paraId="34CD8FCB" w14:textId="77777777" w:rsidTr="00365FA0">
        <w:tc>
          <w:tcPr>
            <w:tcW w:w="5949" w:type="dxa"/>
            <w:tcBorders>
              <w:top w:val="single" w:sz="4" w:space="0" w:color="auto"/>
            </w:tcBorders>
            <w:hideMark/>
          </w:tcPr>
          <w:p w14:paraId="26E7717A"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17F923B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56</w:t>
            </w:r>
          </w:p>
        </w:tc>
        <w:tc>
          <w:tcPr>
            <w:tcW w:w="1508" w:type="dxa"/>
            <w:tcBorders>
              <w:top w:val="single" w:sz="4" w:space="0" w:color="auto"/>
            </w:tcBorders>
            <w:hideMark/>
          </w:tcPr>
          <w:p w14:paraId="4BDB3D5A"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14.8</w:t>
            </w:r>
          </w:p>
        </w:tc>
      </w:tr>
      <w:tr w:rsidR="00586B66" w:rsidRPr="009142AC" w14:paraId="16601B9F" w14:textId="77777777" w:rsidTr="00365FA0">
        <w:tc>
          <w:tcPr>
            <w:tcW w:w="5949" w:type="dxa"/>
            <w:tcBorders>
              <w:bottom w:val="single" w:sz="4" w:space="0" w:color="auto"/>
            </w:tcBorders>
            <w:hideMark/>
          </w:tcPr>
          <w:p w14:paraId="4D124061"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503C96B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322</w:t>
            </w:r>
          </w:p>
        </w:tc>
        <w:tc>
          <w:tcPr>
            <w:tcW w:w="1508" w:type="dxa"/>
            <w:tcBorders>
              <w:bottom w:val="single" w:sz="4" w:space="0" w:color="auto"/>
            </w:tcBorders>
            <w:hideMark/>
          </w:tcPr>
          <w:p w14:paraId="3F6EBD4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85.2</w:t>
            </w:r>
          </w:p>
        </w:tc>
      </w:tr>
      <w:tr w:rsidR="004E283F" w:rsidRPr="009142AC" w14:paraId="22A3F57E" w14:textId="77777777" w:rsidTr="00365FA0">
        <w:tc>
          <w:tcPr>
            <w:tcW w:w="9016" w:type="dxa"/>
            <w:gridSpan w:val="3"/>
            <w:tcBorders>
              <w:top w:val="single" w:sz="4" w:space="0" w:color="auto"/>
              <w:bottom w:val="single" w:sz="4" w:space="0" w:color="auto"/>
            </w:tcBorders>
          </w:tcPr>
          <w:p w14:paraId="117DD012" w14:textId="07D412E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Prevalence level</w:t>
            </w:r>
          </w:p>
        </w:tc>
      </w:tr>
      <w:tr w:rsidR="004E283F" w:rsidRPr="009142AC" w14:paraId="62E0DD45" w14:textId="77777777" w:rsidTr="00365FA0">
        <w:tc>
          <w:tcPr>
            <w:tcW w:w="5949" w:type="dxa"/>
            <w:tcBorders>
              <w:top w:val="single" w:sz="4" w:space="0" w:color="auto"/>
            </w:tcBorders>
          </w:tcPr>
          <w:p w14:paraId="5445E061" w14:textId="17F2568C"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tcPr>
          <w:p w14:paraId="17BDD25E" w14:textId="46EEF879"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207</w:t>
            </w:r>
          </w:p>
        </w:tc>
        <w:tc>
          <w:tcPr>
            <w:tcW w:w="1508" w:type="dxa"/>
            <w:tcBorders>
              <w:top w:val="single" w:sz="4" w:space="0" w:color="auto"/>
            </w:tcBorders>
          </w:tcPr>
          <w:p w14:paraId="683C0D8E" w14:textId="58BF1BF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54.8</w:t>
            </w:r>
          </w:p>
        </w:tc>
      </w:tr>
      <w:tr w:rsidR="004E283F" w:rsidRPr="009142AC" w14:paraId="27A74945" w14:textId="77777777" w:rsidTr="00365FA0">
        <w:tc>
          <w:tcPr>
            <w:tcW w:w="5949" w:type="dxa"/>
          </w:tcPr>
          <w:p w14:paraId="7AC8F62A" w14:textId="36A09CB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Pr>
          <w:p w14:paraId="0A98A8DD" w14:textId="4AA7CA21"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171</w:t>
            </w:r>
          </w:p>
        </w:tc>
        <w:tc>
          <w:tcPr>
            <w:tcW w:w="1508" w:type="dxa"/>
          </w:tcPr>
          <w:p w14:paraId="1D92E6A7" w14:textId="220224B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45.2</w:t>
            </w:r>
          </w:p>
        </w:tc>
      </w:tr>
    </w:tbl>
    <w:p w14:paraId="20E5DF81" w14:textId="77777777" w:rsidR="004E283F" w:rsidRDefault="004E283F" w:rsidP="00586B66">
      <w:pPr>
        <w:rPr>
          <w:rFonts w:ascii="Arial" w:hAnsi="Arial" w:cs="Arial"/>
          <w:b/>
          <w:sz w:val="20"/>
          <w:szCs w:val="20"/>
        </w:rPr>
      </w:pPr>
    </w:p>
    <w:p w14:paraId="314FFE5B" w14:textId="77777777" w:rsidR="00C524A5" w:rsidRPr="00C524A5" w:rsidRDefault="00C524A5" w:rsidP="00C524A5">
      <w:pPr>
        <w:spacing w:after="0"/>
        <w:rPr>
          <w:rFonts w:ascii="Arial" w:hAnsi="Arial" w:cs="Arial"/>
          <w:b/>
          <w:bCs/>
          <w:sz w:val="20"/>
          <w:szCs w:val="20"/>
        </w:rPr>
      </w:pPr>
      <w:r w:rsidRPr="00C524A5">
        <w:rPr>
          <w:rFonts w:ascii="Arial" w:hAnsi="Arial" w:cs="Arial"/>
          <w:b/>
          <w:bCs/>
          <w:sz w:val="20"/>
          <w:szCs w:val="20"/>
        </w:rPr>
        <w:t>Knowledge, Attitudes, and Practices Regarding Energy Drink Consumption</w:t>
      </w:r>
    </w:p>
    <w:p w14:paraId="70D64187" w14:textId="32DF9C1B" w:rsidR="00C524A5" w:rsidRDefault="00C524A5" w:rsidP="00C524A5">
      <w:pPr>
        <w:spacing w:after="0"/>
        <w:rPr>
          <w:rFonts w:ascii="Arial" w:hAnsi="Arial" w:cs="Arial"/>
          <w:sz w:val="20"/>
          <w:szCs w:val="20"/>
        </w:rPr>
      </w:pPr>
      <w:r w:rsidRPr="00C524A5">
        <w:rPr>
          <w:rFonts w:ascii="Arial" w:hAnsi="Arial" w:cs="Arial"/>
          <w:sz w:val="20"/>
          <w:szCs w:val="20"/>
        </w:rPr>
        <w:t>Table 3 shows that while the majority of undergraduate students (69.6%) demonstrated good overall knowledge regarding energy drink composition and health effects, significant specific knowledge gaps persist that warrant public health attention. An overwhelming majority correctly identified primary ingredients (94.7%) and recognized benefits such as improved alertness (92.1%), with substantial awareness of specific health risks including anxiety from caffeine (88.6%), insomnia (82.3%), and heart palpitations (86.2%). However, concerning proportions of respondents held dangerous misconceptions, as 20.1% erroneously believed energy drinks are safe for unrestricted daily use by all age groups, 11.6% thought these products are completely free from health risks, and 27.8% were unaware of the association with enamel erosion.</w:t>
      </w:r>
      <w:r>
        <w:rPr>
          <w:rFonts w:ascii="Arial" w:hAnsi="Arial" w:cs="Arial"/>
          <w:sz w:val="20"/>
          <w:szCs w:val="20"/>
        </w:rPr>
        <w:t xml:space="preserve"> </w:t>
      </w:r>
      <w:r w:rsidRPr="00C524A5">
        <w:rPr>
          <w:rFonts w:ascii="Arial" w:hAnsi="Arial" w:cs="Arial"/>
          <w:sz w:val="20"/>
          <w:szCs w:val="20"/>
        </w:rPr>
        <w:t xml:space="preserve">Table 4 shows a predominantly cautious yet functionally pragmatic attitude profile among students, with 58.5% demonstrating appropriate health-conscious attitudes overall. Students strongly acknowledged significant health risks (77.3% agree/strongly agree) yet simultaneously recognized functional benefits, as 60.6% agreed that energy drinks effectively boost </w:t>
      </w:r>
      <w:r w:rsidRPr="00C524A5">
        <w:rPr>
          <w:rFonts w:ascii="Arial" w:hAnsi="Arial" w:cs="Arial"/>
          <w:sz w:val="20"/>
          <w:szCs w:val="20"/>
        </w:rPr>
        <w:lastRenderedPageBreak/>
        <w:t>energy and concentration during studies. A substantial proportion (48.4%) believed benefits outweigh risks, and advertising showed considerable influence (52.7% agreement). This apparent paradox—recognizing risks while valuing functional benefits.</w:t>
      </w:r>
      <w:r>
        <w:rPr>
          <w:rFonts w:ascii="Arial" w:hAnsi="Arial" w:cs="Arial"/>
          <w:sz w:val="20"/>
          <w:szCs w:val="20"/>
        </w:rPr>
        <w:t xml:space="preserve"> </w:t>
      </w:r>
      <w:r w:rsidRPr="00C524A5">
        <w:rPr>
          <w:rFonts w:ascii="Arial" w:hAnsi="Arial" w:cs="Arial"/>
          <w:sz w:val="20"/>
          <w:szCs w:val="20"/>
        </w:rPr>
        <w:t xml:space="preserve">Table 5 shows widespread energy drink integration into student life, with 83.9% of respondents being consumers who typically obtain these beverages from convenience stores (74.3%) and consume them infrequently (53.3% monthly or less). Primary consumption drivers include habitual/taste preferences (45.4%), study-related wakefulness (33.8%), and social occasions (24.6%), with minimal use for sports enhancement (12.0%) or alcohol mixing (2.5%). Alarmingly, nearly half (49.5%) reported adverse effects, most commonly gastrointestinal distress (23.7%), headaches (23.3%), insomnia (20.5%), and anxiety (14.5%), yet most consumers (59.6%) maintained generally safe consumption practices. </w:t>
      </w:r>
    </w:p>
    <w:p w14:paraId="5DDF00A8" w14:textId="77777777" w:rsidR="00C524A5" w:rsidRPr="00C524A5" w:rsidRDefault="00C524A5" w:rsidP="00C524A5">
      <w:pPr>
        <w:spacing w:after="0"/>
        <w:rPr>
          <w:rFonts w:ascii="Arial" w:hAnsi="Arial" w:cs="Arial"/>
          <w:sz w:val="20"/>
          <w:szCs w:val="20"/>
        </w:rPr>
      </w:pPr>
    </w:p>
    <w:p w14:paraId="35F0D71D" w14:textId="4C01E31E" w:rsidR="00586B66" w:rsidRPr="009142AC" w:rsidRDefault="00586B66" w:rsidP="009142AC">
      <w:pPr>
        <w:spacing w:after="0" w:line="276" w:lineRule="auto"/>
        <w:rPr>
          <w:rFonts w:ascii="Arial" w:hAnsi="Arial" w:cs="Arial"/>
          <w:b/>
          <w:bCs/>
          <w:sz w:val="20"/>
          <w:szCs w:val="20"/>
        </w:rPr>
      </w:pPr>
      <w:bookmarkStart w:id="21" w:name="_Toc208394259"/>
      <w:bookmarkStart w:id="22" w:name="_Toc208394446"/>
      <w:r w:rsidRPr="009142AC">
        <w:rPr>
          <w:rFonts w:ascii="Arial" w:hAnsi="Arial" w:cs="Arial"/>
          <w:b/>
          <w:bCs/>
          <w:sz w:val="20"/>
          <w:szCs w:val="20"/>
        </w:rPr>
        <w:t xml:space="preserve">Table </w:t>
      </w:r>
      <w:r w:rsidR="009142AC">
        <w:rPr>
          <w:rFonts w:ascii="Arial" w:hAnsi="Arial" w:cs="Arial"/>
          <w:b/>
          <w:bCs/>
          <w:sz w:val="20"/>
          <w:szCs w:val="20"/>
        </w:rPr>
        <w:t>3</w:t>
      </w:r>
      <w:r w:rsidR="004E283F" w:rsidRPr="009142AC">
        <w:rPr>
          <w:rFonts w:ascii="Arial" w:hAnsi="Arial" w:cs="Arial"/>
          <w:b/>
          <w:bCs/>
          <w:sz w:val="20"/>
          <w:szCs w:val="20"/>
        </w:rPr>
        <w:t>.</w:t>
      </w:r>
      <w:r w:rsidRPr="009142AC">
        <w:rPr>
          <w:rFonts w:ascii="Arial" w:hAnsi="Arial" w:cs="Arial"/>
          <w:b/>
          <w:bCs/>
          <w:sz w:val="20"/>
          <w:szCs w:val="20"/>
        </w:rPr>
        <w:t xml:space="preserve"> Knowledge of energy drinks consumption among undergraduate university students in Rivers State</w:t>
      </w:r>
      <w:bookmarkEnd w:id="21"/>
      <w:bookmarkEnd w:id="22"/>
    </w:p>
    <w:tbl>
      <w:tblPr>
        <w:tblStyle w:val="TableGrid"/>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1609"/>
        <w:gridCol w:w="1509"/>
      </w:tblGrid>
      <w:tr w:rsidR="00586B66" w:rsidRPr="009142AC" w14:paraId="73F25BA2" w14:textId="77777777" w:rsidTr="00365FA0">
        <w:tc>
          <w:tcPr>
            <w:tcW w:w="5949" w:type="dxa"/>
            <w:tcBorders>
              <w:top w:val="single" w:sz="4" w:space="0" w:color="auto"/>
              <w:bottom w:val="single" w:sz="4" w:space="0" w:color="auto"/>
            </w:tcBorders>
            <w:hideMark/>
          </w:tcPr>
          <w:p w14:paraId="73794C53" w14:textId="77777777" w:rsidR="00586B66" w:rsidRPr="009142AC" w:rsidRDefault="00586B66" w:rsidP="004E283F">
            <w:pPr>
              <w:spacing w:line="240" w:lineRule="auto"/>
              <w:rPr>
                <w:rFonts w:ascii="Arial" w:hAnsi="Arial" w:cs="Arial"/>
                <w:b/>
                <w:sz w:val="20"/>
                <w:szCs w:val="20"/>
              </w:rPr>
            </w:pPr>
            <w:r w:rsidRPr="009142AC">
              <w:rPr>
                <w:rFonts w:ascii="Arial" w:hAnsi="Arial" w:cs="Arial"/>
                <w:b/>
                <w:sz w:val="20"/>
                <w:szCs w:val="20"/>
              </w:rPr>
              <w:t>Variables</w:t>
            </w:r>
          </w:p>
        </w:tc>
        <w:tc>
          <w:tcPr>
            <w:tcW w:w="1609" w:type="dxa"/>
            <w:tcBorders>
              <w:top w:val="single" w:sz="4" w:space="0" w:color="auto"/>
              <w:bottom w:val="single" w:sz="4" w:space="0" w:color="auto"/>
            </w:tcBorders>
            <w:hideMark/>
          </w:tcPr>
          <w:p w14:paraId="0F71EF5C" w14:textId="4154FC42" w:rsidR="00586B66" w:rsidRPr="009142AC" w:rsidRDefault="00586B66" w:rsidP="004E283F">
            <w:pPr>
              <w:spacing w:line="240" w:lineRule="auto"/>
              <w:rPr>
                <w:rFonts w:ascii="Arial" w:hAnsi="Arial" w:cs="Arial"/>
                <w:b/>
                <w:sz w:val="20"/>
                <w:szCs w:val="20"/>
              </w:rPr>
            </w:pPr>
            <w:r w:rsidRPr="009142AC">
              <w:rPr>
                <w:rFonts w:ascii="Arial" w:hAnsi="Arial" w:cs="Arial"/>
                <w:b/>
                <w:sz w:val="20"/>
                <w:szCs w:val="20"/>
              </w:rPr>
              <w:t>Frequency</w:t>
            </w:r>
            <w:r w:rsidR="004E283F" w:rsidRPr="009142AC">
              <w:rPr>
                <w:rFonts w:ascii="Arial" w:hAnsi="Arial" w:cs="Arial"/>
                <w:b/>
                <w:sz w:val="20"/>
                <w:szCs w:val="20"/>
              </w:rPr>
              <w:t xml:space="preserve"> </w:t>
            </w:r>
            <w:r w:rsidRPr="009142AC">
              <w:rPr>
                <w:rFonts w:ascii="Arial" w:hAnsi="Arial" w:cs="Arial"/>
                <w:b/>
                <w:sz w:val="20"/>
                <w:szCs w:val="20"/>
              </w:rPr>
              <w:t>(n=378)</w:t>
            </w:r>
          </w:p>
        </w:tc>
        <w:tc>
          <w:tcPr>
            <w:tcW w:w="1509" w:type="dxa"/>
            <w:tcBorders>
              <w:top w:val="single" w:sz="4" w:space="0" w:color="auto"/>
              <w:bottom w:val="single" w:sz="4" w:space="0" w:color="auto"/>
            </w:tcBorders>
            <w:hideMark/>
          </w:tcPr>
          <w:p w14:paraId="20F862C8" w14:textId="77777777" w:rsidR="00586B66" w:rsidRPr="009142AC" w:rsidRDefault="00586B66" w:rsidP="004E283F">
            <w:pPr>
              <w:spacing w:line="240" w:lineRule="auto"/>
              <w:rPr>
                <w:rFonts w:ascii="Arial" w:hAnsi="Arial" w:cs="Arial"/>
                <w:b/>
                <w:sz w:val="20"/>
                <w:szCs w:val="20"/>
              </w:rPr>
            </w:pPr>
            <w:r w:rsidRPr="009142AC">
              <w:rPr>
                <w:rFonts w:ascii="Arial" w:hAnsi="Arial" w:cs="Arial"/>
                <w:b/>
                <w:sz w:val="20"/>
                <w:szCs w:val="20"/>
              </w:rPr>
              <w:t>Percentage (%)</w:t>
            </w:r>
          </w:p>
        </w:tc>
      </w:tr>
      <w:tr w:rsidR="004E283F" w:rsidRPr="009142AC" w14:paraId="252F1B40" w14:textId="77777777" w:rsidTr="00365FA0">
        <w:tc>
          <w:tcPr>
            <w:tcW w:w="9067" w:type="dxa"/>
            <w:gridSpan w:val="3"/>
            <w:tcBorders>
              <w:top w:val="single" w:sz="4" w:space="0" w:color="auto"/>
              <w:bottom w:val="single" w:sz="4" w:space="0" w:color="auto"/>
            </w:tcBorders>
            <w:hideMark/>
          </w:tcPr>
          <w:p w14:paraId="7949F453" w14:textId="7D3F7D0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The main components of energy drinks include caffeine, taurine, and sugar.</w:t>
            </w:r>
          </w:p>
        </w:tc>
      </w:tr>
      <w:tr w:rsidR="00586B66" w:rsidRPr="009142AC" w14:paraId="12EE4025" w14:textId="77777777" w:rsidTr="00365FA0">
        <w:tc>
          <w:tcPr>
            <w:tcW w:w="5949" w:type="dxa"/>
            <w:tcBorders>
              <w:top w:val="single" w:sz="4" w:space="0" w:color="auto"/>
            </w:tcBorders>
            <w:hideMark/>
          </w:tcPr>
          <w:p w14:paraId="1B352CE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6208A52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20</w:t>
            </w:r>
          </w:p>
        </w:tc>
        <w:tc>
          <w:tcPr>
            <w:tcW w:w="1509" w:type="dxa"/>
            <w:tcBorders>
              <w:top w:val="single" w:sz="4" w:space="0" w:color="auto"/>
            </w:tcBorders>
            <w:hideMark/>
          </w:tcPr>
          <w:p w14:paraId="00B3F5E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5.3</w:t>
            </w:r>
          </w:p>
        </w:tc>
      </w:tr>
      <w:tr w:rsidR="00586B66" w:rsidRPr="009142AC" w14:paraId="4E1FAA42" w14:textId="77777777" w:rsidTr="00365FA0">
        <w:tc>
          <w:tcPr>
            <w:tcW w:w="5949" w:type="dxa"/>
            <w:tcBorders>
              <w:bottom w:val="single" w:sz="4" w:space="0" w:color="auto"/>
            </w:tcBorders>
            <w:hideMark/>
          </w:tcPr>
          <w:p w14:paraId="591F840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291851C1"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358</w:t>
            </w:r>
          </w:p>
        </w:tc>
        <w:tc>
          <w:tcPr>
            <w:tcW w:w="1509" w:type="dxa"/>
            <w:tcBorders>
              <w:bottom w:val="single" w:sz="4" w:space="0" w:color="auto"/>
            </w:tcBorders>
            <w:hideMark/>
          </w:tcPr>
          <w:p w14:paraId="25050F1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94.7</w:t>
            </w:r>
          </w:p>
        </w:tc>
      </w:tr>
      <w:tr w:rsidR="004E283F" w:rsidRPr="009142AC" w14:paraId="131820B7" w14:textId="77777777" w:rsidTr="00365FA0">
        <w:tc>
          <w:tcPr>
            <w:tcW w:w="9067" w:type="dxa"/>
            <w:gridSpan w:val="3"/>
            <w:tcBorders>
              <w:top w:val="single" w:sz="4" w:space="0" w:color="auto"/>
              <w:bottom w:val="single" w:sz="4" w:space="0" w:color="auto"/>
            </w:tcBorders>
            <w:hideMark/>
          </w:tcPr>
          <w:p w14:paraId="42A01A27" w14:textId="3A2EDF6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are completely free from health risks when consumed regularly.</w:t>
            </w:r>
          </w:p>
        </w:tc>
      </w:tr>
      <w:tr w:rsidR="00586B66" w:rsidRPr="009142AC" w14:paraId="7B217E17" w14:textId="77777777" w:rsidTr="00365FA0">
        <w:tc>
          <w:tcPr>
            <w:tcW w:w="5949" w:type="dxa"/>
            <w:tcBorders>
              <w:top w:val="single" w:sz="4" w:space="0" w:color="auto"/>
            </w:tcBorders>
            <w:hideMark/>
          </w:tcPr>
          <w:p w14:paraId="1FABB81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19C2194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334</w:t>
            </w:r>
          </w:p>
        </w:tc>
        <w:tc>
          <w:tcPr>
            <w:tcW w:w="1509" w:type="dxa"/>
            <w:tcBorders>
              <w:top w:val="single" w:sz="4" w:space="0" w:color="auto"/>
            </w:tcBorders>
            <w:hideMark/>
          </w:tcPr>
          <w:p w14:paraId="464FB6B8"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88.4</w:t>
            </w:r>
          </w:p>
        </w:tc>
      </w:tr>
      <w:tr w:rsidR="00586B66" w:rsidRPr="009142AC" w14:paraId="3DE26E5C" w14:textId="77777777" w:rsidTr="00365FA0">
        <w:tc>
          <w:tcPr>
            <w:tcW w:w="5949" w:type="dxa"/>
            <w:tcBorders>
              <w:bottom w:val="single" w:sz="4" w:space="0" w:color="auto"/>
            </w:tcBorders>
            <w:hideMark/>
          </w:tcPr>
          <w:p w14:paraId="4EEF42F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4BE925CB"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44</w:t>
            </w:r>
          </w:p>
        </w:tc>
        <w:tc>
          <w:tcPr>
            <w:tcW w:w="1509" w:type="dxa"/>
            <w:tcBorders>
              <w:bottom w:val="single" w:sz="4" w:space="0" w:color="auto"/>
            </w:tcBorders>
            <w:hideMark/>
          </w:tcPr>
          <w:p w14:paraId="4A5BC6B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11.6</w:t>
            </w:r>
          </w:p>
        </w:tc>
      </w:tr>
      <w:tr w:rsidR="004E283F" w:rsidRPr="009142AC" w14:paraId="0C3056C3" w14:textId="77777777" w:rsidTr="00365FA0">
        <w:tc>
          <w:tcPr>
            <w:tcW w:w="9067" w:type="dxa"/>
            <w:gridSpan w:val="3"/>
            <w:tcBorders>
              <w:top w:val="single" w:sz="4" w:space="0" w:color="auto"/>
              <w:bottom w:val="single" w:sz="4" w:space="0" w:color="auto"/>
            </w:tcBorders>
            <w:hideMark/>
          </w:tcPr>
          <w:p w14:paraId="7A7F997D" w14:textId="4523F4ED"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can contribute to improved alertness and physical stamina.</w:t>
            </w:r>
          </w:p>
        </w:tc>
      </w:tr>
      <w:tr w:rsidR="00586B66" w:rsidRPr="009142AC" w14:paraId="41269656" w14:textId="77777777" w:rsidTr="00365FA0">
        <w:tc>
          <w:tcPr>
            <w:tcW w:w="5949" w:type="dxa"/>
            <w:tcBorders>
              <w:top w:val="single" w:sz="4" w:space="0" w:color="auto"/>
            </w:tcBorders>
            <w:hideMark/>
          </w:tcPr>
          <w:p w14:paraId="357D1E2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1BFB8C0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30</w:t>
            </w:r>
          </w:p>
        </w:tc>
        <w:tc>
          <w:tcPr>
            <w:tcW w:w="1509" w:type="dxa"/>
            <w:tcBorders>
              <w:top w:val="single" w:sz="4" w:space="0" w:color="auto"/>
            </w:tcBorders>
            <w:hideMark/>
          </w:tcPr>
          <w:p w14:paraId="1C38913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7.9</w:t>
            </w:r>
          </w:p>
        </w:tc>
      </w:tr>
      <w:tr w:rsidR="00586B66" w:rsidRPr="009142AC" w14:paraId="7ED845E4" w14:textId="77777777" w:rsidTr="00365FA0">
        <w:tc>
          <w:tcPr>
            <w:tcW w:w="5949" w:type="dxa"/>
            <w:tcBorders>
              <w:bottom w:val="single" w:sz="4" w:space="0" w:color="auto"/>
            </w:tcBorders>
            <w:hideMark/>
          </w:tcPr>
          <w:p w14:paraId="0062280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50A74726"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348</w:t>
            </w:r>
          </w:p>
        </w:tc>
        <w:tc>
          <w:tcPr>
            <w:tcW w:w="1509" w:type="dxa"/>
            <w:tcBorders>
              <w:bottom w:val="single" w:sz="4" w:space="0" w:color="auto"/>
            </w:tcBorders>
            <w:hideMark/>
          </w:tcPr>
          <w:p w14:paraId="3C61612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92.1</w:t>
            </w:r>
          </w:p>
        </w:tc>
      </w:tr>
      <w:tr w:rsidR="004E283F" w:rsidRPr="009142AC" w14:paraId="0714DF67" w14:textId="77777777" w:rsidTr="00365FA0">
        <w:tc>
          <w:tcPr>
            <w:tcW w:w="9067" w:type="dxa"/>
            <w:gridSpan w:val="3"/>
            <w:tcBorders>
              <w:top w:val="single" w:sz="4" w:space="0" w:color="auto"/>
              <w:bottom w:val="single" w:sz="4" w:space="0" w:color="auto"/>
            </w:tcBorders>
            <w:hideMark/>
          </w:tcPr>
          <w:p w14:paraId="4DFD3CDE" w14:textId="11E70D04"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Heart palpitations are a possible side effect of consuming energy drinks.</w:t>
            </w:r>
          </w:p>
        </w:tc>
      </w:tr>
      <w:tr w:rsidR="00586B66" w:rsidRPr="009142AC" w14:paraId="43E38723" w14:textId="77777777" w:rsidTr="00365FA0">
        <w:tc>
          <w:tcPr>
            <w:tcW w:w="5949" w:type="dxa"/>
            <w:tcBorders>
              <w:top w:val="single" w:sz="4" w:space="0" w:color="auto"/>
            </w:tcBorders>
            <w:hideMark/>
          </w:tcPr>
          <w:p w14:paraId="46CB223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79ECBA3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52</w:t>
            </w:r>
          </w:p>
        </w:tc>
        <w:tc>
          <w:tcPr>
            <w:tcW w:w="1509" w:type="dxa"/>
            <w:tcBorders>
              <w:top w:val="single" w:sz="4" w:space="0" w:color="auto"/>
            </w:tcBorders>
            <w:hideMark/>
          </w:tcPr>
          <w:p w14:paraId="09B01A0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13.8</w:t>
            </w:r>
          </w:p>
        </w:tc>
      </w:tr>
      <w:tr w:rsidR="00586B66" w:rsidRPr="009142AC" w14:paraId="1ACBDAF6" w14:textId="77777777" w:rsidTr="00365FA0">
        <w:tc>
          <w:tcPr>
            <w:tcW w:w="5949" w:type="dxa"/>
            <w:tcBorders>
              <w:bottom w:val="single" w:sz="4" w:space="0" w:color="auto"/>
            </w:tcBorders>
            <w:hideMark/>
          </w:tcPr>
          <w:p w14:paraId="0AC42894"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22556798"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326</w:t>
            </w:r>
          </w:p>
        </w:tc>
        <w:tc>
          <w:tcPr>
            <w:tcW w:w="1509" w:type="dxa"/>
            <w:tcBorders>
              <w:bottom w:val="single" w:sz="4" w:space="0" w:color="auto"/>
            </w:tcBorders>
            <w:hideMark/>
          </w:tcPr>
          <w:p w14:paraId="4174040A"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86.2</w:t>
            </w:r>
          </w:p>
        </w:tc>
      </w:tr>
      <w:tr w:rsidR="004E283F" w:rsidRPr="009142AC" w14:paraId="6D1A2BE6" w14:textId="77777777" w:rsidTr="00365FA0">
        <w:tc>
          <w:tcPr>
            <w:tcW w:w="9067" w:type="dxa"/>
            <w:gridSpan w:val="3"/>
            <w:tcBorders>
              <w:top w:val="single" w:sz="4" w:space="0" w:color="auto"/>
              <w:bottom w:val="single" w:sz="4" w:space="0" w:color="auto"/>
            </w:tcBorders>
            <w:hideMark/>
          </w:tcPr>
          <w:p w14:paraId="6D122B75" w14:textId="63E65355"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can cause insomnia when consumed late in the day.</w:t>
            </w:r>
          </w:p>
        </w:tc>
      </w:tr>
      <w:tr w:rsidR="00586B66" w:rsidRPr="009142AC" w14:paraId="668A6339" w14:textId="77777777" w:rsidTr="00365FA0">
        <w:tc>
          <w:tcPr>
            <w:tcW w:w="5949" w:type="dxa"/>
            <w:tcBorders>
              <w:top w:val="single" w:sz="4" w:space="0" w:color="auto"/>
            </w:tcBorders>
            <w:hideMark/>
          </w:tcPr>
          <w:p w14:paraId="2013154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172364D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67</w:t>
            </w:r>
          </w:p>
        </w:tc>
        <w:tc>
          <w:tcPr>
            <w:tcW w:w="1509" w:type="dxa"/>
            <w:tcBorders>
              <w:top w:val="single" w:sz="4" w:space="0" w:color="auto"/>
            </w:tcBorders>
            <w:hideMark/>
          </w:tcPr>
          <w:p w14:paraId="43DF3F4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17.7</w:t>
            </w:r>
          </w:p>
        </w:tc>
      </w:tr>
      <w:tr w:rsidR="00586B66" w:rsidRPr="009142AC" w14:paraId="70622702" w14:textId="77777777" w:rsidTr="00365FA0">
        <w:tc>
          <w:tcPr>
            <w:tcW w:w="5949" w:type="dxa"/>
            <w:tcBorders>
              <w:bottom w:val="single" w:sz="4" w:space="0" w:color="auto"/>
            </w:tcBorders>
            <w:hideMark/>
          </w:tcPr>
          <w:p w14:paraId="660D6DE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2C3E1BD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311</w:t>
            </w:r>
          </w:p>
        </w:tc>
        <w:tc>
          <w:tcPr>
            <w:tcW w:w="1509" w:type="dxa"/>
            <w:tcBorders>
              <w:bottom w:val="single" w:sz="4" w:space="0" w:color="auto"/>
            </w:tcBorders>
            <w:hideMark/>
          </w:tcPr>
          <w:p w14:paraId="65BF210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82.3</w:t>
            </w:r>
          </w:p>
        </w:tc>
      </w:tr>
      <w:tr w:rsidR="004E283F" w:rsidRPr="009142AC" w14:paraId="4B072847" w14:textId="77777777" w:rsidTr="00365FA0">
        <w:tc>
          <w:tcPr>
            <w:tcW w:w="9067" w:type="dxa"/>
            <w:gridSpan w:val="3"/>
            <w:tcBorders>
              <w:top w:val="single" w:sz="4" w:space="0" w:color="auto"/>
              <w:bottom w:val="single" w:sz="4" w:space="0" w:color="auto"/>
            </w:tcBorders>
          </w:tcPr>
          <w:p w14:paraId="730CBEF8" w14:textId="594ECDA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Enamel erosion can occur due to regular consumption of energy drinks.</w:t>
            </w:r>
          </w:p>
        </w:tc>
      </w:tr>
      <w:tr w:rsidR="004E283F" w:rsidRPr="009142AC" w14:paraId="405C2018" w14:textId="77777777" w:rsidTr="00365FA0">
        <w:tc>
          <w:tcPr>
            <w:tcW w:w="5949" w:type="dxa"/>
            <w:tcBorders>
              <w:top w:val="single" w:sz="4" w:space="0" w:color="auto"/>
            </w:tcBorders>
          </w:tcPr>
          <w:p w14:paraId="70BFAB35" w14:textId="2047EFE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0417F616" w14:textId="02CAAB0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105</w:t>
            </w:r>
          </w:p>
        </w:tc>
        <w:tc>
          <w:tcPr>
            <w:tcW w:w="1509" w:type="dxa"/>
            <w:tcBorders>
              <w:top w:val="single" w:sz="4" w:space="0" w:color="auto"/>
            </w:tcBorders>
          </w:tcPr>
          <w:p w14:paraId="264857C6" w14:textId="340F59DF"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27.8</w:t>
            </w:r>
          </w:p>
        </w:tc>
      </w:tr>
      <w:tr w:rsidR="004E283F" w:rsidRPr="009142AC" w14:paraId="2D869318" w14:textId="77777777" w:rsidTr="00365FA0">
        <w:tc>
          <w:tcPr>
            <w:tcW w:w="5949" w:type="dxa"/>
            <w:tcBorders>
              <w:bottom w:val="single" w:sz="4" w:space="0" w:color="auto"/>
            </w:tcBorders>
          </w:tcPr>
          <w:p w14:paraId="720FCFAF" w14:textId="4BF79A4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639F63B5" w14:textId="74E76817"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273</w:t>
            </w:r>
          </w:p>
        </w:tc>
        <w:tc>
          <w:tcPr>
            <w:tcW w:w="1509" w:type="dxa"/>
            <w:tcBorders>
              <w:bottom w:val="single" w:sz="4" w:space="0" w:color="auto"/>
            </w:tcBorders>
          </w:tcPr>
          <w:p w14:paraId="74C10FC3" w14:textId="6C913EA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72.2</w:t>
            </w:r>
          </w:p>
        </w:tc>
      </w:tr>
      <w:tr w:rsidR="004E283F" w:rsidRPr="009142AC" w14:paraId="75A136A3" w14:textId="77777777" w:rsidTr="00365FA0">
        <w:tc>
          <w:tcPr>
            <w:tcW w:w="9067" w:type="dxa"/>
            <w:gridSpan w:val="3"/>
            <w:tcBorders>
              <w:top w:val="single" w:sz="4" w:space="0" w:color="auto"/>
              <w:bottom w:val="single" w:sz="4" w:space="0" w:color="auto"/>
            </w:tcBorders>
          </w:tcPr>
          <w:p w14:paraId="75666E45" w14:textId="6B3A5CE3"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are safe for unrestricted daily use by all age groups</w:t>
            </w:r>
          </w:p>
        </w:tc>
      </w:tr>
      <w:tr w:rsidR="004E283F" w:rsidRPr="009142AC" w14:paraId="28D94DE3" w14:textId="77777777" w:rsidTr="00365FA0">
        <w:tc>
          <w:tcPr>
            <w:tcW w:w="5949" w:type="dxa"/>
            <w:tcBorders>
              <w:top w:val="single" w:sz="4" w:space="0" w:color="auto"/>
            </w:tcBorders>
          </w:tcPr>
          <w:p w14:paraId="40AECBEC" w14:textId="3C578AE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0CD1F36E" w14:textId="0578C10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302</w:t>
            </w:r>
          </w:p>
        </w:tc>
        <w:tc>
          <w:tcPr>
            <w:tcW w:w="1509" w:type="dxa"/>
            <w:tcBorders>
              <w:top w:val="single" w:sz="4" w:space="0" w:color="auto"/>
            </w:tcBorders>
          </w:tcPr>
          <w:p w14:paraId="6D747C81" w14:textId="0491B56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79.9</w:t>
            </w:r>
          </w:p>
        </w:tc>
      </w:tr>
      <w:tr w:rsidR="004E283F" w:rsidRPr="009142AC" w14:paraId="12CC19F8" w14:textId="77777777" w:rsidTr="00365FA0">
        <w:tc>
          <w:tcPr>
            <w:tcW w:w="5949" w:type="dxa"/>
            <w:tcBorders>
              <w:bottom w:val="single" w:sz="4" w:space="0" w:color="auto"/>
            </w:tcBorders>
          </w:tcPr>
          <w:p w14:paraId="5327A639" w14:textId="64E83EE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3320B060" w14:textId="3CC1F6A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76</w:t>
            </w:r>
          </w:p>
        </w:tc>
        <w:tc>
          <w:tcPr>
            <w:tcW w:w="1509" w:type="dxa"/>
            <w:tcBorders>
              <w:bottom w:val="single" w:sz="4" w:space="0" w:color="auto"/>
            </w:tcBorders>
          </w:tcPr>
          <w:p w14:paraId="081B1A49" w14:textId="781FB96E"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20.1</w:t>
            </w:r>
          </w:p>
        </w:tc>
      </w:tr>
      <w:tr w:rsidR="004E283F" w:rsidRPr="009142AC" w14:paraId="1F646E17" w14:textId="77777777" w:rsidTr="00365FA0">
        <w:tc>
          <w:tcPr>
            <w:tcW w:w="9067" w:type="dxa"/>
            <w:gridSpan w:val="3"/>
            <w:tcBorders>
              <w:top w:val="single" w:sz="4" w:space="0" w:color="auto"/>
              <w:bottom w:val="single" w:sz="4" w:space="0" w:color="auto"/>
            </w:tcBorders>
          </w:tcPr>
          <w:p w14:paraId="07BAABFB" w14:textId="12B6A2F8"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High levels of caffeine in energy drinks can increase anxiety</w:t>
            </w:r>
          </w:p>
        </w:tc>
      </w:tr>
      <w:tr w:rsidR="004E283F" w:rsidRPr="009142AC" w14:paraId="3C6F4FCF" w14:textId="77777777" w:rsidTr="00365FA0">
        <w:tc>
          <w:tcPr>
            <w:tcW w:w="5949" w:type="dxa"/>
            <w:tcBorders>
              <w:top w:val="single" w:sz="4" w:space="0" w:color="auto"/>
            </w:tcBorders>
          </w:tcPr>
          <w:p w14:paraId="4FED0C14" w14:textId="19CAFD47"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53F53807" w14:textId="1B635BD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43</w:t>
            </w:r>
          </w:p>
        </w:tc>
        <w:tc>
          <w:tcPr>
            <w:tcW w:w="1509" w:type="dxa"/>
            <w:tcBorders>
              <w:top w:val="single" w:sz="4" w:space="0" w:color="auto"/>
            </w:tcBorders>
          </w:tcPr>
          <w:p w14:paraId="01733971" w14:textId="4DC73925"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11.4</w:t>
            </w:r>
          </w:p>
        </w:tc>
      </w:tr>
      <w:tr w:rsidR="004E283F" w:rsidRPr="009142AC" w14:paraId="591EE9EF" w14:textId="77777777" w:rsidTr="00365FA0">
        <w:tc>
          <w:tcPr>
            <w:tcW w:w="5949" w:type="dxa"/>
            <w:tcBorders>
              <w:bottom w:val="nil"/>
            </w:tcBorders>
          </w:tcPr>
          <w:p w14:paraId="0162FD55" w14:textId="6EE82BD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nil"/>
            </w:tcBorders>
          </w:tcPr>
          <w:p w14:paraId="4D9D6438" w14:textId="5BE5AF91"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335</w:t>
            </w:r>
          </w:p>
        </w:tc>
        <w:tc>
          <w:tcPr>
            <w:tcW w:w="1509" w:type="dxa"/>
            <w:tcBorders>
              <w:bottom w:val="nil"/>
            </w:tcBorders>
          </w:tcPr>
          <w:p w14:paraId="2A1A96FB" w14:textId="158D21D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88.6</w:t>
            </w:r>
          </w:p>
        </w:tc>
      </w:tr>
      <w:tr w:rsidR="004E283F" w:rsidRPr="009142AC" w14:paraId="4B0ED114" w14:textId="77777777" w:rsidTr="00365FA0">
        <w:tc>
          <w:tcPr>
            <w:tcW w:w="9067" w:type="dxa"/>
            <w:gridSpan w:val="3"/>
            <w:tcBorders>
              <w:top w:val="nil"/>
              <w:bottom w:val="single" w:sz="4" w:space="0" w:color="auto"/>
            </w:tcBorders>
          </w:tcPr>
          <w:p w14:paraId="24221866" w14:textId="4EDCADB7" w:rsidR="004E283F" w:rsidRPr="009142AC" w:rsidRDefault="004E283F" w:rsidP="004E283F">
            <w:pPr>
              <w:spacing w:line="240" w:lineRule="auto"/>
              <w:rPr>
                <w:rFonts w:ascii="Arial" w:hAnsi="Arial" w:cs="Arial"/>
                <w:sz w:val="20"/>
                <w:szCs w:val="20"/>
              </w:rPr>
            </w:pPr>
            <w:r w:rsidRPr="00365FA0">
              <w:rPr>
                <w:rFonts w:ascii="Arial" w:hAnsi="Arial" w:cs="Arial"/>
                <w:b/>
                <w:sz w:val="20"/>
                <w:szCs w:val="20"/>
                <w:bdr w:val="single" w:sz="4" w:space="0" w:color="auto"/>
              </w:rPr>
              <w:t>Information on the recommended limits for energy drink intake is available from health</w:t>
            </w:r>
            <w:r w:rsidRPr="009142AC">
              <w:rPr>
                <w:rFonts w:ascii="Arial" w:hAnsi="Arial" w:cs="Arial"/>
                <w:b/>
                <w:sz w:val="20"/>
                <w:szCs w:val="20"/>
              </w:rPr>
              <w:t xml:space="preserve"> authorities</w:t>
            </w:r>
          </w:p>
        </w:tc>
      </w:tr>
      <w:tr w:rsidR="004E283F" w:rsidRPr="009142AC" w14:paraId="040E3355" w14:textId="77777777" w:rsidTr="00365FA0">
        <w:tc>
          <w:tcPr>
            <w:tcW w:w="5949" w:type="dxa"/>
            <w:tcBorders>
              <w:top w:val="single" w:sz="4" w:space="0" w:color="auto"/>
            </w:tcBorders>
          </w:tcPr>
          <w:p w14:paraId="6D43032B" w14:textId="2993381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3EDD860D" w14:textId="0FDC828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96</w:t>
            </w:r>
          </w:p>
        </w:tc>
        <w:tc>
          <w:tcPr>
            <w:tcW w:w="1509" w:type="dxa"/>
            <w:tcBorders>
              <w:top w:val="single" w:sz="4" w:space="0" w:color="auto"/>
            </w:tcBorders>
          </w:tcPr>
          <w:p w14:paraId="536C7D42" w14:textId="1987928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25.4</w:t>
            </w:r>
          </w:p>
        </w:tc>
      </w:tr>
      <w:tr w:rsidR="004E283F" w:rsidRPr="009142AC" w14:paraId="727A96EC" w14:textId="77777777" w:rsidTr="00365FA0">
        <w:tc>
          <w:tcPr>
            <w:tcW w:w="5949" w:type="dxa"/>
            <w:tcBorders>
              <w:bottom w:val="single" w:sz="4" w:space="0" w:color="auto"/>
            </w:tcBorders>
          </w:tcPr>
          <w:p w14:paraId="2CAC218E" w14:textId="010C8AE7"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62900360" w14:textId="59397531"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282</w:t>
            </w:r>
          </w:p>
        </w:tc>
        <w:tc>
          <w:tcPr>
            <w:tcW w:w="1509" w:type="dxa"/>
            <w:tcBorders>
              <w:bottom w:val="single" w:sz="4" w:space="0" w:color="auto"/>
            </w:tcBorders>
          </w:tcPr>
          <w:p w14:paraId="49DE5BF5" w14:textId="0C51B84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74.6</w:t>
            </w:r>
          </w:p>
        </w:tc>
      </w:tr>
      <w:tr w:rsidR="004E283F" w:rsidRPr="009142AC" w14:paraId="61BE8302" w14:textId="77777777" w:rsidTr="00365FA0">
        <w:tc>
          <w:tcPr>
            <w:tcW w:w="9067" w:type="dxa"/>
            <w:gridSpan w:val="3"/>
            <w:tcBorders>
              <w:top w:val="single" w:sz="4" w:space="0" w:color="auto"/>
              <w:bottom w:val="single" w:sz="4" w:space="0" w:color="auto"/>
            </w:tcBorders>
          </w:tcPr>
          <w:p w14:paraId="23F74FD6" w14:textId="64071F7D"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contain natural stimulants that may affect the central nervous system.</w:t>
            </w:r>
          </w:p>
        </w:tc>
      </w:tr>
      <w:tr w:rsidR="004E283F" w:rsidRPr="009142AC" w14:paraId="45DC37E1" w14:textId="77777777" w:rsidTr="00365FA0">
        <w:tc>
          <w:tcPr>
            <w:tcW w:w="5949" w:type="dxa"/>
            <w:tcBorders>
              <w:top w:val="single" w:sz="4" w:space="0" w:color="auto"/>
            </w:tcBorders>
          </w:tcPr>
          <w:p w14:paraId="7109C8E2" w14:textId="1F91B5A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1F6C80FC" w14:textId="33F2A149"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52</w:t>
            </w:r>
          </w:p>
        </w:tc>
        <w:tc>
          <w:tcPr>
            <w:tcW w:w="1509" w:type="dxa"/>
            <w:tcBorders>
              <w:top w:val="single" w:sz="4" w:space="0" w:color="auto"/>
            </w:tcBorders>
          </w:tcPr>
          <w:p w14:paraId="209D1931" w14:textId="7E222A4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13.8</w:t>
            </w:r>
          </w:p>
        </w:tc>
      </w:tr>
      <w:tr w:rsidR="004E283F" w:rsidRPr="009142AC" w14:paraId="4E2F5044" w14:textId="77777777" w:rsidTr="00365FA0">
        <w:tc>
          <w:tcPr>
            <w:tcW w:w="5949" w:type="dxa"/>
            <w:tcBorders>
              <w:bottom w:val="single" w:sz="4" w:space="0" w:color="auto"/>
            </w:tcBorders>
          </w:tcPr>
          <w:p w14:paraId="4458F151" w14:textId="7FBD1845"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232E8A44" w14:textId="145902AF"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326</w:t>
            </w:r>
          </w:p>
        </w:tc>
        <w:tc>
          <w:tcPr>
            <w:tcW w:w="1509" w:type="dxa"/>
            <w:tcBorders>
              <w:bottom w:val="single" w:sz="4" w:space="0" w:color="auto"/>
            </w:tcBorders>
          </w:tcPr>
          <w:p w14:paraId="4B7B2460" w14:textId="35C8B18A"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86.2</w:t>
            </w:r>
          </w:p>
        </w:tc>
      </w:tr>
      <w:tr w:rsidR="004E283F" w:rsidRPr="009142AC" w14:paraId="7CC89016" w14:textId="77777777" w:rsidTr="00365FA0">
        <w:tc>
          <w:tcPr>
            <w:tcW w:w="9067" w:type="dxa"/>
            <w:gridSpan w:val="3"/>
            <w:tcBorders>
              <w:top w:val="single" w:sz="4" w:space="0" w:color="auto"/>
              <w:bottom w:val="single" w:sz="4" w:space="0" w:color="auto"/>
            </w:tcBorders>
          </w:tcPr>
          <w:p w14:paraId="7805422C" w14:textId="2145D9FA"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Knowledge level</w:t>
            </w:r>
          </w:p>
        </w:tc>
      </w:tr>
      <w:tr w:rsidR="004E283F" w:rsidRPr="009142AC" w14:paraId="5145148E" w14:textId="77777777" w:rsidTr="00365FA0">
        <w:tc>
          <w:tcPr>
            <w:tcW w:w="5949" w:type="dxa"/>
            <w:tcBorders>
              <w:top w:val="single" w:sz="4" w:space="0" w:color="auto"/>
            </w:tcBorders>
          </w:tcPr>
          <w:p w14:paraId="48E023A6" w14:textId="537ACF2F"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Good knowledge level</w:t>
            </w:r>
          </w:p>
        </w:tc>
        <w:tc>
          <w:tcPr>
            <w:tcW w:w="1609" w:type="dxa"/>
            <w:tcBorders>
              <w:top w:val="single" w:sz="4" w:space="0" w:color="auto"/>
            </w:tcBorders>
          </w:tcPr>
          <w:p w14:paraId="59C461A2" w14:textId="296B104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263</w:t>
            </w:r>
          </w:p>
        </w:tc>
        <w:tc>
          <w:tcPr>
            <w:tcW w:w="1509" w:type="dxa"/>
            <w:tcBorders>
              <w:top w:val="single" w:sz="4" w:space="0" w:color="auto"/>
            </w:tcBorders>
          </w:tcPr>
          <w:p w14:paraId="5DE264E2" w14:textId="0B5C0AE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69.6</w:t>
            </w:r>
          </w:p>
        </w:tc>
      </w:tr>
      <w:tr w:rsidR="004E283F" w:rsidRPr="009142AC" w14:paraId="7961091C" w14:textId="77777777" w:rsidTr="00365FA0">
        <w:tc>
          <w:tcPr>
            <w:tcW w:w="5949" w:type="dxa"/>
          </w:tcPr>
          <w:p w14:paraId="4A61C4E3" w14:textId="6519E4C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lastRenderedPageBreak/>
              <w:t>Poor Knowledge level</w:t>
            </w:r>
          </w:p>
        </w:tc>
        <w:tc>
          <w:tcPr>
            <w:tcW w:w="1609" w:type="dxa"/>
          </w:tcPr>
          <w:p w14:paraId="23CB0D83" w14:textId="2D698E7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115</w:t>
            </w:r>
          </w:p>
        </w:tc>
        <w:tc>
          <w:tcPr>
            <w:tcW w:w="1509" w:type="dxa"/>
          </w:tcPr>
          <w:p w14:paraId="3FD21449" w14:textId="458C2B19"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30.4</w:t>
            </w:r>
          </w:p>
        </w:tc>
      </w:tr>
    </w:tbl>
    <w:p w14:paraId="681A9EC2" w14:textId="439A8125" w:rsidR="00586B66" w:rsidRPr="009142AC" w:rsidRDefault="00586B66" w:rsidP="004E283F">
      <w:pPr>
        <w:spacing w:line="278" w:lineRule="auto"/>
        <w:jc w:val="left"/>
        <w:rPr>
          <w:rFonts w:ascii="Arial" w:hAnsi="Arial" w:cs="Arial"/>
          <w:b/>
          <w:sz w:val="20"/>
          <w:szCs w:val="20"/>
        </w:rPr>
      </w:pPr>
    </w:p>
    <w:p w14:paraId="1AC055ED" w14:textId="77777777" w:rsidR="004E283F" w:rsidRPr="009142AC" w:rsidRDefault="004E283F" w:rsidP="00586B66">
      <w:pPr>
        <w:spacing w:line="278" w:lineRule="auto"/>
        <w:jc w:val="left"/>
        <w:rPr>
          <w:rFonts w:ascii="Arial" w:hAnsi="Arial" w:cs="Arial"/>
          <w:b/>
          <w:sz w:val="20"/>
          <w:szCs w:val="20"/>
        </w:rPr>
        <w:sectPr w:rsidR="004E283F" w:rsidRPr="009142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D57B195" w14:textId="6707AA76" w:rsidR="00586B66" w:rsidRPr="009142AC" w:rsidRDefault="00586B66" w:rsidP="009142AC">
      <w:pPr>
        <w:spacing w:after="0" w:line="276" w:lineRule="auto"/>
        <w:rPr>
          <w:rFonts w:ascii="Arial" w:hAnsi="Arial" w:cs="Arial"/>
          <w:b/>
          <w:bCs/>
          <w:sz w:val="20"/>
          <w:szCs w:val="20"/>
        </w:rPr>
      </w:pPr>
      <w:bookmarkStart w:id="23" w:name="_Toc208394261"/>
      <w:bookmarkStart w:id="24" w:name="_Toc208394448"/>
      <w:r w:rsidRPr="009142AC">
        <w:rPr>
          <w:rFonts w:ascii="Arial" w:hAnsi="Arial" w:cs="Arial"/>
          <w:b/>
          <w:bCs/>
          <w:sz w:val="20"/>
          <w:szCs w:val="20"/>
        </w:rPr>
        <w:lastRenderedPageBreak/>
        <w:t>Table 4. Attitudes towards energy drinks consumption among undergraduate university students in Rivers State</w:t>
      </w:r>
      <w:bookmarkEnd w:id="23"/>
      <w:bookmarkEnd w:id="24"/>
    </w:p>
    <w:tbl>
      <w:tblPr>
        <w:tblStyle w:val="TableGrid"/>
        <w:tblW w:w="138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1275"/>
        <w:gridCol w:w="1418"/>
        <w:gridCol w:w="1417"/>
        <w:gridCol w:w="1418"/>
        <w:gridCol w:w="1417"/>
        <w:gridCol w:w="1418"/>
      </w:tblGrid>
      <w:tr w:rsidR="00586B66" w:rsidRPr="009142AC" w14:paraId="3D3CA816" w14:textId="77777777" w:rsidTr="00365FA0">
        <w:tc>
          <w:tcPr>
            <w:tcW w:w="5524" w:type="dxa"/>
            <w:vMerge w:val="restart"/>
            <w:tcBorders>
              <w:top w:val="single" w:sz="4" w:space="0" w:color="auto"/>
              <w:bottom w:val="nil"/>
            </w:tcBorders>
            <w:vAlign w:val="center"/>
            <w:hideMark/>
          </w:tcPr>
          <w:p w14:paraId="3844713A" w14:textId="77777777" w:rsidR="00586B66" w:rsidRPr="009142AC" w:rsidRDefault="00586B66" w:rsidP="009142AC">
            <w:pPr>
              <w:spacing w:line="276" w:lineRule="auto"/>
              <w:rPr>
                <w:rFonts w:ascii="Arial" w:hAnsi="Arial" w:cs="Arial"/>
                <w:b/>
                <w:bCs/>
                <w:sz w:val="20"/>
                <w:szCs w:val="20"/>
              </w:rPr>
            </w:pPr>
            <w:r w:rsidRPr="009142AC">
              <w:rPr>
                <w:rFonts w:ascii="Arial" w:hAnsi="Arial" w:cs="Arial"/>
                <w:b/>
                <w:bCs/>
                <w:sz w:val="20"/>
                <w:szCs w:val="20"/>
              </w:rPr>
              <w:t>Variables</w:t>
            </w:r>
          </w:p>
        </w:tc>
        <w:tc>
          <w:tcPr>
            <w:tcW w:w="6945" w:type="dxa"/>
            <w:gridSpan w:val="5"/>
            <w:tcBorders>
              <w:top w:val="single" w:sz="4" w:space="0" w:color="auto"/>
              <w:bottom w:val="nil"/>
            </w:tcBorders>
            <w:vAlign w:val="center"/>
            <w:hideMark/>
          </w:tcPr>
          <w:p w14:paraId="34B89E94" w14:textId="77777777" w:rsidR="00586B66" w:rsidRPr="009142AC" w:rsidRDefault="00586B66" w:rsidP="009142AC">
            <w:pPr>
              <w:spacing w:line="276" w:lineRule="auto"/>
              <w:jc w:val="center"/>
              <w:rPr>
                <w:rFonts w:ascii="Arial" w:hAnsi="Arial" w:cs="Arial"/>
                <w:b/>
                <w:bCs/>
                <w:sz w:val="20"/>
                <w:szCs w:val="20"/>
              </w:rPr>
            </w:pPr>
            <w:r w:rsidRPr="009142AC">
              <w:rPr>
                <w:rFonts w:ascii="Arial" w:hAnsi="Arial" w:cs="Arial"/>
                <w:b/>
                <w:bCs/>
                <w:sz w:val="20"/>
                <w:szCs w:val="20"/>
              </w:rPr>
              <w:t>Likert scale</w:t>
            </w:r>
          </w:p>
        </w:tc>
        <w:tc>
          <w:tcPr>
            <w:tcW w:w="1418" w:type="dxa"/>
            <w:vMerge w:val="restart"/>
            <w:tcBorders>
              <w:top w:val="single" w:sz="4" w:space="0" w:color="auto"/>
              <w:bottom w:val="nil"/>
            </w:tcBorders>
            <w:vAlign w:val="center"/>
            <w:hideMark/>
          </w:tcPr>
          <w:p w14:paraId="29A86BCF" w14:textId="25F145B8" w:rsidR="00586B66" w:rsidRPr="009142AC" w:rsidRDefault="00586B66" w:rsidP="009142AC">
            <w:pPr>
              <w:spacing w:line="276" w:lineRule="auto"/>
              <w:jc w:val="center"/>
              <w:rPr>
                <w:rFonts w:ascii="Arial" w:hAnsi="Arial" w:cs="Arial"/>
                <w:b/>
                <w:bCs/>
                <w:sz w:val="20"/>
                <w:szCs w:val="20"/>
              </w:rPr>
            </w:pPr>
            <w:r w:rsidRPr="009142AC">
              <w:rPr>
                <w:rFonts w:ascii="Arial" w:hAnsi="Arial" w:cs="Arial"/>
                <w:b/>
                <w:bCs/>
                <w:sz w:val="20"/>
                <w:szCs w:val="20"/>
              </w:rPr>
              <w:t>Mean</w:t>
            </w:r>
            <w:r w:rsidR="00B000ED" w:rsidRPr="009142AC">
              <w:rPr>
                <w:rFonts w:ascii="Arial" w:hAnsi="Arial" w:cs="Arial"/>
                <w:b/>
                <w:bCs/>
                <w:sz w:val="20"/>
                <w:szCs w:val="20"/>
              </w:rPr>
              <w:t xml:space="preserve"> </w:t>
            </w:r>
            <w:r w:rsidR="00B000ED" w:rsidRPr="009142AC">
              <w:rPr>
                <w:rFonts w:ascii="Arial" w:hAnsi="Arial" w:cs="Arial"/>
                <w:b/>
                <w:bCs/>
                <w:sz w:val="20"/>
                <w:szCs w:val="20"/>
                <w:u w:val="single"/>
              </w:rPr>
              <w:t xml:space="preserve">+ </w:t>
            </w:r>
            <w:r w:rsidR="00B000ED" w:rsidRPr="009142AC">
              <w:rPr>
                <w:rFonts w:ascii="Arial" w:hAnsi="Arial" w:cs="Arial"/>
                <w:b/>
                <w:bCs/>
                <w:sz w:val="20"/>
                <w:szCs w:val="20"/>
              </w:rPr>
              <w:t>SEM</w:t>
            </w:r>
          </w:p>
        </w:tc>
      </w:tr>
      <w:tr w:rsidR="00B000ED" w:rsidRPr="009142AC" w14:paraId="16BDCCF5" w14:textId="77777777" w:rsidTr="00365FA0">
        <w:tc>
          <w:tcPr>
            <w:tcW w:w="5524" w:type="dxa"/>
            <w:vMerge/>
            <w:tcBorders>
              <w:top w:val="nil"/>
              <w:bottom w:val="single" w:sz="4" w:space="0" w:color="auto"/>
            </w:tcBorders>
            <w:vAlign w:val="center"/>
            <w:hideMark/>
          </w:tcPr>
          <w:p w14:paraId="5B091D32" w14:textId="77777777" w:rsidR="00586B66" w:rsidRPr="009142AC" w:rsidRDefault="00586B66" w:rsidP="00B000ED">
            <w:pPr>
              <w:spacing w:line="240" w:lineRule="auto"/>
              <w:rPr>
                <w:rFonts w:ascii="Arial" w:hAnsi="Arial" w:cs="Arial"/>
                <w:b/>
                <w:bCs/>
                <w:sz w:val="20"/>
                <w:szCs w:val="20"/>
              </w:rPr>
            </w:pPr>
          </w:p>
        </w:tc>
        <w:tc>
          <w:tcPr>
            <w:tcW w:w="1275" w:type="dxa"/>
            <w:tcBorders>
              <w:top w:val="nil"/>
              <w:bottom w:val="single" w:sz="4" w:space="0" w:color="auto"/>
            </w:tcBorders>
            <w:vAlign w:val="center"/>
            <w:hideMark/>
          </w:tcPr>
          <w:p w14:paraId="07B1F2C4"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Strongly disagree</w:t>
            </w:r>
          </w:p>
        </w:tc>
        <w:tc>
          <w:tcPr>
            <w:tcW w:w="1418" w:type="dxa"/>
            <w:tcBorders>
              <w:top w:val="nil"/>
              <w:bottom w:val="single" w:sz="4" w:space="0" w:color="auto"/>
            </w:tcBorders>
            <w:vAlign w:val="center"/>
            <w:hideMark/>
          </w:tcPr>
          <w:p w14:paraId="50BAF662"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Disagree</w:t>
            </w:r>
          </w:p>
        </w:tc>
        <w:tc>
          <w:tcPr>
            <w:tcW w:w="1417" w:type="dxa"/>
            <w:tcBorders>
              <w:top w:val="nil"/>
              <w:bottom w:val="single" w:sz="4" w:space="0" w:color="auto"/>
            </w:tcBorders>
            <w:vAlign w:val="center"/>
            <w:hideMark/>
          </w:tcPr>
          <w:p w14:paraId="2F8AFBBF"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Indifferent</w:t>
            </w:r>
          </w:p>
        </w:tc>
        <w:tc>
          <w:tcPr>
            <w:tcW w:w="1418" w:type="dxa"/>
            <w:tcBorders>
              <w:top w:val="nil"/>
              <w:bottom w:val="single" w:sz="4" w:space="0" w:color="auto"/>
            </w:tcBorders>
            <w:vAlign w:val="center"/>
            <w:hideMark/>
          </w:tcPr>
          <w:p w14:paraId="01E8A8AE"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Agree</w:t>
            </w:r>
          </w:p>
        </w:tc>
        <w:tc>
          <w:tcPr>
            <w:tcW w:w="1417" w:type="dxa"/>
            <w:tcBorders>
              <w:top w:val="nil"/>
              <w:bottom w:val="single" w:sz="4" w:space="0" w:color="auto"/>
            </w:tcBorders>
            <w:vAlign w:val="center"/>
            <w:hideMark/>
          </w:tcPr>
          <w:p w14:paraId="559BC9F7"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Strongly Agree</w:t>
            </w:r>
          </w:p>
        </w:tc>
        <w:tc>
          <w:tcPr>
            <w:tcW w:w="1418" w:type="dxa"/>
            <w:vMerge/>
            <w:tcBorders>
              <w:top w:val="nil"/>
              <w:bottom w:val="single" w:sz="4" w:space="0" w:color="auto"/>
            </w:tcBorders>
            <w:vAlign w:val="center"/>
            <w:hideMark/>
          </w:tcPr>
          <w:p w14:paraId="549FEFC2" w14:textId="77777777" w:rsidR="00586B66" w:rsidRPr="009142AC" w:rsidRDefault="00586B66" w:rsidP="00B000ED">
            <w:pPr>
              <w:spacing w:line="240" w:lineRule="auto"/>
              <w:rPr>
                <w:rFonts w:ascii="Arial" w:hAnsi="Arial" w:cs="Arial"/>
                <w:b/>
                <w:bCs/>
                <w:sz w:val="20"/>
                <w:szCs w:val="20"/>
              </w:rPr>
            </w:pPr>
          </w:p>
        </w:tc>
      </w:tr>
      <w:tr w:rsidR="00B000ED" w:rsidRPr="009142AC" w14:paraId="06427C50" w14:textId="77777777" w:rsidTr="00365FA0">
        <w:tc>
          <w:tcPr>
            <w:tcW w:w="5524" w:type="dxa"/>
            <w:tcBorders>
              <w:top w:val="single" w:sz="4" w:space="0" w:color="auto"/>
              <w:bottom w:val="single" w:sz="4" w:space="0" w:color="auto"/>
            </w:tcBorders>
            <w:vAlign w:val="center"/>
            <w:hideMark/>
          </w:tcPr>
          <w:p w14:paraId="0A6C8090"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Energy drinks are an effective way to boost energy and concentration, especially during studies.</w:t>
            </w:r>
          </w:p>
        </w:tc>
        <w:tc>
          <w:tcPr>
            <w:tcW w:w="1275" w:type="dxa"/>
            <w:tcBorders>
              <w:top w:val="single" w:sz="4" w:space="0" w:color="auto"/>
              <w:bottom w:val="single" w:sz="4" w:space="0" w:color="auto"/>
            </w:tcBorders>
            <w:vAlign w:val="center"/>
            <w:hideMark/>
          </w:tcPr>
          <w:p w14:paraId="7F8CD892"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8(2.1%)</w:t>
            </w:r>
          </w:p>
        </w:tc>
        <w:tc>
          <w:tcPr>
            <w:tcW w:w="1418" w:type="dxa"/>
            <w:tcBorders>
              <w:top w:val="single" w:sz="4" w:space="0" w:color="auto"/>
              <w:bottom w:val="single" w:sz="4" w:space="0" w:color="auto"/>
            </w:tcBorders>
            <w:vAlign w:val="center"/>
            <w:hideMark/>
          </w:tcPr>
          <w:p w14:paraId="595D4516"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67(17.7%)</w:t>
            </w:r>
          </w:p>
        </w:tc>
        <w:tc>
          <w:tcPr>
            <w:tcW w:w="1417" w:type="dxa"/>
            <w:tcBorders>
              <w:top w:val="single" w:sz="4" w:space="0" w:color="auto"/>
              <w:bottom w:val="single" w:sz="4" w:space="0" w:color="auto"/>
            </w:tcBorders>
            <w:vAlign w:val="center"/>
            <w:hideMark/>
          </w:tcPr>
          <w:p w14:paraId="6A303422"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74(19.6%)</w:t>
            </w:r>
          </w:p>
        </w:tc>
        <w:tc>
          <w:tcPr>
            <w:tcW w:w="1418" w:type="dxa"/>
            <w:tcBorders>
              <w:top w:val="single" w:sz="4" w:space="0" w:color="auto"/>
              <w:bottom w:val="single" w:sz="4" w:space="0" w:color="auto"/>
            </w:tcBorders>
            <w:vAlign w:val="center"/>
            <w:hideMark/>
          </w:tcPr>
          <w:p w14:paraId="564CDFB5"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173(45.8%)</w:t>
            </w:r>
          </w:p>
        </w:tc>
        <w:tc>
          <w:tcPr>
            <w:tcW w:w="1417" w:type="dxa"/>
            <w:tcBorders>
              <w:top w:val="single" w:sz="4" w:space="0" w:color="auto"/>
              <w:bottom w:val="single" w:sz="4" w:space="0" w:color="auto"/>
            </w:tcBorders>
            <w:vAlign w:val="center"/>
          </w:tcPr>
          <w:p w14:paraId="5E2EF70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56(14.8%)</w:t>
            </w:r>
          </w:p>
        </w:tc>
        <w:tc>
          <w:tcPr>
            <w:tcW w:w="1418" w:type="dxa"/>
            <w:tcBorders>
              <w:top w:val="single" w:sz="4" w:space="0" w:color="auto"/>
              <w:bottom w:val="single" w:sz="4" w:space="0" w:color="auto"/>
            </w:tcBorders>
            <w:vAlign w:val="center"/>
            <w:hideMark/>
          </w:tcPr>
          <w:p w14:paraId="4AC86E76"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2.46</w:t>
            </w:r>
            <w:r w:rsidRPr="009142AC">
              <w:rPr>
                <w:rFonts w:ascii="Arial" w:hAnsi="Arial" w:cs="Arial"/>
                <w:bCs/>
                <w:sz w:val="20"/>
                <w:szCs w:val="20"/>
                <w:u w:val="single"/>
              </w:rPr>
              <w:t>+</w:t>
            </w:r>
            <w:r w:rsidRPr="009142AC">
              <w:rPr>
                <w:rFonts w:ascii="Arial" w:hAnsi="Arial" w:cs="Arial"/>
                <w:bCs/>
                <w:sz w:val="20"/>
                <w:szCs w:val="20"/>
              </w:rPr>
              <w:t>1.022</w:t>
            </w:r>
          </w:p>
        </w:tc>
      </w:tr>
      <w:tr w:rsidR="00B000ED" w:rsidRPr="009142AC" w14:paraId="02DF1BD8" w14:textId="77777777" w:rsidTr="00365FA0">
        <w:tc>
          <w:tcPr>
            <w:tcW w:w="5524" w:type="dxa"/>
            <w:tcBorders>
              <w:top w:val="single" w:sz="4" w:space="0" w:color="auto"/>
              <w:bottom w:val="single" w:sz="4" w:space="0" w:color="auto"/>
            </w:tcBorders>
            <w:vAlign w:val="center"/>
            <w:hideMark/>
          </w:tcPr>
          <w:p w14:paraId="20D36D7D" w14:textId="56036BC8"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I believe that the benefits of energy drink consumption outweigh the potential risks.</w:t>
            </w:r>
          </w:p>
        </w:tc>
        <w:tc>
          <w:tcPr>
            <w:tcW w:w="1275" w:type="dxa"/>
            <w:tcBorders>
              <w:top w:val="single" w:sz="4" w:space="0" w:color="auto"/>
              <w:bottom w:val="single" w:sz="4" w:space="0" w:color="auto"/>
            </w:tcBorders>
            <w:vAlign w:val="center"/>
            <w:hideMark/>
          </w:tcPr>
          <w:p w14:paraId="6A1C16A5"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20(5.3%)</w:t>
            </w:r>
          </w:p>
        </w:tc>
        <w:tc>
          <w:tcPr>
            <w:tcW w:w="1418" w:type="dxa"/>
            <w:tcBorders>
              <w:top w:val="single" w:sz="4" w:space="0" w:color="auto"/>
              <w:bottom w:val="single" w:sz="4" w:space="0" w:color="auto"/>
            </w:tcBorders>
            <w:vAlign w:val="center"/>
            <w:hideMark/>
          </w:tcPr>
          <w:p w14:paraId="529DA7A9"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123(32.5%)</w:t>
            </w:r>
          </w:p>
        </w:tc>
        <w:tc>
          <w:tcPr>
            <w:tcW w:w="1417" w:type="dxa"/>
            <w:tcBorders>
              <w:top w:val="single" w:sz="4" w:space="0" w:color="auto"/>
              <w:bottom w:val="single" w:sz="4" w:space="0" w:color="auto"/>
            </w:tcBorders>
            <w:vAlign w:val="center"/>
            <w:hideMark/>
          </w:tcPr>
          <w:p w14:paraId="0535D192"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52(13.8%)</w:t>
            </w:r>
          </w:p>
        </w:tc>
        <w:tc>
          <w:tcPr>
            <w:tcW w:w="1418" w:type="dxa"/>
            <w:tcBorders>
              <w:top w:val="single" w:sz="4" w:space="0" w:color="auto"/>
              <w:bottom w:val="single" w:sz="4" w:space="0" w:color="auto"/>
            </w:tcBorders>
            <w:vAlign w:val="center"/>
            <w:hideMark/>
          </w:tcPr>
          <w:p w14:paraId="7CB572FA"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149(39.4%)</w:t>
            </w:r>
          </w:p>
        </w:tc>
        <w:tc>
          <w:tcPr>
            <w:tcW w:w="1417" w:type="dxa"/>
            <w:tcBorders>
              <w:top w:val="single" w:sz="4" w:space="0" w:color="auto"/>
              <w:bottom w:val="single" w:sz="4" w:space="0" w:color="auto"/>
            </w:tcBorders>
            <w:vAlign w:val="center"/>
          </w:tcPr>
          <w:p w14:paraId="5808CFB7"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34(9.0%)</w:t>
            </w:r>
          </w:p>
        </w:tc>
        <w:tc>
          <w:tcPr>
            <w:tcW w:w="1418" w:type="dxa"/>
            <w:tcBorders>
              <w:top w:val="single" w:sz="4" w:space="0" w:color="auto"/>
              <w:bottom w:val="single" w:sz="4" w:space="0" w:color="auto"/>
            </w:tcBorders>
            <w:vAlign w:val="center"/>
            <w:hideMark/>
          </w:tcPr>
          <w:p w14:paraId="651572B9"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2.03</w:t>
            </w:r>
            <w:r w:rsidRPr="009142AC">
              <w:rPr>
                <w:rFonts w:ascii="Arial" w:hAnsi="Arial" w:cs="Arial"/>
                <w:bCs/>
                <w:sz w:val="20"/>
                <w:szCs w:val="20"/>
                <w:u w:val="single"/>
              </w:rPr>
              <w:t>+</w:t>
            </w:r>
            <w:r w:rsidRPr="009142AC">
              <w:rPr>
                <w:rFonts w:ascii="Arial" w:hAnsi="Arial" w:cs="Arial"/>
                <w:bCs/>
                <w:sz w:val="20"/>
                <w:szCs w:val="20"/>
              </w:rPr>
              <w:t>1.105</w:t>
            </w:r>
          </w:p>
        </w:tc>
      </w:tr>
      <w:tr w:rsidR="00B000ED" w:rsidRPr="009142AC" w14:paraId="3EBD3428" w14:textId="77777777" w:rsidTr="00365FA0">
        <w:tc>
          <w:tcPr>
            <w:tcW w:w="5524" w:type="dxa"/>
            <w:tcBorders>
              <w:top w:val="single" w:sz="4" w:space="0" w:color="auto"/>
              <w:bottom w:val="single" w:sz="4" w:space="0" w:color="auto"/>
            </w:tcBorders>
            <w:vAlign w:val="center"/>
            <w:hideMark/>
          </w:tcPr>
          <w:p w14:paraId="443BF1E1"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Energy drinks pose significant health risks.</w:t>
            </w:r>
          </w:p>
        </w:tc>
        <w:tc>
          <w:tcPr>
            <w:tcW w:w="1275" w:type="dxa"/>
            <w:tcBorders>
              <w:top w:val="single" w:sz="4" w:space="0" w:color="auto"/>
              <w:bottom w:val="single" w:sz="4" w:space="0" w:color="auto"/>
            </w:tcBorders>
            <w:vAlign w:val="center"/>
            <w:hideMark/>
          </w:tcPr>
          <w:p w14:paraId="4ABB185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6(1.6%)</w:t>
            </w:r>
          </w:p>
        </w:tc>
        <w:tc>
          <w:tcPr>
            <w:tcW w:w="1418" w:type="dxa"/>
            <w:tcBorders>
              <w:top w:val="single" w:sz="4" w:space="0" w:color="auto"/>
              <w:bottom w:val="single" w:sz="4" w:space="0" w:color="auto"/>
            </w:tcBorders>
            <w:vAlign w:val="center"/>
            <w:hideMark/>
          </w:tcPr>
          <w:p w14:paraId="06A2672E"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36(9.5%)</w:t>
            </w:r>
          </w:p>
        </w:tc>
        <w:tc>
          <w:tcPr>
            <w:tcW w:w="1417" w:type="dxa"/>
            <w:tcBorders>
              <w:top w:val="single" w:sz="4" w:space="0" w:color="auto"/>
              <w:bottom w:val="single" w:sz="4" w:space="0" w:color="auto"/>
            </w:tcBorders>
            <w:vAlign w:val="center"/>
            <w:hideMark/>
          </w:tcPr>
          <w:p w14:paraId="1F5CF674"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44(11.6%)</w:t>
            </w:r>
          </w:p>
        </w:tc>
        <w:tc>
          <w:tcPr>
            <w:tcW w:w="1418" w:type="dxa"/>
            <w:tcBorders>
              <w:top w:val="single" w:sz="4" w:space="0" w:color="auto"/>
              <w:bottom w:val="single" w:sz="4" w:space="0" w:color="auto"/>
            </w:tcBorders>
            <w:vAlign w:val="center"/>
            <w:hideMark/>
          </w:tcPr>
          <w:p w14:paraId="4C677018"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178(47.1%)</w:t>
            </w:r>
          </w:p>
        </w:tc>
        <w:tc>
          <w:tcPr>
            <w:tcW w:w="1417" w:type="dxa"/>
            <w:tcBorders>
              <w:top w:val="single" w:sz="4" w:space="0" w:color="auto"/>
              <w:bottom w:val="single" w:sz="4" w:space="0" w:color="auto"/>
            </w:tcBorders>
            <w:vAlign w:val="center"/>
            <w:hideMark/>
          </w:tcPr>
          <w:p w14:paraId="37442C26"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114(30.2%)</w:t>
            </w:r>
          </w:p>
        </w:tc>
        <w:tc>
          <w:tcPr>
            <w:tcW w:w="1418" w:type="dxa"/>
            <w:tcBorders>
              <w:top w:val="single" w:sz="4" w:space="0" w:color="auto"/>
              <w:bottom w:val="single" w:sz="4" w:space="0" w:color="auto"/>
            </w:tcBorders>
            <w:vAlign w:val="center"/>
            <w:hideMark/>
          </w:tcPr>
          <w:p w14:paraId="4D5E8911"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2.99</w:t>
            </w:r>
            <w:r w:rsidRPr="009142AC">
              <w:rPr>
                <w:rFonts w:ascii="Arial" w:hAnsi="Arial" w:cs="Arial"/>
                <w:bCs/>
                <w:sz w:val="20"/>
                <w:szCs w:val="20"/>
                <w:u w:val="single"/>
              </w:rPr>
              <w:t>+</w:t>
            </w:r>
            <w:r w:rsidRPr="009142AC">
              <w:rPr>
                <w:rFonts w:ascii="Arial" w:hAnsi="Arial" w:cs="Arial"/>
                <w:bCs/>
                <w:sz w:val="20"/>
                <w:szCs w:val="20"/>
              </w:rPr>
              <w:t xml:space="preserve"> 0.970</w:t>
            </w:r>
          </w:p>
        </w:tc>
      </w:tr>
      <w:tr w:rsidR="00B000ED" w:rsidRPr="009142AC" w14:paraId="5AFECF8D" w14:textId="77777777" w:rsidTr="00365FA0">
        <w:trPr>
          <w:trHeight w:val="570"/>
        </w:trPr>
        <w:tc>
          <w:tcPr>
            <w:tcW w:w="5524" w:type="dxa"/>
            <w:tcBorders>
              <w:top w:val="single" w:sz="4" w:space="0" w:color="auto"/>
              <w:bottom w:val="single" w:sz="4" w:space="0" w:color="auto"/>
            </w:tcBorders>
            <w:vAlign w:val="center"/>
            <w:hideMark/>
          </w:tcPr>
          <w:p w14:paraId="7B86BA58"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Energy drink advertisements positively influence my perception of these products.</w:t>
            </w:r>
          </w:p>
        </w:tc>
        <w:tc>
          <w:tcPr>
            <w:tcW w:w="1275" w:type="dxa"/>
            <w:tcBorders>
              <w:top w:val="single" w:sz="4" w:space="0" w:color="auto"/>
              <w:bottom w:val="single" w:sz="4" w:space="0" w:color="auto"/>
            </w:tcBorders>
            <w:vAlign w:val="center"/>
            <w:hideMark/>
          </w:tcPr>
          <w:p w14:paraId="7AA7BDA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14(3.7%)</w:t>
            </w:r>
          </w:p>
        </w:tc>
        <w:tc>
          <w:tcPr>
            <w:tcW w:w="1418" w:type="dxa"/>
            <w:tcBorders>
              <w:top w:val="single" w:sz="4" w:space="0" w:color="auto"/>
              <w:bottom w:val="single" w:sz="4" w:space="0" w:color="auto"/>
            </w:tcBorders>
            <w:vAlign w:val="center"/>
            <w:hideMark/>
          </w:tcPr>
          <w:p w14:paraId="10246B7E"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65(17.2%)</w:t>
            </w:r>
          </w:p>
        </w:tc>
        <w:tc>
          <w:tcPr>
            <w:tcW w:w="1417" w:type="dxa"/>
            <w:tcBorders>
              <w:top w:val="single" w:sz="4" w:space="0" w:color="auto"/>
              <w:bottom w:val="single" w:sz="4" w:space="0" w:color="auto"/>
            </w:tcBorders>
            <w:vAlign w:val="center"/>
            <w:hideMark/>
          </w:tcPr>
          <w:p w14:paraId="603C8BED"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100(26.5%)</w:t>
            </w:r>
          </w:p>
        </w:tc>
        <w:tc>
          <w:tcPr>
            <w:tcW w:w="1418" w:type="dxa"/>
            <w:tcBorders>
              <w:top w:val="single" w:sz="4" w:space="0" w:color="auto"/>
              <w:bottom w:val="single" w:sz="4" w:space="0" w:color="auto"/>
            </w:tcBorders>
            <w:vAlign w:val="center"/>
            <w:hideMark/>
          </w:tcPr>
          <w:p w14:paraId="0DD0E40F"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156(41.3%)</w:t>
            </w:r>
          </w:p>
        </w:tc>
        <w:tc>
          <w:tcPr>
            <w:tcW w:w="1417" w:type="dxa"/>
            <w:tcBorders>
              <w:top w:val="single" w:sz="4" w:space="0" w:color="auto"/>
              <w:bottom w:val="single" w:sz="4" w:space="0" w:color="auto"/>
            </w:tcBorders>
            <w:vAlign w:val="center"/>
            <w:hideMark/>
          </w:tcPr>
          <w:p w14:paraId="21C9C893"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43(11.4%)</w:t>
            </w:r>
          </w:p>
        </w:tc>
        <w:tc>
          <w:tcPr>
            <w:tcW w:w="1418" w:type="dxa"/>
            <w:tcBorders>
              <w:top w:val="single" w:sz="4" w:space="0" w:color="auto"/>
              <w:bottom w:val="single" w:sz="4" w:space="0" w:color="auto"/>
            </w:tcBorders>
            <w:vAlign w:val="center"/>
            <w:hideMark/>
          </w:tcPr>
          <w:p w14:paraId="552080E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2.36</w:t>
            </w:r>
            <w:r w:rsidRPr="009142AC">
              <w:rPr>
                <w:rFonts w:ascii="Arial" w:hAnsi="Arial" w:cs="Arial"/>
                <w:bCs/>
                <w:sz w:val="20"/>
                <w:szCs w:val="20"/>
                <w:u w:val="single"/>
              </w:rPr>
              <w:t>+</w:t>
            </w:r>
            <w:r w:rsidRPr="009142AC">
              <w:rPr>
                <w:rFonts w:ascii="Arial" w:hAnsi="Arial" w:cs="Arial"/>
                <w:bCs/>
                <w:sz w:val="20"/>
                <w:szCs w:val="20"/>
              </w:rPr>
              <w:t>1.046</w:t>
            </w:r>
          </w:p>
        </w:tc>
      </w:tr>
      <w:tr w:rsidR="00365FA0" w:rsidRPr="009142AC" w14:paraId="4AEBE3E8" w14:textId="77777777" w:rsidTr="0050509C">
        <w:trPr>
          <w:trHeight w:val="243"/>
        </w:trPr>
        <w:tc>
          <w:tcPr>
            <w:tcW w:w="13887" w:type="dxa"/>
            <w:gridSpan w:val="7"/>
            <w:tcBorders>
              <w:top w:val="single" w:sz="4" w:space="0" w:color="auto"/>
              <w:bottom w:val="single" w:sz="4" w:space="0" w:color="auto"/>
            </w:tcBorders>
            <w:vAlign w:val="center"/>
          </w:tcPr>
          <w:p w14:paraId="7FDC8BCB" w14:textId="77777777" w:rsidR="00365FA0" w:rsidRPr="009142AC" w:rsidRDefault="00365FA0" w:rsidP="00B000ED">
            <w:pPr>
              <w:spacing w:line="240" w:lineRule="auto"/>
              <w:rPr>
                <w:rFonts w:ascii="Arial" w:hAnsi="Arial" w:cs="Arial"/>
                <w:bCs/>
                <w:sz w:val="20"/>
                <w:szCs w:val="20"/>
              </w:rPr>
            </w:pPr>
          </w:p>
        </w:tc>
      </w:tr>
      <w:tr w:rsidR="00B000ED" w:rsidRPr="009142AC" w14:paraId="610F6F9F" w14:textId="77777777" w:rsidTr="00365FA0">
        <w:trPr>
          <w:trHeight w:val="185"/>
        </w:trPr>
        <w:tc>
          <w:tcPr>
            <w:tcW w:w="5524" w:type="dxa"/>
            <w:tcBorders>
              <w:top w:val="single" w:sz="4" w:space="0" w:color="auto"/>
              <w:bottom w:val="single" w:sz="4" w:space="0" w:color="auto"/>
            </w:tcBorders>
            <w:vAlign w:val="center"/>
          </w:tcPr>
          <w:p w14:paraId="0E424A93" w14:textId="3F1E0081" w:rsidR="00B000ED" w:rsidRPr="009142AC" w:rsidRDefault="00B000ED" w:rsidP="00B000ED">
            <w:pPr>
              <w:spacing w:line="240" w:lineRule="auto"/>
              <w:rPr>
                <w:rFonts w:ascii="Arial" w:hAnsi="Arial" w:cs="Arial"/>
                <w:b/>
                <w:bCs/>
                <w:sz w:val="20"/>
                <w:szCs w:val="20"/>
              </w:rPr>
            </w:pPr>
            <w:r w:rsidRPr="009142AC">
              <w:rPr>
                <w:rFonts w:ascii="Arial" w:hAnsi="Arial" w:cs="Arial"/>
                <w:b/>
                <w:bCs/>
                <w:sz w:val="20"/>
                <w:szCs w:val="20"/>
              </w:rPr>
              <w:t>Attitude level</w:t>
            </w:r>
          </w:p>
        </w:tc>
        <w:tc>
          <w:tcPr>
            <w:tcW w:w="4110" w:type="dxa"/>
            <w:gridSpan w:val="3"/>
            <w:tcBorders>
              <w:top w:val="single" w:sz="4" w:space="0" w:color="auto"/>
              <w:bottom w:val="single" w:sz="4" w:space="0" w:color="auto"/>
            </w:tcBorders>
            <w:vAlign w:val="center"/>
          </w:tcPr>
          <w:p w14:paraId="3DAC50B5" w14:textId="39FD0FA1" w:rsidR="00B000ED" w:rsidRPr="009142AC" w:rsidRDefault="00B000ED" w:rsidP="00B000ED">
            <w:pPr>
              <w:spacing w:line="240" w:lineRule="auto"/>
              <w:rPr>
                <w:rFonts w:ascii="Arial" w:hAnsi="Arial" w:cs="Arial"/>
                <w:b/>
                <w:bCs/>
                <w:sz w:val="20"/>
                <w:szCs w:val="20"/>
              </w:rPr>
            </w:pPr>
            <w:r w:rsidRPr="009142AC">
              <w:rPr>
                <w:rFonts w:ascii="Arial" w:hAnsi="Arial" w:cs="Arial"/>
                <w:b/>
                <w:bCs/>
                <w:sz w:val="20"/>
                <w:szCs w:val="20"/>
              </w:rPr>
              <w:t>Frequency(n=378)</w:t>
            </w:r>
          </w:p>
        </w:tc>
        <w:tc>
          <w:tcPr>
            <w:tcW w:w="4253" w:type="dxa"/>
            <w:gridSpan w:val="3"/>
            <w:tcBorders>
              <w:top w:val="single" w:sz="4" w:space="0" w:color="auto"/>
              <w:bottom w:val="single" w:sz="4" w:space="0" w:color="auto"/>
            </w:tcBorders>
            <w:vAlign w:val="center"/>
          </w:tcPr>
          <w:p w14:paraId="3C429308" w14:textId="17A3F942" w:rsidR="00B000ED" w:rsidRPr="009142AC" w:rsidRDefault="00B000ED" w:rsidP="00B000ED">
            <w:pPr>
              <w:spacing w:line="240" w:lineRule="auto"/>
              <w:rPr>
                <w:rFonts w:ascii="Arial" w:hAnsi="Arial" w:cs="Arial"/>
                <w:b/>
                <w:bCs/>
                <w:sz w:val="20"/>
                <w:szCs w:val="20"/>
              </w:rPr>
            </w:pPr>
            <w:r w:rsidRPr="009142AC">
              <w:rPr>
                <w:rFonts w:ascii="Arial" w:hAnsi="Arial" w:cs="Arial"/>
                <w:b/>
                <w:bCs/>
                <w:sz w:val="20"/>
                <w:szCs w:val="20"/>
              </w:rPr>
              <w:t>Percentage (%)</w:t>
            </w:r>
          </w:p>
        </w:tc>
      </w:tr>
      <w:tr w:rsidR="00B000ED" w:rsidRPr="009142AC" w14:paraId="4D12C904" w14:textId="77777777" w:rsidTr="00365FA0">
        <w:trPr>
          <w:trHeight w:val="331"/>
        </w:trPr>
        <w:tc>
          <w:tcPr>
            <w:tcW w:w="5524" w:type="dxa"/>
            <w:tcBorders>
              <w:top w:val="single" w:sz="4" w:space="0" w:color="auto"/>
            </w:tcBorders>
            <w:vAlign w:val="center"/>
          </w:tcPr>
          <w:p w14:paraId="24DD58AB" w14:textId="35DF0750"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Appropriate attitude</w:t>
            </w:r>
          </w:p>
        </w:tc>
        <w:tc>
          <w:tcPr>
            <w:tcW w:w="4110" w:type="dxa"/>
            <w:gridSpan w:val="3"/>
            <w:tcBorders>
              <w:top w:val="single" w:sz="4" w:space="0" w:color="auto"/>
            </w:tcBorders>
            <w:vAlign w:val="center"/>
          </w:tcPr>
          <w:p w14:paraId="56459281" w14:textId="444BC254"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221</w:t>
            </w:r>
          </w:p>
        </w:tc>
        <w:tc>
          <w:tcPr>
            <w:tcW w:w="4253" w:type="dxa"/>
            <w:gridSpan w:val="3"/>
            <w:tcBorders>
              <w:top w:val="single" w:sz="4" w:space="0" w:color="auto"/>
            </w:tcBorders>
            <w:vAlign w:val="center"/>
          </w:tcPr>
          <w:p w14:paraId="1FB064AB" w14:textId="72B290C5"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58.5</w:t>
            </w:r>
          </w:p>
        </w:tc>
      </w:tr>
      <w:tr w:rsidR="00B000ED" w:rsidRPr="009142AC" w14:paraId="28355043" w14:textId="77777777" w:rsidTr="00365FA0">
        <w:trPr>
          <w:trHeight w:val="278"/>
        </w:trPr>
        <w:tc>
          <w:tcPr>
            <w:tcW w:w="5524" w:type="dxa"/>
            <w:vAlign w:val="center"/>
          </w:tcPr>
          <w:p w14:paraId="6484EDAE" w14:textId="690E56A8"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Inappropriate attitude</w:t>
            </w:r>
          </w:p>
        </w:tc>
        <w:tc>
          <w:tcPr>
            <w:tcW w:w="4110" w:type="dxa"/>
            <w:gridSpan w:val="3"/>
            <w:vAlign w:val="center"/>
          </w:tcPr>
          <w:p w14:paraId="7B2A96E6" w14:textId="6C5DFE12"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157</w:t>
            </w:r>
          </w:p>
        </w:tc>
        <w:tc>
          <w:tcPr>
            <w:tcW w:w="4253" w:type="dxa"/>
            <w:gridSpan w:val="3"/>
            <w:vAlign w:val="center"/>
          </w:tcPr>
          <w:p w14:paraId="698B8334" w14:textId="406C89A6"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41.5</w:t>
            </w:r>
          </w:p>
        </w:tc>
      </w:tr>
    </w:tbl>
    <w:p w14:paraId="1352D95C" w14:textId="25147BE1" w:rsidR="00365FA0" w:rsidRPr="00365FA0" w:rsidRDefault="00365FA0" w:rsidP="00365FA0">
      <w:pPr>
        <w:rPr>
          <w:rFonts w:ascii="Arial" w:hAnsi="Arial" w:cs="Arial"/>
          <w:i/>
          <w:iCs/>
          <w:sz w:val="18"/>
          <w:szCs w:val="18"/>
        </w:rPr>
        <w:sectPr w:rsidR="00365FA0" w:rsidRPr="00365FA0" w:rsidSect="004E283F">
          <w:pgSz w:w="16838" w:h="11906" w:orient="landscape"/>
          <w:pgMar w:top="1440" w:right="1440" w:bottom="1440" w:left="1440" w:header="708" w:footer="708" w:gutter="0"/>
          <w:cols w:space="708"/>
          <w:docGrid w:linePitch="360"/>
        </w:sectPr>
      </w:pPr>
      <w:r w:rsidRPr="00365FA0">
        <w:rPr>
          <w:rFonts w:ascii="Arial" w:hAnsi="Arial" w:cs="Arial"/>
          <w:i/>
          <w:iCs/>
          <w:sz w:val="18"/>
          <w:szCs w:val="18"/>
        </w:rPr>
        <w:t>SEM: Standard Error of Mean</w:t>
      </w:r>
    </w:p>
    <w:p w14:paraId="72877673" w14:textId="4689EFD3" w:rsidR="00586B66" w:rsidRPr="009142AC" w:rsidRDefault="00586B66" w:rsidP="00DB5AAD">
      <w:pPr>
        <w:spacing w:after="0" w:line="276" w:lineRule="auto"/>
        <w:rPr>
          <w:rFonts w:ascii="Arial" w:hAnsi="Arial" w:cs="Arial"/>
          <w:b/>
          <w:bCs/>
          <w:sz w:val="20"/>
          <w:szCs w:val="20"/>
        </w:rPr>
      </w:pPr>
      <w:bookmarkStart w:id="25" w:name="_Toc208394263"/>
      <w:bookmarkStart w:id="26" w:name="_Toc208394450"/>
      <w:r w:rsidRPr="009142AC">
        <w:rPr>
          <w:rFonts w:ascii="Arial" w:hAnsi="Arial" w:cs="Arial"/>
          <w:b/>
          <w:bCs/>
          <w:sz w:val="20"/>
          <w:szCs w:val="20"/>
        </w:rPr>
        <w:lastRenderedPageBreak/>
        <w:t>Table 5</w:t>
      </w:r>
      <w:r w:rsidR="009142AC" w:rsidRPr="009142AC">
        <w:rPr>
          <w:rFonts w:ascii="Arial" w:hAnsi="Arial" w:cs="Arial"/>
          <w:b/>
          <w:bCs/>
          <w:sz w:val="20"/>
          <w:szCs w:val="20"/>
        </w:rPr>
        <w:t>.</w:t>
      </w:r>
      <w:r w:rsidRPr="009142AC">
        <w:rPr>
          <w:rFonts w:ascii="Arial" w:hAnsi="Arial" w:cs="Arial"/>
          <w:b/>
          <w:bCs/>
          <w:sz w:val="20"/>
          <w:szCs w:val="20"/>
        </w:rPr>
        <w:t xml:space="preserve"> Practice of energy drink consumption among undergraduate university students in Rivers State</w:t>
      </w:r>
      <w:bookmarkEnd w:id="25"/>
      <w:bookmarkEnd w:id="26"/>
    </w:p>
    <w:tbl>
      <w:tblPr>
        <w:tblStyle w:val="TableGrid"/>
        <w:tblW w:w="510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1562"/>
        <w:gridCol w:w="1846"/>
      </w:tblGrid>
      <w:tr w:rsidR="00586B66" w:rsidRPr="009142AC" w14:paraId="00FB2F5E" w14:textId="77777777" w:rsidTr="008D3401">
        <w:trPr>
          <w:trHeight w:val="310"/>
        </w:trPr>
        <w:tc>
          <w:tcPr>
            <w:tcW w:w="3152" w:type="pct"/>
            <w:tcBorders>
              <w:top w:val="single" w:sz="4" w:space="0" w:color="auto"/>
              <w:bottom w:val="single" w:sz="4" w:space="0" w:color="auto"/>
            </w:tcBorders>
            <w:hideMark/>
          </w:tcPr>
          <w:p w14:paraId="51D805F9" w14:textId="7F1D06B1" w:rsidR="00586B66" w:rsidRPr="009142AC" w:rsidRDefault="00586B66" w:rsidP="00B000ED">
            <w:pPr>
              <w:spacing w:line="240" w:lineRule="auto"/>
              <w:rPr>
                <w:rFonts w:ascii="Arial" w:hAnsi="Arial" w:cs="Arial"/>
                <w:b/>
                <w:sz w:val="20"/>
                <w:szCs w:val="20"/>
              </w:rPr>
            </w:pPr>
            <w:r w:rsidRPr="009142AC">
              <w:rPr>
                <w:rFonts w:ascii="Arial" w:hAnsi="Arial" w:cs="Arial"/>
                <w:b/>
                <w:sz w:val="20"/>
                <w:szCs w:val="20"/>
              </w:rPr>
              <w:t>Variables</w:t>
            </w:r>
          </w:p>
        </w:tc>
        <w:tc>
          <w:tcPr>
            <w:tcW w:w="847" w:type="pct"/>
            <w:tcBorders>
              <w:top w:val="single" w:sz="4" w:space="0" w:color="auto"/>
              <w:bottom w:val="single" w:sz="4" w:space="0" w:color="auto"/>
            </w:tcBorders>
            <w:hideMark/>
          </w:tcPr>
          <w:p w14:paraId="676A0662" w14:textId="77777777" w:rsidR="00586B66" w:rsidRPr="009142AC" w:rsidRDefault="00586B66" w:rsidP="00B000ED">
            <w:pPr>
              <w:spacing w:line="240" w:lineRule="auto"/>
              <w:rPr>
                <w:rFonts w:ascii="Arial" w:hAnsi="Arial" w:cs="Arial"/>
                <w:b/>
                <w:sz w:val="20"/>
                <w:szCs w:val="20"/>
              </w:rPr>
            </w:pPr>
            <w:r w:rsidRPr="009142AC">
              <w:rPr>
                <w:rFonts w:ascii="Arial" w:hAnsi="Arial" w:cs="Arial"/>
                <w:b/>
                <w:sz w:val="20"/>
                <w:szCs w:val="20"/>
              </w:rPr>
              <w:t>Frequency</w:t>
            </w:r>
          </w:p>
        </w:tc>
        <w:tc>
          <w:tcPr>
            <w:tcW w:w="1001" w:type="pct"/>
            <w:tcBorders>
              <w:top w:val="single" w:sz="4" w:space="0" w:color="auto"/>
              <w:bottom w:val="single" w:sz="4" w:space="0" w:color="auto"/>
            </w:tcBorders>
            <w:hideMark/>
          </w:tcPr>
          <w:p w14:paraId="6983D124" w14:textId="77777777" w:rsidR="00586B66" w:rsidRPr="009142AC" w:rsidRDefault="00586B66" w:rsidP="00B000ED">
            <w:pPr>
              <w:spacing w:line="240" w:lineRule="auto"/>
              <w:rPr>
                <w:rFonts w:ascii="Arial" w:hAnsi="Arial" w:cs="Arial"/>
                <w:b/>
                <w:sz w:val="20"/>
                <w:szCs w:val="20"/>
              </w:rPr>
            </w:pPr>
            <w:r w:rsidRPr="009142AC">
              <w:rPr>
                <w:rFonts w:ascii="Arial" w:hAnsi="Arial" w:cs="Arial"/>
                <w:b/>
                <w:sz w:val="20"/>
                <w:szCs w:val="20"/>
              </w:rPr>
              <w:t>Percentage (%)</w:t>
            </w:r>
          </w:p>
        </w:tc>
      </w:tr>
      <w:tr w:rsidR="00B000ED" w:rsidRPr="009142AC" w14:paraId="298D35BE" w14:textId="77777777" w:rsidTr="008D3401">
        <w:tc>
          <w:tcPr>
            <w:tcW w:w="5000" w:type="pct"/>
            <w:gridSpan w:val="3"/>
            <w:tcBorders>
              <w:top w:val="single" w:sz="4" w:space="0" w:color="auto"/>
              <w:bottom w:val="single" w:sz="4" w:space="0" w:color="auto"/>
            </w:tcBorders>
            <w:hideMark/>
          </w:tcPr>
          <w:p w14:paraId="63CC23FB" w14:textId="2364D502"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(n=378)</w:t>
            </w:r>
          </w:p>
        </w:tc>
      </w:tr>
      <w:tr w:rsidR="00586B66" w:rsidRPr="009142AC" w14:paraId="5891F29A" w14:textId="77777777" w:rsidTr="008D3401">
        <w:tc>
          <w:tcPr>
            <w:tcW w:w="3152" w:type="pct"/>
            <w:tcBorders>
              <w:top w:val="single" w:sz="4" w:space="0" w:color="auto"/>
            </w:tcBorders>
            <w:hideMark/>
          </w:tcPr>
          <w:p w14:paraId="29538088" w14:textId="192BCFD5"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r w:rsidR="008573EA">
              <w:rPr>
                <w:rFonts w:ascii="Arial" w:hAnsi="Arial" w:cs="Arial"/>
                <w:sz w:val="20"/>
                <w:szCs w:val="20"/>
              </w:rPr>
              <w:t xml:space="preserve"> </w:t>
            </w:r>
          </w:p>
        </w:tc>
        <w:tc>
          <w:tcPr>
            <w:tcW w:w="847" w:type="pct"/>
            <w:tcBorders>
              <w:top w:val="single" w:sz="4" w:space="0" w:color="auto"/>
            </w:tcBorders>
            <w:hideMark/>
          </w:tcPr>
          <w:p w14:paraId="0376B854"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61</w:t>
            </w:r>
          </w:p>
        </w:tc>
        <w:tc>
          <w:tcPr>
            <w:tcW w:w="1001" w:type="pct"/>
            <w:tcBorders>
              <w:top w:val="single" w:sz="4" w:space="0" w:color="auto"/>
            </w:tcBorders>
            <w:hideMark/>
          </w:tcPr>
          <w:p w14:paraId="7C8A1699"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16.1</w:t>
            </w:r>
          </w:p>
        </w:tc>
      </w:tr>
      <w:tr w:rsidR="00586B66" w:rsidRPr="009142AC" w14:paraId="3CBE9B86" w14:textId="77777777" w:rsidTr="008D3401">
        <w:tc>
          <w:tcPr>
            <w:tcW w:w="3152" w:type="pct"/>
            <w:tcBorders>
              <w:bottom w:val="single" w:sz="4" w:space="0" w:color="auto"/>
            </w:tcBorders>
            <w:hideMark/>
          </w:tcPr>
          <w:p w14:paraId="7214E41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267E767C"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317</w:t>
            </w:r>
          </w:p>
        </w:tc>
        <w:tc>
          <w:tcPr>
            <w:tcW w:w="1001" w:type="pct"/>
            <w:tcBorders>
              <w:bottom w:val="single" w:sz="4" w:space="0" w:color="auto"/>
            </w:tcBorders>
            <w:hideMark/>
          </w:tcPr>
          <w:p w14:paraId="5C9434E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83.9</w:t>
            </w:r>
          </w:p>
        </w:tc>
      </w:tr>
      <w:tr w:rsidR="00B000ED" w:rsidRPr="009142AC" w14:paraId="60943518" w14:textId="77777777" w:rsidTr="008D3401">
        <w:tc>
          <w:tcPr>
            <w:tcW w:w="5000" w:type="pct"/>
            <w:gridSpan w:val="3"/>
            <w:tcBorders>
              <w:top w:val="single" w:sz="4" w:space="0" w:color="auto"/>
              <w:bottom w:val="single" w:sz="4" w:space="0" w:color="auto"/>
            </w:tcBorders>
            <w:hideMark/>
          </w:tcPr>
          <w:p w14:paraId="6D2932F1" w14:textId="2737257C"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Frequency of energy drink intake (n=317)</w:t>
            </w:r>
          </w:p>
        </w:tc>
      </w:tr>
      <w:tr w:rsidR="00586B66" w:rsidRPr="009142AC" w14:paraId="2708AFCB" w14:textId="77777777" w:rsidTr="008D3401">
        <w:tc>
          <w:tcPr>
            <w:tcW w:w="3152" w:type="pct"/>
            <w:tcBorders>
              <w:top w:val="single" w:sz="4" w:space="0" w:color="auto"/>
            </w:tcBorders>
            <w:hideMark/>
          </w:tcPr>
          <w:p w14:paraId="30C5C923"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Rarely (once a month or less)</w:t>
            </w:r>
          </w:p>
        </w:tc>
        <w:tc>
          <w:tcPr>
            <w:tcW w:w="847" w:type="pct"/>
            <w:tcBorders>
              <w:top w:val="single" w:sz="4" w:space="0" w:color="auto"/>
            </w:tcBorders>
            <w:hideMark/>
          </w:tcPr>
          <w:p w14:paraId="2EC2216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169</w:t>
            </w:r>
          </w:p>
        </w:tc>
        <w:tc>
          <w:tcPr>
            <w:tcW w:w="1001" w:type="pct"/>
            <w:tcBorders>
              <w:top w:val="single" w:sz="4" w:space="0" w:color="auto"/>
            </w:tcBorders>
            <w:hideMark/>
          </w:tcPr>
          <w:p w14:paraId="68873BA9"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53.3</w:t>
            </w:r>
          </w:p>
        </w:tc>
      </w:tr>
      <w:tr w:rsidR="00586B66" w:rsidRPr="009142AC" w14:paraId="7CB392FD" w14:textId="77777777" w:rsidTr="008D3401">
        <w:tc>
          <w:tcPr>
            <w:tcW w:w="3152" w:type="pct"/>
            <w:hideMark/>
          </w:tcPr>
          <w:p w14:paraId="134CB9B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Occasionally (2–3 times a month)</w:t>
            </w:r>
          </w:p>
        </w:tc>
        <w:tc>
          <w:tcPr>
            <w:tcW w:w="847" w:type="pct"/>
            <w:hideMark/>
          </w:tcPr>
          <w:p w14:paraId="017D7973"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91</w:t>
            </w:r>
          </w:p>
        </w:tc>
        <w:tc>
          <w:tcPr>
            <w:tcW w:w="1001" w:type="pct"/>
            <w:hideMark/>
          </w:tcPr>
          <w:p w14:paraId="45A8EDB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28.7</w:t>
            </w:r>
          </w:p>
        </w:tc>
      </w:tr>
      <w:tr w:rsidR="00586B66" w:rsidRPr="009142AC" w14:paraId="2275DE91" w14:textId="77777777" w:rsidTr="008D3401">
        <w:tc>
          <w:tcPr>
            <w:tcW w:w="3152" w:type="pct"/>
            <w:hideMark/>
          </w:tcPr>
          <w:p w14:paraId="101AEA9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Frequently (1–3 times a week)</w:t>
            </w:r>
          </w:p>
        </w:tc>
        <w:tc>
          <w:tcPr>
            <w:tcW w:w="847" w:type="pct"/>
            <w:hideMark/>
          </w:tcPr>
          <w:p w14:paraId="73A6BEA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47</w:t>
            </w:r>
          </w:p>
        </w:tc>
        <w:tc>
          <w:tcPr>
            <w:tcW w:w="1001" w:type="pct"/>
            <w:hideMark/>
          </w:tcPr>
          <w:p w14:paraId="5EEC1887"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14.8</w:t>
            </w:r>
          </w:p>
        </w:tc>
      </w:tr>
      <w:tr w:rsidR="00586B66" w:rsidRPr="009142AC" w14:paraId="01760C4B" w14:textId="77777777" w:rsidTr="008D3401">
        <w:tc>
          <w:tcPr>
            <w:tcW w:w="3152" w:type="pct"/>
            <w:tcBorders>
              <w:bottom w:val="single" w:sz="4" w:space="0" w:color="auto"/>
            </w:tcBorders>
            <w:hideMark/>
          </w:tcPr>
          <w:p w14:paraId="1EE82D4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Daily or almost daily</w:t>
            </w:r>
          </w:p>
        </w:tc>
        <w:tc>
          <w:tcPr>
            <w:tcW w:w="847" w:type="pct"/>
            <w:tcBorders>
              <w:bottom w:val="single" w:sz="4" w:space="0" w:color="auto"/>
            </w:tcBorders>
            <w:hideMark/>
          </w:tcPr>
          <w:p w14:paraId="4C1CE284"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10</w:t>
            </w:r>
          </w:p>
        </w:tc>
        <w:tc>
          <w:tcPr>
            <w:tcW w:w="1001" w:type="pct"/>
            <w:tcBorders>
              <w:bottom w:val="single" w:sz="4" w:space="0" w:color="auto"/>
            </w:tcBorders>
            <w:hideMark/>
          </w:tcPr>
          <w:p w14:paraId="0B2ABBDF"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3.2</w:t>
            </w:r>
          </w:p>
        </w:tc>
      </w:tr>
      <w:tr w:rsidR="00B000ED" w:rsidRPr="009142AC" w14:paraId="0EEE62F6" w14:textId="77777777" w:rsidTr="008D3401">
        <w:tc>
          <w:tcPr>
            <w:tcW w:w="5000" w:type="pct"/>
            <w:gridSpan w:val="3"/>
            <w:tcBorders>
              <w:top w:val="single" w:sz="4" w:space="0" w:color="auto"/>
              <w:bottom w:val="single" w:sz="4" w:space="0" w:color="auto"/>
            </w:tcBorders>
            <w:hideMark/>
          </w:tcPr>
          <w:p w14:paraId="5D472F4C" w14:textId="21F4E90B"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to stay awake for studying or exams (n=317)</w:t>
            </w:r>
          </w:p>
        </w:tc>
      </w:tr>
      <w:tr w:rsidR="00586B66" w:rsidRPr="009142AC" w14:paraId="28520DBA" w14:textId="77777777" w:rsidTr="008D3401">
        <w:tc>
          <w:tcPr>
            <w:tcW w:w="3152" w:type="pct"/>
            <w:tcBorders>
              <w:top w:val="single" w:sz="4" w:space="0" w:color="auto"/>
            </w:tcBorders>
            <w:hideMark/>
          </w:tcPr>
          <w:p w14:paraId="6A571D8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2B13C92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210</w:t>
            </w:r>
          </w:p>
        </w:tc>
        <w:tc>
          <w:tcPr>
            <w:tcW w:w="1001" w:type="pct"/>
            <w:tcBorders>
              <w:top w:val="single" w:sz="4" w:space="0" w:color="auto"/>
            </w:tcBorders>
            <w:hideMark/>
          </w:tcPr>
          <w:p w14:paraId="311907EE"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66.2</w:t>
            </w:r>
          </w:p>
        </w:tc>
      </w:tr>
      <w:tr w:rsidR="00586B66" w:rsidRPr="009142AC" w14:paraId="4C691CE3" w14:textId="77777777" w:rsidTr="008D3401">
        <w:tc>
          <w:tcPr>
            <w:tcW w:w="3152" w:type="pct"/>
            <w:tcBorders>
              <w:bottom w:val="single" w:sz="4" w:space="0" w:color="auto"/>
            </w:tcBorders>
            <w:hideMark/>
          </w:tcPr>
          <w:p w14:paraId="6EE5715C"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733AB9A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107</w:t>
            </w:r>
          </w:p>
        </w:tc>
        <w:tc>
          <w:tcPr>
            <w:tcW w:w="1001" w:type="pct"/>
            <w:tcBorders>
              <w:bottom w:val="single" w:sz="4" w:space="0" w:color="auto"/>
            </w:tcBorders>
            <w:hideMark/>
          </w:tcPr>
          <w:p w14:paraId="2EF01BD9"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33.8</w:t>
            </w:r>
          </w:p>
        </w:tc>
      </w:tr>
      <w:tr w:rsidR="00B000ED" w:rsidRPr="009142AC" w14:paraId="32593969" w14:textId="77777777" w:rsidTr="008D3401">
        <w:tc>
          <w:tcPr>
            <w:tcW w:w="5000" w:type="pct"/>
            <w:gridSpan w:val="3"/>
            <w:tcBorders>
              <w:top w:val="single" w:sz="4" w:space="0" w:color="auto"/>
              <w:bottom w:val="single" w:sz="4" w:space="0" w:color="auto"/>
            </w:tcBorders>
            <w:hideMark/>
          </w:tcPr>
          <w:p w14:paraId="51E7529D" w14:textId="59813C41"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to enhance physical performance during sports (n=317)</w:t>
            </w:r>
          </w:p>
        </w:tc>
      </w:tr>
      <w:tr w:rsidR="00586B66" w:rsidRPr="009142AC" w14:paraId="6D43A528" w14:textId="77777777" w:rsidTr="008D3401">
        <w:tc>
          <w:tcPr>
            <w:tcW w:w="3152" w:type="pct"/>
            <w:tcBorders>
              <w:top w:val="single" w:sz="4" w:space="0" w:color="auto"/>
            </w:tcBorders>
            <w:hideMark/>
          </w:tcPr>
          <w:p w14:paraId="23FC4BF6"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20FAD58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279</w:t>
            </w:r>
          </w:p>
        </w:tc>
        <w:tc>
          <w:tcPr>
            <w:tcW w:w="1001" w:type="pct"/>
            <w:tcBorders>
              <w:top w:val="single" w:sz="4" w:space="0" w:color="auto"/>
            </w:tcBorders>
            <w:hideMark/>
          </w:tcPr>
          <w:p w14:paraId="51DED95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88</w:t>
            </w:r>
          </w:p>
        </w:tc>
      </w:tr>
      <w:tr w:rsidR="00586B66" w:rsidRPr="009142AC" w14:paraId="5291E014" w14:textId="77777777" w:rsidTr="008D3401">
        <w:tc>
          <w:tcPr>
            <w:tcW w:w="3152" w:type="pct"/>
            <w:tcBorders>
              <w:bottom w:val="single" w:sz="4" w:space="0" w:color="auto"/>
            </w:tcBorders>
            <w:hideMark/>
          </w:tcPr>
          <w:p w14:paraId="5723DA3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1577D617"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38</w:t>
            </w:r>
          </w:p>
        </w:tc>
        <w:tc>
          <w:tcPr>
            <w:tcW w:w="1001" w:type="pct"/>
            <w:tcBorders>
              <w:bottom w:val="single" w:sz="4" w:space="0" w:color="auto"/>
            </w:tcBorders>
            <w:hideMark/>
          </w:tcPr>
          <w:p w14:paraId="315CDCDD"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12</w:t>
            </w:r>
          </w:p>
        </w:tc>
      </w:tr>
      <w:tr w:rsidR="00B000ED" w:rsidRPr="009142AC" w14:paraId="6A4AFF0B" w14:textId="77777777" w:rsidTr="008D3401">
        <w:tc>
          <w:tcPr>
            <w:tcW w:w="3999" w:type="pct"/>
            <w:gridSpan w:val="2"/>
            <w:tcBorders>
              <w:top w:val="single" w:sz="4" w:space="0" w:color="auto"/>
              <w:bottom w:val="single" w:sz="4" w:space="0" w:color="auto"/>
            </w:tcBorders>
            <w:hideMark/>
          </w:tcPr>
          <w:p w14:paraId="70D1F3E6" w14:textId="2BA6C66D"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for social occasions such as parties (n=317)</w:t>
            </w:r>
          </w:p>
        </w:tc>
        <w:tc>
          <w:tcPr>
            <w:tcW w:w="1001" w:type="pct"/>
            <w:tcBorders>
              <w:top w:val="single" w:sz="4" w:space="0" w:color="auto"/>
              <w:bottom w:val="single" w:sz="4" w:space="0" w:color="auto"/>
            </w:tcBorders>
          </w:tcPr>
          <w:p w14:paraId="4186C547" w14:textId="77777777" w:rsidR="00B000ED" w:rsidRPr="009142AC" w:rsidRDefault="00B000ED" w:rsidP="00B000ED">
            <w:pPr>
              <w:spacing w:line="240" w:lineRule="auto"/>
              <w:rPr>
                <w:rFonts w:ascii="Arial" w:hAnsi="Arial" w:cs="Arial"/>
                <w:sz w:val="20"/>
                <w:szCs w:val="20"/>
              </w:rPr>
            </w:pPr>
          </w:p>
        </w:tc>
      </w:tr>
      <w:tr w:rsidR="00586B66" w:rsidRPr="009142AC" w14:paraId="0D0F7235" w14:textId="77777777" w:rsidTr="008D3401">
        <w:tc>
          <w:tcPr>
            <w:tcW w:w="3152" w:type="pct"/>
            <w:tcBorders>
              <w:top w:val="single" w:sz="4" w:space="0" w:color="auto"/>
            </w:tcBorders>
            <w:hideMark/>
          </w:tcPr>
          <w:p w14:paraId="5A27496C"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30389AD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239</w:t>
            </w:r>
          </w:p>
        </w:tc>
        <w:tc>
          <w:tcPr>
            <w:tcW w:w="1001" w:type="pct"/>
            <w:tcBorders>
              <w:top w:val="single" w:sz="4" w:space="0" w:color="auto"/>
            </w:tcBorders>
            <w:hideMark/>
          </w:tcPr>
          <w:p w14:paraId="0697EA9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75.4</w:t>
            </w:r>
          </w:p>
        </w:tc>
      </w:tr>
      <w:tr w:rsidR="00586B66" w:rsidRPr="009142AC" w14:paraId="046EF25D" w14:textId="77777777" w:rsidTr="008D3401">
        <w:tc>
          <w:tcPr>
            <w:tcW w:w="3152" w:type="pct"/>
            <w:tcBorders>
              <w:bottom w:val="single" w:sz="4" w:space="0" w:color="auto"/>
            </w:tcBorders>
            <w:hideMark/>
          </w:tcPr>
          <w:p w14:paraId="249D1C7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3A58F5F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78</w:t>
            </w:r>
          </w:p>
        </w:tc>
        <w:tc>
          <w:tcPr>
            <w:tcW w:w="1001" w:type="pct"/>
            <w:tcBorders>
              <w:bottom w:val="single" w:sz="4" w:space="0" w:color="auto"/>
            </w:tcBorders>
            <w:hideMark/>
          </w:tcPr>
          <w:p w14:paraId="01DFDEB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24.6</w:t>
            </w:r>
          </w:p>
        </w:tc>
      </w:tr>
      <w:tr w:rsidR="00B000ED" w:rsidRPr="009142AC" w14:paraId="7BBB3FD0" w14:textId="77777777" w:rsidTr="008D3401">
        <w:tc>
          <w:tcPr>
            <w:tcW w:w="5000" w:type="pct"/>
            <w:gridSpan w:val="3"/>
            <w:tcBorders>
              <w:top w:val="single" w:sz="4" w:space="0" w:color="auto"/>
              <w:bottom w:val="single" w:sz="4" w:space="0" w:color="auto"/>
            </w:tcBorders>
            <w:hideMark/>
          </w:tcPr>
          <w:p w14:paraId="058FE119" w14:textId="620C128F"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as a mixer with alcoholic beverages (n=317)</w:t>
            </w:r>
          </w:p>
        </w:tc>
      </w:tr>
      <w:tr w:rsidR="00586B66" w:rsidRPr="009142AC" w14:paraId="2245A48F" w14:textId="77777777" w:rsidTr="008D3401">
        <w:tc>
          <w:tcPr>
            <w:tcW w:w="3152" w:type="pct"/>
            <w:tcBorders>
              <w:top w:val="single" w:sz="4" w:space="0" w:color="auto"/>
            </w:tcBorders>
            <w:hideMark/>
          </w:tcPr>
          <w:p w14:paraId="598C168E"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6E4A397F"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309</w:t>
            </w:r>
          </w:p>
        </w:tc>
        <w:tc>
          <w:tcPr>
            <w:tcW w:w="1001" w:type="pct"/>
            <w:tcBorders>
              <w:top w:val="single" w:sz="4" w:space="0" w:color="auto"/>
            </w:tcBorders>
            <w:hideMark/>
          </w:tcPr>
          <w:p w14:paraId="308CBD44"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97.5</w:t>
            </w:r>
          </w:p>
        </w:tc>
      </w:tr>
      <w:tr w:rsidR="00586B66" w:rsidRPr="009142AC" w14:paraId="37B08E61" w14:textId="77777777" w:rsidTr="008D3401">
        <w:tc>
          <w:tcPr>
            <w:tcW w:w="3152" w:type="pct"/>
            <w:tcBorders>
              <w:bottom w:val="single" w:sz="4" w:space="0" w:color="auto"/>
            </w:tcBorders>
            <w:hideMark/>
          </w:tcPr>
          <w:p w14:paraId="64C6C70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38CE69E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8</w:t>
            </w:r>
          </w:p>
        </w:tc>
        <w:tc>
          <w:tcPr>
            <w:tcW w:w="1001" w:type="pct"/>
            <w:tcBorders>
              <w:bottom w:val="single" w:sz="4" w:space="0" w:color="auto"/>
            </w:tcBorders>
            <w:hideMark/>
          </w:tcPr>
          <w:p w14:paraId="61C0ACC3"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2.5</w:t>
            </w:r>
          </w:p>
        </w:tc>
      </w:tr>
      <w:tr w:rsidR="00B000ED" w:rsidRPr="009142AC" w14:paraId="1A221842" w14:textId="77777777" w:rsidTr="008D3401">
        <w:tc>
          <w:tcPr>
            <w:tcW w:w="5000" w:type="pct"/>
            <w:gridSpan w:val="3"/>
            <w:tcBorders>
              <w:top w:val="single" w:sz="4" w:space="0" w:color="auto"/>
              <w:bottom w:val="single" w:sz="4" w:space="0" w:color="auto"/>
            </w:tcBorders>
          </w:tcPr>
          <w:p w14:paraId="6342F0F0" w14:textId="48FF9D5C"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out of habit or taste preference (n=317)</w:t>
            </w:r>
          </w:p>
        </w:tc>
      </w:tr>
      <w:tr w:rsidR="00B000ED" w:rsidRPr="009142AC" w14:paraId="17809134" w14:textId="77777777" w:rsidTr="008D3401">
        <w:tc>
          <w:tcPr>
            <w:tcW w:w="3152" w:type="pct"/>
            <w:tcBorders>
              <w:top w:val="single" w:sz="4" w:space="0" w:color="auto"/>
            </w:tcBorders>
          </w:tcPr>
          <w:p w14:paraId="0B0800A2" w14:textId="5C35A9F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4D0CF754" w14:textId="11C5877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173</w:t>
            </w:r>
          </w:p>
        </w:tc>
        <w:tc>
          <w:tcPr>
            <w:tcW w:w="1001" w:type="pct"/>
            <w:tcBorders>
              <w:top w:val="single" w:sz="4" w:space="0" w:color="auto"/>
            </w:tcBorders>
          </w:tcPr>
          <w:p w14:paraId="05793F5D" w14:textId="61EB0FA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54.6</w:t>
            </w:r>
          </w:p>
        </w:tc>
      </w:tr>
      <w:tr w:rsidR="00B000ED" w:rsidRPr="009142AC" w14:paraId="4044CD0C" w14:textId="77777777" w:rsidTr="008D3401">
        <w:tc>
          <w:tcPr>
            <w:tcW w:w="3152" w:type="pct"/>
            <w:tcBorders>
              <w:bottom w:val="single" w:sz="4" w:space="0" w:color="auto"/>
            </w:tcBorders>
          </w:tcPr>
          <w:p w14:paraId="332FB0D7" w14:textId="11C3C28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79FF62E" w14:textId="1E0A4E25"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144</w:t>
            </w:r>
          </w:p>
        </w:tc>
        <w:tc>
          <w:tcPr>
            <w:tcW w:w="1001" w:type="pct"/>
            <w:tcBorders>
              <w:bottom w:val="single" w:sz="4" w:space="0" w:color="auto"/>
            </w:tcBorders>
          </w:tcPr>
          <w:p w14:paraId="5EB426E3" w14:textId="0C64B58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45.4</w:t>
            </w:r>
          </w:p>
        </w:tc>
      </w:tr>
      <w:tr w:rsidR="00B000ED" w:rsidRPr="009142AC" w14:paraId="2E855B55" w14:textId="77777777" w:rsidTr="008D3401">
        <w:tc>
          <w:tcPr>
            <w:tcW w:w="5000" w:type="pct"/>
            <w:gridSpan w:val="3"/>
            <w:tcBorders>
              <w:top w:val="single" w:sz="4" w:space="0" w:color="auto"/>
              <w:bottom w:val="single" w:sz="4" w:space="0" w:color="auto"/>
            </w:tcBorders>
          </w:tcPr>
          <w:p w14:paraId="4CFD5A7D" w14:textId="6FF134DF"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gets energy drinks from Convenience stores or petrol stations (n=317)</w:t>
            </w:r>
          </w:p>
        </w:tc>
      </w:tr>
      <w:tr w:rsidR="00B000ED" w:rsidRPr="009142AC" w14:paraId="4067C84C" w14:textId="77777777" w:rsidTr="008D3401">
        <w:tc>
          <w:tcPr>
            <w:tcW w:w="3152" w:type="pct"/>
            <w:tcBorders>
              <w:top w:val="single" w:sz="4" w:space="0" w:color="auto"/>
            </w:tcBorders>
          </w:tcPr>
          <w:p w14:paraId="5972A304" w14:textId="66B9E6D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DE4B2D6" w14:textId="04D9046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97</w:t>
            </w:r>
          </w:p>
        </w:tc>
        <w:tc>
          <w:tcPr>
            <w:tcW w:w="1001" w:type="pct"/>
            <w:tcBorders>
              <w:top w:val="single" w:sz="4" w:space="0" w:color="auto"/>
            </w:tcBorders>
          </w:tcPr>
          <w:p w14:paraId="69AD822C" w14:textId="148A651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25.7</w:t>
            </w:r>
          </w:p>
        </w:tc>
      </w:tr>
      <w:tr w:rsidR="00B000ED" w:rsidRPr="009142AC" w14:paraId="7FDBC1D2" w14:textId="77777777" w:rsidTr="008D3401">
        <w:tc>
          <w:tcPr>
            <w:tcW w:w="3152" w:type="pct"/>
            <w:tcBorders>
              <w:bottom w:val="single" w:sz="4" w:space="0" w:color="auto"/>
            </w:tcBorders>
          </w:tcPr>
          <w:p w14:paraId="334798B7" w14:textId="1C5416DE"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5CBA6C1C" w14:textId="60FE066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281</w:t>
            </w:r>
          </w:p>
        </w:tc>
        <w:tc>
          <w:tcPr>
            <w:tcW w:w="1001" w:type="pct"/>
            <w:tcBorders>
              <w:bottom w:val="single" w:sz="4" w:space="0" w:color="auto"/>
            </w:tcBorders>
          </w:tcPr>
          <w:p w14:paraId="76D260E2" w14:textId="0C47BF3D"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74.3</w:t>
            </w:r>
          </w:p>
        </w:tc>
      </w:tr>
      <w:tr w:rsidR="00B000ED" w:rsidRPr="009142AC" w14:paraId="67EB0E91" w14:textId="77777777" w:rsidTr="008D3401">
        <w:tc>
          <w:tcPr>
            <w:tcW w:w="5000" w:type="pct"/>
            <w:gridSpan w:val="3"/>
            <w:tcBorders>
              <w:top w:val="single" w:sz="4" w:space="0" w:color="auto"/>
              <w:bottom w:val="single" w:sz="4" w:space="0" w:color="auto"/>
            </w:tcBorders>
          </w:tcPr>
          <w:p w14:paraId="21557EB8" w14:textId="730EEC74"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gets energy drinks from Online platforms (n=317)</w:t>
            </w:r>
          </w:p>
        </w:tc>
      </w:tr>
      <w:tr w:rsidR="00B000ED" w:rsidRPr="009142AC" w14:paraId="0D1FEEDF" w14:textId="77777777" w:rsidTr="008D3401">
        <w:tc>
          <w:tcPr>
            <w:tcW w:w="3152" w:type="pct"/>
            <w:tcBorders>
              <w:top w:val="single" w:sz="4" w:space="0" w:color="auto"/>
            </w:tcBorders>
          </w:tcPr>
          <w:p w14:paraId="41248C4A" w14:textId="4B7C063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3226C216" w14:textId="7007ADE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270</w:t>
            </w:r>
          </w:p>
        </w:tc>
        <w:tc>
          <w:tcPr>
            <w:tcW w:w="1001" w:type="pct"/>
            <w:tcBorders>
              <w:top w:val="single" w:sz="4" w:space="0" w:color="auto"/>
            </w:tcBorders>
          </w:tcPr>
          <w:p w14:paraId="13F084B6" w14:textId="71A7075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85.2</w:t>
            </w:r>
          </w:p>
        </w:tc>
      </w:tr>
      <w:tr w:rsidR="00B000ED" w:rsidRPr="009142AC" w14:paraId="34B35839" w14:textId="77777777" w:rsidTr="008D3401">
        <w:tc>
          <w:tcPr>
            <w:tcW w:w="3152" w:type="pct"/>
            <w:tcBorders>
              <w:bottom w:val="single" w:sz="4" w:space="0" w:color="auto"/>
            </w:tcBorders>
          </w:tcPr>
          <w:p w14:paraId="75969D19" w14:textId="2FD0F2F7"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E15B853" w14:textId="7E05B249"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47</w:t>
            </w:r>
          </w:p>
        </w:tc>
        <w:tc>
          <w:tcPr>
            <w:tcW w:w="1001" w:type="pct"/>
            <w:tcBorders>
              <w:bottom w:val="single" w:sz="4" w:space="0" w:color="auto"/>
            </w:tcBorders>
          </w:tcPr>
          <w:p w14:paraId="124D25E4" w14:textId="3B95A271"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14.8</w:t>
            </w:r>
          </w:p>
        </w:tc>
      </w:tr>
      <w:tr w:rsidR="00B000ED" w:rsidRPr="009142AC" w14:paraId="42B84964" w14:textId="77777777" w:rsidTr="008D3401">
        <w:tc>
          <w:tcPr>
            <w:tcW w:w="5000" w:type="pct"/>
            <w:gridSpan w:val="3"/>
            <w:tcBorders>
              <w:top w:val="single" w:sz="4" w:space="0" w:color="auto"/>
              <w:bottom w:val="single" w:sz="4" w:space="0" w:color="auto"/>
            </w:tcBorders>
          </w:tcPr>
          <w:p w14:paraId="7369F3BB" w14:textId="29A1EA29"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gets energy drinks from friends or family (n=317)</w:t>
            </w:r>
          </w:p>
        </w:tc>
      </w:tr>
      <w:tr w:rsidR="00B000ED" w:rsidRPr="009142AC" w14:paraId="670D21FD" w14:textId="77777777" w:rsidTr="008D3401">
        <w:tc>
          <w:tcPr>
            <w:tcW w:w="3152" w:type="pct"/>
            <w:tcBorders>
              <w:top w:val="single" w:sz="4" w:space="0" w:color="auto"/>
            </w:tcBorders>
          </w:tcPr>
          <w:p w14:paraId="523B221C" w14:textId="7CE6F79B"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419877FE" w14:textId="43B5E208"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313</w:t>
            </w:r>
          </w:p>
        </w:tc>
        <w:tc>
          <w:tcPr>
            <w:tcW w:w="1001" w:type="pct"/>
            <w:tcBorders>
              <w:top w:val="single" w:sz="4" w:space="0" w:color="auto"/>
            </w:tcBorders>
          </w:tcPr>
          <w:p w14:paraId="114033BA" w14:textId="33AD15F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98.7</w:t>
            </w:r>
          </w:p>
        </w:tc>
      </w:tr>
      <w:tr w:rsidR="00B000ED" w:rsidRPr="009142AC" w14:paraId="0486D225" w14:textId="77777777" w:rsidTr="008D3401">
        <w:tc>
          <w:tcPr>
            <w:tcW w:w="3152" w:type="pct"/>
            <w:tcBorders>
              <w:bottom w:val="single" w:sz="4" w:space="0" w:color="auto"/>
            </w:tcBorders>
          </w:tcPr>
          <w:p w14:paraId="77A5C2CC" w14:textId="12305C08"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D2F117C" w14:textId="6447545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w:t>
            </w:r>
          </w:p>
        </w:tc>
        <w:tc>
          <w:tcPr>
            <w:tcW w:w="1001" w:type="pct"/>
            <w:tcBorders>
              <w:bottom w:val="single" w:sz="4" w:space="0" w:color="auto"/>
            </w:tcBorders>
          </w:tcPr>
          <w:p w14:paraId="01BE81D1" w14:textId="1F7B07E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1.3</w:t>
            </w:r>
          </w:p>
        </w:tc>
      </w:tr>
      <w:tr w:rsidR="00B000ED" w:rsidRPr="009142AC" w14:paraId="5A0D62A5" w14:textId="77777777" w:rsidTr="008D3401">
        <w:tc>
          <w:tcPr>
            <w:tcW w:w="5000" w:type="pct"/>
            <w:gridSpan w:val="3"/>
            <w:tcBorders>
              <w:top w:val="single" w:sz="4" w:space="0" w:color="auto"/>
              <w:bottom w:val="single" w:sz="4" w:space="0" w:color="auto"/>
            </w:tcBorders>
          </w:tcPr>
          <w:p w14:paraId="7F4375DC" w14:textId="5B7CB166"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consumes more than one energy drink in a single sitting (n=317)</w:t>
            </w:r>
          </w:p>
        </w:tc>
      </w:tr>
      <w:tr w:rsidR="00B000ED" w:rsidRPr="009142AC" w14:paraId="47E482E3" w14:textId="77777777" w:rsidTr="008D3401">
        <w:tc>
          <w:tcPr>
            <w:tcW w:w="3152" w:type="pct"/>
            <w:tcBorders>
              <w:top w:val="single" w:sz="4" w:space="0" w:color="auto"/>
            </w:tcBorders>
          </w:tcPr>
          <w:p w14:paraId="4EBF37D5" w14:textId="247E2532" w:rsidR="00B000ED" w:rsidRPr="009142AC" w:rsidRDefault="00B000ED" w:rsidP="00B000ED">
            <w:pPr>
              <w:spacing w:line="240" w:lineRule="auto"/>
              <w:rPr>
                <w:rFonts w:ascii="Arial" w:hAnsi="Arial" w:cs="Arial"/>
                <w:b/>
                <w:sz w:val="20"/>
                <w:szCs w:val="20"/>
              </w:rPr>
            </w:pPr>
            <w:r w:rsidRPr="009142AC">
              <w:rPr>
                <w:rFonts w:ascii="Arial" w:hAnsi="Arial" w:cs="Arial"/>
                <w:sz w:val="20"/>
                <w:szCs w:val="20"/>
              </w:rPr>
              <w:t>No</w:t>
            </w:r>
          </w:p>
        </w:tc>
        <w:tc>
          <w:tcPr>
            <w:tcW w:w="847" w:type="pct"/>
            <w:tcBorders>
              <w:top w:val="single" w:sz="4" w:space="0" w:color="auto"/>
            </w:tcBorders>
          </w:tcPr>
          <w:p w14:paraId="18CDBD73" w14:textId="1665A3C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255</w:t>
            </w:r>
          </w:p>
        </w:tc>
        <w:tc>
          <w:tcPr>
            <w:tcW w:w="1001" w:type="pct"/>
            <w:tcBorders>
              <w:top w:val="single" w:sz="4" w:space="0" w:color="auto"/>
            </w:tcBorders>
          </w:tcPr>
          <w:p w14:paraId="27E99ACD" w14:textId="54485D4F"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80.4</w:t>
            </w:r>
          </w:p>
        </w:tc>
      </w:tr>
      <w:tr w:rsidR="00B000ED" w:rsidRPr="009142AC" w14:paraId="2046BBE7" w14:textId="77777777" w:rsidTr="008D3401">
        <w:tc>
          <w:tcPr>
            <w:tcW w:w="3152" w:type="pct"/>
            <w:tcBorders>
              <w:bottom w:val="single" w:sz="4" w:space="0" w:color="auto"/>
            </w:tcBorders>
          </w:tcPr>
          <w:p w14:paraId="2A5CC24D" w14:textId="54A35CC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396D678" w14:textId="1A2BA35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62</w:t>
            </w:r>
          </w:p>
        </w:tc>
        <w:tc>
          <w:tcPr>
            <w:tcW w:w="1001" w:type="pct"/>
            <w:tcBorders>
              <w:bottom w:val="single" w:sz="4" w:space="0" w:color="auto"/>
            </w:tcBorders>
          </w:tcPr>
          <w:p w14:paraId="0CAE92E9" w14:textId="172671BD"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19.6</w:t>
            </w:r>
          </w:p>
        </w:tc>
      </w:tr>
      <w:tr w:rsidR="00B000ED" w:rsidRPr="009142AC" w14:paraId="467258B2" w14:textId="77777777" w:rsidTr="008D3401">
        <w:tc>
          <w:tcPr>
            <w:tcW w:w="5000" w:type="pct"/>
            <w:gridSpan w:val="3"/>
            <w:tcBorders>
              <w:top w:val="single" w:sz="4" w:space="0" w:color="auto"/>
              <w:bottom w:val="single" w:sz="4" w:space="0" w:color="auto"/>
            </w:tcBorders>
          </w:tcPr>
          <w:p w14:paraId="7F143CED" w14:textId="644231B0"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Mixes energy drinks with other substances such as alcohol or coffee (n=317)</w:t>
            </w:r>
          </w:p>
        </w:tc>
      </w:tr>
      <w:tr w:rsidR="00B000ED" w:rsidRPr="009142AC" w14:paraId="55F5941F" w14:textId="77777777" w:rsidTr="008D3401">
        <w:tc>
          <w:tcPr>
            <w:tcW w:w="3152" w:type="pct"/>
            <w:tcBorders>
              <w:top w:val="single" w:sz="4" w:space="0" w:color="auto"/>
            </w:tcBorders>
          </w:tcPr>
          <w:p w14:paraId="2412E4A3" w14:textId="19A52F85"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03DA09C0" w14:textId="711CB99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271</w:t>
            </w:r>
          </w:p>
        </w:tc>
        <w:tc>
          <w:tcPr>
            <w:tcW w:w="1001" w:type="pct"/>
            <w:tcBorders>
              <w:top w:val="single" w:sz="4" w:space="0" w:color="auto"/>
            </w:tcBorders>
          </w:tcPr>
          <w:p w14:paraId="5EB4B7A1" w14:textId="7608992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85.5</w:t>
            </w:r>
          </w:p>
        </w:tc>
      </w:tr>
      <w:tr w:rsidR="00B000ED" w:rsidRPr="009142AC" w14:paraId="37A456A5" w14:textId="77777777" w:rsidTr="008D3401">
        <w:tc>
          <w:tcPr>
            <w:tcW w:w="3152" w:type="pct"/>
            <w:tcBorders>
              <w:bottom w:val="single" w:sz="4" w:space="0" w:color="auto"/>
            </w:tcBorders>
          </w:tcPr>
          <w:p w14:paraId="15BDC37F" w14:textId="42E7D86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C019037" w14:textId="5366285C"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46</w:t>
            </w:r>
          </w:p>
        </w:tc>
        <w:tc>
          <w:tcPr>
            <w:tcW w:w="1001" w:type="pct"/>
            <w:tcBorders>
              <w:bottom w:val="single" w:sz="4" w:space="0" w:color="auto"/>
            </w:tcBorders>
          </w:tcPr>
          <w:p w14:paraId="530666D8" w14:textId="112720B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14.5</w:t>
            </w:r>
          </w:p>
        </w:tc>
      </w:tr>
      <w:tr w:rsidR="00DB5AAD" w:rsidRPr="009142AC" w14:paraId="50C65B1A" w14:textId="77777777" w:rsidTr="008D3401">
        <w:tc>
          <w:tcPr>
            <w:tcW w:w="5000" w:type="pct"/>
            <w:gridSpan w:val="3"/>
            <w:tcBorders>
              <w:top w:val="single" w:sz="4" w:space="0" w:color="auto"/>
              <w:bottom w:val="single" w:sz="4" w:space="0" w:color="auto"/>
            </w:tcBorders>
          </w:tcPr>
          <w:p w14:paraId="0F371FA9" w14:textId="2BCBE037"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any side effects from consuming energy drinks (n=317)</w:t>
            </w:r>
          </w:p>
        </w:tc>
      </w:tr>
      <w:tr w:rsidR="00DB5AAD" w:rsidRPr="009142AC" w14:paraId="41956A03" w14:textId="77777777" w:rsidTr="008D3401">
        <w:tc>
          <w:tcPr>
            <w:tcW w:w="3152" w:type="pct"/>
            <w:tcBorders>
              <w:top w:val="single" w:sz="4" w:space="0" w:color="auto"/>
            </w:tcBorders>
          </w:tcPr>
          <w:p w14:paraId="61D0D5A0" w14:textId="18998B40"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23A038F0" w14:textId="557FE4A0"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160</w:t>
            </w:r>
          </w:p>
        </w:tc>
        <w:tc>
          <w:tcPr>
            <w:tcW w:w="1001" w:type="pct"/>
            <w:tcBorders>
              <w:top w:val="single" w:sz="4" w:space="0" w:color="auto"/>
            </w:tcBorders>
          </w:tcPr>
          <w:p w14:paraId="54B5128C" w14:textId="2672A7D1"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50.5</w:t>
            </w:r>
          </w:p>
        </w:tc>
      </w:tr>
      <w:tr w:rsidR="00DB5AAD" w:rsidRPr="009142AC" w14:paraId="0BF9D1C1" w14:textId="77777777" w:rsidTr="008D3401">
        <w:tc>
          <w:tcPr>
            <w:tcW w:w="3152" w:type="pct"/>
            <w:tcBorders>
              <w:bottom w:val="single" w:sz="4" w:space="0" w:color="auto"/>
            </w:tcBorders>
          </w:tcPr>
          <w:p w14:paraId="2B545322" w14:textId="179CC0A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5D05F6A6" w14:textId="7397F50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157</w:t>
            </w:r>
          </w:p>
        </w:tc>
        <w:tc>
          <w:tcPr>
            <w:tcW w:w="1001" w:type="pct"/>
            <w:tcBorders>
              <w:bottom w:val="single" w:sz="4" w:space="0" w:color="auto"/>
            </w:tcBorders>
          </w:tcPr>
          <w:p w14:paraId="48D41A17" w14:textId="279FDB0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49.5</w:t>
            </w:r>
          </w:p>
        </w:tc>
      </w:tr>
      <w:tr w:rsidR="00DB5AAD" w:rsidRPr="009142AC" w14:paraId="1E292E7B" w14:textId="77777777" w:rsidTr="008D3401">
        <w:tc>
          <w:tcPr>
            <w:tcW w:w="5000" w:type="pct"/>
            <w:gridSpan w:val="3"/>
            <w:tcBorders>
              <w:top w:val="single" w:sz="4" w:space="0" w:color="auto"/>
              <w:bottom w:val="single" w:sz="4" w:space="0" w:color="auto"/>
            </w:tcBorders>
          </w:tcPr>
          <w:p w14:paraId="60970F0C" w14:textId="57FED06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insomnia as a side effect (n=317)</w:t>
            </w:r>
          </w:p>
        </w:tc>
      </w:tr>
      <w:tr w:rsidR="00DB5AAD" w:rsidRPr="009142AC" w14:paraId="15F45B66" w14:textId="77777777" w:rsidTr="008D3401">
        <w:tc>
          <w:tcPr>
            <w:tcW w:w="3152" w:type="pct"/>
            <w:tcBorders>
              <w:top w:val="single" w:sz="4" w:space="0" w:color="auto"/>
            </w:tcBorders>
          </w:tcPr>
          <w:p w14:paraId="455311C9" w14:textId="78F6129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EDE1381" w14:textId="133472D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252</w:t>
            </w:r>
          </w:p>
        </w:tc>
        <w:tc>
          <w:tcPr>
            <w:tcW w:w="1001" w:type="pct"/>
            <w:tcBorders>
              <w:top w:val="single" w:sz="4" w:space="0" w:color="auto"/>
            </w:tcBorders>
          </w:tcPr>
          <w:p w14:paraId="489EFA47" w14:textId="5E26744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79.5</w:t>
            </w:r>
          </w:p>
        </w:tc>
      </w:tr>
      <w:tr w:rsidR="00DB5AAD" w:rsidRPr="009142AC" w14:paraId="7E76F8C2" w14:textId="77777777" w:rsidTr="008D3401">
        <w:tc>
          <w:tcPr>
            <w:tcW w:w="3152" w:type="pct"/>
            <w:tcBorders>
              <w:bottom w:val="single" w:sz="4" w:space="0" w:color="auto"/>
            </w:tcBorders>
          </w:tcPr>
          <w:p w14:paraId="31DB4148" w14:textId="044891C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364251F" w14:textId="6F0D570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w:t>
            </w:r>
          </w:p>
        </w:tc>
        <w:tc>
          <w:tcPr>
            <w:tcW w:w="1001" w:type="pct"/>
            <w:tcBorders>
              <w:bottom w:val="single" w:sz="4" w:space="0" w:color="auto"/>
            </w:tcBorders>
          </w:tcPr>
          <w:p w14:paraId="73F0F86A" w14:textId="6DD0C2A4"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20.5</w:t>
            </w:r>
          </w:p>
        </w:tc>
      </w:tr>
      <w:tr w:rsidR="00DB5AAD" w:rsidRPr="009142AC" w14:paraId="20124FE8" w14:textId="77777777" w:rsidTr="008D3401">
        <w:tc>
          <w:tcPr>
            <w:tcW w:w="5000" w:type="pct"/>
            <w:gridSpan w:val="3"/>
            <w:tcBorders>
              <w:top w:val="single" w:sz="4" w:space="0" w:color="auto"/>
              <w:bottom w:val="single" w:sz="4" w:space="0" w:color="auto"/>
            </w:tcBorders>
          </w:tcPr>
          <w:p w14:paraId="4C02BCD0" w14:textId="2488F49C"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headache as a side effect (n=317)</w:t>
            </w:r>
          </w:p>
        </w:tc>
      </w:tr>
      <w:tr w:rsidR="00DB5AAD" w:rsidRPr="009142AC" w14:paraId="6D3A3CC9" w14:textId="77777777" w:rsidTr="008D3401">
        <w:tc>
          <w:tcPr>
            <w:tcW w:w="3152" w:type="pct"/>
            <w:tcBorders>
              <w:top w:val="single" w:sz="4" w:space="0" w:color="auto"/>
            </w:tcBorders>
          </w:tcPr>
          <w:p w14:paraId="5EAC3E0C" w14:textId="21C5836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0D542E8" w14:textId="314EE6D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243</w:t>
            </w:r>
          </w:p>
        </w:tc>
        <w:tc>
          <w:tcPr>
            <w:tcW w:w="1001" w:type="pct"/>
            <w:tcBorders>
              <w:top w:val="single" w:sz="4" w:space="0" w:color="auto"/>
            </w:tcBorders>
          </w:tcPr>
          <w:p w14:paraId="60746B03" w14:textId="3AFB0A4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76.7</w:t>
            </w:r>
          </w:p>
        </w:tc>
      </w:tr>
      <w:tr w:rsidR="00DB5AAD" w:rsidRPr="009142AC" w14:paraId="3D92226C" w14:textId="77777777" w:rsidTr="008D3401">
        <w:tc>
          <w:tcPr>
            <w:tcW w:w="3152" w:type="pct"/>
            <w:tcBorders>
              <w:bottom w:val="single" w:sz="4" w:space="0" w:color="auto"/>
            </w:tcBorders>
          </w:tcPr>
          <w:p w14:paraId="062922AF" w14:textId="4BC5C11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73244A58" w14:textId="7C8CBEBB"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74</w:t>
            </w:r>
          </w:p>
        </w:tc>
        <w:tc>
          <w:tcPr>
            <w:tcW w:w="1001" w:type="pct"/>
            <w:tcBorders>
              <w:bottom w:val="single" w:sz="4" w:space="0" w:color="auto"/>
            </w:tcBorders>
          </w:tcPr>
          <w:p w14:paraId="524509B4" w14:textId="3E7DFB0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23.3</w:t>
            </w:r>
          </w:p>
        </w:tc>
      </w:tr>
      <w:tr w:rsidR="00DB5AAD" w:rsidRPr="009142AC" w14:paraId="5AB3F9DB" w14:textId="77777777" w:rsidTr="008D3401">
        <w:tc>
          <w:tcPr>
            <w:tcW w:w="5000" w:type="pct"/>
            <w:gridSpan w:val="3"/>
            <w:tcBorders>
              <w:top w:val="single" w:sz="4" w:space="0" w:color="auto"/>
              <w:bottom w:val="single" w:sz="4" w:space="0" w:color="auto"/>
            </w:tcBorders>
          </w:tcPr>
          <w:p w14:paraId="62FE8EAA" w14:textId="179419B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increased heart rate or palpitations as a side effect (n=317)</w:t>
            </w:r>
          </w:p>
        </w:tc>
      </w:tr>
      <w:tr w:rsidR="00DB5AAD" w:rsidRPr="009142AC" w14:paraId="0C135836" w14:textId="77777777" w:rsidTr="008D3401">
        <w:tc>
          <w:tcPr>
            <w:tcW w:w="3152" w:type="pct"/>
            <w:tcBorders>
              <w:top w:val="single" w:sz="4" w:space="0" w:color="auto"/>
            </w:tcBorders>
          </w:tcPr>
          <w:p w14:paraId="15A7F07F" w14:textId="7C2B7C2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66C1EE4F" w14:textId="2B46CBF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279</w:t>
            </w:r>
          </w:p>
        </w:tc>
        <w:tc>
          <w:tcPr>
            <w:tcW w:w="1001" w:type="pct"/>
            <w:tcBorders>
              <w:top w:val="single" w:sz="4" w:space="0" w:color="auto"/>
            </w:tcBorders>
          </w:tcPr>
          <w:p w14:paraId="38E0330D" w14:textId="560AE35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88.0</w:t>
            </w:r>
          </w:p>
        </w:tc>
      </w:tr>
      <w:tr w:rsidR="00DB5AAD" w:rsidRPr="009142AC" w14:paraId="46842166" w14:textId="77777777" w:rsidTr="008D3401">
        <w:tc>
          <w:tcPr>
            <w:tcW w:w="3152" w:type="pct"/>
            <w:tcBorders>
              <w:bottom w:val="single" w:sz="4" w:space="0" w:color="auto"/>
            </w:tcBorders>
          </w:tcPr>
          <w:p w14:paraId="53A0FFD6" w14:textId="7AC09E6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62839BEB" w14:textId="4A89C3C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38</w:t>
            </w:r>
          </w:p>
        </w:tc>
        <w:tc>
          <w:tcPr>
            <w:tcW w:w="1001" w:type="pct"/>
            <w:tcBorders>
              <w:bottom w:val="single" w:sz="4" w:space="0" w:color="auto"/>
            </w:tcBorders>
          </w:tcPr>
          <w:p w14:paraId="6E0164C7" w14:textId="2228E54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12.0</w:t>
            </w:r>
          </w:p>
        </w:tc>
      </w:tr>
      <w:tr w:rsidR="00DB5AAD" w:rsidRPr="009142AC" w14:paraId="265AD4C4" w14:textId="77777777" w:rsidTr="008D3401">
        <w:tc>
          <w:tcPr>
            <w:tcW w:w="5000" w:type="pct"/>
            <w:gridSpan w:val="3"/>
            <w:tcBorders>
              <w:top w:val="single" w:sz="4" w:space="0" w:color="auto"/>
              <w:bottom w:val="single" w:sz="4" w:space="0" w:color="auto"/>
            </w:tcBorders>
          </w:tcPr>
          <w:p w14:paraId="72A7B1BF" w14:textId="08EA4F15"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anxiety or restlessness as a side effect (n=317)</w:t>
            </w:r>
          </w:p>
        </w:tc>
      </w:tr>
      <w:tr w:rsidR="00DB5AAD" w:rsidRPr="009142AC" w14:paraId="12DFACBB" w14:textId="77777777" w:rsidTr="008D3401">
        <w:tc>
          <w:tcPr>
            <w:tcW w:w="3152" w:type="pct"/>
            <w:tcBorders>
              <w:top w:val="single" w:sz="4" w:space="0" w:color="auto"/>
            </w:tcBorders>
          </w:tcPr>
          <w:p w14:paraId="301129C2" w14:textId="5D23795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D7BBB37" w14:textId="34F2C4E4"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271</w:t>
            </w:r>
          </w:p>
        </w:tc>
        <w:tc>
          <w:tcPr>
            <w:tcW w:w="1001" w:type="pct"/>
            <w:tcBorders>
              <w:top w:val="single" w:sz="4" w:space="0" w:color="auto"/>
            </w:tcBorders>
          </w:tcPr>
          <w:p w14:paraId="2EC9E840" w14:textId="607820D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85.5</w:t>
            </w:r>
          </w:p>
        </w:tc>
      </w:tr>
      <w:tr w:rsidR="00DB5AAD" w:rsidRPr="009142AC" w14:paraId="7F17148E" w14:textId="77777777" w:rsidTr="008D3401">
        <w:tc>
          <w:tcPr>
            <w:tcW w:w="3152" w:type="pct"/>
            <w:tcBorders>
              <w:bottom w:val="single" w:sz="4" w:space="0" w:color="auto"/>
            </w:tcBorders>
          </w:tcPr>
          <w:p w14:paraId="29A15F89" w14:textId="7B90B2E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EDAC2E4" w14:textId="792CC0E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46</w:t>
            </w:r>
          </w:p>
        </w:tc>
        <w:tc>
          <w:tcPr>
            <w:tcW w:w="1001" w:type="pct"/>
            <w:tcBorders>
              <w:bottom w:val="single" w:sz="4" w:space="0" w:color="auto"/>
            </w:tcBorders>
          </w:tcPr>
          <w:p w14:paraId="1973808B" w14:textId="44F14E8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14.5</w:t>
            </w:r>
          </w:p>
        </w:tc>
      </w:tr>
      <w:tr w:rsidR="00DB5AAD" w:rsidRPr="009142AC" w14:paraId="618FB76F" w14:textId="77777777" w:rsidTr="008D3401">
        <w:tc>
          <w:tcPr>
            <w:tcW w:w="5000" w:type="pct"/>
            <w:gridSpan w:val="3"/>
            <w:tcBorders>
              <w:top w:val="single" w:sz="4" w:space="0" w:color="auto"/>
              <w:bottom w:val="single" w:sz="4" w:space="0" w:color="auto"/>
            </w:tcBorders>
          </w:tcPr>
          <w:p w14:paraId="707C09C5" w14:textId="24C734B6"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Stomach upset as a side effect (n=317)</w:t>
            </w:r>
          </w:p>
        </w:tc>
      </w:tr>
      <w:tr w:rsidR="00DB5AAD" w:rsidRPr="009142AC" w14:paraId="038BD96F" w14:textId="77777777" w:rsidTr="008D3401">
        <w:tc>
          <w:tcPr>
            <w:tcW w:w="3152" w:type="pct"/>
            <w:tcBorders>
              <w:top w:val="single" w:sz="4" w:space="0" w:color="auto"/>
            </w:tcBorders>
          </w:tcPr>
          <w:p w14:paraId="4A028421" w14:textId="64C22CD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5D93B15D" w14:textId="083E8A1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242</w:t>
            </w:r>
          </w:p>
        </w:tc>
        <w:tc>
          <w:tcPr>
            <w:tcW w:w="1001" w:type="pct"/>
            <w:tcBorders>
              <w:top w:val="single" w:sz="4" w:space="0" w:color="auto"/>
            </w:tcBorders>
          </w:tcPr>
          <w:p w14:paraId="060832A7" w14:textId="6243B23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76.3</w:t>
            </w:r>
          </w:p>
        </w:tc>
      </w:tr>
      <w:tr w:rsidR="00DB5AAD" w:rsidRPr="009142AC" w14:paraId="4385FAC9" w14:textId="77777777" w:rsidTr="008D3401">
        <w:tc>
          <w:tcPr>
            <w:tcW w:w="3152" w:type="pct"/>
            <w:tcBorders>
              <w:bottom w:val="single" w:sz="4" w:space="0" w:color="auto"/>
            </w:tcBorders>
          </w:tcPr>
          <w:p w14:paraId="557BA4A0" w14:textId="5A182A50"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lastRenderedPageBreak/>
              <w:t>Yes</w:t>
            </w:r>
          </w:p>
        </w:tc>
        <w:tc>
          <w:tcPr>
            <w:tcW w:w="847" w:type="pct"/>
            <w:tcBorders>
              <w:bottom w:val="single" w:sz="4" w:space="0" w:color="auto"/>
            </w:tcBorders>
          </w:tcPr>
          <w:p w14:paraId="036779CD" w14:textId="6C1C2C7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75</w:t>
            </w:r>
          </w:p>
        </w:tc>
        <w:tc>
          <w:tcPr>
            <w:tcW w:w="1001" w:type="pct"/>
            <w:tcBorders>
              <w:bottom w:val="single" w:sz="4" w:space="0" w:color="auto"/>
            </w:tcBorders>
          </w:tcPr>
          <w:p w14:paraId="33B861A0" w14:textId="0FE265D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23.7</w:t>
            </w:r>
          </w:p>
        </w:tc>
      </w:tr>
      <w:tr w:rsidR="00DB5AAD" w:rsidRPr="009142AC" w14:paraId="69542B48" w14:textId="77777777" w:rsidTr="008D3401">
        <w:tc>
          <w:tcPr>
            <w:tcW w:w="5000" w:type="pct"/>
            <w:gridSpan w:val="3"/>
            <w:tcBorders>
              <w:top w:val="single" w:sz="4" w:space="0" w:color="auto"/>
              <w:bottom w:val="single" w:sz="4" w:space="0" w:color="auto"/>
            </w:tcBorders>
          </w:tcPr>
          <w:p w14:paraId="6550D6FA" w14:textId="22CB3236"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dental issues as a side effect (n=317)</w:t>
            </w:r>
          </w:p>
        </w:tc>
      </w:tr>
      <w:tr w:rsidR="00DB5AAD" w:rsidRPr="009142AC" w14:paraId="0C65D2A5" w14:textId="77777777" w:rsidTr="008D3401">
        <w:tc>
          <w:tcPr>
            <w:tcW w:w="3152" w:type="pct"/>
            <w:tcBorders>
              <w:top w:val="single" w:sz="4" w:space="0" w:color="auto"/>
            </w:tcBorders>
          </w:tcPr>
          <w:p w14:paraId="33FA46E7" w14:textId="1D63D4E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237ED7BF" w14:textId="19EB91A4"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293</w:t>
            </w:r>
          </w:p>
        </w:tc>
        <w:tc>
          <w:tcPr>
            <w:tcW w:w="1001" w:type="pct"/>
            <w:tcBorders>
              <w:top w:val="single" w:sz="4" w:space="0" w:color="auto"/>
            </w:tcBorders>
          </w:tcPr>
          <w:p w14:paraId="54278D55" w14:textId="7D3EED6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92.4</w:t>
            </w:r>
          </w:p>
        </w:tc>
      </w:tr>
      <w:tr w:rsidR="00DB5AAD" w:rsidRPr="009142AC" w14:paraId="08FE80AD" w14:textId="77777777" w:rsidTr="008D3401">
        <w:tc>
          <w:tcPr>
            <w:tcW w:w="3152" w:type="pct"/>
            <w:tcBorders>
              <w:bottom w:val="single" w:sz="4" w:space="0" w:color="auto"/>
            </w:tcBorders>
          </w:tcPr>
          <w:p w14:paraId="2E099A0D" w14:textId="269B304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167A563" w14:textId="2A98264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w:t>
            </w:r>
          </w:p>
        </w:tc>
        <w:tc>
          <w:tcPr>
            <w:tcW w:w="1001" w:type="pct"/>
            <w:tcBorders>
              <w:bottom w:val="single" w:sz="4" w:space="0" w:color="auto"/>
            </w:tcBorders>
          </w:tcPr>
          <w:p w14:paraId="40409770" w14:textId="2A014FC1"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7.6</w:t>
            </w:r>
          </w:p>
        </w:tc>
      </w:tr>
      <w:tr w:rsidR="00DB5AAD" w:rsidRPr="009142AC" w14:paraId="611794FF" w14:textId="77777777" w:rsidTr="008D3401">
        <w:tc>
          <w:tcPr>
            <w:tcW w:w="5000" w:type="pct"/>
            <w:gridSpan w:val="3"/>
            <w:tcBorders>
              <w:top w:val="single" w:sz="4" w:space="0" w:color="auto"/>
              <w:bottom w:val="single" w:sz="4" w:space="0" w:color="auto"/>
            </w:tcBorders>
          </w:tcPr>
          <w:p w14:paraId="6D4A93DE" w14:textId="2BCDA10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Practice level</w:t>
            </w:r>
          </w:p>
        </w:tc>
      </w:tr>
      <w:tr w:rsidR="00DB5AAD" w:rsidRPr="009142AC" w14:paraId="7E66070C" w14:textId="77777777" w:rsidTr="008D3401">
        <w:tc>
          <w:tcPr>
            <w:tcW w:w="3152" w:type="pct"/>
            <w:tcBorders>
              <w:top w:val="single" w:sz="4" w:space="0" w:color="auto"/>
            </w:tcBorders>
          </w:tcPr>
          <w:p w14:paraId="64045A89" w14:textId="5DA375D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Good Practice level</w:t>
            </w:r>
          </w:p>
        </w:tc>
        <w:tc>
          <w:tcPr>
            <w:tcW w:w="847" w:type="pct"/>
            <w:tcBorders>
              <w:top w:val="single" w:sz="4" w:space="0" w:color="auto"/>
            </w:tcBorders>
          </w:tcPr>
          <w:p w14:paraId="16121E1A" w14:textId="62ED7F91"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189</w:t>
            </w:r>
          </w:p>
        </w:tc>
        <w:tc>
          <w:tcPr>
            <w:tcW w:w="1001" w:type="pct"/>
            <w:tcBorders>
              <w:top w:val="single" w:sz="4" w:space="0" w:color="auto"/>
            </w:tcBorders>
          </w:tcPr>
          <w:p w14:paraId="5019873D" w14:textId="4C43C72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59.6</w:t>
            </w:r>
          </w:p>
        </w:tc>
      </w:tr>
      <w:tr w:rsidR="00DB5AAD" w:rsidRPr="009142AC" w14:paraId="1C16FAD0" w14:textId="77777777" w:rsidTr="008D3401">
        <w:tc>
          <w:tcPr>
            <w:tcW w:w="3152" w:type="pct"/>
          </w:tcPr>
          <w:p w14:paraId="52EAC841" w14:textId="5F3CD99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Poor Practice level</w:t>
            </w:r>
          </w:p>
        </w:tc>
        <w:tc>
          <w:tcPr>
            <w:tcW w:w="847" w:type="pct"/>
          </w:tcPr>
          <w:p w14:paraId="14113E2E" w14:textId="3C748AA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128</w:t>
            </w:r>
          </w:p>
        </w:tc>
        <w:tc>
          <w:tcPr>
            <w:tcW w:w="1001" w:type="pct"/>
          </w:tcPr>
          <w:p w14:paraId="748B3902" w14:textId="5DF86B8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40.4</w:t>
            </w:r>
          </w:p>
        </w:tc>
      </w:tr>
    </w:tbl>
    <w:p w14:paraId="19726F19" w14:textId="0EAE490F" w:rsidR="00586B66" w:rsidRDefault="00586B66" w:rsidP="00DB5AAD">
      <w:pPr>
        <w:spacing w:line="278" w:lineRule="auto"/>
        <w:jc w:val="left"/>
        <w:rPr>
          <w:rFonts w:ascii="Arial" w:hAnsi="Arial" w:cs="Arial"/>
          <w:b/>
          <w:sz w:val="20"/>
          <w:szCs w:val="20"/>
        </w:rPr>
      </w:pPr>
    </w:p>
    <w:p w14:paraId="0ABA070E" w14:textId="78C73255" w:rsidR="0074595D" w:rsidRDefault="0074595D" w:rsidP="0074595D">
      <w:pPr>
        <w:spacing w:line="360" w:lineRule="auto"/>
        <w:rPr>
          <w:rFonts w:ascii="Arial" w:hAnsi="Arial" w:cs="Arial"/>
          <w:b/>
          <w:bCs/>
          <w:sz w:val="20"/>
          <w:szCs w:val="20"/>
        </w:rPr>
      </w:pPr>
      <w:r w:rsidRPr="0074595D">
        <w:rPr>
          <w:rFonts w:ascii="Arial" w:hAnsi="Arial" w:cs="Arial"/>
          <w:b/>
          <w:bCs/>
          <w:sz w:val="20"/>
          <w:szCs w:val="20"/>
        </w:rPr>
        <w:t>Sleep Patterns Among University Undergraduates</w:t>
      </w:r>
    </w:p>
    <w:p w14:paraId="1E63C619" w14:textId="6EF49FB3" w:rsidR="0074595D" w:rsidRPr="0074595D" w:rsidRDefault="0074595D" w:rsidP="0074595D">
      <w:pPr>
        <w:spacing w:line="360" w:lineRule="auto"/>
        <w:rPr>
          <w:rFonts w:ascii="Arial" w:hAnsi="Arial" w:cs="Arial"/>
          <w:b/>
          <w:bCs/>
          <w:sz w:val="20"/>
          <w:szCs w:val="20"/>
        </w:rPr>
      </w:pPr>
      <w:r w:rsidRPr="0074595D">
        <w:rPr>
          <w:rFonts w:ascii="Arial" w:hAnsi="Arial" w:cs="Arial"/>
          <w:sz w:val="20"/>
          <w:szCs w:val="20"/>
        </w:rPr>
        <w:t>Table 6 shows that while the majority of undergraduate students (88.1%) report sleeping at night and most (66.1%) achieve at least 6 hours of sleep per night, significant sleep challenges persist within this population. A substantial proportion (56.6%) experience daytime sleepiness during classes, indicating potential sleep quality issues despite adequate sleep duration. Notable sleep disturbances include difficulty staying asleep (34.9%), frequent awakenings (65.9% wake easily), and breathing-related issues with 34.1% reporting snoring and 21.7% experiencing sudden awakenings with breathlessness. Additionally, 28.6% report nightmares or night terrors, and 34.4% wake with headaches, suggesting compromised sleep quality. The finding that 65.1% can easily return to sleep after nighttime awakenings indicates some resilience in sleep maintenance</w:t>
      </w:r>
      <w:r w:rsidR="00C52DA8">
        <w:rPr>
          <w:rFonts w:ascii="Arial" w:hAnsi="Arial" w:cs="Arial"/>
          <w:sz w:val="20"/>
          <w:szCs w:val="20"/>
        </w:rPr>
        <w:t>.</w:t>
      </w:r>
    </w:p>
    <w:p w14:paraId="0444068D" w14:textId="10F0610C" w:rsidR="00586B66" w:rsidRPr="009142AC" w:rsidRDefault="00586B66" w:rsidP="009142AC">
      <w:pPr>
        <w:spacing w:after="0" w:line="278" w:lineRule="auto"/>
        <w:jc w:val="left"/>
        <w:rPr>
          <w:rFonts w:ascii="Arial" w:hAnsi="Arial" w:cs="Arial"/>
          <w:b/>
          <w:bCs/>
          <w:sz w:val="20"/>
          <w:szCs w:val="20"/>
        </w:rPr>
      </w:pPr>
      <w:bookmarkStart w:id="27" w:name="_Toc208394265"/>
      <w:bookmarkStart w:id="28" w:name="_Toc208394452"/>
      <w:r w:rsidRPr="009142AC">
        <w:rPr>
          <w:rFonts w:ascii="Arial" w:hAnsi="Arial" w:cs="Arial"/>
          <w:b/>
          <w:bCs/>
          <w:sz w:val="20"/>
          <w:szCs w:val="20"/>
        </w:rPr>
        <w:t>Table 6</w:t>
      </w:r>
      <w:r w:rsidR="009142AC" w:rsidRPr="009142AC">
        <w:rPr>
          <w:rFonts w:ascii="Arial" w:hAnsi="Arial" w:cs="Arial"/>
          <w:b/>
          <w:bCs/>
          <w:sz w:val="20"/>
          <w:szCs w:val="20"/>
        </w:rPr>
        <w:t>.</w:t>
      </w:r>
      <w:r w:rsidRPr="009142AC">
        <w:rPr>
          <w:rFonts w:ascii="Arial" w:hAnsi="Arial" w:cs="Arial"/>
          <w:b/>
          <w:bCs/>
          <w:sz w:val="20"/>
          <w:szCs w:val="20"/>
        </w:rPr>
        <w:t xml:space="preserve"> Sleep patterns among university undergraduates in Rivers State</w:t>
      </w:r>
      <w:bookmarkEnd w:id="27"/>
      <w:bookmarkEnd w:id="28"/>
      <w:r w:rsidRPr="009142AC">
        <w:rPr>
          <w:rFonts w:ascii="Arial" w:hAnsi="Arial" w:cs="Arial"/>
          <w:b/>
          <w:bCs/>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2366"/>
        <w:gridCol w:w="2165"/>
      </w:tblGrid>
      <w:tr w:rsidR="00586B66" w:rsidRPr="009142AC" w14:paraId="2B3C21ED" w14:textId="77777777" w:rsidTr="008D3401">
        <w:tc>
          <w:tcPr>
            <w:tcW w:w="4485" w:type="dxa"/>
            <w:tcBorders>
              <w:top w:val="single" w:sz="4" w:space="0" w:color="auto"/>
              <w:bottom w:val="single" w:sz="4" w:space="0" w:color="auto"/>
            </w:tcBorders>
            <w:hideMark/>
          </w:tcPr>
          <w:p w14:paraId="40BC08EB" w14:textId="77777777" w:rsidR="00586B66" w:rsidRPr="009142AC" w:rsidRDefault="00586B66" w:rsidP="009142AC">
            <w:pPr>
              <w:spacing w:line="240" w:lineRule="auto"/>
              <w:rPr>
                <w:rFonts w:ascii="Arial" w:hAnsi="Arial" w:cs="Arial"/>
                <w:b/>
                <w:sz w:val="20"/>
                <w:szCs w:val="20"/>
              </w:rPr>
            </w:pPr>
            <w:r w:rsidRPr="009142AC">
              <w:rPr>
                <w:rFonts w:ascii="Arial" w:hAnsi="Arial" w:cs="Arial"/>
                <w:b/>
                <w:sz w:val="20"/>
                <w:szCs w:val="20"/>
              </w:rPr>
              <w:t>Variables</w:t>
            </w:r>
          </w:p>
        </w:tc>
        <w:tc>
          <w:tcPr>
            <w:tcW w:w="2366" w:type="dxa"/>
            <w:tcBorders>
              <w:top w:val="single" w:sz="4" w:space="0" w:color="auto"/>
              <w:bottom w:val="single" w:sz="4" w:space="0" w:color="auto"/>
            </w:tcBorders>
            <w:hideMark/>
          </w:tcPr>
          <w:p w14:paraId="08AEF3F8" w14:textId="77777777" w:rsidR="00586B66" w:rsidRPr="009142AC" w:rsidRDefault="00586B66" w:rsidP="009142AC">
            <w:pPr>
              <w:spacing w:line="240" w:lineRule="auto"/>
              <w:rPr>
                <w:rFonts w:ascii="Arial" w:hAnsi="Arial" w:cs="Arial"/>
                <w:b/>
                <w:sz w:val="20"/>
                <w:szCs w:val="20"/>
              </w:rPr>
            </w:pPr>
            <w:r w:rsidRPr="009142AC">
              <w:rPr>
                <w:rFonts w:ascii="Arial" w:hAnsi="Arial" w:cs="Arial"/>
                <w:b/>
                <w:sz w:val="20"/>
                <w:szCs w:val="20"/>
              </w:rPr>
              <w:t>Frequency(n=378)</w:t>
            </w:r>
          </w:p>
        </w:tc>
        <w:tc>
          <w:tcPr>
            <w:tcW w:w="2165" w:type="dxa"/>
            <w:tcBorders>
              <w:top w:val="single" w:sz="4" w:space="0" w:color="auto"/>
              <w:bottom w:val="single" w:sz="4" w:space="0" w:color="auto"/>
            </w:tcBorders>
            <w:hideMark/>
          </w:tcPr>
          <w:p w14:paraId="3AD22758" w14:textId="77777777" w:rsidR="00586B66" w:rsidRPr="009142AC" w:rsidRDefault="00586B66" w:rsidP="009142AC">
            <w:pPr>
              <w:spacing w:line="240" w:lineRule="auto"/>
              <w:rPr>
                <w:rFonts w:ascii="Arial" w:hAnsi="Arial" w:cs="Arial"/>
                <w:b/>
                <w:sz w:val="20"/>
                <w:szCs w:val="20"/>
              </w:rPr>
            </w:pPr>
            <w:r w:rsidRPr="009142AC">
              <w:rPr>
                <w:rFonts w:ascii="Arial" w:hAnsi="Arial" w:cs="Arial"/>
                <w:b/>
                <w:sz w:val="20"/>
                <w:szCs w:val="20"/>
              </w:rPr>
              <w:t>Percentage (%)</w:t>
            </w:r>
          </w:p>
        </w:tc>
      </w:tr>
      <w:tr w:rsidR="00DB5AAD" w:rsidRPr="009142AC" w14:paraId="08C6B3B6" w14:textId="77777777" w:rsidTr="008D3401">
        <w:tc>
          <w:tcPr>
            <w:tcW w:w="9016" w:type="dxa"/>
            <w:gridSpan w:val="3"/>
            <w:tcBorders>
              <w:top w:val="single" w:sz="4" w:space="0" w:color="auto"/>
              <w:bottom w:val="single" w:sz="4" w:space="0" w:color="auto"/>
            </w:tcBorders>
            <w:hideMark/>
          </w:tcPr>
          <w:p w14:paraId="331A088C" w14:textId="2EB69F9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Sleeps at night</w:t>
            </w:r>
          </w:p>
        </w:tc>
      </w:tr>
      <w:tr w:rsidR="00586B66" w:rsidRPr="009142AC" w14:paraId="5CFB6D8E" w14:textId="77777777" w:rsidTr="008D3401">
        <w:tc>
          <w:tcPr>
            <w:tcW w:w="4485" w:type="dxa"/>
            <w:tcBorders>
              <w:top w:val="single" w:sz="4" w:space="0" w:color="auto"/>
            </w:tcBorders>
            <w:hideMark/>
          </w:tcPr>
          <w:p w14:paraId="49E9003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0ABA398A"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45</w:t>
            </w:r>
          </w:p>
        </w:tc>
        <w:tc>
          <w:tcPr>
            <w:tcW w:w="2165" w:type="dxa"/>
            <w:tcBorders>
              <w:top w:val="single" w:sz="4" w:space="0" w:color="auto"/>
            </w:tcBorders>
            <w:hideMark/>
          </w:tcPr>
          <w:p w14:paraId="253E2AC4"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11.9</w:t>
            </w:r>
          </w:p>
        </w:tc>
      </w:tr>
      <w:tr w:rsidR="00586B66" w:rsidRPr="009142AC" w14:paraId="7DEDC141" w14:textId="77777777" w:rsidTr="008D3401">
        <w:tc>
          <w:tcPr>
            <w:tcW w:w="4485" w:type="dxa"/>
            <w:tcBorders>
              <w:bottom w:val="single" w:sz="4" w:space="0" w:color="auto"/>
            </w:tcBorders>
            <w:hideMark/>
          </w:tcPr>
          <w:p w14:paraId="34A6BDF3"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7BD1D330"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333</w:t>
            </w:r>
          </w:p>
        </w:tc>
        <w:tc>
          <w:tcPr>
            <w:tcW w:w="2165" w:type="dxa"/>
            <w:tcBorders>
              <w:bottom w:val="single" w:sz="4" w:space="0" w:color="auto"/>
            </w:tcBorders>
            <w:hideMark/>
          </w:tcPr>
          <w:p w14:paraId="3B9FD651"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88.1</w:t>
            </w:r>
          </w:p>
        </w:tc>
      </w:tr>
      <w:tr w:rsidR="00DB5AAD" w:rsidRPr="009142AC" w14:paraId="6F12AE83" w14:textId="77777777" w:rsidTr="008D3401">
        <w:tc>
          <w:tcPr>
            <w:tcW w:w="9016" w:type="dxa"/>
            <w:gridSpan w:val="3"/>
            <w:tcBorders>
              <w:top w:val="single" w:sz="4" w:space="0" w:color="auto"/>
              <w:bottom w:val="single" w:sz="4" w:space="0" w:color="auto"/>
            </w:tcBorders>
            <w:hideMark/>
          </w:tcPr>
          <w:p w14:paraId="1709D3E5" w14:textId="5BA3155D"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On average, usually sleep at least 6 hours per night</w:t>
            </w:r>
          </w:p>
        </w:tc>
      </w:tr>
      <w:tr w:rsidR="00586B66" w:rsidRPr="009142AC" w14:paraId="20643A54" w14:textId="77777777" w:rsidTr="008D3401">
        <w:tc>
          <w:tcPr>
            <w:tcW w:w="4485" w:type="dxa"/>
            <w:tcBorders>
              <w:top w:val="single" w:sz="4" w:space="0" w:color="auto"/>
            </w:tcBorders>
            <w:hideMark/>
          </w:tcPr>
          <w:p w14:paraId="3ABDCBE1"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1E434CF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128</w:t>
            </w:r>
          </w:p>
        </w:tc>
        <w:tc>
          <w:tcPr>
            <w:tcW w:w="2165" w:type="dxa"/>
            <w:tcBorders>
              <w:top w:val="single" w:sz="4" w:space="0" w:color="auto"/>
            </w:tcBorders>
            <w:hideMark/>
          </w:tcPr>
          <w:p w14:paraId="16ED15A6"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33.9</w:t>
            </w:r>
          </w:p>
        </w:tc>
      </w:tr>
      <w:tr w:rsidR="00586B66" w:rsidRPr="009142AC" w14:paraId="0ADE1F4A" w14:textId="77777777" w:rsidTr="008D3401">
        <w:tc>
          <w:tcPr>
            <w:tcW w:w="4485" w:type="dxa"/>
            <w:tcBorders>
              <w:bottom w:val="single" w:sz="4" w:space="0" w:color="auto"/>
            </w:tcBorders>
            <w:hideMark/>
          </w:tcPr>
          <w:p w14:paraId="401E64C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690C41D0"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250</w:t>
            </w:r>
          </w:p>
        </w:tc>
        <w:tc>
          <w:tcPr>
            <w:tcW w:w="2165" w:type="dxa"/>
            <w:tcBorders>
              <w:bottom w:val="single" w:sz="4" w:space="0" w:color="auto"/>
            </w:tcBorders>
            <w:hideMark/>
          </w:tcPr>
          <w:p w14:paraId="1645B284"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66.1</w:t>
            </w:r>
          </w:p>
        </w:tc>
      </w:tr>
      <w:tr w:rsidR="00DB5AAD" w:rsidRPr="009142AC" w14:paraId="75FB233E" w14:textId="77777777" w:rsidTr="008D3401">
        <w:tc>
          <w:tcPr>
            <w:tcW w:w="9016" w:type="dxa"/>
            <w:gridSpan w:val="3"/>
            <w:tcBorders>
              <w:top w:val="single" w:sz="4" w:space="0" w:color="auto"/>
              <w:bottom w:val="single" w:sz="4" w:space="0" w:color="auto"/>
            </w:tcBorders>
            <w:hideMark/>
          </w:tcPr>
          <w:p w14:paraId="0CFA3620" w14:textId="18660C03"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During the day, especially in class, frequently feels sleepy or tired</w:t>
            </w:r>
          </w:p>
        </w:tc>
      </w:tr>
      <w:tr w:rsidR="00586B66" w:rsidRPr="009142AC" w14:paraId="3AD1832F" w14:textId="77777777" w:rsidTr="008D3401">
        <w:tc>
          <w:tcPr>
            <w:tcW w:w="4485" w:type="dxa"/>
            <w:tcBorders>
              <w:top w:val="single" w:sz="4" w:space="0" w:color="auto"/>
            </w:tcBorders>
            <w:hideMark/>
          </w:tcPr>
          <w:p w14:paraId="3E83F583"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676E835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164</w:t>
            </w:r>
          </w:p>
        </w:tc>
        <w:tc>
          <w:tcPr>
            <w:tcW w:w="2165" w:type="dxa"/>
            <w:tcBorders>
              <w:top w:val="single" w:sz="4" w:space="0" w:color="auto"/>
            </w:tcBorders>
            <w:hideMark/>
          </w:tcPr>
          <w:p w14:paraId="15B0CDBD"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43.4</w:t>
            </w:r>
          </w:p>
        </w:tc>
      </w:tr>
      <w:tr w:rsidR="00586B66" w:rsidRPr="009142AC" w14:paraId="13519D5A" w14:textId="77777777" w:rsidTr="008D3401">
        <w:tc>
          <w:tcPr>
            <w:tcW w:w="4485" w:type="dxa"/>
            <w:tcBorders>
              <w:bottom w:val="single" w:sz="4" w:space="0" w:color="auto"/>
            </w:tcBorders>
            <w:hideMark/>
          </w:tcPr>
          <w:p w14:paraId="12A26C6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7C258C7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214</w:t>
            </w:r>
          </w:p>
        </w:tc>
        <w:tc>
          <w:tcPr>
            <w:tcW w:w="2165" w:type="dxa"/>
            <w:tcBorders>
              <w:bottom w:val="single" w:sz="4" w:space="0" w:color="auto"/>
            </w:tcBorders>
            <w:hideMark/>
          </w:tcPr>
          <w:p w14:paraId="4789FA3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56.6</w:t>
            </w:r>
          </w:p>
        </w:tc>
      </w:tr>
      <w:tr w:rsidR="00DB5AAD" w:rsidRPr="009142AC" w14:paraId="50166942" w14:textId="77777777" w:rsidTr="008D3401">
        <w:tc>
          <w:tcPr>
            <w:tcW w:w="9016" w:type="dxa"/>
            <w:gridSpan w:val="3"/>
            <w:tcBorders>
              <w:top w:val="single" w:sz="4" w:space="0" w:color="auto"/>
              <w:bottom w:val="single" w:sz="4" w:space="0" w:color="auto"/>
            </w:tcBorders>
            <w:hideMark/>
          </w:tcPr>
          <w:p w14:paraId="5BC28287" w14:textId="16E0036C"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Have difficulty falling asleep at night</w:t>
            </w:r>
          </w:p>
        </w:tc>
      </w:tr>
      <w:tr w:rsidR="00586B66" w:rsidRPr="009142AC" w14:paraId="16AFC518" w14:textId="77777777" w:rsidTr="008D3401">
        <w:tc>
          <w:tcPr>
            <w:tcW w:w="4485" w:type="dxa"/>
            <w:tcBorders>
              <w:top w:val="single" w:sz="4" w:space="0" w:color="auto"/>
            </w:tcBorders>
            <w:hideMark/>
          </w:tcPr>
          <w:p w14:paraId="06D0D841"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1504EFD6"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279</w:t>
            </w:r>
          </w:p>
        </w:tc>
        <w:tc>
          <w:tcPr>
            <w:tcW w:w="2165" w:type="dxa"/>
            <w:tcBorders>
              <w:top w:val="single" w:sz="4" w:space="0" w:color="auto"/>
            </w:tcBorders>
            <w:hideMark/>
          </w:tcPr>
          <w:p w14:paraId="79719D63"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73.8</w:t>
            </w:r>
          </w:p>
        </w:tc>
      </w:tr>
      <w:tr w:rsidR="00586B66" w:rsidRPr="009142AC" w14:paraId="6C411969" w14:textId="77777777" w:rsidTr="008D3401">
        <w:tc>
          <w:tcPr>
            <w:tcW w:w="4485" w:type="dxa"/>
            <w:tcBorders>
              <w:bottom w:val="single" w:sz="4" w:space="0" w:color="auto"/>
            </w:tcBorders>
            <w:hideMark/>
          </w:tcPr>
          <w:p w14:paraId="7028F35F"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6E0D728E"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99</w:t>
            </w:r>
          </w:p>
        </w:tc>
        <w:tc>
          <w:tcPr>
            <w:tcW w:w="2165" w:type="dxa"/>
            <w:tcBorders>
              <w:bottom w:val="single" w:sz="4" w:space="0" w:color="auto"/>
            </w:tcBorders>
            <w:hideMark/>
          </w:tcPr>
          <w:p w14:paraId="14F092E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26.2</w:t>
            </w:r>
          </w:p>
        </w:tc>
      </w:tr>
      <w:tr w:rsidR="00DB5AAD" w:rsidRPr="009142AC" w14:paraId="02A6E2B7" w14:textId="77777777" w:rsidTr="008D3401">
        <w:tc>
          <w:tcPr>
            <w:tcW w:w="9016" w:type="dxa"/>
            <w:gridSpan w:val="3"/>
            <w:tcBorders>
              <w:top w:val="single" w:sz="4" w:space="0" w:color="auto"/>
              <w:bottom w:val="single" w:sz="4" w:space="0" w:color="auto"/>
            </w:tcBorders>
            <w:hideMark/>
          </w:tcPr>
          <w:p w14:paraId="77152E87" w14:textId="69289108"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Have difficulty staying asleep throughout the night</w:t>
            </w:r>
          </w:p>
        </w:tc>
      </w:tr>
      <w:tr w:rsidR="00586B66" w:rsidRPr="009142AC" w14:paraId="25EB2F0C" w14:textId="77777777" w:rsidTr="008D3401">
        <w:tc>
          <w:tcPr>
            <w:tcW w:w="4485" w:type="dxa"/>
            <w:tcBorders>
              <w:top w:val="single" w:sz="4" w:space="0" w:color="auto"/>
            </w:tcBorders>
            <w:hideMark/>
          </w:tcPr>
          <w:p w14:paraId="575428B9"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52AB1B6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246</w:t>
            </w:r>
          </w:p>
        </w:tc>
        <w:tc>
          <w:tcPr>
            <w:tcW w:w="2165" w:type="dxa"/>
            <w:tcBorders>
              <w:top w:val="single" w:sz="4" w:space="0" w:color="auto"/>
            </w:tcBorders>
            <w:hideMark/>
          </w:tcPr>
          <w:p w14:paraId="0947E364"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65.1</w:t>
            </w:r>
          </w:p>
        </w:tc>
      </w:tr>
      <w:tr w:rsidR="00586B66" w:rsidRPr="009142AC" w14:paraId="1BC86978" w14:textId="77777777" w:rsidTr="008D3401">
        <w:tc>
          <w:tcPr>
            <w:tcW w:w="4485" w:type="dxa"/>
            <w:tcBorders>
              <w:bottom w:val="single" w:sz="4" w:space="0" w:color="auto"/>
            </w:tcBorders>
            <w:hideMark/>
          </w:tcPr>
          <w:p w14:paraId="4A78B04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130F9A9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132</w:t>
            </w:r>
          </w:p>
        </w:tc>
        <w:tc>
          <w:tcPr>
            <w:tcW w:w="2165" w:type="dxa"/>
            <w:tcBorders>
              <w:bottom w:val="single" w:sz="4" w:space="0" w:color="auto"/>
            </w:tcBorders>
            <w:hideMark/>
          </w:tcPr>
          <w:p w14:paraId="58AA63ED"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34.9</w:t>
            </w:r>
          </w:p>
        </w:tc>
      </w:tr>
      <w:tr w:rsidR="00DB5AAD" w:rsidRPr="009142AC" w14:paraId="1737999D" w14:textId="77777777" w:rsidTr="008D3401">
        <w:tc>
          <w:tcPr>
            <w:tcW w:w="9016" w:type="dxa"/>
            <w:gridSpan w:val="3"/>
            <w:tcBorders>
              <w:top w:val="single" w:sz="4" w:space="0" w:color="auto"/>
              <w:bottom w:val="single" w:sz="4" w:space="0" w:color="auto"/>
            </w:tcBorders>
            <w:hideMark/>
          </w:tcPr>
          <w:p w14:paraId="2CF03BEC" w14:textId="38CE6B09"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Easily wakes from sleep</w:t>
            </w:r>
          </w:p>
        </w:tc>
      </w:tr>
      <w:tr w:rsidR="00586B66" w:rsidRPr="009142AC" w14:paraId="61F6E6DF" w14:textId="77777777" w:rsidTr="008D3401">
        <w:tc>
          <w:tcPr>
            <w:tcW w:w="4485" w:type="dxa"/>
            <w:tcBorders>
              <w:top w:val="single" w:sz="4" w:space="0" w:color="auto"/>
            </w:tcBorders>
            <w:hideMark/>
          </w:tcPr>
          <w:p w14:paraId="4B0CDD7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47984E35"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129</w:t>
            </w:r>
          </w:p>
        </w:tc>
        <w:tc>
          <w:tcPr>
            <w:tcW w:w="2165" w:type="dxa"/>
            <w:tcBorders>
              <w:top w:val="single" w:sz="4" w:space="0" w:color="auto"/>
            </w:tcBorders>
            <w:hideMark/>
          </w:tcPr>
          <w:p w14:paraId="38FD2165"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34.1</w:t>
            </w:r>
          </w:p>
        </w:tc>
      </w:tr>
      <w:tr w:rsidR="00586B66" w:rsidRPr="009142AC" w14:paraId="3BEA43DA" w14:textId="77777777" w:rsidTr="008D3401">
        <w:tc>
          <w:tcPr>
            <w:tcW w:w="4485" w:type="dxa"/>
            <w:tcBorders>
              <w:bottom w:val="single" w:sz="4" w:space="0" w:color="auto"/>
            </w:tcBorders>
            <w:hideMark/>
          </w:tcPr>
          <w:p w14:paraId="5803E847"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28F2E1E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249</w:t>
            </w:r>
          </w:p>
        </w:tc>
        <w:tc>
          <w:tcPr>
            <w:tcW w:w="2165" w:type="dxa"/>
            <w:tcBorders>
              <w:bottom w:val="single" w:sz="4" w:space="0" w:color="auto"/>
            </w:tcBorders>
            <w:hideMark/>
          </w:tcPr>
          <w:p w14:paraId="08D058C5"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65.9</w:t>
            </w:r>
          </w:p>
        </w:tc>
      </w:tr>
      <w:tr w:rsidR="00DB5AAD" w:rsidRPr="009142AC" w14:paraId="67BFD887" w14:textId="77777777" w:rsidTr="008D3401">
        <w:tc>
          <w:tcPr>
            <w:tcW w:w="4485" w:type="dxa"/>
            <w:tcBorders>
              <w:top w:val="single" w:sz="4" w:space="0" w:color="auto"/>
              <w:bottom w:val="single" w:sz="4" w:space="0" w:color="auto"/>
            </w:tcBorders>
          </w:tcPr>
          <w:p w14:paraId="5B9F9675" w14:textId="5A708857"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Ever been told that you snore</w:t>
            </w:r>
          </w:p>
        </w:tc>
        <w:tc>
          <w:tcPr>
            <w:tcW w:w="2366" w:type="dxa"/>
            <w:tcBorders>
              <w:top w:val="single" w:sz="4" w:space="0" w:color="auto"/>
              <w:bottom w:val="single" w:sz="4" w:space="0" w:color="auto"/>
            </w:tcBorders>
          </w:tcPr>
          <w:p w14:paraId="145BDBDA" w14:textId="77777777" w:rsidR="00DB5AAD" w:rsidRPr="009142AC" w:rsidRDefault="00DB5AAD" w:rsidP="00DB5AAD">
            <w:pPr>
              <w:spacing w:line="240" w:lineRule="auto"/>
              <w:rPr>
                <w:rFonts w:ascii="Arial" w:hAnsi="Arial" w:cs="Arial"/>
                <w:sz w:val="20"/>
                <w:szCs w:val="20"/>
              </w:rPr>
            </w:pPr>
          </w:p>
        </w:tc>
        <w:tc>
          <w:tcPr>
            <w:tcW w:w="2165" w:type="dxa"/>
            <w:tcBorders>
              <w:top w:val="single" w:sz="4" w:space="0" w:color="auto"/>
              <w:bottom w:val="single" w:sz="4" w:space="0" w:color="auto"/>
            </w:tcBorders>
          </w:tcPr>
          <w:p w14:paraId="230DE967" w14:textId="77777777" w:rsidR="00DB5AAD" w:rsidRPr="009142AC" w:rsidRDefault="00DB5AAD" w:rsidP="00DB5AAD">
            <w:pPr>
              <w:spacing w:line="240" w:lineRule="auto"/>
              <w:rPr>
                <w:rFonts w:ascii="Arial" w:hAnsi="Arial" w:cs="Arial"/>
                <w:sz w:val="20"/>
                <w:szCs w:val="20"/>
              </w:rPr>
            </w:pPr>
          </w:p>
        </w:tc>
      </w:tr>
      <w:tr w:rsidR="00DB5AAD" w:rsidRPr="009142AC" w14:paraId="7DC23966" w14:textId="77777777" w:rsidTr="008D3401">
        <w:tc>
          <w:tcPr>
            <w:tcW w:w="4485" w:type="dxa"/>
            <w:tcBorders>
              <w:top w:val="single" w:sz="4" w:space="0" w:color="auto"/>
            </w:tcBorders>
          </w:tcPr>
          <w:p w14:paraId="2C97AE96" w14:textId="2A2B685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5211780D" w14:textId="5E4FB42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249</w:t>
            </w:r>
          </w:p>
        </w:tc>
        <w:tc>
          <w:tcPr>
            <w:tcW w:w="2165" w:type="dxa"/>
            <w:tcBorders>
              <w:top w:val="single" w:sz="4" w:space="0" w:color="auto"/>
            </w:tcBorders>
          </w:tcPr>
          <w:p w14:paraId="03375B9D" w14:textId="32BF9D2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65.9</w:t>
            </w:r>
          </w:p>
        </w:tc>
      </w:tr>
      <w:tr w:rsidR="00DB5AAD" w:rsidRPr="009142AC" w14:paraId="2B474B98" w14:textId="77777777" w:rsidTr="008D3401">
        <w:tc>
          <w:tcPr>
            <w:tcW w:w="4485" w:type="dxa"/>
            <w:tcBorders>
              <w:bottom w:val="single" w:sz="4" w:space="0" w:color="auto"/>
            </w:tcBorders>
          </w:tcPr>
          <w:p w14:paraId="3E07DB59" w14:textId="7BFDB31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4E76BE93" w14:textId="4ECC813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129</w:t>
            </w:r>
          </w:p>
        </w:tc>
        <w:tc>
          <w:tcPr>
            <w:tcW w:w="2165" w:type="dxa"/>
            <w:tcBorders>
              <w:bottom w:val="single" w:sz="4" w:space="0" w:color="auto"/>
            </w:tcBorders>
          </w:tcPr>
          <w:p w14:paraId="3C79E4B2" w14:textId="1685678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34.1</w:t>
            </w:r>
          </w:p>
        </w:tc>
      </w:tr>
      <w:tr w:rsidR="00DB5AAD" w:rsidRPr="009142AC" w14:paraId="4FAA1757" w14:textId="77777777" w:rsidTr="008D3401">
        <w:tc>
          <w:tcPr>
            <w:tcW w:w="9016" w:type="dxa"/>
            <w:gridSpan w:val="3"/>
            <w:tcBorders>
              <w:top w:val="single" w:sz="4" w:space="0" w:color="auto"/>
              <w:bottom w:val="single" w:sz="4" w:space="0" w:color="auto"/>
            </w:tcBorders>
          </w:tcPr>
          <w:p w14:paraId="6AC62C9B" w14:textId="340E0C46"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Frequently awakened suddenly from sleep and feels breathless</w:t>
            </w:r>
          </w:p>
        </w:tc>
      </w:tr>
      <w:tr w:rsidR="00DB5AAD" w:rsidRPr="009142AC" w14:paraId="18206E74" w14:textId="77777777" w:rsidTr="008D3401">
        <w:tc>
          <w:tcPr>
            <w:tcW w:w="4485" w:type="dxa"/>
            <w:tcBorders>
              <w:top w:val="single" w:sz="4" w:space="0" w:color="auto"/>
            </w:tcBorders>
          </w:tcPr>
          <w:p w14:paraId="38ED8A8D" w14:textId="42AEB1F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0BE918F2" w14:textId="42EE354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296</w:t>
            </w:r>
          </w:p>
        </w:tc>
        <w:tc>
          <w:tcPr>
            <w:tcW w:w="2165" w:type="dxa"/>
            <w:tcBorders>
              <w:top w:val="single" w:sz="4" w:space="0" w:color="auto"/>
            </w:tcBorders>
          </w:tcPr>
          <w:p w14:paraId="086EA79A" w14:textId="477F023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78.3</w:t>
            </w:r>
          </w:p>
        </w:tc>
      </w:tr>
      <w:tr w:rsidR="00DB5AAD" w:rsidRPr="009142AC" w14:paraId="58144657" w14:textId="77777777" w:rsidTr="008D3401">
        <w:tc>
          <w:tcPr>
            <w:tcW w:w="4485" w:type="dxa"/>
            <w:tcBorders>
              <w:bottom w:val="single" w:sz="4" w:space="0" w:color="auto"/>
            </w:tcBorders>
          </w:tcPr>
          <w:p w14:paraId="18EE7B16" w14:textId="6E84E9D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0FF4AAE0" w14:textId="7C0CED7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82</w:t>
            </w:r>
          </w:p>
        </w:tc>
        <w:tc>
          <w:tcPr>
            <w:tcW w:w="2165" w:type="dxa"/>
            <w:tcBorders>
              <w:bottom w:val="single" w:sz="4" w:space="0" w:color="auto"/>
            </w:tcBorders>
          </w:tcPr>
          <w:p w14:paraId="384C0979" w14:textId="16FE1BB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21.7</w:t>
            </w:r>
          </w:p>
        </w:tc>
      </w:tr>
      <w:tr w:rsidR="00DB5AAD" w:rsidRPr="009142AC" w14:paraId="2A2CF565" w14:textId="77777777" w:rsidTr="008D3401">
        <w:tc>
          <w:tcPr>
            <w:tcW w:w="9016" w:type="dxa"/>
            <w:gridSpan w:val="3"/>
            <w:tcBorders>
              <w:top w:val="single" w:sz="4" w:space="0" w:color="auto"/>
              <w:bottom w:val="single" w:sz="4" w:space="0" w:color="auto"/>
            </w:tcBorders>
          </w:tcPr>
          <w:p w14:paraId="02AFB7DB" w14:textId="508BCD4D"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Experiences nightmares or night terrors</w:t>
            </w:r>
          </w:p>
        </w:tc>
      </w:tr>
      <w:tr w:rsidR="00DB5AAD" w:rsidRPr="009142AC" w14:paraId="78017E38" w14:textId="77777777" w:rsidTr="008D3401">
        <w:tc>
          <w:tcPr>
            <w:tcW w:w="4485" w:type="dxa"/>
            <w:tcBorders>
              <w:top w:val="single" w:sz="4" w:space="0" w:color="auto"/>
            </w:tcBorders>
          </w:tcPr>
          <w:p w14:paraId="2B86EEB4" w14:textId="5C66705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72803D9D" w14:textId="60F10B7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270</w:t>
            </w:r>
          </w:p>
        </w:tc>
        <w:tc>
          <w:tcPr>
            <w:tcW w:w="2165" w:type="dxa"/>
            <w:tcBorders>
              <w:top w:val="single" w:sz="4" w:space="0" w:color="auto"/>
            </w:tcBorders>
          </w:tcPr>
          <w:p w14:paraId="3CC8A227" w14:textId="1A523EE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71.4</w:t>
            </w:r>
          </w:p>
        </w:tc>
      </w:tr>
      <w:tr w:rsidR="00DB5AAD" w:rsidRPr="009142AC" w14:paraId="7B0F4114" w14:textId="77777777" w:rsidTr="008D3401">
        <w:tc>
          <w:tcPr>
            <w:tcW w:w="4485" w:type="dxa"/>
            <w:tcBorders>
              <w:bottom w:val="single" w:sz="4" w:space="0" w:color="auto"/>
            </w:tcBorders>
          </w:tcPr>
          <w:p w14:paraId="64FA0E72" w14:textId="6044203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680923F9" w14:textId="309511A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108</w:t>
            </w:r>
          </w:p>
        </w:tc>
        <w:tc>
          <w:tcPr>
            <w:tcW w:w="2165" w:type="dxa"/>
            <w:tcBorders>
              <w:bottom w:val="single" w:sz="4" w:space="0" w:color="auto"/>
            </w:tcBorders>
          </w:tcPr>
          <w:p w14:paraId="41B5EB43" w14:textId="61D349E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28.6</w:t>
            </w:r>
          </w:p>
        </w:tc>
      </w:tr>
      <w:tr w:rsidR="00DB5AAD" w:rsidRPr="009142AC" w14:paraId="424F7D69" w14:textId="77777777" w:rsidTr="008D3401">
        <w:tc>
          <w:tcPr>
            <w:tcW w:w="9016" w:type="dxa"/>
            <w:gridSpan w:val="3"/>
            <w:tcBorders>
              <w:top w:val="single" w:sz="4" w:space="0" w:color="auto"/>
              <w:bottom w:val="single" w:sz="4" w:space="0" w:color="auto"/>
            </w:tcBorders>
          </w:tcPr>
          <w:p w14:paraId="617E38A2" w14:textId="5BA98952"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Upon waking, often have headaches</w:t>
            </w:r>
          </w:p>
        </w:tc>
      </w:tr>
      <w:tr w:rsidR="00DB5AAD" w:rsidRPr="009142AC" w14:paraId="3E04348A" w14:textId="77777777" w:rsidTr="008D3401">
        <w:tc>
          <w:tcPr>
            <w:tcW w:w="4485" w:type="dxa"/>
            <w:tcBorders>
              <w:top w:val="single" w:sz="4" w:space="0" w:color="auto"/>
            </w:tcBorders>
          </w:tcPr>
          <w:p w14:paraId="00E86AE3" w14:textId="453285D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6F593119" w14:textId="3E44929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248</w:t>
            </w:r>
          </w:p>
        </w:tc>
        <w:tc>
          <w:tcPr>
            <w:tcW w:w="2165" w:type="dxa"/>
            <w:tcBorders>
              <w:top w:val="single" w:sz="4" w:space="0" w:color="auto"/>
            </w:tcBorders>
          </w:tcPr>
          <w:p w14:paraId="4BBD737C" w14:textId="67B7CE3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65.6</w:t>
            </w:r>
          </w:p>
        </w:tc>
      </w:tr>
      <w:tr w:rsidR="00DB5AAD" w:rsidRPr="009142AC" w14:paraId="4273331F" w14:textId="77777777" w:rsidTr="008D3401">
        <w:tc>
          <w:tcPr>
            <w:tcW w:w="4485" w:type="dxa"/>
            <w:tcBorders>
              <w:bottom w:val="single" w:sz="4" w:space="0" w:color="auto"/>
            </w:tcBorders>
          </w:tcPr>
          <w:p w14:paraId="23EE6793" w14:textId="11700D3F"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0C08353E" w14:textId="12B8F2DF"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130</w:t>
            </w:r>
          </w:p>
        </w:tc>
        <w:tc>
          <w:tcPr>
            <w:tcW w:w="2165" w:type="dxa"/>
            <w:tcBorders>
              <w:bottom w:val="single" w:sz="4" w:space="0" w:color="auto"/>
            </w:tcBorders>
          </w:tcPr>
          <w:p w14:paraId="31EF3FE6" w14:textId="5C4A055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34.4</w:t>
            </w:r>
          </w:p>
        </w:tc>
      </w:tr>
      <w:tr w:rsidR="00DB5AAD" w:rsidRPr="009142AC" w14:paraId="378F13E4" w14:textId="77777777" w:rsidTr="008D3401">
        <w:tc>
          <w:tcPr>
            <w:tcW w:w="9016" w:type="dxa"/>
            <w:gridSpan w:val="3"/>
            <w:tcBorders>
              <w:top w:val="single" w:sz="4" w:space="0" w:color="auto"/>
              <w:bottom w:val="single" w:sz="4" w:space="0" w:color="auto"/>
            </w:tcBorders>
          </w:tcPr>
          <w:p w14:paraId="297CE5F8" w14:textId="291B0A3A"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Awakened during the night, easily goes back to sleep</w:t>
            </w:r>
          </w:p>
        </w:tc>
      </w:tr>
      <w:tr w:rsidR="00DB5AAD" w:rsidRPr="009142AC" w14:paraId="1A6C7A4C" w14:textId="77777777" w:rsidTr="008D3401">
        <w:tc>
          <w:tcPr>
            <w:tcW w:w="4485" w:type="dxa"/>
            <w:tcBorders>
              <w:top w:val="single" w:sz="4" w:space="0" w:color="auto"/>
            </w:tcBorders>
          </w:tcPr>
          <w:p w14:paraId="691838AC" w14:textId="4E9C8675" w:rsidR="00DB5AAD" w:rsidRPr="009142AC" w:rsidRDefault="00DB5AAD" w:rsidP="00DB5AAD">
            <w:pPr>
              <w:spacing w:line="240" w:lineRule="auto"/>
              <w:rPr>
                <w:rFonts w:ascii="Arial" w:hAnsi="Arial" w:cs="Arial"/>
                <w:b/>
                <w:sz w:val="20"/>
                <w:szCs w:val="20"/>
              </w:rPr>
            </w:pPr>
            <w:r w:rsidRPr="009142AC">
              <w:rPr>
                <w:rFonts w:ascii="Arial" w:hAnsi="Arial" w:cs="Arial"/>
                <w:sz w:val="20"/>
                <w:szCs w:val="20"/>
              </w:rPr>
              <w:lastRenderedPageBreak/>
              <w:t>No</w:t>
            </w:r>
          </w:p>
        </w:tc>
        <w:tc>
          <w:tcPr>
            <w:tcW w:w="2366" w:type="dxa"/>
            <w:tcBorders>
              <w:top w:val="single" w:sz="4" w:space="0" w:color="auto"/>
            </w:tcBorders>
          </w:tcPr>
          <w:p w14:paraId="61431F36" w14:textId="65DF0FF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132</w:t>
            </w:r>
          </w:p>
        </w:tc>
        <w:tc>
          <w:tcPr>
            <w:tcW w:w="2165" w:type="dxa"/>
            <w:tcBorders>
              <w:top w:val="single" w:sz="4" w:space="0" w:color="auto"/>
            </w:tcBorders>
          </w:tcPr>
          <w:p w14:paraId="671136B4" w14:textId="3974724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34.9</w:t>
            </w:r>
          </w:p>
        </w:tc>
      </w:tr>
      <w:tr w:rsidR="00DB5AAD" w:rsidRPr="009142AC" w14:paraId="11E5CEC8" w14:textId="77777777" w:rsidTr="008D3401">
        <w:tc>
          <w:tcPr>
            <w:tcW w:w="4485" w:type="dxa"/>
          </w:tcPr>
          <w:p w14:paraId="06AF67F2" w14:textId="383A914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Pr>
          <w:p w14:paraId="12336012" w14:textId="39E3C9E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246</w:t>
            </w:r>
          </w:p>
        </w:tc>
        <w:tc>
          <w:tcPr>
            <w:tcW w:w="2165" w:type="dxa"/>
          </w:tcPr>
          <w:p w14:paraId="57F94C02" w14:textId="72C5617B"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65.1</w:t>
            </w:r>
          </w:p>
        </w:tc>
      </w:tr>
    </w:tbl>
    <w:p w14:paraId="3D9DF50D" w14:textId="77777777" w:rsidR="0074595D" w:rsidRDefault="0074595D" w:rsidP="0074595D">
      <w:pPr>
        <w:rPr>
          <w:rFonts w:ascii="Arial" w:hAnsi="Arial" w:cs="Arial"/>
          <w:b/>
          <w:bCs/>
          <w:sz w:val="20"/>
          <w:szCs w:val="20"/>
        </w:rPr>
      </w:pPr>
    </w:p>
    <w:p w14:paraId="36584737" w14:textId="4ECFD25D" w:rsidR="0074595D" w:rsidRPr="0074595D" w:rsidRDefault="0074595D" w:rsidP="0074595D">
      <w:pPr>
        <w:rPr>
          <w:rFonts w:ascii="Arial" w:hAnsi="Arial" w:cs="Arial"/>
          <w:b/>
          <w:bCs/>
          <w:sz w:val="20"/>
          <w:szCs w:val="20"/>
        </w:rPr>
      </w:pPr>
      <w:r w:rsidRPr="0074595D">
        <w:rPr>
          <w:rFonts w:ascii="Arial" w:hAnsi="Arial" w:cs="Arial"/>
          <w:b/>
          <w:bCs/>
          <w:sz w:val="20"/>
          <w:szCs w:val="20"/>
        </w:rPr>
        <w:t xml:space="preserve">Sociodemographic Factors Associated with </w:t>
      </w:r>
      <w:r>
        <w:rPr>
          <w:rFonts w:ascii="Arial" w:hAnsi="Arial" w:cs="Arial"/>
          <w:b/>
          <w:bCs/>
          <w:sz w:val="20"/>
          <w:szCs w:val="20"/>
        </w:rPr>
        <w:t xml:space="preserve">Prevalence of </w:t>
      </w:r>
      <w:r w:rsidRPr="0074595D">
        <w:rPr>
          <w:rFonts w:ascii="Arial" w:hAnsi="Arial" w:cs="Arial"/>
          <w:b/>
          <w:bCs/>
          <w:sz w:val="20"/>
          <w:szCs w:val="20"/>
        </w:rPr>
        <w:t>Energy Drink Consumption</w:t>
      </w:r>
    </w:p>
    <w:p w14:paraId="6C54EDA5" w14:textId="77777777" w:rsidR="00DB5AAD" w:rsidRDefault="0074595D" w:rsidP="00586B66">
      <w:pPr>
        <w:rPr>
          <w:rFonts w:ascii="Arial" w:hAnsi="Arial" w:cs="Arial"/>
          <w:sz w:val="20"/>
          <w:szCs w:val="20"/>
        </w:rPr>
      </w:pPr>
      <w:r w:rsidRPr="0074595D">
        <w:rPr>
          <w:rFonts w:ascii="Arial" w:hAnsi="Arial" w:cs="Arial"/>
          <w:sz w:val="20"/>
          <w:szCs w:val="20"/>
        </w:rPr>
        <w:t>Table 7 shows that gender and ethnicity emerged as statistically significant predictors of energy drink consumption among undergraduate students in Rivers State. Male students demonstrated significantly higher consumption rates (60.7%) compared to females (39.1%), with regression analysis confirming males had 2.55 times higher odds of being consumers (AOR=2.548; 95% CI: 1.508-4.307; p&lt;0.001). Ethnicity also showed significant associations, with Igbo/</w:t>
      </w:r>
      <w:proofErr w:type="spellStart"/>
      <w:r w:rsidRPr="0074595D">
        <w:rPr>
          <w:rFonts w:ascii="Arial" w:hAnsi="Arial" w:cs="Arial"/>
          <w:sz w:val="20"/>
          <w:szCs w:val="20"/>
        </w:rPr>
        <w:t>Ikwerre</w:t>
      </w:r>
      <w:proofErr w:type="spellEnd"/>
      <w:r w:rsidRPr="0074595D">
        <w:rPr>
          <w:rFonts w:ascii="Arial" w:hAnsi="Arial" w:cs="Arial"/>
          <w:sz w:val="20"/>
          <w:szCs w:val="20"/>
        </w:rPr>
        <w:t xml:space="preserve"> students exhibiting lower consumption rates (39.4%) compared to other ethnic groups (53.1%) and significantly reduced odds of consumption (AOR=0.562; 95% CI: 0.355-0.889; p=0.014). Other sociodemographic factors including age categories (p=0.603), marital status (p=0.166), academic level (p=0.278), university type (p=0.164), and knowledge level (p=0.338) did not demonstrate statistically significant associations with energy drink consumption in the regression model. </w:t>
      </w:r>
    </w:p>
    <w:p w14:paraId="425534AC" w14:textId="15C61D71" w:rsidR="0074595D" w:rsidRPr="0074595D" w:rsidRDefault="0074595D" w:rsidP="0074595D">
      <w:pPr>
        <w:rPr>
          <w:rFonts w:ascii="Arial" w:hAnsi="Arial" w:cs="Arial"/>
          <w:b/>
          <w:bCs/>
          <w:sz w:val="20"/>
          <w:szCs w:val="20"/>
        </w:rPr>
      </w:pPr>
      <w:r w:rsidRPr="0074595D">
        <w:rPr>
          <w:rFonts w:ascii="Arial" w:hAnsi="Arial" w:cs="Arial"/>
          <w:b/>
          <w:bCs/>
          <w:sz w:val="20"/>
          <w:szCs w:val="20"/>
        </w:rPr>
        <w:t>Attitudes, Practices, and Sleep Patterns Affecting Energy Drink Consumption</w:t>
      </w:r>
    </w:p>
    <w:p w14:paraId="59D2744A" w14:textId="69DB471A" w:rsidR="0074595D" w:rsidRPr="0074595D" w:rsidRDefault="0074595D" w:rsidP="0074595D">
      <w:pPr>
        <w:rPr>
          <w:rFonts w:ascii="Arial" w:hAnsi="Arial" w:cs="Arial"/>
          <w:sz w:val="20"/>
          <w:szCs w:val="20"/>
        </w:rPr>
      </w:pPr>
      <w:r w:rsidRPr="0074595D">
        <w:rPr>
          <w:rFonts w:ascii="Arial" w:hAnsi="Arial" w:cs="Arial"/>
          <w:b/>
          <w:bCs/>
          <w:sz w:val="20"/>
          <w:szCs w:val="20"/>
        </w:rPr>
        <w:t>Table 8</w:t>
      </w:r>
      <w:r w:rsidRPr="0074595D">
        <w:rPr>
          <w:rFonts w:ascii="Arial" w:hAnsi="Arial" w:cs="Arial"/>
          <w:sz w:val="20"/>
          <w:szCs w:val="20"/>
        </w:rPr>
        <w:t> shows that both attitudes and practices significantly predict energy drink consumption patterns. Students with inappropriate attitudes showed significantly lower consumption (35.0%) compared to those with appropriate attitudes (52.5%) in bivariate analysis (X²=11.291, p=0.001), though this association was not statistically significant in regression analysis (AOR=1.569, p=0.062). More importantly, practice level emerged as a strong significant predictor, with students demonstrating good practice levels showing substantially higher consumption rates (61.9%) compared to those with poor practice levels (39.1%). Regression analysis confirmed that good practice levels were associated with 2.54 times higher odds of energy drink consumption (AOR=2.535; 95% CI: 1.599-4.019; p&lt;0.001), indicating that behavioural patterns are more influential than attitudes in determining consumption behaviour.</w:t>
      </w:r>
    </w:p>
    <w:p w14:paraId="79C4117F" w14:textId="6A55B390" w:rsidR="0074595D" w:rsidRPr="0074595D" w:rsidRDefault="0074595D" w:rsidP="0074595D">
      <w:pPr>
        <w:rPr>
          <w:rFonts w:ascii="Arial" w:hAnsi="Arial" w:cs="Arial"/>
          <w:sz w:val="20"/>
          <w:szCs w:val="20"/>
        </w:rPr>
      </w:pPr>
      <w:r w:rsidRPr="0074595D">
        <w:rPr>
          <w:rFonts w:ascii="Arial" w:hAnsi="Arial" w:cs="Arial"/>
          <w:b/>
          <w:bCs/>
          <w:sz w:val="20"/>
          <w:szCs w:val="20"/>
        </w:rPr>
        <w:t>Table 9</w:t>
      </w:r>
      <w:r w:rsidRPr="0074595D">
        <w:rPr>
          <w:rFonts w:ascii="Arial" w:hAnsi="Arial" w:cs="Arial"/>
          <w:sz w:val="20"/>
          <w:szCs w:val="20"/>
        </w:rPr>
        <w:t xml:space="preserve"> shows that several sleep-related factors were significantly associated with energy drink consumption in bivariate analysis, though these associations were not maintained in adjusted regression models. Students reporting nighttime sleep difficulties showed higher consumption rates (64.4%) compared to regular sleepers (42.6%) (X²=7.606, p=0.006), though this relationship was marginally non-significant in regression analysis (AOR=2.022, p=0.054). Similarly, those sleeping less </w:t>
      </w:r>
      <w:r w:rsidRPr="0074595D">
        <w:rPr>
          <w:rFonts w:ascii="Arial" w:hAnsi="Arial" w:cs="Arial"/>
          <w:sz w:val="20"/>
          <w:szCs w:val="20"/>
        </w:rPr>
        <w:lastRenderedPageBreak/>
        <w:t>than 6 hours nightly showed higher consumption (53.9% vs. 40.8%; X²=5.870, p=0.015), but this association was not significant in adjusted analysis (AOR=1.359, p=0.219). Students experiencing sudden nocturnal awakenings with breathlessness also showed higher consumption rates (54.9% vs. 42.6%; X²=3.928, p=0.047), though this relationship was not significant in the regression model (AOR=0.712, p=0.246).</w:t>
      </w:r>
    </w:p>
    <w:p w14:paraId="78160CF1" w14:textId="7D9DC1B1" w:rsidR="0074595D" w:rsidRPr="0074595D" w:rsidRDefault="0074595D" w:rsidP="00586B66">
      <w:pPr>
        <w:rPr>
          <w:rFonts w:ascii="Arial" w:hAnsi="Arial" w:cs="Arial"/>
          <w:sz w:val="20"/>
          <w:szCs w:val="20"/>
        </w:rPr>
        <w:sectPr w:rsidR="0074595D" w:rsidRPr="0074595D" w:rsidSect="00B000ED">
          <w:pgSz w:w="11906" w:h="16838"/>
          <w:pgMar w:top="1440" w:right="1440" w:bottom="1440" w:left="1440" w:header="708" w:footer="708" w:gutter="0"/>
          <w:cols w:space="708"/>
          <w:docGrid w:linePitch="360"/>
        </w:sectPr>
      </w:pPr>
    </w:p>
    <w:p w14:paraId="5FB900B5" w14:textId="7E81E102" w:rsidR="00586B66" w:rsidRPr="009142AC" w:rsidRDefault="00586B66" w:rsidP="008D3401">
      <w:pPr>
        <w:pBdr>
          <w:bottom w:val="single" w:sz="4" w:space="1" w:color="auto"/>
        </w:pBdr>
        <w:spacing w:after="0" w:line="276" w:lineRule="auto"/>
        <w:rPr>
          <w:rFonts w:ascii="Arial" w:hAnsi="Arial" w:cs="Arial"/>
          <w:b/>
          <w:sz w:val="20"/>
          <w:szCs w:val="20"/>
        </w:rPr>
      </w:pPr>
      <w:r w:rsidRPr="009142AC">
        <w:rPr>
          <w:rFonts w:ascii="Arial" w:hAnsi="Arial" w:cs="Arial"/>
          <w:b/>
          <w:sz w:val="20"/>
          <w:szCs w:val="20"/>
        </w:rPr>
        <w:lastRenderedPageBreak/>
        <w:t>Table 7</w:t>
      </w:r>
      <w:r w:rsidR="009142AC" w:rsidRPr="009142AC">
        <w:rPr>
          <w:rFonts w:ascii="Arial" w:hAnsi="Arial" w:cs="Arial"/>
          <w:b/>
          <w:sz w:val="20"/>
          <w:szCs w:val="20"/>
        </w:rPr>
        <w:t>.</w:t>
      </w:r>
      <w:r w:rsidRPr="009142AC">
        <w:rPr>
          <w:rFonts w:ascii="Arial" w:hAnsi="Arial" w:cs="Arial"/>
          <w:b/>
          <w:sz w:val="20"/>
          <w:szCs w:val="20"/>
        </w:rPr>
        <w:t xml:space="preserve"> Soci</w:t>
      </w:r>
      <w:r w:rsidR="00FA297C" w:rsidRPr="009142AC">
        <w:rPr>
          <w:rFonts w:ascii="Arial" w:hAnsi="Arial" w:cs="Arial"/>
          <w:b/>
          <w:sz w:val="20"/>
          <w:szCs w:val="20"/>
        </w:rPr>
        <w:t>o</w:t>
      </w:r>
      <w:r w:rsidRPr="009142AC">
        <w:rPr>
          <w:rFonts w:ascii="Arial" w:hAnsi="Arial" w:cs="Arial"/>
          <w:b/>
          <w:sz w:val="20"/>
          <w:szCs w:val="20"/>
        </w:rPr>
        <w:t xml:space="preserve">demographic factors </w:t>
      </w:r>
      <w:r w:rsidR="0074595D">
        <w:rPr>
          <w:rFonts w:ascii="Arial" w:hAnsi="Arial" w:cs="Arial"/>
          <w:b/>
          <w:sz w:val="20"/>
          <w:szCs w:val="20"/>
        </w:rPr>
        <w:t xml:space="preserve">associated with prevalence of </w:t>
      </w:r>
      <w:r w:rsidRPr="009142AC">
        <w:rPr>
          <w:rFonts w:ascii="Arial" w:hAnsi="Arial" w:cs="Arial"/>
          <w:b/>
          <w:sz w:val="20"/>
          <w:szCs w:val="20"/>
        </w:rPr>
        <w:t>level of energy drink consumption among university students in Rivers State</w:t>
      </w:r>
      <w:r w:rsidR="00FA297C" w:rsidRPr="009142AC">
        <w:rPr>
          <w:rFonts w:ascii="Arial" w:hAnsi="Arial" w:cs="Arial"/>
          <w:b/>
          <w:sz w:val="20"/>
          <w:szCs w:val="20"/>
        </w:rPr>
        <w:t xml:space="preserve"> (n=378)</w:t>
      </w:r>
    </w:p>
    <w:tbl>
      <w:tblPr>
        <w:tblStyle w:val="TableGrid"/>
        <w:tblW w:w="137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418"/>
        <w:gridCol w:w="1559"/>
        <w:gridCol w:w="1843"/>
        <w:gridCol w:w="1984"/>
        <w:gridCol w:w="1559"/>
        <w:gridCol w:w="2410"/>
      </w:tblGrid>
      <w:tr w:rsidR="00DB5AAD" w:rsidRPr="008D3401" w14:paraId="15ACEE8B" w14:textId="77777777" w:rsidTr="008D3401">
        <w:trPr>
          <w:trHeight w:val="405"/>
        </w:trPr>
        <w:tc>
          <w:tcPr>
            <w:tcW w:w="2972" w:type="dxa"/>
            <w:vMerge w:val="restart"/>
            <w:tcBorders>
              <w:top w:val="single" w:sz="4" w:space="0" w:color="auto"/>
              <w:bottom w:val="nil"/>
            </w:tcBorders>
            <w:vAlign w:val="center"/>
            <w:hideMark/>
          </w:tcPr>
          <w:p w14:paraId="575D1098" w14:textId="04F75AB1"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 xml:space="preserve">Variables </w:t>
            </w:r>
          </w:p>
        </w:tc>
        <w:tc>
          <w:tcPr>
            <w:tcW w:w="2977" w:type="dxa"/>
            <w:gridSpan w:val="2"/>
            <w:tcBorders>
              <w:top w:val="single" w:sz="4" w:space="0" w:color="auto"/>
              <w:bottom w:val="single" w:sz="4" w:space="0" w:color="auto"/>
            </w:tcBorders>
            <w:vAlign w:val="center"/>
            <w:hideMark/>
          </w:tcPr>
          <w:p w14:paraId="28528630" w14:textId="77777777" w:rsidR="00DB5AAD" w:rsidRPr="008D3401" w:rsidRDefault="00DB5AAD" w:rsidP="008D3401">
            <w:pPr>
              <w:spacing w:line="276" w:lineRule="auto"/>
              <w:jc w:val="left"/>
              <w:rPr>
                <w:rFonts w:ascii="Arial" w:hAnsi="Arial" w:cs="Arial"/>
                <w:b/>
                <w:sz w:val="20"/>
                <w:szCs w:val="20"/>
              </w:rPr>
            </w:pPr>
            <w:r w:rsidRPr="008D3401">
              <w:rPr>
                <w:rFonts w:ascii="Arial" w:hAnsi="Arial" w:cs="Arial"/>
                <w:b/>
                <w:sz w:val="20"/>
                <w:szCs w:val="20"/>
              </w:rPr>
              <w:t>Prevalence level of energy drink consumption</w:t>
            </w:r>
          </w:p>
        </w:tc>
        <w:tc>
          <w:tcPr>
            <w:tcW w:w="1843" w:type="dxa"/>
            <w:vMerge w:val="restart"/>
            <w:tcBorders>
              <w:top w:val="single" w:sz="4" w:space="0" w:color="auto"/>
              <w:bottom w:val="nil"/>
            </w:tcBorders>
            <w:vAlign w:val="center"/>
            <w:hideMark/>
          </w:tcPr>
          <w:p w14:paraId="00F2B9A8" w14:textId="1F3DED46"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X</w:t>
            </w:r>
            <w:r w:rsidRPr="008D3401">
              <w:rPr>
                <w:rFonts w:ascii="Arial" w:hAnsi="Arial" w:cs="Arial"/>
                <w:b/>
                <w:sz w:val="20"/>
                <w:szCs w:val="20"/>
                <w:vertAlign w:val="superscript"/>
              </w:rPr>
              <w:t>2</w:t>
            </w:r>
            <w:r w:rsidR="00FA297C" w:rsidRPr="008D3401">
              <w:rPr>
                <w:rFonts w:ascii="Arial" w:hAnsi="Arial" w:cs="Arial"/>
                <w:b/>
                <w:sz w:val="20"/>
                <w:szCs w:val="20"/>
                <w:vertAlign w:val="superscript"/>
              </w:rPr>
              <w:t xml:space="preserve"> </w:t>
            </w:r>
            <w:r w:rsidRPr="008D3401">
              <w:rPr>
                <w:rFonts w:ascii="Arial" w:hAnsi="Arial" w:cs="Arial"/>
                <w:b/>
                <w:sz w:val="20"/>
                <w:szCs w:val="20"/>
              </w:rPr>
              <w:t>(p-values)</w:t>
            </w:r>
          </w:p>
        </w:tc>
        <w:tc>
          <w:tcPr>
            <w:tcW w:w="1984" w:type="dxa"/>
            <w:vMerge w:val="restart"/>
            <w:tcBorders>
              <w:top w:val="single" w:sz="4" w:space="0" w:color="auto"/>
              <w:bottom w:val="nil"/>
            </w:tcBorders>
            <w:vAlign w:val="center"/>
            <w:hideMark/>
          </w:tcPr>
          <w:p w14:paraId="7AC909D1" w14:textId="1FEE6168"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COR (CI)</w:t>
            </w:r>
          </w:p>
        </w:tc>
        <w:tc>
          <w:tcPr>
            <w:tcW w:w="3969" w:type="dxa"/>
            <w:gridSpan w:val="2"/>
            <w:tcBorders>
              <w:top w:val="single" w:sz="4" w:space="0" w:color="auto"/>
              <w:bottom w:val="single" w:sz="4" w:space="0" w:color="auto"/>
            </w:tcBorders>
            <w:vAlign w:val="center"/>
            <w:hideMark/>
          </w:tcPr>
          <w:p w14:paraId="0D8A8214" w14:textId="77777777"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Regression Analysis</w:t>
            </w:r>
          </w:p>
        </w:tc>
      </w:tr>
      <w:tr w:rsidR="00DB5AAD" w:rsidRPr="008D3401" w14:paraId="104F8311" w14:textId="77777777" w:rsidTr="008D3401">
        <w:tc>
          <w:tcPr>
            <w:tcW w:w="2972" w:type="dxa"/>
            <w:vMerge/>
            <w:tcBorders>
              <w:top w:val="nil"/>
              <w:bottom w:val="single" w:sz="4" w:space="0" w:color="auto"/>
            </w:tcBorders>
            <w:vAlign w:val="center"/>
            <w:hideMark/>
          </w:tcPr>
          <w:p w14:paraId="26480398" w14:textId="77777777" w:rsidR="00DB5AAD" w:rsidRPr="008D3401" w:rsidRDefault="00DB5AAD" w:rsidP="00FA297C">
            <w:pPr>
              <w:spacing w:line="276" w:lineRule="auto"/>
              <w:rPr>
                <w:rFonts w:ascii="Arial" w:hAnsi="Arial" w:cs="Arial"/>
                <w:b/>
                <w:sz w:val="20"/>
                <w:szCs w:val="20"/>
              </w:rPr>
            </w:pPr>
          </w:p>
        </w:tc>
        <w:tc>
          <w:tcPr>
            <w:tcW w:w="1418" w:type="dxa"/>
            <w:tcBorders>
              <w:top w:val="single" w:sz="4" w:space="0" w:color="auto"/>
              <w:bottom w:val="single" w:sz="4" w:space="0" w:color="auto"/>
            </w:tcBorders>
            <w:vAlign w:val="center"/>
            <w:hideMark/>
          </w:tcPr>
          <w:p w14:paraId="33BEA16E" w14:textId="40779040"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No (%)</w:t>
            </w:r>
          </w:p>
        </w:tc>
        <w:tc>
          <w:tcPr>
            <w:tcW w:w="1559" w:type="dxa"/>
            <w:tcBorders>
              <w:top w:val="single" w:sz="4" w:space="0" w:color="auto"/>
              <w:bottom w:val="single" w:sz="4" w:space="0" w:color="auto"/>
            </w:tcBorders>
            <w:vAlign w:val="center"/>
            <w:hideMark/>
          </w:tcPr>
          <w:p w14:paraId="3343D02E" w14:textId="45E5CDD4"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Yes (%)</w:t>
            </w:r>
          </w:p>
        </w:tc>
        <w:tc>
          <w:tcPr>
            <w:tcW w:w="1843" w:type="dxa"/>
            <w:vMerge/>
            <w:tcBorders>
              <w:top w:val="nil"/>
              <w:bottom w:val="single" w:sz="4" w:space="0" w:color="auto"/>
            </w:tcBorders>
            <w:vAlign w:val="center"/>
          </w:tcPr>
          <w:p w14:paraId="4B9638AC" w14:textId="77777777" w:rsidR="00DB5AAD" w:rsidRPr="008D3401" w:rsidRDefault="00DB5AAD" w:rsidP="00FA297C">
            <w:pPr>
              <w:spacing w:line="276" w:lineRule="auto"/>
              <w:rPr>
                <w:rFonts w:ascii="Arial" w:hAnsi="Arial" w:cs="Arial"/>
                <w:b/>
                <w:sz w:val="20"/>
                <w:szCs w:val="20"/>
              </w:rPr>
            </w:pPr>
          </w:p>
        </w:tc>
        <w:tc>
          <w:tcPr>
            <w:tcW w:w="1984" w:type="dxa"/>
            <w:vMerge/>
            <w:tcBorders>
              <w:top w:val="nil"/>
              <w:bottom w:val="single" w:sz="4" w:space="0" w:color="auto"/>
            </w:tcBorders>
            <w:vAlign w:val="center"/>
          </w:tcPr>
          <w:p w14:paraId="5D08EEA8" w14:textId="77777777" w:rsidR="00DB5AAD" w:rsidRPr="008D3401" w:rsidRDefault="00DB5AAD" w:rsidP="00FA297C">
            <w:pPr>
              <w:spacing w:line="276" w:lineRule="auto"/>
              <w:rPr>
                <w:rFonts w:ascii="Arial" w:hAnsi="Arial" w:cs="Arial"/>
                <w:b/>
                <w:sz w:val="20"/>
                <w:szCs w:val="20"/>
              </w:rPr>
            </w:pPr>
          </w:p>
        </w:tc>
        <w:tc>
          <w:tcPr>
            <w:tcW w:w="1559" w:type="dxa"/>
            <w:tcBorders>
              <w:top w:val="single" w:sz="4" w:space="0" w:color="auto"/>
              <w:bottom w:val="single" w:sz="4" w:space="0" w:color="auto"/>
            </w:tcBorders>
            <w:vAlign w:val="center"/>
            <w:hideMark/>
          </w:tcPr>
          <w:p w14:paraId="3AB88A82" w14:textId="77777777"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B(sig.)</w:t>
            </w:r>
          </w:p>
        </w:tc>
        <w:tc>
          <w:tcPr>
            <w:tcW w:w="2410" w:type="dxa"/>
            <w:tcBorders>
              <w:top w:val="single" w:sz="4" w:space="0" w:color="auto"/>
              <w:bottom w:val="single" w:sz="4" w:space="0" w:color="auto"/>
            </w:tcBorders>
            <w:vAlign w:val="center"/>
            <w:hideMark/>
          </w:tcPr>
          <w:p w14:paraId="54A67125" w14:textId="77777777"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OR(CI)</w:t>
            </w:r>
          </w:p>
        </w:tc>
      </w:tr>
      <w:tr w:rsidR="00DB5AAD" w:rsidRPr="009142AC" w14:paraId="7CBF766A" w14:textId="77777777" w:rsidTr="008D3401">
        <w:tc>
          <w:tcPr>
            <w:tcW w:w="13745" w:type="dxa"/>
            <w:gridSpan w:val="7"/>
            <w:tcBorders>
              <w:top w:val="single" w:sz="4" w:space="0" w:color="auto"/>
              <w:bottom w:val="single" w:sz="4" w:space="0" w:color="auto"/>
            </w:tcBorders>
            <w:vAlign w:val="center"/>
            <w:hideMark/>
          </w:tcPr>
          <w:p w14:paraId="0E701417" w14:textId="452EB895" w:rsidR="00DB5AAD" w:rsidRPr="009142AC" w:rsidRDefault="00DB5AAD" w:rsidP="00FA297C">
            <w:pPr>
              <w:spacing w:line="276" w:lineRule="auto"/>
              <w:rPr>
                <w:rFonts w:ascii="Arial" w:hAnsi="Arial" w:cs="Arial"/>
                <w:sz w:val="20"/>
                <w:szCs w:val="20"/>
              </w:rPr>
            </w:pPr>
            <w:r w:rsidRPr="009142AC">
              <w:rPr>
                <w:rFonts w:ascii="Arial" w:hAnsi="Arial" w:cs="Arial"/>
                <w:b/>
                <w:sz w:val="20"/>
                <w:szCs w:val="20"/>
              </w:rPr>
              <w:t>Age Category</w:t>
            </w:r>
          </w:p>
        </w:tc>
      </w:tr>
      <w:tr w:rsidR="009142AC" w:rsidRPr="009142AC" w14:paraId="6CE839AB" w14:textId="77777777" w:rsidTr="008D3401">
        <w:tc>
          <w:tcPr>
            <w:tcW w:w="2972" w:type="dxa"/>
            <w:tcBorders>
              <w:top w:val="single" w:sz="4" w:space="0" w:color="auto"/>
            </w:tcBorders>
            <w:vAlign w:val="center"/>
            <w:hideMark/>
          </w:tcPr>
          <w:p w14:paraId="582ECC5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Less than 21 years</w:t>
            </w:r>
          </w:p>
        </w:tc>
        <w:tc>
          <w:tcPr>
            <w:tcW w:w="1418" w:type="dxa"/>
            <w:tcBorders>
              <w:top w:val="single" w:sz="4" w:space="0" w:color="auto"/>
            </w:tcBorders>
            <w:vAlign w:val="center"/>
            <w:hideMark/>
          </w:tcPr>
          <w:p w14:paraId="166163E5"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92(57.1%)</w:t>
            </w:r>
          </w:p>
        </w:tc>
        <w:tc>
          <w:tcPr>
            <w:tcW w:w="1559" w:type="dxa"/>
            <w:tcBorders>
              <w:top w:val="single" w:sz="4" w:space="0" w:color="auto"/>
            </w:tcBorders>
            <w:vAlign w:val="center"/>
            <w:hideMark/>
          </w:tcPr>
          <w:p w14:paraId="3142169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69(42.9%)</w:t>
            </w:r>
          </w:p>
        </w:tc>
        <w:tc>
          <w:tcPr>
            <w:tcW w:w="1843" w:type="dxa"/>
            <w:tcBorders>
              <w:top w:val="single" w:sz="4" w:space="0" w:color="auto"/>
            </w:tcBorders>
            <w:vAlign w:val="center"/>
            <w:hideMark/>
          </w:tcPr>
          <w:p w14:paraId="4F68925D"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0.642(0.423)</w:t>
            </w:r>
          </w:p>
        </w:tc>
        <w:tc>
          <w:tcPr>
            <w:tcW w:w="1984" w:type="dxa"/>
            <w:tcBorders>
              <w:top w:val="single" w:sz="4" w:space="0" w:color="auto"/>
            </w:tcBorders>
            <w:vAlign w:val="center"/>
            <w:hideMark/>
          </w:tcPr>
          <w:p w14:paraId="79C3E3E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1.183(0.784-1.783)</w:t>
            </w:r>
          </w:p>
        </w:tc>
        <w:tc>
          <w:tcPr>
            <w:tcW w:w="1559" w:type="dxa"/>
            <w:tcBorders>
              <w:top w:val="single" w:sz="4" w:space="0" w:color="auto"/>
            </w:tcBorders>
            <w:vAlign w:val="center"/>
            <w:hideMark/>
          </w:tcPr>
          <w:p w14:paraId="6B0A36BB"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-0.140(0.603)</w:t>
            </w:r>
          </w:p>
        </w:tc>
        <w:tc>
          <w:tcPr>
            <w:tcW w:w="2410" w:type="dxa"/>
            <w:tcBorders>
              <w:top w:val="single" w:sz="4" w:space="0" w:color="auto"/>
            </w:tcBorders>
            <w:vAlign w:val="center"/>
            <w:hideMark/>
          </w:tcPr>
          <w:p w14:paraId="01E297D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0.870(0.514-1.472)</w:t>
            </w:r>
          </w:p>
        </w:tc>
      </w:tr>
      <w:tr w:rsidR="009142AC" w:rsidRPr="009142AC" w14:paraId="55CFA972" w14:textId="77777777" w:rsidTr="008D3401">
        <w:tc>
          <w:tcPr>
            <w:tcW w:w="2972" w:type="dxa"/>
            <w:tcBorders>
              <w:bottom w:val="single" w:sz="4" w:space="0" w:color="auto"/>
            </w:tcBorders>
            <w:vAlign w:val="center"/>
            <w:hideMark/>
          </w:tcPr>
          <w:p w14:paraId="23F94D29" w14:textId="1656A819"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21 years and above</w:t>
            </w:r>
            <w:r w:rsidR="00DB5AAD" w:rsidRPr="009142AC">
              <w:rPr>
                <w:rFonts w:ascii="Arial" w:hAnsi="Arial" w:cs="Arial"/>
                <w:sz w:val="20"/>
                <w:szCs w:val="20"/>
              </w:rPr>
              <w:t xml:space="preserve"> (ref)</w:t>
            </w:r>
          </w:p>
        </w:tc>
        <w:tc>
          <w:tcPr>
            <w:tcW w:w="1418" w:type="dxa"/>
            <w:tcBorders>
              <w:bottom w:val="single" w:sz="4" w:space="0" w:color="auto"/>
            </w:tcBorders>
            <w:vAlign w:val="center"/>
            <w:hideMark/>
          </w:tcPr>
          <w:p w14:paraId="2E11E800"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115(53.0%)</w:t>
            </w:r>
          </w:p>
        </w:tc>
        <w:tc>
          <w:tcPr>
            <w:tcW w:w="1559" w:type="dxa"/>
            <w:tcBorders>
              <w:bottom w:val="single" w:sz="4" w:space="0" w:color="auto"/>
            </w:tcBorders>
            <w:vAlign w:val="center"/>
            <w:hideMark/>
          </w:tcPr>
          <w:p w14:paraId="7FFE1420"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102(47.0%)</w:t>
            </w:r>
          </w:p>
        </w:tc>
        <w:tc>
          <w:tcPr>
            <w:tcW w:w="1843" w:type="dxa"/>
            <w:tcBorders>
              <w:bottom w:val="single" w:sz="4" w:space="0" w:color="auto"/>
            </w:tcBorders>
            <w:vAlign w:val="center"/>
          </w:tcPr>
          <w:p w14:paraId="5156FE71" w14:textId="77777777" w:rsidR="00586B66" w:rsidRPr="009142AC" w:rsidRDefault="00586B66" w:rsidP="00FA297C">
            <w:pPr>
              <w:spacing w:line="276" w:lineRule="auto"/>
              <w:rPr>
                <w:rFonts w:ascii="Arial" w:hAnsi="Arial" w:cs="Arial"/>
                <w:sz w:val="20"/>
                <w:szCs w:val="20"/>
              </w:rPr>
            </w:pPr>
          </w:p>
        </w:tc>
        <w:tc>
          <w:tcPr>
            <w:tcW w:w="1984" w:type="dxa"/>
            <w:tcBorders>
              <w:bottom w:val="single" w:sz="4" w:space="0" w:color="auto"/>
            </w:tcBorders>
            <w:vAlign w:val="center"/>
          </w:tcPr>
          <w:p w14:paraId="116C27C5" w14:textId="77777777" w:rsidR="00586B66" w:rsidRPr="009142AC" w:rsidRDefault="00586B66" w:rsidP="00FA297C">
            <w:pPr>
              <w:spacing w:line="276" w:lineRule="auto"/>
              <w:rPr>
                <w:rFonts w:ascii="Arial" w:hAnsi="Arial" w:cs="Arial"/>
                <w:sz w:val="20"/>
                <w:szCs w:val="20"/>
              </w:rPr>
            </w:pPr>
          </w:p>
        </w:tc>
        <w:tc>
          <w:tcPr>
            <w:tcW w:w="1559" w:type="dxa"/>
            <w:tcBorders>
              <w:bottom w:val="single" w:sz="4" w:space="0" w:color="auto"/>
            </w:tcBorders>
            <w:vAlign w:val="center"/>
          </w:tcPr>
          <w:p w14:paraId="7D3E678F" w14:textId="77777777" w:rsidR="00586B66" w:rsidRPr="009142AC" w:rsidRDefault="00586B66" w:rsidP="00FA297C">
            <w:pPr>
              <w:spacing w:line="276" w:lineRule="auto"/>
              <w:rPr>
                <w:rFonts w:ascii="Arial" w:hAnsi="Arial" w:cs="Arial"/>
                <w:sz w:val="20"/>
                <w:szCs w:val="20"/>
              </w:rPr>
            </w:pPr>
          </w:p>
        </w:tc>
        <w:tc>
          <w:tcPr>
            <w:tcW w:w="2410" w:type="dxa"/>
            <w:tcBorders>
              <w:bottom w:val="single" w:sz="4" w:space="0" w:color="auto"/>
            </w:tcBorders>
            <w:vAlign w:val="center"/>
          </w:tcPr>
          <w:p w14:paraId="5E17E597" w14:textId="77777777" w:rsidR="00586B66" w:rsidRPr="009142AC" w:rsidRDefault="00586B66" w:rsidP="00FA297C">
            <w:pPr>
              <w:spacing w:line="276" w:lineRule="auto"/>
              <w:rPr>
                <w:rFonts w:ascii="Arial" w:hAnsi="Arial" w:cs="Arial"/>
                <w:sz w:val="20"/>
                <w:szCs w:val="20"/>
              </w:rPr>
            </w:pPr>
          </w:p>
        </w:tc>
      </w:tr>
      <w:tr w:rsidR="00DB5AAD" w:rsidRPr="009142AC" w14:paraId="02830170" w14:textId="77777777" w:rsidTr="008D3401">
        <w:tc>
          <w:tcPr>
            <w:tcW w:w="13745" w:type="dxa"/>
            <w:gridSpan w:val="7"/>
            <w:tcBorders>
              <w:top w:val="single" w:sz="4" w:space="0" w:color="auto"/>
              <w:bottom w:val="single" w:sz="4" w:space="0" w:color="auto"/>
            </w:tcBorders>
            <w:vAlign w:val="center"/>
            <w:hideMark/>
          </w:tcPr>
          <w:p w14:paraId="091EED51" w14:textId="0BC04A59" w:rsidR="00DB5AAD" w:rsidRPr="009142AC" w:rsidRDefault="00DB5AAD" w:rsidP="00FA297C">
            <w:pPr>
              <w:spacing w:line="276" w:lineRule="auto"/>
              <w:rPr>
                <w:rFonts w:ascii="Arial" w:hAnsi="Arial" w:cs="Arial"/>
                <w:sz w:val="20"/>
                <w:szCs w:val="20"/>
              </w:rPr>
            </w:pPr>
            <w:r w:rsidRPr="009142AC">
              <w:rPr>
                <w:rFonts w:ascii="Arial" w:hAnsi="Arial" w:cs="Arial"/>
                <w:b/>
                <w:sz w:val="20"/>
                <w:szCs w:val="20"/>
              </w:rPr>
              <w:t>Gender</w:t>
            </w:r>
          </w:p>
        </w:tc>
      </w:tr>
      <w:tr w:rsidR="009142AC" w:rsidRPr="009142AC" w14:paraId="74AF957C" w14:textId="77777777" w:rsidTr="008D3401">
        <w:tc>
          <w:tcPr>
            <w:tcW w:w="2972" w:type="dxa"/>
            <w:tcBorders>
              <w:top w:val="single" w:sz="4" w:space="0" w:color="auto"/>
            </w:tcBorders>
            <w:vAlign w:val="center"/>
            <w:hideMark/>
          </w:tcPr>
          <w:p w14:paraId="76DAE45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Male</w:t>
            </w:r>
          </w:p>
        </w:tc>
        <w:tc>
          <w:tcPr>
            <w:tcW w:w="1418" w:type="dxa"/>
            <w:tcBorders>
              <w:top w:val="single" w:sz="4" w:space="0" w:color="auto"/>
            </w:tcBorders>
            <w:vAlign w:val="center"/>
            <w:hideMark/>
          </w:tcPr>
          <w:p w14:paraId="46763EA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42(39.3%)</w:t>
            </w:r>
          </w:p>
        </w:tc>
        <w:tc>
          <w:tcPr>
            <w:tcW w:w="1559" w:type="dxa"/>
            <w:tcBorders>
              <w:top w:val="single" w:sz="4" w:space="0" w:color="auto"/>
            </w:tcBorders>
            <w:vAlign w:val="center"/>
            <w:hideMark/>
          </w:tcPr>
          <w:p w14:paraId="414EC990"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65(60.7%)</w:t>
            </w:r>
          </w:p>
        </w:tc>
        <w:tc>
          <w:tcPr>
            <w:tcW w:w="1843" w:type="dxa"/>
            <w:tcBorders>
              <w:top w:val="single" w:sz="4" w:space="0" w:color="auto"/>
            </w:tcBorders>
            <w:vAlign w:val="center"/>
            <w:hideMark/>
          </w:tcPr>
          <w:p w14:paraId="06976FEF" w14:textId="157B904A"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14.492</w:t>
            </w:r>
            <w:r w:rsidR="00DB5AAD" w:rsidRPr="009142AC">
              <w:rPr>
                <w:rFonts w:ascii="Arial" w:hAnsi="Arial" w:cs="Arial"/>
                <w:sz w:val="20"/>
                <w:szCs w:val="20"/>
              </w:rPr>
              <w:t xml:space="preserve"> </w:t>
            </w:r>
            <w:r w:rsidRPr="009142AC">
              <w:rPr>
                <w:rFonts w:ascii="Arial" w:hAnsi="Arial" w:cs="Arial"/>
                <w:sz w:val="20"/>
                <w:szCs w:val="20"/>
              </w:rPr>
              <w:t>(0.000*)</w:t>
            </w:r>
          </w:p>
        </w:tc>
        <w:tc>
          <w:tcPr>
            <w:tcW w:w="1984" w:type="dxa"/>
            <w:tcBorders>
              <w:top w:val="single" w:sz="4" w:space="0" w:color="auto"/>
            </w:tcBorders>
            <w:vAlign w:val="center"/>
            <w:hideMark/>
          </w:tcPr>
          <w:p w14:paraId="7AADD666"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0.415(0.262-0.656)</w:t>
            </w:r>
          </w:p>
        </w:tc>
        <w:tc>
          <w:tcPr>
            <w:tcW w:w="1559" w:type="dxa"/>
            <w:tcBorders>
              <w:top w:val="single" w:sz="4" w:space="0" w:color="auto"/>
            </w:tcBorders>
            <w:vAlign w:val="center"/>
            <w:hideMark/>
          </w:tcPr>
          <w:p w14:paraId="7A06F83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0.935 (0.000*)</w:t>
            </w:r>
          </w:p>
        </w:tc>
        <w:tc>
          <w:tcPr>
            <w:tcW w:w="2410" w:type="dxa"/>
            <w:tcBorders>
              <w:top w:val="single" w:sz="4" w:space="0" w:color="auto"/>
            </w:tcBorders>
            <w:vAlign w:val="center"/>
            <w:hideMark/>
          </w:tcPr>
          <w:p w14:paraId="786C7AC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2.548(1.508-4.307)</w:t>
            </w:r>
          </w:p>
        </w:tc>
      </w:tr>
      <w:tr w:rsidR="009142AC" w:rsidRPr="009142AC" w14:paraId="7180F47F" w14:textId="77777777" w:rsidTr="008D3401">
        <w:tc>
          <w:tcPr>
            <w:tcW w:w="2972" w:type="dxa"/>
            <w:tcBorders>
              <w:bottom w:val="single" w:sz="4" w:space="0" w:color="auto"/>
            </w:tcBorders>
            <w:vAlign w:val="center"/>
            <w:hideMark/>
          </w:tcPr>
          <w:p w14:paraId="0F06AADD" w14:textId="71AE732D"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Female</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hideMark/>
          </w:tcPr>
          <w:p w14:paraId="0DD59AA8"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165(60.9%)</w:t>
            </w:r>
          </w:p>
        </w:tc>
        <w:tc>
          <w:tcPr>
            <w:tcW w:w="1559" w:type="dxa"/>
            <w:tcBorders>
              <w:bottom w:val="single" w:sz="4" w:space="0" w:color="auto"/>
            </w:tcBorders>
            <w:vAlign w:val="center"/>
            <w:hideMark/>
          </w:tcPr>
          <w:p w14:paraId="569AE59D"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106(39.1%)</w:t>
            </w:r>
          </w:p>
        </w:tc>
        <w:tc>
          <w:tcPr>
            <w:tcW w:w="1843" w:type="dxa"/>
            <w:tcBorders>
              <w:bottom w:val="single" w:sz="4" w:space="0" w:color="auto"/>
            </w:tcBorders>
            <w:vAlign w:val="center"/>
          </w:tcPr>
          <w:p w14:paraId="0F6795EC" w14:textId="77777777" w:rsidR="00586B66" w:rsidRPr="009142AC" w:rsidRDefault="00586B66" w:rsidP="00FA297C">
            <w:pPr>
              <w:spacing w:line="276" w:lineRule="auto"/>
              <w:rPr>
                <w:rFonts w:ascii="Arial" w:hAnsi="Arial" w:cs="Arial"/>
                <w:sz w:val="20"/>
                <w:szCs w:val="20"/>
              </w:rPr>
            </w:pPr>
          </w:p>
        </w:tc>
        <w:tc>
          <w:tcPr>
            <w:tcW w:w="1984" w:type="dxa"/>
            <w:tcBorders>
              <w:bottom w:val="single" w:sz="4" w:space="0" w:color="auto"/>
            </w:tcBorders>
            <w:vAlign w:val="center"/>
          </w:tcPr>
          <w:p w14:paraId="13EF4911" w14:textId="77777777" w:rsidR="00586B66" w:rsidRPr="009142AC" w:rsidRDefault="00586B66" w:rsidP="00FA297C">
            <w:pPr>
              <w:spacing w:line="276" w:lineRule="auto"/>
              <w:rPr>
                <w:rFonts w:ascii="Arial" w:hAnsi="Arial" w:cs="Arial"/>
                <w:sz w:val="20"/>
                <w:szCs w:val="20"/>
              </w:rPr>
            </w:pPr>
          </w:p>
        </w:tc>
        <w:tc>
          <w:tcPr>
            <w:tcW w:w="1559" w:type="dxa"/>
            <w:tcBorders>
              <w:bottom w:val="single" w:sz="4" w:space="0" w:color="auto"/>
            </w:tcBorders>
            <w:vAlign w:val="center"/>
          </w:tcPr>
          <w:p w14:paraId="5DD2CBD8" w14:textId="77777777" w:rsidR="00586B66" w:rsidRPr="009142AC" w:rsidRDefault="00586B66" w:rsidP="00FA297C">
            <w:pPr>
              <w:spacing w:line="276" w:lineRule="auto"/>
              <w:rPr>
                <w:rFonts w:ascii="Arial" w:hAnsi="Arial" w:cs="Arial"/>
                <w:sz w:val="20"/>
                <w:szCs w:val="20"/>
              </w:rPr>
            </w:pPr>
          </w:p>
        </w:tc>
        <w:tc>
          <w:tcPr>
            <w:tcW w:w="2410" w:type="dxa"/>
            <w:tcBorders>
              <w:bottom w:val="single" w:sz="4" w:space="0" w:color="auto"/>
            </w:tcBorders>
            <w:vAlign w:val="center"/>
          </w:tcPr>
          <w:p w14:paraId="7AE2FFEC" w14:textId="77777777" w:rsidR="00586B66" w:rsidRPr="009142AC" w:rsidRDefault="00586B66" w:rsidP="00FA297C">
            <w:pPr>
              <w:spacing w:line="276" w:lineRule="auto"/>
              <w:rPr>
                <w:rFonts w:ascii="Arial" w:hAnsi="Arial" w:cs="Arial"/>
                <w:sz w:val="20"/>
                <w:szCs w:val="20"/>
              </w:rPr>
            </w:pPr>
          </w:p>
        </w:tc>
      </w:tr>
      <w:tr w:rsidR="00DB5AAD" w:rsidRPr="009142AC" w14:paraId="3CFAF2CC" w14:textId="77777777" w:rsidTr="008D3401">
        <w:tc>
          <w:tcPr>
            <w:tcW w:w="13745" w:type="dxa"/>
            <w:gridSpan w:val="7"/>
            <w:tcBorders>
              <w:top w:val="single" w:sz="4" w:space="0" w:color="auto"/>
              <w:bottom w:val="single" w:sz="4" w:space="0" w:color="auto"/>
            </w:tcBorders>
            <w:vAlign w:val="center"/>
            <w:hideMark/>
          </w:tcPr>
          <w:p w14:paraId="7EC3EA28" w14:textId="7B8C4871" w:rsidR="00DB5AAD" w:rsidRPr="009142AC" w:rsidRDefault="00DB5AAD" w:rsidP="00FA297C">
            <w:pPr>
              <w:spacing w:line="276" w:lineRule="auto"/>
              <w:rPr>
                <w:rFonts w:ascii="Arial" w:hAnsi="Arial" w:cs="Arial"/>
                <w:sz w:val="20"/>
                <w:szCs w:val="20"/>
              </w:rPr>
            </w:pPr>
            <w:r w:rsidRPr="009142AC">
              <w:rPr>
                <w:rFonts w:ascii="Arial" w:hAnsi="Arial" w:cs="Arial"/>
                <w:b/>
                <w:sz w:val="20"/>
                <w:szCs w:val="20"/>
              </w:rPr>
              <w:t>Marital Status</w:t>
            </w:r>
          </w:p>
        </w:tc>
      </w:tr>
      <w:tr w:rsidR="009142AC" w:rsidRPr="009142AC" w14:paraId="2053D778" w14:textId="77777777" w:rsidTr="008D3401">
        <w:tc>
          <w:tcPr>
            <w:tcW w:w="2972" w:type="dxa"/>
            <w:tcBorders>
              <w:top w:val="single" w:sz="4" w:space="0" w:color="auto"/>
            </w:tcBorders>
            <w:vAlign w:val="center"/>
            <w:hideMark/>
          </w:tcPr>
          <w:p w14:paraId="0241561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Single</w:t>
            </w:r>
          </w:p>
        </w:tc>
        <w:tc>
          <w:tcPr>
            <w:tcW w:w="1418" w:type="dxa"/>
            <w:tcBorders>
              <w:top w:val="single" w:sz="4" w:space="0" w:color="auto"/>
            </w:tcBorders>
            <w:vAlign w:val="center"/>
            <w:hideMark/>
          </w:tcPr>
          <w:p w14:paraId="1F90DCB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196(54.0%)</w:t>
            </w:r>
          </w:p>
        </w:tc>
        <w:tc>
          <w:tcPr>
            <w:tcW w:w="1559" w:type="dxa"/>
            <w:tcBorders>
              <w:top w:val="single" w:sz="4" w:space="0" w:color="auto"/>
            </w:tcBorders>
            <w:vAlign w:val="center"/>
            <w:hideMark/>
          </w:tcPr>
          <w:p w14:paraId="136F4374"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167(46.0%)</w:t>
            </w:r>
          </w:p>
        </w:tc>
        <w:tc>
          <w:tcPr>
            <w:tcW w:w="1843" w:type="dxa"/>
            <w:tcBorders>
              <w:top w:val="single" w:sz="4" w:space="0" w:color="auto"/>
            </w:tcBorders>
            <w:vAlign w:val="center"/>
            <w:hideMark/>
          </w:tcPr>
          <w:p w14:paraId="2E7B78C2"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2.175(0.140)</w:t>
            </w:r>
          </w:p>
        </w:tc>
        <w:tc>
          <w:tcPr>
            <w:tcW w:w="1984" w:type="dxa"/>
            <w:tcBorders>
              <w:top w:val="single" w:sz="4" w:space="0" w:color="auto"/>
            </w:tcBorders>
            <w:vAlign w:val="center"/>
            <w:hideMark/>
          </w:tcPr>
          <w:p w14:paraId="51D4661E"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0.427(0.133-1.365)</w:t>
            </w:r>
          </w:p>
        </w:tc>
        <w:tc>
          <w:tcPr>
            <w:tcW w:w="1559" w:type="dxa"/>
            <w:tcBorders>
              <w:top w:val="single" w:sz="4" w:space="0" w:color="auto"/>
            </w:tcBorders>
            <w:vAlign w:val="center"/>
            <w:hideMark/>
          </w:tcPr>
          <w:p w14:paraId="5C5E7D37"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0.949(0.166)</w:t>
            </w:r>
          </w:p>
        </w:tc>
        <w:tc>
          <w:tcPr>
            <w:tcW w:w="2410" w:type="dxa"/>
            <w:tcBorders>
              <w:top w:val="single" w:sz="4" w:space="0" w:color="auto"/>
            </w:tcBorders>
            <w:vAlign w:val="center"/>
            <w:hideMark/>
          </w:tcPr>
          <w:p w14:paraId="2FF68B89"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2.584(0.674-9.909)</w:t>
            </w:r>
          </w:p>
        </w:tc>
      </w:tr>
      <w:tr w:rsidR="009142AC" w:rsidRPr="009142AC" w14:paraId="66452332" w14:textId="77777777" w:rsidTr="008D3401">
        <w:tc>
          <w:tcPr>
            <w:tcW w:w="2972" w:type="dxa"/>
            <w:tcBorders>
              <w:bottom w:val="single" w:sz="4" w:space="0" w:color="auto"/>
            </w:tcBorders>
            <w:vAlign w:val="center"/>
            <w:hideMark/>
          </w:tcPr>
          <w:p w14:paraId="4B7DE21F" w14:textId="365C06D5"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Married</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hideMark/>
          </w:tcPr>
          <w:p w14:paraId="37589CB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11(73.3%)</w:t>
            </w:r>
          </w:p>
        </w:tc>
        <w:tc>
          <w:tcPr>
            <w:tcW w:w="1559" w:type="dxa"/>
            <w:tcBorders>
              <w:bottom w:val="single" w:sz="4" w:space="0" w:color="auto"/>
            </w:tcBorders>
            <w:vAlign w:val="center"/>
            <w:hideMark/>
          </w:tcPr>
          <w:p w14:paraId="5D8045E8"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4(26.7%)</w:t>
            </w:r>
          </w:p>
        </w:tc>
        <w:tc>
          <w:tcPr>
            <w:tcW w:w="1843" w:type="dxa"/>
            <w:tcBorders>
              <w:bottom w:val="single" w:sz="4" w:space="0" w:color="auto"/>
            </w:tcBorders>
            <w:vAlign w:val="center"/>
          </w:tcPr>
          <w:p w14:paraId="1D06CF0B" w14:textId="77777777" w:rsidR="00586B66" w:rsidRPr="009142AC" w:rsidRDefault="00586B66" w:rsidP="00FA297C">
            <w:pPr>
              <w:spacing w:line="276" w:lineRule="auto"/>
              <w:rPr>
                <w:rFonts w:ascii="Arial" w:hAnsi="Arial" w:cs="Arial"/>
                <w:sz w:val="20"/>
                <w:szCs w:val="20"/>
              </w:rPr>
            </w:pPr>
          </w:p>
        </w:tc>
        <w:tc>
          <w:tcPr>
            <w:tcW w:w="1984" w:type="dxa"/>
            <w:tcBorders>
              <w:bottom w:val="single" w:sz="4" w:space="0" w:color="auto"/>
            </w:tcBorders>
            <w:vAlign w:val="center"/>
          </w:tcPr>
          <w:p w14:paraId="294192D8" w14:textId="77777777" w:rsidR="00586B66" w:rsidRPr="009142AC" w:rsidRDefault="00586B66" w:rsidP="00FA297C">
            <w:pPr>
              <w:spacing w:line="276" w:lineRule="auto"/>
              <w:rPr>
                <w:rFonts w:ascii="Arial" w:hAnsi="Arial" w:cs="Arial"/>
                <w:sz w:val="20"/>
                <w:szCs w:val="20"/>
              </w:rPr>
            </w:pPr>
          </w:p>
        </w:tc>
        <w:tc>
          <w:tcPr>
            <w:tcW w:w="1559" w:type="dxa"/>
            <w:tcBorders>
              <w:bottom w:val="single" w:sz="4" w:space="0" w:color="auto"/>
            </w:tcBorders>
            <w:vAlign w:val="center"/>
          </w:tcPr>
          <w:p w14:paraId="53AB24A3" w14:textId="77777777" w:rsidR="00586B66" w:rsidRPr="009142AC" w:rsidRDefault="00586B66" w:rsidP="00FA297C">
            <w:pPr>
              <w:spacing w:line="276" w:lineRule="auto"/>
              <w:rPr>
                <w:rFonts w:ascii="Arial" w:hAnsi="Arial" w:cs="Arial"/>
                <w:sz w:val="20"/>
                <w:szCs w:val="20"/>
              </w:rPr>
            </w:pPr>
          </w:p>
        </w:tc>
        <w:tc>
          <w:tcPr>
            <w:tcW w:w="2410" w:type="dxa"/>
            <w:tcBorders>
              <w:bottom w:val="single" w:sz="4" w:space="0" w:color="auto"/>
            </w:tcBorders>
            <w:vAlign w:val="center"/>
          </w:tcPr>
          <w:p w14:paraId="67A95595" w14:textId="77777777" w:rsidR="00586B66" w:rsidRPr="009142AC" w:rsidRDefault="00586B66" w:rsidP="00FA297C">
            <w:pPr>
              <w:spacing w:line="276" w:lineRule="auto"/>
              <w:rPr>
                <w:rFonts w:ascii="Arial" w:hAnsi="Arial" w:cs="Arial"/>
                <w:sz w:val="20"/>
                <w:szCs w:val="20"/>
              </w:rPr>
            </w:pPr>
          </w:p>
        </w:tc>
      </w:tr>
      <w:tr w:rsidR="00FA297C" w:rsidRPr="009142AC" w14:paraId="687612B5" w14:textId="77777777" w:rsidTr="008D3401">
        <w:tc>
          <w:tcPr>
            <w:tcW w:w="13745" w:type="dxa"/>
            <w:gridSpan w:val="7"/>
            <w:tcBorders>
              <w:top w:val="single" w:sz="4" w:space="0" w:color="auto"/>
              <w:bottom w:val="single" w:sz="4" w:space="0" w:color="auto"/>
            </w:tcBorders>
            <w:vAlign w:val="center"/>
          </w:tcPr>
          <w:p w14:paraId="61FE00EB" w14:textId="25242EF0"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Ethnicity</w:t>
            </w:r>
          </w:p>
        </w:tc>
      </w:tr>
      <w:tr w:rsidR="00FA297C" w:rsidRPr="009142AC" w14:paraId="268E93F0" w14:textId="77777777" w:rsidTr="008D3401">
        <w:tc>
          <w:tcPr>
            <w:tcW w:w="2972" w:type="dxa"/>
            <w:tcBorders>
              <w:top w:val="single" w:sz="4" w:space="0" w:color="auto"/>
            </w:tcBorders>
            <w:vAlign w:val="center"/>
          </w:tcPr>
          <w:p w14:paraId="20D4C83B" w14:textId="2AA6FAF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Igbo/</w:t>
            </w:r>
            <w:proofErr w:type="spellStart"/>
            <w:r w:rsidRPr="009142AC">
              <w:rPr>
                <w:rFonts w:ascii="Arial" w:hAnsi="Arial" w:cs="Arial"/>
                <w:sz w:val="20"/>
                <w:szCs w:val="20"/>
              </w:rPr>
              <w:t>Ikwerre</w:t>
            </w:r>
            <w:proofErr w:type="spellEnd"/>
          </w:p>
        </w:tc>
        <w:tc>
          <w:tcPr>
            <w:tcW w:w="1418" w:type="dxa"/>
            <w:tcBorders>
              <w:top w:val="single" w:sz="4" w:space="0" w:color="auto"/>
            </w:tcBorders>
            <w:vAlign w:val="center"/>
          </w:tcPr>
          <w:p w14:paraId="1E123456" w14:textId="58A9C4B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131(60.6%)</w:t>
            </w:r>
          </w:p>
        </w:tc>
        <w:tc>
          <w:tcPr>
            <w:tcW w:w="1559" w:type="dxa"/>
            <w:tcBorders>
              <w:top w:val="single" w:sz="4" w:space="0" w:color="auto"/>
            </w:tcBorders>
            <w:vAlign w:val="center"/>
          </w:tcPr>
          <w:p w14:paraId="3B6E83DC" w14:textId="03EC2F7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85(39.4%)</w:t>
            </w:r>
          </w:p>
        </w:tc>
        <w:tc>
          <w:tcPr>
            <w:tcW w:w="1843" w:type="dxa"/>
            <w:tcBorders>
              <w:top w:val="single" w:sz="4" w:space="0" w:color="auto"/>
            </w:tcBorders>
            <w:vAlign w:val="center"/>
          </w:tcPr>
          <w:p w14:paraId="19C566BE" w14:textId="16E5CEA9"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7.049(0.008*)</w:t>
            </w:r>
          </w:p>
        </w:tc>
        <w:tc>
          <w:tcPr>
            <w:tcW w:w="1984" w:type="dxa"/>
            <w:tcBorders>
              <w:top w:val="single" w:sz="4" w:space="0" w:color="auto"/>
            </w:tcBorders>
            <w:vAlign w:val="center"/>
          </w:tcPr>
          <w:p w14:paraId="45033601" w14:textId="0935E87D"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1.744(1.155-2.633)</w:t>
            </w:r>
          </w:p>
        </w:tc>
        <w:tc>
          <w:tcPr>
            <w:tcW w:w="1559" w:type="dxa"/>
            <w:tcBorders>
              <w:top w:val="single" w:sz="4" w:space="0" w:color="auto"/>
            </w:tcBorders>
            <w:vAlign w:val="center"/>
          </w:tcPr>
          <w:p w14:paraId="273B99EF" w14:textId="7424B4A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-0.576 (0.014*)</w:t>
            </w:r>
          </w:p>
        </w:tc>
        <w:tc>
          <w:tcPr>
            <w:tcW w:w="2410" w:type="dxa"/>
            <w:tcBorders>
              <w:top w:val="single" w:sz="4" w:space="0" w:color="auto"/>
            </w:tcBorders>
            <w:vAlign w:val="center"/>
          </w:tcPr>
          <w:p w14:paraId="348D29EF" w14:textId="3F32B804"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0.562(0.355-0.889)</w:t>
            </w:r>
          </w:p>
        </w:tc>
      </w:tr>
      <w:tr w:rsidR="00FA297C" w:rsidRPr="009142AC" w14:paraId="0E9C4C7B" w14:textId="77777777" w:rsidTr="008D3401">
        <w:tc>
          <w:tcPr>
            <w:tcW w:w="2972" w:type="dxa"/>
            <w:tcBorders>
              <w:bottom w:val="single" w:sz="4" w:space="0" w:color="auto"/>
            </w:tcBorders>
            <w:vAlign w:val="center"/>
          </w:tcPr>
          <w:p w14:paraId="3229618B" w14:textId="39B28C9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Hausa/Yoruba/Ijaw/Isoko/Ibibio/Others</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tcPr>
          <w:p w14:paraId="788FE018" w14:textId="47EDBFF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76(46.9%)</w:t>
            </w:r>
          </w:p>
        </w:tc>
        <w:tc>
          <w:tcPr>
            <w:tcW w:w="1559" w:type="dxa"/>
            <w:tcBorders>
              <w:bottom w:val="single" w:sz="4" w:space="0" w:color="auto"/>
            </w:tcBorders>
            <w:vAlign w:val="center"/>
          </w:tcPr>
          <w:p w14:paraId="4294E750" w14:textId="06E9B5F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86(53.1%)</w:t>
            </w:r>
          </w:p>
        </w:tc>
        <w:tc>
          <w:tcPr>
            <w:tcW w:w="1843" w:type="dxa"/>
            <w:tcBorders>
              <w:bottom w:val="single" w:sz="4" w:space="0" w:color="auto"/>
            </w:tcBorders>
            <w:vAlign w:val="center"/>
          </w:tcPr>
          <w:p w14:paraId="657AC5CC" w14:textId="77777777" w:rsidR="00FA297C" w:rsidRPr="009142AC" w:rsidRDefault="00FA297C" w:rsidP="00FA297C">
            <w:pPr>
              <w:spacing w:line="276" w:lineRule="auto"/>
              <w:rPr>
                <w:rFonts w:ascii="Arial" w:hAnsi="Arial" w:cs="Arial"/>
                <w:sz w:val="20"/>
                <w:szCs w:val="20"/>
              </w:rPr>
            </w:pPr>
          </w:p>
        </w:tc>
        <w:tc>
          <w:tcPr>
            <w:tcW w:w="1984" w:type="dxa"/>
            <w:tcBorders>
              <w:bottom w:val="single" w:sz="4" w:space="0" w:color="auto"/>
            </w:tcBorders>
            <w:vAlign w:val="center"/>
          </w:tcPr>
          <w:p w14:paraId="320305DE" w14:textId="77777777" w:rsidR="00FA297C" w:rsidRPr="009142AC" w:rsidRDefault="00FA297C" w:rsidP="00FA297C">
            <w:pPr>
              <w:spacing w:line="276" w:lineRule="auto"/>
              <w:rPr>
                <w:rFonts w:ascii="Arial" w:hAnsi="Arial" w:cs="Arial"/>
                <w:sz w:val="20"/>
                <w:szCs w:val="20"/>
              </w:rPr>
            </w:pPr>
          </w:p>
        </w:tc>
        <w:tc>
          <w:tcPr>
            <w:tcW w:w="1559" w:type="dxa"/>
            <w:tcBorders>
              <w:bottom w:val="single" w:sz="4" w:space="0" w:color="auto"/>
            </w:tcBorders>
            <w:vAlign w:val="center"/>
          </w:tcPr>
          <w:p w14:paraId="3904D88F" w14:textId="77777777" w:rsidR="00FA297C" w:rsidRPr="009142AC" w:rsidRDefault="00FA297C" w:rsidP="00FA297C">
            <w:pPr>
              <w:spacing w:line="276" w:lineRule="auto"/>
              <w:rPr>
                <w:rFonts w:ascii="Arial" w:hAnsi="Arial" w:cs="Arial"/>
                <w:sz w:val="20"/>
                <w:szCs w:val="20"/>
              </w:rPr>
            </w:pPr>
          </w:p>
        </w:tc>
        <w:tc>
          <w:tcPr>
            <w:tcW w:w="2410" w:type="dxa"/>
            <w:tcBorders>
              <w:bottom w:val="single" w:sz="4" w:space="0" w:color="auto"/>
            </w:tcBorders>
            <w:vAlign w:val="center"/>
          </w:tcPr>
          <w:p w14:paraId="09F4C7A9" w14:textId="77777777" w:rsidR="00FA297C" w:rsidRPr="009142AC" w:rsidRDefault="00FA297C" w:rsidP="00FA297C">
            <w:pPr>
              <w:spacing w:line="276" w:lineRule="auto"/>
              <w:rPr>
                <w:rFonts w:ascii="Arial" w:hAnsi="Arial" w:cs="Arial"/>
                <w:sz w:val="20"/>
                <w:szCs w:val="20"/>
              </w:rPr>
            </w:pPr>
          </w:p>
        </w:tc>
      </w:tr>
      <w:tr w:rsidR="00FA297C" w:rsidRPr="009142AC" w14:paraId="01A78D78" w14:textId="77777777" w:rsidTr="008D3401">
        <w:tc>
          <w:tcPr>
            <w:tcW w:w="13745" w:type="dxa"/>
            <w:gridSpan w:val="7"/>
            <w:tcBorders>
              <w:top w:val="single" w:sz="4" w:space="0" w:color="auto"/>
              <w:bottom w:val="single" w:sz="4" w:space="0" w:color="auto"/>
            </w:tcBorders>
            <w:vAlign w:val="center"/>
          </w:tcPr>
          <w:p w14:paraId="0146513F" w14:textId="7D2DD287"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Academic Level/Year of Study</w:t>
            </w:r>
          </w:p>
        </w:tc>
      </w:tr>
      <w:tr w:rsidR="00FA297C" w:rsidRPr="009142AC" w14:paraId="7FFDC3C8" w14:textId="77777777" w:rsidTr="008D3401">
        <w:tc>
          <w:tcPr>
            <w:tcW w:w="2972" w:type="dxa"/>
            <w:tcBorders>
              <w:top w:val="single" w:sz="4" w:space="0" w:color="auto"/>
            </w:tcBorders>
            <w:vAlign w:val="center"/>
          </w:tcPr>
          <w:p w14:paraId="66A38FC1" w14:textId="5381CFC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First/second year</w:t>
            </w:r>
          </w:p>
        </w:tc>
        <w:tc>
          <w:tcPr>
            <w:tcW w:w="1418" w:type="dxa"/>
            <w:tcBorders>
              <w:top w:val="single" w:sz="4" w:space="0" w:color="auto"/>
            </w:tcBorders>
            <w:vAlign w:val="center"/>
          </w:tcPr>
          <w:p w14:paraId="2BCECE29" w14:textId="360CF756"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76(52.8%)</w:t>
            </w:r>
          </w:p>
        </w:tc>
        <w:tc>
          <w:tcPr>
            <w:tcW w:w="1559" w:type="dxa"/>
            <w:tcBorders>
              <w:top w:val="single" w:sz="4" w:space="0" w:color="auto"/>
            </w:tcBorders>
            <w:vAlign w:val="center"/>
          </w:tcPr>
          <w:p w14:paraId="37C7B5B7" w14:textId="2A796341"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68(47.2%)</w:t>
            </w:r>
          </w:p>
        </w:tc>
        <w:tc>
          <w:tcPr>
            <w:tcW w:w="1843" w:type="dxa"/>
            <w:tcBorders>
              <w:top w:val="single" w:sz="4" w:space="0" w:color="auto"/>
            </w:tcBorders>
            <w:vAlign w:val="center"/>
          </w:tcPr>
          <w:p w14:paraId="0392F783" w14:textId="0DE1734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0.370(0.543)</w:t>
            </w:r>
          </w:p>
        </w:tc>
        <w:tc>
          <w:tcPr>
            <w:tcW w:w="1984" w:type="dxa"/>
            <w:tcBorders>
              <w:top w:val="single" w:sz="4" w:space="0" w:color="auto"/>
            </w:tcBorders>
            <w:vAlign w:val="center"/>
          </w:tcPr>
          <w:p w14:paraId="382E21C0" w14:textId="1D0F58C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0.879(.579-1.333)</w:t>
            </w:r>
          </w:p>
        </w:tc>
        <w:tc>
          <w:tcPr>
            <w:tcW w:w="1559" w:type="dxa"/>
            <w:tcBorders>
              <w:top w:val="single" w:sz="4" w:space="0" w:color="auto"/>
            </w:tcBorders>
            <w:vAlign w:val="center"/>
          </w:tcPr>
          <w:p w14:paraId="5CD18F53" w14:textId="70CCE3A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0.299(0.278)</w:t>
            </w:r>
          </w:p>
        </w:tc>
        <w:tc>
          <w:tcPr>
            <w:tcW w:w="2410" w:type="dxa"/>
            <w:tcBorders>
              <w:top w:val="single" w:sz="4" w:space="0" w:color="auto"/>
            </w:tcBorders>
            <w:vAlign w:val="center"/>
          </w:tcPr>
          <w:p w14:paraId="6E74556A" w14:textId="7F45EA4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1.349(0.786-2.315)</w:t>
            </w:r>
          </w:p>
        </w:tc>
      </w:tr>
      <w:tr w:rsidR="00FA297C" w:rsidRPr="009142AC" w14:paraId="7FA38741" w14:textId="77777777" w:rsidTr="008D3401">
        <w:tc>
          <w:tcPr>
            <w:tcW w:w="2972" w:type="dxa"/>
            <w:tcBorders>
              <w:bottom w:val="single" w:sz="4" w:space="0" w:color="auto"/>
            </w:tcBorders>
            <w:vAlign w:val="center"/>
          </w:tcPr>
          <w:p w14:paraId="01B51EFB" w14:textId="4FAF857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Third year and above</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tcPr>
          <w:p w14:paraId="1C723F81" w14:textId="79A4074D"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131(56.0%)</w:t>
            </w:r>
          </w:p>
        </w:tc>
        <w:tc>
          <w:tcPr>
            <w:tcW w:w="1559" w:type="dxa"/>
            <w:tcBorders>
              <w:bottom w:val="single" w:sz="4" w:space="0" w:color="auto"/>
            </w:tcBorders>
            <w:vAlign w:val="center"/>
          </w:tcPr>
          <w:p w14:paraId="65FAF3CE" w14:textId="24B9034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103(44.0%)</w:t>
            </w:r>
          </w:p>
        </w:tc>
        <w:tc>
          <w:tcPr>
            <w:tcW w:w="1843" w:type="dxa"/>
            <w:tcBorders>
              <w:bottom w:val="single" w:sz="4" w:space="0" w:color="auto"/>
            </w:tcBorders>
            <w:vAlign w:val="center"/>
          </w:tcPr>
          <w:p w14:paraId="676822AA" w14:textId="77777777" w:rsidR="00FA297C" w:rsidRPr="009142AC" w:rsidRDefault="00FA297C" w:rsidP="00FA297C">
            <w:pPr>
              <w:spacing w:line="276" w:lineRule="auto"/>
              <w:rPr>
                <w:rFonts w:ascii="Arial" w:hAnsi="Arial" w:cs="Arial"/>
                <w:sz w:val="20"/>
                <w:szCs w:val="20"/>
              </w:rPr>
            </w:pPr>
          </w:p>
        </w:tc>
        <w:tc>
          <w:tcPr>
            <w:tcW w:w="1984" w:type="dxa"/>
            <w:tcBorders>
              <w:bottom w:val="single" w:sz="4" w:space="0" w:color="auto"/>
            </w:tcBorders>
            <w:vAlign w:val="center"/>
          </w:tcPr>
          <w:p w14:paraId="2106C520" w14:textId="77777777" w:rsidR="00FA297C" w:rsidRPr="009142AC" w:rsidRDefault="00FA297C" w:rsidP="00FA297C">
            <w:pPr>
              <w:spacing w:line="276" w:lineRule="auto"/>
              <w:rPr>
                <w:rFonts w:ascii="Arial" w:hAnsi="Arial" w:cs="Arial"/>
                <w:sz w:val="20"/>
                <w:szCs w:val="20"/>
              </w:rPr>
            </w:pPr>
          </w:p>
        </w:tc>
        <w:tc>
          <w:tcPr>
            <w:tcW w:w="1559" w:type="dxa"/>
            <w:tcBorders>
              <w:bottom w:val="single" w:sz="4" w:space="0" w:color="auto"/>
            </w:tcBorders>
            <w:vAlign w:val="center"/>
          </w:tcPr>
          <w:p w14:paraId="1BC52FA6" w14:textId="77777777" w:rsidR="00FA297C" w:rsidRPr="009142AC" w:rsidRDefault="00FA297C" w:rsidP="00FA297C">
            <w:pPr>
              <w:spacing w:line="276" w:lineRule="auto"/>
              <w:rPr>
                <w:rFonts w:ascii="Arial" w:hAnsi="Arial" w:cs="Arial"/>
                <w:sz w:val="20"/>
                <w:szCs w:val="20"/>
              </w:rPr>
            </w:pPr>
          </w:p>
        </w:tc>
        <w:tc>
          <w:tcPr>
            <w:tcW w:w="2410" w:type="dxa"/>
            <w:tcBorders>
              <w:bottom w:val="single" w:sz="4" w:space="0" w:color="auto"/>
            </w:tcBorders>
            <w:vAlign w:val="center"/>
          </w:tcPr>
          <w:p w14:paraId="76C1B0AB" w14:textId="77777777" w:rsidR="00FA297C" w:rsidRPr="009142AC" w:rsidRDefault="00FA297C" w:rsidP="00FA297C">
            <w:pPr>
              <w:spacing w:line="276" w:lineRule="auto"/>
              <w:rPr>
                <w:rFonts w:ascii="Arial" w:hAnsi="Arial" w:cs="Arial"/>
                <w:sz w:val="20"/>
                <w:szCs w:val="20"/>
              </w:rPr>
            </w:pPr>
          </w:p>
        </w:tc>
      </w:tr>
      <w:tr w:rsidR="00FA297C" w:rsidRPr="009142AC" w14:paraId="54E576EC" w14:textId="77777777" w:rsidTr="008D3401">
        <w:tc>
          <w:tcPr>
            <w:tcW w:w="13745" w:type="dxa"/>
            <w:gridSpan w:val="7"/>
            <w:tcBorders>
              <w:top w:val="single" w:sz="4" w:space="0" w:color="auto"/>
              <w:bottom w:val="single" w:sz="4" w:space="0" w:color="auto"/>
            </w:tcBorders>
            <w:vAlign w:val="center"/>
          </w:tcPr>
          <w:p w14:paraId="5BFEB152" w14:textId="5E18B433"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University type</w:t>
            </w:r>
          </w:p>
        </w:tc>
      </w:tr>
      <w:tr w:rsidR="00FA297C" w:rsidRPr="009142AC" w14:paraId="384EEFE7" w14:textId="77777777" w:rsidTr="008D3401">
        <w:tc>
          <w:tcPr>
            <w:tcW w:w="2972" w:type="dxa"/>
            <w:tcBorders>
              <w:top w:val="single" w:sz="4" w:space="0" w:color="auto"/>
            </w:tcBorders>
            <w:vAlign w:val="center"/>
          </w:tcPr>
          <w:p w14:paraId="56296831" w14:textId="099E8A5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Public</w:t>
            </w:r>
          </w:p>
        </w:tc>
        <w:tc>
          <w:tcPr>
            <w:tcW w:w="1418" w:type="dxa"/>
            <w:tcBorders>
              <w:top w:val="single" w:sz="4" w:space="0" w:color="auto"/>
            </w:tcBorders>
            <w:vAlign w:val="center"/>
          </w:tcPr>
          <w:p w14:paraId="0D8EFCDD" w14:textId="222DED0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164(53.1%)</w:t>
            </w:r>
          </w:p>
        </w:tc>
        <w:tc>
          <w:tcPr>
            <w:tcW w:w="1559" w:type="dxa"/>
            <w:tcBorders>
              <w:top w:val="single" w:sz="4" w:space="0" w:color="auto"/>
            </w:tcBorders>
            <w:vAlign w:val="center"/>
          </w:tcPr>
          <w:p w14:paraId="418774B0" w14:textId="56EAA23F"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145(46.9%)</w:t>
            </w:r>
          </w:p>
        </w:tc>
        <w:tc>
          <w:tcPr>
            <w:tcW w:w="1843" w:type="dxa"/>
            <w:tcBorders>
              <w:top w:val="single" w:sz="4" w:space="0" w:color="auto"/>
            </w:tcBorders>
            <w:vAlign w:val="center"/>
          </w:tcPr>
          <w:p w14:paraId="04946BF1" w14:textId="025F250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1.946(0.163)</w:t>
            </w:r>
          </w:p>
        </w:tc>
        <w:tc>
          <w:tcPr>
            <w:tcW w:w="1984" w:type="dxa"/>
            <w:tcBorders>
              <w:top w:val="single" w:sz="4" w:space="0" w:color="auto"/>
            </w:tcBorders>
            <w:vAlign w:val="center"/>
          </w:tcPr>
          <w:p w14:paraId="4CFDB486" w14:textId="171C44BA"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0.684(0.400-1.169)</w:t>
            </w:r>
          </w:p>
        </w:tc>
        <w:tc>
          <w:tcPr>
            <w:tcW w:w="1559" w:type="dxa"/>
            <w:tcBorders>
              <w:top w:val="single" w:sz="4" w:space="0" w:color="auto"/>
            </w:tcBorders>
            <w:vAlign w:val="center"/>
          </w:tcPr>
          <w:p w14:paraId="3C034675" w14:textId="32855C7B"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0.380(0.164)</w:t>
            </w:r>
          </w:p>
        </w:tc>
        <w:tc>
          <w:tcPr>
            <w:tcW w:w="2410" w:type="dxa"/>
            <w:tcBorders>
              <w:top w:val="single" w:sz="4" w:space="0" w:color="auto"/>
            </w:tcBorders>
            <w:vAlign w:val="center"/>
          </w:tcPr>
          <w:p w14:paraId="64B2BECF" w14:textId="41399B0C"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1.462(.856-2.499)</w:t>
            </w:r>
          </w:p>
        </w:tc>
      </w:tr>
      <w:tr w:rsidR="00FA297C" w:rsidRPr="009142AC" w14:paraId="25194E9A" w14:textId="77777777" w:rsidTr="008D3401">
        <w:tc>
          <w:tcPr>
            <w:tcW w:w="2972" w:type="dxa"/>
            <w:tcBorders>
              <w:bottom w:val="single" w:sz="4" w:space="0" w:color="auto"/>
            </w:tcBorders>
            <w:vAlign w:val="center"/>
          </w:tcPr>
          <w:p w14:paraId="5699BD6F" w14:textId="474B70F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Private</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tcPr>
          <w:p w14:paraId="630527B6" w14:textId="7EDF9541"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43(62.3%)</w:t>
            </w:r>
          </w:p>
        </w:tc>
        <w:tc>
          <w:tcPr>
            <w:tcW w:w="1559" w:type="dxa"/>
            <w:tcBorders>
              <w:bottom w:val="single" w:sz="4" w:space="0" w:color="auto"/>
            </w:tcBorders>
            <w:vAlign w:val="center"/>
          </w:tcPr>
          <w:p w14:paraId="57D14988" w14:textId="626DED46"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26(37.7%)</w:t>
            </w:r>
          </w:p>
        </w:tc>
        <w:tc>
          <w:tcPr>
            <w:tcW w:w="1843" w:type="dxa"/>
            <w:tcBorders>
              <w:bottom w:val="single" w:sz="4" w:space="0" w:color="auto"/>
            </w:tcBorders>
            <w:vAlign w:val="center"/>
          </w:tcPr>
          <w:p w14:paraId="12FECD23" w14:textId="77777777" w:rsidR="00FA297C" w:rsidRPr="009142AC" w:rsidRDefault="00FA297C" w:rsidP="00FA297C">
            <w:pPr>
              <w:spacing w:line="276" w:lineRule="auto"/>
              <w:rPr>
                <w:rFonts w:ascii="Arial" w:hAnsi="Arial" w:cs="Arial"/>
                <w:sz w:val="20"/>
                <w:szCs w:val="20"/>
              </w:rPr>
            </w:pPr>
          </w:p>
        </w:tc>
        <w:tc>
          <w:tcPr>
            <w:tcW w:w="1984" w:type="dxa"/>
            <w:tcBorders>
              <w:bottom w:val="single" w:sz="4" w:space="0" w:color="auto"/>
            </w:tcBorders>
            <w:vAlign w:val="center"/>
          </w:tcPr>
          <w:p w14:paraId="54106C50" w14:textId="77777777" w:rsidR="00FA297C" w:rsidRPr="009142AC" w:rsidRDefault="00FA297C" w:rsidP="00FA297C">
            <w:pPr>
              <w:spacing w:line="276" w:lineRule="auto"/>
              <w:rPr>
                <w:rFonts w:ascii="Arial" w:hAnsi="Arial" w:cs="Arial"/>
                <w:sz w:val="20"/>
                <w:szCs w:val="20"/>
              </w:rPr>
            </w:pPr>
          </w:p>
        </w:tc>
        <w:tc>
          <w:tcPr>
            <w:tcW w:w="1559" w:type="dxa"/>
            <w:tcBorders>
              <w:bottom w:val="single" w:sz="4" w:space="0" w:color="auto"/>
            </w:tcBorders>
            <w:vAlign w:val="center"/>
          </w:tcPr>
          <w:p w14:paraId="15182689" w14:textId="77777777" w:rsidR="00FA297C" w:rsidRPr="009142AC" w:rsidRDefault="00FA297C" w:rsidP="00FA297C">
            <w:pPr>
              <w:spacing w:line="276" w:lineRule="auto"/>
              <w:rPr>
                <w:rFonts w:ascii="Arial" w:hAnsi="Arial" w:cs="Arial"/>
                <w:sz w:val="20"/>
                <w:szCs w:val="20"/>
              </w:rPr>
            </w:pPr>
          </w:p>
        </w:tc>
        <w:tc>
          <w:tcPr>
            <w:tcW w:w="2410" w:type="dxa"/>
            <w:tcBorders>
              <w:bottom w:val="single" w:sz="4" w:space="0" w:color="auto"/>
            </w:tcBorders>
            <w:vAlign w:val="center"/>
          </w:tcPr>
          <w:p w14:paraId="5A8B17B5" w14:textId="77777777" w:rsidR="00FA297C" w:rsidRPr="009142AC" w:rsidRDefault="00FA297C" w:rsidP="00FA297C">
            <w:pPr>
              <w:spacing w:line="276" w:lineRule="auto"/>
              <w:rPr>
                <w:rFonts w:ascii="Arial" w:hAnsi="Arial" w:cs="Arial"/>
                <w:sz w:val="20"/>
                <w:szCs w:val="20"/>
              </w:rPr>
            </w:pPr>
          </w:p>
        </w:tc>
      </w:tr>
      <w:tr w:rsidR="00FA297C" w:rsidRPr="009142AC" w14:paraId="101C7C18" w14:textId="77777777" w:rsidTr="008D3401">
        <w:tc>
          <w:tcPr>
            <w:tcW w:w="2972" w:type="dxa"/>
            <w:tcBorders>
              <w:top w:val="single" w:sz="4" w:space="0" w:color="auto"/>
              <w:bottom w:val="single" w:sz="4" w:space="0" w:color="auto"/>
            </w:tcBorders>
            <w:vAlign w:val="center"/>
          </w:tcPr>
          <w:p w14:paraId="374EBA14" w14:textId="00B5FBFA"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Knowledge level</w:t>
            </w:r>
          </w:p>
        </w:tc>
        <w:tc>
          <w:tcPr>
            <w:tcW w:w="1418" w:type="dxa"/>
            <w:tcBorders>
              <w:top w:val="single" w:sz="4" w:space="0" w:color="auto"/>
              <w:bottom w:val="single" w:sz="4" w:space="0" w:color="auto"/>
            </w:tcBorders>
            <w:vAlign w:val="center"/>
          </w:tcPr>
          <w:p w14:paraId="624571FF" w14:textId="77777777" w:rsidR="00FA297C" w:rsidRPr="009142AC" w:rsidRDefault="00FA297C" w:rsidP="00FA297C">
            <w:pPr>
              <w:spacing w:line="276" w:lineRule="auto"/>
              <w:rPr>
                <w:rFonts w:ascii="Arial" w:hAnsi="Arial" w:cs="Arial"/>
                <w:sz w:val="20"/>
                <w:szCs w:val="20"/>
              </w:rPr>
            </w:pPr>
          </w:p>
        </w:tc>
        <w:tc>
          <w:tcPr>
            <w:tcW w:w="1559" w:type="dxa"/>
            <w:tcBorders>
              <w:top w:val="single" w:sz="4" w:space="0" w:color="auto"/>
              <w:bottom w:val="single" w:sz="4" w:space="0" w:color="auto"/>
            </w:tcBorders>
            <w:vAlign w:val="center"/>
          </w:tcPr>
          <w:p w14:paraId="1D333096" w14:textId="77777777" w:rsidR="00FA297C" w:rsidRPr="009142AC" w:rsidRDefault="00FA297C" w:rsidP="00FA297C">
            <w:pPr>
              <w:spacing w:line="276" w:lineRule="auto"/>
              <w:rPr>
                <w:rFonts w:ascii="Arial" w:hAnsi="Arial" w:cs="Arial"/>
                <w:sz w:val="20"/>
                <w:szCs w:val="20"/>
              </w:rPr>
            </w:pPr>
          </w:p>
        </w:tc>
        <w:tc>
          <w:tcPr>
            <w:tcW w:w="1843" w:type="dxa"/>
            <w:tcBorders>
              <w:top w:val="single" w:sz="4" w:space="0" w:color="auto"/>
              <w:bottom w:val="single" w:sz="4" w:space="0" w:color="auto"/>
            </w:tcBorders>
            <w:vAlign w:val="center"/>
          </w:tcPr>
          <w:p w14:paraId="4FDBA203" w14:textId="77777777" w:rsidR="00FA297C" w:rsidRPr="009142AC" w:rsidRDefault="00FA297C" w:rsidP="00FA297C">
            <w:pPr>
              <w:spacing w:line="276" w:lineRule="auto"/>
              <w:rPr>
                <w:rFonts w:ascii="Arial" w:hAnsi="Arial" w:cs="Arial"/>
                <w:sz w:val="20"/>
                <w:szCs w:val="20"/>
              </w:rPr>
            </w:pPr>
          </w:p>
        </w:tc>
        <w:tc>
          <w:tcPr>
            <w:tcW w:w="1984" w:type="dxa"/>
            <w:tcBorders>
              <w:top w:val="single" w:sz="4" w:space="0" w:color="auto"/>
              <w:bottom w:val="single" w:sz="4" w:space="0" w:color="auto"/>
            </w:tcBorders>
            <w:vAlign w:val="center"/>
          </w:tcPr>
          <w:p w14:paraId="37E33DC8" w14:textId="77777777" w:rsidR="00FA297C" w:rsidRPr="009142AC" w:rsidRDefault="00FA297C" w:rsidP="00FA297C">
            <w:pPr>
              <w:spacing w:line="276" w:lineRule="auto"/>
              <w:rPr>
                <w:rFonts w:ascii="Arial" w:hAnsi="Arial" w:cs="Arial"/>
                <w:sz w:val="20"/>
                <w:szCs w:val="20"/>
              </w:rPr>
            </w:pPr>
          </w:p>
        </w:tc>
        <w:tc>
          <w:tcPr>
            <w:tcW w:w="1559" w:type="dxa"/>
            <w:tcBorders>
              <w:top w:val="single" w:sz="4" w:space="0" w:color="auto"/>
              <w:bottom w:val="single" w:sz="4" w:space="0" w:color="auto"/>
            </w:tcBorders>
            <w:vAlign w:val="center"/>
          </w:tcPr>
          <w:p w14:paraId="23C602B1" w14:textId="77777777" w:rsidR="00FA297C" w:rsidRPr="009142AC" w:rsidRDefault="00FA297C" w:rsidP="00FA297C">
            <w:pPr>
              <w:spacing w:line="276" w:lineRule="auto"/>
              <w:rPr>
                <w:rFonts w:ascii="Arial" w:hAnsi="Arial" w:cs="Arial"/>
                <w:sz w:val="20"/>
                <w:szCs w:val="20"/>
              </w:rPr>
            </w:pPr>
          </w:p>
        </w:tc>
        <w:tc>
          <w:tcPr>
            <w:tcW w:w="2410" w:type="dxa"/>
            <w:tcBorders>
              <w:top w:val="single" w:sz="4" w:space="0" w:color="auto"/>
              <w:bottom w:val="single" w:sz="4" w:space="0" w:color="auto"/>
            </w:tcBorders>
            <w:vAlign w:val="center"/>
          </w:tcPr>
          <w:p w14:paraId="7E61FC64" w14:textId="77777777" w:rsidR="00FA297C" w:rsidRPr="009142AC" w:rsidRDefault="00FA297C" w:rsidP="00FA297C">
            <w:pPr>
              <w:spacing w:line="276" w:lineRule="auto"/>
              <w:rPr>
                <w:rFonts w:ascii="Arial" w:hAnsi="Arial" w:cs="Arial"/>
                <w:sz w:val="20"/>
                <w:szCs w:val="20"/>
              </w:rPr>
            </w:pPr>
          </w:p>
        </w:tc>
      </w:tr>
      <w:tr w:rsidR="00FA297C" w:rsidRPr="009142AC" w14:paraId="36F654C8" w14:textId="77777777" w:rsidTr="008D3401">
        <w:trPr>
          <w:trHeight w:val="343"/>
        </w:trPr>
        <w:tc>
          <w:tcPr>
            <w:tcW w:w="2972" w:type="dxa"/>
            <w:tcBorders>
              <w:top w:val="single" w:sz="4" w:space="0" w:color="auto"/>
            </w:tcBorders>
          </w:tcPr>
          <w:p w14:paraId="665A2E6F" w14:textId="13FCB5FE"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Good knowledge level</w:t>
            </w:r>
          </w:p>
        </w:tc>
        <w:tc>
          <w:tcPr>
            <w:tcW w:w="1418" w:type="dxa"/>
            <w:tcBorders>
              <w:top w:val="single" w:sz="4" w:space="0" w:color="auto"/>
            </w:tcBorders>
          </w:tcPr>
          <w:p w14:paraId="2CB45455" w14:textId="05A61F0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141(53.6%)</w:t>
            </w:r>
          </w:p>
        </w:tc>
        <w:tc>
          <w:tcPr>
            <w:tcW w:w="1559" w:type="dxa"/>
            <w:tcBorders>
              <w:top w:val="single" w:sz="4" w:space="0" w:color="auto"/>
            </w:tcBorders>
          </w:tcPr>
          <w:p w14:paraId="1D140BF6" w14:textId="510032B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122(46.4%)</w:t>
            </w:r>
          </w:p>
        </w:tc>
        <w:tc>
          <w:tcPr>
            <w:tcW w:w="1843" w:type="dxa"/>
            <w:tcBorders>
              <w:top w:val="single" w:sz="4" w:space="0" w:color="auto"/>
            </w:tcBorders>
          </w:tcPr>
          <w:p w14:paraId="251B8FFF" w14:textId="0FA69004"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0.461(0.497)</w:t>
            </w:r>
          </w:p>
        </w:tc>
        <w:tc>
          <w:tcPr>
            <w:tcW w:w="1984" w:type="dxa"/>
            <w:tcBorders>
              <w:top w:val="single" w:sz="4" w:space="0" w:color="auto"/>
            </w:tcBorders>
          </w:tcPr>
          <w:p w14:paraId="2D6FE2E2" w14:textId="03EFB4C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0.858(0.552-1.335)</w:t>
            </w:r>
          </w:p>
        </w:tc>
        <w:tc>
          <w:tcPr>
            <w:tcW w:w="1559" w:type="dxa"/>
            <w:tcBorders>
              <w:top w:val="single" w:sz="4" w:space="0" w:color="auto"/>
            </w:tcBorders>
          </w:tcPr>
          <w:p w14:paraId="385FC940" w14:textId="1DF63F0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0.253(0.338)</w:t>
            </w:r>
          </w:p>
        </w:tc>
        <w:tc>
          <w:tcPr>
            <w:tcW w:w="2410" w:type="dxa"/>
            <w:tcBorders>
              <w:top w:val="single" w:sz="4" w:space="0" w:color="auto"/>
            </w:tcBorders>
          </w:tcPr>
          <w:p w14:paraId="4DB86B39" w14:textId="0ADC02FA"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1.287(0.768-2.159)</w:t>
            </w:r>
          </w:p>
        </w:tc>
      </w:tr>
      <w:tr w:rsidR="00FA297C" w:rsidRPr="009142AC" w14:paraId="3962333F" w14:textId="77777777" w:rsidTr="008D3401">
        <w:tc>
          <w:tcPr>
            <w:tcW w:w="2972" w:type="dxa"/>
          </w:tcPr>
          <w:p w14:paraId="114A0C71" w14:textId="212F323C"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Poor Knowledge level</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Pr>
          <w:p w14:paraId="60CC0DF6" w14:textId="5FA2B65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66(57.4%)</w:t>
            </w:r>
          </w:p>
        </w:tc>
        <w:tc>
          <w:tcPr>
            <w:tcW w:w="1559" w:type="dxa"/>
          </w:tcPr>
          <w:p w14:paraId="0F407814" w14:textId="003A219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49(42.6%)</w:t>
            </w:r>
          </w:p>
        </w:tc>
        <w:tc>
          <w:tcPr>
            <w:tcW w:w="1843" w:type="dxa"/>
          </w:tcPr>
          <w:p w14:paraId="374B4559" w14:textId="77777777" w:rsidR="00FA297C" w:rsidRPr="009142AC" w:rsidRDefault="00FA297C" w:rsidP="00FA297C">
            <w:pPr>
              <w:spacing w:line="276" w:lineRule="auto"/>
              <w:rPr>
                <w:rFonts w:ascii="Arial" w:hAnsi="Arial" w:cs="Arial"/>
                <w:sz w:val="20"/>
                <w:szCs w:val="20"/>
              </w:rPr>
            </w:pPr>
          </w:p>
        </w:tc>
        <w:tc>
          <w:tcPr>
            <w:tcW w:w="1984" w:type="dxa"/>
          </w:tcPr>
          <w:p w14:paraId="5DB03601" w14:textId="77777777" w:rsidR="00FA297C" w:rsidRPr="009142AC" w:rsidRDefault="00FA297C" w:rsidP="00FA297C">
            <w:pPr>
              <w:spacing w:line="276" w:lineRule="auto"/>
              <w:rPr>
                <w:rFonts w:ascii="Arial" w:hAnsi="Arial" w:cs="Arial"/>
                <w:sz w:val="20"/>
                <w:szCs w:val="20"/>
              </w:rPr>
            </w:pPr>
          </w:p>
        </w:tc>
        <w:tc>
          <w:tcPr>
            <w:tcW w:w="1559" w:type="dxa"/>
          </w:tcPr>
          <w:p w14:paraId="4C14B9ED" w14:textId="77777777" w:rsidR="00FA297C" w:rsidRPr="009142AC" w:rsidRDefault="00FA297C" w:rsidP="00FA297C">
            <w:pPr>
              <w:spacing w:line="276" w:lineRule="auto"/>
              <w:rPr>
                <w:rFonts w:ascii="Arial" w:hAnsi="Arial" w:cs="Arial"/>
                <w:sz w:val="20"/>
                <w:szCs w:val="20"/>
              </w:rPr>
            </w:pPr>
          </w:p>
        </w:tc>
        <w:tc>
          <w:tcPr>
            <w:tcW w:w="2410" w:type="dxa"/>
          </w:tcPr>
          <w:p w14:paraId="522D92B6" w14:textId="77777777" w:rsidR="00FA297C" w:rsidRPr="009142AC" w:rsidRDefault="00FA297C" w:rsidP="00FA297C">
            <w:pPr>
              <w:spacing w:line="276" w:lineRule="auto"/>
              <w:rPr>
                <w:rFonts w:ascii="Arial" w:hAnsi="Arial" w:cs="Arial"/>
                <w:sz w:val="20"/>
                <w:szCs w:val="20"/>
              </w:rPr>
            </w:pPr>
          </w:p>
        </w:tc>
      </w:tr>
    </w:tbl>
    <w:p w14:paraId="05642EDA" w14:textId="3DE38FE5" w:rsidR="00586B66" w:rsidRPr="009142AC" w:rsidRDefault="00586B66" w:rsidP="00586B66">
      <w:pPr>
        <w:spacing w:line="240" w:lineRule="auto"/>
        <w:rPr>
          <w:rFonts w:ascii="Arial" w:hAnsi="Arial" w:cs="Arial"/>
          <w:bCs/>
          <w:i/>
          <w:iCs/>
          <w:sz w:val="20"/>
          <w:szCs w:val="20"/>
        </w:rPr>
      </w:pPr>
      <w:r w:rsidRPr="009142AC">
        <w:rPr>
          <w:rFonts w:ascii="Arial" w:hAnsi="Arial" w:cs="Arial"/>
          <w:bCs/>
          <w:i/>
          <w:iCs/>
          <w:sz w:val="20"/>
          <w:szCs w:val="20"/>
        </w:rPr>
        <w:t>*=significant at p&lt;0.05, X</w:t>
      </w:r>
      <w:r w:rsidRPr="009142AC">
        <w:rPr>
          <w:rFonts w:ascii="Arial" w:hAnsi="Arial" w:cs="Arial"/>
          <w:bCs/>
          <w:i/>
          <w:iCs/>
          <w:sz w:val="20"/>
          <w:szCs w:val="20"/>
          <w:vertAlign w:val="superscript"/>
        </w:rPr>
        <w:t>2</w:t>
      </w:r>
      <w:r w:rsidRPr="009142AC">
        <w:rPr>
          <w:rFonts w:ascii="Arial" w:hAnsi="Arial" w:cs="Arial"/>
          <w:bCs/>
          <w:i/>
          <w:iCs/>
          <w:sz w:val="20"/>
          <w:szCs w:val="20"/>
        </w:rPr>
        <w:t>= Chi square, sig/p-value= Significant levels, OR= Crude odd ratio, CI= 95%Confidence Interval, AOR= Adjusted odd ratio, B= Coefficient of regression value</w:t>
      </w:r>
      <w:r w:rsidR="00356CCD">
        <w:rPr>
          <w:rFonts w:ascii="Arial" w:hAnsi="Arial" w:cs="Arial"/>
          <w:bCs/>
          <w:i/>
          <w:iCs/>
          <w:sz w:val="20"/>
          <w:szCs w:val="20"/>
        </w:rPr>
        <w:t xml:space="preserve">; </w:t>
      </w:r>
      <w:r w:rsidR="00356CCD" w:rsidRPr="00356CCD">
        <w:rPr>
          <w:rFonts w:ascii="Arial" w:hAnsi="Arial" w:cs="Arial"/>
          <w:bCs/>
          <w:i/>
          <w:iCs/>
          <w:sz w:val="20"/>
          <w:szCs w:val="20"/>
        </w:rPr>
        <w:t>Ref: Reference category</w:t>
      </w:r>
    </w:p>
    <w:p w14:paraId="7A14ADBD" w14:textId="77777777" w:rsidR="00586B66" w:rsidRPr="009142AC" w:rsidRDefault="00586B66" w:rsidP="00586B66">
      <w:pPr>
        <w:spacing w:line="278" w:lineRule="auto"/>
        <w:jc w:val="left"/>
        <w:rPr>
          <w:rFonts w:ascii="Arial" w:hAnsi="Arial" w:cs="Arial"/>
          <w:b/>
        </w:rPr>
      </w:pPr>
      <w:r w:rsidRPr="009142AC">
        <w:rPr>
          <w:rFonts w:ascii="Arial" w:hAnsi="Arial" w:cs="Arial"/>
          <w:b/>
        </w:rPr>
        <w:br w:type="page"/>
      </w:r>
    </w:p>
    <w:p w14:paraId="065A1AEF" w14:textId="77241CD1" w:rsidR="00586B66" w:rsidRPr="009142AC" w:rsidRDefault="00586B66" w:rsidP="00FA297C">
      <w:pPr>
        <w:spacing w:after="0" w:line="276" w:lineRule="auto"/>
        <w:rPr>
          <w:rFonts w:ascii="Arial" w:hAnsi="Arial" w:cs="Arial"/>
          <w:b/>
          <w:sz w:val="20"/>
          <w:szCs w:val="20"/>
        </w:rPr>
      </w:pPr>
      <w:r w:rsidRPr="009142AC">
        <w:rPr>
          <w:rFonts w:ascii="Arial" w:hAnsi="Arial" w:cs="Arial"/>
          <w:b/>
          <w:sz w:val="20"/>
          <w:szCs w:val="20"/>
        </w:rPr>
        <w:lastRenderedPageBreak/>
        <w:t xml:space="preserve">Table </w:t>
      </w:r>
      <w:r w:rsidR="009142AC">
        <w:rPr>
          <w:rFonts w:ascii="Arial" w:hAnsi="Arial" w:cs="Arial"/>
          <w:b/>
          <w:sz w:val="20"/>
          <w:szCs w:val="20"/>
        </w:rPr>
        <w:t>8.</w:t>
      </w:r>
      <w:r w:rsidRPr="009142AC">
        <w:rPr>
          <w:rFonts w:ascii="Arial" w:hAnsi="Arial" w:cs="Arial"/>
          <w:b/>
          <w:sz w:val="20"/>
          <w:szCs w:val="20"/>
        </w:rPr>
        <w:t xml:space="preserve"> Attitudes </w:t>
      </w:r>
      <w:r w:rsidR="009142AC">
        <w:rPr>
          <w:rFonts w:ascii="Arial" w:hAnsi="Arial" w:cs="Arial"/>
          <w:b/>
          <w:sz w:val="20"/>
          <w:szCs w:val="20"/>
        </w:rPr>
        <w:t xml:space="preserve">and </w:t>
      </w:r>
      <w:r w:rsidR="009142AC" w:rsidRPr="009142AC">
        <w:rPr>
          <w:rFonts w:ascii="Arial" w:hAnsi="Arial" w:cs="Arial"/>
          <w:b/>
          <w:sz w:val="20"/>
          <w:szCs w:val="20"/>
        </w:rPr>
        <w:t xml:space="preserve">Practices </w:t>
      </w:r>
      <w:r w:rsidRPr="009142AC">
        <w:rPr>
          <w:rFonts w:ascii="Arial" w:hAnsi="Arial" w:cs="Arial"/>
          <w:b/>
          <w:sz w:val="20"/>
          <w:szCs w:val="20"/>
        </w:rPr>
        <w:t xml:space="preserve">towards energy drinks affecting the level of energy drink consumption among university students in Rivers State </w:t>
      </w:r>
    </w:p>
    <w:tbl>
      <w:tblPr>
        <w:tblStyle w:val="TableGrid"/>
        <w:tblW w:w="138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440"/>
        <w:gridCol w:w="1440"/>
        <w:gridCol w:w="1890"/>
        <w:gridCol w:w="2126"/>
        <w:gridCol w:w="1843"/>
        <w:gridCol w:w="2268"/>
      </w:tblGrid>
      <w:tr w:rsidR="009142AC" w:rsidRPr="008D3401" w14:paraId="14304092" w14:textId="77777777" w:rsidTr="008D3401">
        <w:tc>
          <w:tcPr>
            <w:tcW w:w="2880" w:type="dxa"/>
            <w:vMerge w:val="restart"/>
            <w:tcBorders>
              <w:top w:val="single" w:sz="4" w:space="0" w:color="auto"/>
              <w:bottom w:val="nil"/>
            </w:tcBorders>
            <w:vAlign w:val="center"/>
            <w:hideMark/>
          </w:tcPr>
          <w:p w14:paraId="49C7EC42"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Variables (n=378)</w:t>
            </w:r>
          </w:p>
        </w:tc>
        <w:tc>
          <w:tcPr>
            <w:tcW w:w="2880" w:type="dxa"/>
            <w:gridSpan w:val="2"/>
            <w:tcBorders>
              <w:top w:val="single" w:sz="4" w:space="0" w:color="auto"/>
              <w:bottom w:val="single" w:sz="4" w:space="0" w:color="auto"/>
            </w:tcBorders>
            <w:vAlign w:val="center"/>
            <w:hideMark/>
          </w:tcPr>
          <w:p w14:paraId="15BF8AFA"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Prevalence level of energy drink consumption</w:t>
            </w:r>
          </w:p>
        </w:tc>
        <w:tc>
          <w:tcPr>
            <w:tcW w:w="1890" w:type="dxa"/>
            <w:vMerge w:val="restart"/>
            <w:tcBorders>
              <w:top w:val="single" w:sz="4" w:space="0" w:color="auto"/>
              <w:bottom w:val="nil"/>
            </w:tcBorders>
            <w:vAlign w:val="center"/>
            <w:hideMark/>
          </w:tcPr>
          <w:p w14:paraId="70435AFB" w14:textId="519E2476"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X</w:t>
            </w:r>
            <w:r w:rsidRPr="008D3401">
              <w:rPr>
                <w:rFonts w:ascii="Arial" w:hAnsi="Arial" w:cs="Arial"/>
                <w:b/>
                <w:sz w:val="20"/>
                <w:szCs w:val="20"/>
                <w:vertAlign w:val="superscript"/>
              </w:rPr>
              <w:t xml:space="preserve">2 </w:t>
            </w:r>
            <w:r w:rsidRPr="008D3401">
              <w:rPr>
                <w:rFonts w:ascii="Arial" w:hAnsi="Arial" w:cs="Arial"/>
                <w:b/>
                <w:sz w:val="20"/>
                <w:szCs w:val="20"/>
              </w:rPr>
              <w:t>(p-values)</w:t>
            </w:r>
          </w:p>
        </w:tc>
        <w:tc>
          <w:tcPr>
            <w:tcW w:w="2126" w:type="dxa"/>
            <w:vMerge w:val="restart"/>
            <w:tcBorders>
              <w:top w:val="single" w:sz="4" w:space="0" w:color="auto"/>
              <w:bottom w:val="nil"/>
            </w:tcBorders>
            <w:vAlign w:val="center"/>
            <w:hideMark/>
          </w:tcPr>
          <w:p w14:paraId="630637EE" w14:textId="3AE9A254"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COR (CI)</w:t>
            </w:r>
          </w:p>
        </w:tc>
        <w:tc>
          <w:tcPr>
            <w:tcW w:w="4111" w:type="dxa"/>
            <w:gridSpan w:val="2"/>
            <w:tcBorders>
              <w:top w:val="single" w:sz="4" w:space="0" w:color="auto"/>
              <w:bottom w:val="single" w:sz="4" w:space="0" w:color="auto"/>
            </w:tcBorders>
            <w:vAlign w:val="center"/>
            <w:hideMark/>
          </w:tcPr>
          <w:p w14:paraId="009CA345"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Regression Analysis</w:t>
            </w:r>
          </w:p>
        </w:tc>
      </w:tr>
      <w:tr w:rsidR="009142AC" w:rsidRPr="008D3401" w14:paraId="098E3CDE" w14:textId="77777777" w:rsidTr="008D3401">
        <w:tc>
          <w:tcPr>
            <w:tcW w:w="2880" w:type="dxa"/>
            <w:vMerge/>
            <w:tcBorders>
              <w:top w:val="nil"/>
              <w:bottom w:val="single" w:sz="4" w:space="0" w:color="auto"/>
            </w:tcBorders>
            <w:vAlign w:val="center"/>
            <w:hideMark/>
          </w:tcPr>
          <w:p w14:paraId="1A29E4DA" w14:textId="77777777" w:rsidR="009142AC" w:rsidRPr="008D3401" w:rsidRDefault="009142AC" w:rsidP="00FA297C">
            <w:pPr>
              <w:spacing w:line="276" w:lineRule="auto"/>
              <w:rPr>
                <w:rFonts w:ascii="Arial" w:hAnsi="Arial" w:cs="Arial"/>
                <w:b/>
                <w:sz w:val="20"/>
                <w:szCs w:val="20"/>
              </w:rPr>
            </w:pPr>
          </w:p>
        </w:tc>
        <w:tc>
          <w:tcPr>
            <w:tcW w:w="1440" w:type="dxa"/>
            <w:tcBorders>
              <w:top w:val="single" w:sz="4" w:space="0" w:color="auto"/>
              <w:bottom w:val="single" w:sz="4" w:space="0" w:color="auto"/>
            </w:tcBorders>
            <w:vAlign w:val="center"/>
            <w:hideMark/>
          </w:tcPr>
          <w:p w14:paraId="543D4CEF"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No (%)</w:t>
            </w:r>
          </w:p>
        </w:tc>
        <w:tc>
          <w:tcPr>
            <w:tcW w:w="1440" w:type="dxa"/>
            <w:tcBorders>
              <w:top w:val="single" w:sz="4" w:space="0" w:color="auto"/>
              <w:bottom w:val="single" w:sz="4" w:space="0" w:color="auto"/>
            </w:tcBorders>
            <w:vAlign w:val="center"/>
            <w:hideMark/>
          </w:tcPr>
          <w:p w14:paraId="4EBD44D4" w14:textId="773A89DD"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Yes (%)</w:t>
            </w:r>
          </w:p>
        </w:tc>
        <w:tc>
          <w:tcPr>
            <w:tcW w:w="1890" w:type="dxa"/>
            <w:vMerge/>
            <w:tcBorders>
              <w:top w:val="nil"/>
              <w:bottom w:val="single" w:sz="4" w:space="0" w:color="auto"/>
            </w:tcBorders>
            <w:vAlign w:val="center"/>
          </w:tcPr>
          <w:p w14:paraId="4E064CA3" w14:textId="77777777" w:rsidR="009142AC" w:rsidRPr="008D3401" w:rsidRDefault="009142AC" w:rsidP="00FA297C">
            <w:pPr>
              <w:spacing w:line="276" w:lineRule="auto"/>
              <w:rPr>
                <w:rFonts w:ascii="Arial" w:hAnsi="Arial" w:cs="Arial"/>
                <w:b/>
                <w:sz w:val="20"/>
                <w:szCs w:val="20"/>
              </w:rPr>
            </w:pPr>
          </w:p>
        </w:tc>
        <w:tc>
          <w:tcPr>
            <w:tcW w:w="2126" w:type="dxa"/>
            <w:vMerge/>
            <w:tcBorders>
              <w:top w:val="nil"/>
              <w:bottom w:val="single" w:sz="4" w:space="0" w:color="auto"/>
            </w:tcBorders>
            <w:vAlign w:val="center"/>
          </w:tcPr>
          <w:p w14:paraId="62B6D7F6" w14:textId="77777777" w:rsidR="009142AC" w:rsidRPr="008D3401" w:rsidRDefault="009142AC" w:rsidP="00FA297C">
            <w:pPr>
              <w:spacing w:line="276" w:lineRule="auto"/>
              <w:rPr>
                <w:rFonts w:ascii="Arial" w:hAnsi="Arial" w:cs="Arial"/>
                <w:b/>
                <w:sz w:val="20"/>
                <w:szCs w:val="20"/>
              </w:rPr>
            </w:pPr>
          </w:p>
        </w:tc>
        <w:tc>
          <w:tcPr>
            <w:tcW w:w="1843" w:type="dxa"/>
            <w:tcBorders>
              <w:top w:val="single" w:sz="4" w:space="0" w:color="auto"/>
              <w:bottom w:val="single" w:sz="4" w:space="0" w:color="auto"/>
            </w:tcBorders>
            <w:vAlign w:val="center"/>
            <w:hideMark/>
          </w:tcPr>
          <w:p w14:paraId="1B87F4E7"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B(sig.)</w:t>
            </w:r>
          </w:p>
        </w:tc>
        <w:tc>
          <w:tcPr>
            <w:tcW w:w="2268" w:type="dxa"/>
            <w:tcBorders>
              <w:top w:val="single" w:sz="4" w:space="0" w:color="auto"/>
              <w:bottom w:val="single" w:sz="4" w:space="0" w:color="auto"/>
            </w:tcBorders>
            <w:vAlign w:val="center"/>
            <w:hideMark/>
          </w:tcPr>
          <w:p w14:paraId="49CAF10C"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OR(CI)</w:t>
            </w:r>
          </w:p>
        </w:tc>
      </w:tr>
      <w:tr w:rsidR="00FA297C" w:rsidRPr="009142AC" w14:paraId="2C36CB6C" w14:textId="77777777" w:rsidTr="008D3401">
        <w:tc>
          <w:tcPr>
            <w:tcW w:w="13887" w:type="dxa"/>
            <w:gridSpan w:val="7"/>
            <w:tcBorders>
              <w:top w:val="single" w:sz="4" w:space="0" w:color="auto"/>
              <w:bottom w:val="single" w:sz="4" w:space="0" w:color="auto"/>
            </w:tcBorders>
            <w:vAlign w:val="center"/>
            <w:hideMark/>
          </w:tcPr>
          <w:p w14:paraId="1BCD40AC" w14:textId="2514ED6B"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 xml:space="preserve">Attitude towards energy drink consumption </w:t>
            </w:r>
          </w:p>
        </w:tc>
      </w:tr>
      <w:tr w:rsidR="00586B66" w:rsidRPr="009142AC" w14:paraId="06706F08" w14:textId="77777777" w:rsidTr="008D3401">
        <w:tc>
          <w:tcPr>
            <w:tcW w:w="2880" w:type="dxa"/>
            <w:tcBorders>
              <w:top w:val="single" w:sz="4" w:space="0" w:color="auto"/>
            </w:tcBorders>
            <w:vAlign w:val="center"/>
            <w:hideMark/>
          </w:tcPr>
          <w:p w14:paraId="4D26A5E8"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Appropriate attitude</w:t>
            </w:r>
          </w:p>
        </w:tc>
        <w:tc>
          <w:tcPr>
            <w:tcW w:w="1440" w:type="dxa"/>
            <w:tcBorders>
              <w:top w:val="single" w:sz="4" w:space="0" w:color="auto"/>
            </w:tcBorders>
            <w:vAlign w:val="center"/>
            <w:hideMark/>
          </w:tcPr>
          <w:p w14:paraId="5EB78D8C"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105(47.5%)</w:t>
            </w:r>
          </w:p>
        </w:tc>
        <w:tc>
          <w:tcPr>
            <w:tcW w:w="1440" w:type="dxa"/>
            <w:tcBorders>
              <w:top w:val="single" w:sz="4" w:space="0" w:color="auto"/>
            </w:tcBorders>
            <w:vAlign w:val="center"/>
            <w:hideMark/>
          </w:tcPr>
          <w:p w14:paraId="42BE0CA6"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116(52.5%)</w:t>
            </w:r>
          </w:p>
        </w:tc>
        <w:tc>
          <w:tcPr>
            <w:tcW w:w="1890" w:type="dxa"/>
            <w:tcBorders>
              <w:top w:val="single" w:sz="4" w:space="0" w:color="auto"/>
            </w:tcBorders>
            <w:vAlign w:val="center"/>
            <w:hideMark/>
          </w:tcPr>
          <w:p w14:paraId="0FF81F83" w14:textId="66D5EE3C"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11.291(0.</w:t>
            </w:r>
            <w:proofErr w:type="gramStart"/>
            <w:r w:rsidRPr="009142AC">
              <w:rPr>
                <w:rFonts w:ascii="Arial" w:hAnsi="Arial" w:cs="Arial"/>
                <w:sz w:val="20"/>
                <w:szCs w:val="20"/>
              </w:rPr>
              <w:t>001)</w:t>
            </w:r>
            <w:r w:rsidR="009142AC">
              <w:rPr>
                <w:rFonts w:ascii="Arial" w:hAnsi="Arial" w:cs="Arial"/>
                <w:sz w:val="20"/>
                <w:szCs w:val="20"/>
              </w:rPr>
              <w:t>*</w:t>
            </w:r>
            <w:proofErr w:type="gramEnd"/>
          </w:p>
        </w:tc>
        <w:tc>
          <w:tcPr>
            <w:tcW w:w="2126" w:type="dxa"/>
            <w:tcBorders>
              <w:top w:val="single" w:sz="4" w:space="0" w:color="auto"/>
            </w:tcBorders>
            <w:vAlign w:val="center"/>
            <w:hideMark/>
          </w:tcPr>
          <w:p w14:paraId="3CDDAAF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0.488(0.320-0.744)</w:t>
            </w:r>
          </w:p>
        </w:tc>
        <w:tc>
          <w:tcPr>
            <w:tcW w:w="1843" w:type="dxa"/>
            <w:tcBorders>
              <w:top w:val="single" w:sz="4" w:space="0" w:color="auto"/>
            </w:tcBorders>
            <w:vAlign w:val="center"/>
            <w:hideMark/>
          </w:tcPr>
          <w:p w14:paraId="1EF3F54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0.451(0.062)</w:t>
            </w:r>
          </w:p>
        </w:tc>
        <w:tc>
          <w:tcPr>
            <w:tcW w:w="2268" w:type="dxa"/>
            <w:tcBorders>
              <w:top w:val="single" w:sz="4" w:space="0" w:color="auto"/>
            </w:tcBorders>
            <w:vAlign w:val="center"/>
            <w:hideMark/>
          </w:tcPr>
          <w:p w14:paraId="1014BBAC"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1.569(0.978-2.518)</w:t>
            </w:r>
          </w:p>
        </w:tc>
      </w:tr>
      <w:tr w:rsidR="00586B66" w:rsidRPr="009142AC" w14:paraId="50370CC2" w14:textId="77777777" w:rsidTr="008D3401">
        <w:tc>
          <w:tcPr>
            <w:tcW w:w="2880" w:type="dxa"/>
            <w:tcBorders>
              <w:bottom w:val="single" w:sz="4" w:space="0" w:color="auto"/>
            </w:tcBorders>
            <w:vAlign w:val="center"/>
            <w:hideMark/>
          </w:tcPr>
          <w:p w14:paraId="22604C91" w14:textId="304C5C96"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Inappropriate attitude</w:t>
            </w:r>
            <w:r w:rsidR="009142AC">
              <w:rPr>
                <w:rFonts w:ascii="Arial" w:hAnsi="Arial" w:cs="Arial"/>
                <w:sz w:val="20"/>
                <w:szCs w:val="20"/>
              </w:rPr>
              <w:t xml:space="preserve"> </w:t>
            </w:r>
            <w:r w:rsidR="009142AC" w:rsidRPr="009142AC">
              <w:rPr>
                <w:rFonts w:ascii="Arial" w:hAnsi="Arial" w:cs="Arial"/>
                <w:sz w:val="20"/>
                <w:szCs w:val="20"/>
              </w:rPr>
              <w:t>(ref)</w:t>
            </w:r>
          </w:p>
        </w:tc>
        <w:tc>
          <w:tcPr>
            <w:tcW w:w="1440" w:type="dxa"/>
            <w:tcBorders>
              <w:bottom w:val="single" w:sz="4" w:space="0" w:color="auto"/>
            </w:tcBorders>
            <w:vAlign w:val="center"/>
            <w:hideMark/>
          </w:tcPr>
          <w:p w14:paraId="6366152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102(65.0%)</w:t>
            </w:r>
          </w:p>
        </w:tc>
        <w:tc>
          <w:tcPr>
            <w:tcW w:w="1440" w:type="dxa"/>
            <w:tcBorders>
              <w:bottom w:val="single" w:sz="4" w:space="0" w:color="auto"/>
            </w:tcBorders>
            <w:vAlign w:val="center"/>
            <w:hideMark/>
          </w:tcPr>
          <w:p w14:paraId="5E46D8D4"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55(35.0%)</w:t>
            </w:r>
          </w:p>
        </w:tc>
        <w:tc>
          <w:tcPr>
            <w:tcW w:w="1890" w:type="dxa"/>
            <w:tcBorders>
              <w:bottom w:val="single" w:sz="4" w:space="0" w:color="auto"/>
            </w:tcBorders>
            <w:vAlign w:val="center"/>
          </w:tcPr>
          <w:p w14:paraId="5EF91E6C" w14:textId="77777777" w:rsidR="00586B66" w:rsidRPr="009142AC" w:rsidRDefault="00586B66" w:rsidP="00FA297C">
            <w:pPr>
              <w:spacing w:line="276" w:lineRule="auto"/>
              <w:rPr>
                <w:rFonts w:ascii="Arial" w:hAnsi="Arial" w:cs="Arial"/>
                <w:sz w:val="20"/>
                <w:szCs w:val="20"/>
              </w:rPr>
            </w:pPr>
          </w:p>
        </w:tc>
        <w:tc>
          <w:tcPr>
            <w:tcW w:w="2126" w:type="dxa"/>
            <w:tcBorders>
              <w:bottom w:val="single" w:sz="4" w:space="0" w:color="auto"/>
            </w:tcBorders>
            <w:vAlign w:val="center"/>
          </w:tcPr>
          <w:p w14:paraId="1610F42C" w14:textId="77777777" w:rsidR="00586B66" w:rsidRPr="009142AC" w:rsidRDefault="00586B66" w:rsidP="00FA297C">
            <w:pPr>
              <w:spacing w:line="276" w:lineRule="auto"/>
              <w:rPr>
                <w:rFonts w:ascii="Arial" w:hAnsi="Arial" w:cs="Arial"/>
                <w:sz w:val="20"/>
                <w:szCs w:val="20"/>
              </w:rPr>
            </w:pPr>
          </w:p>
        </w:tc>
        <w:tc>
          <w:tcPr>
            <w:tcW w:w="1843" w:type="dxa"/>
            <w:tcBorders>
              <w:bottom w:val="single" w:sz="4" w:space="0" w:color="auto"/>
            </w:tcBorders>
            <w:vAlign w:val="center"/>
          </w:tcPr>
          <w:p w14:paraId="2373F4C8" w14:textId="77777777" w:rsidR="00586B66" w:rsidRPr="009142AC" w:rsidRDefault="00586B66" w:rsidP="00FA297C">
            <w:pPr>
              <w:spacing w:line="276" w:lineRule="auto"/>
              <w:rPr>
                <w:rFonts w:ascii="Arial" w:hAnsi="Arial" w:cs="Arial"/>
                <w:sz w:val="20"/>
                <w:szCs w:val="20"/>
              </w:rPr>
            </w:pPr>
          </w:p>
        </w:tc>
        <w:tc>
          <w:tcPr>
            <w:tcW w:w="2268" w:type="dxa"/>
            <w:tcBorders>
              <w:bottom w:val="single" w:sz="4" w:space="0" w:color="auto"/>
            </w:tcBorders>
            <w:vAlign w:val="center"/>
          </w:tcPr>
          <w:p w14:paraId="32826A5C" w14:textId="77777777" w:rsidR="00586B66" w:rsidRPr="009142AC" w:rsidRDefault="00586B66" w:rsidP="00FA297C">
            <w:pPr>
              <w:spacing w:line="276" w:lineRule="auto"/>
              <w:rPr>
                <w:rFonts w:ascii="Arial" w:hAnsi="Arial" w:cs="Arial"/>
                <w:sz w:val="20"/>
                <w:szCs w:val="20"/>
              </w:rPr>
            </w:pPr>
          </w:p>
        </w:tc>
      </w:tr>
      <w:tr w:rsidR="009142AC" w:rsidRPr="009142AC" w14:paraId="2C050368" w14:textId="77777777" w:rsidTr="008D3401">
        <w:tc>
          <w:tcPr>
            <w:tcW w:w="13887" w:type="dxa"/>
            <w:gridSpan w:val="7"/>
            <w:tcBorders>
              <w:top w:val="single" w:sz="4" w:space="0" w:color="auto"/>
              <w:bottom w:val="single" w:sz="4" w:space="0" w:color="auto"/>
            </w:tcBorders>
            <w:vAlign w:val="center"/>
          </w:tcPr>
          <w:p w14:paraId="53BD9B8B" w14:textId="04F5A9FB" w:rsidR="009142AC" w:rsidRPr="009142AC" w:rsidRDefault="009142AC" w:rsidP="009142AC">
            <w:pPr>
              <w:spacing w:line="276" w:lineRule="auto"/>
              <w:rPr>
                <w:rFonts w:ascii="Arial" w:hAnsi="Arial" w:cs="Arial"/>
                <w:sz w:val="20"/>
                <w:szCs w:val="20"/>
              </w:rPr>
            </w:pPr>
            <w:r w:rsidRPr="009142AC">
              <w:rPr>
                <w:rFonts w:ascii="Arial" w:hAnsi="Arial" w:cs="Arial"/>
                <w:b/>
                <w:sz w:val="20"/>
                <w:szCs w:val="20"/>
              </w:rPr>
              <w:t xml:space="preserve">Practice of energy drink consumption </w:t>
            </w:r>
          </w:p>
        </w:tc>
      </w:tr>
      <w:tr w:rsidR="009142AC" w:rsidRPr="009142AC" w14:paraId="260DFDDA" w14:textId="77777777" w:rsidTr="008D3401">
        <w:tc>
          <w:tcPr>
            <w:tcW w:w="2880" w:type="dxa"/>
            <w:tcBorders>
              <w:top w:val="single" w:sz="4" w:space="0" w:color="auto"/>
            </w:tcBorders>
            <w:vAlign w:val="center"/>
          </w:tcPr>
          <w:p w14:paraId="7A12F33E" w14:textId="3FE0521D"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Good Practice level</w:t>
            </w:r>
          </w:p>
        </w:tc>
        <w:tc>
          <w:tcPr>
            <w:tcW w:w="1440" w:type="dxa"/>
            <w:tcBorders>
              <w:top w:val="single" w:sz="4" w:space="0" w:color="auto"/>
            </w:tcBorders>
            <w:vAlign w:val="center"/>
          </w:tcPr>
          <w:p w14:paraId="440A7E18" w14:textId="1BBAEBD1"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72(38.1%)</w:t>
            </w:r>
          </w:p>
        </w:tc>
        <w:tc>
          <w:tcPr>
            <w:tcW w:w="1440" w:type="dxa"/>
            <w:tcBorders>
              <w:top w:val="single" w:sz="4" w:space="0" w:color="auto"/>
            </w:tcBorders>
            <w:vAlign w:val="center"/>
          </w:tcPr>
          <w:p w14:paraId="61944033" w14:textId="6CF57D20"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117(61.9%)</w:t>
            </w:r>
          </w:p>
        </w:tc>
        <w:tc>
          <w:tcPr>
            <w:tcW w:w="1890" w:type="dxa"/>
            <w:tcBorders>
              <w:top w:val="single" w:sz="4" w:space="0" w:color="auto"/>
            </w:tcBorders>
            <w:vAlign w:val="center"/>
          </w:tcPr>
          <w:p w14:paraId="0F6FCA6F" w14:textId="20CE2A6A"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15.974 (</w:t>
            </w:r>
            <w:proofErr w:type="gramStart"/>
            <w:r w:rsidRPr="009142AC">
              <w:rPr>
                <w:rFonts w:ascii="Arial" w:hAnsi="Arial" w:cs="Arial"/>
                <w:sz w:val="20"/>
                <w:szCs w:val="20"/>
              </w:rPr>
              <w:t>0.000)*</w:t>
            </w:r>
            <w:proofErr w:type="gramEnd"/>
          </w:p>
        </w:tc>
        <w:tc>
          <w:tcPr>
            <w:tcW w:w="2126" w:type="dxa"/>
            <w:tcBorders>
              <w:top w:val="single" w:sz="4" w:space="0" w:color="auto"/>
            </w:tcBorders>
            <w:vAlign w:val="center"/>
          </w:tcPr>
          <w:p w14:paraId="4EB5B900" w14:textId="203DECAB"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0.394(0.249-0. .625)</w:t>
            </w:r>
          </w:p>
        </w:tc>
        <w:tc>
          <w:tcPr>
            <w:tcW w:w="1843" w:type="dxa"/>
            <w:tcBorders>
              <w:top w:val="single" w:sz="4" w:space="0" w:color="auto"/>
            </w:tcBorders>
            <w:vAlign w:val="center"/>
          </w:tcPr>
          <w:p w14:paraId="2C870314" w14:textId="02AD0C87"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0.930 (</w:t>
            </w:r>
            <w:proofErr w:type="gramStart"/>
            <w:r w:rsidRPr="009142AC">
              <w:rPr>
                <w:rFonts w:ascii="Arial" w:hAnsi="Arial" w:cs="Arial"/>
                <w:sz w:val="20"/>
                <w:szCs w:val="20"/>
              </w:rPr>
              <w:t>0.000)*</w:t>
            </w:r>
            <w:proofErr w:type="gramEnd"/>
          </w:p>
        </w:tc>
        <w:tc>
          <w:tcPr>
            <w:tcW w:w="2268" w:type="dxa"/>
            <w:tcBorders>
              <w:top w:val="single" w:sz="4" w:space="0" w:color="auto"/>
            </w:tcBorders>
            <w:vAlign w:val="center"/>
          </w:tcPr>
          <w:p w14:paraId="528DD415" w14:textId="43C6578E"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2.535 (1.599-4.019)</w:t>
            </w:r>
          </w:p>
        </w:tc>
      </w:tr>
      <w:tr w:rsidR="009142AC" w:rsidRPr="009142AC" w14:paraId="11BA8F21" w14:textId="77777777" w:rsidTr="008D3401">
        <w:tc>
          <w:tcPr>
            <w:tcW w:w="2880" w:type="dxa"/>
            <w:vAlign w:val="center"/>
          </w:tcPr>
          <w:p w14:paraId="05395D23" w14:textId="1BEFDA24"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Poor Practice level</w:t>
            </w:r>
            <w:r>
              <w:rPr>
                <w:rFonts w:ascii="Arial" w:hAnsi="Arial" w:cs="Arial"/>
                <w:sz w:val="20"/>
                <w:szCs w:val="20"/>
              </w:rPr>
              <w:t xml:space="preserve"> </w:t>
            </w:r>
            <w:r w:rsidRPr="009142AC">
              <w:rPr>
                <w:rFonts w:ascii="Arial" w:hAnsi="Arial" w:cs="Arial"/>
                <w:sz w:val="20"/>
                <w:szCs w:val="20"/>
              </w:rPr>
              <w:t>(ref)</w:t>
            </w:r>
          </w:p>
        </w:tc>
        <w:tc>
          <w:tcPr>
            <w:tcW w:w="1440" w:type="dxa"/>
            <w:vAlign w:val="center"/>
          </w:tcPr>
          <w:p w14:paraId="04B6CA2E" w14:textId="17A05048"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78(60.9%)</w:t>
            </w:r>
          </w:p>
        </w:tc>
        <w:tc>
          <w:tcPr>
            <w:tcW w:w="1440" w:type="dxa"/>
            <w:vAlign w:val="center"/>
          </w:tcPr>
          <w:p w14:paraId="7376FE9B" w14:textId="7C3493C6"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50(39.1%)</w:t>
            </w:r>
          </w:p>
        </w:tc>
        <w:tc>
          <w:tcPr>
            <w:tcW w:w="1890" w:type="dxa"/>
            <w:vAlign w:val="center"/>
          </w:tcPr>
          <w:p w14:paraId="37126D7B" w14:textId="77777777" w:rsidR="009142AC" w:rsidRPr="009142AC" w:rsidRDefault="009142AC" w:rsidP="009142AC">
            <w:pPr>
              <w:spacing w:line="276" w:lineRule="auto"/>
              <w:rPr>
                <w:rFonts w:ascii="Arial" w:hAnsi="Arial" w:cs="Arial"/>
                <w:sz w:val="20"/>
                <w:szCs w:val="20"/>
              </w:rPr>
            </w:pPr>
          </w:p>
        </w:tc>
        <w:tc>
          <w:tcPr>
            <w:tcW w:w="2126" w:type="dxa"/>
            <w:vAlign w:val="center"/>
          </w:tcPr>
          <w:p w14:paraId="58FED42F" w14:textId="77777777" w:rsidR="009142AC" w:rsidRPr="009142AC" w:rsidRDefault="009142AC" w:rsidP="009142AC">
            <w:pPr>
              <w:spacing w:line="276" w:lineRule="auto"/>
              <w:rPr>
                <w:rFonts w:ascii="Arial" w:hAnsi="Arial" w:cs="Arial"/>
                <w:sz w:val="20"/>
                <w:szCs w:val="20"/>
              </w:rPr>
            </w:pPr>
          </w:p>
        </w:tc>
        <w:tc>
          <w:tcPr>
            <w:tcW w:w="1843" w:type="dxa"/>
            <w:vAlign w:val="center"/>
          </w:tcPr>
          <w:p w14:paraId="431EFA5F" w14:textId="77777777" w:rsidR="009142AC" w:rsidRPr="009142AC" w:rsidRDefault="009142AC" w:rsidP="009142AC">
            <w:pPr>
              <w:spacing w:line="276" w:lineRule="auto"/>
              <w:rPr>
                <w:rFonts w:ascii="Arial" w:hAnsi="Arial" w:cs="Arial"/>
                <w:sz w:val="20"/>
                <w:szCs w:val="20"/>
              </w:rPr>
            </w:pPr>
          </w:p>
        </w:tc>
        <w:tc>
          <w:tcPr>
            <w:tcW w:w="2268" w:type="dxa"/>
            <w:vAlign w:val="center"/>
          </w:tcPr>
          <w:p w14:paraId="1677EC8D" w14:textId="77777777" w:rsidR="009142AC" w:rsidRPr="009142AC" w:rsidRDefault="009142AC" w:rsidP="009142AC">
            <w:pPr>
              <w:spacing w:line="276" w:lineRule="auto"/>
              <w:rPr>
                <w:rFonts w:ascii="Arial" w:hAnsi="Arial" w:cs="Arial"/>
                <w:sz w:val="20"/>
                <w:szCs w:val="20"/>
              </w:rPr>
            </w:pPr>
          </w:p>
        </w:tc>
      </w:tr>
    </w:tbl>
    <w:p w14:paraId="2EBD6118" w14:textId="4514A60C" w:rsidR="00FA297C" w:rsidRPr="009142AC" w:rsidRDefault="00586B66" w:rsidP="00FA297C">
      <w:pPr>
        <w:spacing w:line="240" w:lineRule="auto"/>
        <w:rPr>
          <w:rFonts w:ascii="Arial" w:hAnsi="Arial" w:cs="Arial"/>
          <w:bCs/>
          <w:i/>
          <w:iCs/>
          <w:sz w:val="20"/>
          <w:szCs w:val="20"/>
        </w:rPr>
      </w:pPr>
      <w:r w:rsidRPr="009142AC">
        <w:rPr>
          <w:rFonts w:ascii="Arial" w:hAnsi="Arial" w:cs="Arial"/>
          <w:bCs/>
          <w:i/>
          <w:iCs/>
          <w:sz w:val="20"/>
          <w:szCs w:val="20"/>
        </w:rPr>
        <w:t>*=significant at p&lt;0.05, X</w:t>
      </w:r>
      <w:r w:rsidRPr="009142AC">
        <w:rPr>
          <w:rFonts w:ascii="Arial" w:hAnsi="Arial" w:cs="Arial"/>
          <w:bCs/>
          <w:i/>
          <w:iCs/>
          <w:sz w:val="20"/>
          <w:szCs w:val="20"/>
          <w:vertAlign w:val="superscript"/>
        </w:rPr>
        <w:t>2</w:t>
      </w:r>
      <w:r w:rsidRPr="009142AC">
        <w:rPr>
          <w:rFonts w:ascii="Arial" w:hAnsi="Arial" w:cs="Arial"/>
          <w:bCs/>
          <w:i/>
          <w:iCs/>
          <w:sz w:val="20"/>
          <w:szCs w:val="20"/>
        </w:rPr>
        <w:t>= Chi square, sig/p-value= Significant levels, OR= Crude odd ratio, CI= 95%Confidence Interval, AOR= Adjusted odd ratio, B= Coefficient of regression value</w:t>
      </w:r>
      <w:r w:rsidR="00356CCD">
        <w:rPr>
          <w:rFonts w:ascii="Arial" w:hAnsi="Arial" w:cs="Arial"/>
          <w:bCs/>
          <w:i/>
          <w:iCs/>
          <w:sz w:val="20"/>
          <w:szCs w:val="20"/>
        </w:rPr>
        <w:t xml:space="preserve">; </w:t>
      </w:r>
      <w:r w:rsidR="00356CCD" w:rsidRPr="00356CCD">
        <w:rPr>
          <w:rFonts w:ascii="Arial" w:hAnsi="Arial" w:cs="Arial"/>
          <w:bCs/>
          <w:i/>
          <w:iCs/>
          <w:sz w:val="20"/>
          <w:szCs w:val="20"/>
        </w:rPr>
        <w:t>Ref: Reference category</w:t>
      </w:r>
    </w:p>
    <w:p w14:paraId="69CE3839" w14:textId="77777777" w:rsidR="00FA297C" w:rsidRPr="008D3401" w:rsidRDefault="00FA297C" w:rsidP="00FA297C">
      <w:pPr>
        <w:spacing w:line="240" w:lineRule="auto"/>
        <w:rPr>
          <w:rFonts w:ascii="Arial" w:hAnsi="Arial" w:cs="Arial"/>
          <w:bCs/>
          <w:sz w:val="20"/>
          <w:szCs w:val="20"/>
        </w:rPr>
      </w:pPr>
    </w:p>
    <w:p w14:paraId="1519A3A5" w14:textId="4D13A608" w:rsidR="00586B66" w:rsidRPr="009142AC" w:rsidRDefault="00586B66" w:rsidP="00FA297C">
      <w:pPr>
        <w:spacing w:after="0" w:line="276" w:lineRule="auto"/>
        <w:rPr>
          <w:rFonts w:ascii="Arial" w:hAnsi="Arial" w:cs="Arial"/>
          <w:b/>
          <w:sz w:val="20"/>
          <w:szCs w:val="20"/>
        </w:rPr>
      </w:pPr>
      <w:r w:rsidRPr="009142AC">
        <w:rPr>
          <w:rFonts w:ascii="Arial" w:hAnsi="Arial" w:cs="Arial"/>
          <w:b/>
          <w:sz w:val="20"/>
          <w:szCs w:val="20"/>
        </w:rPr>
        <w:t xml:space="preserve">Table </w:t>
      </w:r>
      <w:r w:rsidR="009142AC" w:rsidRPr="009142AC">
        <w:rPr>
          <w:rFonts w:ascii="Arial" w:hAnsi="Arial" w:cs="Arial"/>
          <w:b/>
          <w:sz w:val="20"/>
          <w:szCs w:val="20"/>
        </w:rPr>
        <w:t xml:space="preserve">9. </w:t>
      </w:r>
      <w:r w:rsidRPr="009142AC">
        <w:rPr>
          <w:rFonts w:ascii="Arial" w:hAnsi="Arial" w:cs="Arial"/>
          <w:b/>
          <w:sz w:val="20"/>
          <w:szCs w:val="20"/>
        </w:rPr>
        <w:t xml:space="preserve">Sleep patterns affecting level of energy drink consumption among university students in Rivers State </w:t>
      </w:r>
    </w:p>
    <w:tbl>
      <w:tblPr>
        <w:tblStyle w:val="TableGrid"/>
        <w:tblW w:w="4980" w:type="pct"/>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1652"/>
        <w:gridCol w:w="1702"/>
        <w:gridCol w:w="1702"/>
        <w:gridCol w:w="2130"/>
        <w:gridCol w:w="1704"/>
        <w:gridCol w:w="1985"/>
      </w:tblGrid>
      <w:tr w:rsidR="009142AC" w:rsidRPr="009142AC" w14:paraId="3E60D728" w14:textId="77777777" w:rsidTr="008D3401">
        <w:tc>
          <w:tcPr>
            <w:tcW w:w="1089" w:type="pct"/>
            <w:vMerge w:val="restart"/>
            <w:tcBorders>
              <w:top w:val="single" w:sz="4" w:space="0" w:color="auto"/>
              <w:bottom w:val="nil"/>
            </w:tcBorders>
            <w:vAlign w:val="center"/>
            <w:hideMark/>
          </w:tcPr>
          <w:p w14:paraId="13A7AB9D"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Variables (n=378)</w:t>
            </w:r>
          </w:p>
        </w:tc>
        <w:tc>
          <w:tcPr>
            <w:tcW w:w="1206" w:type="pct"/>
            <w:gridSpan w:val="2"/>
            <w:tcBorders>
              <w:top w:val="single" w:sz="4" w:space="0" w:color="auto"/>
              <w:bottom w:val="single" w:sz="4" w:space="0" w:color="auto"/>
            </w:tcBorders>
            <w:vAlign w:val="center"/>
            <w:hideMark/>
          </w:tcPr>
          <w:p w14:paraId="226F6221"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Prevalence level of energy drink consumption</w:t>
            </w:r>
          </w:p>
        </w:tc>
        <w:tc>
          <w:tcPr>
            <w:tcW w:w="612" w:type="pct"/>
            <w:vMerge w:val="restart"/>
            <w:tcBorders>
              <w:top w:val="single" w:sz="4" w:space="0" w:color="auto"/>
              <w:bottom w:val="nil"/>
            </w:tcBorders>
            <w:vAlign w:val="center"/>
            <w:hideMark/>
          </w:tcPr>
          <w:p w14:paraId="26145964"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X</w:t>
            </w:r>
            <w:r w:rsidRPr="008D3401">
              <w:rPr>
                <w:rFonts w:ascii="Arial" w:hAnsi="Arial" w:cs="Arial"/>
                <w:b/>
                <w:sz w:val="20"/>
                <w:szCs w:val="20"/>
                <w:vertAlign w:val="superscript"/>
              </w:rPr>
              <w:t>2</w:t>
            </w:r>
            <w:r w:rsidRPr="008D3401">
              <w:rPr>
                <w:rFonts w:ascii="Arial" w:hAnsi="Arial" w:cs="Arial"/>
                <w:b/>
                <w:sz w:val="20"/>
                <w:szCs w:val="20"/>
              </w:rPr>
              <w:t>(p-values)</w:t>
            </w:r>
          </w:p>
        </w:tc>
        <w:tc>
          <w:tcPr>
            <w:tcW w:w="766" w:type="pct"/>
            <w:vMerge w:val="restart"/>
            <w:tcBorders>
              <w:top w:val="single" w:sz="4" w:space="0" w:color="auto"/>
              <w:bottom w:val="nil"/>
            </w:tcBorders>
            <w:vAlign w:val="center"/>
            <w:hideMark/>
          </w:tcPr>
          <w:p w14:paraId="75B61D27"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COR(CI)</w:t>
            </w:r>
          </w:p>
        </w:tc>
        <w:tc>
          <w:tcPr>
            <w:tcW w:w="1327" w:type="pct"/>
            <w:gridSpan w:val="2"/>
            <w:tcBorders>
              <w:top w:val="single" w:sz="4" w:space="0" w:color="auto"/>
              <w:bottom w:val="single" w:sz="4" w:space="0" w:color="auto"/>
            </w:tcBorders>
            <w:vAlign w:val="center"/>
            <w:hideMark/>
          </w:tcPr>
          <w:p w14:paraId="66895A7A"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Regression Analysis</w:t>
            </w:r>
          </w:p>
        </w:tc>
      </w:tr>
      <w:tr w:rsidR="008D3401" w:rsidRPr="009142AC" w14:paraId="3A136549" w14:textId="77777777" w:rsidTr="008D3401">
        <w:tc>
          <w:tcPr>
            <w:tcW w:w="1089" w:type="pct"/>
            <w:vMerge/>
            <w:tcBorders>
              <w:top w:val="nil"/>
              <w:bottom w:val="single" w:sz="4" w:space="0" w:color="auto"/>
            </w:tcBorders>
            <w:vAlign w:val="center"/>
            <w:hideMark/>
          </w:tcPr>
          <w:p w14:paraId="242AF565" w14:textId="77777777" w:rsidR="009142AC" w:rsidRPr="008D3401" w:rsidRDefault="009142AC" w:rsidP="009142AC">
            <w:pPr>
              <w:spacing w:line="276" w:lineRule="auto"/>
              <w:rPr>
                <w:rFonts w:ascii="Arial" w:hAnsi="Arial" w:cs="Arial"/>
                <w:b/>
                <w:sz w:val="20"/>
                <w:szCs w:val="20"/>
              </w:rPr>
            </w:pPr>
          </w:p>
        </w:tc>
        <w:tc>
          <w:tcPr>
            <w:tcW w:w="594" w:type="pct"/>
            <w:tcBorders>
              <w:top w:val="single" w:sz="4" w:space="0" w:color="auto"/>
              <w:bottom w:val="single" w:sz="4" w:space="0" w:color="auto"/>
            </w:tcBorders>
            <w:vAlign w:val="center"/>
            <w:hideMark/>
          </w:tcPr>
          <w:p w14:paraId="1F14F1B2" w14:textId="274FC11E"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No (%)</w:t>
            </w:r>
          </w:p>
        </w:tc>
        <w:tc>
          <w:tcPr>
            <w:tcW w:w="612" w:type="pct"/>
            <w:tcBorders>
              <w:top w:val="single" w:sz="4" w:space="0" w:color="auto"/>
              <w:bottom w:val="single" w:sz="4" w:space="0" w:color="auto"/>
            </w:tcBorders>
            <w:vAlign w:val="center"/>
            <w:hideMark/>
          </w:tcPr>
          <w:p w14:paraId="0188F084" w14:textId="39B070A5"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Yes (%)</w:t>
            </w:r>
          </w:p>
        </w:tc>
        <w:tc>
          <w:tcPr>
            <w:tcW w:w="612" w:type="pct"/>
            <w:vMerge/>
            <w:tcBorders>
              <w:top w:val="nil"/>
              <w:bottom w:val="single" w:sz="4" w:space="0" w:color="auto"/>
            </w:tcBorders>
            <w:vAlign w:val="center"/>
          </w:tcPr>
          <w:p w14:paraId="7D7FA9ED" w14:textId="77777777" w:rsidR="009142AC" w:rsidRPr="008D3401" w:rsidRDefault="009142AC" w:rsidP="009142AC">
            <w:pPr>
              <w:spacing w:line="276" w:lineRule="auto"/>
              <w:rPr>
                <w:rFonts w:ascii="Arial" w:hAnsi="Arial" w:cs="Arial"/>
                <w:b/>
                <w:sz w:val="20"/>
                <w:szCs w:val="20"/>
              </w:rPr>
            </w:pPr>
          </w:p>
        </w:tc>
        <w:tc>
          <w:tcPr>
            <w:tcW w:w="766" w:type="pct"/>
            <w:vMerge/>
            <w:tcBorders>
              <w:top w:val="nil"/>
              <w:bottom w:val="single" w:sz="4" w:space="0" w:color="auto"/>
            </w:tcBorders>
            <w:vAlign w:val="center"/>
          </w:tcPr>
          <w:p w14:paraId="25A6EF39" w14:textId="77777777" w:rsidR="009142AC" w:rsidRPr="008D3401" w:rsidRDefault="009142AC" w:rsidP="009142AC">
            <w:pPr>
              <w:spacing w:line="276" w:lineRule="auto"/>
              <w:rPr>
                <w:rFonts w:ascii="Arial" w:hAnsi="Arial" w:cs="Arial"/>
                <w:b/>
                <w:sz w:val="20"/>
                <w:szCs w:val="20"/>
              </w:rPr>
            </w:pPr>
          </w:p>
        </w:tc>
        <w:tc>
          <w:tcPr>
            <w:tcW w:w="613" w:type="pct"/>
            <w:tcBorders>
              <w:top w:val="single" w:sz="4" w:space="0" w:color="auto"/>
              <w:bottom w:val="single" w:sz="4" w:space="0" w:color="auto"/>
            </w:tcBorders>
            <w:vAlign w:val="center"/>
            <w:hideMark/>
          </w:tcPr>
          <w:p w14:paraId="103421F8"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B(sig.)</w:t>
            </w:r>
          </w:p>
        </w:tc>
        <w:tc>
          <w:tcPr>
            <w:tcW w:w="714" w:type="pct"/>
            <w:tcBorders>
              <w:top w:val="single" w:sz="4" w:space="0" w:color="auto"/>
              <w:bottom w:val="single" w:sz="4" w:space="0" w:color="auto"/>
            </w:tcBorders>
            <w:vAlign w:val="center"/>
            <w:hideMark/>
          </w:tcPr>
          <w:p w14:paraId="3B07ECC7"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OR(CI)</w:t>
            </w:r>
          </w:p>
        </w:tc>
      </w:tr>
      <w:tr w:rsidR="00FA297C" w:rsidRPr="009142AC" w14:paraId="0823D57E" w14:textId="77777777" w:rsidTr="008D3401">
        <w:trPr>
          <w:trHeight w:val="257"/>
        </w:trPr>
        <w:tc>
          <w:tcPr>
            <w:tcW w:w="5000" w:type="pct"/>
            <w:gridSpan w:val="7"/>
            <w:tcBorders>
              <w:top w:val="single" w:sz="4" w:space="0" w:color="auto"/>
              <w:bottom w:val="single" w:sz="4" w:space="0" w:color="auto"/>
            </w:tcBorders>
            <w:vAlign w:val="center"/>
            <w:hideMark/>
          </w:tcPr>
          <w:p w14:paraId="79568B1D" w14:textId="0AACB9A3" w:rsidR="00FA297C" w:rsidRPr="00365FA0" w:rsidRDefault="00FA297C" w:rsidP="009142AC">
            <w:pPr>
              <w:spacing w:line="276" w:lineRule="auto"/>
              <w:rPr>
                <w:rFonts w:ascii="Arial" w:hAnsi="Arial" w:cs="Arial"/>
                <w:bCs/>
                <w:sz w:val="20"/>
                <w:szCs w:val="20"/>
              </w:rPr>
            </w:pPr>
            <w:r w:rsidRPr="00365FA0">
              <w:rPr>
                <w:rFonts w:ascii="Arial" w:hAnsi="Arial" w:cs="Arial"/>
                <w:bCs/>
                <w:sz w:val="20"/>
                <w:szCs w:val="20"/>
              </w:rPr>
              <w:t xml:space="preserve">Sleep at night </w:t>
            </w:r>
          </w:p>
        </w:tc>
      </w:tr>
      <w:tr w:rsidR="009142AC" w:rsidRPr="009142AC" w14:paraId="0084FB8C" w14:textId="77777777" w:rsidTr="008D3401">
        <w:tc>
          <w:tcPr>
            <w:tcW w:w="1089" w:type="pct"/>
            <w:tcBorders>
              <w:top w:val="single" w:sz="4" w:space="0" w:color="auto"/>
            </w:tcBorders>
            <w:vAlign w:val="center"/>
          </w:tcPr>
          <w:p w14:paraId="6B04F06B" w14:textId="10E5A0F2"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No</w:t>
            </w:r>
          </w:p>
        </w:tc>
        <w:tc>
          <w:tcPr>
            <w:tcW w:w="594" w:type="pct"/>
            <w:tcBorders>
              <w:top w:val="single" w:sz="4" w:space="0" w:color="auto"/>
            </w:tcBorders>
            <w:vAlign w:val="center"/>
            <w:hideMark/>
          </w:tcPr>
          <w:p w14:paraId="37881E1A"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16(35.6%)</w:t>
            </w:r>
          </w:p>
        </w:tc>
        <w:tc>
          <w:tcPr>
            <w:tcW w:w="612" w:type="pct"/>
            <w:tcBorders>
              <w:top w:val="single" w:sz="4" w:space="0" w:color="auto"/>
            </w:tcBorders>
            <w:vAlign w:val="center"/>
            <w:hideMark/>
          </w:tcPr>
          <w:p w14:paraId="7BF78E34"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29(64.4%)</w:t>
            </w:r>
          </w:p>
        </w:tc>
        <w:tc>
          <w:tcPr>
            <w:tcW w:w="612" w:type="pct"/>
            <w:tcBorders>
              <w:top w:val="single" w:sz="4" w:space="0" w:color="auto"/>
            </w:tcBorders>
            <w:vAlign w:val="center"/>
            <w:hideMark/>
          </w:tcPr>
          <w:p w14:paraId="63175B0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7.606(0.006*)</w:t>
            </w:r>
          </w:p>
        </w:tc>
        <w:tc>
          <w:tcPr>
            <w:tcW w:w="766" w:type="pct"/>
            <w:tcBorders>
              <w:top w:val="single" w:sz="4" w:space="0" w:color="auto"/>
            </w:tcBorders>
            <w:vAlign w:val="center"/>
            <w:hideMark/>
          </w:tcPr>
          <w:p w14:paraId="120BD205"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0.410(0.215-0.784)</w:t>
            </w:r>
          </w:p>
        </w:tc>
        <w:tc>
          <w:tcPr>
            <w:tcW w:w="613" w:type="pct"/>
            <w:tcBorders>
              <w:top w:val="single" w:sz="4" w:space="0" w:color="auto"/>
            </w:tcBorders>
            <w:vAlign w:val="center"/>
            <w:hideMark/>
          </w:tcPr>
          <w:p w14:paraId="6A84BF50"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0.704(0. .054)</w:t>
            </w:r>
          </w:p>
        </w:tc>
        <w:tc>
          <w:tcPr>
            <w:tcW w:w="714" w:type="pct"/>
            <w:tcBorders>
              <w:top w:val="single" w:sz="4" w:space="0" w:color="auto"/>
            </w:tcBorders>
            <w:vAlign w:val="center"/>
          </w:tcPr>
          <w:p w14:paraId="4B2FB6CF"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2.022(0.987-4.142)</w:t>
            </w:r>
          </w:p>
        </w:tc>
      </w:tr>
      <w:tr w:rsidR="009142AC" w:rsidRPr="009142AC" w14:paraId="2ED44CF9" w14:textId="77777777" w:rsidTr="008D3401">
        <w:tc>
          <w:tcPr>
            <w:tcW w:w="1089" w:type="pct"/>
            <w:tcBorders>
              <w:bottom w:val="single" w:sz="4" w:space="0" w:color="auto"/>
            </w:tcBorders>
            <w:vAlign w:val="center"/>
            <w:hideMark/>
          </w:tcPr>
          <w:p w14:paraId="08B2D3E6" w14:textId="11EE91ED"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Yes</w:t>
            </w:r>
            <w:r w:rsidR="00365FA0">
              <w:rPr>
                <w:rFonts w:ascii="Arial" w:hAnsi="Arial" w:cs="Arial"/>
                <w:sz w:val="20"/>
                <w:szCs w:val="20"/>
              </w:rPr>
              <w:t xml:space="preserve"> </w:t>
            </w:r>
            <w:r w:rsidR="00365FA0" w:rsidRPr="009142AC">
              <w:rPr>
                <w:rFonts w:ascii="Arial" w:hAnsi="Arial" w:cs="Arial"/>
                <w:sz w:val="20"/>
                <w:szCs w:val="20"/>
              </w:rPr>
              <w:t>(ref)</w:t>
            </w:r>
          </w:p>
        </w:tc>
        <w:tc>
          <w:tcPr>
            <w:tcW w:w="594" w:type="pct"/>
            <w:tcBorders>
              <w:bottom w:val="single" w:sz="4" w:space="0" w:color="auto"/>
            </w:tcBorders>
            <w:vAlign w:val="center"/>
            <w:hideMark/>
          </w:tcPr>
          <w:p w14:paraId="4F77CE3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191(57.4%)</w:t>
            </w:r>
          </w:p>
        </w:tc>
        <w:tc>
          <w:tcPr>
            <w:tcW w:w="612" w:type="pct"/>
            <w:tcBorders>
              <w:bottom w:val="single" w:sz="4" w:space="0" w:color="auto"/>
            </w:tcBorders>
            <w:vAlign w:val="center"/>
            <w:hideMark/>
          </w:tcPr>
          <w:p w14:paraId="422EC0AD"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142(42.6%)</w:t>
            </w:r>
          </w:p>
        </w:tc>
        <w:tc>
          <w:tcPr>
            <w:tcW w:w="612" w:type="pct"/>
            <w:tcBorders>
              <w:bottom w:val="single" w:sz="4" w:space="0" w:color="auto"/>
            </w:tcBorders>
            <w:vAlign w:val="center"/>
          </w:tcPr>
          <w:p w14:paraId="16A280EC" w14:textId="77777777" w:rsidR="00586B66" w:rsidRPr="009142AC" w:rsidRDefault="00586B66" w:rsidP="009142AC">
            <w:pPr>
              <w:spacing w:line="276" w:lineRule="auto"/>
              <w:rPr>
                <w:rFonts w:ascii="Arial" w:hAnsi="Arial" w:cs="Arial"/>
                <w:sz w:val="20"/>
                <w:szCs w:val="20"/>
              </w:rPr>
            </w:pPr>
          </w:p>
        </w:tc>
        <w:tc>
          <w:tcPr>
            <w:tcW w:w="766" w:type="pct"/>
            <w:tcBorders>
              <w:bottom w:val="single" w:sz="4" w:space="0" w:color="auto"/>
            </w:tcBorders>
            <w:vAlign w:val="center"/>
          </w:tcPr>
          <w:p w14:paraId="73388991" w14:textId="77777777" w:rsidR="00586B66" w:rsidRPr="009142AC" w:rsidRDefault="00586B66" w:rsidP="009142AC">
            <w:pPr>
              <w:spacing w:line="276" w:lineRule="auto"/>
              <w:rPr>
                <w:rFonts w:ascii="Arial" w:hAnsi="Arial" w:cs="Arial"/>
                <w:sz w:val="20"/>
                <w:szCs w:val="20"/>
              </w:rPr>
            </w:pPr>
          </w:p>
        </w:tc>
        <w:tc>
          <w:tcPr>
            <w:tcW w:w="613" w:type="pct"/>
            <w:tcBorders>
              <w:bottom w:val="single" w:sz="4" w:space="0" w:color="auto"/>
            </w:tcBorders>
            <w:vAlign w:val="center"/>
          </w:tcPr>
          <w:p w14:paraId="5B02637B" w14:textId="77777777" w:rsidR="00586B66" w:rsidRPr="009142AC" w:rsidRDefault="00586B66" w:rsidP="009142AC">
            <w:pPr>
              <w:spacing w:line="276" w:lineRule="auto"/>
              <w:rPr>
                <w:rFonts w:ascii="Arial" w:hAnsi="Arial" w:cs="Arial"/>
                <w:sz w:val="20"/>
                <w:szCs w:val="20"/>
              </w:rPr>
            </w:pPr>
          </w:p>
        </w:tc>
        <w:tc>
          <w:tcPr>
            <w:tcW w:w="714" w:type="pct"/>
            <w:tcBorders>
              <w:bottom w:val="single" w:sz="4" w:space="0" w:color="auto"/>
            </w:tcBorders>
            <w:vAlign w:val="center"/>
          </w:tcPr>
          <w:p w14:paraId="05AF3D6E" w14:textId="77777777" w:rsidR="00586B66" w:rsidRPr="009142AC" w:rsidRDefault="00586B66" w:rsidP="009142AC">
            <w:pPr>
              <w:spacing w:line="276" w:lineRule="auto"/>
              <w:rPr>
                <w:rFonts w:ascii="Arial" w:hAnsi="Arial" w:cs="Arial"/>
                <w:sz w:val="20"/>
                <w:szCs w:val="20"/>
              </w:rPr>
            </w:pPr>
          </w:p>
        </w:tc>
      </w:tr>
      <w:tr w:rsidR="00FA297C" w:rsidRPr="009142AC" w14:paraId="4B9F8BCB" w14:textId="77777777" w:rsidTr="008D3401">
        <w:trPr>
          <w:trHeight w:val="70"/>
        </w:trPr>
        <w:tc>
          <w:tcPr>
            <w:tcW w:w="5000" w:type="pct"/>
            <w:gridSpan w:val="7"/>
            <w:tcBorders>
              <w:top w:val="single" w:sz="4" w:space="0" w:color="auto"/>
              <w:bottom w:val="single" w:sz="4" w:space="0" w:color="auto"/>
            </w:tcBorders>
            <w:vAlign w:val="center"/>
            <w:hideMark/>
          </w:tcPr>
          <w:p w14:paraId="0447A55D" w14:textId="23509A25" w:rsidR="00FA297C" w:rsidRPr="009142AC" w:rsidRDefault="00FA297C" w:rsidP="009142AC">
            <w:pPr>
              <w:spacing w:line="276" w:lineRule="auto"/>
              <w:rPr>
                <w:rFonts w:ascii="Arial" w:hAnsi="Arial" w:cs="Arial"/>
                <w:sz w:val="20"/>
                <w:szCs w:val="20"/>
              </w:rPr>
            </w:pPr>
            <w:r w:rsidRPr="009142AC">
              <w:rPr>
                <w:rFonts w:ascii="Arial" w:hAnsi="Arial" w:cs="Arial"/>
                <w:sz w:val="20"/>
                <w:szCs w:val="20"/>
              </w:rPr>
              <w:t>On average, usually sleeps at least 6 hours per night</w:t>
            </w:r>
          </w:p>
        </w:tc>
      </w:tr>
      <w:tr w:rsidR="009142AC" w:rsidRPr="009142AC" w14:paraId="09C91B69" w14:textId="77777777" w:rsidTr="008D3401">
        <w:trPr>
          <w:trHeight w:val="70"/>
        </w:trPr>
        <w:tc>
          <w:tcPr>
            <w:tcW w:w="1089" w:type="pct"/>
            <w:tcBorders>
              <w:top w:val="single" w:sz="4" w:space="0" w:color="auto"/>
            </w:tcBorders>
            <w:vAlign w:val="center"/>
            <w:hideMark/>
          </w:tcPr>
          <w:p w14:paraId="42C2CEA0"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 xml:space="preserve">No </w:t>
            </w:r>
          </w:p>
        </w:tc>
        <w:tc>
          <w:tcPr>
            <w:tcW w:w="594" w:type="pct"/>
            <w:tcBorders>
              <w:top w:val="single" w:sz="4" w:space="0" w:color="auto"/>
            </w:tcBorders>
            <w:vAlign w:val="center"/>
            <w:hideMark/>
          </w:tcPr>
          <w:p w14:paraId="467DAED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59(46.1%)</w:t>
            </w:r>
          </w:p>
        </w:tc>
        <w:tc>
          <w:tcPr>
            <w:tcW w:w="612" w:type="pct"/>
            <w:tcBorders>
              <w:top w:val="single" w:sz="4" w:space="0" w:color="auto"/>
            </w:tcBorders>
            <w:vAlign w:val="center"/>
            <w:hideMark/>
          </w:tcPr>
          <w:p w14:paraId="5EA911FF"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69(53.9%)</w:t>
            </w:r>
          </w:p>
        </w:tc>
        <w:tc>
          <w:tcPr>
            <w:tcW w:w="612" w:type="pct"/>
            <w:tcBorders>
              <w:top w:val="single" w:sz="4" w:space="0" w:color="auto"/>
            </w:tcBorders>
            <w:vAlign w:val="center"/>
            <w:hideMark/>
          </w:tcPr>
          <w:p w14:paraId="17243DB4"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5.870(0.015*)</w:t>
            </w:r>
          </w:p>
        </w:tc>
        <w:tc>
          <w:tcPr>
            <w:tcW w:w="766" w:type="pct"/>
            <w:tcBorders>
              <w:top w:val="single" w:sz="4" w:space="0" w:color="auto"/>
            </w:tcBorders>
            <w:vAlign w:val="center"/>
            <w:hideMark/>
          </w:tcPr>
          <w:p w14:paraId="645FE29A"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0.589(0. 384-0.905)</w:t>
            </w:r>
          </w:p>
        </w:tc>
        <w:tc>
          <w:tcPr>
            <w:tcW w:w="613" w:type="pct"/>
            <w:tcBorders>
              <w:top w:val="single" w:sz="4" w:space="0" w:color="auto"/>
            </w:tcBorders>
            <w:vAlign w:val="center"/>
            <w:hideMark/>
          </w:tcPr>
          <w:p w14:paraId="4D85215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0.307(0.219)</w:t>
            </w:r>
          </w:p>
        </w:tc>
        <w:tc>
          <w:tcPr>
            <w:tcW w:w="714" w:type="pct"/>
            <w:tcBorders>
              <w:top w:val="single" w:sz="4" w:space="0" w:color="auto"/>
            </w:tcBorders>
            <w:vAlign w:val="center"/>
            <w:hideMark/>
          </w:tcPr>
          <w:p w14:paraId="075CAF98"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1.359(0.834-2.215)</w:t>
            </w:r>
          </w:p>
        </w:tc>
      </w:tr>
      <w:tr w:rsidR="009142AC" w:rsidRPr="009142AC" w14:paraId="67371CA7" w14:textId="77777777" w:rsidTr="008D3401">
        <w:trPr>
          <w:trHeight w:val="70"/>
        </w:trPr>
        <w:tc>
          <w:tcPr>
            <w:tcW w:w="1089" w:type="pct"/>
            <w:tcBorders>
              <w:bottom w:val="single" w:sz="4" w:space="0" w:color="auto"/>
            </w:tcBorders>
            <w:vAlign w:val="center"/>
            <w:hideMark/>
          </w:tcPr>
          <w:p w14:paraId="032D3FAC" w14:textId="0BBCE415"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Yes</w:t>
            </w:r>
            <w:r w:rsidR="00365FA0">
              <w:rPr>
                <w:rFonts w:ascii="Arial" w:hAnsi="Arial" w:cs="Arial"/>
                <w:sz w:val="20"/>
                <w:szCs w:val="20"/>
              </w:rPr>
              <w:t xml:space="preserve"> </w:t>
            </w:r>
            <w:r w:rsidR="00365FA0" w:rsidRPr="009142AC">
              <w:rPr>
                <w:rFonts w:ascii="Arial" w:hAnsi="Arial" w:cs="Arial"/>
                <w:sz w:val="20"/>
                <w:szCs w:val="20"/>
              </w:rPr>
              <w:t>(ref)</w:t>
            </w:r>
          </w:p>
        </w:tc>
        <w:tc>
          <w:tcPr>
            <w:tcW w:w="594" w:type="pct"/>
            <w:tcBorders>
              <w:bottom w:val="single" w:sz="4" w:space="0" w:color="auto"/>
            </w:tcBorders>
            <w:vAlign w:val="center"/>
            <w:hideMark/>
          </w:tcPr>
          <w:p w14:paraId="79F0699F"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148(59.2%)</w:t>
            </w:r>
          </w:p>
        </w:tc>
        <w:tc>
          <w:tcPr>
            <w:tcW w:w="612" w:type="pct"/>
            <w:tcBorders>
              <w:bottom w:val="single" w:sz="4" w:space="0" w:color="auto"/>
            </w:tcBorders>
            <w:vAlign w:val="center"/>
            <w:hideMark/>
          </w:tcPr>
          <w:p w14:paraId="1710E530"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102(40.8%)</w:t>
            </w:r>
          </w:p>
        </w:tc>
        <w:tc>
          <w:tcPr>
            <w:tcW w:w="612" w:type="pct"/>
            <w:tcBorders>
              <w:bottom w:val="single" w:sz="4" w:space="0" w:color="auto"/>
            </w:tcBorders>
            <w:vAlign w:val="center"/>
          </w:tcPr>
          <w:p w14:paraId="7E35268B" w14:textId="77777777" w:rsidR="00586B66" w:rsidRPr="009142AC" w:rsidRDefault="00586B66" w:rsidP="009142AC">
            <w:pPr>
              <w:spacing w:line="276" w:lineRule="auto"/>
              <w:rPr>
                <w:rFonts w:ascii="Arial" w:hAnsi="Arial" w:cs="Arial"/>
                <w:sz w:val="20"/>
                <w:szCs w:val="20"/>
              </w:rPr>
            </w:pPr>
          </w:p>
        </w:tc>
        <w:tc>
          <w:tcPr>
            <w:tcW w:w="766" w:type="pct"/>
            <w:tcBorders>
              <w:bottom w:val="single" w:sz="4" w:space="0" w:color="auto"/>
            </w:tcBorders>
            <w:vAlign w:val="center"/>
          </w:tcPr>
          <w:p w14:paraId="5814A6F8" w14:textId="77777777" w:rsidR="00586B66" w:rsidRPr="009142AC" w:rsidRDefault="00586B66" w:rsidP="009142AC">
            <w:pPr>
              <w:spacing w:line="276" w:lineRule="auto"/>
              <w:rPr>
                <w:rFonts w:ascii="Arial" w:hAnsi="Arial" w:cs="Arial"/>
                <w:sz w:val="20"/>
                <w:szCs w:val="20"/>
              </w:rPr>
            </w:pPr>
          </w:p>
        </w:tc>
        <w:tc>
          <w:tcPr>
            <w:tcW w:w="613" w:type="pct"/>
            <w:tcBorders>
              <w:bottom w:val="single" w:sz="4" w:space="0" w:color="auto"/>
            </w:tcBorders>
            <w:vAlign w:val="center"/>
          </w:tcPr>
          <w:p w14:paraId="2B565754" w14:textId="77777777" w:rsidR="00586B66" w:rsidRPr="009142AC" w:rsidRDefault="00586B66" w:rsidP="009142AC">
            <w:pPr>
              <w:spacing w:line="276" w:lineRule="auto"/>
              <w:rPr>
                <w:rFonts w:ascii="Arial" w:hAnsi="Arial" w:cs="Arial"/>
                <w:sz w:val="20"/>
                <w:szCs w:val="20"/>
              </w:rPr>
            </w:pPr>
          </w:p>
        </w:tc>
        <w:tc>
          <w:tcPr>
            <w:tcW w:w="714" w:type="pct"/>
            <w:tcBorders>
              <w:bottom w:val="single" w:sz="4" w:space="0" w:color="auto"/>
            </w:tcBorders>
            <w:vAlign w:val="center"/>
          </w:tcPr>
          <w:p w14:paraId="2A610630" w14:textId="77777777" w:rsidR="00586B66" w:rsidRPr="009142AC" w:rsidRDefault="00586B66" w:rsidP="009142AC">
            <w:pPr>
              <w:spacing w:line="276" w:lineRule="auto"/>
              <w:rPr>
                <w:rFonts w:ascii="Arial" w:hAnsi="Arial" w:cs="Arial"/>
                <w:sz w:val="20"/>
                <w:szCs w:val="20"/>
              </w:rPr>
            </w:pPr>
          </w:p>
        </w:tc>
      </w:tr>
      <w:tr w:rsidR="00FA297C" w:rsidRPr="009142AC" w14:paraId="1829CB4F" w14:textId="77777777" w:rsidTr="008D3401">
        <w:trPr>
          <w:trHeight w:val="70"/>
        </w:trPr>
        <w:tc>
          <w:tcPr>
            <w:tcW w:w="5000" w:type="pct"/>
            <w:gridSpan w:val="7"/>
            <w:tcBorders>
              <w:top w:val="single" w:sz="4" w:space="0" w:color="auto"/>
              <w:bottom w:val="single" w:sz="4" w:space="0" w:color="auto"/>
            </w:tcBorders>
            <w:vAlign w:val="center"/>
            <w:hideMark/>
          </w:tcPr>
          <w:p w14:paraId="5D40C09A" w14:textId="5EB9713B" w:rsidR="00FA297C" w:rsidRPr="009142AC" w:rsidRDefault="00FA297C" w:rsidP="009142AC">
            <w:pPr>
              <w:spacing w:line="276" w:lineRule="auto"/>
              <w:rPr>
                <w:rFonts w:ascii="Arial" w:hAnsi="Arial" w:cs="Arial"/>
                <w:sz w:val="20"/>
                <w:szCs w:val="20"/>
              </w:rPr>
            </w:pPr>
            <w:r w:rsidRPr="009142AC">
              <w:rPr>
                <w:rFonts w:ascii="Arial" w:hAnsi="Arial" w:cs="Arial"/>
                <w:sz w:val="20"/>
                <w:szCs w:val="20"/>
              </w:rPr>
              <w:t>Frequently awakened suddenly from sleep and feels breathless</w:t>
            </w:r>
          </w:p>
        </w:tc>
      </w:tr>
      <w:tr w:rsidR="009142AC" w:rsidRPr="009142AC" w14:paraId="0BC0340E" w14:textId="77777777" w:rsidTr="008D3401">
        <w:trPr>
          <w:trHeight w:val="70"/>
        </w:trPr>
        <w:tc>
          <w:tcPr>
            <w:tcW w:w="1089" w:type="pct"/>
            <w:tcBorders>
              <w:top w:val="single" w:sz="4" w:space="0" w:color="auto"/>
            </w:tcBorders>
            <w:vAlign w:val="center"/>
            <w:hideMark/>
          </w:tcPr>
          <w:p w14:paraId="166956BD"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No</w:t>
            </w:r>
          </w:p>
        </w:tc>
        <w:tc>
          <w:tcPr>
            <w:tcW w:w="594" w:type="pct"/>
            <w:tcBorders>
              <w:top w:val="single" w:sz="4" w:space="0" w:color="auto"/>
            </w:tcBorders>
            <w:vAlign w:val="center"/>
            <w:hideMark/>
          </w:tcPr>
          <w:p w14:paraId="62315D9C"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170(57.4%)</w:t>
            </w:r>
          </w:p>
        </w:tc>
        <w:tc>
          <w:tcPr>
            <w:tcW w:w="612" w:type="pct"/>
            <w:tcBorders>
              <w:top w:val="single" w:sz="4" w:space="0" w:color="auto"/>
            </w:tcBorders>
            <w:vAlign w:val="center"/>
            <w:hideMark/>
          </w:tcPr>
          <w:p w14:paraId="1AE1186B"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126(42.6%)</w:t>
            </w:r>
          </w:p>
        </w:tc>
        <w:tc>
          <w:tcPr>
            <w:tcW w:w="612" w:type="pct"/>
            <w:tcBorders>
              <w:top w:val="single" w:sz="4" w:space="0" w:color="auto"/>
            </w:tcBorders>
            <w:vAlign w:val="center"/>
            <w:hideMark/>
          </w:tcPr>
          <w:p w14:paraId="4872862E"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3.928(0. 047*)</w:t>
            </w:r>
          </w:p>
        </w:tc>
        <w:tc>
          <w:tcPr>
            <w:tcW w:w="766" w:type="pct"/>
            <w:tcBorders>
              <w:top w:val="single" w:sz="4" w:space="0" w:color="auto"/>
            </w:tcBorders>
            <w:vAlign w:val="center"/>
            <w:hideMark/>
          </w:tcPr>
          <w:p w14:paraId="6C926D39"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1.641(1.003-2.684)</w:t>
            </w:r>
          </w:p>
        </w:tc>
        <w:tc>
          <w:tcPr>
            <w:tcW w:w="613" w:type="pct"/>
            <w:tcBorders>
              <w:top w:val="single" w:sz="4" w:space="0" w:color="auto"/>
            </w:tcBorders>
            <w:vAlign w:val="center"/>
            <w:hideMark/>
          </w:tcPr>
          <w:p w14:paraId="48750DBB"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-0.339(0.246)</w:t>
            </w:r>
          </w:p>
        </w:tc>
        <w:tc>
          <w:tcPr>
            <w:tcW w:w="714" w:type="pct"/>
            <w:tcBorders>
              <w:top w:val="single" w:sz="4" w:space="0" w:color="auto"/>
            </w:tcBorders>
            <w:vAlign w:val="center"/>
            <w:hideMark/>
          </w:tcPr>
          <w:p w14:paraId="4D9C99AC"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0.712(0.401-1.264)</w:t>
            </w:r>
          </w:p>
        </w:tc>
      </w:tr>
      <w:tr w:rsidR="009142AC" w:rsidRPr="009142AC" w14:paraId="779A130F" w14:textId="77777777" w:rsidTr="008D3401">
        <w:trPr>
          <w:trHeight w:val="70"/>
        </w:trPr>
        <w:tc>
          <w:tcPr>
            <w:tcW w:w="1089" w:type="pct"/>
            <w:vAlign w:val="center"/>
            <w:hideMark/>
          </w:tcPr>
          <w:p w14:paraId="6799A505" w14:textId="114CDAC0"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Yes</w:t>
            </w:r>
            <w:r w:rsidR="00365FA0">
              <w:rPr>
                <w:rFonts w:ascii="Arial" w:hAnsi="Arial" w:cs="Arial"/>
                <w:sz w:val="20"/>
                <w:szCs w:val="20"/>
              </w:rPr>
              <w:t xml:space="preserve"> </w:t>
            </w:r>
            <w:r w:rsidR="00365FA0" w:rsidRPr="009142AC">
              <w:rPr>
                <w:rFonts w:ascii="Arial" w:hAnsi="Arial" w:cs="Arial"/>
                <w:sz w:val="20"/>
                <w:szCs w:val="20"/>
              </w:rPr>
              <w:t>(ref)</w:t>
            </w:r>
          </w:p>
        </w:tc>
        <w:tc>
          <w:tcPr>
            <w:tcW w:w="594" w:type="pct"/>
            <w:vAlign w:val="center"/>
            <w:hideMark/>
          </w:tcPr>
          <w:p w14:paraId="0C5CA9E7"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37(45.1%)</w:t>
            </w:r>
          </w:p>
        </w:tc>
        <w:tc>
          <w:tcPr>
            <w:tcW w:w="612" w:type="pct"/>
            <w:vAlign w:val="center"/>
            <w:hideMark/>
          </w:tcPr>
          <w:p w14:paraId="59EECAC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45(54.9%)</w:t>
            </w:r>
          </w:p>
        </w:tc>
        <w:tc>
          <w:tcPr>
            <w:tcW w:w="612" w:type="pct"/>
            <w:vAlign w:val="center"/>
          </w:tcPr>
          <w:p w14:paraId="38E5EF30" w14:textId="77777777" w:rsidR="00586B66" w:rsidRPr="009142AC" w:rsidRDefault="00586B66" w:rsidP="009142AC">
            <w:pPr>
              <w:spacing w:line="276" w:lineRule="auto"/>
              <w:rPr>
                <w:rFonts w:ascii="Arial" w:hAnsi="Arial" w:cs="Arial"/>
                <w:sz w:val="20"/>
                <w:szCs w:val="20"/>
              </w:rPr>
            </w:pPr>
          </w:p>
        </w:tc>
        <w:tc>
          <w:tcPr>
            <w:tcW w:w="766" w:type="pct"/>
            <w:vAlign w:val="center"/>
          </w:tcPr>
          <w:p w14:paraId="6815D56F" w14:textId="77777777" w:rsidR="00586B66" w:rsidRPr="009142AC" w:rsidRDefault="00586B66" w:rsidP="009142AC">
            <w:pPr>
              <w:spacing w:line="276" w:lineRule="auto"/>
              <w:rPr>
                <w:rFonts w:ascii="Arial" w:hAnsi="Arial" w:cs="Arial"/>
                <w:sz w:val="20"/>
                <w:szCs w:val="20"/>
              </w:rPr>
            </w:pPr>
          </w:p>
        </w:tc>
        <w:tc>
          <w:tcPr>
            <w:tcW w:w="613" w:type="pct"/>
            <w:vAlign w:val="center"/>
          </w:tcPr>
          <w:p w14:paraId="28A9EABA" w14:textId="77777777" w:rsidR="00586B66" w:rsidRPr="009142AC" w:rsidRDefault="00586B66" w:rsidP="009142AC">
            <w:pPr>
              <w:spacing w:line="276" w:lineRule="auto"/>
              <w:rPr>
                <w:rFonts w:ascii="Arial" w:hAnsi="Arial" w:cs="Arial"/>
                <w:sz w:val="20"/>
                <w:szCs w:val="20"/>
              </w:rPr>
            </w:pPr>
          </w:p>
        </w:tc>
        <w:tc>
          <w:tcPr>
            <w:tcW w:w="714" w:type="pct"/>
            <w:vAlign w:val="center"/>
          </w:tcPr>
          <w:p w14:paraId="199EAE86" w14:textId="77777777" w:rsidR="00586B66" w:rsidRPr="009142AC" w:rsidRDefault="00586B66" w:rsidP="009142AC">
            <w:pPr>
              <w:spacing w:line="276" w:lineRule="auto"/>
              <w:rPr>
                <w:rFonts w:ascii="Arial" w:hAnsi="Arial" w:cs="Arial"/>
                <w:sz w:val="20"/>
                <w:szCs w:val="20"/>
              </w:rPr>
            </w:pPr>
          </w:p>
        </w:tc>
      </w:tr>
    </w:tbl>
    <w:p w14:paraId="0C247B83" w14:textId="5B20BBD3" w:rsidR="009142AC" w:rsidRPr="009142AC" w:rsidRDefault="00586B66" w:rsidP="00586B66">
      <w:pPr>
        <w:spacing w:line="240" w:lineRule="auto"/>
        <w:rPr>
          <w:rFonts w:ascii="Arial" w:hAnsi="Arial" w:cs="Arial"/>
          <w:bCs/>
          <w:i/>
          <w:iCs/>
          <w:sz w:val="20"/>
          <w:szCs w:val="20"/>
        </w:rPr>
        <w:sectPr w:rsidR="009142AC" w:rsidRPr="009142AC" w:rsidSect="00DB5AAD">
          <w:pgSz w:w="16838" w:h="11906" w:orient="landscape"/>
          <w:pgMar w:top="1440" w:right="1440" w:bottom="1440" w:left="1440" w:header="708" w:footer="708" w:gutter="0"/>
          <w:cols w:space="708"/>
          <w:docGrid w:linePitch="360"/>
        </w:sectPr>
      </w:pPr>
      <w:r w:rsidRPr="009142AC">
        <w:rPr>
          <w:rFonts w:ascii="Arial" w:hAnsi="Arial" w:cs="Arial"/>
          <w:bCs/>
          <w:i/>
          <w:iCs/>
          <w:sz w:val="20"/>
          <w:szCs w:val="20"/>
        </w:rPr>
        <w:t>*=significant at p&lt;0.05, X</w:t>
      </w:r>
      <w:r w:rsidRPr="009142AC">
        <w:rPr>
          <w:rFonts w:ascii="Arial" w:hAnsi="Arial" w:cs="Arial"/>
          <w:bCs/>
          <w:i/>
          <w:iCs/>
          <w:sz w:val="20"/>
          <w:szCs w:val="20"/>
          <w:vertAlign w:val="superscript"/>
        </w:rPr>
        <w:t>2</w:t>
      </w:r>
      <w:r w:rsidRPr="009142AC">
        <w:rPr>
          <w:rFonts w:ascii="Arial" w:hAnsi="Arial" w:cs="Arial"/>
          <w:bCs/>
          <w:i/>
          <w:iCs/>
          <w:sz w:val="20"/>
          <w:szCs w:val="20"/>
        </w:rPr>
        <w:t>= Chi square, sig/p-value= Significant levels, OR= Crude odd ratio, CI= 95%Confidence Interval, AOR= Adjusted odd ratio, B= Coefficient of regression value</w:t>
      </w:r>
      <w:r w:rsidR="00356CCD">
        <w:rPr>
          <w:rFonts w:ascii="Arial" w:hAnsi="Arial" w:cs="Arial"/>
          <w:bCs/>
          <w:i/>
          <w:iCs/>
          <w:sz w:val="20"/>
          <w:szCs w:val="20"/>
        </w:rPr>
        <w:t xml:space="preserve">; </w:t>
      </w:r>
      <w:r w:rsidR="00356CCD" w:rsidRPr="00356CCD">
        <w:rPr>
          <w:rFonts w:ascii="Arial" w:hAnsi="Arial" w:cs="Arial"/>
          <w:bCs/>
          <w:i/>
          <w:iCs/>
          <w:sz w:val="20"/>
          <w:szCs w:val="20"/>
        </w:rPr>
        <w:t>Ref: Reference category</w:t>
      </w:r>
    </w:p>
    <w:p w14:paraId="6DC74506" w14:textId="348F78A4" w:rsidR="00586B66" w:rsidRPr="008D3401" w:rsidRDefault="008965B3" w:rsidP="009142AC">
      <w:pPr>
        <w:spacing w:line="278" w:lineRule="auto"/>
        <w:jc w:val="left"/>
        <w:rPr>
          <w:rStyle w:val="Strong"/>
          <w:rFonts w:ascii="Arial" w:hAnsi="Arial" w:cs="Arial"/>
          <w:kern w:val="0"/>
          <w:sz w:val="20"/>
          <w:szCs w:val="20"/>
        </w:rPr>
      </w:pPr>
      <w:bookmarkStart w:id="29" w:name="_Toc208394454"/>
      <w:r w:rsidRPr="008D3401">
        <w:rPr>
          <w:rStyle w:val="Strong"/>
          <w:rFonts w:ascii="Arial" w:hAnsi="Arial" w:cs="Arial"/>
          <w:kern w:val="0"/>
          <w:sz w:val="20"/>
          <w:szCs w:val="20"/>
        </w:rPr>
        <w:lastRenderedPageBreak/>
        <w:t>DISCUSSION</w:t>
      </w:r>
      <w:bookmarkEnd w:id="29"/>
    </w:p>
    <w:p w14:paraId="53139777" w14:textId="7F273868" w:rsidR="00AA2EBB" w:rsidRPr="0047445C" w:rsidRDefault="00AA2EBB" w:rsidP="00AA2EBB">
      <w:pPr>
        <w:rPr>
          <w:rFonts w:ascii="Arial" w:hAnsi="Arial" w:cs="Arial"/>
          <w:sz w:val="20"/>
          <w:szCs w:val="20"/>
        </w:rPr>
      </w:pPr>
      <w:r w:rsidRPr="0047445C">
        <w:rPr>
          <w:rFonts w:ascii="Arial" w:hAnsi="Arial" w:cs="Arial"/>
          <w:sz w:val="20"/>
          <w:szCs w:val="20"/>
        </w:rPr>
        <w:t xml:space="preserve">This study reveals an alarmingly high prevalence of energy drink consumption among undergraduates in Rivers State, Nigeria, with 92.1% lifetime exposure and 45.2% current consumers. Notably, consumption was predominantly characterized by infrequent use (53.3% monthly or less) and a strong preference for sugary formulations (85.2%), while mixing with alcohol was relatively uncommon (12.7%). These findings position Rivers State among the highest documented consumption rates globally, exceeding pooled global estimates (54.7% lifetime, 32.3% 30-day use) </w:t>
      </w:r>
      <w:r w:rsidR="007E51D4" w:rsidRPr="0047445C">
        <w:rPr>
          <w:rFonts w:ascii="Arial" w:hAnsi="Arial" w:cs="Arial"/>
          <w:sz w:val="20"/>
          <w:szCs w:val="20"/>
        </w:rPr>
        <w:t xml:space="preserve">(Marmorstein, 2017) </w:t>
      </w:r>
      <w:r w:rsidRPr="0047445C">
        <w:rPr>
          <w:rFonts w:ascii="Arial" w:hAnsi="Arial" w:cs="Arial"/>
          <w:sz w:val="20"/>
          <w:szCs w:val="20"/>
        </w:rPr>
        <w:t xml:space="preserve">and aligning closely with rates reported in Northern Nigeria (67% 30-day prevalence) </w:t>
      </w:r>
      <w:r w:rsidR="007E51D4" w:rsidRPr="0047445C">
        <w:rPr>
          <w:rFonts w:ascii="Arial" w:hAnsi="Arial" w:cs="Arial"/>
          <w:sz w:val="20"/>
          <w:szCs w:val="20"/>
        </w:rPr>
        <w:t>(Ibrahim et al., 2021)</w:t>
      </w:r>
      <w:r w:rsidRPr="0047445C">
        <w:rPr>
          <w:rFonts w:ascii="Arial" w:hAnsi="Arial" w:cs="Arial"/>
          <w:sz w:val="20"/>
          <w:szCs w:val="20"/>
        </w:rPr>
        <w:t>. The infrequent consumption pattern suggests primarily situational use</w:t>
      </w:r>
      <w:r w:rsidR="007E51D4" w:rsidRPr="0047445C">
        <w:rPr>
          <w:rFonts w:ascii="Arial" w:hAnsi="Arial" w:cs="Arial"/>
          <w:sz w:val="20"/>
          <w:szCs w:val="20"/>
        </w:rPr>
        <w:t xml:space="preserve">, </w:t>
      </w:r>
      <w:r w:rsidRPr="0047445C">
        <w:rPr>
          <w:rFonts w:ascii="Arial" w:hAnsi="Arial" w:cs="Arial"/>
          <w:sz w:val="20"/>
          <w:szCs w:val="20"/>
        </w:rPr>
        <w:t>such as during academic stress</w:t>
      </w:r>
      <w:r w:rsidR="007E51D4" w:rsidRPr="0047445C">
        <w:rPr>
          <w:rFonts w:ascii="Arial" w:hAnsi="Arial" w:cs="Arial"/>
          <w:sz w:val="20"/>
          <w:szCs w:val="20"/>
        </w:rPr>
        <w:t xml:space="preserve">, </w:t>
      </w:r>
      <w:r w:rsidRPr="0047445C">
        <w:rPr>
          <w:rFonts w:ascii="Arial" w:hAnsi="Arial" w:cs="Arial"/>
          <w:sz w:val="20"/>
          <w:szCs w:val="20"/>
        </w:rPr>
        <w:t xml:space="preserve">rather than habitual dependence, contrasting with patterns in Saudi Arabia and Croatia where regular use is more prevalent </w:t>
      </w:r>
      <w:r w:rsidR="007E51D4" w:rsidRPr="0047445C">
        <w:rPr>
          <w:rFonts w:ascii="Arial" w:hAnsi="Arial" w:cs="Arial"/>
          <w:sz w:val="20"/>
          <w:szCs w:val="20"/>
        </w:rPr>
        <w:t xml:space="preserve">(Park et al., 2013; </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w:t>
      </w:r>
      <w:r w:rsidRPr="0047445C">
        <w:rPr>
          <w:rFonts w:ascii="Arial" w:hAnsi="Arial" w:cs="Arial"/>
          <w:sz w:val="20"/>
          <w:szCs w:val="20"/>
        </w:rPr>
        <w:t xml:space="preserve">. The low alcohol mixing rate is surprising given international trends </w:t>
      </w:r>
      <w:r w:rsidR="007E51D4" w:rsidRPr="0047445C">
        <w:rPr>
          <w:rFonts w:ascii="Arial" w:hAnsi="Arial" w:cs="Arial"/>
          <w:sz w:val="20"/>
          <w:szCs w:val="20"/>
        </w:rPr>
        <w:t>(Mattioli et al., 2022),</w:t>
      </w:r>
      <w:r w:rsidRPr="0047445C">
        <w:rPr>
          <w:rFonts w:ascii="Arial" w:hAnsi="Arial" w:cs="Arial"/>
          <w:sz w:val="20"/>
          <w:szCs w:val="20"/>
        </w:rPr>
        <w:t xml:space="preserve"> but may reflect cultural beverage preferences or limited social exposure.</w:t>
      </w:r>
    </w:p>
    <w:p w14:paraId="79AD497C" w14:textId="37D8686F" w:rsidR="00AA2EBB" w:rsidRPr="0047445C" w:rsidRDefault="00AA2EBB" w:rsidP="00AA2EBB">
      <w:pPr>
        <w:rPr>
          <w:rFonts w:ascii="Arial" w:hAnsi="Arial" w:cs="Arial"/>
          <w:sz w:val="20"/>
          <w:szCs w:val="20"/>
        </w:rPr>
      </w:pPr>
      <w:r w:rsidRPr="0047445C">
        <w:rPr>
          <w:rFonts w:ascii="Arial" w:hAnsi="Arial" w:cs="Arial"/>
          <w:sz w:val="20"/>
          <w:szCs w:val="20"/>
        </w:rPr>
        <w:t xml:space="preserve">Male gender emerged as the strongest predictor of consumption, consistent with global studies in Saudi Arabia </w:t>
      </w:r>
      <w:r w:rsidR="007E51D4" w:rsidRPr="0047445C">
        <w:rPr>
          <w:rFonts w:ascii="Arial" w:hAnsi="Arial" w:cs="Arial"/>
          <w:sz w:val="20"/>
          <w:szCs w:val="20"/>
        </w:rPr>
        <w:t>(</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w:t>
      </w:r>
      <w:r w:rsidRPr="0047445C">
        <w:rPr>
          <w:rFonts w:ascii="Arial" w:hAnsi="Arial" w:cs="Arial"/>
          <w:sz w:val="20"/>
          <w:szCs w:val="20"/>
        </w:rPr>
        <w:t xml:space="preserve">, Belgium </w:t>
      </w:r>
      <w:r w:rsidR="007E51D4" w:rsidRPr="0047445C">
        <w:rPr>
          <w:rFonts w:ascii="Arial" w:hAnsi="Arial" w:cs="Arial"/>
          <w:sz w:val="20"/>
          <w:szCs w:val="20"/>
        </w:rPr>
        <w:t>(</w:t>
      </w:r>
      <w:proofErr w:type="spellStart"/>
      <w:r w:rsidR="007E51D4" w:rsidRPr="0047445C">
        <w:rPr>
          <w:rFonts w:ascii="Arial" w:hAnsi="Arial" w:cs="Arial"/>
          <w:sz w:val="20"/>
          <w:szCs w:val="20"/>
        </w:rPr>
        <w:t>Lebacq</w:t>
      </w:r>
      <w:proofErr w:type="spellEnd"/>
      <w:r w:rsidR="007E51D4" w:rsidRPr="0047445C">
        <w:rPr>
          <w:rFonts w:ascii="Arial" w:hAnsi="Arial" w:cs="Arial"/>
          <w:sz w:val="20"/>
          <w:szCs w:val="20"/>
        </w:rPr>
        <w:t xml:space="preserve"> et al., 2020)</w:t>
      </w:r>
      <w:r w:rsidRPr="0047445C">
        <w:rPr>
          <w:rFonts w:ascii="Arial" w:hAnsi="Arial" w:cs="Arial"/>
          <w:sz w:val="20"/>
          <w:szCs w:val="20"/>
        </w:rPr>
        <w:t xml:space="preserve">, and the United States </w:t>
      </w:r>
      <w:r w:rsidR="007E51D4" w:rsidRPr="0047445C">
        <w:rPr>
          <w:rFonts w:ascii="Arial" w:hAnsi="Arial" w:cs="Arial"/>
          <w:sz w:val="20"/>
          <w:szCs w:val="20"/>
        </w:rPr>
        <w:t>(Park et al., 2013)</w:t>
      </w:r>
      <w:r w:rsidRPr="0047445C">
        <w:rPr>
          <w:rFonts w:ascii="Arial" w:hAnsi="Arial" w:cs="Arial"/>
          <w:sz w:val="20"/>
          <w:szCs w:val="20"/>
        </w:rPr>
        <w:t xml:space="preserve">. This may be driven by gendered marketing and higher risk-taking propensity among males </w:t>
      </w:r>
      <w:r w:rsidR="007E51D4" w:rsidRPr="0047445C">
        <w:rPr>
          <w:rFonts w:ascii="Arial" w:hAnsi="Arial" w:cs="Arial"/>
          <w:sz w:val="20"/>
          <w:szCs w:val="20"/>
        </w:rPr>
        <w:t>(</w:t>
      </w:r>
      <w:proofErr w:type="spellStart"/>
      <w:r w:rsidR="007E51D4" w:rsidRPr="0047445C">
        <w:rPr>
          <w:rFonts w:ascii="Arial" w:hAnsi="Arial" w:cs="Arial"/>
          <w:sz w:val="20"/>
          <w:szCs w:val="20"/>
        </w:rPr>
        <w:t>Lebacq</w:t>
      </w:r>
      <w:proofErr w:type="spellEnd"/>
      <w:r w:rsidR="007E51D4" w:rsidRPr="0047445C">
        <w:rPr>
          <w:rFonts w:ascii="Arial" w:hAnsi="Arial" w:cs="Arial"/>
          <w:sz w:val="20"/>
          <w:szCs w:val="20"/>
        </w:rPr>
        <w:t xml:space="preserve"> et al., 2020)</w:t>
      </w:r>
      <w:r w:rsidRPr="0047445C">
        <w:rPr>
          <w:rFonts w:ascii="Arial" w:hAnsi="Arial" w:cs="Arial"/>
          <w:sz w:val="20"/>
          <w:szCs w:val="20"/>
        </w:rPr>
        <w:t xml:space="preserve">. Conversely, Igbo/Ikwerre ethnicity demonstrated a protective effect, a novel finding potentially explained by cultural norms or socioeconomic factors unique to this region. Unlike studies in Saudi Arabia and Europe </w:t>
      </w:r>
      <w:r w:rsidR="007E51D4" w:rsidRPr="0047445C">
        <w:rPr>
          <w:rFonts w:ascii="Arial" w:hAnsi="Arial" w:cs="Arial"/>
          <w:sz w:val="20"/>
          <w:szCs w:val="20"/>
        </w:rPr>
        <w:t xml:space="preserve">(Park et al., 2013; </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w:t>
      </w:r>
      <w:r w:rsidRPr="0047445C">
        <w:rPr>
          <w:rFonts w:ascii="Arial" w:hAnsi="Arial" w:cs="Arial"/>
          <w:sz w:val="20"/>
          <w:szCs w:val="20"/>
        </w:rPr>
        <w:t>, neither age nor university type predicted consumption, suggesting homogeneous exposure across academic disciplines in Rivers State.</w:t>
      </w:r>
    </w:p>
    <w:p w14:paraId="73CD285F" w14:textId="72827063" w:rsidR="00AA2EBB" w:rsidRPr="0047445C" w:rsidRDefault="00AA2EBB" w:rsidP="00AA2EBB">
      <w:pPr>
        <w:rPr>
          <w:rFonts w:ascii="Arial" w:hAnsi="Arial" w:cs="Arial"/>
          <w:sz w:val="20"/>
          <w:szCs w:val="20"/>
        </w:rPr>
      </w:pPr>
      <w:r w:rsidRPr="0047445C">
        <w:rPr>
          <w:rFonts w:ascii="Arial" w:hAnsi="Arial" w:cs="Arial"/>
          <w:sz w:val="20"/>
          <w:szCs w:val="20"/>
        </w:rPr>
        <w:t xml:space="preserve">Despite 69.6% demonstrating good overall knowledge of ingredients and risks, significant misconceptions persisted: 20.1% believed energy drinks were "safe for unrestricted daily use," and 27.8% were unaware of associations with dental erosion. This paradox aligns with studies in Ghana and Saudi Arabia, where high consumption coexisted with partial awareness </w:t>
      </w:r>
      <w:r w:rsidR="007E51D4" w:rsidRPr="0047445C">
        <w:rPr>
          <w:rFonts w:ascii="Arial" w:hAnsi="Arial" w:cs="Arial"/>
          <w:sz w:val="20"/>
          <w:szCs w:val="20"/>
        </w:rPr>
        <w:t>(</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 (Mattioli et al., 2022)</w:t>
      </w:r>
      <w:r w:rsidRPr="0047445C">
        <w:rPr>
          <w:rFonts w:ascii="Arial" w:hAnsi="Arial" w:cs="Arial"/>
          <w:sz w:val="20"/>
          <w:szCs w:val="20"/>
        </w:rPr>
        <w:t xml:space="preserve">. Importantly, practice </w:t>
      </w:r>
      <w:r w:rsidR="00AB1070" w:rsidRPr="0047445C">
        <w:rPr>
          <w:rFonts w:ascii="Arial" w:hAnsi="Arial" w:cs="Arial"/>
          <w:sz w:val="20"/>
          <w:szCs w:val="20"/>
        </w:rPr>
        <w:t>behaviours</w:t>
      </w:r>
      <w:r w:rsidRPr="0047445C">
        <w:rPr>
          <w:rFonts w:ascii="Arial" w:hAnsi="Arial" w:cs="Arial"/>
          <w:sz w:val="20"/>
          <w:szCs w:val="20"/>
        </w:rPr>
        <w:t xml:space="preserve"> (e.g., consumption frequency, contexts) were stronger predictors of use than attitudes alone, </w:t>
      </w:r>
      <w:r w:rsidR="0047445C" w:rsidRPr="0047445C">
        <w:rPr>
          <w:rFonts w:ascii="Arial" w:hAnsi="Arial" w:cs="Arial"/>
          <w:sz w:val="20"/>
          <w:szCs w:val="20"/>
        </w:rPr>
        <w:t xml:space="preserve">indicating </w:t>
      </w:r>
      <w:r w:rsidRPr="0047445C">
        <w:rPr>
          <w:rFonts w:ascii="Arial" w:hAnsi="Arial" w:cs="Arial"/>
          <w:sz w:val="20"/>
          <w:szCs w:val="20"/>
        </w:rPr>
        <w:t xml:space="preserve">that functional needs (e.g., combating fatigue during exams) often override cognitive risk assessments </w:t>
      </w:r>
      <w:r w:rsidR="007E51D4" w:rsidRPr="0047445C">
        <w:rPr>
          <w:rFonts w:ascii="Arial" w:hAnsi="Arial" w:cs="Arial"/>
          <w:sz w:val="20"/>
          <w:szCs w:val="20"/>
        </w:rPr>
        <w:t>(Trapp al., 2021; Mattioli et al., 2022)</w:t>
      </w:r>
      <w:r w:rsidRPr="0047445C">
        <w:rPr>
          <w:rFonts w:ascii="Arial" w:hAnsi="Arial" w:cs="Arial"/>
          <w:sz w:val="20"/>
          <w:szCs w:val="20"/>
        </w:rPr>
        <w:t xml:space="preserve">. This explains why educational interventions alone may be insufficient without addressing </w:t>
      </w:r>
      <w:r w:rsidR="00AB1070" w:rsidRPr="0047445C">
        <w:rPr>
          <w:rFonts w:ascii="Arial" w:hAnsi="Arial" w:cs="Arial"/>
          <w:sz w:val="20"/>
          <w:szCs w:val="20"/>
        </w:rPr>
        <w:t>behavioural</w:t>
      </w:r>
      <w:r w:rsidRPr="0047445C">
        <w:rPr>
          <w:rFonts w:ascii="Arial" w:hAnsi="Arial" w:cs="Arial"/>
          <w:sz w:val="20"/>
          <w:szCs w:val="20"/>
        </w:rPr>
        <w:t xml:space="preserve"> drivers.</w:t>
      </w:r>
    </w:p>
    <w:p w14:paraId="7A4BB345" w14:textId="684839D5" w:rsidR="00AA2EBB" w:rsidRPr="0047445C" w:rsidRDefault="00AA2EBB" w:rsidP="00AA2EBB">
      <w:pPr>
        <w:rPr>
          <w:rFonts w:ascii="Arial" w:hAnsi="Arial" w:cs="Arial"/>
          <w:sz w:val="20"/>
          <w:szCs w:val="20"/>
        </w:rPr>
      </w:pPr>
      <w:r w:rsidRPr="0047445C">
        <w:rPr>
          <w:rFonts w:ascii="Arial" w:hAnsi="Arial" w:cs="Arial"/>
          <w:sz w:val="20"/>
          <w:szCs w:val="20"/>
        </w:rPr>
        <w:lastRenderedPageBreak/>
        <w:t xml:space="preserve">Although 56.6% reported daytime sleepiness and 34.9% experienced sleep disturbances, these factors were non-significant in regression models. This contrasts with Western studies where sleep problems strongly predicted consumption </w:t>
      </w:r>
      <w:r w:rsidR="007E51D4" w:rsidRPr="0047445C">
        <w:rPr>
          <w:rFonts w:ascii="Arial" w:hAnsi="Arial" w:cs="Arial"/>
          <w:sz w:val="20"/>
          <w:szCs w:val="20"/>
        </w:rPr>
        <w:t>(Marmorstein, 2017; Trapp et al., 2021)</w:t>
      </w:r>
      <w:r w:rsidRPr="0047445C">
        <w:rPr>
          <w:rFonts w:ascii="Arial" w:hAnsi="Arial" w:cs="Arial"/>
          <w:sz w:val="20"/>
          <w:szCs w:val="20"/>
        </w:rPr>
        <w:t xml:space="preserve">, suggesting that in Rivers State, academic pressures may overshadow sleep concerns as primary drivers. Adverse health effects were frequently reported: 49.5% experienced physical symptoms (gastrointestinal distress, headaches, insomnia), aligning with global evidence of cardiovascular, neurological, and metabolic risks </w:t>
      </w:r>
      <w:r w:rsidR="007E51D4" w:rsidRPr="0047445C">
        <w:rPr>
          <w:rFonts w:ascii="Arial" w:hAnsi="Arial" w:cs="Arial"/>
          <w:sz w:val="20"/>
          <w:szCs w:val="20"/>
        </w:rPr>
        <w:t>(</w:t>
      </w:r>
      <w:proofErr w:type="spellStart"/>
      <w:r w:rsidR="007E51D4" w:rsidRPr="0047445C">
        <w:rPr>
          <w:rFonts w:ascii="Arial" w:hAnsi="Arial" w:cs="Arial"/>
          <w:sz w:val="20"/>
          <w:szCs w:val="20"/>
        </w:rPr>
        <w:t>Alsunni</w:t>
      </w:r>
      <w:proofErr w:type="spellEnd"/>
      <w:r w:rsidR="007E51D4" w:rsidRPr="0047445C">
        <w:rPr>
          <w:rFonts w:ascii="Arial" w:hAnsi="Arial" w:cs="Arial"/>
          <w:sz w:val="20"/>
          <w:szCs w:val="20"/>
        </w:rPr>
        <w:t>, 2015; Costantino et al., 2023)</w:t>
      </w:r>
      <w:r w:rsidRPr="0047445C">
        <w:rPr>
          <w:rFonts w:ascii="Arial" w:hAnsi="Arial" w:cs="Arial"/>
          <w:sz w:val="20"/>
          <w:szCs w:val="20"/>
        </w:rPr>
        <w:t xml:space="preserve">. The reported insomnia (20.5%) and anxiety (14.5%) are particularly concerning given caffeine’s potential to exacerbate mental health issues </w:t>
      </w:r>
      <w:r w:rsidR="007E51D4" w:rsidRPr="0047445C">
        <w:rPr>
          <w:rFonts w:ascii="Arial" w:hAnsi="Arial" w:cs="Arial"/>
          <w:sz w:val="20"/>
          <w:szCs w:val="20"/>
        </w:rPr>
        <w:t>(</w:t>
      </w:r>
      <w:proofErr w:type="spellStart"/>
      <w:r w:rsidR="007E51D4" w:rsidRPr="0047445C">
        <w:rPr>
          <w:rFonts w:ascii="Arial" w:hAnsi="Arial" w:cs="Arial"/>
          <w:sz w:val="20"/>
          <w:szCs w:val="20"/>
        </w:rPr>
        <w:t>Alsunni</w:t>
      </w:r>
      <w:proofErr w:type="spellEnd"/>
      <w:r w:rsidR="007E51D4" w:rsidRPr="0047445C">
        <w:rPr>
          <w:rFonts w:ascii="Arial" w:hAnsi="Arial" w:cs="Arial"/>
          <w:sz w:val="20"/>
          <w:szCs w:val="20"/>
        </w:rPr>
        <w:t xml:space="preserve">, 2015; </w:t>
      </w:r>
      <w:proofErr w:type="spellStart"/>
      <w:r w:rsidR="007E51D4" w:rsidRPr="0047445C">
        <w:rPr>
          <w:rFonts w:ascii="Arial" w:hAnsi="Arial" w:cs="Arial"/>
          <w:sz w:val="20"/>
          <w:szCs w:val="20"/>
        </w:rPr>
        <w:t>Ajibo</w:t>
      </w:r>
      <w:proofErr w:type="spellEnd"/>
      <w:r w:rsidR="007E51D4" w:rsidRPr="0047445C">
        <w:rPr>
          <w:rFonts w:ascii="Arial" w:hAnsi="Arial" w:cs="Arial"/>
          <w:sz w:val="20"/>
          <w:szCs w:val="20"/>
        </w:rPr>
        <w:t xml:space="preserve"> et al., 2024).</w:t>
      </w:r>
    </w:p>
    <w:p w14:paraId="1CD120C9" w14:textId="7EAD51F6" w:rsidR="00AA2EBB" w:rsidRPr="0047445C" w:rsidRDefault="0047445C" w:rsidP="00AA2EBB">
      <w:pPr>
        <w:rPr>
          <w:rFonts w:ascii="Arial" w:hAnsi="Arial" w:cs="Arial"/>
          <w:sz w:val="20"/>
          <w:szCs w:val="20"/>
        </w:rPr>
      </w:pPr>
      <w:r w:rsidRPr="0047445C">
        <w:rPr>
          <w:rFonts w:ascii="Arial" w:hAnsi="Arial" w:cs="Arial"/>
          <w:sz w:val="20"/>
          <w:szCs w:val="20"/>
        </w:rPr>
        <w:t xml:space="preserve">The consumption patterns in </w:t>
      </w:r>
      <w:r w:rsidR="00AA2EBB" w:rsidRPr="0047445C">
        <w:rPr>
          <w:rFonts w:ascii="Arial" w:hAnsi="Arial" w:cs="Arial"/>
          <w:sz w:val="20"/>
          <w:szCs w:val="20"/>
        </w:rPr>
        <w:t>Rivers State reflect a blend of global trends (e.g., male predominance, functional use for a</w:t>
      </w:r>
      <w:r w:rsidR="00AA2EBB" w:rsidRPr="00C9550C">
        <w:rPr>
          <w:rFonts w:ascii="Arial" w:hAnsi="Arial" w:cs="Arial"/>
          <w:sz w:val="20"/>
          <w:szCs w:val="20"/>
        </w:rPr>
        <w:t xml:space="preserve">cademics) and local idiosyncrasies (e.g., ethnic protections, low alcohol mixing). The prevalence rate exceeds those in Saudi Arabia (45.6%–60%) </w:t>
      </w:r>
      <w:r w:rsidR="00C9550C" w:rsidRPr="00C9550C">
        <w:rPr>
          <w:rFonts w:ascii="Arial" w:hAnsi="Arial" w:cs="Arial"/>
          <w:sz w:val="20"/>
          <w:szCs w:val="20"/>
        </w:rPr>
        <w:t>(</w:t>
      </w:r>
      <w:proofErr w:type="spellStart"/>
      <w:r w:rsidR="00C9550C" w:rsidRPr="00C9550C">
        <w:rPr>
          <w:rFonts w:ascii="Arial" w:hAnsi="Arial" w:cs="Arial"/>
          <w:sz w:val="20"/>
          <w:szCs w:val="20"/>
        </w:rPr>
        <w:t>Alabbad</w:t>
      </w:r>
      <w:proofErr w:type="spellEnd"/>
      <w:r w:rsidR="00C9550C" w:rsidRPr="00C9550C">
        <w:rPr>
          <w:rFonts w:ascii="Arial" w:hAnsi="Arial" w:cs="Arial"/>
          <w:sz w:val="20"/>
          <w:szCs w:val="20"/>
        </w:rPr>
        <w:t xml:space="preserve"> et al., 2019),</w:t>
      </w:r>
      <w:r w:rsidR="00AA2EBB" w:rsidRPr="00C9550C">
        <w:rPr>
          <w:rFonts w:ascii="Arial" w:hAnsi="Arial" w:cs="Arial"/>
          <w:sz w:val="20"/>
          <w:szCs w:val="20"/>
        </w:rPr>
        <w:t xml:space="preserve"> and Europe (15.2%–52.4%) </w:t>
      </w:r>
      <w:r w:rsidR="00C9550C" w:rsidRPr="00C9550C">
        <w:rPr>
          <w:rFonts w:ascii="Arial" w:hAnsi="Arial" w:cs="Arial"/>
          <w:sz w:val="20"/>
          <w:szCs w:val="20"/>
        </w:rPr>
        <w:t>(Part et</w:t>
      </w:r>
      <w:r w:rsidR="00C9550C">
        <w:rPr>
          <w:rFonts w:ascii="Arial" w:hAnsi="Arial" w:cs="Arial"/>
          <w:sz w:val="20"/>
          <w:szCs w:val="20"/>
        </w:rPr>
        <w:t xml:space="preserve"> </w:t>
      </w:r>
      <w:r w:rsidR="00C9550C" w:rsidRPr="00C9550C">
        <w:rPr>
          <w:rFonts w:ascii="Arial" w:hAnsi="Arial" w:cs="Arial"/>
          <w:sz w:val="20"/>
          <w:szCs w:val="20"/>
        </w:rPr>
        <w:t>al., 2013),</w:t>
      </w:r>
      <w:r w:rsidR="00AA2EBB" w:rsidRPr="00C9550C">
        <w:rPr>
          <w:rFonts w:ascii="Arial" w:hAnsi="Arial" w:cs="Arial"/>
          <w:sz w:val="20"/>
          <w:szCs w:val="20"/>
        </w:rPr>
        <w:t xml:space="preserve"> but aligns with African studies in Ghana (77%) </w:t>
      </w:r>
      <w:r w:rsidRPr="00C9550C">
        <w:rPr>
          <w:rFonts w:ascii="Arial" w:hAnsi="Arial" w:cs="Arial"/>
          <w:sz w:val="20"/>
          <w:szCs w:val="20"/>
        </w:rPr>
        <w:t>(Mattioli et al., 2022)</w:t>
      </w:r>
      <w:r w:rsidR="00AA2EBB" w:rsidRPr="00C9550C">
        <w:rPr>
          <w:rFonts w:ascii="Arial" w:hAnsi="Arial" w:cs="Arial"/>
          <w:sz w:val="20"/>
          <w:szCs w:val="20"/>
        </w:rPr>
        <w:t xml:space="preserve"> and South Africa (58%) </w:t>
      </w:r>
      <w:r w:rsidRPr="00C9550C">
        <w:rPr>
          <w:rFonts w:ascii="Arial" w:hAnsi="Arial" w:cs="Arial"/>
          <w:sz w:val="20"/>
          <w:szCs w:val="20"/>
        </w:rPr>
        <w:t>(</w:t>
      </w:r>
      <w:proofErr w:type="spellStart"/>
      <w:r w:rsidRPr="00C9550C">
        <w:rPr>
          <w:rFonts w:ascii="Arial" w:hAnsi="Arial" w:cs="Arial"/>
          <w:sz w:val="20"/>
          <w:szCs w:val="20"/>
        </w:rPr>
        <w:t>Alsunni</w:t>
      </w:r>
      <w:proofErr w:type="spellEnd"/>
      <w:r w:rsidRPr="00C9550C">
        <w:rPr>
          <w:rFonts w:ascii="Arial" w:hAnsi="Arial" w:cs="Arial"/>
          <w:sz w:val="20"/>
          <w:szCs w:val="20"/>
        </w:rPr>
        <w:t>, 2015)</w:t>
      </w:r>
      <w:r w:rsidR="00AA2EBB" w:rsidRPr="00C9550C">
        <w:rPr>
          <w:rFonts w:ascii="Arial" w:hAnsi="Arial" w:cs="Arial"/>
          <w:sz w:val="20"/>
          <w:szCs w:val="20"/>
        </w:rPr>
        <w:t xml:space="preserve">. This suggests that regional </w:t>
      </w:r>
      <w:r w:rsidR="00AA2EBB" w:rsidRPr="0047445C">
        <w:rPr>
          <w:rFonts w:ascii="Arial" w:hAnsi="Arial" w:cs="Arial"/>
          <w:sz w:val="20"/>
          <w:szCs w:val="20"/>
        </w:rPr>
        <w:t>factors</w:t>
      </w:r>
      <w:r w:rsidRPr="0047445C">
        <w:rPr>
          <w:rFonts w:ascii="Arial" w:hAnsi="Arial" w:cs="Arial"/>
          <w:sz w:val="20"/>
          <w:szCs w:val="20"/>
        </w:rPr>
        <w:t xml:space="preserve">, </w:t>
      </w:r>
      <w:r w:rsidR="00AA2EBB" w:rsidRPr="0047445C">
        <w:rPr>
          <w:rFonts w:ascii="Arial" w:hAnsi="Arial" w:cs="Arial"/>
          <w:sz w:val="20"/>
          <w:szCs w:val="20"/>
        </w:rPr>
        <w:t>such as aggressive marketing, academic culture, and limited regulatory oversight</w:t>
      </w:r>
      <w:r w:rsidRPr="0047445C">
        <w:rPr>
          <w:rFonts w:ascii="Arial" w:hAnsi="Arial" w:cs="Arial"/>
          <w:sz w:val="20"/>
          <w:szCs w:val="20"/>
        </w:rPr>
        <w:t xml:space="preserve">, </w:t>
      </w:r>
      <w:r w:rsidR="00AA2EBB" w:rsidRPr="0047445C">
        <w:rPr>
          <w:rFonts w:ascii="Arial" w:hAnsi="Arial" w:cs="Arial"/>
          <w:sz w:val="20"/>
          <w:szCs w:val="20"/>
        </w:rPr>
        <w:t>may drive higher consumption in low- and middle-income countries.</w:t>
      </w:r>
    </w:p>
    <w:p w14:paraId="52FFAB9E" w14:textId="0FCD3F7F" w:rsidR="00553BBC" w:rsidRPr="00553BBC" w:rsidRDefault="00553BBC" w:rsidP="00AA2EBB">
      <w:pPr>
        <w:rPr>
          <w:rFonts w:ascii="Arial" w:hAnsi="Arial" w:cs="Arial"/>
          <w:b/>
          <w:bCs/>
          <w:sz w:val="20"/>
          <w:szCs w:val="20"/>
        </w:rPr>
      </w:pPr>
      <w:r w:rsidRPr="00553BBC">
        <w:rPr>
          <w:rFonts w:ascii="Arial" w:hAnsi="Arial" w:cs="Arial"/>
          <w:b/>
          <w:bCs/>
          <w:sz w:val="20"/>
          <w:szCs w:val="20"/>
        </w:rPr>
        <w:t xml:space="preserve">Implications for </w:t>
      </w:r>
      <w:r w:rsidR="0047445C" w:rsidRPr="00553BBC">
        <w:rPr>
          <w:rFonts w:ascii="Arial" w:hAnsi="Arial" w:cs="Arial"/>
          <w:b/>
          <w:bCs/>
          <w:sz w:val="20"/>
          <w:szCs w:val="20"/>
        </w:rPr>
        <w:t>policy and practice</w:t>
      </w:r>
    </w:p>
    <w:p w14:paraId="640827D7" w14:textId="62A74066" w:rsidR="00553BBC" w:rsidRDefault="00553BBC" w:rsidP="00553BBC">
      <w:pPr>
        <w:rPr>
          <w:rFonts w:ascii="Arial" w:hAnsi="Arial" w:cs="Arial"/>
          <w:sz w:val="20"/>
          <w:szCs w:val="20"/>
        </w:rPr>
      </w:pPr>
      <w:r w:rsidRPr="00553BBC">
        <w:rPr>
          <w:rFonts w:ascii="Arial" w:hAnsi="Arial" w:cs="Arial"/>
          <w:sz w:val="20"/>
          <w:szCs w:val="20"/>
        </w:rPr>
        <w:t>The discordance between knowledge and practice observed in our study suggests that informational campaigns alone will be insufficient to modify consumption behaviours. Instead, comprehensive strategies should integrate: (1) targeted educational initiatives addressing specific knowledge gaps about cumulative caffeine exposure and health risks; (2) environmental modifications including restrictions on campus marketing and improved availability of healthier alternatives; (3) peer-led interventions to shift social norms around academic performance and substance use; and (4) institutional policies supporting sleep hygiene and stress management.</w:t>
      </w:r>
      <w:r w:rsidR="0047445C">
        <w:rPr>
          <w:rFonts w:ascii="Arial" w:hAnsi="Arial" w:cs="Arial"/>
          <w:sz w:val="20"/>
          <w:szCs w:val="20"/>
        </w:rPr>
        <w:t xml:space="preserve"> </w:t>
      </w:r>
      <w:r w:rsidRPr="00553BBC">
        <w:rPr>
          <w:rFonts w:ascii="Arial" w:hAnsi="Arial" w:cs="Arial"/>
          <w:sz w:val="20"/>
          <w:szCs w:val="20"/>
        </w:rPr>
        <w:t>Furthermore, our findings highlight the need for healthcare providers serving student populations to implement routine screening for energy drink consumption and associated symptoms, particularly among male students and athletes who demonstrate elevated risk profiles.</w:t>
      </w:r>
    </w:p>
    <w:p w14:paraId="7CC9F0D3" w14:textId="494B7654" w:rsidR="0047445C" w:rsidRPr="0047445C" w:rsidRDefault="0047445C" w:rsidP="0047445C">
      <w:pPr>
        <w:rPr>
          <w:rFonts w:ascii="Arial" w:hAnsi="Arial" w:cs="Arial"/>
          <w:b/>
          <w:bCs/>
          <w:sz w:val="20"/>
          <w:szCs w:val="20"/>
        </w:rPr>
      </w:pPr>
      <w:r w:rsidRPr="0047445C">
        <w:rPr>
          <w:rFonts w:ascii="Arial" w:hAnsi="Arial" w:cs="Arial"/>
          <w:b/>
          <w:bCs/>
          <w:sz w:val="20"/>
          <w:szCs w:val="20"/>
        </w:rPr>
        <w:t>Strengths and limitations of the study</w:t>
      </w:r>
    </w:p>
    <w:p w14:paraId="3BF8E945" w14:textId="5B17F56F" w:rsidR="0047445C" w:rsidRPr="0047445C" w:rsidRDefault="0047445C" w:rsidP="0047445C">
      <w:pPr>
        <w:rPr>
          <w:rFonts w:ascii="Arial" w:hAnsi="Arial" w:cs="Arial"/>
          <w:sz w:val="20"/>
          <w:szCs w:val="20"/>
        </w:rPr>
      </w:pPr>
      <w:r w:rsidRPr="0047445C">
        <w:rPr>
          <w:rFonts w:ascii="Arial" w:hAnsi="Arial" w:cs="Arial"/>
          <w:sz w:val="20"/>
          <w:szCs w:val="20"/>
        </w:rPr>
        <w:lastRenderedPageBreak/>
        <w:t xml:space="preserve">This study possesses </w:t>
      </w:r>
      <w:r>
        <w:rPr>
          <w:rFonts w:ascii="Arial" w:hAnsi="Arial" w:cs="Arial"/>
          <w:sz w:val="20"/>
          <w:szCs w:val="20"/>
        </w:rPr>
        <w:t xml:space="preserve">some </w:t>
      </w:r>
      <w:r w:rsidRPr="0047445C">
        <w:rPr>
          <w:rFonts w:ascii="Arial" w:hAnsi="Arial" w:cs="Arial"/>
          <w:sz w:val="20"/>
          <w:szCs w:val="20"/>
        </w:rPr>
        <w:t>notable strengths, including a robust sample size (N=378) determined through standardized statistical methods, enhancing the reliability and generalizability of findings within the study context. The use of a pre-validated questionnaire and a multi-stage sampling strategy improved methodological rigor, while comprehensive analyses</w:t>
      </w:r>
      <w:r>
        <w:rPr>
          <w:rFonts w:ascii="Arial" w:hAnsi="Arial" w:cs="Arial"/>
          <w:sz w:val="20"/>
          <w:szCs w:val="20"/>
        </w:rPr>
        <w:t xml:space="preserve"> (</w:t>
      </w:r>
      <w:r w:rsidRPr="0047445C">
        <w:rPr>
          <w:rFonts w:ascii="Arial" w:hAnsi="Arial" w:cs="Arial"/>
          <w:sz w:val="20"/>
          <w:szCs w:val="20"/>
        </w:rPr>
        <w:t>including binary logistic regression</w:t>
      </w:r>
      <w:r>
        <w:rPr>
          <w:rFonts w:ascii="Arial" w:hAnsi="Arial" w:cs="Arial"/>
          <w:sz w:val="20"/>
          <w:szCs w:val="20"/>
        </w:rPr>
        <w:t xml:space="preserve">) </w:t>
      </w:r>
      <w:r w:rsidRPr="0047445C">
        <w:rPr>
          <w:rFonts w:ascii="Arial" w:hAnsi="Arial" w:cs="Arial"/>
          <w:sz w:val="20"/>
          <w:szCs w:val="20"/>
        </w:rPr>
        <w:t>enabled the identification of key predictors such as male gender and specific ethnic affiliations. Furthermore, the study examined under-researched associations, such as the relationship between consumption practices and health outcomes, providing valuable insights into behaviour-driven consumption patterns.</w:t>
      </w:r>
      <w:r>
        <w:rPr>
          <w:rFonts w:ascii="Arial" w:hAnsi="Arial" w:cs="Arial"/>
          <w:sz w:val="20"/>
          <w:szCs w:val="20"/>
        </w:rPr>
        <w:t xml:space="preserve"> </w:t>
      </w:r>
      <w:r w:rsidRPr="0047445C">
        <w:rPr>
          <w:rFonts w:ascii="Arial" w:hAnsi="Arial" w:cs="Arial"/>
          <w:sz w:val="20"/>
          <w:szCs w:val="20"/>
        </w:rPr>
        <w:t>However, several limitations must be acknowledged. The cross-sectional design precludes causal inference between energy drink consumption and observed effects. The disproportionate gender distribution (71.7% female) may limit the generalizability of findings to more gender-balanced populations, and the reliance on self-reported data introduces potential recall and social desirability biases. Additionally, the focus on a single state (Rivers State) constrains extrapolation to other geopolitical zones in Nigeria, and the absence of biochemical validation (e.g., caffeine biomarkers) means actual consumption levels may be under- or over-reported. Despite these limitations, the study offers important foundational evidence for public health planning and targeted interventions.</w:t>
      </w:r>
    </w:p>
    <w:p w14:paraId="2C318F6A" w14:textId="60CB12B3" w:rsidR="00553BBC" w:rsidRPr="00553BBC" w:rsidRDefault="008965B3" w:rsidP="00553BBC">
      <w:pPr>
        <w:rPr>
          <w:rFonts w:ascii="Arial" w:hAnsi="Arial" w:cs="Arial"/>
          <w:b/>
          <w:bCs/>
          <w:sz w:val="20"/>
          <w:szCs w:val="20"/>
        </w:rPr>
      </w:pPr>
      <w:r w:rsidRPr="00553BBC">
        <w:rPr>
          <w:rFonts w:ascii="Arial" w:hAnsi="Arial" w:cs="Arial"/>
          <w:b/>
          <w:bCs/>
          <w:sz w:val="20"/>
          <w:szCs w:val="20"/>
        </w:rPr>
        <w:t>CONCLUSION</w:t>
      </w:r>
    </w:p>
    <w:p w14:paraId="2021FB03" w14:textId="164CD57D" w:rsidR="0047445C" w:rsidRPr="00553BBC" w:rsidRDefault="00553BBC" w:rsidP="0047445C">
      <w:pPr>
        <w:rPr>
          <w:rFonts w:ascii="Arial" w:hAnsi="Arial" w:cs="Arial"/>
          <w:sz w:val="20"/>
          <w:szCs w:val="20"/>
        </w:rPr>
      </w:pPr>
      <w:r w:rsidRPr="00553BBC">
        <w:rPr>
          <w:rFonts w:ascii="Arial" w:hAnsi="Arial" w:cs="Arial"/>
          <w:sz w:val="20"/>
          <w:szCs w:val="20"/>
        </w:rPr>
        <w:t xml:space="preserve">The high prevalence of energy drink consumption among Rivers State undergraduates, coupled with identified knowledge gaps and concerning consumption patterns, </w:t>
      </w:r>
      <w:r w:rsidR="0047445C">
        <w:rPr>
          <w:rFonts w:ascii="Arial" w:hAnsi="Arial" w:cs="Arial"/>
          <w:sz w:val="20"/>
          <w:szCs w:val="20"/>
        </w:rPr>
        <w:t>indicates</w:t>
      </w:r>
      <w:r w:rsidRPr="00553BBC">
        <w:rPr>
          <w:rFonts w:ascii="Arial" w:hAnsi="Arial" w:cs="Arial"/>
          <w:sz w:val="20"/>
          <w:szCs w:val="20"/>
        </w:rPr>
        <w:t xml:space="preserve"> the need for comprehensive public health strategies. These findings contribute to the growing evidence base documenting energy drink use patterns in African university settings and provide important insights for developing contextually appropriate interventions to mitigate potential health risks in this vulnerable population.</w:t>
      </w:r>
      <w:r w:rsidR="0047445C">
        <w:rPr>
          <w:rFonts w:ascii="Arial" w:hAnsi="Arial" w:cs="Arial"/>
          <w:sz w:val="20"/>
          <w:szCs w:val="20"/>
        </w:rPr>
        <w:t xml:space="preserve"> </w:t>
      </w:r>
      <w:r w:rsidR="0047445C" w:rsidRPr="00553BBC">
        <w:rPr>
          <w:rFonts w:ascii="Arial" w:hAnsi="Arial" w:cs="Arial"/>
          <w:sz w:val="20"/>
          <w:szCs w:val="20"/>
        </w:rPr>
        <w:t>Future studies should employ longitudinal designs to elucidate the temporal relationship between energy drink consumption and academic performance, psychological distress, and sleep quality. Additionally, mixed-methods approaches would provide deeper insight into the cultural and psychosocial factors driving consumption patterns in this population. The incorporation of objective biomarkers of caffeine exposure and physiological stress would strengthen the evidence base regarding health effects in this population.</w:t>
      </w:r>
    </w:p>
    <w:p w14:paraId="4D097DF4" w14:textId="77777777" w:rsidR="008965B3" w:rsidRPr="008965B3" w:rsidRDefault="008965B3" w:rsidP="008965B3">
      <w:pPr>
        <w:rPr>
          <w:rFonts w:ascii="Arial" w:hAnsi="Arial" w:cs="Arial"/>
          <w:b/>
          <w:bCs/>
          <w:sz w:val="20"/>
          <w:szCs w:val="20"/>
        </w:rPr>
      </w:pPr>
      <w:r w:rsidRPr="008965B3">
        <w:rPr>
          <w:rFonts w:ascii="Arial" w:hAnsi="Arial" w:cs="Arial"/>
          <w:b/>
          <w:bCs/>
          <w:sz w:val="20"/>
          <w:szCs w:val="20"/>
        </w:rPr>
        <w:t>DISCLAIMER (ARTIFICIAL INTELLIGENCE)</w:t>
      </w:r>
    </w:p>
    <w:p w14:paraId="0031D429" w14:textId="77777777" w:rsidR="008965B3" w:rsidRPr="008965B3" w:rsidRDefault="008965B3" w:rsidP="008965B3">
      <w:pPr>
        <w:rPr>
          <w:rFonts w:ascii="Arial" w:hAnsi="Arial" w:cs="Arial"/>
          <w:sz w:val="20"/>
          <w:szCs w:val="20"/>
        </w:rPr>
      </w:pPr>
      <w:r w:rsidRPr="008965B3">
        <w:rPr>
          <w:rFonts w:ascii="Arial" w:hAnsi="Arial" w:cs="Arial"/>
          <w:sz w:val="20"/>
          <w:szCs w:val="20"/>
        </w:rPr>
        <w:lastRenderedPageBreak/>
        <w:t xml:space="preserve">Author hereby declares that NO generative AI technologies such as Large Language Models (ChatGPT, COPILOT, etc.) and text-to-image generators have been used during the writing or editing of this manuscript. </w:t>
      </w:r>
    </w:p>
    <w:p w14:paraId="0D416B01" w14:textId="77777777" w:rsidR="00CF7C0E" w:rsidRDefault="00CF7C0E" w:rsidP="00586B66">
      <w:pPr>
        <w:rPr>
          <w:rFonts w:ascii="Arial" w:hAnsi="Arial" w:cs="Arial"/>
          <w:b/>
          <w:bCs/>
          <w:sz w:val="20"/>
          <w:szCs w:val="20"/>
        </w:rPr>
      </w:pPr>
    </w:p>
    <w:p w14:paraId="160D75B3" w14:textId="37994038" w:rsidR="00024627" w:rsidRPr="00024627" w:rsidRDefault="00024627" w:rsidP="00586B66">
      <w:pPr>
        <w:rPr>
          <w:rFonts w:ascii="Arial" w:hAnsi="Arial" w:cs="Arial"/>
          <w:b/>
          <w:bCs/>
          <w:sz w:val="20"/>
          <w:szCs w:val="20"/>
        </w:rPr>
      </w:pPr>
      <w:bookmarkStart w:id="30" w:name="_GoBack"/>
      <w:bookmarkEnd w:id="30"/>
      <w:r w:rsidRPr="00024627">
        <w:rPr>
          <w:rFonts w:ascii="Arial" w:hAnsi="Arial" w:cs="Arial"/>
          <w:b/>
          <w:bCs/>
          <w:sz w:val="20"/>
          <w:szCs w:val="20"/>
        </w:rPr>
        <w:t>REFERENCES</w:t>
      </w:r>
    </w:p>
    <w:p w14:paraId="4DA4F72D" w14:textId="77777777" w:rsidR="00DE41C1" w:rsidRPr="000A4C5D" w:rsidRDefault="00DE41C1" w:rsidP="00DA4D6C">
      <w:pPr>
        <w:ind w:left="567" w:hanging="567"/>
        <w:rPr>
          <w:rFonts w:ascii="Arial" w:hAnsi="Arial" w:cs="Arial"/>
          <w:sz w:val="20"/>
          <w:szCs w:val="20"/>
        </w:rPr>
      </w:pPr>
      <w:proofErr w:type="spellStart"/>
      <w:r w:rsidRPr="000A4C5D">
        <w:rPr>
          <w:rFonts w:ascii="Arial" w:hAnsi="Arial" w:cs="Arial"/>
          <w:sz w:val="20"/>
          <w:szCs w:val="20"/>
        </w:rPr>
        <w:t>Ajibo</w:t>
      </w:r>
      <w:proofErr w:type="spellEnd"/>
      <w:r w:rsidRPr="000A4C5D">
        <w:rPr>
          <w:rFonts w:ascii="Arial" w:hAnsi="Arial" w:cs="Arial"/>
          <w:sz w:val="20"/>
          <w:szCs w:val="20"/>
        </w:rPr>
        <w:t xml:space="preserve">, C., Van Griethuysen, A., Visram, S., &amp; Lake, A. A. (2024). Consumption of energy drinks by children and young people: a systematic review examining evidence of physical effects and consumer attitudes. Public health, 227, 274–281. </w:t>
      </w:r>
      <w:hyperlink r:id="rId13" w:history="1">
        <w:r w:rsidRPr="000A4C5D">
          <w:rPr>
            <w:rStyle w:val="Hyperlink"/>
            <w:rFonts w:ascii="Arial" w:hAnsi="Arial" w:cs="Arial"/>
            <w:sz w:val="20"/>
            <w:szCs w:val="20"/>
          </w:rPr>
          <w:t>https://doi.org/10.1016/j.puhe.2023.08.024</w:t>
        </w:r>
      </w:hyperlink>
      <w:r w:rsidRPr="000A4C5D">
        <w:rPr>
          <w:rFonts w:ascii="Arial" w:hAnsi="Arial" w:cs="Arial"/>
          <w:sz w:val="20"/>
          <w:szCs w:val="20"/>
        </w:rPr>
        <w:t xml:space="preserve"> </w:t>
      </w:r>
    </w:p>
    <w:p w14:paraId="4CAB452D" w14:textId="77777777" w:rsidR="00DE41C1" w:rsidRPr="000A4C5D" w:rsidRDefault="00DE41C1" w:rsidP="00DA4D6C">
      <w:pPr>
        <w:ind w:left="567" w:hanging="567"/>
        <w:rPr>
          <w:rFonts w:ascii="Arial" w:hAnsi="Arial" w:cs="Arial"/>
          <w:sz w:val="20"/>
          <w:szCs w:val="20"/>
        </w:rPr>
      </w:pPr>
      <w:proofErr w:type="spellStart"/>
      <w:r w:rsidRPr="000A4C5D">
        <w:rPr>
          <w:rFonts w:ascii="Arial" w:hAnsi="Arial" w:cs="Arial"/>
          <w:sz w:val="20"/>
          <w:szCs w:val="20"/>
        </w:rPr>
        <w:t>Alabbad</w:t>
      </w:r>
      <w:proofErr w:type="spellEnd"/>
      <w:r w:rsidRPr="000A4C5D">
        <w:rPr>
          <w:rFonts w:ascii="Arial" w:hAnsi="Arial" w:cs="Arial"/>
          <w:sz w:val="20"/>
          <w:szCs w:val="20"/>
        </w:rPr>
        <w:t xml:space="preserve">, M. H., </w:t>
      </w:r>
      <w:proofErr w:type="spellStart"/>
      <w:r w:rsidRPr="000A4C5D">
        <w:rPr>
          <w:rFonts w:ascii="Arial" w:hAnsi="Arial" w:cs="Arial"/>
          <w:sz w:val="20"/>
          <w:szCs w:val="20"/>
        </w:rPr>
        <w:t>AlMussalam</w:t>
      </w:r>
      <w:proofErr w:type="spellEnd"/>
      <w:r w:rsidRPr="000A4C5D">
        <w:rPr>
          <w:rFonts w:ascii="Arial" w:hAnsi="Arial" w:cs="Arial"/>
          <w:sz w:val="20"/>
          <w:szCs w:val="20"/>
        </w:rPr>
        <w:t xml:space="preserve">, M. Z., </w:t>
      </w:r>
      <w:proofErr w:type="spellStart"/>
      <w:r w:rsidRPr="000A4C5D">
        <w:rPr>
          <w:rFonts w:ascii="Arial" w:hAnsi="Arial" w:cs="Arial"/>
          <w:sz w:val="20"/>
          <w:szCs w:val="20"/>
        </w:rPr>
        <w:t>AlMusalmi</w:t>
      </w:r>
      <w:proofErr w:type="spellEnd"/>
      <w:r w:rsidRPr="000A4C5D">
        <w:rPr>
          <w:rFonts w:ascii="Arial" w:hAnsi="Arial" w:cs="Arial"/>
          <w:sz w:val="20"/>
          <w:szCs w:val="20"/>
        </w:rPr>
        <w:t xml:space="preserve">, A. M., Alealiwi, M. M., </w:t>
      </w:r>
      <w:proofErr w:type="spellStart"/>
      <w:r w:rsidRPr="000A4C5D">
        <w:rPr>
          <w:rFonts w:ascii="Arial" w:hAnsi="Arial" w:cs="Arial"/>
          <w:sz w:val="20"/>
          <w:szCs w:val="20"/>
        </w:rPr>
        <w:t>Alresasy</w:t>
      </w:r>
      <w:proofErr w:type="spellEnd"/>
      <w:r w:rsidRPr="000A4C5D">
        <w:rPr>
          <w:rFonts w:ascii="Arial" w:hAnsi="Arial" w:cs="Arial"/>
          <w:sz w:val="20"/>
          <w:szCs w:val="20"/>
        </w:rPr>
        <w:t xml:space="preserve">, A. I., </w:t>
      </w:r>
      <w:proofErr w:type="spellStart"/>
      <w:r w:rsidRPr="000A4C5D">
        <w:rPr>
          <w:rFonts w:ascii="Arial" w:hAnsi="Arial" w:cs="Arial"/>
          <w:sz w:val="20"/>
          <w:szCs w:val="20"/>
        </w:rPr>
        <w:t>Alyaseen</w:t>
      </w:r>
      <w:proofErr w:type="spellEnd"/>
      <w:r w:rsidRPr="000A4C5D">
        <w:rPr>
          <w:rFonts w:ascii="Arial" w:hAnsi="Arial" w:cs="Arial"/>
          <w:sz w:val="20"/>
          <w:szCs w:val="20"/>
        </w:rPr>
        <w:t xml:space="preserve">, H. N., &amp; Badar, A. (2019). Determinants of energy drinks consumption among the students of a Saudi University. Journal of family &amp; community medicine, 26(1), 36–44. </w:t>
      </w:r>
      <w:hyperlink r:id="rId14" w:history="1">
        <w:r w:rsidRPr="000A4C5D">
          <w:rPr>
            <w:rStyle w:val="Hyperlink"/>
            <w:rFonts w:ascii="Arial" w:hAnsi="Arial" w:cs="Arial"/>
            <w:sz w:val="20"/>
            <w:szCs w:val="20"/>
          </w:rPr>
          <w:t>https://doi.org/10.4103/jfcm.JFCM_42_18</w:t>
        </w:r>
      </w:hyperlink>
      <w:r w:rsidRPr="000A4C5D">
        <w:rPr>
          <w:rFonts w:ascii="Arial" w:hAnsi="Arial" w:cs="Arial"/>
          <w:sz w:val="20"/>
          <w:szCs w:val="20"/>
        </w:rPr>
        <w:t xml:space="preserve"> </w:t>
      </w:r>
    </w:p>
    <w:p w14:paraId="6189A24B" w14:textId="77777777" w:rsidR="00DE41C1" w:rsidRPr="000A4C5D" w:rsidRDefault="00DE41C1" w:rsidP="00024627">
      <w:pPr>
        <w:ind w:left="567" w:hanging="567"/>
        <w:rPr>
          <w:rFonts w:ascii="Arial" w:hAnsi="Arial" w:cs="Arial"/>
          <w:sz w:val="20"/>
          <w:szCs w:val="20"/>
        </w:rPr>
      </w:pPr>
      <w:proofErr w:type="spellStart"/>
      <w:r w:rsidRPr="000A4C5D">
        <w:rPr>
          <w:rFonts w:ascii="Arial" w:hAnsi="Arial" w:cs="Arial"/>
          <w:sz w:val="20"/>
          <w:szCs w:val="20"/>
        </w:rPr>
        <w:t>Alsunni</w:t>
      </w:r>
      <w:proofErr w:type="spellEnd"/>
      <w:r w:rsidRPr="000A4C5D">
        <w:rPr>
          <w:rFonts w:ascii="Arial" w:hAnsi="Arial" w:cs="Arial"/>
          <w:sz w:val="20"/>
          <w:szCs w:val="20"/>
        </w:rPr>
        <w:t xml:space="preserve"> A. A. (2015). Energy Drink Consumption: Beneficial and Adverse Health Effects. International journal of health sciences, 9(4), 468–474.  </w:t>
      </w:r>
    </w:p>
    <w:p w14:paraId="7823F401" w14:textId="77777777" w:rsidR="00DE41C1" w:rsidRDefault="00DE41C1" w:rsidP="00DA4D6C">
      <w:pPr>
        <w:ind w:left="567" w:hanging="567"/>
        <w:rPr>
          <w:rFonts w:ascii="Arial" w:hAnsi="Arial" w:cs="Arial"/>
          <w:sz w:val="20"/>
          <w:szCs w:val="20"/>
        </w:rPr>
      </w:pPr>
      <w:r w:rsidRPr="000A4C5D">
        <w:rPr>
          <w:rFonts w:ascii="Arial" w:hAnsi="Arial" w:cs="Arial"/>
          <w:sz w:val="20"/>
          <w:szCs w:val="20"/>
        </w:rPr>
        <w:t xml:space="preserve">Ariffin, H., Chong, X. Q., Chong, P. N., Lim, M. T., &amp; Loong, T. H. (2022). Is the consumption of energy drink beneficial or detrimental to health: a comprehensive review? Bulletin of the National Research Centre, *46*(1), 163. </w:t>
      </w:r>
      <w:hyperlink r:id="rId15" w:history="1">
        <w:r w:rsidRPr="00F94E69">
          <w:rPr>
            <w:rStyle w:val="Hyperlink"/>
            <w:rFonts w:ascii="Arial" w:hAnsi="Arial" w:cs="Arial"/>
            <w:sz w:val="20"/>
            <w:szCs w:val="20"/>
          </w:rPr>
          <w:t>https://doi.org/10.1186/s42269-022-00829-6</w:t>
        </w:r>
      </w:hyperlink>
    </w:p>
    <w:p w14:paraId="1654C5A0"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Costantino, A., Maiese, A., Lazzari, J., Casula, C., Turillazzi, E., Frati, P., &amp; </w:t>
      </w:r>
      <w:proofErr w:type="spellStart"/>
      <w:r w:rsidRPr="000A4C5D">
        <w:rPr>
          <w:rFonts w:ascii="Arial" w:hAnsi="Arial" w:cs="Arial"/>
          <w:sz w:val="20"/>
          <w:szCs w:val="20"/>
        </w:rPr>
        <w:t>Fineschi</w:t>
      </w:r>
      <w:proofErr w:type="spellEnd"/>
      <w:r w:rsidRPr="000A4C5D">
        <w:rPr>
          <w:rFonts w:ascii="Arial" w:hAnsi="Arial" w:cs="Arial"/>
          <w:sz w:val="20"/>
          <w:szCs w:val="20"/>
        </w:rPr>
        <w:t xml:space="preserve">, V. (2023). The Dark Side of Energy Drinks: A Comprehensive Review of Their Impact on the Human Body. Nutrients, 15(18), 3922. </w:t>
      </w:r>
      <w:hyperlink r:id="rId16" w:history="1">
        <w:r w:rsidRPr="000A4C5D">
          <w:rPr>
            <w:rStyle w:val="Hyperlink"/>
            <w:rFonts w:ascii="Arial" w:hAnsi="Arial" w:cs="Arial"/>
            <w:sz w:val="20"/>
            <w:szCs w:val="20"/>
          </w:rPr>
          <w:t>https://doi.org/10.3390/nu15183922</w:t>
        </w:r>
      </w:hyperlink>
      <w:r w:rsidRPr="000A4C5D">
        <w:rPr>
          <w:rFonts w:ascii="Arial" w:hAnsi="Arial" w:cs="Arial"/>
          <w:sz w:val="20"/>
          <w:szCs w:val="20"/>
        </w:rPr>
        <w:t xml:space="preserve"> </w:t>
      </w:r>
    </w:p>
    <w:p w14:paraId="4D2E36F5" w14:textId="77777777" w:rsidR="00DE41C1" w:rsidRPr="000A4C5D" w:rsidRDefault="00DE41C1" w:rsidP="00024627">
      <w:pPr>
        <w:ind w:left="567" w:hanging="567"/>
        <w:rPr>
          <w:rFonts w:ascii="Arial" w:hAnsi="Arial" w:cs="Arial"/>
          <w:sz w:val="20"/>
          <w:szCs w:val="20"/>
        </w:rPr>
      </w:pPr>
      <w:proofErr w:type="spellStart"/>
      <w:r w:rsidRPr="000A4C5D">
        <w:rPr>
          <w:rFonts w:ascii="Arial" w:hAnsi="Arial" w:cs="Arial"/>
          <w:sz w:val="20"/>
          <w:szCs w:val="20"/>
        </w:rPr>
        <w:t>Ezemenahi</w:t>
      </w:r>
      <w:proofErr w:type="spellEnd"/>
      <w:r w:rsidRPr="000A4C5D">
        <w:rPr>
          <w:rFonts w:ascii="Arial" w:hAnsi="Arial" w:cs="Arial"/>
          <w:sz w:val="20"/>
          <w:szCs w:val="20"/>
        </w:rPr>
        <w:t xml:space="preserve">, S. I., Ibeh, C. C., Alphonsus, R. U., </w:t>
      </w:r>
      <w:proofErr w:type="spellStart"/>
      <w:r w:rsidRPr="000A4C5D">
        <w:rPr>
          <w:rFonts w:ascii="Arial" w:hAnsi="Arial" w:cs="Arial"/>
          <w:sz w:val="20"/>
          <w:szCs w:val="20"/>
        </w:rPr>
        <w:t>Akalugwu</w:t>
      </w:r>
      <w:proofErr w:type="spellEnd"/>
      <w:r w:rsidRPr="000A4C5D">
        <w:rPr>
          <w:rFonts w:ascii="Arial" w:hAnsi="Arial" w:cs="Arial"/>
          <w:sz w:val="20"/>
          <w:szCs w:val="20"/>
        </w:rPr>
        <w:t xml:space="preserve">, E., </w:t>
      </w:r>
      <w:proofErr w:type="spellStart"/>
      <w:r w:rsidRPr="000A4C5D">
        <w:rPr>
          <w:rFonts w:ascii="Arial" w:hAnsi="Arial" w:cs="Arial"/>
          <w:sz w:val="20"/>
          <w:szCs w:val="20"/>
        </w:rPr>
        <w:t>Ezemenahi</w:t>
      </w:r>
      <w:proofErr w:type="spellEnd"/>
      <w:r w:rsidRPr="000A4C5D">
        <w:rPr>
          <w:rFonts w:ascii="Arial" w:hAnsi="Arial" w:cs="Arial"/>
          <w:sz w:val="20"/>
          <w:szCs w:val="20"/>
        </w:rPr>
        <w:t>, S. C., Ezemenahi, B. E., Obi Nwosu, A. L., &amp; Alabi, A. N. (2024). Patterns of Energy Drink Consumption and Perceived Benefits Among Medical Students in a Tertiary Institution in South-Eastern Nigeria. West African journal of medicine, 41(5), 505–514.</w:t>
      </w:r>
    </w:p>
    <w:p w14:paraId="00FF38D0"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 xml:space="preserve">Freedman, A. (2024). Do energy drinks come with health risks? An expert’s warning. Fortune. Retrieved from </w:t>
      </w:r>
      <w:hyperlink r:id="rId17" w:history="1">
        <w:r w:rsidRPr="000A4C5D">
          <w:rPr>
            <w:rStyle w:val="Hyperlink"/>
            <w:rFonts w:ascii="Arial" w:hAnsi="Arial" w:cs="Arial"/>
            <w:sz w:val="20"/>
            <w:szCs w:val="20"/>
          </w:rPr>
          <w:t>https://www.aol.com/finance/energy-drinks-come-health-risks-211711752.html</w:t>
        </w:r>
      </w:hyperlink>
      <w:r w:rsidRPr="000A4C5D">
        <w:rPr>
          <w:rFonts w:ascii="Arial" w:hAnsi="Arial" w:cs="Arial"/>
          <w:sz w:val="20"/>
          <w:szCs w:val="20"/>
        </w:rPr>
        <w:t xml:space="preserve"> </w:t>
      </w:r>
    </w:p>
    <w:p w14:paraId="5A3334F0"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lastRenderedPageBreak/>
        <w:t xml:space="preserve">Howley, E. K., &amp; Miller, A. M. (2024). Are energy drinks really that bad? Energy drinks are popular, but handle with care. U.S. News &amp; World Report. Retrieved from </w:t>
      </w:r>
      <w:hyperlink r:id="rId18" w:history="1">
        <w:r w:rsidRPr="000A4C5D">
          <w:rPr>
            <w:rStyle w:val="Hyperlink"/>
            <w:rFonts w:ascii="Arial" w:hAnsi="Arial" w:cs="Arial"/>
            <w:sz w:val="20"/>
            <w:szCs w:val="20"/>
          </w:rPr>
          <w:t>https://health.usnews.com/wellness/fitness/energy-drinks</w:t>
        </w:r>
      </w:hyperlink>
    </w:p>
    <w:p w14:paraId="7982CFEC"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Ibrahim, U. M., Sani, H. U., Ayaba, A. K., Abdullahi, H. M., Jalo, R. I., Tsiga Ahmed, F. I., Adamu, A. L., &amp; Jibo, A. M. (2021</w:t>
      </w:r>
      <w:r>
        <w:rPr>
          <w:rFonts w:ascii="Arial" w:hAnsi="Arial" w:cs="Arial"/>
          <w:sz w:val="20"/>
          <w:szCs w:val="20"/>
        </w:rPr>
        <w:t>a</w:t>
      </w:r>
      <w:r w:rsidRPr="000A4C5D">
        <w:rPr>
          <w:rFonts w:ascii="Arial" w:hAnsi="Arial" w:cs="Arial"/>
          <w:sz w:val="20"/>
          <w:szCs w:val="20"/>
        </w:rPr>
        <w:t xml:space="preserve">). Prevalence and factors associated with energy drink consumption amongst undergraduate students in Kano, Nigeria. The Nigerian postgraduate medical journal, 28(3), 204–210. </w:t>
      </w:r>
      <w:hyperlink r:id="rId19" w:history="1">
        <w:r w:rsidRPr="000A4C5D">
          <w:rPr>
            <w:rStyle w:val="Hyperlink"/>
            <w:rFonts w:ascii="Arial" w:hAnsi="Arial" w:cs="Arial"/>
            <w:sz w:val="20"/>
            <w:szCs w:val="20"/>
          </w:rPr>
          <w:t>https://doi.org/10.4103/npmj.npmj_553_21</w:t>
        </w:r>
      </w:hyperlink>
      <w:r w:rsidRPr="000A4C5D">
        <w:rPr>
          <w:rFonts w:ascii="Arial" w:hAnsi="Arial" w:cs="Arial"/>
          <w:sz w:val="20"/>
          <w:szCs w:val="20"/>
        </w:rPr>
        <w:t xml:space="preserve"> </w:t>
      </w:r>
    </w:p>
    <w:p w14:paraId="2A6F9C41" w14:textId="77777777" w:rsidR="00DE41C1" w:rsidRPr="000A4C5D"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0A4C5D">
        <w:rPr>
          <w:rFonts w:ascii="Arial" w:eastAsia="Times New Roman" w:hAnsi="Arial" w:cs="Arial"/>
          <w:kern w:val="0"/>
          <w:sz w:val="20"/>
          <w:szCs w:val="20"/>
        </w:rPr>
        <w:t xml:space="preserve">Ibrahim, U. M., Sani, H. U., </w:t>
      </w:r>
      <w:proofErr w:type="spellStart"/>
      <w:r w:rsidRPr="000A4C5D">
        <w:rPr>
          <w:rFonts w:ascii="Arial" w:eastAsia="Times New Roman" w:hAnsi="Arial" w:cs="Arial"/>
          <w:kern w:val="0"/>
          <w:sz w:val="20"/>
          <w:szCs w:val="20"/>
        </w:rPr>
        <w:t>Karkarna</w:t>
      </w:r>
      <w:proofErr w:type="spellEnd"/>
      <w:r w:rsidRPr="000A4C5D">
        <w:rPr>
          <w:rFonts w:ascii="Arial" w:eastAsia="Times New Roman" w:hAnsi="Arial" w:cs="Arial"/>
          <w:kern w:val="0"/>
          <w:sz w:val="20"/>
          <w:szCs w:val="20"/>
        </w:rPr>
        <w:t xml:space="preserve">, M. Z., Jibo, A. M., Bello, M. M., </w:t>
      </w:r>
      <w:proofErr w:type="spellStart"/>
      <w:r w:rsidRPr="000A4C5D">
        <w:rPr>
          <w:rFonts w:ascii="Arial" w:eastAsia="Times New Roman" w:hAnsi="Arial" w:cs="Arial"/>
          <w:kern w:val="0"/>
          <w:sz w:val="20"/>
          <w:szCs w:val="20"/>
        </w:rPr>
        <w:t>Gajida</w:t>
      </w:r>
      <w:proofErr w:type="spellEnd"/>
      <w:r w:rsidRPr="000A4C5D">
        <w:rPr>
          <w:rFonts w:ascii="Arial" w:eastAsia="Times New Roman" w:hAnsi="Arial" w:cs="Arial"/>
          <w:kern w:val="0"/>
          <w:sz w:val="20"/>
          <w:szCs w:val="20"/>
        </w:rPr>
        <w:t xml:space="preserve">, A. U., </w:t>
      </w:r>
      <w:proofErr w:type="spellStart"/>
      <w:r w:rsidRPr="000A4C5D">
        <w:rPr>
          <w:rFonts w:ascii="Arial" w:eastAsia="Times New Roman" w:hAnsi="Arial" w:cs="Arial"/>
          <w:kern w:val="0"/>
          <w:sz w:val="20"/>
          <w:szCs w:val="20"/>
        </w:rPr>
        <w:t>Danzomo</w:t>
      </w:r>
      <w:proofErr w:type="spellEnd"/>
      <w:r w:rsidRPr="000A4C5D">
        <w:rPr>
          <w:rFonts w:ascii="Arial" w:eastAsia="Times New Roman" w:hAnsi="Arial" w:cs="Arial"/>
          <w:kern w:val="0"/>
          <w:sz w:val="20"/>
          <w:szCs w:val="20"/>
        </w:rPr>
        <w:t>, A. A., &amp;</w:t>
      </w:r>
      <w:r>
        <w:rPr>
          <w:rFonts w:ascii="Arial" w:eastAsia="Times New Roman" w:hAnsi="Arial" w:cs="Arial"/>
          <w:kern w:val="0"/>
          <w:sz w:val="20"/>
          <w:szCs w:val="20"/>
        </w:rPr>
        <w:t xml:space="preserve"> </w:t>
      </w:r>
      <w:proofErr w:type="spellStart"/>
      <w:r w:rsidRPr="000A4C5D">
        <w:rPr>
          <w:rFonts w:ascii="Arial" w:eastAsia="Times New Roman" w:hAnsi="Arial" w:cs="Arial"/>
          <w:kern w:val="0"/>
          <w:sz w:val="20"/>
          <w:szCs w:val="20"/>
        </w:rPr>
        <w:t>Gadanya</w:t>
      </w:r>
      <w:proofErr w:type="spellEnd"/>
      <w:r w:rsidRPr="000A4C5D">
        <w:rPr>
          <w:rFonts w:ascii="Arial" w:eastAsia="Times New Roman" w:hAnsi="Arial" w:cs="Arial"/>
          <w:kern w:val="0"/>
          <w:sz w:val="20"/>
          <w:szCs w:val="20"/>
        </w:rPr>
        <w:t>, M. A. (2021</w:t>
      </w:r>
      <w:r>
        <w:rPr>
          <w:rFonts w:ascii="Arial" w:eastAsia="Times New Roman" w:hAnsi="Arial" w:cs="Arial"/>
          <w:kern w:val="0"/>
          <w:sz w:val="20"/>
          <w:szCs w:val="20"/>
        </w:rPr>
        <w:t>b</w:t>
      </w:r>
      <w:r w:rsidRPr="000A4C5D">
        <w:rPr>
          <w:rFonts w:ascii="Arial" w:eastAsia="Times New Roman" w:hAnsi="Arial" w:cs="Arial"/>
          <w:kern w:val="0"/>
          <w:sz w:val="20"/>
          <w:szCs w:val="20"/>
        </w:rPr>
        <w:t xml:space="preserve">). Knowledge, attitude, and practices of energy drinks consumption among undergraduate students of </w:t>
      </w:r>
      <w:proofErr w:type="spellStart"/>
      <w:r w:rsidRPr="000A4C5D">
        <w:rPr>
          <w:rFonts w:ascii="Arial" w:eastAsia="Times New Roman" w:hAnsi="Arial" w:cs="Arial"/>
          <w:kern w:val="0"/>
          <w:sz w:val="20"/>
          <w:szCs w:val="20"/>
        </w:rPr>
        <w:t>Bayero</w:t>
      </w:r>
      <w:proofErr w:type="spellEnd"/>
      <w:r w:rsidRPr="000A4C5D">
        <w:rPr>
          <w:rFonts w:ascii="Arial" w:eastAsia="Times New Roman" w:hAnsi="Arial" w:cs="Arial"/>
          <w:kern w:val="0"/>
          <w:sz w:val="20"/>
          <w:szCs w:val="20"/>
        </w:rPr>
        <w:t xml:space="preserve"> University, Kano. </w:t>
      </w:r>
      <w:r w:rsidRPr="000A4C5D">
        <w:rPr>
          <w:rFonts w:ascii="Arial" w:eastAsia="Times New Roman" w:hAnsi="Arial" w:cs="Arial"/>
          <w:i/>
          <w:iCs/>
          <w:kern w:val="0"/>
          <w:sz w:val="20"/>
          <w:szCs w:val="20"/>
        </w:rPr>
        <w:t>Borno Medical Journal</w:t>
      </w:r>
      <w:r w:rsidRPr="000A4C5D">
        <w:rPr>
          <w:rFonts w:ascii="Arial" w:eastAsia="Times New Roman" w:hAnsi="Arial" w:cs="Arial"/>
          <w:kern w:val="0"/>
          <w:sz w:val="20"/>
          <w:szCs w:val="20"/>
        </w:rPr>
        <w:t xml:space="preserve">, 18(1). Retrieved from </w:t>
      </w:r>
      <w:hyperlink r:id="rId20" w:tgtFrame="_new" w:history="1">
        <w:r w:rsidRPr="000A4C5D">
          <w:rPr>
            <w:rFonts w:ascii="Arial" w:eastAsia="Times New Roman" w:hAnsi="Arial" w:cs="Arial"/>
            <w:kern w:val="0"/>
            <w:sz w:val="20"/>
            <w:szCs w:val="20"/>
          </w:rPr>
          <w:t>https://www.ajol.info/index.php/bomj/article/view/257582</w:t>
        </w:r>
      </w:hyperlink>
    </w:p>
    <w:p w14:paraId="16CA257C" w14:textId="77777777" w:rsidR="00DE41C1" w:rsidRPr="000A4C5D" w:rsidRDefault="00DE41C1" w:rsidP="00DA4D6C">
      <w:pPr>
        <w:ind w:left="567" w:hanging="567"/>
        <w:rPr>
          <w:rFonts w:ascii="Arial" w:hAnsi="Arial" w:cs="Arial"/>
          <w:sz w:val="20"/>
          <w:szCs w:val="20"/>
        </w:rPr>
      </w:pPr>
      <w:proofErr w:type="spellStart"/>
      <w:r w:rsidRPr="000A4C5D">
        <w:rPr>
          <w:rFonts w:ascii="Arial" w:hAnsi="Arial" w:cs="Arial"/>
          <w:sz w:val="20"/>
          <w:szCs w:val="20"/>
        </w:rPr>
        <w:t>Lebacq</w:t>
      </w:r>
      <w:proofErr w:type="spellEnd"/>
      <w:r w:rsidRPr="000A4C5D">
        <w:rPr>
          <w:rFonts w:ascii="Arial" w:hAnsi="Arial" w:cs="Arial"/>
          <w:sz w:val="20"/>
          <w:szCs w:val="20"/>
        </w:rPr>
        <w:t xml:space="preserve">, T., </w:t>
      </w:r>
      <w:proofErr w:type="spellStart"/>
      <w:r w:rsidRPr="000A4C5D">
        <w:rPr>
          <w:rFonts w:ascii="Arial" w:hAnsi="Arial" w:cs="Arial"/>
          <w:sz w:val="20"/>
          <w:szCs w:val="20"/>
        </w:rPr>
        <w:t>Desnouck</w:t>
      </w:r>
      <w:proofErr w:type="spellEnd"/>
      <w:r w:rsidRPr="000A4C5D">
        <w:rPr>
          <w:rFonts w:ascii="Arial" w:hAnsi="Arial" w:cs="Arial"/>
          <w:sz w:val="20"/>
          <w:szCs w:val="20"/>
        </w:rPr>
        <w:t xml:space="preserve">, V., Dujeu, M., Holmberg, E., Pedroni, C., &amp; </w:t>
      </w:r>
      <w:proofErr w:type="spellStart"/>
      <w:r w:rsidRPr="000A4C5D">
        <w:rPr>
          <w:rFonts w:ascii="Arial" w:hAnsi="Arial" w:cs="Arial"/>
          <w:sz w:val="20"/>
          <w:szCs w:val="20"/>
        </w:rPr>
        <w:t>Castetbon</w:t>
      </w:r>
      <w:proofErr w:type="spellEnd"/>
      <w:r w:rsidRPr="000A4C5D">
        <w:rPr>
          <w:rFonts w:ascii="Arial" w:hAnsi="Arial" w:cs="Arial"/>
          <w:sz w:val="20"/>
          <w:szCs w:val="20"/>
        </w:rPr>
        <w:t xml:space="preserve">, K. (2020). Determinants of energy drink consumption in adolescents: identification of sex-specific patterns. Public health, 185, 182–188. </w:t>
      </w:r>
      <w:hyperlink r:id="rId21" w:history="1">
        <w:r w:rsidRPr="000A4C5D">
          <w:rPr>
            <w:rStyle w:val="Hyperlink"/>
            <w:rFonts w:ascii="Arial" w:hAnsi="Arial" w:cs="Arial"/>
            <w:sz w:val="20"/>
            <w:szCs w:val="20"/>
          </w:rPr>
          <w:t>https://doi.org/10.1016/j.puhe.2020.05.040</w:t>
        </w:r>
      </w:hyperlink>
      <w:r w:rsidRPr="000A4C5D">
        <w:rPr>
          <w:rFonts w:ascii="Arial" w:hAnsi="Arial" w:cs="Arial"/>
          <w:sz w:val="20"/>
          <w:szCs w:val="20"/>
        </w:rPr>
        <w:t xml:space="preserve"> </w:t>
      </w:r>
    </w:p>
    <w:p w14:paraId="640CBE8A"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Marmorstein N. R. (2017). Interactions Between Energy Drink Consumption and Sleep Problems: Associations with Alcohol Use Among Young Adolescents. Journal of caffeine research, 7(3), 111–116. https://doi.org/10.1089/jcr.2017.0007</w:t>
      </w:r>
    </w:p>
    <w:p w14:paraId="57F6B2B0"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Mattioli, A. V., Manenti, A., &amp; </w:t>
      </w:r>
      <w:proofErr w:type="spellStart"/>
      <w:r w:rsidRPr="000A4C5D">
        <w:rPr>
          <w:rFonts w:ascii="Arial" w:hAnsi="Arial" w:cs="Arial"/>
          <w:sz w:val="20"/>
          <w:szCs w:val="20"/>
        </w:rPr>
        <w:t>Farinetti</w:t>
      </w:r>
      <w:proofErr w:type="spellEnd"/>
      <w:r w:rsidRPr="000A4C5D">
        <w:rPr>
          <w:rFonts w:ascii="Arial" w:hAnsi="Arial" w:cs="Arial"/>
          <w:sz w:val="20"/>
          <w:szCs w:val="20"/>
        </w:rPr>
        <w:t xml:space="preserve">, A. (2022). Energy drink consumption in young subjects: a growing problem. The Pan African medical journal, 43, 107. </w:t>
      </w:r>
      <w:hyperlink r:id="rId22" w:history="1">
        <w:r w:rsidRPr="000A4C5D">
          <w:rPr>
            <w:rStyle w:val="Hyperlink"/>
            <w:rFonts w:ascii="Arial" w:hAnsi="Arial" w:cs="Arial"/>
            <w:sz w:val="20"/>
            <w:szCs w:val="20"/>
          </w:rPr>
          <w:t>https://doi.org/10.11604/pamj.2022.43.107.36067</w:t>
        </w:r>
      </w:hyperlink>
      <w:r w:rsidRPr="000A4C5D">
        <w:rPr>
          <w:rFonts w:ascii="Arial" w:hAnsi="Arial" w:cs="Arial"/>
          <w:sz w:val="20"/>
          <w:szCs w:val="20"/>
        </w:rPr>
        <w:t xml:space="preserve"> </w:t>
      </w:r>
    </w:p>
    <w:p w14:paraId="2E31DBC3" w14:textId="77777777" w:rsidR="00DE41C1" w:rsidRPr="00D02F7C"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D02F7C">
        <w:rPr>
          <w:rFonts w:ascii="Arial" w:hAnsi="Arial" w:cs="Arial"/>
          <w:sz w:val="20"/>
          <w:szCs w:val="20"/>
        </w:rPr>
        <w:t>National Bureau of Statistics. (2023). Annual abstract of statistics, 2023. Federal Republic of Nigeria. </w:t>
      </w:r>
      <w:hyperlink r:id="rId23" w:tgtFrame="_blank" w:history="1">
        <w:r w:rsidRPr="00D02F7C">
          <w:rPr>
            <w:rStyle w:val="Hyperlink"/>
            <w:rFonts w:ascii="Arial" w:hAnsi="Arial" w:cs="Arial"/>
            <w:sz w:val="20"/>
            <w:szCs w:val="20"/>
          </w:rPr>
          <w:t>https://nigerianstat.gov.ng/elibrary</w:t>
        </w:r>
      </w:hyperlink>
    </w:p>
    <w:p w14:paraId="49C888CD" w14:textId="77777777" w:rsidR="00DE41C1" w:rsidRPr="000A4C5D"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0A4C5D">
        <w:rPr>
          <w:rFonts w:ascii="Arial" w:hAnsi="Arial" w:cs="Arial"/>
          <w:sz w:val="20"/>
          <w:szCs w:val="20"/>
        </w:rPr>
        <w:t>National Universities Commission. (2023). List of approved universities in Nigeria. </w:t>
      </w:r>
      <w:hyperlink r:id="rId24" w:tgtFrame="_blank" w:history="1">
        <w:r w:rsidRPr="000A4C5D">
          <w:rPr>
            <w:rStyle w:val="Hyperlink"/>
            <w:rFonts w:ascii="Arial" w:hAnsi="Arial" w:cs="Arial"/>
            <w:sz w:val="20"/>
            <w:szCs w:val="20"/>
          </w:rPr>
          <w:t>https://www.nuc.edu.ng</w:t>
        </w:r>
      </w:hyperlink>
    </w:p>
    <w:p w14:paraId="2D350CD2" w14:textId="77777777" w:rsidR="00DE41C1" w:rsidRPr="000A4C5D" w:rsidRDefault="00DE41C1" w:rsidP="001B665A">
      <w:pPr>
        <w:ind w:left="720" w:hanging="720"/>
        <w:rPr>
          <w:rFonts w:ascii="Arial" w:hAnsi="Arial" w:cs="Arial"/>
          <w:kern w:val="0"/>
          <w:sz w:val="20"/>
          <w:szCs w:val="20"/>
        </w:rPr>
      </w:pPr>
      <w:r w:rsidRPr="000A4C5D">
        <w:rPr>
          <w:rFonts w:ascii="Arial" w:hAnsi="Arial" w:cs="Arial"/>
          <w:kern w:val="0"/>
          <w:sz w:val="20"/>
          <w:szCs w:val="20"/>
        </w:rPr>
        <w:lastRenderedPageBreak/>
        <w:t>Obinna, V., Owei, O., &amp;</w:t>
      </w:r>
      <w:proofErr w:type="spellStart"/>
      <w:r w:rsidRPr="000A4C5D">
        <w:rPr>
          <w:rFonts w:ascii="Arial" w:hAnsi="Arial" w:cs="Arial"/>
          <w:kern w:val="0"/>
          <w:sz w:val="20"/>
          <w:szCs w:val="20"/>
        </w:rPr>
        <w:t>Okwakpa</w:t>
      </w:r>
      <w:proofErr w:type="spellEnd"/>
      <w:r w:rsidRPr="000A4C5D">
        <w:rPr>
          <w:rFonts w:ascii="Arial" w:hAnsi="Arial" w:cs="Arial"/>
          <w:kern w:val="0"/>
          <w:sz w:val="20"/>
          <w:szCs w:val="20"/>
        </w:rPr>
        <w:t xml:space="preserve">, I. (2010). Impacts of urbanization on the indigenous enclaves of Port Harcourt and concomitant policy measures. </w:t>
      </w:r>
      <w:r w:rsidRPr="000A4C5D">
        <w:rPr>
          <w:rFonts w:ascii="Arial" w:hAnsi="Arial" w:cs="Arial"/>
          <w:i/>
          <w:iCs/>
          <w:kern w:val="0"/>
          <w:sz w:val="20"/>
          <w:szCs w:val="20"/>
        </w:rPr>
        <w:t>The Social Sciences, 5</w:t>
      </w:r>
      <w:r w:rsidRPr="000A4C5D">
        <w:rPr>
          <w:rFonts w:ascii="Arial" w:hAnsi="Arial" w:cs="Arial"/>
          <w:kern w:val="0"/>
          <w:sz w:val="20"/>
          <w:szCs w:val="20"/>
        </w:rPr>
        <w:t>(3), 172–186.</w:t>
      </w:r>
      <w:r>
        <w:rPr>
          <w:rFonts w:ascii="Arial" w:hAnsi="Arial" w:cs="Arial"/>
          <w:kern w:val="0"/>
          <w:sz w:val="20"/>
          <w:szCs w:val="20"/>
        </w:rPr>
        <w:t xml:space="preserve"> </w:t>
      </w:r>
      <w:hyperlink r:id="rId25" w:history="1">
        <w:r w:rsidRPr="00F94E69">
          <w:rPr>
            <w:rStyle w:val="Hyperlink"/>
            <w:rFonts w:ascii="Arial" w:hAnsi="Arial" w:cs="Arial"/>
            <w:kern w:val="0"/>
            <w:sz w:val="20"/>
            <w:szCs w:val="20"/>
          </w:rPr>
          <w:t>https://doi.org/10.3923/sscience.2010.172.186</w:t>
        </w:r>
      </w:hyperlink>
      <w:r>
        <w:rPr>
          <w:rFonts w:ascii="Arial" w:hAnsi="Arial" w:cs="Arial"/>
          <w:sz w:val="20"/>
          <w:szCs w:val="20"/>
        </w:rPr>
        <w:t xml:space="preserve"> </w:t>
      </w:r>
    </w:p>
    <w:p w14:paraId="6739A0CA"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Park, S., Onufrak, S., Blanck, H. M., &amp; Sherry, B. (2013). Characteristics associated with consumption of sports and energy drinks among US adults: National Health Interview Survey, 2010. Journal of the Academy of Nutrition and Dietetics, 113(1), 112–119. </w:t>
      </w:r>
      <w:hyperlink r:id="rId26" w:history="1">
        <w:r w:rsidRPr="000A4C5D">
          <w:rPr>
            <w:rStyle w:val="Hyperlink"/>
            <w:rFonts w:ascii="Arial" w:hAnsi="Arial" w:cs="Arial"/>
            <w:sz w:val="20"/>
            <w:szCs w:val="20"/>
          </w:rPr>
          <w:t>https://doi.org/10.1016/j.jand.2012.09.019</w:t>
        </w:r>
      </w:hyperlink>
      <w:r w:rsidRPr="000A4C5D">
        <w:rPr>
          <w:rFonts w:ascii="Arial" w:hAnsi="Arial" w:cs="Arial"/>
          <w:sz w:val="20"/>
          <w:szCs w:val="20"/>
        </w:rPr>
        <w:t xml:space="preserve"> </w:t>
      </w:r>
    </w:p>
    <w:p w14:paraId="28DA50AF" w14:textId="77777777" w:rsidR="00DE41C1" w:rsidRPr="000A4C5D"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0A4C5D">
        <w:rPr>
          <w:rFonts w:ascii="Arial" w:hAnsi="Arial" w:cs="Arial"/>
          <w:kern w:val="0"/>
          <w:sz w:val="20"/>
          <w:szCs w:val="20"/>
        </w:rPr>
        <w:t xml:space="preserve">Rivers State University (2023). Home. </w:t>
      </w:r>
      <w:hyperlink r:id="rId27" w:history="1">
        <w:r w:rsidRPr="000A4C5D">
          <w:rPr>
            <w:rStyle w:val="Hyperlink"/>
            <w:rFonts w:ascii="Arial" w:hAnsi="Arial" w:cs="Arial"/>
            <w:kern w:val="0"/>
            <w:sz w:val="20"/>
            <w:szCs w:val="20"/>
          </w:rPr>
          <w:t>https://www.rsu.edu.ng/</w:t>
        </w:r>
      </w:hyperlink>
    </w:p>
    <w:p w14:paraId="5A56013F"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 xml:space="preserve">Statista. (2025). Energy drinks in Nigeria [Market outlook]. Retrieved September 16, 2025, from </w:t>
      </w:r>
      <w:hyperlink r:id="rId28" w:history="1">
        <w:r w:rsidRPr="000A4C5D">
          <w:rPr>
            <w:rStyle w:val="Hyperlink"/>
            <w:rFonts w:ascii="Arial" w:hAnsi="Arial" w:cs="Arial"/>
            <w:sz w:val="20"/>
            <w:szCs w:val="20"/>
          </w:rPr>
          <w:t>https://www.statista.com/outlook/cmo/non-alcoholic-drinks/energy-sports-drinks/energy-drinks/nigeria</w:t>
        </w:r>
      </w:hyperlink>
    </w:p>
    <w:p w14:paraId="307AA627"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Trapp, G. S., Hurworth, M., Jacoby, P., Maddison, K., Allen, K., Martin, K., Christian, H., Ambrosini, G. L., Oddy, W., &amp; Eastwood, P. R. (2021). Energy drink intake is associated with insomnia and decreased daytime functioning in young adult females. Public health nutrition, 24(6), 1328–1337. </w:t>
      </w:r>
      <w:hyperlink r:id="rId29" w:history="1">
        <w:r w:rsidRPr="000A4C5D">
          <w:rPr>
            <w:rStyle w:val="Hyperlink"/>
            <w:rFonts w:ascii="Arial" w:hAnsi="Arial" w:cs="Arial"/>
            <w:sz w:val="20"/>
            <w:szCs w:val="20"/>
          </w:rPr>
          <w:t>https://doi.org/10.1017/S1368980020001652</w:t>
        </w:r>
      </w:hyperlink>
      <w:r w:rsidRPr="000A4C5D">
        <w:rPr>
          <w:rFonts w:ascii="Arial" w:hAnsi="Arial" w:cs="Arial"/>
          <w:sz w:val="20"/>
          <w:szCs w:val="20"/>
        </w:rPr>
        <w:t xml:space="preserve"> </w:t>
      </w:r>
    </w:p>
    <w:p w14:paraId="6C44FEF5" w14:textId="77777777" w:rsidR="00DE41C1" w:rsidRPr="000A4C5D"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0A4C5D">
        <w:rPr>
          <w:rFonts w:ascii="Arial" w:hAnsi="Arial" w:cs="Arial"/>
          <w:kern w:val="0"/>
          <w:sz w:val="20"/>
          <w:szCs w:val="20"/>
        </w:rPr>
        <w:t xml:space="preserve">University of Port Harcourt (2024) About Uniport. </w:t>
      </w:r>
      <w:hyperlink r:id="rId30" w:history="1">
        <w:r w:rsidRPr="000A4C5D">
          <w:rPr>
            <w:rStyle w:val="Hyperlink"/>
            <w:rFonts w:ascii="Arial" w:hAnsi="Arial" w:cs="Arial"/>
            <w:kern w:val="0"/>
            <w:sz w:val="20"/>
            <w:szCs w:val="20"/>
          </w:rPr>
          <w:t>https://www.uniport.edu.ng/about-uniport/</w:t>
        </w:r>
      </w:hyperlink>
    </w:p>
    <w:p w14:paraId="2DF5E036" w14:textId="77777777" w:rsidR="00DE41C1" w:rsidRPr="000A4C5D" w:rsidRDefault="00DE41C1" w:rsidP="00024627">
      <w:pPr>
        <w:ind w:left="567" w:hanging="567"/>
        <w:rPr>
          <w:rFonts w:ascii="Arial" w:hAnsi="Arial" w:cs="Arial"/>
          <w:sz w:val="20"/>
          <w:szCs w:val="20"/>
        </w:rPr>
      </w:pPr>
      <w:proofErr w:type="spellStart"/>
      <w:r w:rsidRPr="000A4C5D">
        <w:rPr>
          <w:rFonts w:ascii="Arial" w:hAnsi="Arial" w:cs="Arial"/>
          <w:sz w:val="20"/>
          <w:szCs w:val="20"/>
        </w:rPr>
        <w:t>Zeidán-Chuliá</w:t>
      </w:r>
      <w:proofErr w:type="spellEnd"/>
      <w:r w:rsidRPr="000A4C5D">
        <w:rPr>
          <w:rFonts w:ascii="Arial" w:hAnsi="Arial" w:cs="Arial"/>
          <w:sz w:val="20"/>
          <w:szCs w:val="20"/>
        </w:rPr>
        <w:t xml:space="preserve">, F., </w:t>
      </w:r>
      <w:proofErr w:type="spellStart"/>
      <w:r w:rsidRPr="000A4C5D">
        <w:rPr>
          <w:rFonts w:ascii="Arial" w:hAnsi="Arial" w:cs="Arial"/>
          <w:sz w:val="20"/>
          <w:szCs w:val="20"/>
        </w:rPr>
        <w:t>Gelain</w:t>
      </w:r>
      <w:proofErr w:type="spellEnd"/>
      <w:r w:rsidRPr="000A4C5D">
        <w:rPr>
          <w:rFonts w:ascii="Arial" w:hAnsi="Arial" w:cs="Arial"/>
          <w:sz w:val="20"/>
          <w:szCs w:val="20"/>
        </w:rPr>
        <w:t xml:space="preserve">, D. P., Kolling, E. A., Rybarczyk-Filho, J. L., Ambrosi, P., Terra, S. R., Pires, A. S., da Rocha, J. B., Behr, G. A., &amp; Moreira, J. C. (2013). Major components of energy drinks (caffeine, taurine, and guarana) exert cytotoxic effects on human neuronal SH-SY5Y cells by decreasing reactive oxygen species production. Oxidative medicine and cellular longevity, 2013, 791795. </w:t>
      </w:r>
      <w:hyperlink r:id="rId31" w:history="1">
        <w:r w:rsidRPr="000A4C5D">
          <w:rPr>
            <w:rStyle w:val="Hyperlink"/>
            <w:rFonts w:ascii="Arial" w:hAnsi="Arial" w:cs="Arial"/>
            <w:sz w:val="20"/>
            <w:szCs w:val="20"/>
          </w:rPr>
          <w:t>https://doi.org/10.1155/2013/791795</w:t>
        </w:r>
      </w:hyperlink>
      <w:r w:rsidRPr="000A4C5D">
        <w:rPr>
          <w:rFonts w:ascii="Arial" w:hAnsi="Arial" w:cs="Arial"/>
          <w:sz w:val="20"/>
          <w:szCs w:val="20"/>
        </w:rPr>
        <w:t xml:space="preserve"> </w:t>
      </w:r>
    </w:p>
    <w:p w14:paraId="4CA73DF9"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 xml:space="preserve">Zidan, S., Mohamed, H. S., Al-Jabri, M. M., Fayed, S. A. E. H., Farag, A. A. W., &amp; Ali, Y. M. (2025). Patterns and Factors Influencing High-Energy Beverage Consumption Among University Students. The Malaysian Journal of Nursing (MJN), 16(Supplementary 1), 47-55. </w:t>
      </w:r>
      <w:hyperlink r:id="rId32" w:history="1">
        <w:r w:rsidRPr="000A4C5D">
          <w:rPr>
            <w:rStyle w:val="Hyperlink"/>
            <w:rFonts w:ascii="Arial" w:hAnsi="Arial" w:cs="Arial"/>
            <w:sz w:val="20"/>
            <w:szCs w:val="20"/>
          </w:rPr>
          <w:t>https://doi.org/10.31674/mjn.2024.v16isupp1.005</w:t>
        </w:r>
      </w:hyperlink>
      <w:r w:rsidRPr="000A4C5D">
        <w:rPr>
          <w:rFonts w:ascii="Arial" w:hAnsi="Arial" w:cs="Arial"/>
          <w:sz w:val="20"/>
          <w:szCs w:val="20"/>
        </w:rPr>
        <w:t xml:space="preserve"> </w:t>
      </w:r>
    </w:p>
    <w:p w14:paraId="637C0613" w14:textId="77777777" w:rsidR="000A4C5D" w:rsidRPr="008C0DA0" w:rsidRDefault="000A4C5D" w:rsidP="001B665A">
      <w:pPr>
        <w:spacing w:before="100" w:beforeAutospacing="1" w:after="100" w:afterAutospacing="1"/>
        <w:ind w:left="720" w:hanging="720"/>
        <w:jc w:val="left"/>
        <w:rPr>
          <w:rFonts w:eastAsia="Times New Roman" w:cs="Times New Roman"/>
          <w:kern w:val="0"/>
        </w:rPr>
      </w:pPr>
    </w:p>
    <w:p w14:paraId="11A50B82" w14:textId="77777777" w:rsidR="001B665A" w:rsidRPr="00024627" w:rsidRDefault="001B665A" w:rsidP="00024627">
      <w:pPr>
        <w:ind w:left="567" w:hanging="567"/>
        <w:rPr>
          <w:rFonts w:ascii="Arial" w:hAnsi="Arial" w:cs="Arial"/>
          <w:sz w:val="20"/>
          <w:szCs w:val="20"/>
        </w:rPr>
      </w:pPr>
    </w:p>
    <w:p w14:paraId="68F4A714" w14:textId="77777777" w:rsidR="00DA4D6C" w:rsidRPr="008D3401" w:rsidRDefault="00DA4D6C" w:rsidP="00024627">
      <w:pPr>
        <w:ind w:left="567" w:hanging="567"/>
        <w:rPr>
          <w:rFonts w:ascii="Arial" w:hAnsi="Arial" w:cs="Arial"/>
          <w:sz w:val="20"/>
          <w:szCs w:val="20"/>
        </w:rPr>
      </w:pPr>
    </w:p>
    <w:sectPr w:rsidR="00DA4D6C" w:rsidRPr="008D3401" w:rsidSect="009142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3360D" w14:textId="77777777" w:rsidR="00213C67" w:rsidRDefault="00213C67" w:rsidP="00CF7C0E">
      <w:pPr>
        <w:spacing w:after="0" w:line="240" w:lineRule="auto"/>
      </w:pPr>
      <w:r>
        <w:separator/>
      </w:r>
    </w:p>
  </w:endnote>
  <w:endnote w:type="continuationSeparator" w:id="0">
    <w:p w14:paraId="52E63CE1" w14:textId="77777777" w:rsidR="00213C67" w:rsidRDefault="00213C67" w:rsidP="00CF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1353" w14:textId="77777777" w:rsidR="00CF7C0E" w:rsidRDefault="00CF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32BE" w14:textId="77777777" w:rsidR="00CF7C0E" w:rsidRDefault="00CF7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CF67" w14:textId="77777777" w:rsidR="00CF7C0E" w:rsidRDefault="00CF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A2B11" w14:textId="77777777" w:rsidR="00213C67" w:rsidRDefault="00213C67" w:rsidP="00CF7C0E">
      <w:pPr>
        <w:spacing w:after="0" w:line="240" w:lineRule="auto"/>
      </w:pPr>
      <w:r>
        <w:separator/>
      </w:r>
    </w:p>
  </w:footnote>
  <w:footnote w:type="continuationSeparator" w:id="0">
    <w:p w14:paraId="6DCB3516" w14:textId="77777777" w:rsidR="00213C67" w:rsidRDefault="00213C67" w:rsidP="00CF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F4BE" w14:textId="3C529E5E" w:rsidR="00CF7C0E" w:rsidRDefault="00CF7C0E">
    <w:pPr>
      <w:pStyle w:val="Header"/>
    </w:pPr>
    <w:r>
      <w:rPr>
        <w:noProof/>
      </w:rPr>
      <w:pict w14:anchorId="3555E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164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7CAE" w14:textId="20CAE29D" w:rsidR="00CF7C0E" w:rsidRDefault="00CF7C0E">
    <w:pPr>
      <w:pStyle w:val="Header"/>
    </w:pPr>
    <w:r>
      <w:rPr>
        <w:noProof/>
      </w:rPr>
      <w:pict w14:anchorId="434A9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164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C74A" w14:textId="12CBE864" w:rsidR="00CF7C0E" w:rsidRDefault="00CF7C0E">
    <w:pPr>
      <w:pStyle w:val="Header"/>
    </w:pPr>
    <w:r>
      <w:rPr>
        <w:noProof/>
      </w:rPr>
      <w:pict w14:anchorId="3BF72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164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4DA"/>
    <w:multiLevelType w:val="hybridMultilevel"/>
    <w:tmpl w:val="8FECB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A7D90"/>
    <w:multiLevelType w:val="hybridMultilevel"/>
    <w:tmpl w:val="6E761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D1540"/>
    <w:multiLevelType w:val="hybridMultilevel"/>
    <w:tmpl w:val="223E0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C43F8"/>
    <w:multiLevelType w:val="hybridMultilevel"/>
    <w:tmpl w:val="95F67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869D2"/>
    <w:multiLevelType w:val="multilevel"/>
    <w:tmpl w:val="BB40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35313"/>
    <w:multiLevelType w:val="hybridMultilevel"/>
    <w:tmpl w:val="CE0E8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96D2A"/>
    <w:multiLevelType w:val="hybridMultilevel"/>
    <w:tmpl w:val="844E4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753AB"/>
    <w:multiLevelType w:val="hybridMultilevel"/>
    <w:tmpl w:val="01428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F1507E"/>
    <w:multiLevelType w:val="multilevel"/>
    <w:tmpl w:val="8798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A1B53"/>
    <w:multiLevelType w:val="multilevel"/>
    <w:tmpl w:val="0888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05413"/>
    <w:multiLevelType w:val="multilevel"/>
    <w:tmpl w:val="48869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F7763"/>
    <w:multiLevelType w:val="hybridMultilevel"/>
    <w:tmpl w:val="E83CC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1C503B"/>
    <w:multiLevelType w:val="hybridMultilevel"/>
    <w:tmpl w:val="7D824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58771B"/>
    <w:multiLevelType w:val="hybridMultilevel"/>
    <w:tmpl w:val="22DC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66548C"/>
    <w:multiLevelType w:val="hybridMultilevel"/>
    <w:tmpl w:val="8A4CE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2"/>
  </w:num>
  <w:num w:numId="5">
    <w:abstractNumId w:val="0"/>
  </w:num>
  <w:num w:numId="6">
    <w:abstractNumId w:val="14"/>
  </w:num>
  <w:num w:numId="7">
    <w:abstractNumId w:val="2"/>
  </w:num>
  <w:num w:numId="8">
    <w:abstractNumId w:val="8"/>
  </w:num>
  <w:num w:numId="9">
    <w:abstractNumId w:val="9"/>
  </w:num>
  <w:num w:numId="10">
    <w:abstractNumId w:val="4"/>
  </w:num>
  <w:num w:numId="11">
    <w:abstractNumId w:val="6"/>
  </w:num>
  <w:num w:numId="12">
    <w:abstractNumId w:val="3"/>
  </w:num>
  <w:num w:numId="13">
    <w:abstractNumId w:val="5"/>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66"/>
    <w:rsid w:val="00024627"/>
    <w:rsid w:val="000A4C5D"/>
    <w:rsid w:val="000E48E3"/>
    <w:rsid w:val="001B665A"/>
    <w:rsid w:val="001F34A2"/>
    <w:rsid w:val="001F4E61"/>
    <w:rsid w:val="00213C67"/>
    <w:rsid w:val="002E71D9"/>
    <w:rsid w:val="002E799B"/>
    <w:rsid w:val="00305CF5"/>
    <w:rsid w:val="003340A6"/>
    <w:rsid w:val="00356CCD"/>
    <w:rsid w:val="00365FA0"/>
    <w:rsid w:val="003A294B"/>
    <w:rsid w:val="003A3ACB"/>
    <w:rsid w:val="0047445C"/>
    <w:rsid w:val="004E283F"/>
    <w:rsid w:val="00553BBC"/>
    <w:rsid w:val="00564B3A"/>
    <w:rsid w:val="00586B66"/>
    <w:rsid w:val="006C0F3E"/>
    <w:rsid w:val="0074595D"/>
    <w:rsid w:val="007E51D4"/>
    <w:rsid w:val="00844505"/>
    <w:rsid w:val="008573EA"/>
    <w:rsid w:val="008773CD"/>
    <w:rsid w:val="008965B3"/>
    <w:rsid w:val="008D3401"/>
    <w:rsid w:val="009142AC"/>
    <w:rsid w:val="009C146E"/>
    <w:rsid w:val="00A14158"/>
    <w:rsid w:val="00A83367"/>
    <w:rsid w:val="00A840E7"/>
    <w:rsid w:val="00A95DAB"/>
    <w:rsid w:val="00AA2EBB"/>
    <w:rsid w:val="00AB1070"/>
    <w:rsid w:val="00AD434A"/>
    <w:rsid w:val="00B000ED"/>
    <w:rsid w:val="00BD7E1A"/>
    <w:rsid w:val="00BE2693"/>
    <w:rsid w:val="00C30D53"/>
    <w:rsid w:val="00C444A8"/>
    <w:rsid w:val="00C524A5"/>
    <w:rsid w:val="00C52DA8"/>
    <w:rsid w:val="00C9550C"/>
    <w:rsid w:val="00CE7E34"/>
    <w:rsid w:val="00CF7C0E"/>
    <w:rsid w:val="00D02F7C"/>
    <w:rsid w:val="00DA4D6C"/>
    <w:rsid w:val="00DB5AAD"/>
    <w:rsid w:val="00DE41C1"/>
    <w:rsid w:val="00EF21D0"/>
    <w:rsid w:val="00F10D2C"/>
    <w:rsid w:val="00F957FD"/>
    <w:rsid w:val="00FA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F97D95"/>
  <w15:chartTrackingRefBased/>
  <w15:docId w15:val="{CAA59189-43D3-4CC6-937C-E798CD12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B66"/>
    <w:pPr>
      <w:spacing w:line="480" w:lineRule="auto"/>
      <w:jc w:val="both"/>
    </w:pPr>
    <w:rPr>
      <w:rFonts w:ascii="Times New Roman" w:hAnsi="Times New Roman"/>
      <w:kern w:val="2"/>
      <w:sz w:val="24"/>
      <w:szCs w:val="24"/>
      <w:lang w:val="en-GB"/>
    </w:rPr>
  </w:style>
  <w:style w:type="paragraph" w:styleId="Heading1">
    <w:name w:val="heading 1"/>
    <w:basedOn w:val="Normal"/>
    <w:next w:val="Normal"/>
    <w:link w:val="Heading1Char"/>
    <w:uiPriority w:val="9"/>
    <w:qFormat/>
    <w:rsid w:val="00586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6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B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B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B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6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B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B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B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B66"/>
    <w:rPr>
      <w:rFonts w:eastAsiaTheme="majorEastAsia" w:cstheme="majorBidi"/>
      <w:color w:val="272727" w:themeColor="text1" w:themeTint="D8"/>
    </w:rPr>
  </w:style>
  <w:style w:type="paragraph" w:styleId="Title">
    <w:name w:val="Title"/>
    <w:basedOn w:val="Normal"/>
    <w:next w:val="Normal"/>
    <w:link w:val="TitleChar"/>
    <w:uiPriority w:val="10"/>
    <w:qFormat/>
    <w:rsid w:val="00586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B66"/>
    <w:pPr>
      <w:spacing w:before="160"/>
      <w:jc w:val="center"/>
    </w:pPr>
    <w:rPr>
      <w:i/>
      <w:iCs/>
      <w:color w:val="404040" w:themeColor="text1" w:themeTint="BF"/>
    </w:rPr>
  </w:style>
  <w:style w:type="character" w:customStyle="1" w:styleId="QuoteChar">
    <w:name w:val="Quote Char"/>
    <w:basedOn w:val="DefaultParagraphFont"/>
    <w:link w:val="Quote"/>
    <w:uiPriority w:val="29"/>
    <w:rsid w:val="00586B66"/>
    <w:rPr>
      <w:i/>
      <w:iCs/>
      <w:color w:val="404040" w:themeColor="text1" w:themeTint="BF"/>
    </w:rPr>
  </w:style>
  <w:style w:type="paragraph" w:styleId="ListParagraph">
    <w:name w:val="List Paragraph"/>
    <w:basedOn w:val="Normal"/>
    <w:uiPriority w:val="34"/>
    <w:qFormat/>
    <w:rsid w:val="00586B66"/>
    <w:pPr>
      <w:ind w:left="720"/>
      <w:contextualSpacing/>
    </w:pPr>
  </w:style>
  <w:style w:type="character" w:styleId="IntenseEmphasis">
    <w:name w:val="Intense Emphasis"/>
    <w:basedOn w:val="DefaultParagraphFont"/>
    <w:uiPriority w:val="21"/>
    <w:qFormat/>
    <w:rsid w:val="00586B66"/>
    <w:rPr>
      <w:i/>
      <w:iCs/>
      <w:color w:val="2F5496" w:themeColor="accent1" w:themeShade="BF"/>
    </w:rPr>
  </w:style>
  <w:style w:type="paragraph" w:styleId="IntenseQuote">
    <w:name w:val="Intense Quote"/>
    <w:basedOn w:val="Normal"/>
    <w:next w:val="Normal"/>
    <w:link w:val="IntenseQuoteChar"/>
    <w:uiPriority w:val="30"/>
    <w:qFormat/>
    <w:rsid w:val="00586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B66"/>
    <w:rPr>
      <w:i/>
      <w:iCs/>
      <w:color w:val="2F5496" w:themeColor="accent1" w:themeShade="BF"/>
    </w:rPr>
  </w:style>
  <w:style w:type="character" w:styleId="IntenseReference">
    <w:name w:val="Intense Reference"/>
    <w:basedOn w:val="DefaultParagraphFont"/>
    <w:uiPriority w:val="32"/>
    <w:qFormat/>
    <w:rsid w:val="00586B66"/>
    <w:rPr>
      <w:b/>
      <w:bCs/>
      <w:smallCaps/>
      <w:color w:val="2F5496" w:themeColor="accent1" w:themeShade="BF"/>
      <w:spacing w:val="5"/>
    </w:rPr>
  </w:style>
  <w:style w:type="character" w:styleId="PlaceholderText">
    <w:name w:val="Placeholder Text"/>
    <w:basedOn w:val="DefaultParagraphFont"/>
    <w:uiPriority w:val="99"/>
    <w:semiHidden/>
    <w:rsid w:val="00586B66"/>
    <w:rPr>
      <w:color w:val="808080"/>
    </w:rPr>
  </w:style>
  <w:style w:type="table" w:styleId="TableGrid">
    <w:name w:val="Table Grid"/>
    <w:basedOn w:val="TableNormal"/>
    <w:uiPriority w:val="59"/>
    <w:rsid w:val="00586B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B66"/>
    <w:pPr>
      <w:spacing w:before="100" w:beforeAutospacing="1" w:after="100" w:afterAutospacing="1" w:line="240" w:lineRule="auto"/>
      <w:jc w:val="left"/>
    </w:pPr>
    <w:rPr>
      <w:rFonts w:eastAsia="Times New Roman" w:cs="Times New Roman"/>
      <w:kern w:val="0"/>
      <w:lang w:val="en-US"/>
    </w:rPr>
  </w:style>
  <w:style w:type="character" w:styleId="Hyperlink">
    <w:name w:val="Hyperlink"/>
    <w:basedOn w:val="DefaultParagraphFont"/>
    <w:uiPriority w:val="99"/>
    <w:unhideWhenUsed/>
    <w:rsid w:val="00586B66"/>
    <w:rPr>
      <w:color w:val="0563C1" w:themeColor="hyperlink"/>
      <w:u w:val="single"/>
    </w:rPr>
  </w:style>
  <w:style w:type="character" w:customStyle="1" w:styleId="UnresolvedMention1">
    <w:name w:val="Unresolved Mention1"/>
    <w:basedOn w:val="DefaultParagraphFont"/>
    <w:uiPriority w:val="99"/>
    <w:semiHidden/>
    <w:unhideWhenUsed/>
    <w:rsid w:val="00586B66"/>
    <w:rPr>
      <w:color w:val="605E5C"/>
      <w:shd w:val="clear" w:color="auto" w:fill="E1DFDD"/>
    </w:rPr>
  </w:style>
  <w:style w:type="paragraph" w:styleId="Header">
    <w:name w:val="header"/>
    <w:basedOn w:val="Normal"/>
    <w:link w:val="HeaderChar"/>
    <w:uiPriority w:val="99"/>
    <w:unhideWhenUsed/>
    <w:rsid w:val="0058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66"/>
    <w:rPr>
      <w:rFonts w:ascii="Times New Roman" w:hAnsi="Times New Roman"/>
      <w:kern w:val="2"/>
      <w:sz w:val="24"/>
      <w:szCs w:val="24"/>
      <w:lang w:val="en-GB"/>
    </w:rPr>
  </w:style>
  <w:style w:type="paragraph" w:styleId="Footer">
    <w:name w:val="footer"/>
    <w:basedOn w:val="Normal"/>
    <w:link w:val="FooterChar"/>
    <w:uiPriority w:val="99"/>
    <w:unhideWhenUsed/>
    <w:rsid w:val="00586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66"/>
    <w:rPr>
      <w:rFonts w:ascii="Times New Roman" w:hAnsi="Times New Roman"/>
      <w:kern w:val="2"/>
      <w:sz w:val="24"/>
      <w:szCs w:val="24"/>
      <w:lang w:val="en-GB"/>
    </w:rPr>
  </w:style>
  <w:style w:type="paragraph" w:styleId="TOC1">
    <w:name w:val="toc 1"/>
    <w:basedOn w:val="Normal"/>
    <w:next w:val="Normal"/>
    <w:autoRedefine/>
    <w:uiPriority w:val="39"/>
    <w:unhideWhenUsed/>
    <w:rsid w:val="00586B66"/>
    <w:pPr>
      <w:spacing w:after="100"/>
    </w:pPr>
  </w:style>
  <w:style w:type="paragraph" w:styleId="TOC2">
    <w:name w:val="toc 2"/>
    <w:basedOn w:val="Normal"/>
    <w:next w:val="Normal"/>
    <w:autoRedefine/>
    <w:uiPriority w:val="39"/>
    <w:unhideWhenUsed/>
    <w:rsid w:val="00586B66"/>
    <w:pPr>
      <w:spacing w:after="100"/>
      <w:ind w:left="240"/>
    </w:pPr>
  </w:style>
  <w:style w:type="paragraph" w:styleId="BalloonText">
    <w:name w:val="Balloon Text"/>
    <w:basedOn w:val="Normal"/>
    <w:link w:val="BalloonTextChar"/>
    <w:uiPriority w:val="99"/>
    <w:semiHidden/>
    <w:unhideWhenUsed/>
    <w:rsid w:val="0058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B66"/>
    <w:rPr>
      <w:rFonts w:ascii="Tahoma" w:hAnsi="Tahoma" w:cs="Tahoma"/>
      <w:kern w:val="2"/>
      <w:sz w:val="16"/>
      <w:szCs w:val="16"/>
      <w:lang w:val="en-GB"/>
    </w:rPr>
  </w:style>
  <w:style w:type="paragraph" w:styleId="DocumentMap">
    <w:name w:val="Document Map"/>
    <w:basedOn w:val="Normal"/>
    <w:link w:val="DocumentMapChar"/>
    <w:uiPriority w:val="99"/>
    <w:semiHidden/>
    <w:unhideWhenUsed/>
    <w:rsid w:val="00586B6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6B66"/>
    <w:rPr>
      <w:rFonts w:ascii="Tahoma" w:hAnsi="Tahoma" w:cs="Tahoma"/>
      <w:kern w:val="2"/>
      <w:sz w:val="16"/>
      <w:szCs w:val="16"/>
      <w:lang w:val="en-GB"/>
    </w:rPr>
  </w:style>
  <w:style w:type="character" w:customStyle="1" w:styleId="NoSpacingChar">
    <w:name w:val="No Spacing Char"/>
    <w:basedOn w:val="DefaultParagraphFont"/>
    <w:link w:val="NoSpacing"/>
    <w:uiPriority w:val="1"/>
    <w:locked/>
    <w:rsid w:val="00586B66"/>
    <w:rPr>
      <w:rFonts w:ascii="Times New Roman" w:eastAsiaTheme="minorEastAsia" w:hAnsi="Times New Roman" w:cs="Times New Roman"/>
    </w:rPr>
  </w:style>
  <w:style w:type="paragraph" w:styleId="NoSpacing">
    <w:name w:val="No Spacing"/>
    <w:link w:val="NoSpacingChar"/>
    <w:uiPriority w:val="1"/>
    <w:qFormat/>
    <w:rsid w:val="00586B66"/>
    <w:pPr>
      <w:spacing w:after="0" w:line="240" w:lineRule="auto"/>
    </w:pPr>
    <w:rPr>
      <w:rFonts w:ascii="Times New Roman" w:eastAsiaTheme="minorEastAsia" w:hAnsi="Times New Roman" w:cs="Times New Roman"/>
    </w:rPr>
  </w:style>
  <w:style w:type="character" w:styleId="Strong">
    <w:name w:val="Strong"/>
    <w:basedOn w:val="DefaultParagraphFont"/>
    <w:uiPriority w:val="22"/>
    <w:qFormat/>
    <w:rsid w:val="00586B66"/>
    <w:rPr>
      <w:b/>
      <w:bCs/>
    </w:rPr>
  </w:style>
  <w:style w:type="paragraph" w:styleId="Caption">
    <w:name w:val="caption"/>
    <w:basedOn w:val="Normal"/>
    <w:next w:val="Normal"/>
    <w:uiPriority w:val="35"/>
    <w:unhideWhenUsed/>
    <w:qFormat/>
    <w:rsid w:val="00586B66"/>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DA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uhe.2023.08.024" TargetMode="External"/><Relationship Id="rId18" Type="http://schemas.openxmlformats.org/officeDocument/2006/relationships/hyperlink" Target="https://health.usnews.com/wellness/fitness/energy-drinks" TargetMode="External"/><Relationship Id="rId26" Type="http://schemas.openxmlformats.org/officeDocument/2006/relationships/hyperlink" Target="https://doi.org/10.1016/j.jand.2012.09.019" TargetMode="External"/><Relationship Id="rId3" Type="http://schemas.openxmlformats.org/officeDocument/2006/relationships/settings" Target="settings.xml"/><Relationship Id="rId21" Type="http://schemas.openxmlformats.org/officeDocument/2006/relationships/hyperlink" Target="https://doi.org/10.1016/j.puhe.2020.05.040"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ol.com/finance/energy-drinks-come-health-risks-211711752.html" TargetMode="External"/><Relationship Id="rId25" Type="http://schemas.openxmlformats.org/officeDocument/2006/relationships/hyperlink" Target="https://doi.org/10.3923/sscience.2010.172.18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nu15183922" TargetMode="External"/><Relationship Id="rId20" Type="http://schemas.openxmlformats.org/officeDocument/2006/relationships/hyperlink" Target="https://www.ajol.info/index.php/bomj/article/view/257582" TargetMode="External"/><Relationship Id="rId29" Type="http://schemas.openxmlformats.org/officeDocument/2006/relationships/hyperlink" Target="https://doi.org/10.1017/S13689800200016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nuc.edu.ng/" TargetMode="External"/><Relationship Id="rId32" Type="http://schemas.openxmlformats.org/officeDocument/2006/relationships/hyperlink" Target="https://doi.org/10.31674/mjn.2024.v16isupp1.005" TargetMode="External"/><Relationship Id="rId5" Type="http://schemas.openxmlformats.org/officeDocument/2006/relationships/footnotes" Target="footnotes.xml"/><Relationship Id="rId15" Type="http://schemas.openxmlformats.org/officeDocument/2006/relationships/hyperlink" Target="https://doi.org/10.1186/s42269-022-00829-6" TargetMode="External"/><Relationship Id="rId23" Type="http://schemas.openxmlformats.org/officeDocument/2006/relationships/hyperlink" Target="https://nigerianstat.gov.ng/elibrary" TargetMode="External"/><Relationship Id="rId28" Type="http://schemas.openxmlformats.org/officeDocument/2006/relationships/hyperlink" Target="https://www.statista.com/outlook/cmo/non-alcoholic-drinks/energy-sports-drinks/energy-drinks/nigeria" TargetMode="External"/><Relationship Id="rId10" Type="http://schemas.openxmlformats.org/officeDocument/2006/relationships/footer" Target="footer2.xml"/><Relationship Id="rId19" Type="http://schemas.openxmlformats.org/officeDocument/2006/relationships/hyperlink" Target="https://doi.org/10.4103/npmj.npmj_553_21" TargetMode="External"/><Relationship Id="rId31" Type="http://schemas.openxmlformats.org/officeDocument/2006/relationships/hyperlink" Target="https://doi.org/10.1155/2013/79179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103/jfcm.JFCM_42_18" TargetMode="External"/><Relationship Id="rId22" Type="http://schemas.openxmlformats.org/officeDocument/2006/relationships/hyperlink" Target="https://doi.org/10.11604/pamj.2022.43.107.36067" TargetMode="External"/><Relationship Id="rId27" Type="http://schemas.openxmlformats.org/officeDocument/2006/relationships/hyperlink" Target="https://www.rsu.edu.ng/" TargetMode="External"/><Relationship Id="rId30" Type="http://schemas.openxmlformats.org/officeDocument/2006/relationships/hyperlink" Target="https://www.uniport.edu.ng/about-uniport/"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24</Pages>
  <Words>6881</Words>
  <Characters>39224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24</cp:revision>
  <dcterms:created xsi:type="dcterms:W3CDTF">2025-09-15T09:55:00Z</dcterms:created>
  <dcterms:modified xsi:type="dcterms:W3CDTF">2025-09-23T08:15:00Z</dcterms:modified>
</cp:coreProperties>
</file>