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75866D" w14:textId="77777777" w:rsidR="00800BF8" w:rsidRDefault="00800BF8" w:rsidP="00800BF8">
      <w:pPr>
        <w:spacing w:line="276" w:lineRule="auto"/>
        <w:jc w:val="center"/>
        <w:rPr>
          <w:rFonts w:ascii="Times New Roman" w:hAnsi="Times New Roman" w:cs="Times New Roman"/>
          <w:b/>
          <w:bCs/>
          <w:sz w:val="24"/>
          <w:szCs w:val="24"/>
        </w:rPr>
      </w:pPr>
      <w:r w:rsidRPr="00C161E9">
        <w:rPr>
          <w:rFonts w:ascii="Times New Roman" w:hAnsi="Times New Roman" w:cs="Times New Roman"/>
          <w:b/>
          <w:bCs/>
          <w:sz w:val="24"/>
          <w:szCs w:val="24"/>
        </w:rPr>
        <w:t xml:space="preserve">LAND USE AND LAND COVER </w:t>
      </w:r>
      <w:r>
        <w:rPr>
          <w:rFonts w:ascii="Times New Roman" w:hAnsi="Times New Roman" w:cs="Times New Roman"/>
          <w:b/>
          <w:bCs/>
          <w:sz w:val="24"/>
          <w:szCs w:val="24"/>
        </w:rPr>
        <w:t>PATTERN OF THREE FOREST RESERVES</w:t>
      </w:r>
      <w:r w:rsidRPr="00C161E9">
        <w:rPr>
          <w:rFonts w:ascii="Times New Roman" w:hAnsi="Times New Roman" w:cs="Times New Roman"/>
          <w:b/>
          <w:bCs/>
          <w:sz w:val="24"/>
          <w:szCs w:val="24"/>
        </w:rPr>
        <w:t xml:space="preserve"> IN ONDO STATE</w:t>
      </w:r>
      <w:r>
        <w:rPr>
          <w:rFonts w:ascii="Times New Roman" w:hAnsi="Times New Roman" w:cs="Times New Roman"/>
          <w:b/>
          <w:bCs/>
          <w:sz w:val="24"/>
          <w:szCs w:val="24"/>
        </w:rPr>
        <w:t>, NIGERIA</w:t>
      </w:r>
    </w:p>
    <w:p w14:paraId="49B2D0A0" w14:textId="77777777" w:rsidR="00800BF8" w:rsidRDefault="00800BF8" w:rsidP="00800BF8">
      <w:pPr>
        <w:spacing w:line="276" w:lineRule="auto"/>
        <w:jc w:val="center"/>
        <w:rPr>
          <w:rFonts w:ascii="Times New Roman" w:hAnsi="Times New Roman" w:cs="Times New Roman"/>
          <w:b/>
          <w:bCs/>
          <w:sz w:val="24"/>
          <w:szCs w:val="24"/>
        </w:rPr>
      </w:pPr>
    </w:p>
    <w:p w14:paraId="3B090ADB" w14:textId="77777777" w:rsidR="00800BF8" w:rsidRDefault="00800BF8" w:rsidP="00800BF8">
      <w:pPr>
        <w:spacing w:line="276" w:lineRule="auto"/>
        <w:rPr>
          <w:rFonts w:ascii="Times New Roman" w:hAnsi="Times New Roman" w:cs="Times New Roman"/>
          <w:b/>
          <w:bCs/>
          <w:sz w:val="24"/>
          <w:szCs w:val="24"/>
        </w:rPr>
      </w:pPr>
    </w:p>
    <w:p w14:paraId="64F23857" w14:textId="77777777" w:rsidR="00800BF8" w:rsidRDefault="00800BF8" w:rsidP="00800BF8">
      <w:pPr>
        <w:spacing w:line="276" w:lineRule="auto"/>
        <w:rPr>
          <w:rFonts w:ascii="Times New Roman" w:hAnsi="Times New Roman" w:cs="Times New Roman"/>
          <w:b/>
          <w:bCs/>
          <w:sz w:val="24"/>
          <w:szCs w:val="24"/>
        </w:rPr>
      </w:pPr>
      <w:r>
        <w:rPr>
          <w:rFonts w:ascii="Times New Roman" w:hAnsi="Times New Roman" w:cs="Times New Roman"/>
          <w:b/>
          <w:bCs/>
          <w:sz w:val="24"/>
          <w:szCs w:val="24"/>
        </w:rPr>
        <w:t>Abstract</w:t>
      </w:r>
    </w:p>
    <w:p w14:paraId="3B685811" w14:textId="77777777" w:rsidR="00800BF8" w:rsidRPr="00D116B2" w:rsidRDefault="00800BF8" w:rsidP="00800BF8">
      <w:pPr>
        <w:spacing w:line="240" w:lineRule="auto"/>
        <w:jc w:val="both"/>
        <w:rPr>
          <w:rFonts w:ascii="Times New Roman" w:hAnsi="Times New Roman" w:cs="Times New Roman"/>
          <w:i/>
          <w:iCs/>
          <w:sz w:val="24"/>
          <w:szCs w:val="24"/>
        </w:rPr>
      </w:pPr>
      <w:r w:rsidRPr="0076314C">
        <w:rPr>
          <w:rFonts w:ascii="Times New Roman" w:hAnsi="Times New Roman" w:cs="Times New Roman"/>
          <w:i/>
          <w:iCs/>
          <w:sz w:val="24"/>
          <w:szCs w:val="24"/>
        </w:rPr>
        <w:t>Land use land cover change is a pressing environmental issue affecting forest-dependent communities' livelihoods and the long-term viability of forest ecosystems</w:t>
      </w:r>
      <w:r w:rsidRPr="00D116B2">
        <w:rPr>
          <w:rFonts w:ascii="Times New Roman" w:hAnsi="Times New Roman" w:cs="Times New Roman"/>
          <w:i/>
          <w:iCs/>
          <w:sz w:val="24"/>
          <w:szCs w:val="24"/>
        </w:rPr>
        <w:t xml:space="preserve">. </w:t>
      </w:r>
      <w:r w:rsidRPr="0076314C">
        <w:rPr>
          <w:rFonts w:ascii="Times New Roman" w:hAnsi="Times New Roman" w:cs="Times New Roman"/>
          <w:i/>
          <w:iCs/>
          <w:sz w:val="24"/>
          <w:szCs w:val="24"/>
        </w:rPr>
        <w:t xml:space="preserve">The study utilized satellite imagery to identify the primary drivers of land use and land cover (LULC) changes and classify LULC types within the study area, focusing on the rate and trends of change in Ondo State Forest Reserves between 1984 and 2024. The research methodology incorporated the use of </w:t>
      </w:r>
      <w:r>
        <w:rPr>
          <w:rFonts w:ascii="Times New Roman" w:hAnsi="Times New Roman" w:cs="Times New Roman"/>
          <w:i/>
          <w:iCs/>
          <w:sz w:val="24"/>
          <w:szCs w:val="24"/>
        </w:rPr>
        <w:t xml:space="preserve">a </w:t>
      </w:r>
      <w:r w:rsidRPr="0076314C">
        <w:rPr>
          <w:rFonts w:ascii="Times New Roman" w:hAnsi="Times New Roman" w:cs="Times New Roman"/>
          <w:i/>
          <w:iCs/>
          <w:sz w:val="24"/>
          <w:szCs w:val="24"/>
        </w:rPr>
        <w:t xml:space="preserve">Geographic Positioning </w:t>
      </w:r>
      <w:r>
        <w:rPr>
          <w:rFonts w:ascii="Times New Roman" w:hAnsi="Times New Roman" w:cs="Times New Roman"/>
          <w:i/>
          <w:iCs/>
          <w:sz w:val="24"/>
          <w:szCs w:val="24"/>
        </w:rPr>
        <w:t>System</w:t>
      </w:r>
      <w:r w:rsidRPr="0076314C">
        <w:rPr>
          <w:rFonts w:ascii="Times New Roman" w:hAnsi="Times New Roman" w:cs="Times New Roman"/>
          <w:i/>
          <w:iCs/>
          <w:sz w:val="24"/>
          <w:szCs w:val="24"/>
        </w:rPr>
        <w:t xml:space="preserve"> (GPS) and the processing of field data through Geographic Information Systems (GIS) and remote sensing tools, specifically the Integrated Land and Water Information System (ILWIS). These tools enabled the identification of various LULC classes across the three forest reserves in Ondo State. The findings revealed that agricultural expansion was the most significant driver of LULC changes, accounting for the highest percentage (32.7%) of observed changes. Additionally, the Landsat classification results indicated that by 2024, sparse vegetation constituted the dominant LULC class, covering 68.2% of the forest reserves.</w:t>
      </w:r>
      <w:r>
        <w:rPr>
          <w:rFonts w:ascii="Times New Roman" w:hAnsi="Times New Roman" w:cs="Times New Roman"/>
          <w:i/>
          <w:iCs/>
          <w:sz w:val="24"/>
          <w:szCs w:val="24"/>
        </w:rPr>
        <w:t xml:space="preserve"> </w:t>
      </w:r>
      <w:r w:rsidRPr="0076314C">
        <w:rPr>
          <w:rFonts w:ascii="Times New Roman" w:hAnsi="Times New Roman" w:cs="Times New Roman"/>
          <w:i/>
          <w:iCs/>
          <w:sz w:val="24"/>
          <w:szCs w:val="24"/>
        </w:rPr>
        <w:t xml:space="preserve">The study </w:t>
      </w:r>
      <w:r>
        <w:rPr>
          <w:rFonts w:ascii="Times New Roman" w:hAnsi="Times New Roman" w:cs="Times New Roman"/>
          <w:i/>
          <w:iCs/>
          <w:sz w:val="24"/>
          <w:szCs w:val="24"/>
        </w:rPr>
        <w:t>recommends</w:t>
      </w:r>
      <w:r w:rsidRPr="0076314C">
        <w:rPr>
          <w:rFonts w:ascii="Times New Roman" w:hAnsi="Times New Roman" w:cs="Times New Roman"/>
          <w:i/>
          <w:iCs/>
          <w:sz w:val="24"/>
          <w:szCs w:val="24"/>
        </w:rPr>
        <w:t xml:space="preserve"> that the Department of Forestry and the Ministry of Physical Planning and Urban Development in Ondo State should implement policies promoting local participation in forestry management and conservation.</w:t>
      </w:r>
    </w:p>
    <w:p w14:paraId="2D0764AF" w14:textId="77777777" w:rsidR="00800BF8" w:rsidRDefault="00800BF8" w:rsidP="00800BF8">
      <w:pPr>
        <w:spacing w:line="276" w:lineRule="auto"/>
        <w:rPr>
          <w:rFonts w:ascii="Times New Roman" w:hAnsi="Times New Roman" w:cs="Times New Roman"/>
          <w:b/>
          <w:bCs/>
          <w:sz w:val="24"/>
          <w:szCs w:val="24"/>
        </w:rPr>
      </w:pPr>
    </w:p>
    <w:p w14:paraId="0FAE659E" w14:textId="77777777" w:rsidR="00800BF8" w:rsidRDefault="00800BF8" w:rsidP="00800BF8">
      <w:pPr>
        <w:spacing w:line="276" w:lineRule="auto"/>
        <w:rPr>
          <w:rFonts w:ascii="Times New Roman" w:hAnsi="Times New Roman" w:cs="Times New Roman"/>
          <w:b/>
          <w:bCs/>
          <w:sz w:val="24"/>
          <w:szCs w:val="24"/>
        </w:rPr>
      </w:pPr>
      <w:r>
        <w:rPr>
          <w:rFonts w:ascii="Times New Roman" w:hAnsi="Times New Roman" w:cs="Times New Roman"/>
          <w:b/>
          <w:bCs/>
          <w:sz w:val="24"/>
          <w:szCs w:val="24"/>
        </w:rPr>
        <w:t>Introduction</w:t>
      </w:r>
    </w:p>
    <w:p w14:paraId="307D2249" w14:textId="77777777" w:rsidR="00800BF8" w:rsidRDefault="00800BF8" w:rsidP="00800BF8">
      <w:pPr>
        <w:spacing w:line="240" w:lineRule="auto"/>
        <w:jc w:val="both"/>
        <w:rPr>
          <w:rFonts w:ascii="Times New Roman" w:hAnsi="Times New Roman" w:cs="Times New Roman"/>
          <w:sz w:val="24"/>
          <w:szCs w:val="24"/>
        </w:rPr>
      </w:pPr>
      <w:r w:rsidRPr="00D90055">
        <w:rPr>
          <w:rFonts w:ascii="Times New Roman" w:hAnsi="Times New Roman" w:cs="Times New Roman"/>
          <w:sz w:val="24"/>
          <w:szCs w:val="24"/>
        </w:rPr>
        <w:t xml:space="preserve">Forest is defined as a land area that is populated by trees, covering more than 10 percent of its total expanse and exceeding half a hectare in size (1). Forests are essential for human survival and play a significant role in environmental conservation, being critical for the sustenance of life on Earth. </w:t>
      </w:r>
      <w:proofErr w:type="spellStart"/>
      <w:r w:rsidRPr="00D90055">
        <w:rPr>
          <w:rFonts w:ascii="Times New Roman" w:hAnsi="Times New Roman" w:cs="Times New Roman"/>
          <w:sz w:val="24"/>
          <w:szCs w:val="24"/>
        </w:rPr>
        <w:t>Anwadike</w:t>
      </w:r>
      <w:proofErr w:type="spellEnd"/>
      <w:r w:rsidRPr="00D90055">
        <w:rPr>
          <w:rFonts w:ascii="Times New Roman" w:hAnsi="Times New Roman" w:cs="Times New Roman"/>
          <w:sz w:val="24"/>
          <w:szCs w:val="24"/>
        </w:rPr>
        <w:t xml:space="preserve"> (2020) further emphasized the acknowledged importance of forests from ecological, social, and cultural perspectives. Presently, forests account for approximately 30% of the Earth's terrestrial surface; however, they are experiencing significant loss at a concerning pace</w:t>
      </w:r>
      <w:r>
        <w:rPr>
          <w:rFonts w:ascii="Times New Roman" w:hAnsi="Times New Roman" w:cs="Times New Roman"/>
          <w:sz w:val="24"/>
          <w:szCs w:val="24"/>
        </w:rPr>
        <w:t xml:space="preserve"> as a result of rapid </w:t>
      </w:r>
      <w:r w:rsidRPr="001C0DEA">
        <w:rPr>
          <w:rFonts w:ascii="Times New Roman" w:hAnsi="Times New Roman" w:cs="Times New Roman"/>
          <w:color w:val="0D0D0D"/>
          <w:sz w:val="24"/>
          <w:szCs w:val="24"/>
          <w:shd w:val="clear" w:color="auto" w:fill="FFFFFF"/>
        </w:rPr>
        <w:t>land use land cover changes (LULCC)</w:t>
      </w:r>
      <w:r>
        <w:rPr>
          <w:rFonts w:ascii="Times New Roman" w:hAnsi="Times New Roman" w:cs="Times New Roman"/>
          <w:color w:val="0D0D0D"/>
          <w:sz w:val="24"/>
          <w:szCs w:val="24"/>
          <w:shd w:val="clear" w:color="auto" w:fill="FFFFFF"/>
        </w:rPr>
        <w:t xml:space="preserve"> (</w:t>
      </w:r>
      <w:r w:rsidRPr="001C0DEA">
        <w:rPr>
          <w:rFonts w:ascii="Times New Roman" w:hAnsi="Times New Roman" w:cs="Times New Roman"/>
          <w:color w:val="0D0D0D"/>
          <w:sz w:val="24"/>
          <w:szCs w:val="24"/>
          <w:shd w:val="clear" w:color="auto" w:fill="FFFFFF"/>
        </w:rPr>
        <w:t xml:space="preserve">Hansen </w:t>
      </w:r>
      <w:r w:rsidRPr="00236AB2">
        <w:rPr>
          <w:rFonts w:ascii="Times New Roman" w:hAnsi="Times New Roman" w:cs="Times New Roman"/>
          <w:i/>
          <w:iCs/>
          <w:color w:val="0D0D0D"/>
          <w:sz w:val="24"/>
          <w:szCs w:val="24"/>
          <w:shd w:val="clear" w:color="auto" w:fill="FFFFFF"/>
        </w:rPr>
        <w:t>et al.</w:t>
      </w:r>
      <w:r>
        <w:rPr>
          <w:rFonts w:ascii="Times New Roman" w:hAnsi="Times New Roman" w:cs="Times New Roman"/>
          <w:i/>
          <w:iCs/>
          <w:color w:val="0D0D0D"/>
          <w:sz w:val="24"/>
          <w:szCs w:val="24"/>
          <w:shd w:val="clear" w:color="auto" w:fill="FFFFFF"/>
        </w:rPr>
        <w:t>,</w:t>
      </w:r>
      <w:r w:rsidRPr="001C0DEA">
        <w:rPr>
          <w:rFonts w:ascii="Times New Roman" w:hAnsi="Times New Roman" w:cs="Times New Roman"/>
          <w:color w:val="0D0D0D"/>
          <w:sz w:val="24"/>
          <w:szCs w:val="24"/>
          <w:shd w:val="clear" w:color="auto" w:fill="FFFFFF"/>
        </w:rPr>
        <w:t xml:space="preserve"> 2020)</w:t>
      </w:r>
      <w:r w:rsidRPr="00D90055">
        <w:rPr>
          <w:rFonts w:ascii="Times New Roman" w:hAnsi="Times New Roman" w:cs="Times New Roman"/>
          <w:sz w:val="24"/>
          <w:szCs w:val="24"/>
        </w:rPr>
        <w:t>.</w:t>
      </w:r>
    </w:p>
    <w:p w14:paraId="4B9913B9" w14:textId="77777777" w:rsidR="00800BF8" w:rsidRDefault="00800BF8" w:rsidP="00800BF8">
      <w:pPr>
        <w:spacing w:line="240" w:lineRule="auto"/>
        <w:jc w:val="both"/>
        <w:rPr>
          <w:rFonts w:ascii="Times New Roman" w:hAnsi="Times New Roman" w:cs="Times New Roman"/>
          <w:sz w:val="24"/>
          <w:szCs w:val="24"/>
        </w:rPr>
      </w:pPr>
      <w:r w:rsidRPr="00D90055">
        <w:rPr>
          <w:rFonts w:ascii="Times New Roman" w:hAnsi="Times New Roman" w:cs="Times New Roman"/>
          <w:sz w:val="24"/>
          <w:szCs w:val="24"/>
        </w:rPr>
        <w:t xml:space="preserve">Land use and land cover (LULC) changes have emerged as critical environmental and socioeconomic issues globally, particularly in regions where human activities intersect with natural ecosystems. These changes, characterized by the transformation of natural landscapes into agricultural, urban, or industrial areas, have profound effects on biodiversity, ecosystem services, and human livelihoods (Lambin et al., 2003). </w:t>
      </w:r>
      <w:r w:rsidRPr="005D6B39">
        <w:rPr>
          <w:rFonts w:ascii="Times New Roman" w:hAnsi="Times New Roman" w:cs="Times New Roman"/>
          <w:sz w:val="24"/>
          <w:szCs w:val="24"/>
        </w:rPr>
        <w:t>Land use and land cover changes are primarily driven by human activities, such as agriculture, urbanization, logging, and infrastructure development. In Nigeria, agricultural expansion is a leading driver, often linked to the growing demand for food and cash crops (</w:t>
      </w:r>
      <w:proofErr w:type="spellStart"/>
      <w:r w:rsidRPr="005D6B39">
        <w:rPr>
          <w:rFonts w:ascii="Times New Roman" w:hAnsi="Times New Roman" w:cs="Times New Roman"/>
          <w:sz w:val="24"/>
          <w:szCs w:val="24"/>
        </w:rPr>
        <w:t>Oyeranti</w:t>
      </w:r>
      <w:proofErr w:type="spellEnd"/>
      <w:r>
        <w:rPr>
          <w:rFonts w:ascii="Times New Roman" w:hAnsi="Times New Roman" w:cs="Times New Roman"/>
          <w:sz w:val="24"/>
          <w:szCs w:val="24"/>
        </w:rPr>
        <w:t xml:space="preserve"> </w:t>
      </w:r>
      <w:r w:rsidRPr="005D6B39">
        <w:rPr>
          <w:rFonts w:ascii="Times New Roman" w:hAnsi="Times New Roman" w:cs="Times New Roman"/>
          <w:sz w:val="24"/>
          <w:szCs w:val="24"/>
        </w:rPr>
        <w:t xml:space="preserve">&amp; Taiwo, 2023). Studies by Hansen et al. (2020) and </w:t>
      </w:r>
      <w:proofErr w:type="spellStart"/>
      <w:r w:rsidRPr="005D6B39">
        <w:rPr>
          <w:rFonts w:ascii="Times New Roman" w:hAnsi="Times New Roman" w:cs="Times New Roman"/>
          <w:sz w:val="24"/>
          <w:szCs w:val="24"/>
        </w:rPr>
        <w:t>Gourmelon</w:t>
      </w:r>
      <w:proofErr w:type="spellEnd"/>
      <w:r w:rsidRPr="005D6B39">
        <w:rPr>
          <w:rFonts w:ascii="Times New Roman" w:hAnsi="Times New Roman" w:cs="Times New Roman"/>
          <w:sz w:val="24"/>
          <w:szCs w:val="24"/>
        </w:rPr>
        <w:t xml:space="preserve"> (2016) emphasize that rural-to-urban migration and the associated rise in resource consumption exacerbate deforestation and land conversion. Similarly, Curtis et al. (2018) identified commercial agriculture, forest fires, and land conversion for commodity production as significant contributors to global deforestation.</w:t>
      </w:r>
    </w:p>
    <w:p w14:paraId="4A968BCE" w14:textId="77777777" w:rsidR="00800BF8" w:rsidRDefault="00800BF8" w:rsidP="00800BF8">
      <w:pPr>
        <w:spacing w:line="240" w:lineRule="auto"/>
        <w:jc w:val="both"/>
        <w:rPr>
          <w:rFonts w:ascii="Times New Roman" w:hAnsi="Times New Roman" w:cs="Times New Roman"/>
          <w:sz w:val="24"/>
          <w:szCs w:val="24"/>
        </w:rPr>
      </w:pPr>
      <w:r w:rsidRPr="00D90055">
        <w:rPr>
          <w:rFonts w:ascii="Times New Roman" w:hAnsi="Times New Roman" w:cs="Times New Roman"/>
          <w:sz w:val="24"/>
          <w:szCs w:val="24"/>
        </w:rPr>
        <w:t>In forest-adjoining communities</w:t>
      </w:r>
      <w:r>
        <w:rPr>
          <w:rFonts w:ascii="Times New Roman" w:hAnsi="Times New Roman" w:cs="Times New Roman"/>
          <w:sz w:val="24"/>
          <w:szCs w:val="24"/>
        </w:rPr>
        <w:t xml:space="preserve"> in</w:t>
      </w:r>
      <w:r w:rsidRPr="00D90055">
        <w:rPr>
          <w:rFonts w:ascii="Times New Roman" w:hAnsi="Times New Roman" w:cs="Times New Roman"/>
          <w:sz w:val="24"/>
          <w:szCs w:val="24"/>
        </w:rPr>
        <w:t xml:space="preserve"> Nigeria, the consequences of LULC changes are acutely felt, as the forests provide essential resources and ecological services that underpin their </w:t>
      </w:r>
      <w:r w:rsidRPr="00D90055">
        <w:rPr>
          <w:rFonts w:ascii="Times New Roman" w:hAnsi="Times New Roman" w:cs="Times New Roman"/>
          <w:sz w:val="24"/>
          <w:szCs w:val="24"/>
        </w:rPr>
        <w:lastRenderedPageBreak/>
        <w:t>livelihoods (FAO, 2015).</w:t>
      </w:r>
      <w:r>
        <w:rPr>
          <w:rFonts w:ascii="Times New Roman" w:hAnsi="Times New Roman" w:cs="Times New Roman"/>
          <w:sz w:val="24"/>
          <w:szCs w:val="24"/>
        </w:rPr>
        <w:t xml:space="preserve"> </w:t>
      </w:r>
      <w:r w:rsidRPr="005D6B39">
        <w:rPr>
          <w:rFonts w:ascii="Times New Roman" w:hAnsi="Times New Roman" w:cs="Times New Roman"/>
          <w:sz w:val="24"/>
          <w:szCs w:val="24"/>
        </w:rPr>
        <w:t>Forests in Ondo State have historically served as vital sources of income, food, and cultural identity for adjoining communities. They supply timber, non-timber forest products (NTFPs), and agricultural opportunities, while also regulating local climate, conserving soil, and maintaining biodiversity (</w:t>
      </w:r>
      <w:proofErr w:type="spellStart"/>
      <w:r w:rsidRPr="005D6B39">
        <w:rPr>
          <w:rFonts w:ascii="Times New Roman" w:hAnsi="Times New Roman" w:cs="Times New Roman"/>
          <w:sz w:val="24"/>
          <w:szCs w:val="24"/>
        </w:rPr>
        <w:t>Gbiri</w:t>
      </w:r>
      <w:proofErr w:type="spellEnd"/>
      <w:r>
        <w:rPr>
          <w:rFonts w:ascii="Times New Roman" w:hAnsi="Times New Roman" w:cs="Times New Roman"/>
          <w:sz w:val="24"/>
          <w:szCs w:val="24"/>
        </w:rPr>
        <w:t xml:space="preserve"> </w:t>
      </w:r>
      <w:r w:rsidRPr="005D6B39">
        <w:rPr>
          <w:rFonts w:ascii="Times New Roman" w:hAnsi="Times New Roman" w:cs="Times New Roman"/>
          <w:sz w:val="24"/>
          <w:szCs w:val="24"/>
        </w:rPr>
        <w:t>&amp; Adeoye, 2019). However</w:t>
      </w:r>
      <w:r w:rsidRPr="00D377B5">
        <w:rPr>
          <w:rFonts w:ascii="Times New Roman" w:hAnsi="Times New Roman" w:cs="Times New Roman"/>
          <w:sz w:val="24"/>
          <w:szCs w:val="24"/>
        </w:rPr>
        <w:t>, unsustainable forestry practices, including illegal logging and land clearing for farming, have accelerated LULC changes (</w:t>
      </w:r>
      <w:proofErr w:type="spellStart"/>
      <w:r>
        <w:rPr>
          <w:rFonts w:ascii="Times New Roman" w:hAnsi="Times New Roman" w:cs="Times New Roman"/>
          <w:sz w:val="24"/>
          <w:szCs w:val="24"/>
        </w:rPr>
        <w:t>Adejuwon</w:t>
      </w:r>
      <w:proofErr w:type="spellEnd"/>
      <w:r w:rsidRPr="00D377B5">
        <w:rPr>
          <w:rFonts w:ascii="Times New Roman" w:hAnsi="Times New Roman" w:cs="Times New Roman"/>
          <w:sz w:val="24"/>
          <w:szCs w:val="24"/>
        </w:rPr>
        <w:t xml:space="preserve"> et al., 201</w:t>
      </w:r>
      <w:r>
        <w:rPr>
          <w:rFonts w:ascii="Times New Roman" w:hAnsi="Times New Roman" w:cs="Times New Roman"/>
          <w:sz w:val="24"/>
          <w:szCs w:val="24"/>
        </w:rPr>
        <w:t>3</w:t>
      </w:r>
      <w:r w:rsidRPr="00D377B5">
        <w:rPr>
          <w:rFonts w:ascii="Times New Roman" w:hAnsi="Times New Roman" w:cs="Times New Roman"/>
          <w:sz w:val="24"/>
          <w:szCs w:val="24"/>
        </w:rPr>
        <w:t>)</w:t>
      </w:r>
      <w:r>
        <w:rPr>
          <w:rFonts w:ascii="Times New Roman" w:hAnsi="Times New Roman" w:cs="Times New Roman"/>
          <w:sz w:val="24"/>
          <w:szCs w:val="24"/>
        </w:rPr>
        <w:t xml:space="preserve"> and </w:t>
      </w:r>
      <w:r w:rsidRPr="005D6B39">
        <w:rPr>
          <w:rFonts w:ascii="Times New Roman" w:hAnsi="Times New Roman" w:cs="Times New Roman"/>
          <w:sz w:val="24"/>
          <w:szCs w:val="24"/>
        </w:rPr>
        <w:t>the increasing pressures of deforestation, urbanization, and agricultural expansion have significantly altered the land cover in the region, leading to environmental degradation and socioeconomic challenges (Abbass et al., 2022). These changes raise concerns about the sustainability of livelihoods for forest-dependent communities and the long-term viability of the forest ecosystems.</w:t>
      </w:r>
    </w:p>
    <w:p w14:paraId="0C7E3162" w14:textId="77777777" w:rsidR="00800BF8" w:rsidRDefault="00800BF8" w:rsidP="00800BF8">
      <w:pPr>
        <w:pStyle w:val="NormalWeb"/>
        <w:jc w:val="both"/>
      </w:pPr>
      <w:r>
        <w:t xml:space="preserve">Moreover, the livelihoods of adjoining forest communities are intrinsically tied to the availability and accessibility of forest resources. Agriculture, fishing, hunting, and the collection of NTFPs are key activities that sustain these communities (Ken et al., 2020). However, LULC changes disrupt these practices by reducing the availability of arable land, depleting forest resources, and altering local climate conditions. </w:t>
      </w:r>
      <w:proofErr w:type="spellStart"/>
      <w:r>
        <w:t>Birben</w:t>
      </w:r>
      <w:proofErr w:type="spellEnd"/>
      <w:r>
        <w:t xml:space="preserve"> (2022) highlighted that households reliant on subsistence farming and NTFPs face heightened vulnerability to food insecurity and income loss due to deforestation and land degradation. </w:t>
      </w:r>
      <w:r w:rsidRPr="00284068">
        <w:t>The LULCC process has become the most significant environmental problem for humanity in recent years due to its detrimental effects on biodiversity, climate, soil, air, and the ecosystem as a whole (Assefa and Singh, 2017).</w:t>
      </w:r>
      <w:r>
        <w:t xml:space="preserve"> Furthermore, changes in land cover often exacerbate socioeconomic disparities within communities. Wealthier households may benefit from commercial logging or large-scale farming, while poorer households bear the brunt of resource depletion and environmental degradation (Dixon &amp; Garrity, 2022). This dynamic underscore the need for equitable and sustainable land use policies to mitigate the adverse impacts of LULC changes.</w:t>
      </w:r>
    </w:p>
    <w:p w14:paraId="60394462" w14:textId="77777777" w:rsidR="00800BF8" w:rsidRDefault="00800BF8" w:rsidP="00800BF8">
      <w:pPr>
        <w:pStyle w:val="NormalWeb"/>
        <w:jc w:val="both"/>
      </w:pPr>
      <w:r>
        <w:t>The environmental impacts of LULC changes are profound and multifaceted. Deforestation and land degradation contribute to global warming, biodiversity loss, and soil erosion, all of which have cascading effects on human and ecological systems (</w:t>
      </w:r>
      <w:proofErr w:type="spellStart"/>
      <w:r>
        <w:t>Chiteculo</w:t>
      </w:r>
      <w:proofErr w:type="spellEnd"/>
      <w:r>
        <w:t>, 2019; Mahapatra &amp; Kant, 2003). In Ondo State, the conversion of forests to agricultural land has led to significant reductions in tree cover, which compromises carbon sequestration and exacerbates climate change (</w:t>
      </w:r>
      <w:proofErr w:type="spellStart"/>
      <w:r>
        <w:t>Mfrekefon</w:t>
      </w:r>
      <w:proofErr w:type="spellEnd"/>
      <w:r>
        <w:t xml:space="preserve"> &amp; </w:t>
      </w:r>
      <w:proofErr w:type="spellStart"/>
      <w:r>
        <w:t>Konwaa</w:t>
      </w:r>
      <w:proofErr w:type="spellEnd"/>
      <w:r>
        <w:t xml:space="preserve">, 2014). </w:t>
      </w:r>
      <w:proofErr w:type="spellStart"/>
      <w:r>
        <w:t>Oyeranti</w:t>
      </w:r>
      <w:proofErr w:type="spellEnd"/>
      <w:r>
        <w:t xml:space="preserve"> and Taiwo (2023) noted that these changes also disrupt water cycles and reduce the resilience of ecosystems to environmental shocks. These changes raise concerns about the sustainability of livelihoods for forest-dependent communities and the long-term viability of the forest ecosystems. </w:t>
      </w:r>
    </w:p>
    <w:p w14:paraId="10013DE5" w14:textId="77777777" w:rsidR="00800BF8" w:rsidRDefault="00800BF8" w:rsidP="00800BF8">
      <w:pPr>
        <w:pStyle w:val="NormalWeb"/>
        <w:jc w:val="both"/>
      </w:pPr>
      <w:r>
        <w:t xml:space="preserve">Efforts to address these challenges require a comprehensive understanding of the interplay between human activities, environmental changes, and livelihood outcomes. Sustainable land management practices, reforestation initiatives, and community-based conservation programs are critical for balancing developmental needs with environmental preservation (Jayathilake et al., 2021). </w:t>
      </w:r>
      <w:r w:rsidRPr="005C4B28">
        <w:t>Anteneh's</w:t>
      </w:r>
      <w:r>
        <w:t xml:space="preserve"> (</w:t>
      </w:r>
      <w:r w:rsidRPr="005C4B28">
        <w:t>2022</w:t>
      </w:r>
      <w:r>
        <w:t>)</w:t>
      </w:r>
      <w:r w:rsidRPr="005C4B28">
        <w:t xml:space="preserve"> study on land use/land cover change in Ethiopia's Dedo Watershed revealed significant changes over 33 years. Five types of LULC were identified: cultivation, settlement, dense forest, light vegetation, and grassland. These changes, driven by resettlement programs and population pressure, resulted in soil erosion, biodiversity loss, and water resource decline.</w:t>
      </w:r>
    </w:p>
    <w:p w14:paraId="1AB028F3" w14:textId="77777777" w:rsidR="00800BF8" w:rsidRDefault="00800BF8" w:rsidP="00800BF8">
      <w:pPr>
        <w:pStyle w:val="NormalWeb"/>
        <w:jc w:val="both"/>
      </w:pPr>
      <w:r w:rsidRPr="0013101D">
        <w:t xml:space="preserve">Effective land utilization requires a thorough understanding of current land use and land cover. It is equally important to have the capability to track the dynamics of land use, which arise from both the growing demands of an increasing population and the natural forces that modify the landscape. Land is subject to ongoing transformation due to a range of natural and human </w:t>
      </w:r>
      <w:r w:rsidRPr="0013101D">
        <w:lastRenderedPageBreak/>
        <w:t xml:space="preserve">activities. The detection of changes in land use and land cover involves recognizing differences in the condition of an object or phenomenon by observing it at various points in time. This process is essential for the monitoring and management of natural resources and urban development, as it provides a quantitative assessment of the spatial distribution of the population of interest. </w:t>
      </w:r>
    </w:p>
    <w:p w14:paraId="731FB2F0" w14:textId="77777777" w:rsidR="00800BF8" w:rsidRDefault="00800BF8" w:rsidP="00800BF8">
      <w:pPr>
        <w:pStyle w:val="NormalWeb"/>
        <w:jc w:val="both"/>
      </w:pPr>
      <w:r w:rsidRPr="0013101D">
        <w:t>According to Jenkins</w:t>
      </w:r>
      <w:r>
        <w:t xml:space="preserve"> (2018)</w:t>
      </w:r>
      <w:r w:rsidRPr="0013101D">
        <w:t>, there are four critical components of change detection that are significant for the oversight of natural resources: first, the identification of changes that have occurred; second, the determination of the nature of these changes; third, the measurement of the extent of the area affected; and fourth, the analysis of the spatial patterns of the changes. The rationale for employing remote sensing data in change detection is based on the understanding that changes in land cover lead to alterations in radiance values, which can be detected remotely. The variety of techniques available for conducting change detection with satellite imagery has expanded significantly due to advancements in digital data processing and increased computational power</w:t>
      </w:r>
      <w:r w:rsidRPr="005B1588">
        <w:rPr>
          <w:rFonts w:eastAsiaTheme="minorHAnsi"/>
          <w:lang w:eastAsia="en-US"/>
        </w:rPr>
        <w:t xml:space="preserve">. Remote Sensing and Geographic Information Systems (GIS) have become essential tools for evaluating and </w:t>
      </w:r>
      <w:proofErr w:type="spellStart"/>
      <w:r w:rsidRPr="005B1588">
        <w:rPr>
          <w:rFonts w:eastAsiaTheme="minorHAnsi"/>
          <w:lang w:eastAsia="en-US"/>
        </w:rPr>
        <w:t>analyzing</w:t>
      </w:r>
      <w:proofErr w:type="spellEnd"/>
      <w:r w:rsidRPr="005B1588">
        <w:rPr>
          <w:rFonts w:eastAsiaTheme="minorHAnsi"/>
          <w:lang w:eastAsia="en-US"/>
        </w:rPr>
        <w:t xml:space="preserve"> these changes. Satellite-based Remote Sensing, with its capability to provide comprehensive information on land use and land cover at specific times and locations, has revolutionized the study of these changes</w:t>
      </w:r>
      <w:r>
        <w:rPr>
          <w:rFonts w:eastAsiaTheme="minorHAnsi"/>
          <w:lang w:eastAsia="en-US"/>
        </w:rPr>
        <w:t xml:space="preserve"> </w:t>
      </w:r>
      <w:r w:rsidRPr="00427F99">
        <w:t>(Sobhani</w:t>
      </w:r>
      <w:r>
        <w:t xml:space="preserve"> </w:t>
      </w:r>
      <w:r w:rsidRPr="00651032">
        <w:rPr>
          <w:i/>
          <w:iCs/>
        </w:rPr>
        <w:t>et al</w:t>
      </w:r>
      <w:r w:rsidRPr="00CD6811">
        <w:t>.,</w:t>
      </w:r>
      <w:r>
        <w:t xml:space="preserve"> </w:t>
      </w:r>
      <w:r w:rsidRPr="00427F99">
        <w:t>2021)</w:t>
      </w:r>
      <w:r w:rsidRPr="005B1588">
        <w:rPr>
          <w:rFonts w:eastAsiaTheme="minorHAnsi"/>
          <w:lang w:eastAsia="en-US"/>
        </w:rPr>
        <w:t xml:space="preserve">. </w:t>
      </w:r>
      <w:r w:rsidRPr="0013101D">
        <w:t>Therefore, gathering information about these changes is crucial for the timely updating of land cover maps</w:t>
      </w:r>
      <w:r>
        <w:t xml:space="preserve">, </w:t>
      </w:r>
      <w:r w:rsidRPr="0013101D">
        <w:t>the sustainable management of natural resources</w:t>
      </w:r>
      <w:r>
        <w:t xml:space="preserve">, and </w:t>
      </w:r>
      <w:r w:rsidRPr="00636435">
        <w:t>environmental consequences of LULC changes on the livelihoods of forest-adjoining communities</w:t>
      </w:r>
      <w:r>
        <w:t xml:space="preserve"> (</w:t>
      </w:r>
      <w:r w:rsidRPr="00636435">
        <w:t>Jenkins, 2018)</w:t>
      </w:r>
      <w:r w:rsidRPr="0013101D">
        <w:t>.</w:t>
      </w:r>
      <w:r>
        <w:t xml:space="preserve"> Hence</w:t>
      </w:r>
      <w:r w:rsidRPr="00EC111F">
        <w:t>,</w:t>
      </w:r>
      <w:r>
        <w:t xml:space="preserve"> a need to</w:t>
      </w:r>
      <w:r w:rsidRPr="00EC111F">
        <w:t xml:space="preserve"> assess </w:t>
      </w:r>
      <w:r>
        <w:t>the land use</w:t>
      </w:r>
      <w:r w:rsidRPr="00EC111F">
        <w:t xml:space="preserve"> and land-cover changes in the reserve </w:t>
      </w:r>
      <w:r>
        <w:t xml:space="preserve">to understand the </w:t>
      </w:r>
      <w:r w:rsidRPr="00EC111F">
        <w:t xml:space="preserve">forest deforestation rate and its </w:t>
      </w:r>
      <w:r>
        <w:t xml:space="preserve">perceived </w:t>
      </w:r>
      <w:r w:rsidRPr="00EC111F">
        <w:t>effect</w:t>
      </w:r>
      <w:r>
        <w:t>s</w:t>
      </w:r>
      <w:r w:rsidRPr="00EC111F">
        <w:t xml:space="preserve"> on the rural household</w:t>
      </w:r>
      <w:r>
        <w:t>s,</w:t>
      </w:r>
      <w:r w:rsidRPr="00EC111F">
        <w:t xml:space="preserve"> livelihood</w:t>
      </w:r>
      <w:r>
        <w:t>s</w:t>
      </w:r>
      <w:r w:rsidRPr="00EC111F">
        <w:t xml:space="preserve"> in </w:t>
      </w:r>
      <w:r w:rsidRPr="00745756">
        <w:t xml:space="preserve">Ondo </w:t>
      </w:r>
      <w:r>
        <w:t>S</w:t>
      </w:r>
      <w:r w:rsidRPr="00745756">
        <w:t>tate, Nigeria.</w:t>
      </w:r>
      <w:r>
        <w:t xml:space="preserve"> This study aims to explore the effects of LULC changes on the livelihoods of adjoining forest communities in Ondo State by addressing the following objectives:</w:t>
      </w:r>
    </w:p>
    <w:p w14:paraId="22209807" w14:textId="77777777" w:rsidR="00800BF8" w:rsidRDefault="00800BF8" w:rsidP="00800BF8">
      <w:pPr>
        <w:pStyle w:val="NormalWeb"/>
        <w:numPr>
          <w:ilvl w:val="0"/>
          <w:numId w:val="1"/>
        </w:numPr>
        <w:jc w:val="both"/>
      </w:pPr>
      <w:r>
        <w:t>To identify the primary drivers of land use and land cover changes in the forest areas of Ondo State.</w:t>
      </w:r>
    </w:p>
    <w:p w14:paraId="5774FB50" w14:textId="77777777" w:rsidR="00800BF8" w:rsidRPr="00D116B2" w:rsidRDefault="00800BF8" w:rsidP="00800BF8">
      <w:pPr>
        <w:pStyle w:val="NormalWeb"/>
        <w:numPr>
          <w:ilvl w:val="0"/>
          <w:numId w:val="1"/>
        </w:numPr>
        <w:jc w:val="both"/>
      </w:pPr>
      <w:r>
        <w:t>to identify land use and land cover class within the study area using satellite imagery (</w:t>
      </w:r>
      <w:proofErr w:type="spellStart"/>
      <w:r>
        <w:t>ies</w:t>
      </w:r>
      <w:proofErr w:type="spellEnd"/>
      <w:r>
        <w:t>)</w:t>
      </w:r>
    </w:p>
    <w:p w14:paraId="3DDA23CC" w14:textId="77777777" w:rsidR="00800BF8" w:rsidRDefault="00800BF8" w:rsidP="00800BF8">
      <w:pPr>
        <w:spacing w:after="0" w:line="240" w:lineRule="auto"/>
        <w:jc w:val="both"/>
        <w:rPr>
          <w:rFonts w:ascii="Times New Roman" w:hAnsi="Times New Roman" w:cs="Times New Roman"/>
          <w:b/>
          <w:bCs/>
          <w:sz w:val="24"/>
          <w:szCs w:val="24"/>
        </w:rPr>
      </w:pPr>
      <w:r w:rsidRPr="00140DB7">
        <w:rPr>
          <w:rFonts w:ascii="Times New Roman" w:hAnsi="Times New Roman" w:cs="Times New Roman"/>
          <w:b/>
          <w:bCs/>
          <w:sz w:val="24"/>
          <w:szCs w:val="24"/>
        </w:rPr>
        <w:t xml:space="preserve">Materials </w:t>
      </w:r>
      <w:r>
        <w:rPr>
          <w:rFonts w:ascii="Times New Roman" w:hAnsi="Times New Roman" w:cs="Times New Roman"/>
          <w:b/>
          <w:bCs/>
          <w:sz w:val="24"/>
          <w:szCs w:val="24"/>
        </w:rPr>
        <w:t>a</w:t>
      </w:r>
      <w:r w:rsidRPr="00140DB7">
        <w:rPr>
          <w:rFonts w:ascii="Times New Roman" w:hAnsi="Times New Roman" w:cs="Times New Roman"/>
          <w:b/>
          <w:bCs/>
          <w:sz w:val="24"/>
          <w:szCs w:val="24"/>
        </w:rPr>
        <w:t>nd Methods</w:t>
      </w:r>
    </w:p>
    <w:p w14:paraId="749C2CFC" w14:textId="77777777" w:rsidR="00800BF8" w:rsidRPr="005C4B28" w:rsidRDefault="00800BF8" w:rsidP="00800BF8">
      <w:pPr>
        <w:spacing w:before="240" w:after="0" w:line="240" w:lineRule="auto"/>
        <w:jc w:val="both"/>
        <w:rPr>
          <w:rFonts w:ascii="Times New Roman" w:hAnsi="Times New Roman"/>
          <w:b/>
          <w:bCs/>
          <w:i/>
          <w:iCs/>
          <w:sz w:val="24"/>
          <w:szCs w:val="24"/>
        </w:rPr>
      </w:pPr>
      <w:r w:rsidRPr="005C4B28">
        <w:rPr>
          <w:rFonts w:ascii="Times New Roman" w:hAnsi="Times New Roman"/>
          <w:b/>
          <w:bCs/>
          <w:i/>
          <w:iCs/>
          <w:sz w:val="24"/>
          <w:szCs w:val="24"/>
        </w:rPr>
        <w:t>The Study Area</w:t>
      </w:r>
    </w:p>
    <w:p w14:paraId="2676C49F" w14:textId="77777777" w:rsidR="00800BF8" w:rsidRDefault="00800BF8" w:rsidP="00800BF8">
      <w:pPr>
        <w:shd w:val="clear" w:color="auto" w:fill="FFFFFF" w:themeFill="background1"/>
        <w:spacing w:before="120" w:after="360" w:line="240" w:lineRule="auto"/>
        <w:jc w:val="both"/>
        <w:rPr>
          <w:rFonts w:ascii="Times New Roman" w:hAnsi="Times New Roman"/>
          <w:sz w:val="24"/>
          <w:szCs w:val="24"/>
        </w:rPr>
      </w:pPr>
      <w:r w:rsidRPr="001413C3">
        <w:rPr>
          <w:rFonts w:ascii="Times New Roman" w:hAnsi="Times New Roman"/>
          <w:sz w:val="24"/>
          <w:szCs w:val="24"/>
        </w:rPr>
        <w:t xml:space="preserve">The study </w:t>
      </w:r>
      <w:r>
        <w:rPr>
          <w:rFonts w:ascii="Times New Roman" w:hAnsi="Times New Roman"/>
          <w:sz w:val="24"/>
          <w:szCs w:val="24"/>
        </w:rPr>
        <w:t>was</w:t>
      </w:r>
      <w:r w:rsidRPr="001413C3">
        <w:rPr>
          <w:rFonts w:ascii="Times New Roman" w:hAnsi="Times New Roman"/>
          <w:sz w:val="24"/>
          <w:szCs w:val="24"/>
        </w:rPr>
        <w:t xml:space="preserve"> carried out in Ondo State, Nigeria.  </w:t>
      </w:r>
      <w:bookmarkStart w:id="0" w:name="_Hlk166493507"/>
      <w:r w:rsidRPr="001413C3">
        <w:rPr>
          <w:rFonts w:ascii="Times New Roman" w:hAnsi="Times New Roman"/>
          <w:sz w:val="24"/>
          <w:szCs w:val="24"/>
        </w:rPr>
        <w:t xml:space="preserve">The study </w:t>
      </w:r>
      <w:r>
        <w:rPr>
          <w:rFonts w:ascii="Times New Roman" w:hAnsi="Times New Roman"/>
          <w:sz w:val="24"/>
          <w:szCs w:val="24"/>
        </w:rPr>
        <w:t>was</w:t>
      </w:r>
      <w:r w:rsidRPr="001413C3">
        <w:rPr>
          <w:rFonts w:ascii="Times New Roman" w:hAnsi="Times New Roman"/>
          <w:sz w:val="24"/>
          <w:szCs w:val="24"/>
        </w:rPr>
        <w:t xml:space="preserve"> carried out in selected forest reserves in the three geopolitical zones in the State</w:t>
      </w:r>
      <w:r>
        <w:rPr>
          <w:rFonts w:ascii="Times New Roman" w:hAnsi="Times New Roman"/>
          <w:sz w:val="24"/>
          <w:szCs w:val="24"/>
        </w:rPr>
        <w:t xml:space="preserve"> as shown in Figure 1</w:t>
      </w:r>
      <w:r w:rsidRPr="001413C3">
        <w:rPr>
          <w:rFonts w:ascii="Times New Roman" w:hAnsi="Times New Roman"/>
          <w:sz w:val="24"/>
          <w:szCs w:val="24"/>
        </w:rPr>
        <w:t xml:space="preserve">. Akure forest reserve in Ondo Central, </w:t>
      </w:r>
      <w:r>
        <w:rPr>
          <w:rFonts w:ascii="Times New Roman" w:hAnsi="Times New Roman"/>
          <w:sz w:val="24"/>
          <w:szCs w:val="24"/>
        </w:rPr>
        <w:t xml:space="preserve">the </w:t>
      </w:r>
      <w:proofErr w:type="spellStart"/>
      <w:r w:rsidRPr="001413C3">
        <w:rPr>
          <w:rFonts w:ascii="Times New Roman" w:hAnsi="Times New Roman"/>
          <w:sz w:val="24"/>
          <w:szCs w:val="24"/>
        </w:rPr>
        <w:t>Oyinmo</w:t>
      </w:r>
      <w:proofErr w:type="spellEnd"/>
      <w:r w:rsidRPr="001413C3">
        <w:rPr>
          <w:rFonts w:ascii="Times New Roman" w:hAnsi="Times New Roman"/>
          <w:sz w:val="24"/>
          <w:szCs w:val="24"/>
        </w:rPr>
        <w:t xml:space="preserve"> forest reserve in Ondo North, and </w:t>
      </w:r>
      <w:r>
        <w:rPr>
          <w:rFonts w:ascii="Times New Roman" w:hAnsi="Times New Roman"/>
          <w:sz w:val="24"/>
          <w:szCs w:val="24"/>
        </w:rPr>
        <w:t xml:space="preserve">the </w:t>
      </w:r>
      <w:r w:rsidRPr="001413C3">
        <w:rPr>
          <w:rFonts w:ascii="Times New Roman" w:hAnsi="Times New Roman"/>
          <w:sz w:val="24"/>
          <w:szCs w:val="24"/>
        </w:rPr>
        <w:t>Afforestation plot in Ondo South</w:t>
      </w:r>
      <w:r>
        <w:rPr>
          <w:rFonts w:ascii="Times New Roman" w:hAnsi="Times New Roman"/>
          <w:sz w:val="24"/>
          <w:szCs w:val="24"/>
        </w:rPr>
        <w:t xml:space="preserve"> were purposively selected for the study being the </w:t>
      </w:r>
      <w:r w:rsidRPr="00673206">
        <w:rPr>
          <w:rFonts w:ascii="Times New Roman" w:hAnsi="Times New Roman"/>
          <w:sz w:val="24"/>
          <w:szCs w:val="24"/>
        </w:rPr>
        <w:t>badly deforested reverse due to human activities</w:t>
      </w:r>
      <w:r>
        <w:rPr>
          <w:rFonts w:ascii="Times New Roman" w:hAnsi="Times New Roman"/>
          <w:sz w:val="24"/>
          <w:szCs w:val="24"/>
        </w:rPr>
        <w:t xml:space="preserve"> in the state, according to reports</w:t>
      </w:r>
      <w:bookmarkEnd w:id="0"/>
      <w:r w:rsidRPr="001413C3">
        <w:rPr>
          <w:rFonts w:ascii="Times New Roman" w:hAnsi="Times New Roman"/>
          <w:sz w:val="24"/>
          <w:szCs w:val="24"/>
        </w:rPr>
        <w:t>. Akure Forest Reserve (</w:t>
      </w:r>
      <w:proofErr w:type="spellStart"/>
      <w:r w:rsidRPr="001413C3">
        <w:rPr>
          <w:rFonts w:ascii="Times New Roman" w:hAnsi="Times New Roman"/>
          <w:sz w:val="24"/>
          <w:szCs w:val="24"/>
        </w:rPr>
        <w:t>Aponmu</w:t>
      </w:r>
      <w:proofErr w:type="spellEnd"/>
      <w:r w:rsidRPr="001413C3">
        <w:rPr>
          <w:rFonts w:ascii="Times New Roman" w:hAnsi="Times New Roman"/>
          <w:sz w:val="24"/>
          <w:szCs w:val="24"/>
        </w:rPr>
        <w:t>) is one of the Strict Nature Forest Reserves in Nigeria located in the tropical rainforest in Ondo State. It covers an area of about 32 hectares and lies between latitude 06.59718° N and longitude 004.49199º E. In this protected area, the mean annual rainfall is about 1700m and the temperature ranges from 20.6 ºC to 33.5 ºC (</w:t>
      </w:r>
      <w:proofErr w:type="spellStart"/>
      <w:r w:rsidRPr="001413C3">
        <w:rPr>
          <w:rFonts w:ascii="Times New Roman" w:hAnsi="Times New Roman"/>
          <w:sz w:val="24"/>
          <w:szCs w:val="24"/>
        </w:rPr>
        <w:t>Iyagin</w:t>
      </w:r>
      <w:proofErr w:type="spellEnd"/>
      <w:r w:rsidRPr="001413C3">
        <w:rPr>
          <w:rFonts w:ascii="Times New Roman" w:hAnsi="Times New Roman"/>
          <w:sz w:val="24"/>
          <w:szCs w:val="24"/>
        </w:rPr>
        <w:t xml:space="preserve"> and Adekunle, 2017). </w:t>
      </w:r>
      <w:proofErr w:type="spellStart"/>
      <w:r w:rsidRPr="001413C3">
        <w:rPr>
          <w:rFonts w:ascii="Times New Roman" w:hAnsi="Times New Roman"/>
          <w:sz w:val="24"/>
          <w:szCs w:val="24"/>
        </w:rPr>
        <w:t>Oyinmo</w:t>
      </w:r>
      <w:proofErr w:type="spellEnd"/>
      <w:r w:rsidRPr="001413C3">
        <w:rPr>
          <w:rFonts w:ascii="Times New Roman" w:hAnsi="Times New Roman"/>
          <w:sz w:val="24"/>
          <w:szCs w:val="24"/>
        </w:rPr>
        <w:t xml:space="preserve"> forest reserve covers an area of </w:t>
      </w:r>
      <w:r w:rsidRPr="001413C3">
        <w:rPr>
          <w:rFonts w:ascii="Times New Roman" w:hAnsi="Times New Roman"/>
          <w:sz w:val="24"/>
          <w:szCs w:val="24"/>
          <w:shd w:val="clear" w:color="auto" w:fill="FFFFFF" w:themeFill="background1"/>
        </w:rPr>
        <w:t>274 meters (899 ft)</w:t>
      </w:r>
      <w:r>
        <w:rPr>
          <w:rFonts w:ascii="Times New Roman" w:hAnsi="Times New Roman"/>
          <w:sz w:val="24"/>
          <w:szCs w:val="24"/>
          <w:shd w:val="clear" w:color="auto" w:fill="FFFFFF" w:themeFill="background1"/>
        </w:rPr>
        <w:t xml:space="preserve"> </w:t>
      </w:r>
      <w:r w:rsidRPr="001413C3">
        <w:rPr>
          <w:rFonts w:ascii="Times New Roman" w:hAnsi="Times New Roman"/>
          <w:sz w:val="24"/>
          <w:szCs w:val="24"/>
        </w:rPr>
        <w:t>and lies between latitude</w:t>
      </w:r>
      <w:r w:rsidRPr="001413C3">
        <w:rPr>
          <w:rFonts w:ascii="Times New Roman" w:hAnsi="Times New Roman"/>
          <w:sz w:val="24"/>
          <w:szCs w:val="24"/>
          <w:shd w:val="clear" w:color="auto" w:fill="FFFFFF" w:themeFill="background1"/>
        </w:rPr>
        <w:t xml:space="preserve"> 7° 19' 0"</w:t>
      </w:r>
      <w:r w:rsidRPr="001413C3">
        <w:rPr>
          <w:rFonts w:ascii="Times New Roman" w:hAnsi="Times New Roman"/>
          <w:sz w:val="24"/>
          <w:szCs w:val="24"/>
        </w:rPr>
        <w:t xml:space="preserve"> North</w:t>
      </w:r>
      <w:r>
        <w:rPr>
          <w:rFonts w:ascii="Times New Roman" w:hAnsi="Times New Roman"/>
          <w:sz w:val="24"/>
          <w:szCs w:val="24"/>
        </w:rPr>
        <w:t xml:space="preserve"> </w:t>
      </w:r>
      <w:r w:rsidRPr="001413C3">
        <w:rPr>
          <w:rFonts w:ascii="Times New Roman" w:hAnsi="Times New Roman"/>
          <w:sz w:val="24"/>
          <w:szCs w:val="24"/>
        </w:rPr>
        <w:t xml:space="preserve">and longitude </w:t>
      </w:r>
      <w:r w:rsidRPr="001413C3">
        <w:rPr>
          <w:rFonts w:ascii="Times New Roman" w:hAnsi="Times New Roman"/>
          <w:sz w:val="24"/>
          <w:szCs w:val="24"/>
          <w:shd w:val="clear" w:color="auto" w:fill="FFFFFF" w:themeFill="background1"/>
        </w:rPr>
        <w:t>5° 38' 26</w:t>
      </w:r>
      <w:r w:rsidRPr="001413C3">
        <w:rPr>
          <w:rFonts w:ascii="Times New Roman" w:hAnsi="Times New Roman"/>
          <w:sz w:val="24"/>
          <w:szCs w:val="24"/>
        </w:rPr>
        <w:t xml:space="preserve">" East. In this protected area, the mean annual rainfall is about 1500m. </w:t>
      </w:r>
    </w:p>
    <w:p w14:paraId="3561D204" w14:textId="77777777" w:rsidR="00800BF8" w:rsidRDefault="00800BF8" w:rsidP="00800BF8">
      <w:pPr>
        <w:spacing w:after="0" w:line="480" w:lineRule="auto"/>
        <w:jc w:val="center"/>
        <w:rPr>
          <w:rFonts w:ascii="Times New Roman" w:hAnsi="Times New Roman"/>
          <w:sz w:val="24"/>
          <w:szCs w:val="24"/>
        </w:rPr>
      </w:pPr>
      <w:r w:rsidRPr="0013284C">
        <w:rPr>
          <w:rFonts w:ascii="Times New Roman" w:hAnsi="Times New Roman"/>
          <w:noProof/>
          <w:sz w:val="24"/>
          <w:szCs w:val="24"/>
          <w:lang w:val="en-US"/>
        </w:rPr>
        <w:lastRenderedPageBreak/>
        <w:drawing>
          <wp:inline distT="0" distB="0" distL="0" distR="0" wp14:anchorId="3B1CFA2A" wp14:editId="61B600D6">
            <wp:extent cx="5295900" cy="3442189"/>
            <wp:effectExtent l="0" t="0" r="0" b="6350"/>
            <wp:docPr id="1796689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00179" cy="3444970"/>
                    </a:xfrm>
                    <a:prstGeom prst="rect">
                      <a:avLst/>
                    </a:prstGeom>
                    <a:noFill/>
                  </pic:spPr>
                </pic:pic>
              </a:graphicData>
            </a:graphic>
          </wp:inline>
        </w:drawing>
      </w:r>
    </w:p>
    <w:p w14:paraId="04C2BD85" w14:textId="77777777" w:rsidR="00800BF8" w:rsidRDefault="00800BF8" w:rsidP="00800BF8">
      <w:pPr>
        <w:spacing w:after="0" w:line="240" w:lineRule="auto"/>
        <w:jc w:val="center"/>
        <w:rPr>
          <w:rFonts w:ascii="Times New Roman" w:hAnsi="Times New Roman"/>
          <w:sz w:val="24"/>
          <w:szCs w:val="24"/>
        </w:rPr>
      </w:pPr>
      <w:r w:rsidRPr="004F5B5D">
        <w:rPr>
          <w:rFonts w:ascii="Times New Roman" w:hAnsi="Times New Roman"/>
          <w:b/>
          <w:bCs/>
          <w:sz w:val="24"/>
          <w:szCs w:val="24"/>
        </w:rPr>
        <w:t xml:space="preserve">Figure </w:t>
      </w:r>
      <w:r>
        <w:rPr>
          <w:rFonts w:ascii="Times New Roman" w:hAnsi="Times New Roman"/>
          <w:b/>
          <w:bCs/>
          <w:sz w:val="24"/>
          <w:szCs w:val="24"/>
        </w:rPr>
        <w:t>1</w:t>
      </w:r>
      <w:r w:rsidRPr="004F5B5D">
        <w:rPr>
          <w:rFonts w:ascii="Times New Roman" w:hAnsi="Times New Roman"/>
          <w:b/>
          <w:bCs/>
          <w:sz w:val="24"/>
          <w:szCs w:val="24"/>
        </w:rPr>
        <w:t>:</w:t>
      </w:r>
      <w:r>
        <w:rPr>
          <w:rFonts w:ascii="Times New Roman" w:hAnsi="Times New Roman"/>
          <w:sz w:val="24"/>
          <w:szCs w:val="24"/>
        </w:rPr>
        <w:t xml:space="preserve"> Map of Ondo State Forest Reserve</w:t>
      </w:r>
    </w:p>
    <w:p w14:paraId="3DED5788" w14:textId="77777777" w:rsidR="00800BF8" w:rsidRDefault="00800BF8" w:rsidP="00800BF8">
      <w:pPr>
        <w:spacing w:after="0" w:line="240" w:lineRule="auto"/>
        <w:ind w:left="1440" w:firstLine="720"/>
        <w:rPr>
          <w:rFonts w:ascii="Times New Roman" w:hAnsi="Times New Roman"/>
          <w:sz w:val="24"/>
          <w:szCs w:val="24"/>
        </w:rPr>
      </w:pPr>
      <w:r>
        <w:rPr>
          <w:rFonts w:ascii="Times New Roman" w:hAnsi="Times New Roman"/>
          <w:b/>
          <w:bCs/>
          <w:sz w:val="24"/>
          <w:szCs w:val="24"/>
        </w:rPr>
        <w:t xml:space="preserve">   </w:t>
      </w:r>
      <w:r w:rsidRPr="004F5B5D">
        <w:rPr>
          <w:rFonts w:ascii="Times New Roman" w:hAnsi="Times New Roman"/>
          <w:b/>
          <w:bCs/>
          <w:sz w:val="24"/>
          <w:szCs w:val="24"/>
        </w:rPr>
        <w:t>Source:</w:t>
      </w:r>
      <w:r>
        <w:rPr>
          <w:rFonts w:ascii="Times New Roman" w:hAnsi="Times New Roman"/>
          <w:sz w:val="24"/>
          <w:szCs w:val="24"/>
        </w:rPr>
        <w:t xml:space="preserve"> (Eniola T, 2014)</w:t>
      </w:r>
    </w:p>
    <w:p w14:paraId="5543C96E" w14:textId="77777777" w:rsidR="00800BF8" w:rsidRDefault="00800BF8" w:rsidP="00800BF8">
      <w:pPr>
        <w:spacing w:after="0" w:line="240" w:lineRule="auto"/>
        <w:ind w:left="1440" w:firstLine="720"/>
        <w:rPr>
          <w:rFonts w:ascii="Times New Roman" w:hAnsi="Times New Roman"/>
          <w:sz w:val="24"/>
          <w:szCs w:val="24"/>
        </w:rPr>
      </w:pPr>
    </w:p>
    <w:p w14:paraId="6CEC9FB0" w14:textId="77777777" w:rsidR="00064F39" w:rsidRDefault="00064F39" w:rsidP="00800BF8">
      <w:pPr>
        <w:spacing w:line="360" w:lineRule="auto"/>
        <w:jc w:val="both"/>
        <w:rPr>
          <w:rFonts w:ascii="Times New Roman" w:hAnsi="Times New Roman" w:cs="Times New Roman"/>
          <w:b/>
          <w:bCs/>
          <w:sz w:val="24"/>
          <w:szCs w:val="24"/>
        </w:rPr>
      </w:pPr>
    </w:p>
    <w:p w14:paraId="2789FC50" w14:textId="77777777" w:rsidR="00064F39" w:rsidRDefault="00064F39" w:rsidP="00800BF8">
      <w:pPr>
        <w:spacing w:line="360" w:lineRule="auto"/>
        <w:jc w:val="both"/>
        <w:rPr>
          <w:rFonts w:ascii="Times New Roman" w:hAnsi="Times New Roman" w:cs="Times New Roman"/>
          <w:b/>
          <w:bCs/>
          <w:sz w:val="24"/>
          <w:szCs w:val="24"/>
        </w:rPr>
      </w:pPr>
    </w:p>
    <w:p w14:paraId="0CC45E7D" w14:textId="77777777" w:rsidR="00064F39" w:rsidRDefault="00064F39" w:rsidP="00800BF8">
      <w:pPr>
        <w:spacing w:line="360" w:lineRule="auto"/>
        <w:jc w:val="both"/>
        <w:rPr>
          <w:rFonts w:ascii="Times New Roman" w:hAnsi="Times New Roman" w:cs="Times New Roman"/>
          <w:b/>
          <w:bCs/>
          <w:sz w:val="24"/>
          <w:szCs w:val="24"/>
        </w:rPr>
      </w:pPr>
    </w:p>
    <w:p w14:paraId="41145F0D" w14:textId="77777777" w:rsidR="00064F39" w:rsidRDefault="00064F39" w:rsidP="00800BF8">
      <w:pPr>
        <w:spacing w:line="360" w:lineRule="auto"/>
        <w:jc w:val="both"/>
        <w:rPr>
          <w:rFonts w:ascii="Times New Roman" w:hAnsi="Times New Roman" w:cs="Times New Roman"/>
          <w:b/>
          <w:bCs/>
          <w:sz w:val="24"/>
          <w:szCs w:val="24"/>
        </w:rPr>
      </w:pPr>
    </w:p>
    <w:p w14:paraId="26539455" w14:textId="77777777" w:rsidR="00064F39" w:rsidRDefault="00064F39" w:rsidP="00800BF8">
      <w:pPr>
        <w:spacing w:line="360" w:lineRule="auto"/>
        <w:jc w:val="both"/>
        <w:rPr>
          <w:rFonts w:ascii="Times New Roman" w:hAnsi="Times New Roman" w:cs="Times New Roman"/>
          <w:b/>
          <w:bCs/>
          <w:sz w:val="24"/>
          <w:szCs w:val="24"/>
        </w:rPr>
      </w:pPr>
    </w:p>
    <w:p w14:paraId="728D90B6" w14:textId="77777777" w:rsidR="00064F39" w:rsidRDefault="00064F39" w:rsidP="00800BF8">
      <w:pPr>
        <w:spacing w:line="360" w:lineRule="auto"/>
        <w:jc w:val="both"/>
        <w:rPr>
          <w:rFonts w:ascii="Times New Roman" w:hAnsi="Times New Roman" w:cs="Times New Roman"/>
          <w:b/>
          <w:bCs/>
          <w:sz w:val="24"/>
          <w:szCs w:val="24"/>
        </w:rPr>
      </w:pPr>
    </w:p>
    <w:p w14:paraId="53B7C606" w14:textId="77777777" w:rsidR="00064F39" w:rsidRDefault="00064F39" w:rsidP="00800BF8">
      <w:pPr>
        <w:spacing w:line="360" w:lineRule="auto"/>
        <w:jc w:val="both"/>
        <w:rPr>
          <w:rFonts w:ascii="Times New Roman" w:hAnsi="Times New Roman" w:cs="Times New Roman"/>
          <w:b/>
          <w:bCs/>
          <w:sz w:val="24"/>
          <w:szCs w:val="24"/>
        </w:rPr>
      </w:pPr>
    </w:p>
    <w:p w14:paraId="1CB9DF58" w14:textId="77777777" w:rsidR="00064F39" w:rsidRDefault="00064F39" w:rsidP="00800BF8">
      <w:pPr>
        <w:spacing w:line="360" w:lineRule="auto"/>
        <w:jc w:val="both"/>
        <w:rPr>
          <w:rFonts w:ascii="Times New Roman" w:hAnsi="Times New Roman" w:cs="Times New Roman"/>
          <w:b/>
          <w:bCs/>
          <w:sz w:val="24"/>
          <w:szCs w:val="24"/>
        </w:rPr>
      </w:pPr>
    </w:p>
    <w:p w14:paraId="750F4678" w14:textId="77777777" w:rsidR="00064F39" w:rsidRDefault="00064F39" w:rsidP="00800BF8">
      <w:pPr>
        <w:spacing w:line="360" w:lineRule="auto"/>
        <w:jc w:val="both"/>
        <w:rPr>
          <w:rFonts w:ascii="Times New Roman" w:hAnsi="Times New Roman" w:cs="Times New Roman"/>
          <w:b/>
          <w:bCs/>
          <w:sz w:val="24"/>
          <w:szCs w:val="24"/>
        </w:rPr>
      </w:pPr>
    </w:p>
    <w:p w14:paraId="777D32E3" w14:textId="77777777" w:rsidR="00064F39" w:rsidRDefault="00064F39" w:rsidP="00800BF8">
      <w:pPr>
        <w:spacing w:line="360" w:lineRule="auto"/>
        <w:jc w:val="both"/>
        <w:rPr>
          <w:rFonts w:ascii="Times New Roman" w:hAnsi="Times New Roman" w:cs="Times New Roman"/>
          <w:b/>
          <w:bCs/>
          <w:sz w:val="24"/>
          <w:szCs w:val="24"/>
        </w:rPr>
      </w:pPr>
    </w:p>
    <w:p w14:paraId="00DE60E8" w14:textId="77777777" w:rsidR="00064F39" w:rsidRDefault="00064F39" w:rsidP="00800BF8">
      <w:pPr>
        <w:spacing w:line="360" w:lineRule="auto"/>
        <w:jc w:val="both"/>
        <w:rPr>
          <w:rFonts w:ascii="Times New Roman" w:hAnsi="Times New Roman" w:cs="Times New Roman"/>
          <w:b/>
          <w:bCs/>
          <w:sz w:val="24"/>
          <w:szCs w:val="24"/>
        </w:rPr>
      </w:pPr>
    </w:p>
    <w:p w14:paraId="249376AD" w14:textId="19162035" w:rsidR="00800BF8" w:rsidRPr="00140DB7" w:rsidRDefault="00800BF8" w:rsidP="00064F39">
      <w:pPr>
        <w:spacing w:after="0" w:line="360" w:lineRule="auto"/>
        <w:jc w:val="both"/>
        <w:rPr>
          <w:rFonts w:ascii="Times New Roman" w:hAnsi="Times New Roman" w:cs="Times New Roman"/>
          <w:b/>
          <w:bCs/>
          <w:sz w:val="24"/>
          <w:szCs w:val="24"/>
        </w:rPr>
      </w:pPr>
      <w:r w:rsidRPr="00140DB7">
        <w:rPr>
          <w:rFonts w:ascii="Times New Roman" w:hAnsi="Times New Roman" w:cs="Times New Roman"/>
          <w:b/>
          <w:bCs/>
          <w:sz w:val="24"/>
          <w:szCs w:val="24"/>
        </w:rPr>
        <w:t>Results</w:t>
      </w:r>
      <w:r w:rsidR="00064F39">
        <w:rPr>
          <w:rFonts w:ascii="Times New Roman" w:hAnsi="Times New Roman" w:cs="Times New Roman"/>
          <w:b/>
          <w:bCs/>
          <w:sz w:val="24"/>
          <w:szCs w:val="24"/>
        </w:rPr>
        <w:t xml:space="preserve"> and Discussion</w:t>
      </w:r>
    </w:p>
    <w:p w14:paraId="483C8C09" w14:textId="09E2D6E1" w:rsidR="00800BF8" w:rsidRDefault="00800BF8" w:rsidP="00064F39">
      <w:pPr>
        <w:spacing w:after="0" w:line="360" w:lineRule="auto"/>
        <w:rPr>
          <w:rFonts w:ascii="Times New Roman" w:hAnsi="Times New Roman" w:cs="Times New Roman"/>
          <w:b/>
          <w:bCs/>
          <w:sz w:val="24"/>
          <w:szCs w:val="24"/>
        </w:rPr>
      </w:pPr>
      <w:r w:rsidRPr="00800BF8">
        <w:rPr>
          <w:rFonts w:ascii="Times New Roman" w:hAnsi="Times New Roman" w:cs="Times New Roman"/>
          <w:b/>
          <w:bCs/>
          <w:sz w:val="24"/>
          <w:szCs w:val="24"/>
        </w:rPr>
        <w:t>Primary Drivers of Land Use Land Cover</w:t>
      </w:r>
    </w:p>
    <w:p w14:paraId="5E5A2C0F" w14:textId="30C455E0" w:rsidR="00064F39" w:rsidRPr="00064F39" w:rsidRDefault="00064F39" w:rsidP="00064F39">
      <w:pPr>
        <w:spacing w:after="0" w:line="360" w:lineRule="auto"/>
        <w:rPr>
          <w:rFonts w:ascii="Times New Roman" w:hAnsi="Times New Roman" w:cs="Times New Roman"/>
          <w:sz w:val="24"/>
          <w:szCs w:val="24"/>
        </w:rPr>
      </w:pPr>
      <w:r w:rsidRPr="00064F39">
        <w:rPr>
          <w:rFonts w:ascii="Times New Roman" w:hAnsi="Times New Roman" w:cs="Times New Roman"/>
          <w:sz w:val="24"/>
          <w:szCs w:val="24"/>
        </w:rPr>
        <w:lastRenderedPageBreak/>
        <w:t>Respondents’ perceptions of the major causes of deforestation in the study area is presented in Figure 2.</w:t>
      </w:r>
    </w:p>
    <w:p w14:paraId="55D51028" w14:textId="77777777" w:rsidR="00800BF8" w:rsidRDefault="00800BF8" w:rsidP="00064F39">
      <w:pPr>
        <w:spacing w:after="0"/>
      </w:pPr>
      <w:r w:rsidRPr="00440CDC">
        <w:rPr>
          <w:noProof/>
          <w:sz w:val="24"/>
          <w:szCs w:val="24"/>
          <w:lang w:val="en-US"/>
        </w:rPr>
        <w:drawing>
          <wp:inline distT="0" distB="0" distL="0" distR="0" wp14:anchorId="1E4AFAF2" wp14:editId="3D89CA4A">
            <wp:extent cx="5772150" cy="3142034"/>
            <wp:effectExtent l="0" t="0" r="0" b="1270"/>
            <wp:docPr id="1" name="Chart 1">
              <a:extLst xmlns:a="http://schemas.openxmlformats.org/drawingml/2006/main">
                <a:ext uri="{FF2B5EF4-FFF2-40B4-BE49-F238E27FC236}">
                  <a16:creationId xmlns:a16="http://schemas.microsoft.com/office/drawing/2014/main" id="{53CDB396-AC4F-44E3-BA52-321750A64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9D9B508" w14:textId="77777777" w:rsidR="00800BF8" w:rsidRDefault="00800BF8" w:rsidP="00064F39">
      <w:pPr>
        <w:spacing w:after="0"/>
        <w:jc w:val="center"/>
        <w:rPr>
          <w:rFonts w:ascii="Times New Roman" w:hAnsi="Times New Roman" w:cs="Times New Roman"/>
          <w:sz w:val="24"/>
          <w:szCs w:val="24"/>
        </w:rPr>
      </w:pPr>
      <w:r w:rsidRPr="00981573">
        <w:rPr>
          <w:rFonts w:ascii="Times New Roman" w:hAnsi="Times New Roman" w:cs="Times New Roman"/>
          <w:b/>
          <w:bCs/>
          <w:sz w:val="24"/>
          <w:szCs w:val="24"/>
        </w:rPr>
        <w:t>Figure 2:</w:t>
      </w:r>
      <w:r w:rsidRPr="00981573">
        <w:rPr>
          <w:rFonts w:ascii="Times New Roman" w:hAnsi="Times New Roman" w:cs="Times New Roman"/>
          <w:sz w:val="24"/>
          <w:szCs w:val="24"/>
        </w:rPr>
        <w:t xml:space="preserve"> Primary Drivers of Land Use Land Cover</w:t>
      </w:r>
    </w:p>
    <w:p w14:paraId="6002E053" w14:textId="77777777" w:rsidR="00800BF8" w:rsidRDefault="00800BF8" w:rsidP="00064F39">
      <w:pPr>
        <w:spacing w:after="0"/>
        <w:ind w:left="1440" w:firstLine="720"/>
        <w:rPr>
          <w:rFonts w:ascii="Times New Roman" w:hAnsi="Times New Roman" w:cs="Times New Roman"/>
          <w:sz w:val="24"/>
          <w:szCs w:val="24"/>
        </w:rPr>
      </w:pPr>
      <w:r w:rsidRPr="00981573">
        <w:rPr>
          <w:rFonts w:ascii="Times New Roman" w:hAnsi="Times New Roman" w:cs="Times New Roman"/>
          <w:b/>
          <w:bCs/>
          <w:sz w:val="24"/>
          <w:szCs w:val="24"/>
        </w:rPr>
        <w:t>Source:</w:t>
      </w:r>
      <w:r>
        <w:rPr>
          <w:rFonts w:ascii="Times New Roman" w:hAnsi="Times New Roman" w:cs="Times New Roman"/>
          <w:sz w:val="24"/>
          <w:szCs w:val="24"/>
        </w:rPr>
        <w:t xml:space="preserve"> Author’s Fieldwork, 2024</w:t>
      </w:r>
    </w:p>
    <w:p w14:paraId="6964C9FC" w14:textId="77777777" w:rsidR="00800BF8" w:rsidRPr="00981573" w:rsidRDefault="00800BF8" w:rsidP="0006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Figure 2 shows the percentage of the primary drivers of land use land cover. The result indicates the drivers to agricultural expansion (32.7%), urbanization and infrastructure development (13.3%), factory or industrial activities (4.7%), logging and timber harvesting (14.0%), mining and quarrying (4.0%), land use policy and regulation (6.7%), population growth (12%), climate change (5.3%), natural disaster (2.0%), and soil degradation (5.3%). The result implies that </w:t>
      </w:r>
      <w:bookmarkStart w:id="1" w:name="_Hlk161043845"/>
      <w:r>
        <w:rPr>
          <w:rFonts w:ascii="Times New Roman" w:hAnsi="Times New Roman" w:cs="Times New Roman"/>
          <w:sz w:val="24"/>
          <w:szCs w:val="24"/>
        </w:rPr>
        <w:t xml:space="preserve">agricultural expansion had the highest percentage (32.7%) and is a major driver of land use land covering </w:t>
      </w:r>
      <w:bookmarkEnd w:id="1"/>
      <w:r>
        <w:rPr>
          <w:rFonts w:ascii="Times New Roman" w:hAnsi="Times New Roman" w:cs="Times New Roman"/>
          <w:sz w:val="24"/>
          <w:szCs w:val="24"/>
        </w:rPr>
        <w:t>the study area.</w:t>
      </w:r>
    </w:p>
    <w:p w14:paraId="5AA5AFB9" w14:textId="77777777" w:rsidR="00800BF8" w:rsidRPr="00B33F06" w:rsidRDefault="00800BF8" w:rsidP="00064F39">
      <w:pPr>
        <w:spacing w:after="0" w:line="240" w:lineRule="auto"/>
        <w:jc w:val="both"/>
        <w:rPr>
          <w:rFonts w:ascii="Times New Roman" w:hAnsi="Times New Roman" w:cs="Times New Roman"/>
          <w:b/>
          <w:bCs/>
          <w:sz w:val="24"/>
          <w:szCs w:val="24"/>
        </w:rPr>
      </w:pPr>
      <w:r w:rsidRPr="00B33F06">
        <w:rPr>
          <w:rFonts w:ascii="Times New Roman" w:hAnsi="Times New Roman" w:cs="Times New Roman"/>
          <w:b/>
          <w:bCs/>
          <w:sz w:val="24"/>
          <w:szCs w:val="24"/>
        </w:rPr>
        <w:t>Land Use</w:t>
      </w:r>
      <w:r>
        <w:rPr>
          <w:rFonts w:ascii="Times New Roman" w:hAnsi="Times New Roman" w:cs="Times New Roman"/>
          <w:b/>
          <w:bCs/>
          <w:sz w:val="24"/>
          <w:szCs w:val="24"/>
        </w:rPr>
        <w:t xml:space="preserve"> Land </w:t>
      </w:r>
      <w:r w:rsidRPr="00B33F06">
        <w:rPr>
          <w:rFonts w:ascii="Times New Roman" w:hAnsi="Times New Roman" w:cs="Times New Roman"/>
          <w:b/>
          <w:bCs/>
          <w:sz w:val="24"/>
          <w:szCs w:val="24"/>
        </w:rPr>
        <w:t>Cover Classification for Ondo Afforestation Plot (OAP)</w:t>
      </w:r>
    </w:p>
    <w:p w14:paraId="21532A9E" w14:textId="77777777" w:rsidR="00800BF8" w:rsidRDefault="00800BF8" w:rsidP="00064F39">
      <w:pPr>
        <w:spacing w:after="0" w:line="240" w:lineRule="auto"/>
        <w:jc w:val="both"/>
        <w:rPr>
          <w:rFonts w:ascii="Times New Roman" w:hAnsi="Times New Roman" w:cs="Times New Roman"/>
          <w:sz w:val="24"/>
          <w:szCs w:val="24"/>
        </w:rPr>
      </w:pPr>
      <w:r w:rsidRPr="00B33F06">
        <w:rPr>
          <w:rFonts w:ascii="Times New Roman" w:hAnsi="Times New Roman" w:cs="Times New Roman"/>
          <w:sz w:val="24"/>
          <w:szCs w:val="24"/>
        </w:rPr>
        <w:t xml:space="preserve">The LULC classification maps of 1984, 2002, 2014, and 2024 produced for the Ondo Afforestation Plot are displayed in Figures </w:t>
      </w:r>
      <w:r>
        <w:rPr>
          <w:rFonts w:ascii="Times New Roman" w:hAnsi="Times New Roman" w:cs="Times New Roman"/>
          <w:sz w:val="24"/>
          <w:szCs w:val="24"/>
        </w:rPr>
        <w:t>3</w:t>
      </w:r>
      <w:r w:rsidRPr="00B33F06">
        <w:rPr>
          <w:rFonts w:ascii="Times New Roman" w:hAnsi="Times New Roman" w:cs="Times New Roman"/>
          <w:sz w:val="24"/>
          <w:szCs w:val="24"/>
        </w:rPr>
        <w:t xml:space="preserve">, </w:t>
      </w:r>
      <w:r>
        <w:rPr>
          <w:rFonts w:ascii="Times New Roman" w:hAnsi="Times New Roman" w:cs="Times New Roman"/>
          <w:sz w:val="24"/>
          <w:szCs w:val="24"/>
        </w:rPr>
        <w:t>4</w:t>
      </w:r>
      <w:r w:rsidRPr="00B33F06">
        <w:rPr>
          <w:rFonts w:ascii="Times New Roman" w:hAnsi="Times New Roman" w:cs="Times New Roman"/>
          <w:sz w:val="24"/>
          <w:szCs w:val="24"/>
        </w:rPr>
        <w:t xml:space="preserve">, </w:t>
      </w:r>
      <w:r>
        <w:rPr>
          <w:rFonts w:ascii="Times New Roman" w:hAnsi="Times New Roman" w:cs="Times New Roman"/>
          <w:sz w:val="24"/>
          <w:szCs w:val="24"/>
        </w:rPr>
        <w:t>5</w:t>
      </w:r>
      <w:r w:rsidRPr="00B33F06">
        <w:rPr>
          <w:rFonts w:ascii="Times New Roman" w:hAnsi="Times New Roman" w:cs="Times New Roman"/>
          <w:sz w:val="24"/>
          <w:szCs w:val="24"/>
        </w:rPr>
        <w:t xml:space="preserve">, and </w:t>
      </w:r>
      <w:r>
        <w:rPr>
          <w:rFonts w:ascii="Times New Roman" w:hAnsi="Times New Roman" w:cs="Times New Roman"/>
          <w:sz w:val="24"/>
          <w:szCs w:val="24"/>
        </w:rPr>
        <w:t>6</w:t>
      </w:r>
      <w:r w:rsidRPr="00B33F06">
        <w:rPr>
          <w:rFonts w:ascii="Times New Roman" w:hAnsi="Times New Roman" w:cs="Times New Roman"/>
          <w:sz w:val="24"/>
          <w:szCs w:val="24"/>
        </w:rPr>
        <w:t>, respectively. Each of these maps includes five primary classes found in the study area.</w:t>
      </w:r>
    </w:p>
    <w:p w14:paraId="0E96C425" w14:textId="77777777" w:rsidR="00800BF8" w:rsidRDefault="00800BF8" w:rsidP="00064F39">
      <w:pPr>
        <w:spacing w:after="0" w:line="240" w:lineRule="auto"/>
        <w:jc w:val="both"/>
        <w:rPr>
          <w:rFonts w:ascii="Times New Roman" w:hAnsi="Times New Roman" w:cs="Times New Roman"/>
          <w:b/>
          <w:bCs/>
          <w:sz w:val="24"/>
          <w:szCs w:val="24"/>
        </w:rPr>
      </w:pPr>
      <w:r>
        <w:rPr>
          <w:noProof/>
          <w:lang w:val="en-US"/>
        </w:rPr>
        <w:lastRenderedPageBreak/>
        <w:drawing>
          <wp:inline distT="0" distB="0" distL="0" distR="0" wp14:anchorId="6A225172" wp14:editId="6BA33977">
            <wp:extent cx="5589912" cy="4448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4555" cy="4618977"/>
                    </a:xfrm>
                    <a:prstGeom prst="rect">
                      <a:avLst/>
                    </a:prstGeom>
                    <a:noFill/>
                    <a:ln>
                      <a:noFill/>
                    </a:ln>
                  </pic:spPr>
                </pic:pic>
              </a:graphicData>
            </a:graphic>
          </wp:inline>
        </w:drawing>
      </w:r>
    </w:p>
    <w:p w14:paraId="48EF83A0" w14:textId="0E913AF8" w:rsidR="00800BF8" w:rsidRDefault="00800BF8" w:rsidP="00064F39">
      <w:pPr>
        <w:spacing w:after="0" w:line="240" w:lineRule="auto"/>
        <w:jc w:val="center"/>
        <w:rPr>
          <w:rFonts w:ascii="Times New Roman" w:hAnsi="Times New Roman" w:cs="Times New Roman"/>
          <w:b/>
          <w:bCs/>
          <w:sz w:val="24"/>
          <w:szCs w:val="24"/>
        </w:rPr>
      </w:pPr>
      <w:r w:rsidRPr="00981573">
        <w:rPr>
          <w:rFonts w:ascii="Times New Roman" w:hAnsi="Times New Roman" w:cs="Times New Roman"/>
          <w:b/>
          <w:bCs/>
          <w:sz w:val="24"/>
          <w:szCs w:val="24"/>
        </w:rPr>
        <w:t>Fig</w:t>
      </w:r>
      <w:r>
        <w:rPr>
          <w:rFonts w:ascii="Times New Roman" w:hAnsi="Times New Roman" w:cs="Times New Roman"/>
          <w:b/>
          <w:bCs/>
          <w:sz w:val="24"/>
          <w:szCs w:val="24"/>
        </w:rPr>
        <w:t>ure</w:t>
      </w:r>
      <w:r w:rsidR="00F70933">
        <w:rPr>
          <w:rFonts w:ascii="Times New Roman" w:hAnsi="Times New Roman" w:cs="Times New Roman"/>
          <w:b/>
          <w:bCs/>
          <w:sz w:val="24"/>
          <w:szCs w:val="24"/>
        </w:rPr>
        <w:t xml:space="preserve"> </w:t>
      </w:r>
      <w:r>
        <w:rPr>
          <w:rFonts w:ascii="Times New Roman" w:hAnsi="Times New Roman" w:cs="Times New Roman"/>
          <w:b/>
          <w:bCs/>
          <w:sz w:val="24"/>
          <w:szCs w:val="24"/>
        </w:rPr>
        <w:t>3:</w:t>
      </w:r>
      <w:r w:rsidRPr="00981573">
        <w:rPr>
          <w:rFonts w:ascii="Times New Roman" w:hAnsi="Times New Roman" w:cs="Times New Roman"/>
          <w:b/>
          <w:bCs/>
          <w:sz w:val="24"/>
          <w:szCs w:val="24"/>
        </w:rPr>
        <w:t xml:space="preserve"> 198</w:t>
      </w:r>
      <w:r>
        <w:rPr>
          <w:rFonts w:ascii="Times New Roman" w:hAnsi="Times New Roman" w:cs="Times New Roman"/>
          <w:b/>
          <w:bCs/>
          <w:sz w:val="24"/>
          <w:szCs w:val="24"/>
        </w:rPr>
        <w:t>4</w:t>
      </w:r>
      <w:r w:rsidRPr="00981573">
        <w:rPr>
          <w:rFonts w:ascii="Times New Roman" w:hAnsi="Times New Roman" w:cs="Times New Roman"/>
          <w:b/>
          <w:bCs/>
          <w:sz w:val="24"/>
          <w:szCs w:val="24"/>
        </w:rPr>
        <w:t xml:space="preserve"> Classified land use land cover Map of </w:t>
      </w:r>
      <w:r w:rsidRPr="00B33F06">
        <w:rPr>
          <w:rFonts w:ascii="Times New Roman" w:hAnsi="Times New Roman" w:cs="Times New Roman"/>
          <w:b/>
          <w:bCs/>
          <w:sz w:val="24"/>
          <w:szCs w:val="24"/>
        </w:rPr>
        <w:t>Ondo Afforestation Plot (OAP)</w:t>
      </w:r>
    </w:p>
    <w:p w14:paraId="27997635" w14:textId="77777777" w:rsidR="00800BF8" w:rsidRDefault="00800BF8" w:rsidP="00064F39">
      <w:pPr>
        <w:spacing w:after="0" w:line="240" w:lineRule="auto"/>
        <w:jc w:val="both"/>
        <w:rPr>
          <w:rFonts w:ascii="Times New Roman" w:hAnsi="Times New Roman" w:cs="Times New Roman"/>
          <w:b/>
          <w:bCs/>
          <w:sz w:val="24"/>
          <w:szCs w:val="24"/>
        </w:rPr>
      </w:pPr>
      <w:r>
        <w:rPr>
          <w:noProof/>
          <w:lang w:val="en-US"/>
        </w:rPr>
        <w:drawing>
          <wp:inline distT="0" distB="0" distL="0" distR="0" wp14:anchorId="04340CFE" wp14:editId="5BE30DC4">
            <wp:extent cx="5552255" cy="4056434"/>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673" cy="4096922"/>
                    </a:xfrm>
                    <a:prstGeom prst="rect">
                      <a:avLst/>
                    </a:prstGeom>
                    <a:noFill/>
                    <a:ln>
                      <a:noFill/>
                    </a:ln>
                  </pic:spPr>
                </pic:pic>
              </a:graphicData>
            </a:graphic>
          </wp:inline>
        </w:drawing>
      </w:r>
    </w:p>
    <w:p w14:paraId="6FCCEF68" w14:textId="53844794" w:rsidR="00800BF8" w:rsidRDefault="00800BF8" w:rsidP="00F70933">
      <w:pPr>
        <w:spacing w:after="0" w:line="240" w:lineRule="auto"/>
        <w:jc w:val="center"/>
        <w:rPr>
          <w:rFonts w:ascii="Times New Roman" w:hAnsi="Times New Roman" w:cs="Times New Roman"/>
          <w:b/>
          <w:bCs/>
          <w:sz w:val="24"/>
          <w:szCs w:val="24"/>
        </w:rPr>
      </w:pPr>
      <w:r w:rsidRPr="00981573">
        <w:rPr>
          <w:rFonts w:ascii="Times New Roman" w:hAnsi="Times New Roman" w:cs="Times New Roman"/>
          <w:b/>
          <w:bCs/>
          <w:sz w:val="24"/>
          <w:szCs w:val="24"/>
        </w:rPr>
        <w:t>Fig</w:t>
      </w:r>
      <w:r>
        <w:rPr>
          <w:rFonts w:ascii="Times New Roman" w:hAnsi="Times New Roman" w:cs="Times New Roman"/>
          <w:b/>
          <w:bCs/>
          <w:sz w:val="24"/>
          <w:szCs w:val="24"/>
        </w:rPr>
        <w:t>ure</w:t>
      </w:r>
      <w:r w:rsidR="00F70933">
        <w:rPr>
          <w:rFonts w:ascii="Times New Roman" w:hAnsi="Times New Roman" w:cs="Times New Roman"/>
          <w:b/>
          <w:bCs/>
          <w:sz w:val="24"/>
          <w:szCs w:val="24"/>
        </w:rPr>
        <w:t xml:space="preserve"> </w:t>
      </w:r>
      <w:r>
        <w:rPr>
          <w:rFonts w:ascii="Times New Roman" w:hAnsi="Times New Roman" w:cs="Times New Roman"/>
          <w:b/>
          <w:bCs/>
          <w:sz w:val="24"/>
          <w:szCs w:val="24"/>
        </w:rPr>
        <w:t>4:2002</w:t>
      </w:r>
      <w:r w:rsidRPr="00981573">
        <w:rPr>
          <w:rFonts w:ascii="Times New Roman" w:hAnsi="Times New Roman" w:cs="Times New Roman"/>
          <w:b/>
          <w:bCs/>
          <w:sz w:val="24"/>
          <w:szCs w:val="24"/>
        </w:rPr>
        <w:t xml:space="preserve"> Classified land use land cover Map of </w:t>
      </w:r>
      <w:r w:rsidRPr="00B33F06">
        <w:rPr>
          <w:rFonts w:ascii="Times New Roman" w:hAnsi="Times New Roman" w:cs="Times New Roman"/>
          <w:b/>
          <w:bCs/>
          <w:sz w:val="24"/>
          <w:szCs w:val="24"/>
        </w:rPr>
        <w:t>Ondo Afforestation Plot (OAP)</w:t>
      </w:r>
    </w:p>
    <w:p w14:paraId="240948D7" w14:textId="77777777" w:rsidR="00800BF8" w:rsidRDefault="00800BF8" w:rsidP="00064F39">
      <w:pPr>
        <w:spacing w:after="0" w:line="240" w:lineRule="auto"/>
        <w:jc w:val="both"/>
        <w:rPr>
          <w:rFonts w:ascii="Times New Roman" w:hAnsi="Times New Roman" w:cs="Times New Roman"/>
          <w:b/>
          <w:bCs/>
          <w:sz w:val="24"/>
          <w:szCs w:val="24"/>
        </w:rPr>
      </w:pPr>
      <w:r w:rsidRPr="003F7A5A">
        <w:rPr>
          <w:noProof/>
          <w:lang w:val="en-US"/>
        </w:rPr>
        <w:lastRenderedPageBreak/>
        <w:drawing>
          <wp:inline distT="0" distB="0" distL="0" distR="0" wp14:anchorId="3093F976" wp14:editId="37D5F4DE">
            <wp:extent cx="5580151" cy="4046706"/>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4326" cy="4078742"/>
                    </a:xfrm>
                    <a:prstGeom prst="rect">
                      <a:avLst/>
                    </a:prstGeom>
                    <a:noFill/>
                    <a:ln>
                      <a:noFill/>
                    </a:ln>
                  </pic:spPr>
                </pic:pic>
              </a:graphicData>
            </a:graphic>
          </wp:inline>
        </w:drawing>
      </w:r>
    </w:p>
    <w:p w14:paraId="133C34DA" w14:textId="108975A9" w:rsidR="00800BF8" w:rsidRDefault="00800BF8" w:rsidP="00064F39">
      <w:pPr>
        <w:spacing w:after="0" w:line="240" w:lineRule="auto"/>
        <w:jc w:val="center"/>
        <w:rPr>
          <w:rFonts w:ascii="Times New Roman" w:hAnsi="Times New Roman" w:cs="Times New Roman"/>
          <w:b/>
          <w:bCs/>
          <w:sz w:val="24"/>
          <w:szCs w:val="24"/>
        </w:rPr>
      </w:pPr>
      <w:r w:rsidRPr="00981573">
        <w:rPr>
          <w:rFonts w:ascii="Times New Roman" w:hAnsi="Times New Roman" w:cs="Times New Roman"/>
          <w:b/>
          <w:bCs/>
          <w:sz w:val="24"/>
          <w:szCs w:val="24"/>
        </w:rPr>
        <w:t>Fig</w:t>
      </w:r>
      <w:r>
        <w:rPr>
          <w:rFonts w:ascii="Times New Roman" w:hAnsi="Times New Roman" w:cs="Times New Roman"/>
          <w:b/>
          <w:bCs/>
          <w:sz w:val="24"/>
          <w:szCs w:val="24"/>
        </w:rPr>
        <w:t>ure</w:t>
      </w:r>
      <w:r w:rsidR="00F70933">
        <w:rPr>
          <w:rFonts w:ascii="Times New Roman" w:hAnsi="Times New Roman" w:cs="Times New Roman"/>
          <w:b/>
          <w:bCs/>
          <w:sz w:val="24"/>
          <w:szCs w:val="24"/>
        </w:rPr>
        <w:t xml:space="preserve"> </w:t>
      </w:r>
      <w:r>
        <w:rPr>
          <w:rFonts w:ascii="Times New Roman" w:hAnsi="Times New Roman" w:cs="Times New Roman"/>
          <w:b/>
          <w:bCs/>
          <w:sz w:val="24"/>
          <w:szCs w:val="24"/>
        </w:rPr>
        <w:t xml:space="preserve">5:2014 </w:t>
      </w:r>
      <w:r w:rsidRPr="00981573">
        <w:rPr>
          <w:rFonts w:ascii="Times New Roman" w:hAnsi="Times New Roman" w:cs="Times New Roman"/>
          <w:b/>
          <w:bCs/>
          <w:sz w:val="24"/>
          <w:szCs w:val="24"/>
        </w:rPr>
        <w:t xml:space="preserve">Classified land use land cover Map of </w:t>
      </w:r>
      <w:r w:rsidRPr="00B33F06">
        <w:rPr>
          <w:rFonts w:ascii="Times New Roman" w:hAnsi="Times New Roman" w:cs="Times New Roman"/>
          <w:b/>
          <w:bCs/>
          <w:sz w:val="24"/>
          <w:szCs w:val="24"/>
        </w:rPr>
        <w:t>Ondo Afforestation Plot (OAP)</w:t>
      </w:r>
    </w:p>
    <w:p w14:paraId="07C45362" w14:textId="77777777" w:rsidR="00800BF8" w:rsidRDefault="00800BF8" w:rsidP="00064F39">
      <w:pPr>
        <w:spacing w:after="0" w:line="240" w:lineRule="auto"/>
        <w:jc w:val="both"/>
        <w:rPr>
          <w:rFonts w:ascii="Times New Roman" w:hAnsi="Times New Roman" w:cs="Times New Roman"/>
          <w:b/>
          <w:bCs/>
          <w:sz w:val="24"/>
          <w:szCs w:val="24"/>
        </w:rPr>
      </w:pPr>
      <w:r>
        <w:rPr>
          <w:noProof/>
          <w:lang w:val="en-US"/>
        </w:rPr>
        <w:drawing>
          <wp:inline distT="0" distB="0" distL="0" distR="0" wp14:anchorId="261FA9B0" wp14:editId="0DB02474">
            <wp:extent cx="5637530" cy="42291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1958" cy="4247425"/>
                    </a:xfrm>
                    <a:prstGeom prst="rect">
                      <a:avLst/>
                    </a:prstGeom>
                    <a:noFill/>
                    <a:ln>
                      <a:noFill/>
                    </a:ln>
                  </pic:spPr>
                </pic:pic>
              </a:graphicData>
            </a:graphic>
          </wp:inline>
        </w:drawing>
      </w:r>
    </w:p>
    <w:p w14:paraId="11BF9552" w14:textId="39731F6D" w:rsidR="00800BF8" w:rsidRDefault="00800BF8" w:rsidP="00064F39">
      <w:pPr>
        <w:spacing w:after="0" w:line="240" w:lineRule="auto"/>
        <w:jc w:val="center"/>
        <w:rPr>
          <w:rFonts w:ascii="Times New Roman" w:hAnsi="Times New Roman" w:cs="Times New Roman"/>
          <w:b/>
          <w:bCs/>
          <w:sz w:val="24"/>
          <w:szCs w:val="24"/>
        </w:rPr>
      </w:pPr>
      <w:r w:rsidRPr="00981573">
        <w:rPr>
          <w:rFonts w:ascii="Times New Roman" w:hAnsi="Times New Roman" w:cs="Times New Roman"/>
          <w:b/>
          <w:bCs/>
          <w:sz w:val="24"/>
          <w:szCs w:val="24"/>
        </w:rPr>
        <w:t>Fig</w:t>
      </w:r>
      <w:r>
        <w:rPr>
          <w:rFonts w:ascii="Times New Roman" w:hAnsi="Times New Roman" w:cs="Times New Roman"/>
          <w:b/>
          <w:bCs/>
          <w:sz w:val="24"/>
          <w:szCs w:val="24"/>
        </w:rPr>
        <w:t>ure</w:t>
      </w:r>
      <w:r w:rsidR="00F70933">
        <w:rPr>
          <w:rFonts w:ascii="Times New Roman" w:hAnsi="Times New Roman" w:cs="Times New Roman"/>
          <w:b/>
          <w:bCs/>
          <w:sz w:val="24"/>
          <w:szCs w:val="24"/>
        </w:rPr>
        <w:t xml:space="preserve"> </w:t>
      </w:r>
      <w:r>
        <w:rPr>
          <w:rFonts w:ascii="Times New Roman" w:hAnsi="Times New Roman" w:cs="Times New Roman"/>
          <w:b/>
          <w:bCs/>
          <w:sz w:val="24"/>
          <w:szCs w:val="24"/>
        </w:rPr>
        <w:t>6:2024</w:t>
      </w:r>
      <w:r w:rsidRPr="00981573">
        <w:rPr>
          <w:rFonts w:ascii="Times New Roman" w:hAnsi="Times New Roman" w:cs="Times New Roman"/>
          <w:b/>
          <w:bCs/>
          <w:sz w:val="24"/>
          <w:szCs w:val="24"/>
        </w:rPr>
        <w:t xml:space="preserve"> Classified land use land cover Map of </w:t>
      </w:r>
      <w:r w:rsidRPr="00B33F06">
        <w:rPr>
          <w:rFonts w:ascii="Times New Roman" w:hAnsi="Times New Roman" w:cs="Times New Roman"/>
          <w:b/>
          <w:bCs/>
          <w:sz w:val="24"/>
          <w:szCs w:val="24"/>
        </w:rPr>
        <w:t>Ondo Afforestation Plot (OAP)</w:t>
      </w:r>
    </w:p>
    <w:p w14:paraId="7DD01F89" w14:textId="77777777" w:rsidR="00800BF8" w:rsidRDefault="00800BF8" w:rsidP="00064F39">
      <w:pPr>
        <w:pStyle w:val="NormalWeb"/>
        <w:spacing w:before="0" w:beforeAutospacing="0" w:after="0" w:afterAutospacing="0"/>
        <w:jc w:val="both"/>
        <w:rPr>
          <w:b/>
          <w:bCs/>
        </w:rPr>
      </w:pPr>
    </w:p>
    <w:p w14:paraId="3456C62D" w14:textId="77777777" w:rsidR="00800BF8" w:rsidRPr="005A5E19" w:rsidRDefault="00800BF8" w:rsidP="00064F39">
      <w:pPr>
        <w:pStyle w:val="NormalWeb"/>
        <w:spacing w:before="0" w:beforeAutospacing="0" w:after="0" w:afterAutospacing="0"/>
        <w:jc w:val="both"/>
      </w:pPr>
      <w:r w:rsidRPr="00EF30C9">
        <w:rPr>
          <w:b/>
          <w:bCs/>
        </w:rPr>
        <w:lastRenderedPageBreak/>
        <w:t xml:space="preserve">Table </w:t>
      </w:r>
      <w:r>
        <w:rPr>
          <w:b/>
          <w:bCs/>
        </w:rPr>
        <w:t>1</w:t>
      </w:r>
      <w:r w:rsidRPr="00EF30C9">
        <w:rPr>
          <w:b/>
          <w:bCs/>
        </w:rPr>
        <w:t xml:space="preserve">: Land Use/Land Cover </w:t>
      </w:r>
      <w:r>
        <w:rPr>
          <w:b/>
          <w:bCs/>
        </w:rPr>
        <w:t xml:space="preserve">Change for </w:t>
      </w:r>
      <w:r w:rsidRPr="00EF30C9">
        <w:rPr>
          <w:b/>
          <w:bCs/>
        </w:rPr>
        <w:t>Ondo Afforestation Plot</w:t>
      </w:r>
      <w:r>
        <w:rPr>
          <w:b/>
          <w:bCs/>
        </w:rPr>
        <w:t xml:space="preserve"> (1984-2024)</w:t>
      </w:r>
    </w:p>
    <w:tbl>
      <w:tblPr>
        <w:tblW w:w="8310" w:type="dxa"/>
        <w:tblLook w:val="04A0" w:firstRow="1" w:lastRow="0" w:firstColumn="1" w:lastColumn="0" w:noHBand="0" w:noVBand="1"/>
      </w:tblPr>
      <w:tblGrid>
        <w:gridCol w:w="2507"/>
        <w:gridCol w:w="960"/>
        <w:gridCol w:w="960"/>
        <w:gridCol w:w="960"/>
        <w:gridCol w:w="960"/>
        <w:gridCol w:w="960"/>
        <w:gridCol w:w="1003"/>
      </w:tblGrid>
      <w:tr w:rsidR="00800BF8" w:rsidRPr="00A04488" w14:paraId="069FAAAB" w14:textId="77777777" w:rsidTr="000B1643">
        <w:trPr>
          <w:trHeight w:val="315"/>
        </w:trPr>
        <w:tc>
          <w:tcPr>
            <w:tcW w:w="2507" w:type="dxa"/>
            <w:tcBorders>
              <w:top w:val="nil"/>
              <w:left w:val="nil"/>
              <w:bottom w:val="nil"/>
              <w:right w:val="nil"/>
            </w:tcBorders>
            <w:noWrap/>
            <w:vAlign w:val="bottom"/>
            <w:hideMark/>
          </w:tcPr>
          <w:p w14:paraId="7FFD8C7A" w14:textId="77777777" w:rsidR="00800BF8" w:rsidRPr="00A04488" w:rsidRDefault="00800BF8" w:rsidP="00064F39">
            <w:pPr>
              <w:spacing w:after="0" w:line="240" w:lineRule="auto"/>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OAP (1984-2024)</w:t>
            </w:r>
          </w:p>
        </w:tc>
        <w:tc>
          <w:tcPr>
            <w:tcW w:w="960" w:type="dxa"/>
            <w:tcBorders>
              <w:top w:val="nil"/>
              <w:left w:val="nil"/>
              <w:bottom w:val="nil"/>
              <w:right w:val="nil"/>
            </w:tcBorders>
          </w:tcPr>
          <w:p w14:paraId="3D03263F" w14:textId="77777777" w:rsidR="00800BF8" w:rsidRPr="00550670" w:rsidRDefault="00800BF8" w:rsidP="00064F39">
            <w:pPr>
              <w:spacing w:after="0" w:line="240" w:lineRule="auto"/>
              <w:jc w:val="center"/>
              <w:rPr>
                <w:rFonts w:ascii="Times New Roman" w:eastAsia="Times New Roman" w:hAnsi="Times New Roman" w:cs="Times New Roman"/>
                <w:b/>
                <w:bCs/>
                <w:sz w:val="24"/>
                <w:szCs w:val="24"/>
              </w:rPr>
            </w:pPr>
          </w:p>
        </w:tc>
        <w:tc>
          <w:tcPr>
            <w:tcW w:w="3840" w:type="dxa"/>
            <w:gridSpan w:val="4"/>
            <w:tcBorders>
              <w:top w:val="nil"/>
              <w:left w:val="nil"/>
              <w:bottom w:val="nil"/>
              <w:right w:val="nil"/>
            </w:tcBorders>
            <w:noWrap/>
            <w:vAlign w:val="bottom"/>
            <w:hideMark/>
          </w:tcPr>
          <w:p w14:paraId="3CDF1787" w14:textId="77777777" w:rsidR="00800BF8" w:rsidRPr="00550670" w:rsidRDefault="00800BF8" w:rsidP="00064F39">
            <w:pPr>
              <w:spacing w:after="0" w:line="240" w:lineRule="auto"/>
              <w:jc w:val="center"/>
              <w:rPr>
                <w:rFonts w:ascii="Times New Roman" w:eastAsia="Times New Roman" w:hAnsi="Times New Roman" w:cs="Times New Roman"/>
                <w:b/>
                <w:bCs/>
                <w:sz w:val="24"/>
                <w:szCs w:val="24"/>
              </w:rPr>
            </w:pPr>
            <w:r w:rsidRPr="00550670">
              <w:rPr>
                <w:rFonts w:ascii="Times New Roman" w:eastAsia="Times New Roman" w:hAnsi="Times New Roman" w:cs="Times New Roman"/>
                <w:b/>
                <w:bCs/>
                <w:sz w:val="24"/>
                <w:szCs w:val="24"/>
              </w:rPr>
              <w:t>Land Use Land Cover</w:t>
            </w:r>
            <w:r>
              <w:rPr>
                <w:rFonts w:ascii="Times New Roman" w:eastAsia="Times New Roman" w:hAnsi="Times New Roman" w:cs="Times New Roman"/>
                <w:b/>
                <w:bCs/>
                <w:sz w:val="24"/>
                <w:szCs w:val="24"/>
              </w:rPr>
              <w:t xml:space="preserve"> Area</w:t>
            </w:r>
          </w:p>
        </w:tc>
        <w:tc>
          <w:tcPr>
            <w:tcW w:w="1003" w:type="dxa"/>
            <w:tcBorders>
              <w:top w:val="nil"/>
              <w:left w:val="nil"/>
              <w:bottom w:val="nil"/>
              <w:right w:val="nil"/>
            </w:tcBorders>
          </w:tcPr>
          <w:p w14:paraId="55966B4F" w14:textId="77777777" w:rsidR="00800BF8" w:rsidRPr="00550670" w:rsidRDefault="00800BF8" w:rsidP="00064F39">
            <w:pPr>
              <w:spacing w:after="0" w:line="240" w:lineRule="auto"/>
              <w:jc w:val="center"/>
              <w:rPr>
                <w:rFonts w:ascii="Times New Roman" w:eastAsia="Times New Roman" w:hAnsi="Times New Roman" w:cs="Times New Roman"/>
                <w:b/>
                <w:bCs/>
                <w:sz w:val="24"/>
                <w:szCs w:val="24"/>
              </w:rPr>
            </w:pPr>
          </w:p>
        </w:tc>
      </w:tr>
      <w:tr w:rsidR="00800BF8" w:rsidRPr="00A04488" w14:paraId="49D76D07" w14:textId="77777777" w:rsidTr="000B1643">
        <w:trPr>
          <w:trHeight w:val="315"/>
        </w:trPr>
        <w:tc>
          <w:tcPr>
            <w:tcW w:w="2507" w:type="dxa"/>
            <w:tcBorders>
              <w:top w:val="single" w:sz="4" w:space="0" w:color="auto"/>
              <w:left w:val="nil"/>
              <w:bottom w:val="single" w:sz="4" w:space="0" w:color="auto"/>
              <w:right w:val="nil"/>
            </w:tcBorders>
            <w:noWrap/>
            <w:vAlign w:val="bottom"/>
            <w:hideMark/>
          </w:tcPr>
          <w:p w14:paraId="366303FD" w14:textId="77777777" w:rsidR="00800BF8" w:rsidRPr="00151754" w:rsidRDefault="00800BF8" w:rsidP="00064F39">
            <w:pPr>
              <w:spacing w:after="0" w:line="240" w:lineRule="auto"/>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color w:val="000000"/>
                <w:sz w:val="24"/>
                <w:szCs w:val="24"/>
              </w:rPr>
              <w:t> </w:t>
            </w:r>
            <w:r w:rsidRPr="00151754">
              <w:rPr>
                <w:rFonts w:ascii="Times New Roman" w:eastAsia="Times New Roman" w:hAnsi="Times New Roman" w:cs="Times New Roman"/>
                <w:b/>
                <w:bCs/>
                <w:color w:val="000000"/>
                <w:sz w:val="24"/>
                <w:szCs w:val="24"/>
              </w:rPr>
              <w:t>Classes</w:t>
            </w:r>
          </w:p>
        </w:tc>
        <w:tc>
          <w:tcPr>
            <w:tcW w:w="960" w:type="dxa"/>
            <w:tcBorders>
              <w:top w:val="single" w:sz="4" w:space="0" w:color="auto"/>
              <w:left w:val="nil"/>
              <w:bottom w:val="single" w:sz="4" w:space="0" w:color="auto"/>
              <w:right w:val="nil"/>
            </w:tcBorders>
          </w:tcPr>
          <w:p w14:paraId="0F9CDEA6" w14:textId="77777777" w:rsidR="00800BF8" w:rsidRPr="00A04488" w:rsidRDefault="00800BF8" w:rsidP="00064F3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YEAR</w:t>
            </w:r>
          </w:p>
        </w:tc>
        <w:tc>
          <w:tcPr>
            <w:tcW w:w="960" w:type="dxa"/>
            <w:tcBorders>
              <w:top w:val="single" w:sz="4" w:space="0" w:color="auto"/>
              <w:left w:val="nil"/>
              <w:bottom w:val="single" w:sz="4" w:space="0" w:color="auto"/>
              <w:right w:val="nil"/>
            </w:tcBorders>
            <w:noWrap/>
            <w:vAlign w:val="bottom"/>
            <w:hideMark/>
          </w:tcPr>
          <w:p w14:paraId="101642B3" w14:textId="77777777" w:rsidR="00800BF8" w:rsidRPr="00A04488" w:rsidRDefault="00800BF8" w:rsidP="00064F39">
            <w:pPr>
              <w:spacing w:after="0" w:line="240" w:lineRule="auto"/>
              <w:jc w:val="right"/>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1984</w:t>
            </w:r>
          </w:p>
        </w:tc>
        <w:tc>
          <w:tcPr>
            <w:tcW w:w="960" w:type="dxa"/>
            <w:tcBorders>
              <w:top w:val="single" w:sz="4" w:space="0" w:color="auto"/>
              <w:left w:val="nil"/>
              <w:bottom w:val="single" w:sz="4" w:space="0" w:color="auto"/>
              <w:right w:val="nil"/>
            </w:tcBorders>
            <w:noWrap/>
            <w:vAlign w:val="bottom"/>
            <w:hideMark/>
          </w:tcPr>
          <w:p w14:paraId="41098FF0" w14:textId="77777777" w:rsidR="00800BF8" w:rsidRPr="00A04488" w:rsidRDefault="00800BF8" w:rsidP="00064F39">
            <w:pPr>
              <w:spacing w:after="0" w:line="240" w:lineRule="auto"/>
              <w:jc w:val="right"/>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2002</w:t>
            </w:r>
          </w:p>
        </w:tc>
        <w:tc>
          <w:tcPr>
            <w:tcW w:w="960" w:type="dxa"/>
            <w:tcBorders>
              <w:top w:val="single" w:sz="4" w:space="0" w:color="auto"/>
              <w:left w:val="nil"/>
              <w:bottom w:val="single" w:sz="4" w:space="0" w:color="auto"/>
              <w:right w:val="nil"/>
            </w:tcBorders>
            <w:noWrap/>
            <w:vAlign w:val="bottom"/>
            <w:hideMark/>
          </w:tcPr>
          <w:p w14:paraId="26E3CBE5" w14:textId="77777777" w:rsidR="00800BF8" w:rsidRPr="00A04488" w:rsidRDefault="00800BF8" w:rsidP="00064F39">
            <w:pPr>
              <w:spacing w:after="0" w:line="240" w:lineRule="auto"/>
              <w:jc w:val="right"/>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2014</w:t>
            </w:r>
          </w:p>
        </w:tc>
        <w:tc>
          <w:tcPr>
            <w:tcW w:w="960" w:type="dxa"/>
            <w:tcBorders>
              <w:top w:val="single" w:sz="4" w:space="0" w:color="auto"/>
              <w:left w:val="nil"/>
              <w:bottom w:val="single" w:sz="4" w:space="0" w:color="auto"/>
              <w:right w:val="nil"/>
            </w:tcBorders>
            <w:noWrap/>
            <w:vAlign w:val="bottom"/>
            <w:hideMark/>
          </w:tcPr>
          <w:p w14:paraId="0C11E4A4" w14:textId="77777777" w:rsidR="00800BF8" w:rsidRPr="00A04488" w:rsidRDefault="00800BF8" w:rsidP="00064F39">
            <w:pPr>
              <w:spacing w:after="0" w:line="240" w:lineRule="auto"/>
              <w:jc w:val="right"/>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2024</w:t>
            </w:r>
          </w:p>
        </w:tc>
        <w:tc>
          <w:tcPr>
            <w:tcW w:w="1003" w:type="dxa"/>
            <w:tcBorders>
              <w:top w:val="single" w:sz="4" w:space="0" w:color="auto"/>
              <w:left w:val="nil"/>
              <w:bottom w:val="single" w:sz="4" w:space="0" w:color="auto"/>
              <w:right w:val="nil"/>
            </w:tcBorders>
          </w:tcPr>
          <w:p w14:paraId="257D0FE4" w14:textId="77777777" w:rsidR="00800BF8" w:rsidRPr="00A04488" w:rsidRDefault="00800BF8" w:rsidP="00064F39">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Change</w:t>
            </w:r>
          </w:p>
        </w:tc>
      </w:tr>
      <w:tr w:rsidR="00800BF8" w:rsidRPr="00A04488" w14:paraId="5622C560" w14:textId="77777777" w:rsidTr="000B1643">
        <w:trPr>
          <w:trHeight w:val="315"/>
        </w:trPr>
        <w:tc>
          <w:tcPr>
            <w:tcW w:w="3467" w:type="dxa"/>
            <w:gridSpan w:val="2"/>
            <w:vMerge w:val="restart"/>
            <w:tcBorders>
              <w:top w:val="nil"/>
              <w:left w:val="nil"/>
              <w:right w:val="nil"/>
            </w:tcBorders>
            <w:noWrap/>
            <w:vAlign w:val="bottom"/>
          </w:tcPr>
          <w:p w14:paraId="687E7F28" w14:textId="77777777" w:rsidR="00800BF8" w:rsidRPr="00A04488" w:rsidRDefault="00800BF8" w:rsidP="00064F39">
            <w:pPr>
              <w:spacing w:after="0" w:line="240" w:lineRule="auto"/>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Dense Vegetation</w:t>
            </w:r>
          </w:p>
          <w:p w14:paraId="57E104A9" w14:textId="77777777" w:rsidR="00800BF8" w:rsidRPr="00A04488" w:rsidRDefault="00800BF8" w:rsidP="00064F39">
            <w:pPr>
              <w:spacing w:after="0" w:line="240" w:lineRule="auto"/>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Sparse Vegetation</w:t>
            </w:r>
          </w:p>
          <w:p w14:paraId="6E7CAD25" w14:textId="77777777" w:rsidR="00800BF8" w:rsidRPr="00A04488" w:rsidRDefault="00800BF8" w:rsidP="00064F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Built-Up</w:t>
            </w:r>
          </w:p>
          <w:p w14:paraId="400B57E8" w14:textId="77777777" w:rsidR="00800BF8" w:rsidRPr="00A04488" w:rsidRDefault="00800BF8" w:rsidP="00064F39">
            <w:pPr>
              <w:spacing w:after="0" w:line="240" w:lineRule="auto"/>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Rock and Bare ground</w:t>
            </w:r>
          </w:p>
          <w:p w14:paraId="0E3835AD" w14:textId="77777777" w:rsidR="00800BF8" w:rsidRPr="00A04488" w:rsidRDefault="00800BF8" w:rsidP="00064F39">
            <w:pPr>
              <w:spacing w:after="0" w:line="240" w:lineRule="auto"/>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Water Body</w:t>
            </w:r>
          </w:p>
          <w:p w14:paraId="1D6FF1E3" w14:textId="77777777" w:rsidR="00800BF8" w:rsidRPr="00550670" w:rsidRDefault="00800BF8" w:rsidP="00064F39">
            <w:pPr>
              <w:spacing w:after="0" w:line="240" w:lineRule="auto"/>
              <w:jc w:val="right"/>
              <w:rPr>
                <w:rFonts w:ascii="Times New Roman" w:eastAsia="Times New Roman" w:hAnsi="Times New Roman" w:cs="Times New Roman"/>
                <w:b/>
                <w:bCs/>
                <w:color w:val="000000"/>
                <w:sz w:val="24"/>
                <w:szCs w:val="24"/>
              </w:rPr>
            </w:pPr>
            <w:r w:rsidRPr="00A04488">
              <w:rPr>
                <w:rFonts w:ascii="Times New Roman" w:eastAsia="Times New Roman" w:hAnsi="Times New Roman" w:cs="Times New Roman"/>
                <w:b/>
                <w:bCs/>
                <w:color w:val="000000"/>
                <w:sz w:val="24"/>
                <w:szCs w:val="24"/>
              </w:rPr>
              <w:t>Total</w:t>
            </w:r>
          </w:p>
        </w:tc>
        <w:tc>
          <w:tcPr>
            <w:tcW w:w="960" w:type="dxa"/>
            <w:tcBorders>
              <w:top w:val="nil"/>
              <w:left w:val="nil"/>
              <w:bottom w:val="nil"/>
              <w:right w:val="nil"/>
            </w:tcBorders>
            <w:noWrap/>
            <w:vAlign w:val="bottom"/>
          </w:tcPr>
          <w:p w14:paraId="6A9F423E" w14:textId="77777777" w:rsidR="00800BF8" w:rsidRPr="00550670" w:rsidRDefault="00800BF8" w:rsidP="00064F39">
            <w:pPr>
              <w:spacing w:after="0" w:line="240" w:lineRule="auto"/>
              <w:jc w:val="center"/>
              <w:rPr>
                <w:rFonts w:ascii="Times New Roman" w:eastAsia="Times New Roman" w:hAnsi="Times New Roman" w:cs="Times New Roman"/>
                <w:b/>
                <w:bCs/>
                <w:color w:val="000000"/>
                <w:sz w:val="24"/>
                <w:szCs w:val="24"/>
              </w:rPr>
            </w:pPr>
            <w:r w:rsidRPr="00550670">
              <w:rPr>
                <w:rFonts w:ascii="Times New Roman" w:eastAsia="Times New Roman" w:hAnsi="Times New Roman" w:cs="Times New Roman"/>
                <w:b/>
                <w:bCs/>
                <w:color w:val="000000"/>
                <w:sz w:val="24"/>
                <w:szCs w:val="24"/>
              </w:rPr>
              <w:t>%</w:t>
            </w:r>
          </w:p>
        </w:tc>
        <w:tc>
          <w:tcPr>
            <w:tcW w:w="960" w:type="dxa"/>
            <w:tcBorders>
              <w:top w:val="nil"/>
              <w:left w:val="nil"/>
              <w:bottom w:val="nil"/>
              <w:right w:val="nil"/>
            </w:tcBorders>
            <w:noWrap/>
            <w:vAlign w:val="bottom"/>
          </w:tcPr>
          <w:p w14:paraId="7ABD27E0" w14:textId="77777777" w:rsidR="00800BF8" w:rsidRPr="00550670" w:rsidRDefault="00800BF8" w:rsidP="00064F39">
            <w:pPr>
              <w:spacing w:after="0" w:line="240" w:lineRule="auto"/>
              <w:jc w:val="center"/>
              <w:rPr>
                <w:rFonts w:ascii="Times New Roman" w:eastAsia="Times New Roman" w:hAnsi="Times New Roman" w:cs="Times New Roman"/>
                <w:b/>
                <w:bCs/>
                <w:color w:val="000000"/>
                <w:sz w:val="24"/>
                <w:szCs w:val="24"/>
              </w:rPr>
            </w:pPr>
            <w:r w:rsidRPr="00550670">
              <w:rPr>
                <w:rFonts w:ascii="Times New Roman" w:eastAsia="Times New Roman" w:hAnsi="Times New Roman" w:cs="Times New Roman"/>
                <w:b/>
                <w:bCs/>
                <w:color w:val="000000"/>
                <w:sz w:val="24"/>
                <w:szCs w:val="24"/>
              </w:rPr>
              <w:t>%</w:t>
            </w:r>
          </w:p>
        </w:tc>
        <w:tc>
          <w:tcPr>
            <w:tcW w:w="960" w:type="dxa"/>
            <w:tcBorders>
              <w:top w:val="nil"/>
              <w:left w:val="nil"/>
              <w:bottom w:val="nil"/>
              <w:right w:val="nil"/>
            </w:tcBorders>
            <w:noWrap/>
            <w:vAlign w:val="bottom"/>
          </w:tcPr>
          <w:p w14:paraId="45AFB708" w14:textId="77777777" w:rsidR="00800BF8" w:rsidRPr="00550670" w:rsidRDefault="00800BF8" w:rsidP="00064F39">
            <w:pPr>
              <w:spacing w:after="0" w:line="240" w:lineRule="auto"/>
              <w:jc w:val="center"/>
              <w:rPr>
                <w:rFonts w:ascii="Times New Roman" w:eastAsia="Times New Roman" w:hAnsi="Times New Roman" w:cs="Times New Roman"/>
                <w:b/>
                <w:bCs/>
                <w:color w:val="000000"/>
                <w:sz w:val="24"/>
                <w:szCs w:val="24"/>
              </w:rPr>
            </w:pPr>
            <w:r w:rsidRPr="00550670">
              <w:rPr>
                <w:rFonts w:ascii="Times New Roman" w:eastAsia="Times New Roman" w:hAnsi="Times New Roman" w:cs="Times New Roman"/>
                <w:b/>
                <w:bCs/>
                <w:color w:val="000000"/>
                <w:sz w:val="24"/>
                <w:szCs w:val="24"/>
              </w:rPr>
              <w:t>%</w:t>
            </w:r>
          </w:p>
        </w:tc>
        <w:tc>
          <w:tcPr>
            <w:tcW w:w="960" w:type="dxa"/>
            <w:tcBorders>
              <w:top w:val="nil"/>
              <w:left w:val="nil"/>
              <w:bottom w:val="nil"/>
              <w:right w:val="nil"/>
            </w:tcBorders>
            <w:noWrap/>
            <w:vAlign w:val="bottom"/>
          </w:tcPr>
          <w:p w14:paraId="010D9516" w14:textId="77777777" w:rsidR="00800BF8" w:rsidRPr="00550670" w:rsidRDefault="00800BF8" w:rsidP="00064F39">
            <w:pPr>
              <w:spacing w:after="0" w:line="240" w:lineRule="auto"/>
              <w:jc w:val="center"/>
              <w:rPr>
                <w:rFonts w:ascii="Times New Roman" w:eastAsia="Times New Roman" w:hAnsi="Times New Roman" w:cs="Times New Roman"/>
                <w:b/>
                <w:bCs/>
                <w:color w:val="000000"/>
                <w:sz w:val="24"/>
                <w:szCs w:val="24"/>
              </w:rPr>
            </w:pPr>
            <w:r w:rsidRPr="00550670">
              <w:rPr>
                <w:rFonts w:ascii="Times New Roman" w:eastAsia="Times New Roman" w:hAnsi="Times New Roman" w:cs="Times New Roman"/>
                <w:b/>
                <w:bCs/>
                <w:color w:val="000000"/>
                <w:sz w:val="24"/>
                <w:szCs w:val="24"/>
              </w:rPr>
              <w:t>%</w:t>
            </w:r>
          </w:p>
        </w:tc>
        <w:tc>
          <w:tcPr>
            <w:tcW w:w="1003" w:type="dxa"/>
            <w:tcBorders>
              <w:top w:val="nil"/>
              <w:left w:val="nil"/>
              <w:bottom w:val="nil"/>
              <w:right w:val="nil"/>
            </w:tcBorders>
          </w:tcPr>
          <w:p w14:paraId="011D250B" w14:textId="77777777" w:rsidR="00800BF8" w:rsidRPr="00550670" w:rsidRDefault="00800BF8" w:rsidP="00064F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800BF8" w:rsidRPr="00A04488" w14:paraId="731E4E71" w14:textId="77777777" w:rsidTr="000B1643">
        <w:trPr>
          <w:trHeight w:val="315"/>
        </w:trPr>
        <w:tc>
          <w:tcPr>
            <w:tcW w:w="3467" w:type="dxa"/>
            <w:gridSpan w:val="2"/>
            <w:vMerge/>
            <w:tcBorders>
              <w:left w:val="nil"/>
              <w:right w:val="nil"/>
            </w:tcBorders>
            <w:noWrap/>
            <w:vAlign w:val="bottom"/>
            <w:hideMark/>
          </w:tcPr>
          <w:p w14:paraId="0EFAE9ED"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4AECDF7F"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69.98</w:t>
            </w:r>
          </w:p>
        </w:tc>
        <w:tc>
          <w:tcPr>
            <w:tcW w:w="960" w:type="dxa"/>
            <w:tcBorders>
              <w:top w:val="nil"/>
              <w:left w:val="nil"/>
              <w:bottom w:val="nil"/>
              <w:right w:val="nil"/>
            </w:tcBorders>
            <w:noWrap/>
            <w:vAlign w:val="bottom"/>
            <w:hideMark/>
          </w:tcPr>
          <w:p w14:paraId="7C46E00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83.13</w:t>
            </w:r>
          </w:p>
        </w:tc>
        <w:tc>
          <w:tcPr>
            <w:tcW w:w="960" w:type="dxa"/>
            <w:tcBorders>
              <w:top w:val="nil"/>
              <w:left w:val="nil"/>
              <w:bottom w:val="nil"/>
              <w:right w:val="nil"/>
            </w:tcBorders>
            <w:noWrap/>
            <w:vAlign w:val="bottom"/>
            <w:hideMark/>
          </w:tcPr>
          <w:p w14:paraId="460D650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96.41</w:t>
            </w:r>
          </w:p>
        </w:tc>
        <w:tc>
          <w:tcPr>
            <w:tcW w:w="960" w:type="dxa"/>
            <w:tcBorders>
              <w:top w:val="nil"/>
              <w:left w:val="nil"/>
              <w:bottom w:val="nil"/>
              <w:right w:val="nil"/>
            </w:tcBorders>
            <w:noWrap/>
            <w:vAlign w:val="bottom"/>
            <w:hideMark/>
          </w:tcPr>
          <w:p w14:paraId="0AE99A62"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81.28</w:t>
            </w:r>
          </w:p>
        </w:tc>
        <w:tc>
          <w:tcPr>
            <w:tcW w:w="1003" w:type="dxa"/>
            <w:tcBorders>
              <w:top w:val="nil"/>
              <w:left w:val="nil"/>
              <w:bottom w:val="nil"/>
              <w:right w:val="nil"/>
            </w:tcBorders>
          </w:tcPr>
          <w:p w14:paraId="3ED4571A" w14:textId="77777777" w:rsidR="00800BF8" w:rsidRPr="00A04488"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16.15</w:t>
            </w:r>
          </w:p>
        </w:tc>
      </w:tr>
      <w:tr w:rsidR="00800BF8" w:rsidRPr="00A04488" w14:paraId="31BE4561" w14:textId="77777777" w:rsidTr="000B1643">
        <w:trPr>
          <w:trHeight w:val="315"/>
        </w:trPr>
        <w:tc>
          <w:tcPr>
            <w:tcW w:w="3467" w:type="dxa"/>
            <w:gridSpan w:val="2"/>
            <w:vMerge/>
            <w:tcBorders>
              <w:left w:val="nil"/>
              <w:right w:val="nil"/>
            </w:tcBorders>
            <w:noWrap/>
            <w:vAlign w:val="bottom"/>
            <w:hideMark/>
          </w:tcPr>
          <w:p w14:paraId="6CB4489F"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5B52FA7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26.61</w:t>
            </w:r>
          </w:p>
        </w:tc>
        <w:tc>
          <w:tcPr>
            <w:tcW w:w="960" w:type="dxa"/>
            <w:tcBorders>
              <w:top w:val="nil"/>
              <w:left w:val="nil"/>
              <w:bottom w:val="nil"/>
              <w:right w:val="nil"/>
            </w:tcBorders>
            <w:noWrap/>
            <w:vAlign w:val="bottom"/>
            <w:hideMark/>
          </w:tcPr>
          <w:p w14:paraId="195F8711"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4.79</w:t>
            </w:r>
          </w:p>
        </w:tc>
        <w:tc>
          <w:tcPr>
            <w:tcW w:w="960" w:type="dxa"/>
            <w:tcBorders>
              <w:top w:val="nil"/>
              <w:left w:val="nil"/>
              <w:bottom w:val="nil"/>
              <w:right w:val="nil"/>
            </w:tcBorders>
            <w:noWrap/>
            <w:vAlign w:val="bottom"/>
            <w:hideMark/>
          </w:tcPr>
          <w:p w14:paraId="00CD56DE"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1.89</w:t>
            </w:r>
          </w:p>
        </w:tc>
        <w:tc>
          <w:tcPr>
            <w:tcW w:w="960" w:type="dxa"/>
            <w:tcBorders>
              <w:top w:val="nil"/>
              <w:left w:val="nil"/>
              <w:bottom w:val="nil"/>
              <w:right w:val="nil"/>
            </w:tcBorders>
            <w:noWrap/>
            <w:vAlign w:val="bottom"/>
            <w:hideMark/>
          </w:tcPr>
          <w:p w14:paraId="608A4542"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12.10</w:t>
            </w:r>
          </w:p>
        </w:tc>
        <w:tc>
          <w:tcPr>
            <w:tcW w:w="1003" w:type="dxa"/>
            <w:tcBorders>
              <w:top w:val="nil"/>
              <w:left w:val="nil"/>
              <w:bottom w:val="nil"/>
              <w:right w:val="nil"/>
            </w:tcBorders>
          </w:tcPr>
          <w:p w14:paraId="338FE12D" w14:textId="77777777" w:rsidR="00800BF8" w:rsidRPr="00A04488"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-54.51</w:t>
            </w:r>
          </w:p>
        </w:tc>
      </w:tr>
      <w:tr w:rsidR="00800BF8" w:rsidRPr="00A04488" w14:paraId="222D224F" w14:textId="77777777" w:rsidTr="000B1643">
        <w:trPr>
          <w:trHeight w:val="315"/>
        </w:trPr>
        <w:tc>
          <w:tcPr>
            <w:tcW w:w="3467" w:type="dxa"/>
            <w:gridSpan w:val="2"/>
            <w:vMerge/>
            <w:tcBorders>
              <w:left w:val="nil"/>
              <w:right w:val="nil"/>
            </w:tcBorders>
            <w:noWrap/>
            <w:vAlign w:val="bottom"/>
            <w:hideMark/>
          </w:tcPr>
          <w:p w14:paraId="6B785F65"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03F098A3"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2.85</w:t>
            </w:r>
          </w:p>
        </w:tc>
        <w:tc>
          <w:tcPr>
            <w:tcW w:w="960" w:type="dxa"/>
            <w:tcBorders>
              <w:top w:val="nil"/>
              <w:left w:val="nil"/>
              <w:bottom w:val="nil"/>
              <w:right w:val="nil"/>
            </w:tcBorders>
            <w:noWrap/>
            <w:vAlign w:val="bottom"/>
            <w:hideMark/>
          </w:tcPr>
          <w:p w14:paraId="401C4AE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187267C5"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1.16</w:t>
            </w:r>
          </w:p>
        </w:tc>
        <w:tc>
          <w:tcPr>
            <w:tcW w:w="960" w:type="dxa"/>
            <w:tcBorders>
              <w:top w:val="nil"/>
              <w:left w:val="nil"/>
              <w:bottom w:val="nil"/>
              <w:right w:val="nil"/>
            </w:tcBorders>
            <w:noWrap/>
            <w:vAlign w:val="bottom"/>
            <w:hideMark/>
          </w:tcPr>
          <w:p w14:paraId="7803C0F6"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1.11</w:t>
            </w:r>
          </w:p>
        </w:tc>
        <w:tc>
          <w:tcPr>
            <w:tcW w:w="1003" w:type="dxa"/>
            <w:tcBorders>
              <w:top w:val="nil"/>
              <w:left w:val="nil"/>
              <w:bottom w:val="nil"/>
              <w:right w:val="nil"/>
            </w:tcBorders>
          </w:tcPr>
          <w:p w14:paraId="430E99C0" w14:textId="77777777" w:rsidR="00800BF8" w:rsidRPr="00A04488"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-61.05</w:t>
            </w:r>
          </w:p>
        </w:tc>
      </w:tr>
      <w:tr w:rsidR="00800BF8" w:rsidRPr="00A04488" w14:paraId="0A75054D" w14:textId="77777777" w:rsidTr="000B1643">
        <w:trPr>
          <w:trHeight w:val="315"/>
        </w:trPr>
        <w:tc>
          <w:tcPr>
            <w:tcW w:w="3467" w:type="dxa"/>
            <w:gridSpan w:val="2"/>
            <w:vMerge/>
            <w:tcBorders>
              <w:left w:val="nil"/>
              <w:right w:val="nil"/>
            </w:tcBorders>
            <w:noWrap/>
            <w:vAlign w:val="bottom"/>
            <w:hideMark/>
          </w:tcPr>
          <w:p w14:paraId="3889F615"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1FB2651D"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0.56</w:t>
            </w:r>
          </w:p>
        </w:tc>
        <w:tc>
          <w:tcPr>
            <w:tcW w:w="960" w:type="dxa"/>
            <w:tcBorders>
              <w:top w:val="nil"/>
              <w:left w:val="nil"/>
              <w:bottom w:val="nil"/>
              <w:right w:val="nil"/>
            </w:tcBorders>
            <w:noWrap/>
            <w:vAlign w:val="bottom"/>
            <w:hideMark/>
          </w:tcPr>
          <w:p w14:paraId="19DDC914"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12.08</w:t>
            </w:r>
          </w:p>
        </w:tc>
        <w:tc>
          <w:tcPr>
            <w:tcW w:w="960" w:type="dxa"/>
            <w:tcBorders>
              <w:top w:val="nil"/>
              <w:left w:val="nil"/>
              <w:bottom w:val="nil"/>
              <w:right w:val="nil"/>
            </w:tcBorders>
            <w:noWrap/>
            <w:vAlign w:val="bottom"/>
            <w:hideMark/>
          </w:tcPr>
          <w:p w14:paraId="6C77B8F0"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0.54</w:t>
            </w:r>
          </w:p>
        </w:tc>
        <w:tc>
          <w:tcPr>
            <w:tcW w:w="960" w:type="dxa"/>
            <w:tcBorders>
              <w:top w:val="nil"/>
              <w:left w:val="nil"/>
              <w:bottom w:val="nil"/>
              <w:right w:val="nil"/>
            </w:tcBorders>
            <w:noWrap/>
            <w:vAlign w:val="bottom"/>
            <w:hideMark/>
          </w:tcPr>
          <w:p w14:paraId="47FEC3A0"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5.51</w:t>
            </w:r>
          </w:p>
        </w:tc>
        <w:tc>
          <w:tcPr>
            <w:tcW w:w="1003" w:type="dxa"/>
            <w:tcBorders>
              <w:top w:val="nil"/>
              <w:left w:val="nil"/>
              <w:bottom w:val="nil"/>
              <w:right w:val="nil"/>
            </w:tcBorders>
          </w:tcPr>
          <w:p w14:paraId="13A3B575" w14:textId="77777777" w:rsidR="00800BF8" w:rsidRPr="00A04488"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56.50</w:t>
            </w:r>
          </w:p>
        </w:tc>
      </w:tr>
      <w:tr w:rsidR="00800BF8" w:rsidRPr="00A04488" w14:paraId="0BE65D77" w14:textId="77777777" w:rsidTr="000B1643">
        <w:trPr>
          <w:trHeight w:val="315"/>
        </w:trPr>
        <w:tc>
          <w:tcPr>
            <w:tcW w:w="3467" w:type="dxa"/>
            <w:gridSpan w:val="2"/>
            <w:vMerge/>
            <w:tcBorders>
              <w:left w:val="nil"/>
              <w:right w:val="nil"/>
            </w:tcBorders>
            <w:noWrap/>
            <w:vAlign w:val="bottom"/>
            <w:hideMark/>
          </w:tcPr>
          <w:p w14:paraId="46590C80"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614166CF"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25120B03"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403D3693"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0.01</w:t>
            </w:r>
          </w:p>
        </w:tc>
        <w:tc>
          <w:tcPr>
            <w:tcW w:w="960" w:type="dxa"/>
            <w:tcBorders>
              <w:top w:val="nil"/>
              <w:left w:val="nil"/>
              <w:bottom w:val="nil"/>
              <w:right w:val="nil"/>
            </w:tcBorders>
            <w:noWrap/>
            <w:vAlign w:val="bottom"/>
            <w:hideMark/>
          </w:tcPr>
          <w:p w14:paraId="07637FFF"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0.00</w:t>
            </w:r>
          </w:p>
        </w:tc>
        <w:tc>
          <w:tcPr>
            <w:tcW w:w="1003" w:type="dxa"/>
            <w:tcBorders>
              <w:top w:val="nil"/>
              <w:left w:val="nil"/>
              <w:bottom w:val="nil"/>
              <w:right w:val="nil"/>
            </w:tcBorders>
          </w:tcPr>
          <w:p w14:paraId="0F31FDE8" w14:textId="77777777" w:rsidR="00800BF8" w:rsidRPr="00A04488"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w:t>
            </w:r>
          </w:p>
        </w:tc>
      </w:tr>
      <w:tr w:rsidR="00800BF8" w:rsidRPr="00A04488" w14:paraId="780042B3" w14:textId="77777777" w:rsidTr="000B1643">
        <w:trPr>
          <w:trHeight w:val="315"/>
        </w:trPr>
        <w:tc>
          <w:tcPr>
            <w:tcW w:w="3467" w:type="dxa"/>
            <w:gridSpan w:val="2"/>
            <w:vMerge/>
            <w:tcBorders>
              <w:left w:val="nil"/>
              <w:bottom w:val="single" w:sz="4" w:space="0" w:color="auto"/>
              <w:right w:val="nil"/>
            </w:tcBorders>
            <w:noWrap/>
            <w:vAlign w:val="bottom"/>
            <w:hideMark/>
          </w:tcPr>
          <w:p w14:paraId="1F9C49D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noWrap/>
            <w:vAlign w:val="bottom"/>
            <w:hideMark/>
          </w:tcPr>
          <w:p w14:paraId="49C98C01"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nil"/>
            </w:tcBorders>
            <w:noWrap/>
            <w:vAlign w:val="bottom"/>
            <w:hideMark/>
          </w:tcPr>
          <w:p w14:paraId="540CE677"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nil"/>
            </w:tcBorders>
            <w:noWrap/>
            <w:vAlign w:val="bottom"/>
            <w:hideMark/>
          </w:tcPr>
          <w:p w14:paraId="0DF256D9"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nil"/>
            </w:tcBorders>
            <w:noWrap/>
            <w:vAlign w:val="bottom"/>
            <w:hideMark/>
          </w:tcPr>
          <w:p w14:paraId="24FA80BA"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r w:rsidRPr="00A04488">
              <w:rPr>
                <w:rFonts w:ascii="Times New Roman" w:eastAsia="Times New Roman" w:hAnsi="Times New Roman" w:cs="Times New Roman"/>
                <w:color w:val="000000"/>
                <w:sz w:val="24"/>
                <w:szCs w:val="24"/>
              </w:rPr>
              <w:t>100.00</w:t>
            </w:r>
          </w:p>
        </w:tc>
        <w:tc>
          <w:tcPr>
            <w:tcW w:w="1003" w:type="dxa"/>
            <w:tcBorders>
              <w:top w:val="nil"/>
              <w:left w:val="nil"/>
              <w:bottom w:val="single" w:sz="4" w:space="0" w:color="auto"/>
              <w:right w:val="nil"/>
            </w:tcBorders>
          </w:tcPr>
          <w:p w14:paraId="39291465" w14:textId="77777777" w:rsidR="00800BF8" w:rsidRPr="00A04488" w:rsidRDefault="00800BF8" w:rsidP="00064F39">
            <w:pPr>
              <w:spacing w:after="0" w:line="240" w:lineRule="auto"/>
              <w:jc w:val="right"/>
              <w:rPr>
                <w:rFonts w:ascii="Times New Roman" w:eastAsia="Times New Roman" w:hAnsi="Times New Roman" w:cs="Times New Roman"/>
                <w:color w:val="000000"/>
                <w:sz w:val="24"/>
                <w:szCs w:val="24"/>
              </w:rPr>
            </w:pPr>
          </w:p>
        </w:tc>
      </w:tr>
    </w:tbl>
    <w:p w14:paraId="3D0BCF54" w14:textId="77777777" w:rsidR="00800BF8" w:rsidRDefault="00800BF8" w:rsidP="00064F3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Source: Author’s Fieldwork, 2024</w:t>
      </w:r>
    </w:p>
    <w:p w14:paraId="091D9E90" w14:textId="77777777" w:rsidR="00800BF8" w:rsidRDefault="00800BF8" w:rsidP="00064F39">
      <w:pPr>
        <w:spacing w:after="0" w:line="240" w:lineRule="auto"/>
        <w:jc w:val="both"/>
        <w:rPr>
          <w:rFonts w:ascii="Times New Roman" w:hAnsi="Times New Roman" w:cs="Times New Roman"/>
          <w:sz w:val="24"/>
          <w:szCs w:val="24"/>
        </w:rPr>
      </w:pPr>
      <w:r w:rsidRPr="004B3C79">
        <w:rPr>
          <w:rFonts w:ascii="Times New Roman" w:hAnsi="Times New Roman" w:cs="Times New Roman"/>
          <w:sz w:val="24"/>
          <w:szCs w:val="24"/>
        </w:rPr>
        <w:t xml:space="preserve">Table </w:t>
      </w:r>
      <w:r>
        <w:rPr>
          <w:rFonts w:ascii="Times New Roman" w:hAnsi="Times New Roman" w:cs="Times New Roman"/>
          <w:sz w:val="24"/>
          <w:szCs w:val="24"/>
        </w:rPr>
        <w:t>1</w:t>
      </w:r>
      <w:r w:rsidRPr="004B3C79">
        <w:rPr>
          <w:rFonts w:ascii="Times New Roman" w:hAnsi="Times New Roman" w:cs="Times New Roman"/>
          <w:sz w:val="24"/>
          <w:szCs w:val="24"/>
        </w:rPr>
        <w:t xml:space="preserve"> shows a fluctuation trend in the coverage of five LULC classes in the Ondo afforestation plot. In 1984, the proportion of dense vegetation, sparse vegetation, built-up, rock</w:t>
      </w:r>
      <w:r>
        <w:rPr>
          <w:rFonts w:ascii="Times New Roman" w:hAnsi="Times New Roman" w:cs="Times New Roman"/>
          <w:sz w:val="24"/>
          <w:szCs w:val="24"/>
        </w:rPr>
        <w:t>,</w:t>
      </w:r>
      <w:r w:rsidRPr="004B3C79">
        <w:rPr>
          <w:rFonts w:ascii="Times New Roman" w:hAnsi="Times New Roman" w:cs="Times New Roman"/>
          <w:sz w:val="24"/>
          <w:szCs w:val="24"/>
        </w:rPr>
        <w:t xml:space="preserve"> and bare ground, and water </w:t>
      </w:r>
      <w:r>
        <w:rPr>
          <w:rFonts w:ascii="Times New Roman" w:hAnsi="Times New Roman" w:cs="Times New Roman"/>
          <w:sz w:val="24"/>
          <w:szCs w:val="24"/>
        </w:rPr>
        <w:t>bodies</w:t>
      </w:r>
      <w:r w:rsidRPr="004B3C79">
        <w:rPr>
          <w:rFonts w:ascii="Times New Roman" w:hAnsi="Times New Roman" w:cs="Times New Roman"/>
          <w:sz w:val="24"/>
          <w:szCs w:val="24"/>
        </w:rPr>
        <w:t xml:space="preserve"> was 68.98%, 26.61%, 2.85%, 0.56%, and 0.00%, respectively. In 2002, it was 83.13%, 4.79%, 0.00%, 12.08%, and 0.00%. Also, for the year 2014, the dense vegetation, sparse vegetation, built-up, Rock and bare ground, and water body are 96.41%, 1.89%, 1.16%, 0.54%, and 0.01% respectively. Finally, the proportion of coverage of the dense vegetation, sparse vegetation, built-up, Rock and bare ground, and water body for the year 2024 is 83.13%, 4.79%, 0.00%, 12.08%, and 0.00% respectively. This implied that fluctuati</w:t>
      </w:r>
      <w:r>
        <w:rPr>
          <w:rFonts w:ascii="Times New Roman" w:hAnsi="Times New Roman" w:cs="Times New Roman"/>
          <w:sz w:val="24"/>
          <w:szCs w:val="24"/>
        </w:rPr>
        <w:t>ng negative changes</w:t>
      </w:r>
      <w:r w:rsidRPr="004B3C79">
        <w:rPr>
          <w:rFonts w:ascii="Times New Roman" w:hAnsi="Times New Roman" w:cs="Times New Roman"/>
          <w:sz w:val="24"/>
          <w:szCs w:val="24"/>
        </w:rPr>
        <w:t xml:space="preserve"> of the LULC classes </w:t>
      </w:r>
      <w:r>
        <w:rPr>
          <w:rFonts w:ascii="Times New Roman" w:hAnsi="Times New Roman" w:cs="Times New Roman"/>
          <w:sz w:val="24"/>
          <w:szCs w:val="24"/>
        </w:rPr>
        <w:t>were</w:t>
      </w:r>
      <w:r w:rsidRPr="004B3C79">
        <w:rPr>
          <w:rFonts w:ascii="Times New Roman" w:hAnsi="Times New Roman" w:cs="Times New Roman"/>
          <w:sz w:val="24"/>
          <w:szCs w:val="24"/>
        </w:rPr>
        <w:t xml:space="preserve"> detected in the LULC classes in the Ondo afforestation plot</w:t>
      </w:r>
      <w:r>
        <w:rPr>
          <w:rFonts w:ascii="Times New Roman" w:hAnsi="Times New Roman" w:cs="Times New Roman"/>
          <w:sz w:val="24"/>
          <w:szCs w:val="24"/>
        </w:rPr>
        <w:t>.</w:t>
      </w:r>
    </w:p>
    <w:p w14:paraId="5058B402" w14:textId="77777777" w:rsidR="00800BF8" w:rsidRPr="005A5E19" w:rsidRDefault="00800BF8" w:rsidP="00064F39">
      <w:pPr>
        <w:spacing w:before="240" w:after="0" w:line="240" w:lineRule="auto"/>
        <w:rPr>
          <w:rFonts w:ascii="Times New Roman" w:hAnsi="Times New Roman" w:cs="Times New Roman"/>
          <w:b/>
          <w:bCs/>
          <w:sz w:val="24"/>
          <w:szCs w:val="24"/>
        </w:rPr>
      </w:pPr>
      <w:r w:rsidRPr="005A5E19">
        <w:rPr>
          <w:rFonts w:ascii="Times New Roman" w:hAnsi="Times New Roman" w:cs="Times New Roman"/>
          <w:b/>
          <w:bCs/>
          <w:sz w:val="24"/>
          <w:szCs w:val="24"/>
        </w:rPr>
        <w:t xml:space="preserve">Land Use/Cover Classification for </w:t>
      </w:r>
      <w:proofErr w:type="spellStart"/>
      <w:r w:rsidRPr="005A5E19">
        <w:rPr>
          <w:rFonts w:ascii="Times New Roman" w:hAnsi="Times New Roman" w:cs="Times New Roman"/>
          <w:b/>
          <w:bCs/>
          <w:sz w:val="24"/>
          <w:szCs w:val="24"/>
        </w:rPr>
        <w:t>Oyinmo</w:t>
      </w:r>
      <w:proofErr w:type="spellEnd"/>
      <w:r w:rsidRPr="005A5E19">
        <w:rPr>
          <w:rFonts w:ascii="Times New Roman" w:hAnsi="Times New Roman" w:cs="Times New Roman"/>
          <w:b/>
          <w:bCs/>
          <w:sz w:val="24"/>
          <w:szCs w:val="24"/>
        </w:rPr>
        <w:t xml:space="preserve"> Forest Reserve</w:t>
      </w:r>
      <w:r>
        <w:rPr>
          <w:rFonts w:ascii="Times New Roman" w:hAnsi="Times New Roman" w:cs="Times New Roman"/>
          <w:b/>
          <w:bCs/>
          <w:sz w:val="24"/>
          <w:szCs w:val="24"/>
        </w:rPr>
        <w:t xml:space="preserve"> (OFR)</w:t>
      </w:r>
    </w:p>
    <w:p w14:paraId="75FE8551" w14:textId="77777777" w:rsidR="00800BF8" w:rsidRDefault="00800BF8" w:rsidP="00064F39">
      <w:pPr>
        <w:pStyle w:val="NormalWeb"/>
        <w:spacing w:before="0" w:beforeAutospacing="0" w:after="0" w:afterAutospacing="0"/>
        <w:jc w:val="both"/>
      </w:pPr>
      <w:r w:rsidRPr="00451D69">
        <w:t>The LULC classification maps of the years 1984</w:t>
      </w:r>
      <w:r>
        <w:t>,</w:t>
      </w:r>
      <w:r w:rsidRPr="00451D69">
        <w:t xml:space="preserve"> 200</w:t>
      </w:r>
      <w:r>
        <w:t>2</w:t>
      </w:r>
      <w:r w:rsidRPr="00451D69">
        <w:t xml:space="preserve">, 2014, and 2024 produced for the </w:t>
      </w:r>
      <w:proofErr w:type="spellStart"/>
      <w:r w:rsidRPr="005A5E19">
        <w:t>Oyinmo</w:t>
      </w:r>
      <w:proofErr w:type="spellEnd"/>
      <w:r w:rsidRPr="005A5E19">
        <w:t xml:space="preserve"> Forest Reserve</w:t>
      </w:r>
      <w:r>
        <w:t xml:space="preserve"> </w:t>
      </w:r>
      <w:r w:rsidRPr="00451D69">
        <w:t xml:space="preserve">are displayed in Figures </w:t>
      </w:r>
      <w:r>
        <w:t>7</w:t>
      </w:r>
      <w:r w:rsidRPr="00451D69">
        <w:t>,</w:t>
      </w:r>
      <w:r>
        <w:t xml:space="preserve"> 8</w:t>
      </w:r>
      <w:r w:rsidRPr="00451D69">
        <w:t xml:space="preserve">, </w:t>
      </w:r>
      <w:r>
        <w:t xml:space="preserve">9, </w:t>
      </w:r>
      <w:r w:rsidRPr="00451D69">
        <w:t xml:space="preserve">and </w:t>
      </w:r>
      <w:r>
        <w:t>10</w:t>
      </w:r>
      <w:r w:rsidRPr="00451D69">
        <w:t xml:space="preserve">, respectively. Each of these maps includes </w:t>
      </w:r>
      <w:r>
        <w:t xml:space="preserve">the </w:t>
      </w:r>
      <w:r w:rsidRPr="00451D69">
        <w:t xml:space="preserve">5 </w:t>
      </w:r>
      <w:r>
        <w:t xml:space="preserve">primary </w:t>
      </w:r>
      <w:r w:rsidRPr="00451D69">
        <w:t>classes found in the study area.</w:t>
      </w:r>
      <w:r>
        <w:t xml:space="preserve"> Furthermore, t</w:t>
      </w:r>
      <w:r w:rsidRPr="002D2180">
        <w:t>he proportion of</w:t>
      </w:r>
      <w:r>
        <w:t xml:space="preserve"> coverage of the </w:t>
      </w:r>
      <w:r w:rsidRPr="002D2180">
        <w:t xml:space="preserve">5 LULC primary classes for each year (1984, 2002, 2014, and 2024) is presented in Table </w:t>
      </w:r>
      <w:r>
        <w:t>2</w:t>
      </w:r>
      <w:r w:rsidRPr="002D2180">
        <w:t>.</w:t>
      </w:r>
    </w:p>
    <w:p w14:paraId="404D7767" w14:textId="77777777" w:rsidR="00800BF8" w:rsidRDefault="00800BF8" w:rsidP="00064F39">
      <w:pPr>
        <w:pStyle w:val="NormalWeb"/>
        <w:spacing w:before="0" w:beforeAutospacing="0" w:after="0" w:afterAutospacing="0"/>
      </w:pPr>
      <w:r w:rsidRPr="00FF5113">
        <w:rPr>
          <w:noProof/>
          <w:lang w:val="en-US" w:eastAsia="en-US"/>
        </w:rPr>
        <w:drawing>
          <wp:inline distT="0" distB="0" distL="0" distR="0" wp14:anchorId="2E92A036" wp14:editId="5C5178C5">
            <wp:extent cx="5989320" cy="3600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35532" cy="3628230"/>
                    </a:xfrm>
                    <a:prstGeom prst="rect">
                      <a:avLst/>
                    </a:prstGeom>
                    <a:noFill/>
                    <a:ln>
                      <a:noFill/>
                    </a:ln>
                  </pic:spPr>
                </pic:pic>
              </a:graphicData>
            </a:graphic>
          </wp:inline>
        </w:drawing>
      </w:r>
    </w:p>
    <w:p w14:paraId="76EA715F" w14:textId="77777777" w:rsidR="00800BF8" w:rsidRDefault="00800BF8" w:rsidP="00064F39">
      <w:pPr>
        <w:pStyle w:val="NormalWeb"/>
        <w:spacing w:before="0" w:beforeAutospacing="0" w:after="0" w:afterAutospacing="0"/>
        <w:jc w:val="center"/>
      </w:pPr>
      <w:r w:rsidRPr="00DD5CB8">
        <w:rPr>
          <w:b/>
          <w:bCs/>
        </w:rPr>
        <w:lastRenderedPageBreak/>
        <w:t xml:space="preserve">Figure </w:t>
      </w:r>
      <w:r>
        <w:rPr>
          <w:b/>
          <w:bCs/>
        </w:rPr>
        <w:t>7</w:t>
      </w:r>
      <w:r w:rsidRPr="00DD5CB8">
        <w:rPr>
          <w:b/>
          <w:bCs/>
        </w:rPr>
        <w:t>:</w:t>
      </w:r>
      <w:r w:rsidRPr="00DD5CB8">
        <w:t xml:space="preserve"> 198</w:t>
      </w:r>
      <w:r>
        <w:t>4</w:t>
      </w:r>
      <w:r w:rsidRPr="00DD5CB8">
        <w:t xml:space="preserve"> Classified land use land cover Map of </w:t>
      </w:r>
      <w:proofErr w:type="spellStart"/>
      <w:r w:rsidRPr="00DD5CB8">
        <w:t>Oyinmo</w:t>
      </w:r>
      <w:proofErr w:type="spellEnd"/>
      <w:r w:rsidRPr="00DD5CB8">
        <w:t xml:space="preserve"> Forest Reserve (OFR)</w:t>
      </w:r>
    </w:p>
    <w:p w14:paraId="1B0C4A3E" w14:textId="77777777" w:rsidR="00800BF8" w:rsidRPr="00FF5113" w:rsidRDefault="00800BF8" w:rsidP="00064F39">
      <w:pPr>
        <w:pStyle w:val="NormalWeb"/>
        <w:spacing w:before="0" w:beforeAutospacing="0" w:after="0" w:afterAutospacing="0"/>
      </w:pPr>
      <w:r w:rsidRPr="00FF5113">
        <w:rPr>
          <w:noProof/>
          <w:lang w:val="en-US" w:eastAsia="en-US"/>
        </w:rPr>
        <w:drawing>
          <wp:inline distT="0" distB="0" distL="0" distR="0" wp14:anchorId="3BABEA9D" wp14:editId="4D544CB2">
            <wp:extent cx="5656580" cy="4056434"/>
            <wp:effectExtent l="0" t="0" r="127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9517" cy="4108739"/>
                    </a:xfrm>
                    <a:prstGeom prst="rect">
                      <a:avLst/>
                    </a:prstGeom>
                    <a:noFill/>
                    <a:ln>
                      <a:noFill/>
                    </a:ln>
                  </pic:spPr>
                </pic:pic>
              </a:graphicData>
            </a:graphic>
          </wp:inline>
        </w:drawing>
      </w:r>
    </w:p>
    <w:p w14:paraId="4188E266" w14:textId="77777777" w:rsidR="00800BF8" w:rsidRDefault="00800BF8" w:rsidP="00064F39">
      <w:pPr>
        <w:spacing w:after="0" w:line="240" w:lineRule="auto"/>
        <w:jc w:val="center"/>
        <w:rPr>
          <w:rFonts w:ascii="Times New Roman" w:hAnsi="Times New Roman" w:cs="Times New Roman"/>
          <w:sz w:val="24"/>
          <w:szCs w:val="24"/>
        </w:rPr>
      </w:pPr>
      <w:bookmarkStart w:id="2" w:name="_Hlk166238505"/>
      <w:r w:rsidRPr="00747CFB">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Pr="00747CFB">
        <w:rPr>
          <w:rFonts w:ascii="Times New Roman" w:hAnsi="Times New Roman" w:cs="Times New Roman"/>
          <w:sz w:val="24"/>
          <w:szCs w:val="24"/>
        </w:rPr>
        <w:t xml:space="preserve">: </w:t>
      </w:r>
      <w:r>
        <w:rPr>
          <w:rFonts w:ascii="Times New Roman" w:hAnsi="Times New Roman" w:cs="Times New Roman"/>
          <w:sz w:val="24"/>
          <w:szCs w:val="24"/>
        </w:rPr>
        <w:t>2002</w:t>
      </w:r>
      <w:r w:rsidRPr="00DD5CB8">
        <w:rPr>
          <w:rFonts w:ascii="Times New Roman" w:hAnsi="Times New Roman" w:cs="Times New Roman"/>
          <w:sz w:val="24"/>
          <w:szCs w:val="24"/>
        </w:rPr>
        <w:t xml:space="preserve"> Classified land use land cover Map of </w:t>
      </w:r>
      <w:proofErr w:type="spellStart"/>
      <w:r w:rsidRPr="00DD5CB8">
        <w:rPr>
          <w:rFonts w:ascii="Times New Roman" w:hAnsi="Times New Roman" w:cs="Times New Roman"/>
          <w:sz w:val="24"/>
          <w:szCs w:val="24"/>
        </w:rPr>
        <w:t>Oyinmo</w:t>
      </w:r>
      <w:proofErr w:type="spellEnd"/>
      <w:r w:rsidRPr="00DD5CB8">
        <w:rPr>
          <w:rFonts w:ascii="Times New Roman" w:hAnsi="Times New Roman" w:cs="Times New Roman"/>
          <w:sz w:val="24"/>
          <w:szCs w:val="24"/>
        </w:rPr>
        <w:t xml:space="preserve"> Forest Reserve (OFR)</w:t>
      </w:r>
    </w:p>
    <w:bookmarkEnd w:id="2"/>
    <w:p w14:paraId="3B622D89" w14:textId="77777777" w:rsidR="00800BF8" w:rsidRPr="00FF5113" w:rsidRDefault="00800BF8" w:rsidP="00064F39">
      <w:pPr>
        <w:spacing w:after="0" w:line="240" w:lineRule="auto"/>
        <w:jc w:val="center"/>
        <w:rPr>
          <w:rFonts w:ascii="Times New Roman" w:eastAsia="Times New Roman" w:hAnsi="Times New Roman" w:cs="Times New Roman"/>
          <w:sz w:val="24"/>
          <w:szCs w:val="24"/>
          <w:lang w:eastAsia="en-GB"/>
        </w:rPr>
      </w:pPr>
    </w:p>
    <w:p w14:paraId="4079A960" w14:textId="77777777" w:rsidR="00800BF8" w:rsidRDefault="00800BF8" w:rsidP="00064F39">
      <w:pPr>
        <w:pStyle w:val="NormalWeb"/>
        <w:spacing w:before="0" w:beforeAutospacing="0" w:after="0" w:afterAutospacing="0"/>
      </w:pPr>
      <w:r w:rsidRPr="00747CFB">
        <w:rPr>
          <w:noProof/>
          <w:lang w:val="en-US" w:eastAsia="en-US"/>
        </w:rPr>
        <w:drawing>
          <wp:inline distT="0" distB="0" distL="0" distR="0" wp14:anchorId="360F2354" wp14:editId="7DCB1F1C">
            <wp:extent cx="5579634" cy="4105072"/>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3835" cy="4144949"/>
                    </a:xfrm>
                    <a:prstGeom prst="rect">
                      <a:avLst/>
                    </a:prstGeom>
                    <a:noFill/>
                    <a:ln>
                      <a:noFill/>
                    </a:ln>
                  </pic:spPr>
                </pic:pic>
              </a:graphicData>
            </a:graphic>
          </wp:inline>
        </w:drawing>
      </w:r>
    </w:p>
    <w:p w14:paraId="1663A217" w14:textId="77777777" w:rsidR="00800BF8" w:rsidRDefault="00800BF8" w:rsidP="00064F39">
      <w:pPr>
        <w:spacing w:after="0" w:line="240" w:lineRule="auto"/>
        <w:jc w:val="center"/>
        <w:rPr>
          <w:rFonts w:ascii="Times New Roman" w:hAnsi="Times New Roman" w:cs="Times New Roman"/>
          <w:sz w:val="24"/>
          <w:szCs w:val="24"/>
        </w:rPr>
      </w:pPr>
      <w:r w:rsidRPr="00747CFB">
        <w:rPr>
          <w:rFonts w:ascii="Times New Roman" w:hAnsi="Times New Roman" w:cs="Times New Roman"/>
          <w:b/>
          <w:bCs/>
          <w:sz w:val="24"/>
          <w:szCs w:val="24"/>
        </w:rPr>
        <w:t xml:space="preserve">Figure </w:t>
      </w:r>
      <w:r>
        <w:rPr>
          <w:rFonts w:ascii="Times New Roman" w:hAnsi="Times New Roman" w:cs="Times New Roman"/>
          <w:b/>
          <w:bCs/>
          <w:sz w:val="24"/>
          <w:szCs w:val="24"/>
        </w:rPr>
        <w:t>9</w:t>
      </w:r>
      <w:r w:rsidRPr="00747CFB">
        <w:rPr>
          <w:rFonts w:ascii="Times New Roman" w:hAnsi="Times New Roman" w:cs="Times New Roman"/>
          <w:sz w:val="24"/>
          <w:szCs w:val="24"/>
        </w:rPr>
        <w:t xml:space="preserve">: </w:t>
      </w:r>
      <w:r>
        <w:rPr>
          <w:rFonts w:ascii="Times New Roman" w:hAnsi="Times New Roman" w:cs="Times New Roman"/>
          <w:sz w:val="24"/>
          <w:szCs w:val="24"/>
        </w:rPr>
        <w:t>2014</w:t>
      </w:r>
      <w:r w:rsidRPr="00DD5CB8">
        <w:rPr>
          <w:rFonts w:ascii="Times New Roman" w:hAnsi="Times New Roman" w:cs="Times New Roman"/>
          <w:sz w:val="24"/>
          <w:szCs w:val="24"/>
        </w:rPr>
        <w:t xml:space="preserve"> Classified land use land cover Map of </w:t>
      </w:r>
      <w:proofErr w:type="spellStart"/>
      <w:r w:rsidRPr="00DD5CB8">
        <w:rPr>
          <w:rFonts w:ascii="Times New Roman" w:hAnsi="Times New Roman" w:cs="Times New Roman"/>
          <w:sz w:val="24"/>
          <w:szCs w:val="24"/>
        </w:rPr>
        <w:t>Oyinmo</w:t>
      </w:r>
      <w:proofErr w:type="spellEnd"/>
      <w:r w:rsidRPr="00DD5CB8">
        <w:rPr>
          <w:rFonts w:ascii="Times New Roman" w:hAnsi="Times New Roman" w:cs="Times New Roman"/>
          <w:sz w:val="24"/>
          <w:szCs w:val="24"/>
        </w:rPr>
        <w:t xml:space="preserve"> Forest Reserve (OFR)</w:t>
      </w:r>
    </w:p>
    <w:p w14:paraId="5A5BB202" w14:textId="3C93087D" w:rsidR="00800BF8" w:rsidRPr="00651099" w:rsidRDefault="00800BF8" w:rsidP="00651099">
      <w:pPr>
        <w:spacing w:before="100" w:beforeAutospacing="1" w:after="0" w:line="240" w:lineRule="auto"/>
        <w:rPr>
          <w:rFonts w:ascii="Times New Roman" w:eastAsia="Times New Roman" w:hAnsi="Times New Roman" w:cs="Times New Roman"/>
          <w:sz w:val="24"/>
          <w:szCs w:val="24"/>
          <w:lang w:eastAsia="en-GB"/>
        </w:rPr>
      </w:pPr>
      <w:r w:rsidRPr="00F15DBF">
        <w:rPr>
          <w:rFonts w:ascii="Times New Roman" w:eastAsia="Times New Roman" w:hAnsi="Times New Roman" w:cs="Times New Roman"/>
          <w:noProof/>
          <w:sz w:val="24"/>
          <w:szCs w:val="24"/>
          <w:lang w:val="en-US"/>
        </w:rPr>
        <w:lastRenderedPageBreak/>
        <w:drawing>
          <wp:inline distT="0" distB="0" distL="0" distR="0" wp14:anchorId="74756DF4" wp14:editId="58082259">
            <wp:extent cx="5731442" cy="408561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5239" cy="4102581"/>
                    </a:xfrm>
                    <a:prstGeom prst="rect">
                      <a:avLst/>
                    </a:prstGeom>
                    <a:noFill/>
                    <a:ln>
                      <a:noFill/>
                    </a:ln>
                  </pic:spPr>
                </pic:pic>
              </a:graphicData>
            </a:graphic>
          </wp:inline>
        </w:drawing>
      </w:r>
    </w:p>
    <w:p w14:paraId="0AC8ED31" w14:textId="77777777" w:rsidR="00800BF8" w:rsidRDefault="00800BF8" w:rsidP="00064F39">
      <w:pPr>
        <w:spacing w:after="0" w:line="240" w:lineRule="auto"/>
        <w:jc w:val="center"/>
        <w:rPr>
          <w:rFonts w:ascii="Times New Roman" w:hAnsi="Times New Roman" w:cs="Times New Roman"/>
          <w:b/>
          <w:bCs/>
          <w:sz w:val="24"/>
          <w:szCs w:val="24"/>
        </w:rPr>
      </w:pPr>
      <w:r w:rsidRPr="00747CFB">
        <w:rPr>
          <w:rFonts w:ascii="Times New Roman" w:hAnsi="Times New Roman" w:cs="Times New Roman"/>
          <w:b/>
          <w:bCs/>
          <w:sz w:val="24"/>
          <w:szCs w:val="24"/>
        </w:rPr>
        <w:t xml:space="preserve">Figure </w:t>
      </w:r>
      <w:r>
        <w:rPr>
          <w:rFonts w:ascii="Times New Roman" w:hAnsi="Times New Roman" w:cs="Times New Roman"/>
          <w:b/>
          <w:bCs/>
          <w:sz w:val="24"/>
          <w:szCs w:val="24"/>
        </w:rPr>
        <w:t>10</w:t>
      </w:r>
      <w:r w:rsidRPr="00747CFB">
        <w:rPr>
          <w:rFonts w:ascii="Times New Roman" w:hAnsi="Times New Roman" w:cs="Times New Roman"/>
          <w:sz w:val="24"/>
          <w:szCs w:val="24"/>
        </w:rPr>
        <w:t xml:space="preserve">: </w:t>
      </w:r>
      <w:r>
        <w:rPr>
          <w:rFonts w:ascii="Times New Roman" w:hAnsi="Times New Roman" w:cs="Times New Roman"/>
          <w:sz w:val="24"/>
          <w:szCs w:val="24"/>
        </w:rPr>
        <w:t>2024</w:t>
      </w:r>
      <w:r w:rsidRPr="00DD5CB8">
        <w:rPr>
          <w:rFonts w:ascii="Times New Roman" w:hAnsi="Times New Roman" w:cs="Times New Roman"/>
          <w:sz w:val="24"/>
          <w:szCs w:val="24"/>
        </w:rPr>
        <w:t xml:space="preserve"> Classified land use land cover Map of </w:t>
      </w:r>
      <w:proofErr w:type="spellStart"/>
      <w:r w:rsidRPr="00DD5CB8">
        <w:rPr>
          <w:rFonts w:ascii="Times New Roman" w:hAnsi="Times New Roman" w:cs="Times New Roman"/>
          <w:sz w:val="24"/>
          <w:szCs w:val="24"/>
        </w:rPr>
        <w:t>Oyinmo</w:t>
      </w:r>
      <w:proofErr w:type="spellEnd"/>
      <w:r w:rsidRPr="00DD5CB8">
        <w:rPr>
          <w:rFonts w:ascii="Times New Roman" w:hAnsi="Times New Roman" w:cs="Times New Roman"/>
          <w:sz w:val="24"/>
          <w:szCs w:val="24"/>
        </w:rPr>
        <w:t xml:space="preserve"> Forest Reserve (OFR)</w:t>
      </w:r>
      <w:bookmarkStart w:id="3" w:name="_Hlk166238365"/>
    </w:p>
    <w:p w14:paraId="59402AF2" w14:textId="77777777" w:rsidR="00800BF8" w:rsidRPr="001377EB" w:rsidRDefault="00800BF8" w:rsidP="00064F39">
      <w:pPr>
        <w:spacing w:after="0" w:line="240" w:lineRule="auto"/>
        <w:rPr>
          <w:rFonts w:ascii="Times New Roman" w:hAnsi="Times New Roman" w:cs="Times New Roman"/>
          <w:b/>
          <w:bCs/>
          <w:sz w:val="24"/>
          <w:szCs w:val="24"/>
        </w:rPr>
      </w:pPr>
      <w:r w:rsidRPr="001377EB">
        <w:rPr>
          <w:rFonts w:ascii="Times New Roman" w:hAnsi="Times New Roman" w:cs="Times New Roman"/>
          <w:b/>
          <w:bCs/>
          <w:sz w:val="24"/>
          <w:szCs w:val="24"/>
        </w:rPr>
        <w:t xml:space="preserve">Table </w:t>
      </w:r>
      <w:r>
        <w:rPr>
          <w:rFonts w:ascii="Times New Roman" w:hAnsi="Times New Roman" w:cs="Times New Roman"/>
          <w:b/>
          <w:bCs/>
          <w:sz w:val="24"/>
          <w:szCs w:val="24"/>
        </w:rPr>
        <w:t>2</w:t>
      </w:r>
      <w:r w:rsidRPr="001377EB">
        <w:rPr>
          <w:rFonts w:ascii="Times New Roman" w:hAnsi="Times New Roman" w:cs="Times New Roman"/>
          <w:b/>
          <w:bCs/>
          <w:sz w:val="24"/>
          <w:szCs w:val="24"/>
        </w:rPr>
        <w:t xml:space="preserve">: Land Use/Land Cover </w:t>
      </w:r>
      <w:r>
        <w:rPr>
          <w:rFonts w:ascii="Times New Roman" w:hAnsi="Times New Roman" w:cs="Times New Roman"/>
          <w:b/>
          <w:bCs/>
          <w:sz w:val="24"/>
          <w:szCs w:val="24"/>
        </w:rPr>
        <w:t xml:space="preserve">Changes </w:t>
      </w:r>
      <w:r w:rsidRPr="001377EB">
        <w:rPr>
          <w:rFonts w:ascii="Times New Roman" w:hAnsi="Times New Roman" w:cs="Times New Roman"/>
          <w:b/>
          <w:bCs/>
          <w:sz w:val="24"/>
          <w:szCs w:val="24"/>
        </w:rPr>
        <w:t xml:space="preserve">for </w:t>
      </w:r>
      <w:bookmarkStart w:id="4" w:name="_Hlk164177246"/>
      <w:proofErr w:type="spellStart"/>
      <w:r w:rsidRPr="001377EB">
        <w:rPr>
          <w:rFonts w:ascii="Times New Roman" w:hAnsi="Times New Roman" w:cs="Times New Roman"/>
          <w:b/>
          <w:bCs/>
          <w:sz w:val="24"/>
          <w:szCs w:val="24"/>
        </w:rPr>
        <w:t>Oyinmo</w:t>
      </w:r>
      <w:proofErr w:type="spellEnd"/>
      <w:r w:rsidRPr="001377EB">
        <w:rPr>
          <w:rFonts w:ascii="Times New Roman" w:hAnsi="Times New Roman" w:cs="Times New Roman"/>
          <w:b/>
          <w:bCs/>
          <w:sz w:val="24"/>
          <w:szCs w:val="24"/>
        </w:rPr>
        <w:t xml:space="preserve"> Forest Reserve</w:t>
      </w:r>
      <w:bookmarkEnd w:id="4"/>
      <w:r w:rsidRPr="001377EB">
        <w:rPr>
          <w:rFonts w:ascii="Times New Roman" w:hAnsi="Times New Roman" w:cs="Times New Roman"/>
          <w:b/>
          <w:bCs/>
          <w:sz w:val="24"/>
          <w:szCs w:val="24"/>
        </w:rPr>
        <w:t xml:space="preserve"> (</w:t>
      </w:r>
      <w:r>
        <w:rPr>
          <w:rFonts w:ascii="Times New Roman" w:hAnsi="Times New Roman" w:cs="Times New Roman"/>
          <w:b/>
          <w:bCs/>
          <w:sz w:val="24"/>
          <w:szCs w:val="24"/>
        </w:rPr>
        <w:t>1984-2024</w:t>
      </w:r>
      <w:r w:rsidRPr="001377EB">
        <w:rPr>
          <w:rFonts w:ascii="Times New Roman" w:hAnsi="Times New Roman" w:cs="Times New Roman"/>
          <w:b/>
          <w:bCs/>
          <w:sz w:val="24"/>
          <w:szCs w:val="24"/>
        </w:rPr>
        <w:t>)</w:t>
      </w:r>
    </w:p>
    <w:tbl>
      <w:tblPr>
        <w:tblW w:w="8270" w:type="dxa"/>
        <w:tblLook w:val="04A0" w:firstRow="1" w:lastRow="0" w:firstColumn="1" w:lastColumn="0" w:noHBand="0" w:noVBand="1"/>
      </w:tblPr>
      <w:tblGrid>
        <w:gridCol w:w="2424"/>
        <w:gridCol w:w="960"/>
        <w:gridCol w:w="960"/>
        <w:gridCol w:w="1003"/>
        <w:gridCol w:w="960"/>
        <w:gridCol w:w="960"/>
        <w:gridCol w:w="1003"/>
      </w:tblGrid>
      <w:tr w:rsidR="00800BF8" w:rsidRPr="002E3D52" w14:paraId="7330F168" w14:textId="77777777" w:rsidTr="000B1643">
        <w:trPr>
          <w:trHeight w:val="315"/>
        </w:trPr>
        <w:tc>
          <w:tcPr>
            <w:tcW w:w="2424" w:type="dxa"/>
            <w:tcBorders>
              <w:top w:val="single" w:sz="4" w:space="0" w:color="auto"/>
              <w:left w:val="nil"/>
              <w:bottom w:val="nil"/>
              <w:right w:val="nil"/>
            </w:tcBorders>
            <w:noWrap/>
            <w:vAlign w:val="bottom"/>
            <w:hideMark/>
          </w:tcPr>
          <w:bookmarkEnd w:id="3"/>
          <w:p w14:paraId="0DBC5DF5" w14:textId="77777777" w:rsidR="00800BF8" w:rsidRPr="002E3D52" w:rsidRDefault="00800BF8" w:rsidP="00064F39">
            <w:pPr>
              <w:spacing w:after="0" w:line="240" w:lineRule="auto"/>
              <w:rPr>
                <w:rFonts w:ascii="Times New Roman" w:eastAsia="Times New Roman" w:hAnsi="Times New Roman" w:cs="Times New Roman"/>
                <w:b/>
                <w:bCs/>
                <w:color w:val="000000"/>
                <w:sz w:val="24"/>
                <w:szCs w:val="24"/>
              </w:rPr>
            </w:pPr>
            <w:r w:rsidRPr="002E3D52">
              <w:rPr>
                <w:rFonts w:ascii="Times New Roman" w:eastAsia="Times New Roman" w:hAnsi="Times New Roman" w:cs="Times New Roman"/>
                <w:b/>
                <w:bCs/>
                <w:color w:val="000000"/>
                <w:sz w:val="24"/>
                <w:szCs w:val="24"/>
              </w:rPr>
              <w:t xml:space="preserve">OFR </w:t>
            </w:r>
          </w:p>
        </w:tc>
        <w:tc>
          <w:tcPr>
            <w:tcW w:w="960" w:type="dxa"/>
            <w:tcBorders>
              <w:top w:val="single" w:sz="4" w:space="0" w:color="auto"/>
              <w:left w:val="nil"/>
              <w:bottom w:val="nil"/>
              <w:right w:val="nil"/>
            </w:tcBorders>
          </w:tcPr>
          <w:p w14:paraId="0E6D43E4" w14:textId="77777777" w:rsidR="00800BF8" w:rsidRPr="0010550D" w:rsidRDefault="00800BF8" w:rsidP="00064F39">
            <w:pPr>
              <w:spacing w:after="0" w:line="240" w:lineRule="auto"/>
              <w:jc w:val="center"/>
              <w:rPr>
                <w:rFonts w:ascii="Times New Roman" w:eastAsia="Times New Roman" w:hAnsi="Times New Roman" w:cs="Times New Roman"/>
                <w:b/>
                <w:bCs/>
                <w:sz w:val="24"/>
                <w:szCs w:val="24"/>
              </w:rPr>
            </w:pPr>
          </w:p>
        </w:tc>
        <w:tc>
          <w:tcPr>
            <w:tcW w:w="3883" w:type="dxa"/>
            <w:gridSpan w:val="4"/>
            <w:tcBorders>
              <w:top w:val="single" w:sz="4" w:space="0" w:color="auto"/>
              <w:left w:val="nil"/>
              <w:bottom w:val="nil"/>
              <w:right w:val="nil"/>
            </w:tcBorders>
            <w:noWrap/>
            <w:vAlign w:val="bottom"/>
            <w:hideMark/>
          </w:tcPr>
          <w:p w14:paraId="10D24B09" w14:textId="77777777" w:rsidR="00800BF8" w:rsidRPr="0010550D" w:rsidRDefault="00800BF8" w:rsidP="00064F39">
            <w:pPr>
              <w:spacing w:after="0" w:line="240" w:lineRule="auto"/>
              <w:jc w:val="center"/>
              <w:rPr>
                <w:rFonts w:ascii="Times New Roman" w:eastAsia="Times New Roman" w:hAnsi="Times New Roman" w:cs="Times New Roman"/>
                <w:b/>
                <w:bCs/>
                <w:sz w:val="24"/>
                <w:szCs w:val="24"/>
              </w:rPr>
            </w:pPr>
            <w:r w:rsidRPr="00550670">
              <w:rPr>
                <w:rFonts w:ascii="Times New Roman" w:eastAsia="Times New Roman" w:hAnsi="Times New Roman" w:cs="Times New Roman"/>
                <w:b/>
                <w:bCs/>
                <w:sz w:val="24"/>
                <w:szCs w:val="24"/>
              </w:rPr>
              <w:t>Land Use Land Cover</w:t>
            </w:r>
            <w:r>
              <w:rPr>
                <w:rFonts w:ascii="Times New Roman" w:eastAsia="Times New Roman" w:hAnsi="Times New Roman" w:cs="Times New Roman"/>
                <w:b/>
                <w:bCs/>
                <w:sz w:val="24"/>
                <w:szCs w:val="24"/>
              </w:rPr>
              <w:t xml:space="preserve"> Area</w:t>
            </w:r>
          </w:p>
        </w:tc>
        <w:tc>
          <w:tcPr>
            <w:tcW w:w="1003" w:type="dxa"/>
            <w:tcBorders>
              <w:top w:val="single" w:sz="4" w:space="0" w:color="auto"/>
              <w:left w:val="nil"/>
              <w:bottom w:val="nil"/>
              <w:right w:val="nil"/>
            </w:tcBorders>
          </w:tcPr>
          <w:p w14:paraId="6E955D80" w14:textId="77777777" w:rsidR="00800BF8" w:rsidRPr="00550670" w:rsidRDefault="00800BF8" w:rsidP="00064F39">
            <w:pPr>
              <w:spacing w:after="0" w:line="240" w:lineRule="auto"/>
              <w:jc w:val="center"/>
              <w:rPr>
                <w:rFonts w:ascii="Times New Roman" w:eastAsia="Times New Roman" w:hAnsi="Times New Roman" w:cs="Times New Roman"/>
                <w:b/>
                <w:bCs/>
                <w:sz w:val="24"/>
                <w:szCs w:val="24"/>
              </w:rPr>
            </w:pPr>
          </w:p>
        </w:tc>
      </w:tr>
      <w:tr w:rsidR="00800BF8" w:rsidRPr="002E3D52" w14:paraId="621372B0" w14:textId="77777777" w:rsidTr="000B1643">
        <w:trPr>
          <w:trHeight w:val="300"/>
        </w:trPr>
        <w:tc>
          <w:tcPr>
            <w:tcW w:w="2424" w:type="dxa"/>
            <w:tcBorders>
              <w:top w:val="single" w:sz="4" w:space="0" w:color="auto"/>
              <w:left w:val="nil"/>
              <w:bottom w:val="single" w:sz="4" w:space="0" w:color="auto"/>
              <w:right w:val="nil"/>
            </w:tcBorders>
            <w:noWrap/>
            <w:vAlign w:val="bottom"/>
            <w:hideMark/>
          </w:tcPr>
          <w:p w14:paraId="37AA1100" w14:textId="77777777" w:rsidR="00800BF8" w:rsidRPr="00B630F9" w:rsidRDefault="00800BF8" w:rsidP="00064F39">
            <w:pPr>
              <w:spacing w:after="0" w:line="240" w:lineRule="auto"/>
              <w:rPr>
                <w:rFonts w:ascii="Times New Roman" w:eastAsia="Times New Roman" w:hAnsi="Times New Roman" w:cs="Times New Roman"/>
                <w:b/>
                <w:bCs/>
                <w:color w:val="000000"/>
                <w:sz w:val="24"/>
                <w:szCs w:val="24"/>
              </w:rPr>
            </w:pPr>
            <w:r w:rsidRPr="00B630F9">
              <w:rPr>
                <w:rFonts w:ascii="Times New Roman" w:eastAsia="Times New Roman" w:hAnsi="Times New Roman" w:cs="Times New Roman"/>
                <w:b/>
                <w:bCs/>
                <w:color w:val="000000"/>
                <w:sz w:val="24"/>
                <w:szCs w:val="24"/>
              </w:rPr>
              <w:t> Classes</w:t>
            </w:r>
          </w:p>
        </w:tc>
        <w:tc>
          <w:tcPr>
            <w:tcW w:w="960" w:type="dxa"/>
            <w:tcBorders>
              <w:top w:val="single" w:sz="4" w:space="0" w:color="auto"/>
              <w:left w:val="nil"/>
              <w:bottom w:val="single" w:sz="4" w:space="0" w:color="auto"/>
              <w:right w:val="nil"/>
            </w:tcBorders>
          </w:tcPr>
          <w:p w14:paraId="125B0E56" w14:textId="77777777" w:rsidR="00800BF8" w:rsidRPr="002E3D52" w:rsidRDefault="00800BF8" w:rsidP="00064F3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YEAR</w:t>
            </w:r>
          </w:p>
        </w:tc>
        <w:tc>
          <w:tcPr>
            <w:tcW w:w="960" w:type="dxa"/>
            <w:tcBorders>
              <w:top w:val="single" w:sz="4" w:space="0" w:color="auto"/>
              <w:left w:val="nil"/>
              <w:bottom w:val="single" w:sz="4" w:space="0" w:color="auto"/>
              <w:right w:val="nil"/>
            </w:tcBorders>
            <w:noWrap/>
            <w:vAlign w:val="bottom"/>
            <w:hideMark/>
          </w:tcPr>
          <w:p w14:paraId="4A41AAD8" w14:textId="77777777" w:rsidR="00800BF8" w:rsidRPr="002E3D52" w:rsidRDefault="00800BF8" w:rsidP="00064F39">
            <w:pPr>
              <w:spacing w:after="0" w:line="240" w:lineRule="auto"/>
              <w:jc w:val="center"/>
              <w:rPr>
                <w:rFonts w:ascii="Times New Roman" w:eastAsia="Times New Roman" w:hAnsi="Times New Roman" w:cs="Times New Roman"/>
                <w:b/>
                <w:bCs/>
                <w:color w:val="000000"/>
                <w:sz w:val="24"/>
                <w:szCs w:val="24"/>
              </w:rPr>
            </w:pPr>
            <w:r w:rsidRPr="002E3D52">
              <w:rPr>
                <w:rFonts w:ascii="Times New Roman" w:eastAsia="Times New Roman" w:hAnsi="Times New Roman" w:cs="Times New Roman"/>
                <w:b/>
                <w:bCs/>
                <w:color w:val="000000"/>
                <w:sz w:val="24"/>
                <w:szCs w:val="24"/>
              </w:rPr>
              <w:t>1984</w:t>
            </w:r>
          </w:p>
        </w:tc>
        <w:tc>
          <w:tcPr>
            <w:tcW w:w="1003" w:type="dxa"/>
            <w:tcBorders>
              <w:top w:val="single" w:sz="4" w:space="0" w:color="auto"/>
              <w:left w:val="nil"/>
              <w:bottom w:val="single" w:sz="4" w:space="0" w:color="auto"/>
              <w:right w:val="nil"/>
            </w:tcBorders>
            <w:noWrap/>
            <w:vAlign w:val="bottom"/>
            <w:hideMark/>
          </w:tcPr>
          <w:p w14:paraId="544403BF" w14:textId="77777777" w:rsidR="00800BF8" w:rsidRPr="002E3D52" w:rsidRDefault="00800BF8" w:rsidP="00064F39">
            <w:pPr>
              <w:spacing w:after="0" w:line="240" w:lineRule="auto"/>
              <w:jc w:val="center"/>
              <w:rPr>
                <w:rFonts w:ascii="Times New Roman" w:eastAsia="Times New Roman" w:hAnsi="Times New Roman" w:cs="Times New Roman"/>
                <w:b/>
                <w:bCs/>
                <w:color w:val="000000"/>
                <w:sz w:val="24"/>
                <w:szCs w:val="24"/>
              </w:rPr>
            </w:pPr>
            <w:r w:rsidRPr="002E3D52">
              <w:rPr>
                <w:rFonts w:ascii="Times New Roman" w:eastAsia="Times New Roman" w:hAnsi="Times New Roman" w:cs="Times New Roman"/>
                <w:b/>
                <w:bCs/>
                <w:color w:val="000000"/>
                <w:sz w:val="24"/>
                <w:szCs w:val="24"/>
              </w:rPr>
              <w:t>2002</w:t>
            </w:r>
          </w:p>
        </w:tc>
        <w:tc>
          <w:tcPr>
            <w:tcW w:w="960" w:type="dxa"/>
            <w:tcBorders>
              <w:top w:val="single" w:sz="4" w:space="0" w:color="auto"/>
              <w:left w:val="nil"/>
              <w:bottom w:val="single" w:sz="4" w:space="0" w:color="auto"/>
              <w:right w:val="nil"/>
            </w:tcBorders>
            <w:noWrap/>
            <w:vAlign w:val="bottom"/>
            <w:hideMark/>
          </w:tcPr>
          <w:p w14:paraId="5050AA13" w14:textId="77777777" w:rsidR="00800BF8" w:rsidRPr="002E3D52" w:rsidRDefault="00800BF8" w:rsidP="00064F39">
            <w:pPr>
              <w:spacing w:after="0" w:line="240" w:lineRule="auto"/>
              <w:jc w:val="center"/>
              <w:rPr>
                <w:rFonts w:ascii="Times New Roman" w:eastAsia="Times New Roman" w:hAnsi="Times New Roman" w:cs="Times New Roman"/>
                <w:b/>
                <w:bCs/>
                <w:color w:val="000000"/>
                <w:sz w:val="24"/>
                <w:szCs w:val="24"/>
              </w:rPr>
            </w:pPr>
            <w:r w:rsidRPr="002E3D52">
              <w:rPr>
                <w:rFonts w:ascii="Times New Roman" w:eastAsia="Times New Roman" w:hAnsi="Times New Roman" w:cs="Times New Roman"/>
                <w:b/>
                <w:bCs/>
                <w:color w:val="000000"/>
                <w:sz w:val="24"/>
                <w:szCs w:val="24"/>
              </w:rPr>
              <w:t>2014</w:t>
            </w:r>
          </w:p>
        </w:tc>
        <w:tc>
          <w:tcPr>
            <w:tcW w:w="960" w:type="dxa"/>
            <w:tcBorders>
              <w:top w:val="single" w:sz="4" w:space="0" w:color="auto"/>
              <w:left w:val="nil"/>
              <w:bottom w:val="single" w:sz="4" w:space="0" w:color="auto"/>
              <w:right w:val="nil"/>
            </w:tcBorders>
            <w:noWrap/>
            <w:vAlign w:val="bottom"/>
            <w:hideMark/>
          </w:tcPr>
          <w:p w14:paraId="41998620" w14:textId="77777777" w:rsidR="00800BF8" w:rsidRPr="002E3D52" w:rsidRDefault="00800BF8" w:rsidP="00064F39">
            <w:pPr>
              <w:spacing w:after="0" w:line="240" w:lineRule="auto"/>
              <w:jc w:val="center"/>
              <w:rPr>
                <w:rFonts w:ascii="Times New Roman" w:eastAsia="Times New Roman" w:hAnsi="Times New Roman" w:cs="Times New Roman"/>
                <w:b/>
                <w:bCs/>
                <w:color w:val="000000"/>
                <w:sz w:val="24"/>
                <w:szCs w:val="24"/>
              </w:rPr>
            </w:pPr>
            <w:r w:rsidRPr="002E3D52">
              <w:rPr>
                <w:rFonts w:ascii="Times New Roman" w:eastAsia="Times New Roman" w:hAnsi="Times New Roman" w:cs="Times New Roman"/>
                <w:b/>
                <w:bCs/>
                <w:color w:val="000000"/>
                <w:sz w:val="24"/>
                <w:szCs w:val="24"/>
              </w:rPr>
              <w:t>2024</w:t>
            </w:r>
          </w:p>
        </w:tc>
        <w:tc>
          <w:tcPr>
            <w:tcW w:w="1003" w:type="dxa"/>
            <w:tcBorders>
              <w:top w:val="single" w:sz="4" w:space="0" w:color="auto"/>
              <w:left w:val="nil"/>
              <w:bottom w:val="single" w:sz="4" w:space="0" w:color="auto"/>
              <w:right w:val="nil"/>
            </w:tcBorders>
          </w:tcPr>
          <w:p w14:paraId="39BB50B1" w14:textId="77777777" w:rsidR="00800BF8" w:rsidRPr="002E3D52" w:rsidRDefault="00800BF8" w:rsidP="00064F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Change</w:t>
            </w:r>
          </w:p>
        </w:tc>
      </w:tr>
      <w:tr w:rsidR="00800BF8" w:rsidRPr="002E3D52" w14:paraId="217EDDA3" w14:textId="77777777" w:rsidTr="000B1643">
        <w:trPr>
          <w:trHeight w:val="300"/>
        </w:trPr>
        <w:tc>
          <w:tcPr>
            <w:tcW w:w="3384" w:type="dxa"/>
            <w:gridSpan w:val="2"/>
            <w:tcBorders>
              <w:top w:val="nil"/>
              <w:left w:val="nil"/>
              <w:right w:val="nil"/>
            </w:tcBorders>
            <w:noWrap/>
            <w:vAlign w:val="bottom"/>
          </w:tcPr>
          <w:p w14:paraId="1F23A25B"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tcPr>
          <w:p w14:paraId="35183D6C"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1003" w:type="dxa"/>
            <w:tcBorders>
              <w:top w:val="nil"/>
              <w:left w:val="nil"/>
              <w:bottom w:val="nil"/>
              <w:right w:val="nil"/>
            </w:tcBorders>
            <w:noWrap/>
            <w:vAlign w:val="bottom"/>
          </w:tcPr>
          <w:p w14:paraId="7DF93332"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960" w:type="dxa"/>
            <w:tcBorders>
              <w:top w:val="nil"/>
              <w:left w:val="nil"/>
              <w:bottom w:val="nil"/>
              <w:right w:val="nil"/>
            </w:tcBorders>
            <w:noWrap/>
            <w:vAlign w:val="bottom"/>
          </w:tcPr>
          <w:p w14:paraId="5C2DF2A2"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960" w:type="dxa"/>
            <w:tcBorders>
              <w:top w:val="nil"/>
              <w:left w:val="nil"/>
              <w:bottom w:val="nil"/>
              <w:right w:val="nil"/>
            </w:tcBorders>
            <w:noWrap/>
            <w:vAlign w:val="bottom"/>
          </w:tcPr>
          <w:p w14:paraId="69C21939"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1003" w:type="dxa"/>
            <w:tcBorders>
              <w:top w:val="nil"/>
              <w:left w:val="nil"/>
              <w:bottom w:val="nil"/>
              <w:right w:val="nil"/>
            </w:tcBorders>
          </w:tcPr>
          <w:p w14:paraId="564EA0E2"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800BF8" w:rsidRPr="002E3D52" w14:paraId="3D3DE745" w14:textId="77777777" w:rsidTr="000B1643">
        <w:trPr>
          <w:trHeight w:val="300"/>
        </w:trPr>
        <w:tc>
          <w:tcPr>
            <w:tcW w:w="3384" w:type="dxa"/>
            <w:gridSpan w:val="2"/>
            <w:vMerge w:val="restart"/>
            <w:tcBorders>
              <w:top w:val="nil"/>
              <w:left w:val="nil"/>
              <w:right w:val="nil"/>
            </w:tcBorders>
            <w:noWrap/>
            <w:vAlign w:val="bottom"/>
            <w:hideMark/>
          </w:tcPr>
          <w:p w14:paraId="1B098065"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bookmarkStart w:id="5" w:name="_Hlk164178694"/>
            <w:r w:rsidRPr="002E3D52">
              <w:rPr>
                <w:rFonts w:ascii="Times New Roman" w:eastAsia="Times New Roman" w:hAnsi="Times New Roman" w:cs="Times New Roman"/>
                <w:color w:val="000000"/>
                <w:sz w:val="24"/>
                <w:szCs w:val="24"/>
              </w:rPr>
              <w:t>Dense Vegetation</w:t>
            </w:r>
          </w:p>
          <w:p w14:paraId="568F75C9"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Sparse Vegetation</w:t>
            </w:r>
          </w:p>
          <w:p w14:paraId="58A68AB7"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Built-Up</w:t>
            </w:r>
          </w:p>
          <w:p w14:paraId="08248180"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Rock and Bare ground</w:t>
            </w:r>
          </w:p>
          <w:p w14:paraId="7B88B801" w14:textId="77777777" w:rsidR="00800BF8" w:rsidRPr="002E3D52" w:rsidRDefault="00800BF8" w:rsidP="00064F39">
            <w:pPr>
              <w:spacing w:after="0" w:line="240" w:lineRule="auto"/>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Water Body</w:t>
            </w:r>
          </w:p>
          <w:p w14:paraId="4707FA85"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r w:rsidRPr="002E3D52">
              <w:rPr>
                <w:rFonts w:ascii="Times New Roman" w:eastAsia="Times New Roman" w:hAnsi="Times New Roman" w:cs="Times New Roman"/>
                <w:b/>
                <w:bCs/>
                <w:color w:val="000000"/>
                <w:sz w:val="24"/>
                <w:szCs w:val="24"/>
              </w:rPr>
              <w:t>Total</w:t>
            </w:r>
          </w:p>
        </w:tc>
        <w:tc>
          <w:tcPr>
            <w:tcW w:w="960" w:type="dxa"/>
            <w:tcBorders>
              <w:top w:val="nil"/>
              <w:left w:val="nil"/>
              <w:bottom w:val="nil"/>
              <w:right w:val="nil"/>
            </w:tcBorders>
            <w:noWrap/>
            <w:vAlign w:val="bottom"/>
            <w:hideMark/>
          </w:tcPr>
          <w:p w14:paraId="18229969"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0.87</w:t>
            </w:r>
          </w:p>
        </w:tc>
        <w:tc>
          <w:tcPr>
            <w:tcW w:w="1003" w:type="dxa"/>
            <w:tcBorders>
              <w:top w:val="nil"/>
              <w:left w:val="nil"/>
              <w:bottom w:val="nil"/>
              <w:right w:val="nil"/>
            </w:tcBorders>
            <w:noWrap/>
            <w:vAlign w:val="bottom"/>
            <w:hideMark/>
          </w:tcPr>
          <w:p w14:paraId="02640380"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7.97</w:t>
            </w:r>
          </w:p>
        </w:tc>
        <w:tc>
          <w:tcPr>
            <w:tcW w:w="960" w:type="dxa"/>
            <w:tcBorders>
              <w:top w:val="nil"/>
              <w:left w:val="nil"/>
              <w:bottom w:val="nil"/>
              <w:right w:val="nil"/>
            </w:tcBorders>
            <w:noWrap/>
            <w:vAlign w:val="bottom"/>
            <w:hideMark/>
          </w:tcPr>
          <w:p w14:paraId="51E6FB5F"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0.53</w:t>
            </w:r>
          </w:p>
        </w:tc>
        <w:tc>
          <w:tcPr>
            <w:tcW w:w="960" w:type="dxa"/>
            <w:tcBorders>
              <w:top w:val="nil"/>
              <w:left w:val="nil"/>
              <w:bottom w:val="nil"/>
              <w:right w:val="nil"/>
            </w:tcBorders>
            <w:noWrap/>
            <w:vAlign w:val="bottom"/>
            <w:hideMark/>
          </w:tcPr>
          <w:p w14:paraId="25465C5C"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w:t>
            </w:r>
          </w:p>
        </w:tc>
        <w:tc>
          <w:tcPr>
            <w:tcW w:w="1003" w:type="dxa"/>
            <w:tcBorders>
              <w:top w:val="nil"/>
              <w:left w:val="nil"/>
              <w:bottom w:val="nil"/>
              <w:right w:val="nil"/>
            </w:tcBorders>
          </w:tcPr>
          <w:p w14:paraId="1751EEAB"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r>
      <w:tr w:rsidR="00800BF8" w:rsidRPr="002E3D52" w14:paraId="5AF76B81" w14:textId="77777777" w:rsidTr="000B1643">
        <w:trPr>
          <w:trHeight w:val="300"/>
        </w:trPr>
        <w:tc>
          <w:tcPr>
            <w:tcW w:w="3384" w:type="dxa"/>
            <w:gridSpan w:val="2"/>
            <w:vMerge/>
            <w:tcBorders>
              <w:left w:val="nil"/>
              <w:right w:val="nil"/>
            </w:tcBorders>
            <w:noWrap/>
            <w:vAlign w:val="bottom"/>
            <w:hideMark/>
          </w:tcPr>
          <w:p w14:paraId="0ADE110B"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044097B6"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21.54</w:t>
            </w:r>
          </w:p>
        </w:tc>
        <w:tc>
          <w:tcPr>
            <w:tcW w:w="1003" w:type="dxa"/>
            <w:tcBorders>
              <w:top w:val="nil"/>
              <w:left w:val="nil"/>
              <w:bottom w:val="nil"/>
              <w:right w:val="nil"/>
            </w:tcBorders>
            <w:noWrap/>
            <w:vAlign w:val="bottom"/>
            <w:hideMark/>
          </w:tcPr>
          <w:p w14:paraId="3D08C3E2"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0.09</w:t>
            </w:r>
          </w:p>
        </w:tc>
        <w:tc>
          <w:tcPr>
            <w:tcW w:w="960" w:type="dxa"/>
            <w:tcBorders>
              <w:top w:val="nil"/>
              <w:left w:val="nil"/>
              <w:bottom w:val="nil"/>
              <w:right w:val="nil"/>
            </w:tcBorders>
            <w:noWrap/>
            <w:vAlign w:val="bottom"/>
            <w:hideMark/>
          </w:tcPr>
          <w:p w14:paraId="144F99BC"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71.01</w:t>
            </w:r>
          </w:p>
        </w:tc>
        <w:tc>
          <w:tcPr>
            <w:tcW w:w="960" w:type="dxa"/>
            <w:tcBorders>
              <w:top w:val="nil"/>
              <w:left w:val="nil"/>
              <w:bottom w:val="nil"/>
              <w:right w:val="nil"/>
            </w:tcBorders>
            <w:noWrap/>
            <w:vAlign w:val="bottom"/>
            <w:hideMark/>
          </w:tcPr>
          <w:p w14:paraId="4CC97299"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36.91</w:t>
            </w:r>
          </w:p>
        </w:tc>
        <w:tc>
          <w:tcPr>
            <w:tcW w:w="1003" w:type="dxa"/>
            <w:tcBorders>
              <w:top w:val="nil"/>
              <w:left w:val="nil"/>
              <w:bottom w:val="nil"/>
              <w:right w:val="nil"/>
            </w:tcBorders>
          </w:tcPr>
          <w:p w14:paraId="673E455A"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71.40</w:t>
            </w:r>
          </w:p>
        </w:tc>
      </w:tr>
      <w:tr w:rsidR="00800BF8" w:rsidRPr="002E3D52" w14:paraId="68EDBF91" w14:textId="77777777" w:rsidTr="000B1643">
        <w:trPr>
          <w:trHeight w:val="300"/>
        </w:trPr>
        <w:tc>
          <w:tcPr>
            <w:tcW w:w="3384" w:type="dxa"/>
            <w:gridSpan w:val="2"/>
            <w:vMerge/>
            <w:tcBorders>
              <w:left w:val="nil"/>
              <w:right w:val="nil"/>
            </w:tcBorders>
            <w:noWrap/>
            <w:vAlign w:val="bottom"/>
            <w:hideMark/>
          </w:tcPr>
          <w:p w14:paraId="60E41D96"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2A4FE8A6"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60.37</w:t>
            </w:r>
          </w:p>
        </w:tc>
        <w:tc>
          <w:tcPr>
            <w:tcW w:w="1003" w:type="dxa"/>
            <w:tcBorders>
              <w:top w:val="nil"/>
              <w:left w:val="nil"/>
              <w:bottom w:val="nil"/>
              <w:right w:val="nil"/>
            </w:tcBorders>
            <w:noWrap/>
            <w:vAlign w:val="bottom"/>
            <w:hideMark/>
          </w:tcPr>
          <w:p w14:paraId="569CE406"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0.25</w:t>
            </w:r>
          </w:p>
        </w:tc>
        <w:tc>
          <w:tcPr>
            <w:tcW w:w="960" w:type="dxa"/>
            <w:tcBorders>
              <w:top w:val="nil"/>
              <w:left w:val="nil"/>
              <w:bottom w:val="nil"/>
              <w:right w:val="nil"/>
            </w:tcBorders>
            <w:noWrap/>
            <w:vAlign w:val="bottom"/>
            <w:hideMark/>
          </w:tcPr>
          <w:p w14:paraId="5BE48B1A"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1.53</w:t>
            </w:r>
          </w:p>
        </w:tc>
        <w:tc>
          <w:tcPr>
            <w:tcW w:w="960" w:type="dxa"/>
            <w:tcBorders>
              <w:top w:val="nil"/>
              <w:left w:val="nil"/>
              <w:bottom w:val="nil"/>
              <w:right w:val="nil"/>
            </w:tcBorders>
            <w:noWrap/>
            <w:vAlign w:val="bottom"/>
            <w:hideMark/>
          </w:tcPr>
          <w:p w14:paraId="69B944E0"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11.65</w:t>
            </w:r>
          </w:p>
        </w:tc>
        <w:tc>
          <w:tcPr>
            <w:tcW w:w="1003" w:type="dxa"/>
            <w:tcBorders>
              <w:top w:val="nil"/>
              <w:left w:val="nil"/>
              <w:bottom w:val="nil"/>
              <w:right w:val="nil"/>
            </w:tcBorders>
          </w:tcPr>
          <w:p w14:paraId="03943CD1"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54.89</w:t>
            </w:r>
          </w:p>
        </w:tc>
      </w:tr>
      <w:tr w:rsidR="00800BF8" w:rsidRPr="002E3D52" w14:paraId="42FE6028" w14:textId="77777777" w:rsidTr="000B1643">
        <w:trPr>
          <w:trHeight w:val="300"/>
        </w:trPr>
        <w:tc>
          <w:tcPr>
            <w:tcW w:w="3384" w:type="dxa"/>
            <w:gridSpan w:val="2"/>
            <w:vMerge/>
            <w:tcBorders>
              <w:left w:val="nil"/>
              <w:right w:val="nil"/>
            </w:tcBorders>
            <w:noWrap/>
            <w:vAlign w:val="bottom"/>
            <w:hideMark/>
          </w:tcPr>
          <w:p w14:paraId="03DB0CE0"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05898FC5"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17.22</w:t>
            </w:r>
          </w:p>
        </w:tc>
        <w:tc>
          <w:tcPr>
            <w:tcW w:w="1003" w:type="dxa"/>
            <w:tcBorders>
              <w:top w:val="nil"/>
              <w:left w:val="nil"/>
              <w:bottom w:val="nil"/>
              <w:right w:val="nil"/>
            </w:tcBorders>
            <w:noWrap/>
            <w:vAlign w:val="bottom"/>
            <w:hideMark/>
          </w:tcPr>
          <w:p w14:paraId="095D3A5B"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91.69</w:t>
            </w:r>
          </w:p>
        </w:tc>
        <w:tc>
          <w:tcPr>
            <w:tcW w:w="960" w:type="dxa"/>
            <w:tcBorders>
              <w:top w:val="nil"/>
              <w:left w:val="nil"/>
              <w:bottom w:val="nil"/>
              <w:right w:val="nil"/>
            </w:tcBorders>
            <w:noWrap/>
            <w:vAlign w:val="bottom"/>
            <w:hideMark/>
          </w:tcPr>
          <w:p w14:paraId="58947AF7"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26.93</w:t>
            </w:r>
          </w:p>
        </w:tc>
        <w:tc>
          <w:tcPr>
            <w:tcW w:w="960" w:type="dxa"/>
            <w:tcBorders>
              <w:top w:val="nil"/>
              <w:left w:val="nil"/>
              <w:bottom w:val="nil"/>
              <w:right w:val="nil"/>
            </w:tcBorders>
            <w:noWrap/>
            <w:vAlign w:val="bottom"/>
            <w:hideMark/>
          </w:tcPr>
          <w:p w14:paraId="533E41A0"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51.44</w:t>
            </w:r>
          </w:p>
        </w:tc>
        <w:tc>
          <w:tcPr>
            <w:tcW w:w="1003" w:type="dxa"/>
            <w:tcBorders>
              <w:top w:val="nil"/>
              <w:left w:val="nil"/>
              <w:bottom w:val="nil"/>
              <w:right w:val="nil"/>
            </w:tcBorders>
          </w:tcPr>
          <w:p w14:paraId="1668868C"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67.70</w:t>
            </w:r>
          </w:p>
        </w:tc>
      </w:tr>
      <w:tr w:rsidR="00800BF8" w:rsidRPr="002E3D52" w14:paraId="3C6BBD8A" w14:textId="77777777" w:rsidTr="000B1643">
        <w:trPr>
          <w:trHeight w:val="300"/>
        </w:trPr>
        <w:tc>
          <w:tcPr>
            <w:tcW w:w="3384" w:type="dxa"/>
            <w:gridSpan w:val="2"/>
            <w:vMerge/>
            <w:tcBorders>
              <w:left w:val="nil"/>
              <w:right w:val="nil"/>
            </w:tcBorders>
            <w:noWrap/>
            <w:vAlign w:val="bottom"/>
            <w:hideMark/>
          </w:tcPr>
          <w:p w14:paraId="33BBBA52"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43E7A2D2"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0.00</w:t>
            </w:r>
          </w:p>
        </w:tc>
        <w:tc>
          <w:tcPr>
            <w:tcW w:w="1003" w:type="dxa"/>
            <w:tcBorders>
              <w:top w:val="nil"/>
              <w:left w:val="nil"/>
              <w:bottom w:val="nil"/>
              <w:right w:val="nil"/>
            </w:tcBorders>
            <w:noWrap/>
            <w:vAlign w:val="bottom"/>
            <w:hideMark/>
          </w:tcPr>
          <w:p w14:paraId="285E339F"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40EF32BA"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3379ECDA"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0.00</w:t>
            </w:r>
          </w:p>
        </w:tc>
        <w:tc>
          <w:tcPr>
            <w:tcW w:w="1003" w:type="dxa"/>
            <w:tcBorders>
              <w:top w:val="nil"/>
              <w:left w:val="nil"/>
              <w:bottom w:val="nil"/>
              <w:right w:val="nil"/>
            </w:tcBorders>
          </w:tcPr>
          <w:p w14:paraId="67803485" w14:textId="77777777" w:rsidR="00800BF8" w:rsidRPr="002E3D52"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800BF8" w:rsidRPr="002E3D52" w14:paraId="0B1A5ADA" w14:textId="77777777" w:rsidTr="000B1643">
        <w:trPr>
          <w:trHeight w:val="300"/>
        </w:trPr>
        <w:tc>
          <w:tcPr>
            <w:tcW w:w="3384" w:type="dxa"/>
            <w:gridSpan w:val="2"/>
            <w:vMerge/>
            <w:tcBorders>
              <w:left w:val="nil"/>
              <w:bottom w:val="single" w:sz="4" w:space="0" w:color="auto"/>
              <w:right w:val="nil"/>
            </w:tcBorders>
            <w:noWrap/>
            <w:vAlign w:val="bottom"/>
            <w:hideMark/>
          </w:tcPr>
          <w:p w14:paraId="0C532E34"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noWrap/>
            <w:vAlign w:val="bottom"/>
            <w:hideMark/>
          </w:tcPr>
          <w:p w14:paraId="6E2036E9"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100.00</w:t>
            </w:r>
          </w:p>
        </w:tc>
        <w:tc>
          <w:tcPr>
            <w:tcW w:w="1003" w:type="dxa"/>
            <w:tcBorders>
              <w:top w:val="nil"/>
              <w:left w:val="nil"/>
              <w:bottom w:val="single" w:sz="4" w:space="0" w:color="auto"/>
              <w:right w:val="nil"/>
            </w:tcBorders>
            <w:noWrap/>
            <w:vAlign w:val="bottom"/>
            <w:hideMark/>
          </w:tcPr>
          <w:p w14:paraId="64E7876C"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nil"/>
            </w:tcBorders>
            <w:noWrap/>
            <w:vAlign w:val="bottom"/>
            <w:hideMark/>
          </w:tcPr>
          <w:p w14:paraId="214320F7"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100.00</w:t>
            </w:r>
          </w:p>
        </w:tc>
        <w:tc>
          <w:tcPr>
            <w:tcW w:w="960" w:type="dxa"/>
            <w:tcBorders>
              <w:top w:val="nil"/>
              <w:left w:val="nil"/>
              <w:bottom w:val="single" w:sz="4" w:space="0" w:color="auto"/>
              <w:right w:val="nil"/>
            </w:tcBorders>
            <w:noWrap/>
            <w:vAlign w:val="bottom"/>
            <w:hideMark/>
          </w:tcPr>
          <w:p w14:paraId="27545855"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r w:rsidRPr="002E3D52">
              <w:rPr>
                <w:rFonts w:ascii="Times New Roman" w:eastAsia="Times New Roman" w:hAnsi="Times New Roman" w:cs="Times New Roman"/>
                <w:color w:val="000000"/>
                <w:sz w:val="24"/>
                <w:szCs w:val="24"/>
              </w:rPr>
              <w:t>100.00</w:t>
            </w:r>
          </w:p>
        </w:tc>
        <w:tc>
          <w:tcPr>
            <w:tcW w:w="1003" w:type="dxa"/>
            <w:tcBorders>
              <w:top w:val="nil"/>
              <w:left w:val="nil"/>
              <w:bottom w:val="single" w:sz="4" w:space="0" w:color="auto"/>
              <w:right w:val="nil"/>
            </w:tcBorders>
          </w:tcPr>
          <w:p w14:paraId="69CD7BFC" w14:textId="77777777" w:rsidR="00800BF8" w:rsidRPr="002E3D52" w:rsidRDefault="00800BF8" w:rsidP="00064F39">
            <w:pPr>
              <w:spacing w:after="0" w:line="240" w:lineRule="auto"/>
              <w:jc w:val="right"/>
              <w:rPr>
                <w:rFonts w:ascii="Times New Roman" w:eastAsia="Times New Roman" w:hAnsi="Times New Roman" w:cs="Times New Roman"/>
                <w:color w:val="000000"/>
                <w:sz w:val="24"/>
                <w:szCs w:val="24"/>
              </w:rPr>
            </w:pPr>
          </w:p>
        </w:tc>
      </w:tr>
    </w:tbl>
    <w:bookmarkEnd w:id="5"/>
    <w:p w14:paraId="0D1C0AAE" w14:textId="77777777" w:rsidR="00800BF8" w:rsidRDefault="00800BF8" w:rsidP="00064F3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Source: Author’s Fieldwork, 2024</w:t>
      </w:r>
    </w:p>
    <w:p w14:paraId="07D27282" w14:textId="77777777" w:rsidR="00800BF8" w:rsidRPr="00E4778D" w:rsidRDefault="00800BF8" w:rsidP="00064F39">
      <w:pPr>
        <w:pStyle w:val="NormalWeb"/>
        <w:spacing w:before="0" w:beforeAutospacing="0" w:after="0" w:afterAutospacing="0"/>
        <w:jc w:val="both"/>
      </w:pPr>
      <w:r>
        <w:rPr>
          <w:color w:val="0D0D0D"/>
          <w:shd w:val="clear" w:color="auto" w:fill="FFFFFF"/>
        </w:rPr>
        <w:t>L</w:t>
      </w:r>
      <w:r w:rsidRPr="009A6C72">
        <w:rPr>
          <w:color w:val="0D0D0D"/>
          <w:shd w:val="clear" w:color="auto" w:fill="FFFFFF"/>
        </w:rPr>
        <w:t xml:space="preserve">and cover proportions in the </w:t>
      </w:r>
      <w:proofErr w:type="spellStart"/>
      <w:r w:rsidRPr="009A6C72">
        <w:rPr>
          <w:color w:val="0D0D0D"/>
          <w:shd w:val="clear" w:color="auto" w:fill="FFFFFF"/>
        </w:rPr>
        <w:t>Oyinmo</w:t>
      </w:r>
      <w:proofErr w:type="spellEnd"/>
      <w:r w:rsidRPr="009A6C72">
        <w:rPr>
          <w:color w:val="0D0D0D"/>
          <w:shd w:val="clear" w:color="auto" w:fill="FFFFFF"/>
        </w:rPr>
        <w:t xml:space="preserve"> forest reserve for 1984, 2002, 2014, and 2024</w:t>
      </w:r>
      <w:r>
        <w:rPr>
          <w:color w:val="0D0D0D"/>
          <w:shd w:val="clear" w:color="auto" w:fill="FFFFFF"/>
        </w:rPr>
        <w:t xml:space="preserve"> is presented in </w:t>
      </w:r>
      <w:r w:rsidRPr="009A6C72">
        <w:rPr>
          <w:color w:val="0D0D0D"/>
          <w:shd w:val="clear" w:color="auto" w:fill="FFFFFF"/>
        </w:rPr>
        <w:t xml:space="preserve">Table </w:t>
      </w:r>
      <w:r>
        <w:rPr>
          <w:color w:val="0D0D0D"/>
          <w:shd w:val="clear" w:color="auto" w:fill="FFFFFF"/>
        </w:rPr>
        <w:t>2</w:t>
      </w:r>
      <w:r w:rsidRPr="009A6C72">
        <w:rPr>
          <w:color w:val="0D0D0D"/>
          <w:shd w:val="clear" w:color="auto" w:fill="FFFFFF"/>
        </w:rPr>
        <w:t>. In 1984, built-up areas dominated at 60.37%, followed by sparse vegetation at 21.54%, and smaller proportions of rock and bare ground, dense vegetation, and water bodies. By 2002, dense vegetation had a minimal presence, while built-up areas increased significantly to 91.69%. In 2014, sparse vegetation became predominant at 71.01%, with rock and bare ground also increasing. In 2024</w:t>
      </w:r>
      <w:r>
        <w:rPr>
          <w:color w:val="0D0D0D"/>
          <w:shd w:val="clear" w:color="auto" w:fill="FFFFFF"/>
        </w:rPr>
        <w:t>, there is a significant decrease of 100% for dense vegetation</w:t>
      </w:r>
      <w:r w:rsidRPr="00E4778D">
        <w:rPr>
          <w:color w:val="0D0D0D"/>
          <w:shd w:val="clear" w:color="auto" w:fill="FFFFFF"/>
        </w:rPr>
        <w:t xml:space="preserve"> and a considerable increase of 71.11% for spare vegetation</w:t>
      </w:r>
      <w:r>
        <w:rPr>
          <w:color w:val="0D0D0D"/>
          <w:shd w:val="clear" w:color="auto" w:fill="FFFFFF"/>
        </w:rPr>
        <w:t>.</w:t>
      </w:r>
    </w:p>
    <w:p w14:paraId="2F7F88AB" w14:textId="77777777" w:rsidR="00800BF8" w:rsidRPr="006C033A" w:rsidRDefault="00800BF8" w:rsidP="00064F39">
      <w:pPr>
        <w:spacing w:before="240" w:after="0" w:line="240" w:lineRule="auto"/>
        <w:jc w:val="both"/>
        <w:rPr>
          <w:rFonts w:ascii="Times New Roman" w:hAnsi="Times New Roman" w:cs="Times New Roman"/>
          <w:b/>
          <w:bCs/>
          <w:sz w:val="24"/>
          <w:szCs w:val="24"/>
        </w:rPr>
      </w:pPr>
      <w:r w:rsidRPr="006C033A">
        <w:rPr>
          <w:rFonts w:ascii="Times New Roman" w:hAnsi="Times New Roman" w:cs="Times New Roman"/>
          <w:b/>
          <w:bCs/>
          <w:sz w:val="24"/>
          <w:szCs w:val="24"/>
        </w:rPr>
        <w:t>Land Use/Cover Classification for Akure Forest Reserve (AFR)</w:t>
      </w:r>
    </w:p>
    <w:p w14:paraId="4AAADEBD" w14:textId="77777777" w:rsidR="00800BF8" w:rsidRDefault="00800BF8" w:rsidP="0006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Figures 10, 11, 12, and 13 display the LULC classification maps produced for the Akure Forest Reserve for the years 1984, 2002, 2014, and 2024. Each map includes the 5 primary classes found in the study area. Furthermore, Table 3 presents the proportion of coverage of the 5 LULC primary classes for each year (1984, 2002, 2014, and 2024)</w:t>
      </w:r>
      <w:r w:rsidRPr="006C033A">
        <w:rPr>
          <w:rFonts w:ascii="Times New Roman" w:hAnsi="Times New Roman" w:cs="Times New Roman"/>
          <w:sz w:val="24"/>
          <w:szCs w:val="24"/>
        </w:rPr>
        <w:t>.</w:t>
      </w:r>
    </w:p>
    <w:p w14:paraId="182FD19A" w14:textId="77777777" w:rsidR="00800BF8" w:rsidRDefault="00800BF8" w:rsidP="00064F39">
      <w:pPr>
        <w:spacing w:after="0" w:line="240" w:lineRule="auto"/>
        <w:jc w:val="both"/>
        <w:rPr>
          <w:rFonts w:ascii="Times New Roman" w:hAnsi="Times New Roman" w:cs="Times New Roman"/>
          <w:sz w:val="24"/>
          <w:szCs w:val="24"/>
        </w:rPr>
      </w:pPr>
      <w:r w:rsidRPr="00F3146A">
        <w:rPr>
          <w:noProof/>
          <w:lang w:val="en-US"/>
        </w:rPr>
        <w:lastRenderedPageBreak/>
        <w:drawing>
          <wp:inline distT="0" distB="0" distL="0" distR="0" wp14:anchorId="4B1AA226" wp14:editId="42BADE69">
            <wp:extent cx="5594985" cy="4152900"/>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4740" cy="4167563"/>
                    </a:xfrm>
                    <a:prstGeom prst="rect">
                      <a:avLst/>
                    </a:prstGeom>
                    <a:noFill/>
                    <a:ln>
                      <a:noFill/>
                    </a:ln>
                  </pic:spPr>
                </pic:pic>
              </a:graphicData>
            </a:graphic>
          </wp:inline>
        </w:drawing>
      </w:r>
    </w:p>
    <w:p w14:paraId="7D88CBB8" w14:textId="77777777" w:rsidR="00800BF8" w:rsidRDefault="00800BF8" w:rsidP="00064F39">
      <w:pPr>
        <w:spacing w:after="0" w:line="240" w:lineRule="auto"/>
        <w:jc w:val="center"/>
        <w:rPr>
          <w:rFonts w:ascii="Times New Roman" w:hAnsi="Times New Roman" w:cs="Times New Roman"/>
          <w:sz w:val="24"/>
          <w:szCs w:val="24"/>
        </w:rPr>
      </w:pPr>
      <w:r w:rsidRPr="00E20665">
        <w:rPr>
          <w:rFonts w:ascii="Times New Roman" w:hAnsi="Times New Roman" w:cs="Times New Roman"/>
          <w:b/>
          <w:bCs/>
          <w:sz w:val="24"/>
          <w:szCs w:val="24"/>
        </w:rPr>
        <w:t>Figure 1</w:t>
      </w:r>
      <w:r>
        <w:rPr>
          <w:rFonts w:ascii="Times New Roman" w:hAnsi="Times New Roman" w:cs="Times New Roman"/>
          <w:b/>
          <w:bCs/>
          <w:sz w:val="24"/>
          <w:szCs w:val="24"/>
        </w:rPr>
        <w:t>1</w:t>
      </w:r>
      <w:r w:rsidRPr="00E20665">
        <w:rPr>
          <w:rFonts w:ascii="Times New Roman" w:hAnsi="Times New Roman" w:cs="Times New Roman"/>
          <w:b/>
          <w:bCs/>
          <w:sz w:val="24"/>
          <w:szCs w:val="24"/>
        </w:rPr>
        <w:t>:</w:t>
      </w:r>
      <w:r w:rsidRPr="00E20665">
        <w:rPr>
          <w:rFonts w:ascii="Times New Roman" w:hAnsi="Times New Roman" w:cs="Times New Roman"/>
          <w:sz w:val="24"/>
          <w:szCs w:val="24"/>
        </w:rPr>
        <w:t xml:space="preserve"> 198</w:t>
      </w:r>
      <w:r>
        <w:rPr>
          <w:rFonts w:ascii="Times New Roman" w:hAnsi="Times New Roman" w:cs="Times New Roman"/>
          <w:sz w:val="24"/>
          <w:szCs w:val="24"/>
        </w:rPr>
        <w:t>4</w:t>
      </w:r>
      <w:r w:rsidRPr="00E20665">
        <w:rPr>
          <w:rFonts w:ascii="Times New Roman" w:hAnsi="Times New Roman" w:cs="Times New Roman"/>
          <w:sz w:val="24"/>
          <w:szCs w:val="24"/>
        </w:rPr>
        <w:t xml:space="preserve"> Classified land use land cover Map of </w:t>
      </w:r>
      <w:r>
        <w:rPr>
          <w:rFonts w:ascii="Times New Roman" w:hAnsi="Times New Roman" w:cs="Times New Roman"/>
          <w:sz w:val="24"/>
          <w:szCs w:val="24"/>
        </w:rPr>
        <w:t>Akure</w:t>
      </w:r>
      <w:r w:rsidRPr="00E20665">
        <w:rPr>
          <w:rFonts w:ascii="Times New Roman" w:hAnsi="Times New Roman" w:cs="Times New Roman"/>
          <w:sz w:val="24"/>
          <w:szCs w:val="24"/>
        </w:rPr>
        <w:t xml:space="preserve"> Forest Reserve (OFR)</w:t>
      </w:r>
    </w:p>
    <w:p w14:paraId="03FC5CB1" w14:textId="77777777" w:rsidR="00800BF8" w:rsidRPr="00043E81" w:rsidRDefault="00800BF8" w:rsidP="00064F39">
      <w:pPr>
        <w:spacing w:after="0" w:line="240" w:lineRule="auto"/>
        <w:jc w:val="center"/>
        <w:rPr>
          <w:rFonts w:ascii="Times New Roman" w:hAnsi="Times New Roman" w:cs="Times New Roman"/>
          <w:sz w:val="24"/>
          <w:szCs w:val="24"/>
        </w:rPr>
      </w:pPr>
      <w:r w:rsidRPr="00F3146A">
        <w:rPr>
          <w:noProof/>
          <w:lang w:val="en-US"/>
        </w:rPr>
        <w:drawing>
          <wp:inline distT="0" distB="0" distL="0" distR="0" wp14:anchorId="3085E26F" wp14:editId="5BDA8BBE">
            <wp:extent cx="5436532" cy="426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9654" cy="4308896"/>
                    </a:xfrm>
                    <a:prstGeom prst="rect">
                      <a:avLst/>
                    </a:prstGeom>
                    <a:noFill/>
                    <a:ln>
                      <a:noFill/>
                    </a:ln>
                  </pic:spPr>
                </pic:pic>
              </a:graphicData>
            </a:graphic>
          </wp:inline>
        </w:drawing>
      </w:r>
    </w:p>
    <w:p w14:paraId="037C95BF" w14:textId="77777777" w:rsidR="00800BF8" w:rsidRDefault="00800BF8" w:rsidP="00064F39">
      <w:pPr>
        <w:spacing w:after="0" w:line="240" w:lineRule="auto"/>
        <w:jc w:val="center"/>
        <w:rPr>
          <w:rFonts w:ascii="Times New Roman" w:hAnsi="Times New Roman" w:cs="Times New Roman"/>
          <w:sz w:val="24"/>
          <w:szCs w:val="24"/>
        </w:rPr>
      </w:pPr>
      <w:r w:rsidRPr="00E20665">
        <w:rPr>
          <w:rFonts w:ascii="Times New Roman" w:hAnsi="Times New Roman" w:cs="Times New Roman"/>
          <w:b/>
          <w:bCs/>
          <w:sz w:val="24"/>
          <w:szCs w:val="24"/>
        </w:rPr>
        <w:t>Figure 1</w:t>
      </w:r>
      <w:r>
        <w:rPr>
          <w:rFonts w:ascii="Times New Roman" w:hAnsi="Times New Roman" w:cs="Times New Roman"/>
          <w:b/>
          <w:bCs/>
          <w:sz w:val="24"/>
          <w:szCs w:val="24"/>
        </w:rPr>
        <w:t>2</w:t>
      </w:r>
      <w:r w:rsidRPr="00E20665">
        <w:rPr>
          <w:rFonts w:ascii="Times New Roman" w:hAnsi="Times New Roman" w:cs="Times New Roman"/>
          <w:b/>
          <w:bCs/>
          <w:sz w:val="24"/>
          <w:szCs w:val="24"/>
        </w:rPr>
        <w:t>:</w:t>
      </w:r>
      <w:r>
        <w:rPr>
          <w:rFonts w:ascii="Times New Roman" w:hAnsi="Times New Roman" w:cs="Times New Roman"/>
          <w:sz w:val="24"/>
          <w:szCs w:val="24"/>
        </w:rPr>
        <w:t>2002</w:t>
      </w:r>
      <w:r w:rsidRPr="00E20665">
        <w:rPr>
          <w:rFonts w:ascii="Times New Roman" w:hAnsi="Times New Roman" w:cs="Times New Roman"/>
          <w:sz w:val="24"/>
          <w:szCs w:val="24"/>
        </w:rPr>
        <w:t xml:space="preserve"> Classified land use land cover Map of </w:t>
      </w:r>
      <w:r>
        <w:rPr>
          <w:rFonts w:ascii="Times New Roman" w:hAnsi="Times New Roman" w:cs="Times New Roman"/>
          <w:sz w:val="24"/>
          <w:szCs w:val="24"/>
        </w:rPr>
        <w:t>Akure</w:t>
      </w:r>
      <w:r w:rsidRPr="00E20665">
        <w:rPr>
          <w:rFonts w:ascii="Times New Roman" w:hAnsi="Times New Roman" w:cs="Times New Roman"/>
          <w:sz w:val="24"/>
          <w:szCs w:val="24"/>
        </w:rPr>
        <w:t xml:space="preserve"> Forest Reserve (</w:t>
      </w:r>
      <w:r>
        <w:rPr>
          <w:rFonts w:ascii="Times New Roman" w:hAnsi="Times New Roman" w:cs="Times New Roman"/>
          <w:sz w:val="24"/>
          <w:szCs w:val="24"/>
        </w:rPr>
        <w:t>A</w:t>
      </w:r>
      <w:r w:rsidRPr="00E20665">
        <w:rPr>
          <w:rFonts w:ascii="Times New Roman" w:hAnsi="Times New Roman" w:cs="Times New Roman"/>
          <w:sz w:val="24"/>
          <w:szCs w:val="24"/>
        </w:rPr>
        <w:t>FR)</w:t>
      </w:r>
    </w:p>
    <w:p w14:paraId="5D8970A4" w14:textId="77777777" w:rsidR="00800BF8" w:rsidRDefault="00800BF8" w:rsidP="00064F39">
      <w:pPr>
        <w:spacing w:after="0" w:line="240" w:lineRule="auto"/>
        <w:jc w:val="center"/>
        <w:rPr>
          <w:rFonts w:ascii="Times New Roman" w:hAnsi="Times New Roman" w:cs="Times New Roman"/>
          <w:sz w:val="24"/>
          <w:szCs w:val="24"/>
        </w:rPr>
      </w:pPr>
      <w:r w:rsidRPr="00F3146A">
        <w:rPr>
          <w:noProof/>
          <w:lang w:val="en-US"/>
        </w:rPr>
        <w:lastRenderedPageBreak/>
        <w:drawing>
          <wp:inline distT="0" distB="0" distL="0" distR="0" wp14:anchorId="632406B2" wp14:editId="403A8F3E">
            <wp:extent cx="5513070" cy="4200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6585" cy="4241299"/>
                    </a:xfrm>
                    <a:prstGeom prst="rect">
                      <a:avLst/>
                    </a:prstGeom>
                    <a:noFill/>
                    <a:ln>
                      <a:noFill/>
                    </a:ln>
                  </pic:spPr>
                </pic:pic>
              </a:graphicData>
            </a:graphic>
          </wp:inline>
        </w:drawing>
      </w:r>
    </w:p>
    <w:p w14:paraId="7CB31C84" w14:textId="77777777" w:rsidR="00800BF8" w:rsidRDefault="00800BF8" w:rsidP="00064F39">
      <w:pPr>
        <w:spacing w:after="0" w:line="240" w:lineRule="auto"/>
        <w:jc w:val="center"/>
        <w:rPr>
          <w:rFonts w:ascii="Times New Roman" w:hAnsi="Times New Roman" w:cs="Times New Roman"/>
          <w:sz w:val="24"/>
          <w:szCs w:val="24"/>
        </w:rPr>
      </w:pPr>
      <w:r w:rsidRPr="00E20665">
        <w:rPr>
          <w:rFonts w:ascii="Times New Roman" w:hAnsi="Times New Roman" w:cs="Times New Roman"/>
          <w:b/>
          <w:bCs/>
          <w:sz w:val="24"/>
          <w:szCs w:val="24"/>
        </w:rPr>
        <w:t>Figure 1</w:t>
      </w:r>
      <w:r>
        <w:rPr>
          <w:rFonts w:ascii="Times New Roman" w:hAnsi="Times New Roman" w:cs="Times New Roman"/>
          <w:b/>
          <w:bCs/>
          <w:sz w:val="24"/>
          <w:szCs w:val="24"/>
        </w:rPr>
        <w:t>3</w:t>
      </w:r>
      <w:r w:rsidRPr="00E20665">
        <w:rPr>
          <w:rFonts w:ascii="Times New Roman" w:hAnsi="Times New Roman" w:cs="Times New Roman"/>
          <w:b/>
          <w:bCs/>
          <w:sz w:val="24"/>
          <w:szCs w:val="24"/>
        </w:rPr>
        <w:t>:</w:t>
      </w:r>
      <w:r>
        <w:rPr>
          <w:rFonts w:ascii="Times New Roman" w:hAnsi="Times New Roman" w:cs="Times New Roman"/>
          <w:sz w:val="24"/>
          <w:szCs w:val="24"/>
        </w:rPr>
        <w:t>2014</w:t>
      </w:r>
      <w:r w:rsidRPr="00E20665">
        <w:rPr>
          <w:rFonts w:ascii="Times New Roman" w:hAnsi="Times New Roman" w:cs="Times New Roman"/>
          <w:sz w:val="24"/>
          <w:szCs w:val="24"/>
        </w:rPr>
        <w:t xml:space="preserve"> Classified land use land cover Map of </w:t>
      </w:r>
      <w:r>
        <w:rPr>
          <w:rFonts w:ascii="Times New Roman" w:hAnsi="Times New Roman" w:cs="Times New Roman"/>
          <w:sz w:val="24"/>
          <w:szCs w:val="24"/>
        </w:rPr>
        <w:t>Akure</w:t>
      </w:r>
      <w:r w:rsidRPr="00E20665">
        <w:rPr>
          <w:rFonts w:ascii="Times New Roman" w:hAnsi="Times New Roman" w:cs="Times New Roman"/>
          <w:sz w:val="24"/>
          <w:szCs w:val="24"/>
        </w:rPr>
        <w:t xml:space="preserve"> Forest Reserve (</w:t>
      </w:r>
      <w:r>
        <w:rPr>
          <w:rFonts w:ascii="Times New Roman" w:hAnsi="Times New Roman" w:cs="Times New Roman"/>
          <w:sz w:val="24"/>
          <w:szCs w:val="24"/>
        </w:rPr>
        <w:t>A</w:t>
      </w:r>
      <w:r w:rsidRPr="00E20665">
        <w:rPr>
          <w:rFonts w:ascii="Times New Roman" w:hAnsi="Times New Roman" w:cs="Times New Roman"/>
          <w:sz w:val="24"/>
          <w:szCs w:val="24"/>
        </w:rPr>
        <w:t>FR)</w:t>
      </w:r>
    </w:p>
    <w:p w14:paraId="7E59E517" w14:textId="77777777" w:rsidR="00800BF8" w:rsidRDefault="00800BF8" w:rsidP="00064F39">
      <w:pPr>
        <w:spacing w:after="0" w:line="240" w:lineRule="auto"/>
        <w:jc w:val="both"/>
      </w:pPr>
      <w:r w:rsidRPr="000F77D9">
        <w:rPr>
          <w:noProof/>
          <w:lang w:val="en-US"/>
        </w:rPr>
        <w:drawing>
          <wp:inline distT="0" distB="0" distL="0" distR="0" wp14:anchorId="447A77F8" wp14:editId="2ACB813C">
            <wp:extent cx="5570276" cy="4048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6867" cy="4081985"/>
                    </a:xfrm>
                    <a:prstGeom prst="rect">
                      <a:avLst/>
                    </a:prstGeom>
                    <a:noFill/>
                    <a:ln>
                      <a:noFill/>
                    </a:ln>
                  </pic:spPr>
                </pic:pic>
              </a:graphicData>
            </a:graphic>
          </wp:inline>
        </w:drawing>
      </w:r>
    </w:p>
    <w:p w14:paraId="59B6AE59" w14:textId="4A2F0EBC" w:rsidR="00800BF8" w:rsidRDefault="00800BF8" w:rsidP="00064F39">
      <w:pPr>
        <w:spacing w:after="0" w:line="240" w:lineRule="auto"/>
        <w:jc w:val="center"/>
        <w:rPr>
          <w:rFonts w:ascii="Times New Roman" w:hAnsi="Times New Roman" w:cs="Times New Roman"/>
          <w:sz w:val="24"/>
          <w:szCs w:val="24"/>
        </w:rPr>
      </w:pPr>
      <w:r w:rsidRPr="00E20665">
        <w:rPr>
          <w:rFonts w:ascii="Times New Roman" w:hAnsi="Times New Roman" w:cs="Times New Roman"/>
          <w:b/>
          <w:bCs/>
          <w:sz w:val="24"/>
          <w:szCs w:val="24"/>
        </w:rPr>
        <w:t>Figure 1</w:t>
      </w:r>
      <w:r>
        <w:rPr>
          <w:rFonts w:ascii="Times New Roman" w:hAnsi="Times New Roman" w:cs="Times New Roman"/>
          <w:b/>
          <w:bCs/>
          <w:sz w:val="24"/>
          <w:szCs w:val="24"/>
        </w:rPr>
        <w:t>4</w:t>
      </w:r>
      <w:r w:rsidRPr="00E20665">
        <w:rPr>
          <w:rFonts w:ascii="Times New Roman" w:hAnsi="Times New Roman" w:cs="Times New Roman"/>
          <w:b/>
          <w:bCs/>
          <w:sz w:val="24"/>
          <w:szCs w:val="24"/>
        </w:rPr>
        <w:t>:</w:t>
      </w:r>
      <w:r>
        <w:rPr>
          <w:rFonts w:ascii="Times New Roman" w:hAnsi="Times New Roman" w:cs="Times New Roman"/>
          <w:sz w:val="24"/>
          <w:szCs w:val="24"/>
        </w:rPr>
        <w:t>2024</w:t>
      </w:r>
      <w:r w:rsidRPr="00E20665">
        <w:rPr>
          <w:rFonts w:ascii="Times New Roman" w:hAnsi="Times New Roman" w:cs="Times New Roman"/>
          <w:sz w:val="24"/>
          <w:szCs w:val="24"/>
        </w:rPr>
        <w:t xml:space="preserve"> Classified land use land cover Map of </w:t>
      </w:r>
      <w:r>
        <w:rPr>
          <w:rFonts w:ascii="Times New Roman" w:hAnsi="Times New Roman" w:cs="Times New Roman"/>
          <w:sz w:val="24"/>
          <w:szCs w:val="24"/>
        </w:rPr>
        <w:t>Akure</w:t>
      </w:r>
      <w:r w:rsidRPr="00E20665">
        <w:rPr>
          <w:rFonts w:ascii="Times New Roman" w:hAnsi="Times New Roman" w:cs="Times New Roman"/>
          <w:sz w:val="24"/>
          <w:szCs w:val="24"/>
        </w:rPr>
        <w:t xml:space="preserve"> Forest Reserve (</w:t>
      </w:r>
      <w:r>
        <w:rPr>
          <w:rFonts w:ascii="Times New Roman" w:hAnsi="Times New Roman" w:cs="Times New Roman"/>
          <w:sz w:val="24"/>
          <w:szCs w:val="24"/>
        </w:rPr>
        <w:t>A</w:t>
      </w:r>
      <w:r w:rsidRPr="00E20665">
        <w:rPr>
          <w:rFonts w:ascii="Times New Roman" w:hAnsi="Times New Roman" w:cs="Times New Roman"/>
          <w:sz w:val="24"/>
          <w:szCs w:val="24"/>
        </w:rPr>
        <w:t>FR)</w:t>
      </w:r>
    </w:p>
    <w:p w14:paraId="01EF857D" w14:textId="77777777" w:rsidR="0072001F" w:rsidRDefault="0072001F" w:rsidP="00064F39">
      <w:pPr>
        <w:spacing w:after="0" w:line="240" w:lineRule="auto"/>
        <w:jc w:val="center"/>
        <w:rPr>
          <w:rFonts w:ascii="Times New Roman" w:hAnsi="Times New Roman" w:cs="Times New Roman"/>
          <w:sz w:val="24"/>
          <w:szCs w:val="24"/>
        </w:rPr>
      </w:pPr>
    </w:p>
    <w:p w14:paraId="504B6413" w14:textId="77777777" w:rsidR="00800BF8" w:rsidRPr="001377EB" w:rsidRDefault="00800BF8" w:rsidP="00064F39">
      <w:pPr>
        <w:spacing w:before="240" w:after="0" w:line="240" w:lineRule="auto"/>
        <w:rPr>
          <w:rFonts w:ascii="Times New Roman" w:hAnsi="Times New Roman" w:cs="Times New Roman"/>
          <w:b/>
          <w:bCs/>
          <w:sz w:val="24"/>
          <w:szCs w:val="24"/>
        </w:rPr>
      </w:pPr>
      <w:r w:rsidRPr="001377EB">
        <w:rPr>
          <w:rFonts w:ascii="Times New Roman" w:hAnsi="Times New Roman" w:cs="Times New Roman"/>
          <w:b/>
          <w:bCs/>
          <w:sz w:val="24"/>
          <w:szCs w:val="24"/>
        </w:rPr>
        <w:lastRenderedPageBreak/>
        <w:t xml:space="preserve">Table </w:t>
      </w:r>
      <w:r>
        <w:rPr>
          <w:rFonts w:ascii="Times New Roman" w:hAnsi="Times New Roman" w:cs="Times New Roman"/>
          <w:b/>
          <w:bCs/>
          <w:sz w:val="24"/>
          <w:szCs w:val="24"/>
        </w:rPr>
        <w:t>3</w:t>
      </w:r>
      <w:r w:rsidRPr="001377EB">
        <w:rPr>
          <w:rFonts w:ascii="Times New Roman" w:hAnsi="Times New Roman" w:cs="Times New Roman"/>
          <w:b/>
          <w:bCs/>
          <w:sz w:val="24"/>
          <w:szCs w:val="24"/>
        </w:rPr>
        <w:t xml:space="preserve">: Land Use/Land Cover </w:t>
      </w:r>
      <w:r>
        <w:rPr>
          <w:rFonts w:ascii="Times New Roman" w:hAnsi="Times New Roman" w:cs="Times New Roman"/>
          <w:b/>
          <w:bCs/>
          <w:sz w:val="24"/>
          <w:szCs w:val="24"/>
        </w:rPr>
        <w:t xml:space="preserve">Changes </w:t>
      </w:r>
      <w:r w:rsidRPr="001377EB">
        <w:rPr>
          <w:rFonts w:ascii="Times New Roman" w:hAnsi="Times New Roman" w:cs="Times New Roman"/>
          <w:b/>
          <w:bCs/>
          <w:sz w:val="24"/>
          <w:szCs w:val="24"/>
        </w:rPr>
        <w:t xml:space="preserve">for </w:t>
      </w:r>
      <w:r>
        <w:rPr>
          <w:rFonts w:ascii="Times New Roman" w:hAnsi="Times New Roman" w:cs="Times New Roman"/>
          <w:b/>
          <w:bCs/>
          <w:sz w:val="24"/>
          <w:szCs w:val="24"/>
        </w:rPr>
        <w:t>Akure</w:t>
      </w:r>
      <w:r w:rsidRPr="001377EB">
        <w:rPr>
          <w:rFonts w:ascii="Times New Roman" w:hAnsi="Times New Roman" w:cs="Times New Roman"/>
          <w:b/>
          <w:bCs/>
          <w:sz w:val="24"/>
          <w:szCs w:val="24"/>
        </w:rPr>
        <w:t xml:space="preserve"> Forest Reserve (</w:t>
      </w:r>
      <w:r>
        <w:rPr>
          <w:rFonts w:ascii="Times New Roman" w:hAnsi="Times New Roman" w:cs="Times New Roman"/>
          <w:b/>
          <w:bCs/>
          <w:sz w:val="24"/>
          <w:szCs w:val="24"/>
        </w:rPr>
        <w:t>A</w:t>
      </w:r>
      <w:r w:rsidRPr="001377EB">
        <w:rPr>
          <w:rFonts w:ascii="Times New Roman" w:hAnsi="Times New Roman" w:cs="Times New Roman"/>
          <w:b/>
          <w:bCs/>
          <w:sz w:val="24"/>
          <w:szCs w:val="24"/>
        </w:rPr>
        <w:t>FR)</w:t>
      </w:r>
      <w:r>
        <w:rPr>
          <w:rFonts w:ascii="Times New Roman" w:hAnsi="Times New Roman" w:cs="Times New Roman"/>
          <w:b/>
          <w:bCs/>
          <w:sz w:val="24"/>
          <w:szCs w:val="24"/>
        </w:rPr>
        <w:t xml:space="preserve"> (1984-2024)</w:t>
      </w:r>
    </w:p>
    <w:tbl>
      <w:tblPr>
        <w:tblW w:w="8310" w:type="dxa"/>
        <w:tblLook w:val="04A0" w:firstRow="1" w:lastRow="0" w:firstColumn="1" w:lastColumn="0" w:noHBand="0" w:noVBand="1"/>
      </w:tblPr>
      <w:tblGrid>
        <w:gridCol w:w="2507"/>
        <w:gridCol w:w="960"/>
        <w:gridCol w:w="960"/>
        <w:gridCol w:w="960"/>
        <w:gridCol w:w="960"/>
        <w:gridCol w:w="960"/>
        <w:gridCol w:w="1003"/>
      </w:tblGrid>
      <w:tr w:rsidR="00800BF8" w:rsidRPr="00AF6E75" w14:paraId="3330F440" w14:textId="77777777" w:rsidTr="000B1643">
        <w:trPr>
          <w:trHeight w:val="315"/>
        </w:trPr>
        <w:tc>
          <w:tcPr>
            <w:tcW w:w="2507" w:type="dxa"/>
            <w:tcBorders>
              <w:top w:val="single" w:sz="4" w:space="0" w:color="auto"/>
              <w:left w:val="nil"/>
              <w:bottom w:val="nil"/>
              <w:right w:val="nil"/>
            </w:tcBorders>
            <w:noWrap/>
            <w:vAlign w:val="bottom"/>
            <w:hideMark/>
          </w:tcPr>
          <w:p w14:paraId="774AFB46" w14:textId="77777777" w:rsidR="00800BF8" w:rsidRPr="00AF6E75" w:rsidRDefault="00800BF8" w:rsidP="00064F39">
            <w:pPr>
              <w:spacing w:after="0" w:line="240" w:lineRule="auto"/>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 xml:space="preserve">AFR </w:t>
            </w:r>
          </w:p>
        </w:tc>
        <w:tc>
          <w:tcPr>
            <w:tcW w:w="960" w:type="dxa"/>
            <w:tcBorders>
              <w:top w:val="single" w:sz="4" w:space="0" w:color="auto"/>
              <w:left w:val="nil"/>
              <w:bottom w:val="nil"/>
              <w:right w:val="nil"/>
            </w:tcBorders>
          </w:tcPr>
          <w:p w14:paraId="1296AC7C" w14:textId="77777777" w:rsidR="00800BF8" w:rsidRPr="00AF6E75" w:rsidRDefault="00800BF8" w:rsidP="00064F39">
            <w:pPr>
              <w:spacing w:after="0" w:line="240" w:lineRule="auto"/>
              <w:jc w:val="center"/>
              <w:rPr>
                <w:rFonts w:ascii="Times New Roman" w:eastAsia="Times New Roman" w:hAnsi="Times New Roman" w:cs="Times New Roman"/>
                <w:b/>
                <w:bCs/>
                <w:sz w:val="24"/>
                <w:szCs w:val="24"/>
              </w:rPr>
            </w:pPr>
          </w:p>
        </w:tc>
        <w:tc>
          <w:tcPr>
            <w:tcW w:w="3840" w:type="dxa"/>
            <w:gridSpan w:val="4"/>
            <w:tcBorders>
              <w:top w:val="single" w:sz="4" w:space="0" w:color="auto"/>
              <w:left w:val="nil"/>
              <w:bottom w:val="nil"/>
              <w:right w:val="nil"/>
            </w:tcBorders>
            <w:noWrap/>
            <w:vAlign w:val="bottom"/>
            <w:hideMark/>
          </w:tcPr>
          <w:p w14:paraId="3963D4DC" w14:textId="77777777" w:rsidR="00800BF8" w:rsidRPr="00AF6E75" w:rsidRDefault="00800BF8" w:rsidP="00064F39">
            <w:pPr>
              <w:spacing w:after="0" w:line="240" w:lineRule="auto"/>
              <w:jc w:val="center"/>
              <w:rPr>
                <w:rFonts w:ascii="Times New Roman" w:eastAsia="Times New Roman" w:hAnsi="Times New Roman" w:cs="Times New Roman"/>
                <w:b/>
                <w:bCs/>
                <w:sz w:val="24"/>
                <w:szCs w:val="24"/>
              </w:rPr>
            </w:pPr>
            <w:r w:rsidRPr="00550670">
              <w:rPr>
                <w:rFonts w:ascii="Times New Roman" w:eastAsia="Times New Roman" w:hAnsi="Times New Roman" w:cs="Times New Roman"/>
                <w:b/>
                <w:bCs/>
                <w:sz w:val="24"/>
                <w:szCs w:val="24"/>
              </w:rPr>
              <w:t>Land Use Land Cover</w:t>
            </w:r>
            <w:r>
              <w:rPr>
                <w:rFonts w:ascii="Times New Roman" w:eastAsia="Times New Roman" w:hAnsi="Times New Roman" w:cs="Times New Roman"/>
                <w:b/>
                <w:bCs/>
                <w:sz w:val="24"/>
                <w:szCs w:val="24"/>
              </w:rPr>
              <w:t xml:space="preserve"> Area</w:t>
            </w:r>
          </w:p>
        </w:tc>
        <w:tc>
          <w:tcPr>
            <w:tcW w:w="1003" w:type="dxa"/>
            <w:tcBorders>
              <w:top w:val="single" w:sz="4" w:space="0" w:color="auto"/>
              <w:left w:val="nil"/>
              <w:bottom w:val="nil"/>
              <w:right w:val="nil"/>
            </w:tcBorders>
          </w:tcPr>
          <w:p w14:paraId="45E9BE29" w14:textId="77777777" w:rsidR="00800BF8" w:rsidRPr="00550670" w:rsidRDefault="00800BF8" w:rsidP="00064F39">
            <w:pPr>
              <w:spacing w:after="0" w:line="240" w:lineRule="auto"/>
              <w:jc w:val="center"/>
              <w:rPr>
                <w:rFonts w:ascii="Times New Roman" w:eastAsia="Times New Roman" w:hAnsi="Times New Roman" w:cs="Times New Roman"/>
                <w:b/>
                <w:bCs/>
                <w:sz w:val="24"/>
                <w:szCs w:val="24"/>
              </w:rPr>
            </w:pPr>
          </w:p>
        </w:tc>
      </w:tr>
      <w:tr w:rsidR="00800BF8" w:rsidRPr="00AF6E75" w14:paraId="6E742129" w14:textId="77777777" w:rsidTr="000B1643">
        <w:trPr>
          <w:trHeight w:val="315"/>
        </w:trPr>
        <w:tc>
          <w:tcPr>
            <w:tcW w:w="2507" w:type="dxa"/>
            <w:tcBorders>
              <w:top w:val="single" w:sz="4" w:space="0" w:color="auto"/>
              <w:left w:val="nil"/>
              <w:bottom w:val="single" w:sz="4" w:space="0" w:color="auto"/>
              <w:right w:val="nil"/>
            </w:tcBorders>
            <w:noWrap/>
            <w:vAlign w:val="bottom"/>
            <w:hideMark/>
          </w:tcPr>
          <w:p w14:paraId="78170E6B" w14:textId="77777777" w:rsidR="00800BF8" w:rsidRPr="00AF6E75" w:rsidRDefault="00800BF8" w:rsidP="00064F39">
            <w:pPr>
              <w:spacing w:after="0" w:line="240" w:lineRule="auto"/>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Classes</w:t>
            </w:r>
          </w:p>
        </w:tc>
        <w:tc>
          <w:tcPr>
            <w:tcW w:w="960" w:type="dxa"/>
            <w:tcBorders>
              <w:top w:val="single" w:sz="4" w:space="0" w:color="auto"/>
              <w:left w:val="nil"/>
              <w:bottom w:val="single" w:sz="4" w:space="0" w:color="auto"/>
              <w:right w:val="nil"/>
            </w:tcBorders>
          </w:tcPr>
          <w:p w14:paraId="2791108A"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Year</w:t>
            </w:r>
          </w:p>
        </w:tc>
        <w:tc>
          <w:tcPr>
            <w:tcW w:w="960" w:type="dxa"/>
            <w:tcBorders>
              <w:top w:val="single" w:sz="4" w:space="0" w:color="auto"/>
              <w:left w:val="nil"/>
              <w:bottom w:val="single" w:sz="4" w:space="0" w:color="auto"/>
              <w:right w:val="nil"/>
            </w:tcBorders>
            <w:noWrap/>
            <w:vAlign w:val="bottom"/>
            <w:hideMark/>
          </w:tcPr>
          <w:p w14:paraId="033446BE"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1984</w:t>
            </w:r>
          </w:p>
        </w:tc>
        <w:tc>
          <w:tcPr>
            <w:tcW w:w="960" w:type="dxa"/>
            <w:tcBorders>
              <w:top w:val="single" w:sz="4" w:space="0" w:color="auto"/>
              <w:left w:val="nil"/>
              <w:bottom w:val="single" w:sz="4" w:space="0" w:color="auto"/>
              <w:right w:val="nil"/>
            </w:tcBorders>
            <w:noWrap/>
            <w:vAlign w:val="bottom"/>
            <w:hideMark/>
          </w:tcPr>
          <w:p w14:paraId="078A9AE1"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2002</w:t>
            </w:r>
          </w:p>
        </w:tc>
        <w:tc>
          <w:tcPr>
            <w:tcW w:w="960" w:type="dxa"/>
            <w:tcBorders>
              <w:top w:val="single" w:sz="4" w:space="0" w:color="auto"/>
              <w:left w:val="nil"/>
              <w:bottom w:val="single" w:sz="4" w:space="0" w:color="auto"/>
              <w:right w:val="nil"/>
            </w:tcBorders>
            <w:noWrap/>
            <w:vAlign w:val="bottom"/>
            <w:hideMark/>
          </w:tcPr>
          <w:p w14:paraId="6B645186"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2014</w:t>
            </w:r>
          </w:p>
        </w:tc>
        <w:tc>
          <w:tcPr>
            <w:tcW w:w="960" w:type="dxa"/>
            <w:tcBorders>
              <w:top w:val="single" w:sz="4" w:space="0" w:color="auto"/>
              <w:left w:val="nil"/>
              <w:bottom w:val="single" w:sz="4" w:space="0" w:color="auto"/>
              <w:right w:val="nil"/>
            </w:tcBorders>
            <w:noWrap/>
            <w:vAlign w:val="bottom"/>
            <w:hideMark/>
          </w:tcPr>
          <w:p w14:paraId="029883D3"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2024</w:t>
            </w:r>
          </w:p>
        </w:tc>
        <w:tc>
          <w:tcPr>
            <w:tcW w:w="1003" w:type="dxa"/>
            <w:tcBorders>
              <w:top w:val="single" w:sz="4" w:space="0" w:color="auto"/>
              <w:left w:val="nil"/>
              <w:bottom w:val="single" w:sz="4" w:space="0" w:color="auto"/>
              <w:right w:val="nil"/>
            </w:tcBorders>
          </w:tcPr>
          <w:p w14:paraId="3005ED7A" w14:textId="77777777" w:rsidR="00800BF8" w:rsidRPr="00AF6E75" w:rsidRDefault="00800BF8" w:rsidP="00064F39">
            <w:pPr>
              <w:spacing w:after="0" w:line="240" w:lineRule="auto"/>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Change</w:t>
            </w:r>
          </w:p>
        </w:tc>
      </w:tr>
      <w:tr w:rsidR="00800BF8" w:rsidRPr="00AF6E75" w14:paraId="3BC037F9" w14:textId="77777777" w:rsidTr="000B1643">
        <w:trPr>
          <w:trHeight w:val="315"/>
        </w:trPr>
        <w:tc>
          <w:tcPr>
            <w:tcW w:w="2507" w:type="dxa"/>
            <w:tcBorders>
              <w:top w:val="nil"/>
              <w:left w:val="nil"/>
              <w:right w:val="nil"/>
            </w:tcBorders>
            <w:noWrap/>
            <w:vAlign w:val="bottom"/>
          </w:tcPr>
          <w:p w14:paraId="78290971"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p>
        </w:tc>
        <w:tc>
          <w:tcPr>
            <w:tcW w:w="960" w:type="dxa"/>
            <w:tcBorders>
              <w:top w:val="nil"/>
              <w:left w:val="nil"/>
              <w:right w:val="nil"/>
            </w:tcBorders>
          </w:tcPr>
          <w:p w14:paraId="595C3573"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p>
        </w:tc>
        <w:tc>
          <w:tcPr>
            <w:tcW w:w="960" w:type="dxa"/>
            <w:tcBorders>
              <w:top w:val="nil"/>
              <w:left w:val="nil"/>
              <w:right w:val="nil"/>
            </w:tcBorders>
            <w:noWrap/>
            <w:vAlign w:val="bottom"/>
          </w:tcPr>
          <w:p w14:paraId="417B714B"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960" w:type="dxa"/>
            <w:tcBorders>
              <w:top w:val="nil"/>
              <w:left w:val="nil"/>
              <w:right w:val="nil"/>
            </w:tcBorders>
            <w:noWrap/>
            <w:vAlign w:val="bottom"/>
          </w:tcPr>
          <w:p w14:paraId="37B60F08"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960" w:type="dxa"/>
            <w:tcBorders>
              <w:top w:val="nil"/>
              <w:left w:val="nil"/>
              <w:right w:val="nil"/>
            </w:tcBorders>
            <w:noWrap/>
            <w:vAlign w:val="bottom"/>
          </w:tcPr>
          <w:p w14:paraId="5E6B7601"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960" w:type="dxa"/>
            <w:tcBorders>
              <w:top w:val="nil"/>
              <w:left w:val="nil"/>
              <w:right w:val="nil"/>
            </w:tcBorders>
            <w:noWrap/>
            <w:vAlign w:val="bottom"/>
          </w:tcPr>
          <w:p w14:paraId="5B9AE4DF"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sidRPr="00AF6E75">
              <w:rPr>
                <w:rFonts w:ascii="Times New Roman" w:eastAsia="Times New Roman" w:hAnsi="Times New Roman" w:cs="Times New Roman"/>
                <w:b/>
                <w:bCs/>
                <w:color w:val="000000"/>
                <w:sz w:val="24"/>
                <w:szCs w:val="24"/>
              </w:rPr>
              <w:t>%</w:t>
            </w:r>
          </w:p>
        </w:tc>
        <w:tc>
          <w:tcPr>
            <w:tcW w:w="1003" w:type="dxa"/>
            <w:tcBorders>
              <w:top w:val="nil"/>
              <w:left w:val="nil"/>
              <w:right w:val="nil"/>
            </w:tcBorders>
          </w:tcPr>
          <w:p w14:paraId="604B170D" w14:textId="77777777" w:rsidR="00800BF8" w:rsidRPr="00AF6E75" w:rsidRDefault="00800BF8" w:rsidP="00064F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800BF8" w:rsidRPr="00AF6E75" w14:paraId="7D9416E6" w14:textId="77777777" w:rsidTr="000B1643">
        <w:trPr>
          <w:trHeight w:val="315"/>
        </w:trPr>
        <w:tc>
          <w:tcPr>
            <w:tcW w:w="3467" w:type="dxa"/>
            <w:gridSpan w:val="2"/>
            <w:vMerge w:val="restart"/>
            <w:tcBorders>
              <w:top w:val="nil"/>
              <w:left w:val="nil"/>
              <w:right w:val="nil"/>
            </w:tcBorders>
            <w:noWrap/>
            <w:vAlign w:val="bottom"/>
            <w:hideMark/>
          </w:tcPr>
          <w:p w14:paraId="583014A9"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Dense Vegetation</w:t>
            </w:r>
          </w:p>
          <w:p w14:paraId="479582FE"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Sparse Vegetation</w:t>
            </w:r>
          </w:p>
          <w:p w14:paraId="4DCF1DD1"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Built-Up</w:t>
            </w:r>
          </w:p>
          <w:p w14:paraId="1DB7C913"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Rock and Bare ground</w:t>
            </w:r>
          </w:p>
          <w:p w14:paraId="2EA991D4" w14:textId="77777777" w:rsidR="00800BF8" w:rsidRPr="00AF6E75" w:rsidRDefault="00800BF8" w:rsidP="00064F39">
            <w:pPr>
              <w:spacing w:after="0" w:line="240" w:lineRule="auto"/>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Water Body</w:t>
            </w:r>
          </w:p>
          <w:p w14:paraId="3A4C4723"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 </w:t>
            </w:r>
            <w:r w:rsidRPr="00AF6E75">
              <w:rPr>
                <w:rFonts w:ascii="Times New Roman" w:eastAsia="Times New Roman" w:hAnsi="Times New Roman" w:cs="Times New Roman"/>
                <w:b/>
                <w:bCs/>
                <w:color w:val="000000"/>
                <w:sz w:val="24"/>
                <w:szCs w:val="24"/>
              </w:rPr>
              <w:t>Total</w:t>
            </w:r>
          </w:p>
        </w:tc>
        <w:tc>
          <w:tcPr>
            <w:tcW w:w="960" w:type="dxa"/>
            <w:tcBorders>
              <w:top w:val="nil"/>
              <w:left w:val="nil"/>
              <w:bottom w:val="nil"/>
              <w:right w:val="nil"/>
            </w:tcBorders>
            <w:noWrap/>
            <w:vAlign w:val="bottom"/>
            <w:hideMark/>
          </w:tcPr>
          <w:p w14:paraId="1B51CA61"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61.52</w:t>
            </w:r>
          </w:p>
        </w:tc>
        <w:tc>
          <w:tcPr>
            <w:tcW w:w="960" w:type="dxa"/>
            <w:tcBorders>
              <w:top w:val="nil"/>
              <w:left w:val="nil"/>
              <w:bottom w:val="nil"/>
              <w:right w:val="nil"/>
            </w:tcBorders>
            <w:noWrap/>
            <w:vAlign w:val="bottom"/>
            <w:hideMark/>
          </w:tcPr>
          <w:p w14:paraId="2BCDBBB6"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68.09</w:t>
            </w:r>
          </w:p>
        </w:tc>
        <w:tc>
          <w:tcPr>
            <w:tcW w:w="960" w:type="dxa"/>
            <w:tcBorders>
              <w:top w:val="nil"/>
              <w:left w:val="nil"/>
              <w:bottom w:val="nil"/>
              <w:right w:val="nil"/>
            </w:tcBorders>
            <w:noWrap/>
            <w:vAlign w:val="bottom"/>
            <w:hideMark/>
          </w:tcPr>
          <w:p w14:paraId="0EA7121B"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50.83</w:t>
            </w:r>
          </w:p>
        </w:tc>
        <w:tc>
          <w:tcPr>
            <w:tcW w:w="960" w:type="dxa"/>
            <w:tcBorders>
              <w:top w:val="nil"/>
              <w:left w:val="nil"/>
              <w:bottom w:val="nil"/>
              <w:right w:val="nil"/>
            </w:tcBorders>
            <w:noWrap/>
            <w:vAlign w:val="bottom"/>
            <w:hideMark/>
          </w:tcPr>
          <w:p w14:paraId="3A6E593F"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10.44</w:t>
            </w:r>
          </w:p>
        </w:tc>
        <w:tc>
          <w:tcPr>
            <w:tcW w:w="1003" w:type="dxa"/>
            <w:tcBorders>
              <w:top w:val="nil"/>
              <w:left w:val="nil"/>
              <w:bottom w:val="nil"/>
              <w:right w:val="nil"/>
            </w:tcBorders>
          </w:tcPr>
          <w:p w14:paraId="36628BA5"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-83.03</w:t>
            </w:r>
          </w:p>
        </w:tc>
      </w:tr>
      <w:tr w:rsidR="00800BF8" w:rsidRPr="00AF6E75" w14:paraId="2DA5D991" w14:textId="77777777" w:rsidTr="000B1643">
        <w:trPr>
          <w:trHeight w:val="315"/>
        </w:trPr>
        <w:tc>
          <w:tcPr>
            <w:tcW w:w="3467" w:type="dxa"/>
            <w:gridSpan w:val="2"/>
            <w:vMerge/>
            <w:tcBorders>
              <w:left w:val="nil"/>
              <w:right w:val="nil"/>
            </w:tcBorders>
            <w:noWrap/>
            <w:vAlign w:val="bottom"/>
            <w:hideMark/>
          </w:tcPr>
          <w:p w14:paraId="353F6D37"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5D4DB3F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37.07</w:t>
            </w:r>
          </w:p>
        </w:tc>
        <w:tc>
          <w:tcPr>
            <w:tcW w:w="960" w:type="dxa"/>
            <w:tcBorders>
              <w:top w:val="nil"/>
              <w:left w:val="nil"/>
              <w:bottom w:val="nil"/>
              <w:right w:val="nil"/>
            </w:tcBorders>
            <w:noWrap/>
            <w:vAlign w:val="bottom"/>
            <w:hideMark/>
          </w:tcPr>
          <w:p w14:paraId="08FDF488"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1.46</w:t>
            </w:r>
          </w:p>
        </w:tc>
        <w:tc>
          <w:tcPr>
            <w:tcW w:w="960" w:type="dxa"/>
            <w:tcBorders>
              <w:top w:val="nil"/>
              <w:left w:val="nil"/>
              <w:bottom w:val="nil"/>
              <w:right w:val="nil"/>
            </w:tcBorders>
            <w:noWrap/>
            <w:vAlign w:val="bottom"/>
            <w:hideMark/>
          </w:tcPr>
          <w:p w14:paraId="119ACB2B"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41.51</w:t>
            </w:r>
          </w:p>
        </w:tc>
        <w:tc>
          <w:tcPr>
            <w:tcW w:w="960" w:type="dxa"/>
            <w:tcBorders>
              <w:top w:val="nil"/>
              <w:left w:val="nil"/>
              <w:bottom w:val="nil"/>
              <w:right w:val="nil"/>
            </w:tcBorders>
            <w:noWrap/>
            <w:vAlign w:val="bottom"/>
            <w:hideMark/>
          </w:tcPr>
          <w:p w14:paraId="7A70E83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63.43</w:t>
            </w:r>
          </w:p>
        </w:tc>
        <w:tc>
          <w:tcPr>
            <w:tcW w:w="1003" w:type="dxa"/>
            <w:tcBorders>
              <w:top w:val="nil"/>
              <w:left w:val="nil"/>
              <w:bottom w:val="nil"/>
              <w:right w:val="nil"/>
            </w:tcBorders>
          </w:tcPr>
          <w:p w14:paraId="58897DA4"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71.11</w:t>
            </w:r>
          </w:p>
        </w:tc>
      </w:tr>
      <w:tr w:rsidR="00800BF8" w:rsidRPr="00AF6E75" w14:paraId="6EC827F3" w14:textId="77777777" w:rsidTr="000B1643">
        <w:trPr>
          <w:trHeight w:val="315"/>
        </w:trPr>
        <w:tc>
          <w:tcPr>
            <w:tcW w:w="3467" w:type="dxa"/>
            <w:gridSpan w:val="2"/>
            <w:vMerge/>
            <w:tcBorders>
              <w:left w:val="nil"/>
              <w:right w:val="nil"/>
            </w:tcBorders>
            <w:noWrap/>
            <w:vAlign w:val="bottom"/>
            <w:hideMark/>
          </w:tcPr>
          <w:p w14:paraId="4E98531C"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44B9454B"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1.33</w:t>
            </w:r>
          </w:p>
        </w:tc>
        <w:tc>
          <w:tcPr>
            <w:tcW w:w="960" w:type="dxa"/>
            <w:tcBorders>
              <w:top w:val="nil"/>
              <w:left w:val="nil"/>
              <w:bottom w:val="nil"/>
              <w:right w:val="nil"/>
            </w:tcBorders>
            <w:noWrap/>
            <w:vAlign w:val="bottom"/>
            <w:hideMark/>
          </w:tcPr>
          <w:p w14:paraId="12A42C36"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0.30</w:t>
            </w:r>
          </w:p>
        </w:tc>
        <w:tc>
          <w:tcPr>
            <w:tcW w:w="960" w:type="dxa"/>
            <w:tcBorders>
              <w:top w:val="nil"/>
              <w:left w:val="nil"/>
              <w:bottom w:val="nil"/>
              <w:right w:val="nil"/>
            </w:tcBorders>
            <w:noWrap/>
            <w:vAlign w:val="bottom"/>
            <w:hideMark/>
          </w:tcPr>
          <w:p w14:paraId="3F40BE8D"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2.62</w:t>
            </w:r>
          </w:p>
        </w:tc>
        <w:tc>
          <w:tcPr>
            <w:tcW w:w="960" w:type="dxa"/>
            <w:tcBorders>
              <w:top w:val="nil"/>
              <w:left w:val="nil"/>
              <w:bottom w:val="nil"/>
              <w:right w:val="nil"/>
            </w:tcBorders>
            <w:noWrap/>
            <w:vAlign w:val="bottom"/>
            <w:hideMark/>
          </w:tcPr>
          <w:p w14:paraId="31DB0423"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2.06</w:t>
            </w:r>
          </w:p>
        </w:tc>
        <w:tc>
          <w:tcPr>
            <w:tcW w:w="1003" w:type="dxa"/>
            <w:tcBorders>
              <w:top w:val="nil"/>
              <w:left w:val="nil"/>
              <w:bottom w:val="nil"/>
              <w:right w:val="nil"/>
            </w:tcBorders>
          </w:tcPr>
          <w:p w14:paraId="3A3A6F2F"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54.89</w:t>
            </w:r>
          </w:p>
        </w:tc>
      </w:tr>
      <w:tr w:rsidR="00800BF8" w:rsidRPr="00AF6E75" w14:paraId="7CFF1BA0" w14:textId="77777777" w:rsidTr="000B1643">
        <w:trPr>
          <w:trHeight w:val="315"/>
        </w:trPr>
        <w:tc>
          <w:tcPr>
            <w:tcW w:w="3467" w:type="dxa"/>
            <w:gridSpan w:val="2"/>
            <w:vMerge/>
            <w:tcBorders>
              <w:left w:val="nil"/>
              <w:right w:val="nil"/>
            </w:tcBorders>
            <w:noWrap/>
            <w:vAlign w:val="bottom"/>
            <w:hideMark/>
          </w:tcPr>
          <w:p w14:paraId="0FB1993B"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2B501AF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0.08</w:t>
            </w:r>
          </w:p>
        </w:tc>
        <w:tc>
          <w:tcPr>
            <w:tcW w:w="960" w:type="dxa"/>
            <w:tcBorders>
              <w:top w:val="nil"/>
              <w:left w:val="nil"/>
              <w:bottom w:val="nil"/>
              <w:right w:val="nil"/>
            </w:tcBorders>
            <w:noWrap/>
            <w:vAlign w:val="bottom"/>
            <w:hideMark/>
          </w:tcPr>
          <w:p w14:paraId="3B2747DA"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30.14</w:t>
            </w:r>
          </w:p>
        </w:tc>
        <w:tc>
          <w:tcPr>
            <w:tcW w:w="960" w:type="dxa"/>
            <w:tcBorders>
              <w:top w:val="nil"/>
              <w:left w:val="nil"/>
              <w:bottom w:val="nil"/>
              <w:right w:val="nil"/>
            </w:tcBorders>
            <w:noWrap/>
            <w:vAlign w:val="bottom"/>
            <w:hideMark/>
          </w:tcPr>
          <w:p w14:paraId="6CFC530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3.52</w:t>
            </w:r>
          </w:p>
        </w:tc>
        <w:tc>
          <w:tcPr>
            <w:tcW w:w="960" w:type="dxa"/>
            <w:tcBorders>
              <w:top w:val="nil"/>
              <w:left w:val="nil"/>
              <w:bottom w:val="nil"/>
              <w:right w:val="nil"/>
            </w:tcBorders>
            <w:noWrap/>
            <w:vAlign w:val="bottom"/>
            <w:hideMark/>
          </w:tcPr>
          <w:p w14:paraId="270A35C5"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23.09</w:t>
            </w:r>
          </w:p>
        </w:tc>
        <w:tc>
          <w:tcPr>
            <w:tcW w:w="1003" w:type="dxa"/>
            <w:tcBorders>
              <w:top w:val="nil"/>
              <w:left w:val="nil"/>
              <w:bottom w:val="nil"/>
              <w:right w:val="nil"/>
            </w:tcBorders>
          </w:tcPr>
          <w:p w14:paraId="4DBD94B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62.70</w:t>
            </w:r>
          </w:p>
        </w:tc>
      </w:tr>
      <w:tr w:rsidR="00800BF8" w:rsidRPr="00AF6E75" w14:paraId="1D96A047" w14:textId="77777777" w:rsidTr="000B1643">
        <w:trPr>
          <w:trHeight w:val="315"/>
        </w:trPr>
        <w:tc>
          <w:tcPr>
            <w:tcW w:w="3467" w:type="dxa"/>
            <w:gridSpan w:val="2"/>
            <w:vMerge/>
            <w:tcBorders>
              <w:left w:val="nil"/>
              <w:right w:val="nil"/>
            </w:tcBorders>
            <w:noWrap/>
            <w:vAlign w:val="bottom"/>
            <w:hideMark/>
          </w:tcPr>
          <w:p w14:paraId="61D3BF96"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nil"/>
              <w:right w:val="nil"/>
            </w:tcBorders>
            <w:noWrap/>
            <w:vAlign w:val="bottom"/>
            <w:hideMark/>
          </w:tcPr>
          <w:p w14:paraId="1369BE14"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5AADBDE9"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0.00</w:t>
            </w:r>
          </w:p>
        </w:tc>
        <w:tc>
          <w:tcPr>
            <w:tcW w:w="960" w:type="dxa"/>
            <w:tcBorders>
              <w:top w:val="nil"/>
              <w:left w:val="nil"/>
              <w:bottom w:val="nil"/>
              <w:right w:val="nil"/>
            </w:tcBorders>
            <w:noWrap/>
            <w:vAlign w:val="bottom"/>
            <w:hideMark/>
          </w:tcPr>
          <w:p w14:paraId="565B79C5"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1.52</w:t>
            </w:r>
          </w:p>
        </w:tc>
        <w:tc>
          <w:tcPr>
            <w:tcW w:w="960" w:type="dxa"/>
            <w:tcBorders>
              <w:top w:val="nil"/>
              <w:left w:val="nil"/>
              <w:bottom w:val="nil"/>
              <w:right w:val="nil"/>
            </w:tcBorders>
            <w:noWrap/>
            <w:vAlign w:val="bottom"/>
            <w:hideMark/>
          </w:tcPr>
          <w:p w14:paraId="0E5B6A83"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0.98</w:t>
            </w:r>
          </w:p>
        </w:tc>
        <w:tc>
          <w:tcPr>
            <w:tcW w:w="1003" w:type="dxa"/>
            <w:tcBorders>
              <w:top w:val="nil"/>
              <w:left w:val="nil"/>
              <w:bottom w:val="nil"/>
              <w:right w:val="nil"/>
            </w:tcBorders>
          </w:tcPr>
          <w:p w14:paraId="6411E54D"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r>
      <w:tr w:rsidR="00800BF8" w:rsidRPr="00AF6E75" w14:paraId="5394EBB4" w14:textId="77777777" w:rsidTr="000B1643">
        <w:trPr>
          <w:trHeight w:val="315"/>
        </w:trPr>
        <w:tc>
          <w:tcPr>
            <w:tcW w:w="3467" w:type="dxa"/>
            <w:gridSpan w:val="2"/>
            <w:vMerge/>
            <w:tcBorders>
              <w:left w:val="nil"/>
              <w:bottom w:val="single" w:sz="4" w:space="0" w:color="auto"/>
              <w:right w:val="nil"/>
            </w:tcBorders>
            <w:noWrap/>
            <w:vAlign w:val="bottom"/>
            <w:hideMark/>
          </w:tcPr>
          <w:p w14:paraId="368F8D73"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c>
          <w:tcPr>
            <w:tcW w:w="960" w:type="dxa"/>
            <w:tcBorders>
              <w:top w:val="nil"/>
              <w:left w:val="nil"/>
              <w:bottom w:val="single" w:sz="4" w:space="0" w:color="auto"/>
              <w:right w:val="nil"/>
            </w:tcBorders>
            <w:noWrap/>
            <w:vAlign w:val="bottom"/>
            <w:hideMark/>
          </w:tcPr>
          <w:p w14:paraId="3C323D75"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nil"/>
            </w:tcBorders>
            <w:noWrap/>
            <w:vAlign w:val="bottom"/>
            <w:hideMark/>
          </w:tcPr>
          <w:p w14:paraId="6E6C92AF"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nil"/>
            </w:tcBorders>
            <w:noWrap/>
            <w:vAlign w:val="bottom"/>
            <w:hideMark/>
          </w:tcPr>
          <w:p w14:paraId="564433F7"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100</w:t>
            </w:r>
          </w:p>
        </w:tc>
        <w:tc>
          <w:tcPr>
            <w:tcW w:w="960" w:type="dxa"/>
            <w:tcBorders>
              <w:top w:val="nil"/>
              <w:left w:val="nil"/>
              <w:bottom w:val="single" w:sz="4" w:space="0" w:color="auto"/>
              <w:right w:val="nil"/>
            </w:tcBorders>
            <w:noWrap/>
            <w:vAlign w:val="bottom"/>
            <w:hideMark/>
          </w:tcPr>
          <w:p w14:paraId="118A7641" w14:textId="77777777" w:rsidR="00800BF8" w:rsidRPr="00AF6E75" w:rsidRDefault="00800BF8" w:rsidP="00064F39">
            <w:pPr>
              <w:spacing w:after="0" w:line="240" w:lineRule="auto"/>
              <w:jc w:val="center"/>
              <w:rPr>
                <w:rFonts w:ascii="Times New Roman" w:eastAsia="Times New Roman" w:hAnsi="Times New Roman" w:cs="Times New Roman"/>
                <w:color w:val="000000"/>
                <w:sz w:val="24"/>
                <w:szCs w:val="24"/>
              </w:rPr>
            </w:pPr>
            <w:r w:rsidRPr="00AF6E75">
              <w:rPr>
                <w:rFonts w:ascii="Times New Roman" w:eastAsia="Times New Roman" w:hAnsi="Times New Roman" w:cs="Times New Roman"/>
                <w:color w:val="000000"/>
                <w:sz w:val="24"/>
                <w:szCs w:val="24"/>
              </w:rPr>
              <w:t>100</w:t>
            </w:r>
          </w:p>
        </w:tc>
        <w:tc>
          <w:tcPr>
            <w:tcW w:w="1003" w:type="dxa"/>
            <w:tcBorders>
              <w:top w:val="nil"/>
              <w:left w:val="nil"/>
              <w:bottom w:val="single" w:sz="4" w:space="0" w:color="auto"/>
              <w:right w:val="nil"/>
            </w:tcBorders>
          </w:tcPr>
          <w:p w14:paraId="07E76832" w14:textId="77777777" w:rsidR="00800BF8" w:rsidRPr="00AF6E75" w:rsidRDefault="00800BF8" w:rsidP="00064F39">
            <w:pPr>
              <w:spacing w:after="0" w:line="240" w:lineRule="auto"/>
              <w:jc w:val="right"/>
              <w:rPr>
                <w:rFonts w:ascii="Times New Roman" w:eastAsia="Times New Roman" w:hAnsi="Times New Roman" w:cs="Times New Roman"/>
                <w:color w:val="000000"/>
                <w:sz w:val="24"/>
                <w:szCs w:val="24"/>
              </w:rPr>
            </w:pPr>
          </w:p>
        </w:tc>
      </w:tr>
    </w:tbl>
    <w:p w14:paraId="1323324F" w14:textId="77777777" w:rsidR="00800BF8" w:rsidRDefault="00800BF8" w:rsidP="00064F3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Source: Author’s Fieldwork, 2024</w:t>
      </w:r>
    </w:p>
    <w:p w14:paraId="484DB2FA" w14:textId="77777777" w:rsidR="00800BF8" w:rsidRPr="00216E69" w:rsidRDefault="00800BF8" w:rsidP="00064F39">
      <w:pPr>
        <w:spacing w:after="0" w:line="240" w:lineRule="auto"/>
        <w:jc w:val="both"/>
        <w:rPr>
          <w:rFonts w:ascii="Times New Roman" w:hAnsi="Times New Roman" w:cs="Times New Roman"/>
          <w:sz w:val="24"/>
          <w:szCs w:val="24"/>
        </w:rPr>
      </w:pPr>
      <w:r w:rsidRPr="00216E69">
        <w:rPr>
          <w:rFonts w:ascii="Times New Roman" w:hAnsi="Times New Roman" w:cs="Times New Roman"/>
          <w:sz w:val="24"/>
          <w:szCs w:val="24"/>
        </w:rPr>
        <w:t>Land cover proportions in the Akure forest reserve for 1984, 2002, 2014, and 2024 is presented in Table 3. In 1984, dense vegetation areas dominated at 61.52%, followed by sparse vegetation at 37.07%, and smaller proportions of rock and bare ground, dense vegetation, and water bodies. By 2014, dense vegetation had a reduced presence, while sparse vegetation areas increased significantly to 41.51%. In 2024, sparse vegetation became predominant at 63.43%, with rock and bare ground also increasing to 23.09% while there was a significant decrease of dense vegetation. This result implied that For Dense Vegetation, there is a significant decrease of −83.03%. For Sparse Vegetation, there's a considerable increase of 71.11%.</w:t>
      </w:r>
    </w:p>
    <w:p w14:paraId="67D7F616" w14:textId="77777777" w:rsidR="00800BF8" w:rsidRDefault="00800BF8" w:rsidP="00064F39">
      <w:pPr>
        <w:spacing w:before="240" w:after="0" w:line="240" w:lineRule="auto"/>
        <w:jc w:val="both"/>
        <w:rPr>
          <w:rFonts w:ascii="Times New Roman" w:hAnsi="Times New Roman" w:cs="Times New Roman"/>
          <w:b/>
          <w:bCs/>
          <w:sz w:val="24"/>
          <w:szCs w:val="24"/>
        </w:rPr>
      </w:pPr>
      <w:r w:rsidRPr="004B248D">
        <w:rPr>
          <w:rFonts w:ascii="Times New Roman" w:hAnsi="Times New Roman" w:cs="Times New Roman"/>
          <w:b/>
          <w:bCs/>
          <w:sz w:val="24"/>
          <w:szCs w:val="24"/>
        </w:rPr>
        <w:t>Discussion of Findings</w:t>
      </w:r>
    </w:p>
    <w:p w14:paraId="63089EF4" w14:textId="77777777" w:rsidR="00800BF8" w:rsidRDefault="00800BF8" w:rsidP="00064F39">
      <w:pPr>
        <w:spacing w:after="0" w:line="240" w:lineRule="auto"/>
        <w:jc w:val="both"/>
        <w:rPr>
          <w:rFonts w:ascii="Times New Roman" w:hAnsi="Times New Roman" w:cs="Times New Roman"/>
          <w:sz w:val="24"/>
          <w:szCs w:val="24"/>
        </w:rPr>
      </w:pPr>
      <w:r w:rsidRPr="00AD237D">
        <w:rPr>
          <w:rFonts w:ascii="Times New Roman" w:hAnsi="Times New Roman" w:cs="Times New Roman"/>
          <w:sz w:val="24"/>
          <w:szCs w:val="24"/>
        </w:rPr>
        <w:t>The findings revealed that the primary drivers of land use and land cover (LULC) changes include both anthropogenic and natural factors. Human-induced drivers encompass agricultural expansion, urbanization, infrastructure development, industrial activities, logging and timber harvesting, mining and quarrying, inadequate land use policies and regulations, and population growth. Natural drivers include climate change, natural disasters, and soil degradation. These results align with Chiteculo's (2019) assertion that the causes of LULC changes are multifaceted and interconnected.</w:t>
      </w:r>
      <w:r>
        <w:rPr>
          <w:rFonts w:ascii="Times New Roman" w:hAnsi="Times New Roman" w:cs="Times New Roman"/>
          <w:sz w:val="24"/>
          <w:szCs w:val="24"/>
        </w:rPr>
        <w:t xml:space="preserve"> Furthermore,</w:t>
      </w:r>
      <w:r w:rsidRPr="00AD237D">
        <w:rPr>
          <w:rFonts w:ascii="Times New Roman" w:hAnsi="Times New Roman" w:cs="Times New Roman"/>
          <w:sz w:val="24"/>
          <w:szCs w:val="24"/>
        </w:rPr>
        <w:t xml:space="preserve"> the most predominant drivers of land use land cover were agricultural expansion and urbanization. This is also supported by the findings of </w:t>
      </w:r>
      <w:proofErr w:type="spellStart"/>
      <w:r w:rsidRPr="00AD237D">
        <w:rPr>
          <w:rFonts w:ascii="Times New Roman" w:hAnsi="Times New Roman" w:cs="Times New Roman"/>
          <w:sz w:val="24"/>
          <w:szCs w:val="24"/>
        </w:rPr>
        <w:t>Adekugbe</w:t>
      </w:r>
      <w:proofErr w:type="spellEnd"/>
      <w:r w:rsidRPr="00AD237D">
        <w:rPr>
          <w:rFonts w:ascii="Times New Roman" w:hAnsi="Times New Roman" w:cs="Times New Roman"/>
          <w:sz w:val="24"/>
          <w:szCs w:val="24"/>
        </w:rPr>
        <w:t xml:space="preserve"> et al. (2020) that the level of agricultural activities in the Akure forest reserve is very high. Hence, constitutes a major cause of deforestation in the reserve.</w:t>
      </w:r>
    </w:p>
    <w:p w14:paraId="5CC6E53C" w14:textId="77777777" w:rsidR="00800BF8" w:rsidRDefault="00800BF8" w:rsidP="00064F39">
      <w:pPr>
        <w:spacing w:after="0" w:line="240" w:lineRule="auto"/>
        <w:jc w:val="both"/>
        <w:rPr>
          <w:rFonts w:ascii="Times New Roman" w:hAnsi="Times New Roman" w:cs="Times New Roman"/>
          <w:sz w:val="24"/>
          <w:szCs w:val="24"/>
        </w:rPr>
      </w:pPr>
      <w:r w:rsidRPr="00632A05">
        <w:rPr>
          <w:rFonts w:ascii="Times New Roman" w:hAnsi="Times New Roman" w:cs="Times New Roman"/>
          <w:sz w:val="24"/>
          <w:szCs w:val="24"/>
        </w:rPr>
        <w:t xml:space="preserve">The findings from the Ondo afforestation plot, </w:t>
      </w:r>
      <w:proofErr w:type="spellStart"/>
      <w:r w:rsidRPr="00632A05">
        <w:rPr>
          <w:rFonts w:ascii="Times New Roman" w:hAnsi="Times New Roman" w:cs="Times New Roman"/>
          <w:sz w:val="24"/>
          <w:szCs w:val="24"/>
        </w:rPr>
        <w:t>Oyinmo</w:t>
      </w:r>
      <w:proofErr w:type="spellEnd"/>
      <w:r w:rsidRPr="00632A05">
        <w:rPr>
          <w:rFonts w:ascii="Times New Roman" w:hAnsi="Times New Roman" w:cs="Times New Roman"/>
          <w:sz w:val="24"/>
          <w:szCs w:val="24"/>
        </w:rPr>
        <w:t xml:space="preserve"> forest reserve, and Akure forest reserve indicate a persistent pattern of variability in land use and land cover (LULC), highlighting notable environmental and ecological transformations.</w:t>
      </w:r>
      <w:r>
        <w:rPr>
          <w:rFonts w:ascii="Times New Roman" w:hAnsi="Times New Roman" w:cs="Times New Roman"/>
          <w:sz w:val="24"/>
          <w:szCs w:val="24"/>
        </w:rPr>
        <w:t xml:space="preserve"> </w:t>
      </w:r>
      <w:r w:rsidRPr="00EB73FB">
        <w:rPr>
          <w:rFonts w:ascii="Times New Roman" w:hAnsi="Times New Roman" w:cs="Times New Roman"/>
          <w:sz w:val="24"/>
          <w:szCs w:val="24"/>
        </w:rPr>
        <w:t>This finding aligns with the study by Anteneh (2022) in Ethiopia, another African country, indicating that land use and land cover issues are not unique to Nigeria but are also prevalent across other African nations and globally</w:t>
      </w:r>
      <w:r>
        <w:rPr>
          <w:rFonts w:ascii="Times New Roman" w:hAnsi="Times New Roman" w:cs="Times New Roman"/>
          <w:sz w:val="24"/>
          <w:szCs w:val="24"/>
        </w:rPr>
        <w:t xml:space="preserve">. </w:t>
      </w:r>
      <w:r w:rsidRPr="00632A05">
        <w:rPr>
          <w:rFonts w:ascii="Times New Roman" w:hAnsi="Times New Roman" w:cs="Times New Roman"/>
          <w:sz w:val="24"/>
          <w:szCs w:val="24"/>
        </w:rPr>
        <w:t xml:space="preserve">Dense vegetation has undergone significant reduction across all study areas over the decades. For instance, in the Ondo afforestation plot, dense vegetation peaked in 2014 but decreased significantly by 2024. Similarly, in the Akure forest reserve, dense vegetation decreased significantly between 1984 and 2024. These trends suggest ongoing deforestation and degradation, likely driven by human activities such as logging, agriculture, </w:t>
      </w:r>
      <w:r>
        <w:rPr>
          <w:rFonts w:ascii="Times New Roman" w:hAnsi="Times New Roman" w:cs="Times New Roman"/>
          <w:sz w:val="24"/>
          <w:szCs w:val="24"/>
        </w:rPr>
        <w:t xml:space="preserve">population growth, and </w:t>
      </w:r>
      <w:r w:rsidRPr="00632A05">
        <w:rPr>
          <w:rFonts w:ascii="Times New Roman" w:hAnsi="Times New Roman" w:cs="Times New Roman"/>
          <w:sz w:val="24"/>
          <w:szCs w:val="24"/>
        </w:rPr>
        <w:t xml:space="preserve">urbanization. Also, sparse vegetation and rock/bare ground have shown considerable increases in coverage, particularly in the Akure and </w:t>
      </w:r>
      <w:proofErr w:type="spellStart"/>
      <w:r w:rsidRPr="00632A05">
        <w:rPr>
          <w:rFonts w:ascii="Times New Roman" w:hAnsi="Times New Roman" w:cs="Times New Roman"/>
          <w:sz w:val="24"/>
          <w:szCs w:val="24"/>
        </w:rPr>
        <w:t>Oyinmo</w:t>
      </w:r>
      <w:proofErr w:type="spellEnd"/>
      <w:r w:rsidRPr="00632A05">
        <w:rPr>
          <w:rFonts w:ascii="Times New Roman" w:hAnsi="Times New Roman" w:cs="Times New Roman"/>
          <w:sz w:val="24"/>
          <w:szCs w:val="24"/>
        </w:rPr>
        <w:t xml:space="preserve"> forest reserves. This shift indicates land degradation, likely resulting from deforestation, agricultural expansion, and reduced forest regeneration</w:t>
      </w:r>
      <w:r>
        <w:rPr>
          <w:rFonts w:ascii="Times New Roman" w:hAnsi="Times New Roman" w:cs="Times New Roman"/>
          <w:sz w:val="24"/>
          <w:szCs w:val="24"/>
        </w:rPr>
        <w:t xml:space="preserve"> (Jenkins, 2018)</w:t>
      </w:r>
      <w:r w:rsidRPr="00632A05">
        <w:rPr>
          <w:rFonts w:ascii="Times New Roman" w:hAnsi="Times New Roman" w:cs="Times New Roman"/>
          <w:sz w:val="24"/>
          <w:szCs w:val="24"/>
        </w:rPr>
        <w:t>.</w:t>
      </w:r>
    </w:p>
    <w:p w14:paraId="55550C88" w14:textId="259BA5E8" w:rsidR="00800BF8" w:rsidRDefault="00800BF8" w:rsidP="00064F39">
      <w:pPr>
        <w:spacing w:before="240" w:after="0" w:line="240" w:lineRule="auto"/>
        <w:jc w:val="both"/>
        <w:rPr>
          <w:rFonts w:ascii="Times New Roman" w:hAnsi="Times New Roman" w:cs="Times New Roman"/>
          <w:b/>
          <w:bCs/>
          <w:sz w:val="24"/>
          <w:szCs w:val="24"/>
        </w:rPr>
      </w:pPr>
      <w:r w:rsidRPr="00632A05">
        <w:rPr>
          <w:rFonts w:ascii="Times New Roman" w:hAnsi="Times New Roman" w:cs="Times New Roman"/>
          <w:b/>
          <w:bCs/>
          <w:sz w:val="24"/>
          <w:szCs w:val="24"/>
        </w:rPr>
        <w:t xml:space="preserve">Conclusion </w:t>
      </w:r>
    </w:p>
    <w:p w14:paraId="12DB235B" w14:textId="77777777" w:rsidR="00064F39" w:rsidRDefault="00800BF8" w:rsidP="0006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Pr="00632A05">
        <w:rPr>
          <w:rFonts w:ascii="Times New Roman" w:hAnsi="Times New Roman" w:cs="Times New Roman"/>
          <w:sz w:val="24"/>
          <w:szCs w:val="24"/>
        </w:rPr>
        <w:t xml:space="preserve">he </w:t>
      </w:r>
      <w:r>
        <w:rPr>
          <w:rFonts w:ascii="Times New Roman" w:hAnsi="Times New Roman" w:cs="Times New Roman"/>
          <w:sz w:val="24"/>
          <w:szCs w:val="24"/>
        </w:rPr>
        <w:t xml:space="preserve">study concludes that the </w:t>
      </w:r>
      <w:r w:rsidRPr="00632A05">
        <w:rPr>
          <w:rFonts w:ascii="Times New Roman" w:hAnsi="Times New Roman" w:cs="Times New Roman"/>
          <w:sz w:val="24"/>
          <w:szCs w:val="24"/>
        </w:rPr>
        <w:t xml:space="preserve">observed fluctuations and trends reflect the complex interplay of anthropogenic and natural drivers shaping land use and land cover dynamics. The reduction in </w:t>
      </w:r>
      <w:r w:rsidRPr="00632A05">
        <w:rPr>
          <w:rFonts w:ascii="Times New Roman" w:hAnsi="Times New Roman" w:cs="Times New Roman"/>
          <w:sz w:val="24"/>
          <w:szCs w:val="24"/>
        </w:rPr>
        <w:lastRenderedPageBreak/>
        <w:t xml:space="preserve">dense vegetation and the expansion of sparse vegetation and rock/bare ground </w:t>
      </w:r>
      <w:r>
        <w:rPr>
          <w:rFonts w:ascii="Times New Roman" w:hAnsi="Times New Roman" w:cs="Times New Roman"/>
          <w:sz w:val="24"/>
          <w:szCs w:val="24"/>
        </w:rPr>
        <w:t>suggests</w:t>
      </w:r>
      <w:r w:rsidRPr="00632A05">
        <w:rPr>
          <w:rFonts w:ascii="Times New Roman" w:hAnsi="Times New Roman" w:cs="Times New Roman"/>
          <w:sz w:val="24"/>
          <w:szCs w:val="24"/>
        </w:rPr>
        <w:t xml:space="preserve"> diminished ecosystem services, including reduced biodiversity, carbon sequestration, and soil fertility. These changes could adversely affect the livelihoods of forest-dependent communities, exacerbating socioeconomic vulnerabilities and undermining sustainable development efforts. </w:t>
      </w:r>
    </w:p>
    <w:p w14:paraId="144A252E" w14:textId="77777777" w:rsidR="00064F39" w:rsidRDefault="00064F39" w:rsidP="00064F39">
      <w:pPr>
        <w:spacing w:after="0" w:line="240" w:lineRule="auto"/>
        <w:jc w:val="both"/>
        <w:rPr>
          <w:rFonts w:ascii="Times New Roman" w:hAnsi="Times New Roman" w:cs="Times New Roman"/>
          <w:sz w:val="24"/>
          <w:szCs w:val="24"/>
        </w:rPr>
      </w:pPr>
    </w:p>
    <w:p w14:paraId="751451D4" w14:textId="27943478" w:rsidR="00064F39" w:rsidRDefault="00064F39" w:rsidP="00064F39">
      <w:pPr>
        <w:spacing w:after="0" w:line="240" w:lineRule="auto"/>
        <w:jc w:val="both"/>
        <w:rPr>
          <w:rFonts w:ascii="Times New Roman" w:hAnsi="Times New Roman" w:cs="Times New Roman"/>
          <w:sz w:val="24"/>
          <w:szCs w:val="24"/>
        </w:rPr>
      </w:pPr>
      <w:r w:rsidRPr="00632A05">
        <w:rPr>
          <w:rFonts w:ascii="Times New Roman" w:hAnsi="Times New Roman" w:cs="Times New Roman"/>
          <w:b/>
          <w:bCs/>
          <w:sz w:val="24"/>
          <w:szCs w:val="24"/>
        </w:rPr>
        <w:t>Recommendations</w:t>
      </w:r>
      <w:r>
        <w:rPr>
          <w:rFonts w:ascii="Times New Roman" w:hAnsi="Times New Roman" w:cs="Times New Roman"/>
          <w:sz w:val="24"/>
          <w:szCs w:val="24"/>
        </w:rPr>
        <w:t xml:space="preserve"> </w:t>
      </w:r>
    </w:p>
    <w:p w14:paraId="3ACEA02A" w14:textId="384C360D" w:rsidR="00800BF8" w:rsidRDefault="00064F39" w:rsidP="00064F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Based on the findings</w:t>
      </w:r>
      <w:r w:rsidR="00800BF8">
        <w:rPr>
          <w:rFonts w:ascii="Times New Roman" w:hAnsi="Times New Roman" w:cs="Times New Roman"/>
          <w:sz w:val="24"/>
          <w:szCs w:val="24"/>
        </w:rPr>
        <w:t>,</w:t>
      </w:r>
      <w:r>
        <w:rPr>
          <w:rFonts w:ascii="Times New Roman" w:hAnsi="Times New Roman" w:cs="Times New Roman"/>
          <w:sz w:val="24"/>
          <w:szCs w:val="24"/>
        </w:rPr>
        <w:t xml:space="preserve"> the study recommends</w:t>
      </w:r>
      <w:r w:rsidR="00800BF8">
        <w:rPr>
          <w:rFonts w:ascii="Times New Roman" w:hAnsi="Times New Roman" w:cs="Times New Roman"/>
          <w:sz w:val="24"/>
          <w:szCs w:val="24"/>
        </w:rPr>
        <w:t xml:space="preserve"> u</w:t>
      </w:r>
      <w:r w:rsidR="00800BF8" w:rsidRPr="00632A05">
        <w:rPr>
          <w:rFonts w:ascii="Times New Roman" w:hAnsi="Times New Roman" w:cs="Times New Roman"/>
          <w:sz w:val="24"/>
          <w:szCs w:val="24"/>
        </w:rPr>
        <w:t>rgent interventions, such as sustainable land management practices, afforestation, and effective policy enforcement, are necessary to mitigate the negative impacts on ecosystems and local livelihoods.</w:t>
      </w:r>
    </w:p>
    <w:p w14:paraId="5EC26ADC" w14:textId="638A6777" w:rsidR="00064F39" w:rsidRDefault="00064F39" w:rsidP="00064F39">
      <w:pPr>
        <w:spacing w:after="0" w:line="240" w:lineRule="auto"/>
        <w:jc w:val="both"/>
        <w:rPr>
          <w:rFonts w:ascii="Times New Roman" w:hAnsi="Times New Roman" w:cs="Times New Roman"/>
          <w:sz w:val="24"/>
          <w:szCs w:val="24"/>
        </w:rPr>
      </w:pPr>
    </w:p>
    <w:p w14:paraId="15F14E0D" w14:textId="654C0E41" w:rsidR="00205C21" w:rsidRDefault="00205C21" w:rsidP="001B0A10">
      <w:pPr>
        <w:spacing w:after="0" w:line="240" w:lineRule="auto"/>
        <w:jc w:val="both"/>
        <w:rPr>
          <w:rFonts w:ascii="Times New Roman" w:hAnsi="Times New Roman" w:cs="Times New Roman"/>
          <w:sz w:val="24"/>
          <w:szCs w:val="24"/>
        </w:rPr>
      </w:pPr>
      <w:bookmarkStart w:id="6" w:name="_GoBack"/>
      <w:bookmarkEnd w:id="6"/>
    </w:p>
    <w:p w14:paraId="77DBC08A" w14:textId="77777777" w:rsidR="00205C21" w:rsidRPr="00205C21" w:rsidRDefault="00205C21" w:rsidP="00205C21">
      <w:pPr>
        <w:spacing w:after="0" w:line="240" w:lineRule="auto"/>
        <w:jc w:val="both"/>
        <w:rPr>
          <w:rFonts w:ascii="Times New Roman" w:hAnsi="Times New Roman" w:cs="Times New Roman"/>
          <w:b/>
          <w:bCs/>
          <w:sz w:val="24"/>
          <w:szCs w:val="24"/>
        </w:rPr>
      </w:pPr>
      <w:r w:rsidRPr="00205C21">
        <w:rPr>
          <w:rFonts w:ascii="Times New Roman" w:hAnsi="Times New Roman" w:cs="Times New Roman"/>
          <w:b/>
          <w:bCs/>
          <w:sz w:val="24"/>
          <w:szCs w:val="24"/>
        </w:rPr>
        <w:t>Ethical Approval</w:t>
      </w:r>
    </w:p>
    <w:p w14:paraId="31CBC308" w14:textId="44766857" w:rsidR="00205C21" w:rsidRPr="001B0A10" w:rsidRDefault="00205C21" w:rsidP="00205C21">
      <w:pPr>
        <w:spacing w:after="0" w:line="240" w:lineRule="auto"/>
        <w:jc w:val="both"/>
        <w:rPr>
          <w:rFonts w:ascii="Times New Roman" w:hAnsi="Times New Roman" w:cs="Times New Roman"/>
          <w:sz w:val="24"/>
          <w:szCs w:val="24"/>
        </w:rPr>
      </w:pPr>
      <w:r w:rsidRPr="00205C21">
        <w:rPr>
          <w:rFonts w:ascii="Times New Roman" w:hAnsi="Times New Roman" w:cs="Times New Roman"/>
          <w:sz w:val="24"/>
          <w:szCs w:val="24"/>
        </w:rPr>
        <w:t>All participants were informed about the purpose of the study, and their participation was entirely voluntary.</w:t>
      </w:r>
    </w:p>
    <w:p w14:paraId="23E32E2C" w14:textId="703A58A6" w:rsidR="00800BF8" w:rsidRDefault="00800BF8" w:rsidP="00064F39">
      <w:pPr>
        <w:spacing w:before="240" w:after="0" w:line="240" w:lineRule="auto"/>
        <w:jc w:val="both"/>
        <w:rPr>
          <w:rFonts w:ascii="Times New Roman" w:hAnsi="Times New Roman" w:cs="Times New Roman"/>
          <w:b/>
          <w:bCs/>
          <w:sz w:val="24"/>
          <w:szCs w:val="24"/>
        </w:rPr>
      </w:pPr>
      <w:r w:rsidRPr="00957BE0">
        <w:rPr>
          <w:rFonts w:ascii="Times New Roman" w:hAnsi="Times New Roman" w:cs="Times New Roman"/>
          <w:b/>
          <w:bCs/>
          <w:sz w:val="24"/>
          <w:szCs w:val="24"/>
        </w:rPr>
        <w:t>References</w:t>
      </w:r>
    </w:p>
    <w:p w14:paraId="5D6F0953" w14:textId="77777777" w:rsidR="00800BF8" w:rsidRDefault="00800BF8" w:rsidP="00064F39">
      <w:pPr>
        <w:spacing w:after="0" w:line="240" w:lineRule="auto"/>
        <w:ind w:left="567" w:hanging="567"/>
        <w:jc w:val="both"/>
        <w:rPr>
          <w:rFonts w:ascii="Times New Roman" w:hAnsi="Times New Roman" w:cs="Times New Roman"/>
          <w:sz w:val="24"/>
          <w:szCs w:val="24"/>
          <w:lang w:val="en-US"/>
        </w:rPr>
      </w:pPr>
      <w:r w:rsidRPr="004F1B74">
        <w:rPr>
          <w:rFonts w:ascii="Times New Roman" w:hAnsi="Times New Roman" w:cs="Times New Roman"/>
          <w:sz w:val="24"/>
          <w:szCs w:val="24"/>
          <w:lang w:val="en-US"/>
        </w:rPr>
        <w:t xml:space="preserve">Abbass, K., Qasim, M. Z., Song, H., Murshed, M., Mahmood, H., &amp; Younis, I. (2022). A review of the global climate change impacts, adaptation, and sustainable mitigation measures. Environmental Science and Pollution Research, 29(31), 42539–42559. </w:t>
      </w:r>
      <w:hyperlink r:id="rId21" w:history="1">
        <w:r w:rsidRPr="00723F03">
          <w:rPr>
            <w:rStyle w:val="Hyperlink"/>
            <w:rFonts w:ascii="Times New Roman" w:hAnsi="Times New Roman" w:cs="Times New Roman"/>
            <w:sz w:val="24"/>
            <w:szCs w:val="24"/>
            <w:lang w:val="en-US"/>
          </w:rPr>
          <w:t>https://doi.org/10.1007/s11356-022-19718-6</w:t>
        </w:r>
      </w:hyperlink>
    </w:p>
    <w:p w14:paraId="07C5AFF7" w14:textId="77777777" w:rsidR="00800BF8" w:rsidRPr="004F1B74" w:rsidRDefault="00800BF8" w:rsidP="00064F39">
      <w:pPr>
        <w:spacing w:before="240" w:after="0" w:line="240" w:lineRule="auto"/>
        <w:ind w:left="567" w:hanging="567"/>
        <w:jc w:val="both"/>
        <w:rPr>
          <w:rFonts w:ascii="Times New Roman" w:hAnsi="Times New Roman" w:cs="Times New Roman"/>
          <w:sz w:val="24"/>
          <w:szCs w:val="24"/>
          <w:lang w:val="en-US"/>
        </w:rPr>
      </w:pPr>
      <w:proofErr w:type="spellStart"/>
      <w:r w:rsidRPr="00133284">
        <w:rPr>
          <w:rFonts w:ascii="Times New Roman" w:hAnsi="Times New Roman" w:cs="Times New Roman"/>
          <w:sz w:val="24"/>
          <w:szCs w:val="24"/>
        </w:rPr>
        <w:t>Adejuwon</w:t>
      </w:r>
      <w:proofErr w:type="spellEnd"/>
      <w:r w:rsidRPr="00133284">
        <w:rPr>
          <w:rFonts w:ascii="Times New Roman" w:hAnsi="Times New Roman" w:cs="Times New Roman"/>
          <w:sz w:val="24"/>
          <w:szCs w:val="24"/>
        </w:rPr>
        <w:t xml:space="preserve">, O., &amp;Jeje, U. H. (2013). </w:t>
      </w:r>
      <w:r w:rsidRPr="00133284">
        <w:rPr>
          <w:rStyle w:val="Emphasis"/>
          <w:rFonts w:ascii="Times New Roman" w:hAnsi="Times New Roman" w:cs="Times New Roman"/>
          <w:sz w:val="24"/>
          <w:szCs w:val="24"/>
        </w:rPr>
        <w:t>An assessment of deforestation in a lowland forest area of Southwest Nigeria, using remote sensing techniques.</w:t>
      </w:r>
      <w:r w:rsidRPr="00133284">
        <w:rPr>
          <w:rFonts w:ascii="Times New Roman" w:hAnsi="Times New Roman" w:cs="Times New Roman"/>
          <w:sz w:val="24"/>
          <w:szCs w:val="24"/>
        </w:rPr>
        <w:t xml:space="preserve"> University of Ibadan, Nigeria.</w:t>
      </w:r>
    </w:p>
    <w:p w14:paraId="45FC3F0B" w14:textId="77777777" w:rsidR="00800BF8" w:rsidRDefault="00800BF8" w:rsidP="00064F39">
      <w:pPr>
        <w:spacing w:before="240" w:after="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Anwadike, J. U. (2020). Assessment of forest resources and their contribution to the livelihoods of rural communities in Anambra State, Nigeria. </w:t>
      </w:r>
      <w:r>
        <w:rPr>
          <w:rFonts w:ascii="Times New Roman" w:hAnsi="Times New Roman" w:cs="Times New Roman"/>
          <w:i/>
          <w:iCs/>
          <w:sz w:val="24"/>
          <w:szCs w:val="24"/>
          <w:lang w:val="en-US"/>
        </w:rPr>
        <w:t>Journal of Forestry Research and Management,</w:t>
      </w:r>
      <w:r>
        <w:rPr>
          <w:rFonts w:ascii="Times New Roman" w:hAnsi="Times New Roman" w:cs="Times New Roman"/>
          <w:sz w:val="24"/>
          <w:szCs w:val="24"/>
          <w:lang w:val="en-US"/>
        </w:rPr>
        <w:t xml:space="preserve"> 17(1), 23-35.</w:t>
      </w:r>
    </w:p>
    <w:p w14:paraId="790B5831" w14:textId="77777777" w:rsidR="00800BF8" w:rsidRDefault="00800BF8" w:rsidP="00064F39">
      <w:pPr>
        <w:spacing w:before="240" w:after="0" w:line="24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Birben</w:t>
      </w:r>
      <w:proofErr w:type="spellEnd"/>
      <w:r>
        <w:rPr>
          <w:rFonts w:ascii="Times New Roman" w:hAnsi="Times New Roman" w:cs="Times New Roman"/>
          <w:sz w:val="24"/>
          <w:szCs w:val="24"/>
          <w:lang w:val="en-US"/>
        </w:rPr>
        <w:t xml:space="preserve">, M. (2022). Factors affecting forest land use change: A case study from Turkey. </w:t>
      </w:r>
      <w:r>
        <w:rPr>
          <w:rFonts w:ascii="Times New Roman" w:hAnsi="Times New Roman" w:cs="Times New Roman"/>
          <w:i/>
          <w:iCs/>
          <w:sz w:val="24"/>
          <w:szCs w:val="24"/>
          <w:lang w:val="en-US"/>
        </w:rPr>
        <w:t>International Journal of Forestry Research,</w:t>
      </w:r>
      <w:r>
        <w:rPr>
          <w:rFonts w:ascii="Times New Roman" w:hAnsi="Times New Roman" w:cs="Times New Roman"/>
          <w:sz w:val="24"/>
          <w:szCs w:val="24"/>
          <w:lang w:val="en-US"/>
        </w:rPr>
        <w:t xml:space="preserve"> 2022, 1-9.</w:t>
      </w:r>
    </w:p>
    <w:p w14:paraId="43434FC7" w14:textId="77777777" w:rsidR="00800BF8" w:rsidRDefault="00800BF8" w:rsidP="00064F39">
      <w:pPr>
        <w:spacing w:before="240" w:after="0" w:line="240" w:lineRule="auto"/>
        <w:ind w:left="567" w:hanging="567"/>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Chiteculo</w:t>
      </w:r>
      <w:proofErr w:type="spellEnd"/>
      <w:r>
        <w:rPr>
          <w:rFonts w:ascii="Times New Roman" w:hAnsi="Times New Roman" w:cs="Times New Roman"/>
          <w:sz w:val="24"/>
          <w:szCs w:val="24"/>
          <w:lang w:val="en-US"/>
        </w:rPr>
        <w:t xml:space="preserve">, V., Abdollahnejad, A., Panagiotidis, D., </w:t>
      </w:r>
      <w:proofErr w:type="spellStart"/>
      <w:r>
        <w:rPr>
          <w:rFonts w:ascii="Times New Roman" w:hAnsi="Times New Roman" w:cs="Times New Roman"/>
          <w:sz w:val="24"/>
          <w:szCs w:val="24"/>
          <w:lang w:val="en-US"/>
        </w:rPr>
        <w:t>Surový</w:t>
      </w:r>
      <w:proofErr w:type="spellEnd"/>
      <w:r>
        <w:rPr>
          <w:rFonts w:ascii="Times New Roman" w:hAnsi="Times New Roman" w:cs="Times New Roman"/>
          <w:sz w:val="24"/>
          <w:szCs w:val="24"/>
          <w:lang w:val="en-US"/>
        </w:rPr>
        <w:t xml:space="preserve">, P., &amp; Sharma, R. P. (2019). Defining deforestation patterns using satellite images from 2000 and 2017: Assessment of forest management in Miombo Forests – A case study of Huambo province in Angola. </w:t>
      </w:r>
      <w:r>
        <w:rPr>
          <w:rFonts w:ascii="Times New Roman" w:hAnsi="Times New Roman" w:cs="Times New Roman"/>
          <w:i/>
          <w:iCs/>
          <w:sz w:val="24"/>
          <w:szCs w:val="24"/>
          <w:lang w:val="en-US"/>
        </w:rPr>
        <w:t>Sustainability</w:t>
      </w:r>
      <w:r>
        <w:rPr>
          <w:rFonts w:ascii="Times New Roman" w:hAnsi="Times New Roman" w:cs="Times New Roman"/>
          <w:sz w:val="24"/>
          <w:szCs w:val="24"/>
          <w:lang w:val="en-US"/>
        </w:rPr>
        <w:t>, 11(1), 98.</w:t>
      </w:r>
    </w:p>
    <w:p w14:paraId="0858686D" w14:textId="77777777" w:rsidR="00800BF8" w:rsidRDefault="00800BF8" w:rsidP="00064F39">
      <w:pPr>
        <w:spacing w:before="240" w:after="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Dixon, R. K., &amp; Garrity, D. P. (2022). Non-timber forest products and their role in forest-based livelihoods and conservation: An overview. </w:t>
      </w:r>
      <w:r>
        <w:rPr>
          <w:rFonts w:ascii="Times New Roman" w:hAnsi="Times New Roman" w:cs="Times New Roman"/>
          <w:i/>
          <w:iCs/>
          <w:sz w:val="24"/>
          <w:szCs w:val="24"/>
          <w:lang w:val="en-US"/>
        </w:rPr>
        <w:t>Agroforestry Systems</w:t>
      </w:r>
      <w:r>
        <w:rPr>
          <w:rFonts w:ascii="Times New Roman" w:hAnsi="Times New Roman" w:cs="Times New Roman"/>
          <w:sz w:val="24"/>
          <w:szCs w:val="24"/>
          <w:lang w:val="en-US"/>
        </w:rPr>
        <w:t>, 1-10.</w:t>
      </w:r>
    </w:p>
    <w:p w14:paraId="42AADCFD" w14:textId="77777777" w:rsidR="00800BF8" w:rsidRDefault="00800BF8" w:rsidP="00064F39">
      <w:pPr>
        <w:spacing w:before="240" w:after="0" w:line="240" w:lineRule="auto"/>
        <w:ind w:left="567" w:hanging="567"/>
        <w:rPr>
          <w:rFonts w:ascii="Times New Roman" w:hAnsi="Times New Roman" w:cs="Times New Roman"/>
          <w:color w:val="000000"/>
          <w:sz w:val="24"/>
          <w:szCs w:val="24"/>
        </w:rPr>
      </w:pPr>
      <w:r>
        <w:rPr>
          <w:rFonts w:ascii="Times New Roman" w:hAnsi="Times New Roman" w:cs="Times New Roman"/>
          <w:color w:val="000000"/>
          <w:sz w:val="24"/>
          <w:szCs w:val="24"/>
        </w:rPr>
        <w:t xml:space="preserve">FAO. (2015). The State of the World’s Forests 2015. FAO. </w:t>
      </w:r>
    </w:p>
    <w:p w14:paraId="2FECA303" w14:textId="77777777" w:rsidR="00800BF8" w:rsidRDefault="00800BF8" w:rsidP="00064F39">
      <w:pPr>
        <w:spacing w:before="240" w:after="0" w:line="240" w:lineRule="auto"/>
        <w:ind w:left="567" w:hanging="567"/>
        <w:jc w:val="both"/>
        <w:rPr>
          <w:rFonts w:ascii="Times New Roman" w:hAnsi="Times New Roman" w:cs="Times New Roman"/>
          <w:color w:val="0D0D0D"/>
          <w:sz w:val="24"/>
          <w:szCs w:val="24"/>
          <w:shd w:val="clear" w:color="auto" w:fill="FFFFFF"/>
        </w:rPr>
      </w:pPr>
      <w:bookmarkStart w:id="7" w:name="_Hlk166325708"/>
      <w:proofErr w:type="spellStart"/>
      <w:r>
        <w:rPr>
          <w:rFonts w:ascii="Times New Roman" w:hAnsi="Times New Roman" w:cs="Times New Roman"/>
          <w:color w:val="0D0D0D"/>
          <w:sz w:val="24"/>
          <w:szCs w:val="24"/>
          <w:shd w:val="clear" w:color="auto" w:fill="FFFFFF"/>
        </w:rPr>
        <w:t>Gbiri</w:t>
      </w:r>
      <w:proofErr w:type="spellEnd"/>
      <w:r>
        <w:rPr>
          <w:rFonts w:ascii="Times New Roman" w:hAnsi="Times New Roman" w:cs="Times New Roman"/>
          <w:color w:val="0D0D0D"/>
          <w:sz w:val="24"/>
          <w:szCs w:val="24"/>
          <w:shd w:val="clear" w:color="auto" w:fill="FFFFFF"/>
        </w:rPr>
        <w:t xml:space="preserve">, </w:t>
      </w:r>
      <w:bookmarkEnd w:id="7"/>
      <w:r>
        <w:rPr>
          <w:rFonts w:ascii="Times New Roman" w:hAnsi="Times New Roman" w:cs="Times New Roman"/>
          <w:color w:val="0D0D0D"/>
          <w:sz w:val="24"/>
          <w:szCs w:val="24"/>
          <w:shd w:val="clear" w:color="auto" w:fill="FFFFFF"/>
        </w:rPr>
        <w:t xml:space="preserve">K. A., &amp; Adeoye, S. A. (2019). Assessing the impact of deforestation on socio-economic activities in Ondo State, Nigeria. </w:t>
      </w:r>
      <w:r>
        <w:rPr>
          <w:rFonts w:ascii="Times New Roman" w:hAnsi="Times New Roman" w:cs="Times New Roman"/>
          <w:i/>
          <w:iCs/>
          <w:color w:val="0D0D0D"/>
          <w:sz w:val="24"/>
          <w:szCs w:val="24"/>
          <w:shd w:val="clear" w:color="auto" w:fill="FFFFFF"/>
        </w:rPr>
        <w:t>International Journal of Research and Innovation in Social Science</w:t>
      </w:r>
      <w:r>
        <w:rPr>
          <w:rFonts w:ascii="Times New Roman" w:hAnsi="Times New Roman" w:cs="Times New Roman"/>
          <w:color w:val="0D0D0D"/>
          <w:sz w:val="24"/>
          <w:szCs w:val="24"/>
          <w:shd w:val="clear" w:color="auto" w:fill="FFFFFF"/>
        </w:rPr>
        <w:t>, 3(1), 15-22.</w:t>
      </w:r>
    </w:p>
    <w:p w14:paraId="24368069" w14:textId="77777777" w:rsidR="00800BF8" w:rsidRDefault="00800BF8" w:rsidP="00064F39">
      <w:pPr>
        <w:spacing w:before="240" w:after="0" w:line="240" w:lineRule="auto"/>
        <w:ind w:left="567" w:hanging="567"/>
        <w:jc w:val="both"/>
        <w:rPr>
          <w:rFonts w:ascii="Times New Roman" w:hAnsi="Times New Roman" w:cs="Times New Roman"/>
          <w:color w:val="0D0D0D"/>
          <w:sz w:val="24"/>
          <w:szCs w:val="24"/>
          <w:shd w:val="clear" w:color="auto" w:fill="FFFFFF"/>
        </w:rPr>
      </w:pPr>
      <w:proofErr w:type="spellStart"/>
      <w:r>
        <w:rPr>
          <w:rFonts w:ascii="Times New Roman" w:hAnsi="Times New Roman" w:cs="Times New Roman"/>
          <w:color w:val="0D0D0D"/>
          <w:sz w:val="24"/>
          <w:szCs w:val="24"/>
          <w:shd w:val="clear" w:color="auto" w:fill="FFFFFF"/>
        </w:rPr>
        <w:t>Gourmelon</w:t>
      </w:r>
      <w:proofErr w:type="spellEnd"/>
      <w:r>
        <w:rPr>
          <w:rFonts w:ascii="Times New Roman" w:hAnsi="Times New Roman" w:cs="Times New Roman"/>
          <w:color w:val="0D0D0D"/>
          <w:sz w:val="24"/>
          <w:szCs w:val="24"/>
          <w:shd w:val="clear" w:color="auto" w:fill="FFFFFF"/>
        </w:rPr>
        <w:t xml:space="preserve">, F. (2016). Urbanization and deforestation: A view from the future. </w:t>
      </w:r>
      <w:proofErr w:type="spellStart"/>
      <w:r>
        <w:rPr>
          <w:rFonts w:ascii="Times New Roman" w:hAnsi="Times New Roman" w:cs="Times New Roman"/>
          <w:color w:val="0D0D0D"/>
          <w:sz w:val="24"/>
          <w:szCs w:val="24"/>
          <w:shd w:val="clear" w:color="auto" w:fill="FFFFFF"/>
        </w:rPr>
        <w:t>Geoforum</w:t>
      </w:r>
      <w:proofErr w:type="spellEnd"/>
      <w:r>
        <w:rPr>
          <w:rFonts w:ascii="Times New Roman" w:hAnsi="Times New Roman" w:cs="Times New Roman"/>
          <w:color w:val="0D0D0D"/>
          <w:sz w:val="24"/>
          <w:szCs w:val="24"/>
          <w:shd w:val="clear" w:color="auto" w:fill="FFFFFF"/>
        </w:rPr>
        <w:t>, 69, 25-36.</w:t>
      </w:r>
    </w:p>
    <w:p w14:paraId="59E8F936" w14:textId="77777777" w:rsidR="00800BF8" w:rsidRDefault="00800BF8" w:rsidP="00064F39">
      <w:pPr>
        <w:spacing w:after="0" w:line="240" w:lineRule="auto"/>
        <w:ind w:left="567" w:hanging="567"/>
        <w:jc w:val="both"/>
        <w:rPr>
          <w:rFonts w:ascii="Times New Roman" w:hAnsi="Times New Roman" w:cs="Times New Roman"/>
          <w:color w:val="0D0D0D"/>
          <w:sz w:val="24"/>
          <w:szCs w:val="24"/>
          <w:shd w:val="clear" w:color="auto" w:fill="FFFFFF"/>
        </w:rPr>
      </w:pPr>
      <w:r w:rsidRPr="004F1B74">
        <w:rPr>
          <w:rFonts w:ascii="Times New Roman" w:hAnsi="Times New Roman" w:cs="Times New Roman"/>
          <w:color w:val="0D0D0D"/>
          <w:sz w:val="24"/>
          <w:szCs w:val="24"/>
          <w:shd w:val="clear" w:color="auto" w:fill="FFFFFF"/>
        </w:rPr>
        <w:t xml:space="preserve">Jayathilake, H. M., Prescott, G. W., Carrasco, L. R., &amp; others. (2021). Drivers of deforestation and degradation for 28 tropical conservation landscapes. </w:t>
      </w:r>
      <w:proofErr w:type="spellStart"/>
      <w:r w:rsidRPr="004F1B74">
        <w:rPr>
          <w:rFonts w:ascii="Times New Roman" w:hAnsi="Times New Roman" w:cs="Times New Roman"/>
          <w:color w:val="0D0D0D"/>
          <w:sz w:val="24"/>
          <w:szCs w:val="24"/>
          <w:shd w:val="clear" w:color="auto" w:fill="FFFFFF"/>
        </w:rPr>
        <w:t>Ambio</w:t>
      </w:r>
      <w:proofErr w:type="spellEnd"/>
      <w:r w:rsidRPr="004F1B74">
        <w:rPr>
          <w:rFonts w:ascii="Times New Roman" w:hAnsi="Times New Roman" w:cs="Times New Roman"/>
          <w:color w:val="0D0D0D"/>
          <w:sz w:val="24"/>
          <w:szCs w:val="24"/>
          <w:shd w:val="clear" w:color="auto" w:fill="FFFFFF"/>
        </w:rPr>
        <w:t>, 50(2), 215–228. https://doi.org/10.1007/s13280-020-01325-9</w:t>
      </w:r>
    </w:p>
    <w:p w14:paraId="59AD67E1" w14:textId="77777777" w:rsidR="00800BF8" w:rsidRDefault="00800BF8" w:rsidP="00064F39">
      <w:pPr>
        <w:spacing w:before="240" w:after="0" w:line="240" w:lineRule="auto"/>
        <w:ind w:left="567" w:hanging="567"/>
        <w:jc w:val="both"/>
        <w:rPr>
          <w:rFonts w:ascii="Times New Roman" w:hAnsi="Times New Roman" w:cs="Times New Roman"/>
          <w:color w:val="0D0D0D"/>
          <w:sz w:val="24"/>
          <w:szCs w:val="24"/>
          <w:shd w:val="clear" w:color="auto" w:fill="FFFFFF"/>
        </w:rPr>
      </w:pPr>
      <w:r w:rsidRPr="00843BA3">
        <w:rPr>
          <w:rFonts w:ascii="Times New Roman" w:hAnsi="Times New Roman" w:cs="Times New Roman"/>
          <w:color w:val="0D0D0D"/>
          <w:sz w:val="24"/>
          <w:szCs w:val="24"/>
          <w:shd w:val="clear" w:color="auto" w:fill="FFFFFF"/>
        </w:rPr>
        <w:lastRenderedPageBreak/>
        <w:t>Jenkins, O. G. (2018). Global consequences of land use. Science, 39(570), 570–574.</w:t>
      </w:r>
    </w:p>
    <w:p w14:paraId="6C7705B7" w14:textId="77777777" w:rsidR="00800BF8" w:rsidRDefault="00800BF8" w:rsidP="00064F39">
      <w:pPr>
        <w:spacing w:before="240" w:after="0" w:line="240" w:lineRule="auto"/>
        <w:ind w:left="567" w:hanging="567"/>
        <w:jc w:val="both"/>
        <w:rPr>
          <w:rFonts w:ascii="Times New Roman" w:hAnsi="Times New Roman" w:cs="Times New Roman"/>
          <w:color w:val="000000"/>
          <w:sz w:val="24"/>
          <w:szCs w:val="24"/>
        </w:rPr>
      </w:pPr>
      <w:r w:rsidRPr="00E41E02">
        <w:rPr>
          <w:rFonts w:ascii="Times New Roman" w:hAnsi="Times New Roman" w:cs="Times New Roman"/>
          <w:color w:val="000000"/>
          <w:sz w:val="24"/>
          <w:szCs w:val="24"/>
        </w:rPr>
        <w:t xml:space="preserve">Hansen, M. C., Potapov, P. V., Moore, R., Hancher, M., Turubanova, S. A., </w:t>
      </w:r>
      <w:proofErr w:type="spellStart"/>
      <w:r w:rsidRPr="00E41E02">
        <w:rPr>
          <w:rFonts w:ascii="Times New Roman" w:hAnsi="Times New Roman" w:cs="Times New Roman"/>
          <w:color w:val="000000"/>
          <w:sz w:val="24"/>
          <w:szCs w:val="24"/>
        </w:rPr>
        <w:t>Tyukavina</w:t>
      </w:r>
      <w:proofErr w:type="spellEnd"/>
      <w:r w:rsidRPr="00E41E02">
        <w:rPr>
          <w:rFonts w:ascii="Times New Roman" w:hAnsi="Times New Roman" w:cs="Times New Roman"/>
          <w:color w:val="000000"/>
          <w:sz w:val="24"/>
          <w:szCs w:val="24"/>
        </w:rPr>
        <w:t xml:space="preserve">, A., Thau, D., Stehman, S. V., Goetz, S. J., Loveland, T. R., Kommareddy, A., Egorov, A., Chini, L., Justice, C. O., &amp; Townshend, J. R. G. (2020). High-resolution global maps of 21st-century forest cover change. Science, 342(6160), 850-853. </w:t>
      </w:r>
      <w:hyperlink r:id="rId22" w:history="1">
        <w:r w:rsidRPr="006502BD">
          <w:rPr>
            <w:rStyle w:val="Hyperlink"/>
            <w:rFonts w:ascii="Times New Roman" w:hAnsi="Times New Roman" w:cs="Times New Roman"/>
            <w:sz w:val="24"/>
            <w:szCs w:val="24"/>
          </w:rPr>
          <w:t>https://doi.org/10.1126/science.1244693</w:t>
        </w:r>
      </w:hyperlink>
    </w:p>
    <w:p w14:paraId="2D233BA9" w14:textId="77777777" w:rsidR="00800BF8" w:rsidRDefault="00800BF8" w:rsidP="00064F39">
      <w:pPr>
        <w:spacing w:before="240" w:after="0" w:line="240" w:lineRule="auto"/>
        <w:ind w:left="567" w:hanging="567"/>
        <w:jc w:val="both"/>
        <w:rPr>
          <w:rStyle w:val="Hyperlink"/>
          <w:rFonts w:ascii="Times New Roman" w:hAnsi="Times New Roman" w:cs="Times New Roman"/>
          <w:sz w:val="24"/>
          <w:szCs w:val="24"/>
        </w:rPr>
      </w:pPr>
      <w:r w:rsidRPr="00E41E02">
        <w:rPr>
          <w:rFonts w:ascii="Times New Roman" w:hAnsi="Times New Roman" w:cs="Times New Roman"/>
          <w:color w:val="000000"/>
          <w:sz w:val="24"/>
          <w:szCs w:val="24"/>
        </w:rPr>
        <w:t xml:space="preserve">Ken, S., Sasaki, N., </w:t>
      </w:r>
      <w:proofErr w:type="spellStart"/>
      <w:r w:rsidRPr="00E41E02">
        <w:rPr>
          <w:rFonts w:ascii="Times New Roman" w:hAnsi="Times New Roman" w:cs="Times New Roman"/>
          <w:color w:val="000000"/>
          <w:sz w:val="24"/>
          <w:szCs w:val="24"/>
        </w:rPr>
        <w:t>Entani</w:t>
      </w:r>
      <w:proofErr w:type="spellEnd"/>
      <w:r w:rsidRPr="00E41E02">
        <w:rPr>
          <w:rFonts w:ascii="Times New Roman" w:hAnsi="Times New Roman" w:cs="Times New Roman"/>
          <w:color w:val="000000"/>
          <w:sz w:val="24"/>
          <w:szCs w:val="24"/>
        </w:rPr>
        <w:t xml:space="preserve">, T., Ma, H.O., </w:t>
      </w:r>
      <w:proofErr w:type="spellStart"/>
      <w:r w:rsidRPr="00E41E02">
        <w:rPr>
          <w:rFonts w:ascii="Times New Roman" w:hAnsi="Times New Roman" w:cs="Times New Roman"/>
          <w:color w:val="000000"/>
          <w:sz w:val="24"/>
          <w:szCs w:val="24"/>
        </w:rPr>
        <w:t>Thuch</w:t>
      </w:r>
      <w:proofErr w:type="spellEnd"/>
      <w:r w:rsidRPr="00E41E02">
        <w:rPr>
          <w:rFonts w:ascii="Times New Roman" w:hAnsi="Times New Roman" w:cs="Times New Roman"/>
          <w:color w:val="000000"/>
          <w:sz w:val="24"/>
          <w:szCs w:val="24"/>
        </w:rPr>
        <w:t>, P., &amp;</w:t>
      </w:r>
      <w:proofErr w:type="spellStart"/>
      <w:r w:rsidRPr="00E41E02">
        <w:rPr>
          <w:rFonts w:ascii="Times New Roman" w:hAnsi="Times New Roman" w:cs="Times New Roman"/>
          <w:color w:val="000000"/>
          <w:sz w:val="24"/>
          <w:szCs w:val="24"/>
        </w:rPr>
        <w:t>Tsusaka</w:t>
      </w:r>
      <w:proofErr w:type="spellEnd"/>
      <w:r w:rsidRPr="00E41E02">
        <w:rPr>
          <w:rFonts w:ascii="Times New Roman" w:hAnsi="Times New Roman" w:cs="Times New Roman"/>
          <w:color w:val="000000"/>
          <w:sz w:val="24"/>
          <w:szCs w:val="24"/>
        </w:rPr>
        <w:t xml:space="preserve">, T.W. (2020). Assessment of the Local Perceptions on the Drivers of Deforestation and Forest Degradation, Agents of Drivers, and Appropriate Activities in Cambodia. Sustainability, 12, 9987. </w:t>
      </w:r>
      <w:hyperlink r:id="rId23" w:history="1">
        <w:r w:rsidRPr="006502BD">
          <w:rPr>
            <w:rStyle w:val="Hyperlink"/>
            <w:rFonts w:ascii="Times New Roman" w:hAnsi="Times New Roman" w:cs="Times New Roman"/>
            <w:sz w:val="24"/>
            <w:szCs w:val="24"/>
          </w:rPr>
          <w:t>https://doi.org/10.3390/su12239987</w:t>
        </w:r>
      </w:hyperlink>
    </w:p>
    <w:p w14:paraId="3BB497BD" w14:textId="77777777" w:rsidR="00800BF8" w:rsidRDefault="00800BF8" w:rsidP="00064F39">
      <w:pPr>
        <w:spacing w:before="240" w:after="0" w:line="240" w:lineRule="auto"/>
        <w:ind w:left="567" w:hanging="567"/>
        <w:jc w:val="both"/>
        <w:rPr>
          <w:rFonts w:ascii="Times New Roman" w:hAnsi="Times New Roman" w:cs="Times New Roman"/>
          <w:color w:val="000000"/>
          <w:sz w:val="24"/>
          <w:szCs w:val="24"/>
        </w:rPr>
      </w:pPr>
      <w:r w:rsidRPr="00133284">
        <w:rPr>
          <w:rFonts w:ascii="Times New Roman" w:hAnsi="Times New Roman" w:cs="Times New Roman"/>
          <w:color w:val="000000"/>
          <w:sz w:val="24"/>
          <w:szCs w:val="24"/>
        </w:rPr>
        <w:t>Lambin, G. G. (2017). Not by bread alone: Forests and rural livelihoods in Sub-Saharan Africa.</w:t>
      </w:r>
    </w:p>
    <w:p w14:paraId="1A2E033B" w14:textId="77777777" w:rsidR="00800BF8" w:rsidRDefault="00800BF8" w:rsidP="00064F39">
      <w:pPr>
        <w:spacing w:before="240" w:after="0" w:line="240" w:lineRule="auto"/>
        <w:ind w:left="567" w:hanging="567"/>
        <w:jc w:val="both"/>
        <w:rPr>
          <w:rFonts w:ascii="Times New Roman" w:hAnsi="Times New Roman" w:cs="Times New Roman"/>
          <w:color w:val="000000"/>
          <w:sz w:val="24"/>
          <w:szCs w:val="24"/>
        </w:rPr>
      </w:pPr>
      <w:proofErr w:type="spellStart"/>
      <w:r w:rsidRPr="00501599">
        <w:rPr>
          <w:rFonts w:ascii="Times New Roman" w:hAnsi="Times New Roman" w:cs="Times New Roman"/>
          <w:color w:val="000000"/>
          <w:sz w:val="24"/>
          <w:szCs w:val="24"/>
        </w:rPr>
        <w:t>Mfrekefon</w:t>
      </w:r>
      <w:proofErr w:type="spellEnd"/>
      <w:r w:rsidRPr="00501599">
        <w:rPr>
          <w:rFonts w:ascii="Times New Roman" w:hAnsi="Times New Roman" w:cs="Times New Roman"/>
          <w:color w:val="000000"/>
          <w:sz w:val="24"/>
          <w:szCs w:val="24"/>
        </w:rPr>
        <w:t>, U. F., &amp;</w:t>
      </w:r>
      <w:proofErr w:type="spellStart"/>
      <w:r w:rsidRPr="00501599">
        <w:rPr>
          <w:rFonts w:ascii="Times New Roman" w:hAnsi="Times New Roman" w:cs="Times New Roman"/>
          <w:color w:val="000000"/>
          <w:sz w:val="24"/>
          <w:szCs w:val="24"/>
        </w:rPr>
        <w:t>Konwaa</w:t>
      </w:r>
      <w:proofErr w:type="spellEnd"/>
      <w:r w:rsidRPr="00501599">
        <w:rPr>
          <w:rFonts w:ascii="Times New Roman" w:hAnsi="Times New Roman" w:cs="Times New Roman"/>
          <w:color w:val="000000"/>
          <w:sz w:val="24"/>
          <w:szCs w:val="24"/>
        </w:rPr>
        <w:t xml:space="preserve">, B. S. (2014). Land use/land cover change detection and its impacts in </w:t>
      </w:r>
      <w:proofErr w:type="spellStart"/>
      <w:r w:rsidRPr="00501599">
        <w:rPr>
          <w:rFonts w:ascii="Times New Roman" w:hAnsi="Times New Roman" w:cs="Times New Roman"/>
          <w:color w:val="000000"/>
          <w:sz w:val="24"/>
          <w:szCs w:val="24"/>
        </w:rPr>
        <w:t>Uyo</w:t>
      </w:r>
      <w:proofErr w:type="spellEnd"/>
      <w:r w:rsidRPr="00501599">
        <w:rPr>
          <w:rFonts w:ascii="Times New Roman" w:hAnsi="Times New Roman" w:cs="Times New Roman"/>
          <w:color w:val="000000"/>
          <w:sz w:val="24"/>
          <w:szCs w:val="24"/>
        </w:rPr>
        <w:t xml:space="preserve"> urban area of Akwa Ibom State, Nigeria. </w:t>
      </w:r>
      <w:r w:rsidRPr="00501599">
        <w:rPr>
          <w:rFonts w:ascii="Times New Roman" w:hAnsi="Times New Roman" w:cs="Times New Roman"/>
          <w:i/>
          <w:iCs/>
          <w:color w:val="000000"/>
          <w:sz w:val="24"/>
          <w:szCs w:val="24"/>
        </w:rPr>
        <w:t>Journal of Geography, Environment and Earth Science International</w:t>
      </w:r>
      <w:r w:rsidRPr="00501599">
        <w:rPr>
          <w:rFonts w:ascii="Times New Roman" w:hAnsi="Times New Roman" w:cs="Times New Roman"/>
          <w:color w:val="000000"/>
          <w:sz w:val="24"/>
          <w:szCs w:val="24"/>
        </w:rPr>
        <w:t>, 3(2), 167-179.</w:t>
      </w:r>
    </w:p>
    <w:p w14:paraId="723EB28A" w14:textId="77777777" w:rsidR="00800BF8" w:rsidRDefault="00800BF8" w:rsidP="00064F39">
      <w:pPr>
        <w:spacing w:before="240" w:after="0" w:line="240" w:lineRule="auto"/>
        <w:ind w:left="567" w:hanging="567"/>
        <w:jc w:val="both"/>
        <w:rPr>
          <w:rFonts w:ascii="Times New Roman" w:hAnsi="Times New Roman" w:cs="Times New Roman"/>
          <w:color w:val="000000"/>
          <w:sz w:val="24"/>
          <w:szCs w:val="24"/>
        </w:rPr>
      </w:pPr>
      <w:proofErr w:type="spellStart"/>
      <w:r w:rsidRPr="00116ECE">
        <w:rPr>
          <w:rFonts w:ascii="Times New Roman" w:hAnsi="Times New Roman" w:cs="Times New Roman"/>
          <w:color w:val="000000"/>
          <w:sz w:val="24"/>
          <w:szCs w:val="24"/>
        </w:rPr>
        <w:t>Oyeranti</w:t>
      </w:r>
      <w:proofErr w:type="spellEnd"/>
      <w:r w:rsidRPr="00116ECE">
        <w:rPr>
          <w:rFonts w:ascii="Times New Roman" w:hAnsi="Times New Roman" w:cs="Times New Roman"/>
          <w:color w:val="000000"/>
          <w:sz w:val="24"/>
          <w:szCs w:val="24"/>
        </w:rPr>
        <w:t xml:space="preserve">, A. O., &amp; Taiwo, O. J. (2023). Analysis of forest cover loss and degradation in Southwest, Nigeria. </w:t>
      </w:r>
      <w:r w:rsidRPr="00116ECE">
        <w:rPr>
          <w:rFonts w:ascii="Times New Roman" w:hAnsi="Times New Roman" w:cs="Times New Roman"/>
          <w:i/>
          <w:iCs/>
          <w:color w:val="000000"/>
          <w:sz w:val="24"/>
          <w:szCs w:val="24"/>
        </w:rPr>
        <w:t>Journal of Forest and Environmental Science</w:t>
      </w:r>
      <w:r w:rsidRPr="00116ECE">
        <w:rPr>
          <w:rFonts w:ascii="Times New Roman" w:hAnsi="Times New Roman" w:cs="Times New Roman"/>
          <w:color w:val="000000"/>
          <w:sz w:val="24"/>
          <w:szCs w:val="24"/>
        </w:rPr>
        <w:t>, 29(1), 83-92.</w:t>
      </w:r>
    </w:p>
    <w:p w14:paraId="6A545C9B" w14:textId="77777777" w:rsidR="00800BF8" w:rsidRDefault="00800BF8" w:rsidP="00064F39">
      <w:pPr>
        <w:spacing w:before="240" w:after="0" w:line="240" w:lineRule="auto"/>
        <w:ind w:left="567" w:hanging="567"/>
        <w:jc w:val="both"/>
        <w:rPr>
          <w:rFonts w:ascii="Times New Roman" w:hAnsi="Times New Roman" w:cs="Times New Roman"/>
          <w:color w:val="000000"/>
          <w:sz w:val="24"/>
          <w:szCs w:val="24"/>
        </w:rPr>
      </w:pPr>
      <w:r w:rsidRPr="00843BA3">
        <w:rPr>
          <w:rFonts w:ascii="Times New Roman" w:hAnsi="Times New Roman" w:cs="Times New Roman"/>
          <w:color w:val="000000"/>
          <w:sz w:val="24"/>
          <w:szCs w:val="24"/>
        </w:rPr>
        <w:t>Singh, U. R. (2015). An assessment of the status of the world's remaining closed forests. Nairobi, Kenya: United Nations Environment Program (UNEP)</w:t>
      </w:r>
    </w:p>
    <w:p w14:paraId="4171858B" w14:textId="77777777" w:rsidR="00800BF8" w:rsidRPr="00957BE0" w:rsidRDefault="00800BF8" w:rsidP="00064F39">
      <w:pPr>
        <w:spacing w:before="240" w:after="0" w:line="240" w:lineRule="auto"/>
        <w:jc w:val="both"/>
        <w:rPr>
          <w:rFonts w:ascii="Times New Roman" w:hAnsi="Times New Roman" w:cs="Times New Roman"/>
          <w:b/>
          <w:bCs/>
          <w:sz w:val="24"/>
          <w:szCs w:val="24"/>
        </w:rPr>
      </w:pPr>
    </w:p>
    <w:p w14:paraId="19B516A6" w14:textId="77777777" w:rsidR="00A420FC" w:rsidRDefault="00A420FC"/>
    <w:sectPr w:rsidR="00A420FC" w:rsidSect="00435FF6">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B5EC2" w14:textId="77777777" w:rsidR="00D81B41" w:rsidRDefault="00D81B41" w:rsidP="005041B4">
      <w:pPr>
        <w:spacing w:after="0" w:line="240" w:lineRule="auto"/>
      </w:pPr>
      <w:r>
        <w:separator/>
      </w:r>
    </w:p>
  </w:endnote>
  <w:endnote w:type="continuationSeparator" w:id="0">
    <w:p w14:paraId="10C8D610" w14:textId="77777777" w:rsidR="00D81B41" w:rsidRDefault="00D81B41" w:rsidP="00504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9420D" w14:textId="77777777" w:rsidR="005041B4" w:rsidRDefault="005041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2CB40" w14:textId="77777777" w:rsidR="005041B4" w:rsidRDefault="005041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4DBD9" w14:textId="77777777" w:rsidR="005041B4" w:rsidRDefault="00504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6020B" w14:textId="77777777" w:rsidR="00D81B41" w:rsidRDefault="00D81B41" w:rsidP="005041B4">
      <w:pPr>
        <w:spacing w:after="0" w:line="240" w:lineRule="auto"/>
      </w:pPr>
      <w:r>
        <w:separator/>
      </w:r>
    </w:p>
  </w:footnote>
  <w:footnote w:type="continuationSeparator" w:id="0">
    <w:p w14:paraId="6AE6773F" w14:textId="77777777" w:rsidR="00D81B41" w:rsidRDefault="00D81B41" w:rsidP="005041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D4B84" w14:textId="5CC47022" w:rsidR="005041B4" w:rsidRDefault="005041B4">
    <w:pPr>
      <w:pStyle w:val="Header"/>
    </w:pPr>
    <w:r>
      <w:rPr>
        <w:noProof/>
      </w:rPr>
      <w:pict w14:anchorId="2562D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50775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6D558" w14:textId="47B131D1" w:rsidR="005041B4" w:rsidRDefault="005041B4">
    <w:pPr>
      <w:pStyle w:val="Header"/>
    </w:pPr>
    <w:r>
      <w:rPr>
        <w:noProof/>
      </w:rPr>
      <w:pict w14:anchorId="59525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50775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B4C48" w14:textId="22546192" w:rsidR="005041B4" w:rsidRDefault="005041B4">
    <w:pPr>
      <w:pStyle w:val="Header"/>
    </w:pPr>
    <w:r>
      <w:rPr>
        <w:noProof/>
      </w:rPr>
      <w:pict w14:anchorId="33717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050775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B3E8D"/>
    <w:multiLevelType w:val="hybridMultilevel"/>
    <w:tmpl w:val="826AC316"/>
    <w:lvl w:ilvl="0" w:tplc="DC34588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BF8"/>
    <w:rsid w:val="00064F39"/>
    <w:rsid w:val="001B0A10"/>
    <w:rsid w:val="00205C21"/>
    <w:rsid w:val="005041B4"/>
    <w:rsid w:val="00584698"/>
    <w:rsid w:val="00651099"/>
    <w:rsid w:val="0072001F"/>
    <w:rsid w:val="00800BF8"/>
    <w:rsid w:val="00A420FC"/>
    <w:rsid w:val="00D81B41"/>
    <w:rsid w:val="00ED7DC1"/>
    <w:rsid w:val="00F70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90A5FF"/>
  <w15:chartTrackingRefBased/>
  <w15:docId w15:val="{C97440B4-4ADB-4C72-B537-3F18C738B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0BF8"/>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00B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00BF8"/>
    <w:rPr>
      <w:color w:val="0563C1" w:themeColor="hyperlink"/>
      <w:u w:val="single"/>
    </w:rPr>
  </w:style>
  <w:style w:type="character" w:styleId="Emphasis">
    <w:name w:val="Emphasis"/>
    <w:basedOn w:val="DefaultParagraphFont"/>
    <w:uiPriority w:val="20"/>
    <w:qFormat/>
    <w:rsid w:val="00800BF8"/>
    <w:rPr>
      <w:i/>
      <w:iCs/>
    </w:rPr>
  </w:style>
  <w:style w:type="character" w:styleId="UnresolvedMention">
    <w:name w:val="Unresolved Mention"/>
    <w:basedOn w:val="DefaultParagraphFont"/>
    <w:uiPriority w:val="99"/>
    <w:semiHidden/>
    <w:unhideWhenUsed/>
    <w:rsid w:val="00584698"/>
    <w:rPr>
      <w:color w:val="605E5C"/>
      <w:shd w:val="clear" w:color="auto" w:fill="E1DFDD"/>
    </w:rPr>
  </w:style>
  <w:style w:type="paragraph" w:styleId="Header">
    <w:name w:val="header"/>
    <w:basedOn w:val="Normal"/>
    <w:link w:val="HeaderChar"/>
    <w:uiPriority w:val="99"/>
    <w:unhideWhenUsed/>
    <w:rsid w:val="00504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1B4"/>
    <w:rPr>
      <w:lang w:val="en-GB"/>
    </w:rPr>
  </w:style>
  <w:style w:type="paragraph" w:styleId="Footer">
    <w:name w:val="footer"/>
    <w:basedOn w:val="Normal"/>
    <w:link w:val="FooterChar"/>
    <w:uiPriority w:val="99"/>
    <w:unhideWhenUsed/>
    <w:rsid w:val="00504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1B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doi.org/10.1007/s11356-022-19718-6"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i.org/10.3390/su12239987"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126/science.1244693"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Jobs\MR%20Eniola\MSc.%20Project\Book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Sheet2!$F$1</c:f>
              <c:strCache>
                <c:ptCount val="1"/>
                <c:pt idx="0">
                  <c:v>Percent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Sheet2!$C$2:$D$11</c:f>
              <c:strCache>
                <c:ptCount val="10"/>
                <c:pt idx="0">
                  <c:v>Agricultural Expansion</c:v>
                </c:pt>
                <c:pt idx="1">
                  <c:v>Urbanization and Infrastructure Development</c:v>
                </c:pt>
                <c:pt idx="2">
                  <c:v>Factories/Industrail Activities</c:v>
                </c:pt>
                <c:pt idx="3">
                  <c:v>Logging and Timber Harvesting</c:v>
                </c:pt>
                <c:pt idx="4">
                  <c:v>Mining and Quarrying</c:v>
                </c:pt>
                <c:pt idx="5">
                  <c:v>Land Use Policy</c:v>
                </c:pt>
                <c:pt idx="6">
                  <c:v>Population Growth</c:v>
                </c:pt>
                <c:pt idx="7">
                  <c:v>Climate Change</c:v>
                </c:pt>
                <c:pt idx="8">
                  <c:v>Natural Disasters</c:v>
                </c:pt>
                <c:pt idx="9">
                  <c:v>Soil Degradation</c:v>
                </c:pt>
              </c:strCache>
            </c:strRef>
          </c:cat>
          <c:val>
            <c:numRef>
              <c:f>Sheet2!$F$2:$F$11</c:f>
              <c:numCache>
                <c:formatCode>0.0</c:formatCode>
                <c:ptCount val="10"/>
                <c:pt idx="0">
                  <c:v>32.666666666666636</c:v>
                </c:pt>
                <c:pt idx="1">
                  <c:v>13.333333333333334</c:v>
                </c:pt>
                <c:pt idx="2">
                  <c:v>4.666666666666667</c:v>
                </c:pt>
                <c:pt idx="3">
                  <c:v>14.000000000000002</c:v>
                </c:pt>
                <c:pt idx="4">
                  <c:v>4</c:v>
                </c:pt>
                <c:pt idx="5">
                  <c:v>6.666666666666667</c:v>
                </c:pt>
                <c:pt idx="6">
                  <c:v>12</c:v>
                </c:pt>
                <c:pt idx="7">
                  <c:v>5.3333333333333366</c:v>
                </c:pt>
                <c:pt idx="8">
                  <c:v>2</c:v>
                </c:pt>
                <c:pt idx="9">
                  <c:v>5.3333333333333366</c:v>
                </c:pt>
              </c:numCache>
            </c:numRef>
          </c:val>
          <c:extLst>
            <c:ext xmlns:c16="http://schemas.microsoft.com/office/drawing/2014/chart" uri="{C3380CC4-5D6E-409C-BE32-E72D297353CC}">
              <c16:uniqueId val="{00000000-95F6-4E90-A42C-5161A900A7BA}"/>
            </c:ext>
          </c:extLst>
        </c:ser>
        <c:dLbls>
          <c:showLegendKey val="0"/>
          <c:showVal val="1"/>
          <c:showCatName val="0"/>
          <c:showSerName val="0"/>
          <c:showPercent val="0"/>
          <c:showBubbleSize val="0"/>
        </c:dLbls>
        <c:gapWidth val="219"/>
        <c:overlap val="-27"/>
        <c:axId val="128069632"/>
        <c:axId val="128071552"/>
        <c:extLst>
          <c:ext xmlns:c15="http://schemas.microsoft.com/office/drawing/2012/chart" uri="{02D57815-91ED-43cb-92C2-25804820EDAC}">
            <c15:filteredBarSeries>
              <c15:ser>
                <c:idx val="0"/>
                <c:order val="0"/>
                <c:tx>
                  <c:strRef>
                    <c:extLst>
                      <c:ext uri="{02D57815-91ED-43cb-92C2-25804820EDAC}">
                        <c15:formulaRef>
                          <c15:sqref>Sheet2!$E$1</c15:sqref>
                        </c15:formulaRef>
                      </c:ext>
                    </c:extLst>
                    <c:strCache>
                      <c:ptCount val="1"/>
                      <c:pt idx="0">
                        <c:v>Frequency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Sheet2!$C$2:$D$11</c15:sqref>
                        </c15:formulaRef>
                      </c:ext>
                    </c:extLst>
                    <c:strCache>
                      <c:ptCount val="10"/>
                      <c:pt idx="0">
                        <c:v>Agricultural Expansion</c:v>
                      </c:pt>
                      <c:pt idx="1">
                        <c:v>Urbanization and Infrastructure Development</c:v>
                      </c:pt>
                      <c:pt idx="2">
                        <c:v>Factories/Industrail Activities</c:v>
                      </c:pt>
                      <c:pt idx="3">
                        <c:v>Logging and Timber Harvesting</c:v>
                      </c:pt>
                      <c:pt idx="4">
                        <c:v>Mining and Quarrying</c:v>
                      </c:pt>
                      <c:pt idx="5">
                        <c:v>Land Use Policy</c:v>
                      </c:pt>
                      <c:pt idx="6">
                        <c:v>Population Growth</c:v>
                      </c:pt>
                      <c:pt idx="7">
                        <c:v>Climate Change</c:v>
                      </c:pt>
                      <c:pt idx="8">
                        <c:v>Natural Disasters</c:v>
                      </c:pt>
                      <c:pt idx="9">
                        <c:v>Soil Degradation</c:v>
                      </c:pt>
                    </c:strCache>
                  </c:strRef>
                </c:cat>
                <c:val>
                  <c:numRef>
                    <c:extLst>
                      <c:ext uri="{02D57815-91ED-43cb-92C2-25804820EDAC}">
                        <c15:formulaRef>
                          <c15:sqref>Sheet2!$E$2:$E$11</c15:sqref>
                        </c15:formulaRef>
                      </c:ext>
                    </c:extLst>
                    <c:numCache>
                      <c:formatCode>General</c:formatCode>
                      <c:ptCount val="10"/>
                      <c:pt idx="0">
                        <c:v>49</c:v>
                      </c:pt>
                      <c:pt idx="1">
                        <c:v>20</c:v>
                      </c:pt>
                      <c:pt idx="2">
                        <c:v>7</c:v>
                      </c:pt>
                      <c:pt idx="3">
                        <c:v>21</c:v>
                      </c:pt>
                      <c:pt idx="4">
                        <c:v>6</c:v>
                      </c:pt>
                      <c:pt idx="5">
                        <c:v>10</c:v>
                      </c:pt>
                      <c:pt idx="6">
                        <c:v>18</c:v>
                      </c:pt>
                      <c:pt idx="7">
                        <c:v>8</c:v>
                      </c:pt>
                      <c:pt idx="8">
                        <c:v>3</c:v>
                      </c:pt>
                      <c:pt idx="9">
                        <c:v>8</c:v>
                      </c:pt>
                    </c:numCache>
                  </c:numRef>
                </c:val>
                <c:extLst>
                  <c:ext xmlns:c16="http://schemas.microsoft.com/office/drawing/2014/chart" uri="{C3380CC4-5D6E-409C-BE32-E72D297353CC}">
                    <c16:uniqueId val="{00000001-95F6-4E90-A42C-5161A900A7BA}"/>
                  </c:ext>
                </c:extLst>
              </c15:ser>
            </c15:filteredBarSeries>
          </c:ext>
        </c:extLst>
      </c:barChart>
      <c:catAx>
        <c:axId val="128069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rgbClr val="FF0000"/>
                </a:solidFill>
                <a:latin typeface="+mn-lt"/>
                <a:ea typeface="+mn-ea"/>
                <a:cs typeface="+mn-cs"/>
              </a:defRPr>
            </a:pPr>
            <a:endParaRPr lang="en-US"/>
          </a:p>
        </c:txPr>
        <c:crossAx val="128071552"/>
        <c:crosses val="autoZero"/>
        <c:auto val="1"/>
        <c:lblAlgn val="ctr"/>
        <c:lblOffset val="100"/>
        <c:noMultiLvlLbl val="0"/>
      </c:catAx>
      <c:valAx>
        <c:axId val="12807155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crossAx val="128069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15</Pages>
  <Words>3584</Words>
  <Characters>20435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Horlar</dc:creator>
  <cp:keywords/>
  <dc:description/>
  <cp:lastModifiedBy>SDI 1084</cp:lastModifiedBy>
  <cp:revision>8</cp:revision>
  <dcterms:created xsi:type="dcterms:W3CDTF">2025-10-15T07:24:00Z</dcterms:created>
  <dcterms:modified xsi:type="dcterms:W3CDTF">2025-10-16T11:32:00Z</dcterms:modified>
</cp:coreProperties>
</file>