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B9E7E" w14:textId="77777777" w:rsidR="002C7ABC" w:rsidRDefault="00A821D5">
      <w:pPr>
        <w:jc w:val="center"/>
        <w:rPr>
          <w:b/>
          <w:bCs/>
          <w:sz w:val="28"/>
          <w:szCs w:val="28"/>
        </w:rPr>
      </w:pPr>
      <w:r>
        <w:rPr>
          <w:b/>
          <w:bCs/>
          <w:kern w:val="2"/>
          <w:sz w:val="28"/>
          <w:szCs w:val="28"/>
        </w:rPr>
        <w:t>The Impact of Manpower Development on Employee Productivity in the Manufacturing Industry in Nigeria: A Case Study of Guinness Nigeria Plc</w:t>
      </w:r>
    </w:p>
    <w:p w14:paraId="64B26614" w14:textId="2B1D8694" w:rsidR="002C7ABC" w:rsidRDefault="002C7ABC">
      <w:pPr>
        <w:rPr>
          <w:b/>
          <w:bCs/>
        </w:rPr>
      </w:pPr>
    </w:p>
    <w:p w14:paraId="2B02E7C8" w14:textId="77777777" w:rsidR="002C7ABC" w:rsidRDefault="00A821D5">
      <w:pPr>
        <w:rPr>
          <w:b/>
          <w:bCs/>
          <w:sz w:val="28"/>
          <w:szCs w:val="28"/>
        </w:rPr>
      </w:pPr>
      <w:r>
        <w:rPr>
          <w:b/>
          <w:bCs/>
          <w:sz w:val="28"/>
          <w:szCs w:val="28"/>
        </w:rPr>
        <w:t>Abstract</w:t>
      </w:r>
    </w:p>
    <w:p w14:paraId="2982A751" w14:textId="77777777" w:rsidR="002C7ABC" w:rsidRDefault="00A821D5">
      <w:r>
        <w:t>This paper discussed the connexion between manpower development and the productivity of employees in the Manufacturing industry in Nigeria using the case study of the Guinness Nigeria Plc. The study aimed at answering the question of whether struc</w:t>
      </w:r>
      <w:r>
        <w:t xml:space="preserve">tured training and development programmes are relevant to the skills and effectiveness of employees; and their productivity in general. It also covered setbacks related to development of manpower, including misconceptions of training as </w:t>
      </w:r>
      <w:proofErr w:type="spellStart"/>
      <w:r>
        <w:t>lexuses</w:t>
      </w:r>
      <w:proofErr w:type="spellEnd"/>
      <w:r>
        <w:t xml:space="preserve"> and the lac</w:t>
      </w:r>
      <w:r>
        <w:t>k of assessment techniques.</w:t>
      </w:r>
    </w:p>
    <w:p w14:paraId="1459A918" w14:textId="77777777" w:rsidR="002C7ABC" w:rsidRDefault="00A821D5">
      <w:r>
        <w:t>Questionnaires and subsequent interviews were administered to a purposive sample of 100 employees in a brewery in Ikeja, Lagos, resulting in a valid sample of 80 employees. We used both descriptive statistics and chi-square test</w:t>
      </w:r>
      <w:r>
        <w:t>s to assess the data and test the hypothesised statements. Analysis involved the correlation between training exposure and increases in employee performance, job commitment and progression.</w:t>
      </w:r>
    </w:p>
    <w:p w14:paraId="4EB8A8F4" w14:textId="77777777" w:rsidR="002C7ABC" w:rsidRDefault="00A821D5">
      <w:r>
        <w:t>The result indicated that there existed a strong positive relation</w:t>
      </w:r>
      <w:r>
        <w:t>ship between manpower development and productivity, where 81% of the respondent validated that training enhanced their efficiency. After undergoing training programmes, the employees said that they felt sufficiently equipped in their pertinent skills and f</w:t>
      </w:r>
      <w:r>
        <w:t xml:space="preserve">elt more dedicated to their jobs and more hopeful about their chances of climbing upwards in their careers. The difference in statistical tests were statistically significant, and it is therefore seen that consequences of manpower development has an </w:t>
      </w:r>
      <w:proofErr w:type="spellStart"/>
      <w:r>
        <w:t>illust</w:t>
      </w:r>
      <w:r>
        <w:t>rable</w:t>
      </w:r>
      <w:proofErr w:type="spellEnd"/>
      <w:r>
        <w:t xml:space="preserve"> impact on the performance outcomes. Nevertheless, the research also reported that insufficient funding, lack of appropriate identification of training requirements and outlook of training as an additional time have also propagated to the non-effectiv</w:t>
      </w:r>
      <w:r>
        <w:t>eness of training in certain procedures.</w:t>
      </w:r>
    </w:p>
    <w:p w14:paraId="1D366B10" w14:textId="77777777" w:rsidR="002C7ABC" w:rsidRDefault="00A821D5">
      <w:pPr>
        <w:rPr>
          <w:b/>
          <w:bCs/>
        </w:rPr>
      </w:pPr>
      <w:r>
        <w:t>Finally, development of manpower is crucial in supporting the sustenance of productivity and competitiveness in manufacturing. In the case of companies like Guinness Nigeria Plc, every time investment in personnel g</w:t>
      </w:r>
      <w:r>
        <w:t xml:space="preserve">rowth is necessary including using trainers who are credible, efforts to </w:t>
      </w:r>
      <w:r>
        <w:lastRenderedPageBreak/>
        <w:t>assess results are organised and systematic. The results suggest that training must be considered an investment in genetic and organisational development instead of a contingent expen</w:t>
      </w:r>
      <w:r>
        <w:t>diture.</w:t>
      </w:r>
    </w:p>
    <w:p w14:paraId="4BB61729" w14:textId="77777777" w:rsidR="002C7ABC" w:rsidRDefault="00A821D5">
      <w:pPr>
        <w:rPr>
          <w:i/>
          <w:iCs/>
        </w:rPr>
      </w:pPr>
      <w:r>
        <w:rPr>
          <w:b/>
          <w:bCs/>
        </w:rPr>
        <w:t xml:space="preserve">Keywords: </w:t>
      </w:r>
      <w:r>
        <w:rPr>
          <w:i/>
          <w:iCs/>
        </w:rPr>
        <w:t>Manpower development; Employee productivity; Human resource development; Training and education; Organizational performance; Manufacturing industry; Nigeria; Guinness Plc</w:t>
      </w:r>
    </w:p>
    <w:p w14:paraId="23A34B46" w14:textId="77777777" w:rsidR="002C7ABC" w:rsidRDefault="00A821D5">
      <w:pPr>
        <w:spacing w:before="100" w:beforeAutospacing="1" w:after="100" w:afterAutospacing="1" w:line="240" w:lineRule="auto"/>
        <w:jc w:val="left"/>
        <w:outlineLvl w:val="1"/>
        <w:rPr>
          <w:rFonts w:eastAsia="Times New Roman" w:cs="Times New Roman"/>
          <w:b/>
          <w:bCs/>
          <w:sz w:val="28"/>
          <w:szCs w:val="28"/>
          <w:lang w:eastAsia="en-GB"/>
        </w:rPr>
      </w:pPr>
      <w:r>
        <w:rPr>
          <w:rFonts w:eastAsia="Times New Roman" w:cs="Times New Roman"/>
          <w:b/>
          <w:bCs/>
          <w:sz w:val="28"/>
          <w:szCs w:val="28"/>
          <w:lang w:eastAsia="en-GB"/>
        </w:rPr>
        <w:t>Introduction</w:t>
      </w:r>
    </w:p>
    <w:p w14:paraId="4A8B8BEE" w14:textId="77777777" w:rsidR="002C7ABC" w:rsidRDefault="00A821D5">
      <w:pPr>
        <w:rPr>
          <w:lang w:eastAsia="en-GB"/>
        </w:rPr>
      </w:pPr>
      <w:r>
        <w:rPr>
          <w:lang w:eastAsia="en-GB"/>
        </w:rPr>
        <w:t xml:space="preserve">Organisations across the world operate in an </w:t>
      </w:r>
      <w:r>
        <w:rPr>
          <w:lang w:eastAsia="en-GB"/>
        </w:rPr>
        <w:t>environment characterised by constant change, driven by competition, technological innovation, and the need for operational excellence. To survive and thrive, firms must continually strengthen how they manage both human and material resources. A key pathwa</w:t>
      </w:r>
      <w:r>
        <w:rPr>
          <w:lang w:eastAsia="en-GB"/>
        </w:rPr>
        <w:t xml:space="preserve">y to achieving this lies in manpower development, which focuses on equipping employees with relevant skills, updated knowledge, and adaptive attitudes necessary for high performance. In the manufacturing sector, where production processes and technologies </w:t>
      </w:r>
      <w:r>
        <w:rPr>
          <w:lang w:eastAsia="en-GB"/>
        </w:rPr>
        <w:t>evolve rapidly, systematic manpower development ensures that employees remain competent and responsive to new workplace demands (Armstrong &amp; Taylor, 2020).</w:t>
      </w:r>
    </w:p>
    <w:p w14:paraId="6683F895" w14:textId="77777777" w:rsidR="002C7ABC" w:rsidRDefault="00A821D5">
      <w:pPr>
        <w:rPr>
          <w:lang w:eastAsia="en-GB"/>
        </w:rPr>
      </w:pPr>
      <w:r>
        <w:rPr>
          <w:lang w:eastAsia="en-GB"/>
        </w:rPr>
        <w:t>In Nigeria, the manufacturing industry has continued to face challenges of low productivity and oper</w:t>
      </w:r>
      <w:r>
        <w:rPr>
          <w:lang w:eastAsia="en-GB"/>
        </w:rPr>
        <w:t>ational inefficiency. These are often attributed to outdated workforce skills, inadequate training infrastructure, and the persistent underinvestment in human capital (Simpasa, 2024). Many firms still rely on traditional approaches to labour management, wi</w:t>
      </w:r>
      <w:r>
        <w:rPr>
          <w:lang w:eastAsia="en-GB"/>
        </w:rPr>
        <w:t xml:space="preserve">th limited emphasis on continuous learning or technological adaptation. Evidence from successful manufacturing organisations shows that investment in manpower development leads to greater innovation, enhanced product quality, and improved competitiveness, </w:t>
      </w:r>
      <w:r>
        <w:rPr>
          <w:lang w:eastAsia="en-GB"/>
        </w:rPr>
        <w:t>highlighting the strategic value of human resource training in driving productivity growth.</w:t>
      </w:r>
    </w:p>
    <w:p w14:paraId="6FE46523" w14:textId="77777777" w:rsidR="002C7ABC" w:rsidRDefault="00A821D5">
      <w:pPr>
        <w:rPr>
          <w:lang w:eastAsia="en-GB"/>
        </w:rPr>
      </w:pPr>
      <w:r>
        <w:rPr>
          <w:lang w:eastAsia="en-GB"/>
        </w:rPr>
        <w:t>Despite the importance of manpower development, many Nigerian organisations do not approach training as a planned, performance-oriented activity. Identifying genuin</w:t>
      </w:r>
      <w:r>
        <w:rPr>
          <w:lang w:eastAsia="en-GB"/>
        </w:rPr>
        <w:t>e training needs and evaluating outcomes remain major challenges. In some cases, employees perceive training programmes as opportunities for allowances or short breaks rather than as a means of professional advancement, reducing their motivation and the ef</w:t>
      </w:r>
      <w:r>
        <w:rPr>
          <w:lang w:eastAsia="en-GB"/>
        </w:rPr>
        <w:t xml:space="preserve">fectiveness of the exercise (Silvester </w:t>
      </w:r>
      <w:r>
        <w:rPr>
          <w:i/>
          <w:iCs/>
          <w:lang w:eastAsia="en-GB"/>
        </w:rPr>
        <w:t>et al</w:t>
      </w:r>
      <w:r>
        <w:rPr>
          <w:lang w:eastAsia="en-GB"/>
        </w:rPr>
        <w:t xml:space="preserve">., 2024). Moreover, insufficient funding, poor engagement of qualified trainers, and weak post-training evaluation frameworks limit the long-term impact of such programmes. These issues </w:t>
      </w:r>
      <w:r>
        <w:rPr>
          <w:lang w:eastAsia="en-GB"/>
        </w:rPr>
        <w:lastRenderedPageBreak/>
        <w:t xml:space="preserve">weaken the connection </w:t>
      </w:r>
      <w:r>
        <w:rPr>
          <w:lang w:eastAsia="en-GB"/>
        </w:rPr>
        <w:t>between manpower development and measurable productivity gains, creating gaps in organisational performance and sustainability.</w:t>
      </w:r>
    </w:p>
    <w:p w14:paraId="2808D6F8" w14:textId="77777777" w:rsidR="002C7ABC" w:rsidRDefault="00A821D5">
      <w:pPr>
        <w:rPr>
          <w:lang w:eastAsia="en-GB"/>
        </w:rPr>
      </w:pPr>
      <w:r>
        <w:rPr>
          <w:lang w:eastAsia="en-GB"/>
        </w:rPr>
        <w:t>This particular research aims to understand how the development of manpower affects the productivity of employees within the man</w:t>
      </w:r>
      <w:r>
        <w:rPr>
          <w:lang w:eastAsia="en-GB"/>
        </w:rPr>
        <w:t>ufacturing industry in Nigeria with Guinness Nigeria Plc acting as the case study. The objectives of the study are to evaluate whether manpower development plays a major role in productivity, to determine whether or not employees can be made more skilful a</w:t>
      </w:r>
      <w:r>
        <w:rPr>
          <w:lang w:eastAsia="en-GB"/>
        </w:rPr>
        <w:t>nd efficient through training, to evaluate to what extent manpower development improves commitment and develops careers and to identify major challenges to the implementation of training initiatives. Through the case of an established manufacturing company</w:t>
      </w:r>
      <w:r>
        <w:rPr>
          <w:lang w:eastAsia="en-GB"/>
        </w:rPr>
        <w:t>, the study offers a practical understanding of the value of employee development in enhancing production and competitiveness within the dynamics of industrial setting.</w:t>
      </w:r>
    </w:p>
    <w:p w14:paraId="762BA741" w14:textId="77777777" w:rsidR="002C7ABC" w:rsidRDefault="00A821D5">
      <w:pPr>
        <w:rPr>
          <w:lang w:eastAsia="en-GB"/>
        </w:rPr>
      </w:pPr>
      <w:r>
        <w:rPr>
          <w:lang w:eastAsia="en-GB"/>
        </w:rPr>
        <w:t xml:space="preserve">This research holds value for several groups. For employees, it clarifies how targeted </w:t>
      </w:r>
      <w:r>
        <w:rPr>
          <w:lang w:eastAsia="en-GB"/>
        </w:rPr>
        <w:t>training programmes enhance job competence, confidence, and career growth. For employers and human resource practitioners, it offers guidance on designing development strategies that yield measurable improvements in efficiency and morale. For policymakers,</w:t>
      </w:r>
      <w:r>
        <w:rPr>
          <w:lang w:eastAsia="en-GB"/>
        </w:rPr>
        <w:t xml:space="preserve"> the findings reinforce the need to view manpower development as a national priority for achieving sustainable industrial growth and technological advancement. Academically, the study contributes to the broader understanding of human capital development as</w:t>
      </w:r>
      <w:r>
        <w:rPr>
          <w:lang w:eastAsia="en-GB"/>
        </w:rPr>
        <w:t xml:space="preserve"> a foundation for productivity improvement in emerging economies.</w:t>
      </w:r>
    </w:p>
    <w:p w14:paraId="03BC6D8A" w14:textId="77777777" w:rsidR="002C7ABC" w:rsidRDefault="00A821D5">
      <w:pPr>
        <w:rPr>
          <w:lang w:eastAsia="en-GB"/>
        </w:rPr>
      </w:pPr>
      <w:r>
        <w:rPr>
          <w:lang w:eastAsia="en-GB"/>
        </w:rPr>
        <w:t>The focus is on Guinness Nigeria Plc, one of the largest and oldest players in the Nigerian brewing industry, recognised for its technical sophistication and structured workforce management.</w:t>
      </w:r>
      <w:r>
        <w:rPr>
          <w:lang w:eastAsia="en-GB"/>
        </w:rPr>
        <w:t xml:space="preserve"> The company provides a suitable context for examining how employee development affects productivity within a highly competitive and technologically dynamic environment. The research is limited to the Lagos (Ikeja) brewery due to time and logistical constr</w:t>
      </w:r>
      <w:r>
        <w:rPr>
          <w:lang w:eastAsia="en-GB"/>
        </w:rPr>
        <w:t>aints; however, the findings are expected to reflect broader trends within Nigeria’s manufacturing sector and offer useful lessons for similar firms seeking to enhance performance through effective manpower development.</w:t>
      </w:r>
    </w:p>
    <w:p w14:paraId="6EC30399" w14:textId="77777777" w:rsidR="002C7ABC" w:rsidRDefault="002C7ABC">
      <w:pPr>
        <w:rPr>
          <w:lang w:eastAsia="en-GB"/>
        </w:rPr>
      </w:pPr>
    </w:p>
    <w:p w14:paraId="4A6DF4D3" w14:textId="77777777" w:rsidR="002C7ABC" w:rsidRDefault="002C7ABC">
      <w:pPr>
        <w:rPr>
          <w:sz w:val="28"/>
          <w:szCs w:val="28"/>
          <w:lang w:eastAsia="en-GB"/>
        </w:rPr>
      </w:pPr>
    </w:p>
    <w:p w14:paraId="77562062" w14:textId="77777777" w:rsidR="002C7ABC" w:rsidRDefault="00A821D5">
      <w:pPr>
        <w:pStyle w:val="Heading2"/>
        <w:rPr>
          <w:sz w:val="28"/>
          <w:szCs w:val="28"/>
        </w:rPr>
      </w:pPr>
      <w:r>
        <w:rPr>
          <w:sz w:val="28"/>
          <w:szCs w:val="28"/>
        </w:rPr>
        <w:lastRenderedPageBreak/>
        <w:t>Materials and Methods</w:t>
      </w:r>
    </w:p>
    <w:p w14:paraId="3E2558B9" w14:textId="77777777" w:rsidR="002C7ABC" w:rsidRDefault="00A821D5">
      <w:pPr>
        <w:pStyle w:val="Heading3"/>
        <w:rPr>
          <w:sz w:val="24"/>
          <w:szCs w:val="24"/>
        </w:rPr>
      </w:pPr>
      <w:r>
        <w:rPr>
          <w:sz w:val="24"/>
          <w:szCs w:val="24"/>
        </w:rPr>
        <w:t>Research Des</w:t>
      </w:r>
      <w:r>
        <w:rPr>
          <w:sz w:val="24"/>
          <w:szCs w:val="24"/>
        </w:rPr>
        <w:t>ign</w:t>
      </w:r>
    </w:p>
    <w:p w14:paraId="39C97445" w14:textId="77777777" w:rsidR="002C7ABC" w:rsidRDefault="00A821D5">
      <w:pPr>
        <w:rPr>
          <w:szCs w:val="24"/>
        </w:rPr>
      </w:pPr>
      <w:r>
        <w:t>This study used a descriptive survey research design. This design was appropriate because it allows the researcher to gather data from a sample of the population. The goal is to describe the current conditions and the relationships between manpower dev</w:t>
      </w:r>
      <w:r>
        <w:t>elopment and employee productivity (Kothari, 2004). It also helped to identify employees’ views on training, career growth, and performance improvement. The descriptive approach offers a way to analyse opinions and responses objectively and to make general</w:t>
      </w:r>
      <w:r>
        <w:t>izations about the population (Creswell &amp; Creswell, 2017).</w:t>
      </w:r>
    </w:p>
    <w:p w14:paraId="007E445A" w14:textId="77777777" w:rsidR="002C7ABC" w:rsidRDefault="00A821D5">
      <w:pPr>
        <w:pStyle w:val="Heading3"/>
        <w:rPr>
          <w:sz w:val="24"/>
          <w:szCs w:val="24"/>
        </w:rPr>
      </w:pPr>
      <w:r>
        <w:rPr>
          <w:sz w:val="24"/>
          <w:szCs w:val="24"/>
        </w:rPr>
        <w:t>Population of the Study</w:t>
      </w:r>
    </w:p>
    <w:p w14:paraId="0710D68A" w14:textId="77777777" w:rsidR="002C7ABC" w:rsidRDefault="00A821D5">
      <w:r>
        <w:t xml:space="preserve">The population of this study comprised all employees of Guinness Nigeria Plc, a leading brewery and manufacturing company in Nigeria. The organisation was chosen due to its </w:t>
      </w:r>
      <w:r>
        <w:t>structured human resource management system and continuous manpower development initiatives. The total workforce of the company served as the target population for the study. Guinness Nigeria Plc employs a mix of managerial, technical, and administrative s</w:t>
      </w:r>
      <w:r>
        <w:t>taff across its major branches nationwide.</w:t>
      </w:r>
    </w:p>
    <w:p w14:paraId="2C031532" w14:textId="77777777" w:rsidR="002C7ABC" w:rsidRDefault="00A821D5">
      <w:pPr>
        <w:pStyle w:val="Heading3"/>
        <w:rPr>
          <w:sz w:val="24"/>
          <w:szCs w:val="24"/>
        </w:rPr>
      </w:pPr>
      <w:r>
        <w:rPr>
          <w:sz w:val="24"/>
          <w:szCs w:val="24"/>
        </w:rPr>
        <w:t>Sample and Sampling Technique</w:t>
      </w:r>
    </w:p>
    <w:p w14:paraId="0D50F2D3" w14:textId="77777777" w:rsidR="002C7ABC" w:rsidRDefault="00A821D5">
      <w:pPr>
        <w:rPr>
          <w:szCs w:val="24"/>
        </w:rPr>
      </w:pPr>
      <w:r>
        <w:t>The study was limited by time and resources, so individuals working at the Guinness Nigeria Plc Ikeja Brewery in Lagos State were chosen. The simple random sampling method was used to</w:t>
      </w:r>
      <w:r>
        <w:t xml:space="preserve"> select the necessary sample of 100 employees, and so all the employees had an equal opportunity to participate in the research. To have balanced pickings, the respondents used to come in different departments. Of the 100 questionnaires sent out, 80 were r</w:t>
      </w:r>
      <w:r>
        <w:t>eturned and were valid thereby making an 80 percent response rate considered sufficient to conduct analysis in a social science research study (Mugenda, Mugenda, 2003).</w:t>
      </w:r>
    </w:p>
    <w:p w14:paraId="758047B4" w14:textId="77777777" w:rsidR="002C7ABC" w:rsidRDefault="00A821D5">
      <w:pPr>
        <w:pStyle w:val="Heading3"/>
        <w:rPr>
          <w:sz w:val="24"/>
          <w:szCs w:val="24"/>
        </w:rPr>
      </w:pPr>
      <w:r>
        <w:rPr>
          <w:sz w:val="24"/>
          <w:szCs w:val="24"/>
        </w:rPr>
        <w:t>Research Instrument</w:t>
      </w:r>
    </w:p>
    <w:p w14:paraId="554BABAE" w14:textId="77777777" w:rsidR="002C7ABC" w:rsidRDefault="00A821D5">
      <w:pPr>
        <w:rPr>
          <w:szCs w:val="24"/>
        </w:rPr>
      </w:pPr>
      <w:r>
        <w:t xml:space="preserve">The major data collection tool applied in the study was structured </w:t>
      </w:r>
      <w:r>
        <w:t xml:space="preserve">questionnaire, which was aimed at eliciting information about manpower development and its impact on productivity. The </w:t>
      </w:r>
      <w:r>
        <w:lastRenderedPageBreak/>
        <w:t>questionnaire used closed and open questions which were categorised into sections depending on research objectives. The former section di</w:t>
      </w:r>
      <w:r>
        <w:t>scussed the demographics, followed by sections that discussed the training exposure, skills gained, motivation, and work performance. The advantage of using the structured questionnaire in organisational research is that they are uniform through result uni</w:t>
      </w:r>
      <w:r>
        <w:t>formity and they are also administered and easy to interpret (Bryman and Bell, 2011).</w:t>
      </w:r>
    </w:p>
    <w:p w14:paraId="53060801" w14:textId="77777777" w:rsidR="002C7ABC" w:rsidRDefault="00A821D5">
      <w:pPr>
        <w:pStyle w:val="NormalWeb"/>
        <w:rPr>
          <w:b/>
          <w:bCs/>
        </w:rPr>
      </w:pPr>
      <w:r>
        <w:rPr>
          <w:b/>
          <w:bCs/>
        </w:rPr>
        <w:t>Method of Data Collection</w:t>
      </w:r>
    </w:p>
    <w:p w14:paraId="296DE761" w14:textId="77777777" w:rsidR="002C7ABC" w:rsidRDefault="00A821D5">
      <w:r>
        <w:t>The questionnaires were distributed by the researcher to the respondents personally, on the company premises with an official permission. To dra</w:t>
      </w:r>
      <w:r>
        <w:t>w honest feedbacks, research respondents were guaranteed of confidentiality. As much as possible, follow-ups were carried to maximise the rate of retrieval. They took secondary data besides the primary data, after seeking internal record of the company, co</w:t>
      </w:r>
      <w:r>
        <w:t>mpany policy and also published material on manpower development. The validity and richness of the study was strengthened because both data types were used in combo (Saunders, Lewis, and Thornhill, 2009).</w:t>
      </w:r>
    </w:p>
    <w:p w14:paraId="785245FB" w14:textId="77777777" w:rsidR="002C7ABC" w:rsidRDefault="00A821D5">
      <w:pPr>
        <w:pStyle w:val="NormalWeb"/>
        <w:rPr>
          <w:b/>
          <w:bCs/>
        </w:rPr>
      </w:pPr>
      <w:r>
        <w:rPr>
          <w:b/>
          <w:bCs/>
        </w:rPr>
        <w:t>Instrument Reliability and Validity.</w:t>
      </w:r>
    </w:p>
    <w:p w14:paraId="0753B4E9" w14:textId="77777777" w:rsidR="002C7ABC" w:rsidRDefault="00A821D5">
      <w:r>
        <w:t>The questionna</w:t>
      </w:r>
      <w:r>
        <w:t>ire was pre-tested on a small sample of employees not incorporated in the final sample in order to assure reliability. The initial study refined the language and comprehensibility of items. The Cronbach Alpha test was conducted to determine internal consis</w:t>
      </w:r>
      <w:r>
        <w:t>tency of the instrument with 0.82 being obtained as its coefficient thus showing an excellent reliability (Bujang et al., 2024).</w:t>
      </w:r>
    </w:p>
    <w:p w14:paraId="314FF289" w14:textId="77777777" w:rsidR="002C7ABC" w:rsidRDefault="00A821D5">
      <w:r>
        <w:t>To establish the validity, human resource management and organisational behaviour experts revised the instrument to ensure adeq</w:t>
      </w:r>
      <w:r>
        <w:t>uate content and construct validity. This expert verification performed guaranty that all items were well represented to meet the study objectives and the measurable variables. Construct validity was also strengthened by the fact that questionnaire was har</w:t>
      </w:r>
      <w:r>
        <w:t>monised with the variables utilised by earlier manpower development researchers (Armstrong &amp; Taylor, 2023).</w:t>
      </w:r>
    </w:p>
    <w:p w14:paraId="63184BD5" w14:textId="77777777" w:rsidR="002C7ABC" w:rsidRDefault="00A821D5">
      <w:pPr>
        <w:pStyle w:val="NormalWeb"/>
        <w:rPr>
          <w:b/>
          <w:bCs/>
        </w:rPr>
      </w:pPr>
      <w:r>
        <w:rPr>
          <w:b/>
          <w:bCs/>
        </w:rPr>
        <w:t>Analytical Procedure</w:t>
      </w:r>
    </w:p>
    <w:p w14:paraId="362210F5" w14:textId="77777777" w:rsidR="002C7ABC" w:rsidRDefault="00A821D5">
      <w:r>
        <w:t>Descriptive and inferential statistics were used to analyse data collected. The demographic characteristics and responses of th</w:t>
      </w:r>
      <w:r>
        <w:t xml:space="preserve">e study participants were summarised using descriptive statistics </w:t>
      </w:r>
      <w:r>
        <w:lastRenderedPageBreak/>
        <w:t>including frequencies and percentages. To test the hypotheses regarding relation between manpower development and productivity of employees, inferential statistics, especially Chi-square (</w:t>
      </w:r>
      <w:proofErr w:type="gramStart"/>
      <w:r>
        <w:t>50</w:t>
      </w:r>
      <w:r>
        <w:t xml:space="preserve"> )</w:t>
      </w:r>
      <w:proofErr w:type="gramEnd"/>
      <w:r>
        <w:t xml:space="preserve"> test, were used.</w:t>
      </w:r>
    </w:p>
    <w:p w14:paraId="53F15408" w14:textId="77777777" w:rsidR="002C7ABC" w:rsidRDefault="00A821D5">
      <w:r>
        <w:t>The Chi-square test was selected as it is appropriate to test the relationship between categorical variables (Kothari, 2004). Statistical analyses were conducted in Statistical Package of Social Sciences (SPSS). Tables were used to prov</w:t>
      </w:r>
      <w:r>
        <w:t>ide results because they are easily understood and interpreted.</w:t>
      </w:r>
    </w:p>
    <w:p w14:paraId="6C318641" w14:textId="77777777" w:rsidR="002C7ABC" w:rsidRDefault="00A821D5">
      <w:pPr>
        <w:pStyle w:val="NormalWeb"/>
      </w:pPr>
      <w:r>
        <w:t>The Chi-square formula used in testing the hypotheses is as follows:</w:t>
      </w:r>
    </w:p>
    <w:p w14:paraId="42F8532A" w14:textId="77777777" w:rsidR="002C7ABC" w:rsidRDefault="00A821D5">
      <w:pPr>
        <w:pStyle w:val="NormalWeb"/>
      </w:pPr>
      <m:oMathPara>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 </m:t>
          </m:r>
          <m:r>
            <m:rPr>
              <m:sty m:val="p"/>
            </m:rPr>
            <w:rPr>
              <w:rFonts w:ascii="Cambria Math" w:hAnsi="Cambria Math"/>
            </w:rPr>
            <m:t>Σ</m:t>
          </m:r>
          <m:r>
            <w:rPr>
              <w:rFonts w:ascii="Cambria Math" w:hAnsi="Cambria Math"/>
            </w:rPr>
            <m:t xml:space="preserve"> </m:t>
          </m:r>
          <m:f>
            <m:fPr>
              <m:ctrlPr>
                <w:rPr>
                  <w:rFonts w:ascii="Cambria Math" w:hAnsi="Cambria Math"/>
                  <w:i/>
                </w:rPr>
              </m:ctrlPr>
            </m:fPr>
            <m:num>
              <m:r>
                <w:rPr>
                  <w:rFonts w:ascii="Cambria Math" w:hAnsi="Cambria Math"/>
                </w:rPr>
                <m:t>(</m:t>
              </m:r>
              <m:r>
                <w:rPr>
                  <w:rFonts w:ascii="Cambria Math" w:hAnsi="Cambria Math"/>
                </w:rPr>
                <m:t>O</m:t>
              </m:r>
              <m:r>
                <w:rPr>
                  <w:rFonts w:ascii="Cambria Math" w:hAnsi="Cambria Math"/>
                </w:rPr>
                <m:t>-</m:t>
              </m:r>
              <m:r>
                <w:rPr>
                  <w:rFonts w:ascii="Cambria Math" w:hAnsi="Cambria Math"/>
                </w:rPr>
                <m:t>E</m:t>
              </m:r>
              <m:sSup>
                <m:sSupPr>
                  <m:ctrlPr>
                    <w:rPr>
                      <w:rFonts w:ascii="Cambria Math" w:hAnsi="Cambria Math"/>
                      <w:i/>
                    </w:rPr>
                  </m:ctrlPr>
                </m:sSupPr>
                <m:e>
                  <m:r>
                    <w:rPr>
                      <w:rFonts w:ascii="Cambria Math" w:hAnsi="Cambria Math"/>
                    </w:rPr>
                    <m:t>)</m:t>
                  </m:r>
                </m:e>
                <m:sup>
                  <m:r>
                    <w:rPr>
                      <w:rFonts w:ascii="Cambria Math" w:hAnsi="Cambria Math"/>
                    </w:rPr>
                    <m:t>2</m:t>
                  </m:r>
                </m:sup>
              </m:sSup>
            </m:num>
            <m:den>
              <m:r>
                <w:rPr>
                  <w:rFonts w:ascii="Cambria Math" w:hAnsi="Cambria Math"/>
                </w:rPr>
                <m:t>E</m:t>
              </m:r>
            </m:den>
          </m:f>
        </m:oMath>
      </m:oMathPara>
    </w:p>
    <w:p w14:paraId="4B9B4D4C" w14:textId="77777777" w:rsidR="002C7ABC" w:rsidRDefault="00A821D5">
      <w:pPr>
        <w:pStyle w:val="NormalWeb"/>
      </w:pPr>
      <w:r>
        <w:t>Where:</w:t>
      </w:r>
    </w:p>
    <w:p w14:paraId="1FF12AB0" w14:textId="77777777" w:rsidR="002C7ABC" w:rsidRDefault="00A821D5">
      <w:pPr>
        <w:pStyle w:val="NormalWeb"/>
      </w:pPr>
      <m:oMathPara>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r>
            <w:rPr>
              <w:rFonts w:ascii="Cambria Math" w:hAnsi="Cambria Math"/>
            </w:rPr>
            <m:t>C</m:t>
          </m:r>
          <m:r>
            <w:rPr>
              <w:rFonts w:ascii="Cambria Math" w:hAnsi="Cambria Math"/>
            </w:rPr>
            <m:t>h</m:t>
          </m:r>
          <m:r>
            <w:rPr>
              <w:rFonts w:ascii="Cambria Math" w:hAnsi="Cambria Math"/>
            </w:rPr>
            <m:t>i</m:t>
          </m:r>
          <m:r>
            <w:rPr>
              <w:rFonts w:ascii="Cambria Math" w:hAnsi="Cambria Math"/>
            </w:rPr>
            <m:t>-</m:t>
          </m:r>
          <m:r>
            <w:rPr>
              <w:rFonts w:ascii="Cambria Math" w:hAnsi="Cambria Math"/>
            </w:rPr>
            <m:t>square</m:t>
          </m:r>
          <m:r>
            <w:rPr>
              <w:rFonts w:ascii="Cambria Math" w:hAnsi="Cambria Math"/>
            </w:rPr>
            <m:t xml:space="preserve"> </m:t>
          </m:r>
          <m:r>
            <w:rPr>
              <w:rFonts w:ascii="Cambria Math" w:hAnsi="Cambria Math"/>
            </w:rPr>
            <m:t>calculated</m:t>
          </m:r>
          <m:r>
            <w:rPr>
              <w:rFonts w:ascii="Cambria Math" w:hAnsi="Cambria Math"/>
            </w:rPr>
            <m:t xml:space="preserve"> </m:t>
          </m:r>
          <m:r>
            <w:rPr>
              <w:rFonts w:ascii="Cambria Math" w:hAnsi="Cambria Math"/>
            </w:rPr>
            <m:t>value</m:t>
          </m:r>
        </m:oMath>
      </m:oMathPara>
    </w:p>
    <w:p w14:paraId="01FF5FC2" w14:textId="77777777" w:rsidR="002C7ABC" w:rsidRDefault="00A821D5">
      <w:pPr>
        <w:pStyle w:val="NormalWeb"/>
      </w:pPr>
      <m:oMathPara>
        <m:oMath>
          <m:r>
            <w:rPr>
              <w:rFonts w:ascii="Cambria Math" w:hAnsi="Cambria Math"/>
            </w:rPr>
            <m:t>O</m:t>
          </m:r>
          <m:r>
            <w:rPr>
              <w:rFonts w:ascii="Cambria Math" w:hAnsi="Cambria Math"/>
            </w:rPr>
            <m:t>=</m:t>
          </m:r>
          <m:r>
            <w:rPr>
              <w:rFonts w:ascii="Cambria Math" w:hAnsi="Cambria Math"/>
            </w:rPr>
            <m:t>Observed</m:t>
          </m:r>
          <m:r>
            <w:rPr>
              <w:rFonts w:ascii="Cambria Math" w:hAnsi="Cambria Math"/>
            </w:rPr>
            <m:t xml:space="preserve"> </m:t>
          </m:r>
          <m:r>
            <w:rPr>
              <w:rFonts w:ascii="Cambria Math" w:hAnsi="Cambria Math"/>
            </w:rPr>
            <m:t>frequency</m:t>
          </m:r>
        </m:oMath>
      </m:oMathPara>
    </w:p>
    <w:p w14:paraId="3D094355" w14:textId="77777777" w:rsidR="002C7ABC" w:rsidRDefault="00A821D5">
      <w:pPr>
        <w:pStyle w:val="NormalWeb"/>
      </w:pPr>
      <m:oMathPara>
        <m:oMath>
          <m:r>
            <w:rPr>
              <w:rFonts w:ascii="Cambria Math" w:hAnsi="Cambria Math"/>
            </w:rPr>
            <m:t>E</m:t>
          </m:r>
          <m:r>
            <w:rPr>
              <w:rFonts w:ascii="Cambria Math" w:hAnsi="Cambria Math"/>
            </w:rPr>
            <m:t>=</m:t>
          </m:r>
          <m:r>
            <w:rPr>
              <w:rFonts w:ascii="Cambria Math" w:hAnsi="Cambria Math"/>
            </w:rPr>
            <m:t>Expected</m:t>
          </m:r>
          <m:r>
            <w:rPr>
              <w:rFonts w:ascii="Cambria Math" w:hAnsi="Cambria Math"/>
            </w:rPr>
            <m:t xml:space="preserve"> </m:t>
          </m:r>
          <m:r>
            <w:rPr>
              <w:rFonts w:ascii="Cambria Math" w:hAnsi="Cambria Math"/>
            </w:rPr>
            <m:t>Frequency</m:t>
          </m:r>
        </m:oMath>
      </m:oMathPara>
    </w:p>
    <w:p w14:paraId="2768F404" w14:textId="77777777" w:rsidR="002C7ABC" w:rsidRDefault="00A821D5">
      <w:pPr>
        <w:jc w:val="left"/>
      </w:pPr>
      <w:r>
        <w:t>Decision Rule:</w:t>
      </w:r>
    </w:p>
    <w:p w14:paraId="006609A9" w14:textId="77777777" w:rsidR="002C7ABC" w:rsidRDefault="00A821D5">
      <w:r>
        <w:t xml:space="preserve">If the calculated </w:t>
      </w:r>
      <m:oMath>
        <m:r>
          <w:rPr>
            <w:rStyle w:val="katex-mathml"/>
            <w:rFonts w:ascii="Cambria Math" w:hAnsi="Cambria Math"/>
          </w:rPr>
          <m:t>χ</m:t>
        </m:r>
        <m:r>
          <w:rPr>
            <w:rStyle w:val="katex-mathml"/>
            <w:rFonts w:ascii="Cambria Math" w:hAnsi="Cambria Math"/>
          </w:rPr>
          <m:t>2</m:t>
        </m:r>
      </m:oMath>
      <w:r>
        <w:t xml:space="preserve"> value is greater than the tabulated (critical) value at 0.05 significance level, the null hypothesis is rejected; otherwise, it is accepted.</w:t>
      </w:r>
    </w:p>
    <w:p w14:paraId="658D4174" w14:textId="77777777" w:rsidR="002C7ABC" w:rsidRDefault="00A821D5">
      <w:r>
        <w:t xml:space="preserve">This statistical approach was used to </w:t>
      </w:r>
      <w:r>
        <w:t>test the relationship between manpower development (training exposure, skill acquisition, motivation) and employee productivity in Guinness Nigeria Plc.</w:t>
      </w:r>
    </w:p>
    <w:p w14:paraId="7714EDA9" w14:textId="77777777" w:rsidR="002C7ABC" w:rsidRDefault="00A821D5">
      <w:pPr>
        <w:pStyle w:val="Heading2"/>
        <w:rPr>
          <w:sz w:val="28"/>
          <w:szCs w:val="28"/>
        </w:rPr>
      </w:pPr>
      <w:r>
        <w:rPr>
          <w:sz w:val="28"/>
          <w:szCs w:val="28"/>
        </w:rPr>
        <w:t>Results and Discussion</w:t>
      </w:r>
    </w:p>
    <w:p w14:paraId="78EE518B" w14:textId="77777777" w:rsidR="002C7ABC" w:rsidRDefault="00A821D5">
      <w:pPr>
        <w:pStyle w:val="Heading3"/>
        <w:rPr>
          <w:sz w:val="24"/>
          <w:szCs w:val="24"/>
        </w:rPr>
      </w:pPr>
      <w:r>
        <w:rPr>
          <w:sz w:val="24"/>
          <w:szCs w:val="24"/>
        </w:rPr>
        <w:t>Response Rate</w:t>
      </w:r>
    </w:p>
    <w:p w14:paraId="69BB4A17" w14:textId="77777777" w:rsidR="002C7ABC" w:rsidRDefault="00A821D5">
      <w:r>
        <w:t>Out of 100 questionnaires distributed to employees of Guinness Nig</w:t>
      </w:r>
      <w:r>
        <w:t xml:space="preserve">eria Plc, Ikeja Brewery, 80 were properly completed and returned, giving an 80% response rate. According to Mugenda and Mugenda (2003), a response rate above 70% is considered adequate for statistical analysis and </w:t>
      </w:r>
      <w:r>
        <w:lastRenderedPageBreak/>
        <w:t>generalisation. This high rate also reflec</w:t>
      </w:r>
      <w:r>
        <w:t>ts the willingness of staff to share their experiences with manpower development initiatives within the organisation.</w:t>
      </w:r>
    </w:p>
    <w:p w14:paraId="5116334A" w14:textId="77777777" w:rsidR="002C7ABC" w:rsidRDefault="00A821D5">
      <w:pPr>
        <w:pStyle w:val="Heading3"/>
        <w:rPr>
          <w:sz w:val="24"/>
          <w:szCs w:val="24"/>
        </w:rPr>
      </w:pPr>
      <w:r>
        <w:rPr>
          <w:sz w:val="24"/>
          <w:szCs w:val="24"/>
        </w:rPr>
        <w:t>Demographic Characteristics of Respondents</w:t>
      </w:r>
    </w:p>
    <w:p w14:paraId="5BBA7D0A" w14:textId="77777777" w:rsidR="002C7ABC" w:rsidRDefault="00A821D5">
      <w:r>
        <w:t>The demographic analysis revealed that 84% of respondents were male and 16% were female. The ma</w:t>
      </w:r>
      <w:r>
        <w:t xml:space="preserve">jority (88%) were married, while 60% held university degrees or higher qualifications. Most respondents were between 31–45 years old, an age group typically representing the productive and career-driven segment of the workforce (Armstrong &amp; Taylor, 2023). </w:t>
      </w:r>
      <w:r>
        <w:t xml:space="preserve">This profile aligns with the employment structure of the Nigerian manufacturing sector, where technical and operational positions are largely male-dominated (Babatunde </w:t>
      </w:r>
      <w:r>
        <w:rPr>
          <w:i/>
          <w:iCs/>
        </w:rPr>
        <w:t>et al</w:t>
      </w:r>
      <w:r>
        <w:t>, 2024).</w:t>
      </w:r>
    </w:p>
    <w:p w14:paraId="1C5BDCB3" w14:textId="77777777" w:rsidR="002C7ABC" w:rsidRDefault="00A821D5">
      <w:r>
        <w:t xml:space="preserve">The education and experience distribution among respondents suggests that </w:t>
      </w:r>
      <w:r>
        <w:t>employees at Guinness Nigeria Plc possess the academic and technical capacity to benefit from developmental programmes. These demographic factors provide a sound base for analysing the relationship between manpower development and employee productivity.</w:t>
      </w:r>
    </w:p>
    <w:p w14:paraId="0B2E805E" w14:textId="77777777" w:rsidR="002C7ABC" w:rsidRDefault="00A821D5">
      <w:pPr>
        <w:pStyle w:val="Heading3"/>
        <w:rPr>
          <w:sz w:val="24"/>
          <w:szCs w:val="24"/>
        </w:rPr>
      </w:pPr>
      <w:r>
        <w:rPr>
          <w:sz w:val="24"/>
          <w:szCs w:val="24"/>
        </w:rPr>
        <w:t>De</w:t>
      </w:r>
      <w:r>
        <w:rPr>
          <w:sz w:val="24"/>
          <w:szCs w:val="24"/>
        </w:rPr>
        <w:t>scriptive Analysis of Key Variables</w:t>
      </w:r>
    </w:p>
    <w:p w14:paraId="11FF589D" w14:textId="77777777" w:rsidR="002C7ABC" w:rsidRDefault="00A821D5">
      <w:r>
        <w:t>The descriptive statistics summarised employees’ perceptions regarding the effectiveness of manpower development programmes.</w:t>
      </w:r>
    </w:p>
    <w:p w14:paraId="0BF736EF" w14:textId="77777777" w:rsidR="002C7ABC" w:rsidRDefault="00A821D5">
      <w:pPr>
        <w:rPr>
          <w:b/>
          <w:bCs/>
        </w:rPr>
      </w:pPr>
      <w:r>
        <w:rPr>
          <w:b/>
          <w:bCs/>
        </w:rPr>
        <w:t>Table 1: Employee Perceptions of Manpower Development and Productivity</w:t>
      </w:r>
    </w:p>
    <w:tbl>
      <w:tblPr>
        <w:tblStyle w:val="TableGrid"/>
        <w:tblW w:w="0" w:type="auto"/>
        <w:tblLook w:val="00A0" w:firstRow="1" w:lastRow="0" w:firstColumn="1" w:lastColumn="0" w:noHBand="0" w:noVBand="0"/>
      </w:tblPr>
      <w:tblGrid>
        <w:gridCol w:w="4836"/>
        <w:gridCol w:w="1251"/>
        <w:gridCol w:w="1732"/>
        <w:gridCol w:w="1531"/>
      </w:tblGrid>
      <w:tr w:rsidR="002C7ABC" w14:paraId="41E957C3" w14:textId="77777777">
        <w:tc>
          <w:tcPr>
            <w:tcW w:w="0" w:type="auto"/>
            <w:hideMark/>
          </w:tcPr>
          <w:p w14:paraId="260335A2" w14:textId="77777777" w:rsidR="002C7ABC" w:rsidRDefault="00A821D5">
            <w:pPr>
              <w:jc w:val="center"/>
              <w:rPr>
                <w:b/>
                <w:bCs/>
              </w:rPr>
            </w:pPr>
            <w:r>
              <w:rPr>
                <w:b/>
                <w:bCs/>
              </w:rPr>
              <w:t>Variable</w:t>
            </w:r>
          </w:p>
        </w:tc>
        <w:tc>
          <w:tcPr>
            <w:tcW w:w="0" w:type="auto"/>
            <w:hideMark/>
          </w:tcPr>
          <w:p w14:paraId="642D5447" w14:textId="77777777" w:rsidR="002C7ABC" w:rsidRDefault="00A821D5">
            <w:pPr>
              <w:jc w:val="center"/>
              <w:rPr>
                <w:b/>
                <w:bCs/>
              </w:rPr>
            </w:pPr>
            <w:r>
              <w:rPr>
                <w:b/>
                <w:bCs/>
              </w:rPr>
              <w:t>Agree (%)</w:t>
            </w:r>
          </w:p>
        </w:tc>
        <w:tc>
          <w:tcPr>
            <w:tcW w:w="0" w:type="auto"/>
            <w:hideMark/>
          </w:tcPr>
          <w:p w14:paraId="3A070C1F" w14:textId="77777777" w:rsidR="002C7ABC" w:rsidRDefault="00A821D5">
            <w:pPr>
              <w:jc w:val="center"/>
              <w:rPr>
                <w:b/>
                <w:bCs/>
              </w:rPr>
            </w:pPr>
            <w:r>
              <w:rPr>
                <w:b/>
                <w:bCs/>
              </w:rPr>
              <w:t>Undec</w:t>
            </w:r>
            <w:r>
              <w:rPr>
                <w:b/>
                <w:bCs/>
              </w:rPr>
              <w:t>ided (%)</w:t>
            </w:r>
          </w:p>
        </w:tc>
        <w:tc>
          <w:tcPr>
            <w:tcW w:w="0" w:type="auto"/>
            <w:hideMark/>
          </w:tcPr>
          <w:p w14:paraId="3B68E36B" w14:textId="77777777" w:rsidR="002C7ABC" w:rsidRDefault="00A821D5">
            <w:pPr>
              <w:jc w:val="center"/>
              <w:rPr>
                <w:b/>
                <w:bCs/>
              </w:rPr>
            </w:pPr>
            <w:r>
              <w:rPr>
                <w:b/>
                <w:bCs/>
              </w:rPr>
              <w:t>Disagree (%)</w:t>
            </w:r>
          </w:p>
        </w:tc>
      </w:tr>
      <w:tr w:rsidR="002C7ABC" w14:paraId="1596DEEF" w14:textId="77777777">
        <w:tc>
          <w:tcPr>
            <w:tcW w:w="0" w:type="auto"/>
            <w:hideMark/>
          </w:tcPr>
          <w:p w14:paraId="2FD8B027" w14:textId="77777777" w:rsidR="002C7ABC" w:rsidRDefault="00A821D5">
            <w:pPr>
              <w:jc w:val="left"/>
            </w:pPr>
            <w:r>
              <w:t>Manpower development enhances productivity</w:t>
            </w:r>
          </w:p>
        </w:tc>
        <w:tc>
          <w:tcPr>
            <w:tcW w:w="0" w:type="auto"/>
            <w:hideMark/>
          </w:tcPr>
          <w:p w14:paraId="26EA999E" w14:textId="77777777" w:rsidR="002C7ABC" w:rsidRDefault="00A821D5">
            <w:r>
              <w:t>81</w:t>
            </w:r>
          </w:p>
        </w:tc>
        <w:tc>
          <w:tcPr>
            <w:tcW w:w="0" w:type="auto"/>
            <w:hideMark/>
          </w:tcPr>
          <w:p w14:paraId="111406E3" w14:textId="77777777" w:rsidR="002C7ABC" w:rsidRDefault="00A821D5">
            <w:r>
              <w:t>6</w:t>
            </w:r>
          </w:p>
        </w:tc>
        <w:tc>
          <w:tcPr>
            <w:tcW w:w="0" w:type="auto"/>
            <w:hideMark/>
          </w:tcPr>
          <w:p w14:paraId="4858E6B1" w14:textId="77777777" w:rsidR="002C7ABC" w:rsidRDefault="00A821D5">
            <w:r>
              <w:t>13</w:t>
            </w:r>
          </w:p>
        </w:tc>
      </w:tr>
      <w:tr w:rsidR="002C7ABC" w14:paraId="4859CE53" w14:textId="77777777">
        <w:tc>
          <w:tcPr>
            <w:tcW w:w="0" w:type="auto"/>
            <w:hideMark/>
          </w:tcPr>
          <w:p w14:paraId="57F32701" w14:textId="77777777" w:rsidR="002C7ABC" w:rsidRDefault="00A821D5">
            <w:r>
              <w:t>Training improves skills and competence</w:t>
            </w:r>
          </w:p>
        </w:tc>
        <w:tc>
          <w:tcPr>
            <w:tcW w:w="0" w:type="auto"/>
            <w:hideMark/>
          </w:tcPr>
          <w:p w14:paraId="262C2356" w14:textId="77777777" w:rsidR="002C7ABC" w:rsidRDefault="00A821D5">
            <w:r>
              <w:t>79</w:t>
            </w:r>
          </w:p>
        </w:tc>
        <w:tc>
          <w:tcPr>
            <w:tcW w:w="0" w:type="auto"/>
            <w:hideMark/>
          </w:tcPr>
          <w:p w14:paraId="06546925" w14:textId="77777777" w:rsidR="002C7ABC" w:rsidRDefault="00A821D5">
            <w:r>
              <w:t>8</w:t>
            </w:r>
          </w:p>
        </w:tc>
        <w:tc>
          <w:tcPr>
            <w:tcW w:w="0" w:type="auto"/>
            <w:hideMark/>
          </w:tcPr>
          <w:p w14:paraId="6F526E2E" w14:textId="77777777" w:rsidR="002C7ABC" w:rsidRDefault="00A821D5">
            <w:r>
              <w:t>13</w:t>
            </w:r>
          </w:p>
        </w:tc>
      </w:tr>
      <w:tr w:rsidR="002C7ABC" w14:paraId="0DE066BA" w14:textId="77777777">
        <w:tc>
          <w:tcPr>
            <w:tcW w:w="0" w:type="auto"/>
            <w:hideMark/>
          </w:tcPr>
          <w:p w14:paraId="384D2A7B" w14:textId="77777777" w:rsidR="002C7ABC" w:rsidRDefault="00A821D5">
            <w:r>
              <w:t>Manpower development increases job commitment</w:t>
            </w:r>
          </w:p>
        </w:tc>
        <w:tc>
          <w:tcPr>
            <w:tcW w:w="0" w:type="auto"/>
            <w:hideMark/>
          </w:tcPr>
          <w:p w14:paraId="036392D8" w14:textId="77777777" w:rsidR="002C7ABC" w:rsidRDefault="00A821D5">
            <w:r>
              <w:t>69</w:t>
            </w:r>
          </w:p>
        </w:tc>
        <w:tc>
          <w:tcPr>
            <w:tcW w:w="0" w:type="auto"/>
            <w:hideMark/>
          </w:tcPr>
          <w:p w14:paraId="1E051A00" w14:textId="77777777" w:rsidR="002C7ABC" w:rsidRDefault="00A821D5">
            <w:r>
              <w:t>12</w:t>
            </w:r>
          </w:p>
        </w:tc>
        <w:tc>
          <w:tcPr>
            <w:tcW w:w="0" w:type="auto"/>
            <w:hideMark/>
          </w:tcPr>
          <w:p w14:paraId="44C327F3" w14:textId="77777777" w:rsidR="002C7ABC" w:rsidRDefault="00A821D5">
            <w:r>
              <w:t>19</w:t>
            </w:r>
          </w:p>
        </w:tc>
      </w:tr>
      <w:tr w:rsidR="002C7ABC" w14:paraId="6DAA0025" w14:textId="77777777">
        <w:tc>
          <w:tcPr>
            <w:tcW w:w="0" w:type="auto"/>
            <w:hideMark/>
          </w:tcPr>
          <w:p w14:paraId="74D1B20D" w14:textId="77777777" w:rsidR="002C7ABC" w:rsidRDefault="00A821D5">
            <w:r>
              <w:t>Training improves performance and output</w:t>
            </w:r>
          </w:p>
        </w:tc>
        <w:tc>
          <w:tcPr>
            <w:tcW w:w="0" w:type="auto"/>
            <w:hideMark/>
          </w:tcPr>
          <w:p w14:paraId="2BA89DAD" w14:textId="77777777" w:rsidR="002C7ABC" w:rsidRDefault="00A821D5">
            <w:r>
              <w:t>77</w:t>
            </w:r>
          </w:p>
        </w:tc>
        <w:tc>
          <w:tcPr>
            <w:tcW w:w="0" w:type="auto"/>
            <w:hideMark/>
          </w:tcPr>
          <w:p w14:paraId="7EB5C08C" w14:textId="77777777" w:rsidR="002C7ABC" w:rsidRDefault="00A821D5">
            <w:r>
              <w:t>9</w:t>
            </w:r>
          </w:p>
        </w:tc>
        <w:tc>
          <w:tcPr>
            <w:tcW w:w="0" w:type="auto"/>
            <w:hideMark/>
          </w:tcPr>
          <w:p w14:paraId="1DA8BEBC" w14:textId="77777777" w:rsidR="002C7ABC" w:rsidRDefault="00A821D5">
            <w:r>
              <w:t>14</w:t>
            </w:r>
          </w:p>
        </w:tc>
      </w:tr>
    </w:tbl>
    <w:p w14:paraId="2DD48115" w14:textId="77777777" w:rsidR="002C7ABC" w:rsidRDefault="00A821D5">
      <w:pPr>
        <w:pStyle w:val="NormalWeb"/>
      </w:pPr>
      <w:r>
        <w:rPr>
          <w:rStyle w:val="Strong"/>
        </w:rPr>
        <w:t>Source:</w:t>
      </w:r>
      <w:r>
        <w:t xml:space="preserve"> Field Survey, 2024</w:t>
      </w:r>
    </w:p>
    <w:p w14:paraId="4C68BCFF" w14:textId="77777777" w:rsidR="002C7ABC" w:rsidRDefault="00A821D5">
      <w:r>
        <w:lastRenderedPageBreak/>
        <w:t>From Table 1, a large proportion of respondents agreed that manpower development positively affects their productivity and skill enhancement. This demonstrates a shared perception among employees that investment in human capital contributes to higher effi</w:t>
      </w:r>
      <w:r>
        <w:t>ciency and output.</w:t>
      </w:r>
    </w:p>
    <w:p w14:paraId="69276F95" w14:textId="77777777" w:rsidR="002C7ABC" w:rsidRDefault="00A821D5">
      <w:r>
        <w:t>These findings corroborate the position of Leoni (2023), who argued that training and education are investments in human capital that yield measurable returns in productivity. Similarly, Armstrong and Taylor (2023) contend that employees</w:t>
      </w:r>
      <w:r>
        <w:t>’ competencies and job commitment are enhanced when organisations provide structured developmental opportunities.</w:t>
      </w:r>
    </w:p>
    <w:p w14:paraId="28F08504" w14:textId="77777777" w:rsidR="002C7ABC" w:rsidRDefault="00A821D5">
      <w:pPr>
        <w:pStyle w:val="Heading3"/>
        <w:rPr>
          <w:sz w:val="24"/>
          <w:szCs w:val="24"/>
        </w:rPr>
      </w:pPr>
      <w:r>
        <w:rPr>
          <w:sz w:val="24"/>
          <w:szCs w:val="24"/>
        </w:rPr>
        <w:t>Hypothesis Testing and Statistical Analysis</w:t>
      </w:r>
    </w:p>
    <w:p w14:paraId="2E2BB4C9" w14:textId="77777777" w:rsidR="002C7ABC" w:rsidRDefault="00A821D5">
      <w:pPr>
        <w:rPr>
          <w:b/>
          <w:bCs/>
          <w:i/>
          <w:iCs/>
        </w:rPr>
      </w:pPr>
      <w:r>
        <w:rPr>
          <w:b/>
          <w:bCs/>
          <w:i/>
          <w:iCs/>
        </w:rPr>
        <w:t>Hypothesis One</w:t>
      </w:r>
    </w:p>
    <w:p w14:paraId="5DC33DB0" w14:textId="77777777" w:rsidR="002C7ABC" w:rsidRDefault="00A821D5">
      <w:pPr>
        <w:pStyle w:val="NormalWeb"/>
        <w:spacing w:line="360" w:lineRule="auto"/>
        <w:jc w:val="both"/>
      </w:pPr>
      <w:r>
        <w:rPr>
          <w:rStyle w:val="Strong"/>
        </w:rPr>
        <w:t>H₀₁:</w:t>
      </w:r>
      <w:r>
        <w:t xml:space="preserve"> There is no significant relationship between manpower development and employee productivity at Guinness Nigeria Plc.</w:t>
      </w:r>
      <w:r>
        <w:br/>
      </w:r>
      <w:r>
        <w:rPr>
          <w:rStyle w:val="Strong"/>
        </w:rPr>
        <w:t>H₁₁:</w:t>
      </w:r>
      <w:r>
        <w:t xml:space="preserve"> There is a significant relationship between manpower development and employee productivity at Guinness Nigeria Plc.</w:t>
      </w:r>
    </w:p>
    <w:p w14:paraId="26226B65" w14:textId="77777777" w:rsidR="002C7ABC" w:rsidRDefault="00A821D5">
      <w:r>
        <w:t>To test this hypo</w:t>
      </w:r>
      <w:r>
        <w:t>thesis, the Chi-square (χ²) statistical method was applied. The responses relating to manpower development and productivity (Table 1) were cross-tabulated, and observed (O) and expected (E) frequencies were calculated as follows:</w:t>
      </w:r>
    </w:p>
    <w:p w14:paraId="117ECF18" w14:textId="77777777" w:rsidR="002C7ABC" w:rsidRDefault="00A821D5">
      <w:pPr>
        <w:rPr>
          <w:b/>
          <w:bCs/>
        </w:rPr>
      </w:pPr>
      <w:r>
        <w:rPr>
          <w:b/>
          <w:bCs/>
        </w:rPr>
        <w:t>Table 2: Chi-Square Calcul</w:t>
      </w:r>
      <w:r>
        <w:rPr>
          <w:b/>
          <w:bCs/>
        </w:rPr>
        <w:t>ation for Hypothesis One</w:t>
      </w:r>
    </w:p>
    <w:tbl>
      <w:tblPr>
        <w:tblStyle w:val="TableGrid"/>
        <w:tblW w:w="0" w:type="auto"/>
        <w:tblLook w:val="00A0" w:firstRow="1" w:lastRow="0" w:firstColumn="1" w:lastColumn="0" w:noHBand="0" w:noVBand="0"/>
      </w:tblPr>
      <w:tblGrid>
        <w:gridCol w:w="1256"/>
        <w:gridCol w:w="1610"/>
        <w:gridCol w:w="1543"/>
        <w:gridCol w:w="980"/>
        <w:gridCol w:w="1052"/>
        <w:gridCol w:w="1399"/>
      </w:tblGrid>
      <w:tr w:rsidR="002C7ABC" w14:paraId="3D337038" w14:textId="77777777">
        <w:tc>
          <w:tcPr>
            <w:tcW w:w="0" w:type="auto"/>
            <w:hideMark/>
          </w:tcPr>
          <w:p w14:paraId="48DB978C" w14:textId="77777777" w:rsidR="002C7ABC" w:rsidRDefault="00A821D5">
            <w:pPr>
              <w:jc w:val="center"/>
              <w:rPr>
                <w:b/>
                <w:bCs/>
              </w:rPr>
            </w:pPr>
            <w:r>
              <w:rPr>
                <w:b/>
                <w:bCs/>
              </w:rPr>
              <w:t>Response</w:t>
            </w:r>
          </w:p>
        </w:tc>
        <w:tc>
          <w:tcPr>
            <w:tcW w:w="0" w:type="auto"/>
            <w:hideMark/>
          </w:tcPr>
          <w:p w14:paraId="2B51A8CE" w14:textId="77777777" w:rsidR="002C7ABC" w:rsidRDefault="00A821D5">
            <w:pPr>
              <w:jc w:val="center"/>
              <w:rPr>
                <w:b/>
                <w:bCs/>
              </w:rPr>
            </w:pPr>
            <w:r>
              <w:rPr>
                <w:b/>
                <w:bCs/>
              </w:rPr>
              <w:t>Observed (O)</w:t>
            </w:r>
          </w:p>
        </w:tc>
        <w:tc>
          <w:tcPr>
            <w:tcW w:w="0" w:type="auto"/>
            <w:hideMark/>
          </w:tcPr>
          <w:p w14:paraId="76C5C398" w14:textId="77777777" w:rsidR="002C7ABC" w:rsidRDefault="00A821D5">
            <w:pPr>
              <w:jc w:val="center"/>
              <w:rPr>
                <w:b/>
                <w:bCs/>
              </w:rPr>
            </w:pPr>
            <w:r>
              <w:rPr>
                <w:b/>
                <w:bCs/>
              </w:rPr>
              <w:t>Expected (E)</w:t>
            </w:r>
          </w:p>
        </w:tc>
        <w:tc>
          <w:tcPr>
            <w:tcW w:w="0" w:type="auto"/>
            <w:hideMark/>
          </w:tcPr>
          <w:p w14:paraId="1BED997A" w14:textId="77777777" w:rsidR="002C7ABC" w:rsidRDefault="00A821D5">
            <w:pPr>
              <w:jc w:val="center"/>
              <w:rPr>
                <w:b/>
                <w:bCs/>
              </w:rPr>
            </w:pPr>
            <w:r>
              <w:rPr>
                <w:b/>
                <w:bCs/>
              </w:rPr>
              <w:t>(O − E)</w:t>
            </w:r>
          </w:p>
        </w:tc>
        <w:tc>
          <w:tcPr>
            <w:tcW w:w="0" w:type="auto"/>
            <w:hideMark/>
          </w:tcPr>
          <w:p w14:paraId="0525AF85" w14:textId="77777777" w:rsidR="002C7ABC" w:rsidRDefault="00A821D5">
            <w:pPr>
              <w:jc w:val="center"/>
              <w:rPr>
                <w:b/>
                <w:bCs/>
              </w:rPr>
            </w:pPr>
            <w:r>
              <w:rPr>
                <w:b/>
                <w:bCs/>
              </w:rPr>
              <w:t xml:space="preserve">(O − </w:t>
            </w:r>
            <w:proofErr w:type="gramStart"/>
            <w:r>
              <w:rPr>
                <w:b/>
                <w:bCs/>
              </w:rPr>
              <w:t>E)²</w:t>
            </w:r>
            <w:proofErr w:type="gramEnd"/>
          </w:p>
        </w:tc>
        <w:tc>
          <w:tcPr>
            <w:tcW w:w="0" w:type="auto"/>
            <w:hideMark/>
          </w:tcPr>
          <w:p w14:paraId="11CB3EC3" w14:textId="77777777" w:rsidR="002C7ABC" w:rsidRDefault="00A821D5">
            <w:pPr>
              <w:jc w:val="center"/>
              <w:rPr>
                <w:b/>
                <w:bCs/>
              </w:rPr>
            </w:pPr>
            <w:r>
              <w:rPr>
                <w:b/>
                <w:bCs/>
              </w:rPr>
              <w:t xml:space="preserve">(O − </w:t>
            </w:r>
            <w:proofErr w:type="gramStart"/>
            <w:r>
              <w:rPr>
                <w:b/>
                <w:bCs/>
              </w:rPr>
              <w:t>E)²</w:t>
            </w:r>
            <w:proofErr w:type="gramEnd"/>
            <w:r>
              <w:rPr>
                <w:b/>
                <w:bCs/>
              </w:rPr>
              <w:t xml:space="preserve"> / E</w:t>
            </w:r>
          </w:p>
        </w:tc>
      </w:tr>
      <w:tr w:rsidR="002C7ABC" w14:paraId="31D97A93" w14:textId="77777777">
        <w:tc>
          <w:tcPr>
            <w:tcW w:w="0" w:type="auto"/>
            <w:hideMark/>
          </w:tcPr>
          <w:p w14:paraId="7964E2B7" w14:textId="77777777" w:rsidR="002C7ABC" w:rsidRDefault="00A821D5">
            <w:pPr>
              <w:jc w:val="left"/>
            </w:pPr>
            <w:r>
              <w:t>Agree</w:t>
            </w:r>
          </w:p>
        </w:tc>
        <w:tc>
          <w:tcPr>
            <w:tcW w:w="0" w:type="auto"/>
            <w:hideMark/>
          </w:tcPr>
          <w:p w14:paraId="2E5A8689" w14:textId="77777777" w:rsidR="002C7ABC" w:rsidRDefault="00A821D5">
            <w:r>
              <w:t>65</w:t>
            </w:r>
          </w:p>
        </w:tc>
        <w:tc>
          <w:tcPr>
            <w:tcW w:w="0" w:type="auto"/>
            <w:hideMark/>
          </w:tcPr>
          <w:p w14:paraId="61E7F994" w14:textId="77777777" w:rsidR="002C7ABC" w:rsidRDefault="00A821D5">
            <w:r>
              <w:t>53.3</w:t>
            </w:r>
          </w:p>
        </w:tc>
        <w:tc>
          <w:tcPr>
            <w:tcW w:w="0" w:type="auto"/>
            <w:hideMark/>
          </w:tcPr>
          <w:p w14:paraId="1B5E8B5E" w14:textId="77777777" w:rsidR="002C7ABC" w:rsidRDefault="00A821D5">
            <w:r>
              <w:t>11.7</w:t>
            </w:r>
          </w:p>
        </w:tc>
        <w:tc>
          <w:tcPr>
            <w:tcW w:w="0" w:type="auto"/>
            <w:hideMark/>
          </w:tcPr>
          <w:p w14:paraId="15155E82" w14:textId="77777777" w:rsidR="002C7ABC" w:rsidRDefault="00A821D5">
            <w:r>
              <w:t>136.9</w:t>
            </w:r>
          </w:p>
        </w:tc>
        <w:tc>
          <w:tcPr>
            <w:tcW w:w="0" w:type="auto"/>
            <w:hideMark/>
          </w:tcPr>
          <w:p w14:paraId="6FD74E08" w14:textId="77777777" w:rsidR="002C7ABC" w:rsidRDefault="00A821D5">
            <w:r>
              <w:t>2.57</w:t>
            </w:r>
          </w:p>
        </w:tc>
      </w:tr>
      <w:tr w:rsidR="002C7ABC" w14:paraId="38BE3E13" w14:textId="77777777">
        <w:tc>
          <w:tcPr>
            <w:tcW w:w="0" w:type="auto"/>
            <w:hideMark/>
          </w:tcPr>
          <w:p w14:paraId="7F402201" w14:textId="77777777" w:rsidR="002C7ABC" w:rsidRDefault="00A821D5">
            <w:r>
              <w:t>Undecided</w:t>
            </w:r>
          </w:p>
        </w:tc>
        <w:tc>
          <w:tcPr>
            <w:tcW w:w="0" w:type="auto"/>
            <w:hideMark/>
          </w:tcPr>
          <w:p w14:paraId="5A6580F0" w14:textId="77777777" w:rsidR="002C7ABC" w:rsidRDefault="00A821D5">
            <w:r>
              <w:t>5</w:t>
            </w:r>
          </w:p>
        </w:tc>
        <w:tc>
          <w:tcPr>
            <w:tcW w:w="0" w:type="auto"/>
            <w:hideMark/>
          </w:tcPr>
          <w:p w14:paraId="03106BB4" w14:textId="77777777" w:rsidR="002C7ABC" w:rsidRDefault="00A821D5">
            <w:r>
              <w:t>13.3</w:t>
            </w:r>
          </w:p>
        </w:tc>
        <w:tc>
          <w:tcPr>
            <w:tcW w:w="0" w:type="auto"/>
            <w:hideMark/>
          </w:tcPr>
          <w:p w14:paraId="28009D2D" w14:textId="77777777" w:rsidR="002C7ABC" w:rsidRDefault="00A821D5">
            <w:r>
              <w:t>-8.3</w:t>
            </w:r>
          </w:p>
        </w:tc>
        <w:tc>
          <w:tcPr>
            <w:tcW w:w="0" w:type="auto"/>
            <w:hideMark/>
          </w:tcPr>
          <w:p w14:paraId="3A9A9773" w14:textId="77777777" w:rsidR="002C7ABC" w:rsidRDefault="00A821D5">
            <w:r>
              <w:t>68.9</w:t>
            </w:r>
          </w:p>
        </w:tc>
        <w:tc>
          <w:tcPr>
            <w:tcW w:w="0" w:type="auto"/>
            <w:hideMark/>
          </w:tcPr>
          <w:p w14:paraId="57B0E7EC" w14:textId="77777777" w:rsidR="002C7ABC" w:rsidRDefault="00A821D5">
            <w:r>
              <w:t>5.18</w:t>
            </w:r>
          </w:p>
        </w:tc>
      </w:tr>
      <w:tr w:rsidR="002C7ABC" w14:paraId="1E2D473F" w14:textId="77777777">
        <w:tc>
          <w:tcPr>
            <w:tcW w:w="0" w:type="auto"/>
            <w:hideMark/>
          </w:tcPr>
          <w:p w14:paraId="7560239C" w14:textId="77777777" w:rsidR="002C7ABC" w:rsidRDefault="00A821D5">
            <w:r>
              <w:t>Disagree</w:t>
            </w:r>
          </w:p>
        </w:tc>
        <w:tc>
          <w:tcPr>
            <w:tcW w:w="0" w:type="auto"/>
            <w:hideMark/>
          </w:tcPr>
          <w:p w14:paraId="0443072B" w14:textId="77777777" w:rsidR="002C7ABC" w:rsidRDefault="00A821D5">
            <w:r>
              <w:t>10</w:t>
            </w:r>
          </w:p>
        </w:tc>
        <w:tc>
          <w:tcPr>
            <w:tcW w:w="0" w:type="auto"/>
            <w:hideMark/>
          </w:tcPr>
          <w:p w14:paraId="1A76BAE4" w14:textId="77777777" w:rsidR="002C7ABC" w:rsidRDefault="00A821D5">
            <w:r>
              <w:t>13.3</w:t>
            </w:r>
          </w:p>
        </w:tc>
        <w:tc>
          <w:tcPr>
            <w:tcW w:w="0" w:type="auto"/>
            <w:hideMark/>
          </w:tcPr>
          <w:p w14:paraId="57EC6E21" w14:textId="77777777" w:rsidR="002C7ABC" w:rsidRDefault="00A821D5">
            <w:r>
              <w:t>-3.3</w:t>
            </w:r>
          </w:p>
        </w:tc>
        <w:tc>
          <w:tcPr>
            <w:tcW w:w="0" w:type="auto"/>
            <w:hideMark/>
          </w:tcPr>
          <w:p w14:paraId="2449D5C3" w14:textId="77777777" w:rsidR="002C7ABC" w:rsidRDefault="00A821D5">
            <w:r>
              <w:t>10.9</w:t>
            </w:r>
          </w:p>
        </w:tc>
        <w:tc>
          <w:tcPr>
            <w:tcW w:w="0" w:type="auto"/>
            <w:hideMark/>
          </w:tcPr>
          <w:p w14:paraId="3F9A514A" w14:textId="77777777" w:rsidR="002C7ABC" w:rsidRDefault="00A821D5">
            <w:r>
              <w:t>0.82</w:t>
            </w:r>
          </w:p>
        </w:tc>
      </w:tr>
      <w:tr w:rsidR="002C7ABC" w14:paraId="48FCB9B1" w14:textId="77777777">
        <w:tc>
          <w:tcPr>
            <w:tcW w:w="0" w:type="auto"/>
            <w:hideMark/>
          </w:tcPr>
          <w:p w14:paraId="4A12FAAD" w14:textId="77777777" w:rsidR="002C7ABC" w:rsidRDefault="00A821D5">
            <w:r>
              <w:rPr>
                <w:rStyle w:val="Strong"/>
              </w:rPr>
              <w:t>Total</w:t>
            </w:r>
          </w:p>
        </w:tc>
        <w:tc>
          <w:tcPr>
            <w:tcW w:w="0" w:type="auto"/>
            <w:hideMark/>
          </w:tcPr>
          <w:p w14:paraId="5527A0EE" w14:textId="77777777" w:rsidR="002C7ABC" w:rsidRDefault="00A821D5">
            <w:r>
              <w:rPr>
                <w:rStyle w:val="Strong"/>
              </w:rPr>
              <w:t>80</w:t>
            </w:r>
          </w:p>
        </w:tc>
        <w:tc>
          <w:tcPr>
            <w:tcW w:w="0" w:type="auto"/>
            <w:hideMark/>
          </w:tcPr>
          <w:p w14:paraId="6C559B62" w14:textId="77777777" w:rsidR="002C7ABC" w:rsidRDefault="002C7ABC"/>
        </w:tc>
        <w:tc>
          <w:tcPr>
            <w:tcW w:w="0" w:type="auto"/>
            <w:hideMark/>
          </w:tcPr>
          <w:p w14:paraId="2B36DF09" w14:textId="77777777" w:rsidR="002C7ABC" w:rsidRDefault="002C7ABC">
            <w:pPr>
              <w:rPr>
                <w:sz w:val="20"/>
                <w:szCs w:val="20"/>
              </w:rPr>
            </w:pPr>
          </w:p>
        </w:tc>
        <w:tc>
          <w:tcPr>
            <w:tcW w:w="0" w:type="auto"/>
            <w:hideMark/>
          </w:tcPr>
          <w:p w14:paraId="73172D6A" w14:textId="77777777" w:rsidR="002C7ABC" w:rsidRDefault="002C7ABC">
            <w:pPr>
              <w:rPr>
                <w:sz w:val="20"/>
                <w:szCs w:val="20"/>
              </w:rPr>
            </w:pPr>
          </w:p>
        </w:tc>
        <w:tc>
          <w:tcPr>
            <w:tcW w:w="0" w:type="auto"/>
            <w:hideMark/>
          </w:tcPr>
          <w:p w14:paraId="5B3630D8" w14:textId="77777777" w:rsidR="002C7ABC" w:rsidRDefault="00A821D5">
            <w:pPr>
              <w:rPr>
                <w:szCs w:val="24"/>
              </w:rPr>
            </w:pPr>
            <w:r>
              <w:rPr>
                <w:rStyle w:val="Strong"/>
              </w:rPr>
              <w:t>8.57</w:t>
            </w:r>
          </w:p>
        </w:tc>
      </w:tr>
    </w:tbl>
    <w:p w14:paraId="226C925F" w14:textId="77777777" w:rsidR="002C7ABC" w:rsidRDefault="00A821D5">
      <w:pPr>
        <w:pStyle w:val="NormalWeb"/>
      </w:pPr>
      <w:r>
        <w:rPr>
          <w:rStyle w:val="Strong"/>
        </w:rPr>
        <w:t>Formula used:</w:t>
      </w:r>
    </w:p>
    <w:p w14:paraId="3A37FC89" w14:textId="77777777" w:rsidR="002C7ABC" w:rsidRDefault="00A821D5">
      <w:pPr>
        <w:pStyle w:val="NormalWeb"/>
      </w:pPr>
      <m:oMathPara>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 </m:t>
          </m:r>
          <m:r>
            <m:rPr>
              <m:sty m:val="p"/>
            </m:rPr>
            <w:rPr>
              <w:rFonts w:ascii="Cambria Math" w:hAnsi="Cambria Math"/>
            </w:rPr>
            <m:t>Σ</m:t>
          </m:r>
          <m:r>
            <w:rPr>
              <w:rFonts w:ascii="Cambria Math" w:hAnsi="Cambria Math"/>
            </w:rPr>
            <m:t xml:space="preserve"> </m:t>
          </m:r>
          <m:f>
            <m:fPr>
              <m:ctrlPr>
                <w:rPr>
                  <w:rFonts w:ascii="Cambria Math" w:hAnsi="Cambria Math"/>
                  <w:i/>
                </w:rPr>
              </m:ctrlPr>
            </m:fPr>
            <m:num>
              <m:r>
                <w:rPr>
                  <w:rFonts w:ascii="Cambria Math" w:hAnsi="Cambria Math"/>
                </w:rPr>
                <m:t>(</m:t>
              </m:r>
              <m:r>
                <w:rPr>
                  <w:rFonts w:ascii="Cambria Math" w:hAnsi="Cambria Math"/>
                </w:rPr>
                <m:t>O</m:t>
              </m:r>
              <m:r>
                <w:rPr>
                  <w:rFonts w:ascii="Cambria Math" w:hAnsi="Cambria Math"/>
                </w:rPr>
                <m:t>-</m:t>
              </m:r>
              <m:r>
                <w:rPr>
                  <w:rFonts w:ascii="Cambria Math" w:hAnsi="Cambria Math"/>
                </w:rPr>
                <m:t>E</m:t>
              </m:r>
              <m:sSup>
                <m:sSupPr>
                  <m:ctrlPr>
                    <w:rPr>
                      <w:rFonts w:ascii="Cambria Math" w:hAnsi="Cambria Math"/>
                      <w:i/>
                    </w:rPr>
                  </m:ctrlPr>
                </m:sSupPr>
                <m:e>
                  <m:r>
                    <w:rPr>
                      <w:rFonts w:ascii="Cambria Math" w:hAnsi="Cambria Math"/>
                    </w:rPr>
                    <m:t>)</m:t>
                  </m:r>
                </m:e>
                <m:sup>
                  <m:r>
                    <w:rPr>
                      <w:rFonts w:ascii="Cambria Math" w:hAnsi="Cambria Math"/>
                    </w:rPr>
                    <m:t>2</m:t>
                  </m:r>
                </m:sup>
              </m:sSup>
            </m:num>
            <m:den>
              <m:r>
                <w:rPr>
                  <w:rFonts w:ascii="Cambria Math" w:hAnsi="Cambria Math"/>
                </w:rPr>
                <m:t>E</m:t>
              </m:r>
            </m:den>
          </m:f>
        </m:oMath>
      </m:oMathPara>
    </w:p>
    <w:p w14:paraId="10DFEC30" w14:textId="77777777" w:rsidR="002C7ABC" w:rsidRDefault="00A821D5">
      <w:pPr>
        <w:pStyle w:val="NormalWeb"/>
        <w:rPr>
          <w:rStyle w:val="Strong"/>
          <w:b w:val="0"/>
          <w:bCs w:val="0"/>
        </w:rPr>
      </w:pPr>
      <m:oMath>
        <m:r>
          <w:rPr>
            <w:rStyle w:val="Strong"/>
            <w:rFonts w:ascii="Cambria Math" w:hAnsi="Cambria Math"/>
          </w:rPr>
          <m:t>Calculated</m:t>
        </m:r>
        <m:r>
          <w:rPr>
            <w:rStyle w:val="Strong"/>
            <w:rFonts w:ascii="Cambria Math" w:hAnsi="Cambria Math"/>
          </w:rPr>
          <m:t xml:space="preserve"> </m:t>
        </m:r>
        <m:sSup>
          <m:sSupPr>
            <m:ctrlPr>
              <w:rPr>
                <w:rStyle w:val="Strong"/>
                <w:rFonts w:ascii="Cambria Math" w:hAnsi="Cambria Math"/>
                <w:b w:val="0"/>
                <w:bCs w:val="0"/>
                <w:i/>
              </w:rPr>
            </m:ctrlPr>
          </m:sSupPr>
          <m:e>
            <m:r>
              <w:rPr>
                <w:rStyle w:val="Strong"/>
                <w:rFonts w:ascii="Cambria Math" w:hAnsi="Cambria Math"/>
              </w:rPr>
              <m:t>X</m:t>
            </m:r>
          </m:e>
          <m:sup>
            <m:r>
              <w:rPr>
                <w:rStyle w:val="Strong"/>
                <w:rFonts w:ascii="Cambria Math" w:hAnsi="Cambria Math"/>
              </w:rPr>
              <m:t>2</m:t>
            </m:r>
          </m:sup>
        </m:sSup>
      </m:oMath>
      <w:r>
        <w:rPr>
          <w:rStyle w:val="Strong"/>
          <w:b w:val="0"/>
          <w:bCs w:val="0"/>
        </w:rPr>
        <w:t xml:space="preserve"> = 8.57</w:t>
      </w:r>
    </w:p>
    <w:p w14:paraId="7974ADCC" w14:textId="77777777" w:rsidR="002C7ABC" w:rsidRDefault="00A821D5">
      <w:pPr>
        <w:pStyle w:val="NormalWeb"/>
        <w:rPr>
          <w:rStyle w:val="Strong"/>
          <w:b w:val="0"/>
          <w:bCs w:val="0"/>
        </w:rPr>
      </w:pPr>
      <m:oMathPara>
        <m:oMathParaPr>
          <m:jc m:val="left"/>
        </m:oMathParaPr>
        <m:oMath>
          <m:r>
            <w:rPr>
              <w:rStyle w:val="Strong"/>
              <w:rFonts w:ascii="Cambria Math" w:hAnsi="Cambria Math"/>
            </w:rPr>
            <w:lastRenderedPageBreak/>
            <m:t>Degrees</m:t>
          </m:r>
          <m:r>
            <w:rPr>
              <w:rStyle w:val="Strong"/>
              <w:rFonts w:ascii="Cambria Math" w:hAnsi="Cambria Math"/>
            </w:rPr>
            <m:t xml:space="preserve"> </m:t>
          </m:r>
          <m:r>
            <w:rPr>
              <w:rStyle w:val="Strong"/>
              <w:rFonts w:ascii="Cambria Math" w:hAnsi="Cambria Math"/>
            </w:rPr>
            <m:t>of</m:t>
          </m:r>
          <m:r>
            <w:rPr>
              <w:rStyle w:val="Strong"/>
              <w:rFonts w:ascii="Cambria Math" w:hAnsi="Cambria Math"/>
            </w:rPr>
            <m:t xml:space="preserve"> </m:t>
          </m:r>
          <m:r>
            <w:rPr>
              <w:rStyle w:val="Strong"/>
              <w:rFonts w:ascii="Cambria Math" w:hAnsi="Cambria Math"/>
            </w:rPr>
            <m:t>freedom</m:t>
          </m:r>
          <m:r>
            <w:rPr>
              <w:rStyle w:val="Strong"/>
              <w:rFonts w:ascii="Cambria Math" w:hAnsi="Cambria Math"/>
            </w:rPr>
            <m:t xml:space="preserve"> </m:t>
          </m:r>
          <m:d>
            <m:dPr>
              <m:ctrlPr>
                <w:rPr>
                  <w:rStyle w:val="Strong"/>
                  <w:rFonts w:ascii="Cambria Math" w:hAnsi="Cambria Math"/>
                  <w:b w:val="0"/>
                  <w:bCs w:val="0"/>
                  <w:i/>
                </w:rPr>
              </m:ctrlPr>
            </m:dPr>
            <m:e>
              <m:r>
                <w:rPr>
                  <w:rStyle w:val="Strong"/>
                  <w:rFonts w:ascii="Cambria Math" w:hAnsi="Cambria Math"/>
                </w:rPr>
                <m:t>df</m:t>
              </m:r>
            </m:e>
          </m:d>
          <m:r>
            <w:rPr>
              <w:rStyle w:val="Strong"/>
              <w:rFonts w:ascii="Cambria Math" w:hAnsi="Cambria Math"/>
            </w:rPr>
            <m:t>=</m:t>
          </m:r>
          <m:d>
            <m:dPr>
              <m:ctrlPr>
                <w:rPr>
                  <w:rStyle w:val="Strong"/>
                  <w:rFonts w:ascii="Cambria Math" w:hAnsi="Cambria Math"/>
                  <w:b w:val="0"/>
                  <w:bCs w:val="0"/>
                  <w:i/>
                </w:rPr>
              </m:ctrlPr>
            </m:dPr>
            <m:e>
              <m:r>
                <w:rPr>
                  <w:rStyle w:val="Strong"/>
                  <w:rFonts w:ascii="Cambria Math" w:hAnsi="Cambria Math"/>
                </w:rPr>
                <m:t>r</m:t>
              </m:r>
              <m:r>
                <w:rPr>
                  <w:rStyle w:val="Strong"/>
                  <w:rFonts w:ascii="Cambria Math" w:hAnsi="Cambria Math"/>
                </w:rPr>
                <m:t>-1</m:t>
              </m:r>
            </m:e>
          </m:d>
          <m:d>
            <m:dPr>
              <m:ctrlPr>
                <w:rPr>
                  <w:rStyle w:val="Strong"/>
                  <w:rFonts w:ascii="Cambria Math" w:hAnsi="Cambria Math"/>
                  <w:b w:val="0"/>
                  <w:bCs w:val="0"/>
                  <w:i/>
                </w:rPr>
              </m:ctrlPr>
            </m:dPr>
            <m:e>
              <m:r>
                <w:rPr>
                  <w:rStyle w:val="Strong"/>
                  <w:rFonts w:ascii="Cambria Math" w:hAnsi="Cambria Math"/>
                </w:rPr>
                <m:t>c</m:t>
              </m:r>
              <m:r>
                <w:rPr>
                  <w:rStyle w:val="Strong"/>
                  <w:rFonts w:ascii="Cambria Math" w:hAnsi="Cambria Math"/>
                </w:rPr>
                <m:t>-1</m:t>
              </m:r>
            </m:e>
          </m:d>
          <m:r>
            <w:rPr>
              <w:rStyle w:val="Strong"/>
              <w:rFonts w:ascii="Cambria Math" w:hAnsi="Cambria Math"/>
            </w:rPr>
            <m:t>=</m:t>
          </m:r>
          <m:d>
            <m:dPr>
              <m:ctrlPr>
                <w:rPr>
                  <w:rStyle w:val="Strong"/>
                  <w:rFonts w:ascii="Cambria Math" w:hAnsi="Cambria Math"/>
                  <w:b w:val="0"/>
                  <w:bCs w:val="0"/>
                  <w:i/>
                </w:rPr>
              </m:ctrlPr>
            </m:dPr>
            <m:e>
              <m:r>
                <w:rPr>
                  <w:rStyle w:val="Strong"/>
                  <w:rFonts w:ascii="Cambria Math" w:hAnsi="Cambria Math"/>
                </w:rPr>
                <m:t>3-1</m:t>
              </m:r>
            </m:e>
          </m:d>
          <m:d>
            <m:dPr>
              <m:ctrlPr>
                <w:rPr>
                  <w:rStyle w:val="Strong"/>
                  <w:rFonts w:ascii="Cambria Math" w:hAnsi="Cambria Math"/>
                  <w:b w:val="0"/>
                  <w:bCs w:val="0"/>
                  <w:i/>
                </w:rPr>
              </m:ctrlPr>
            </m:dPr>
            <m:e>
              <m:r>
                <w:rPr>
                  <w:rStyle w:val="Strong"/>
                  <w:rFonts w:ascii="Cambria Math" w:hAnsi="Cambria Math"/>
                </w:rPr>
                <m:t>1</m:t>
              </m:r>
            </m:e>
          </m:d>
          <m:r>
            <w:rPr>
              <w:rStyle w:val="Strong"/>
              <w:rFonts w:ascii="Cambria Math" w:hAnsi="Cambria Math"/>
            </w:rPr>
            <m:t>=2</m:t>
          </m:r>
        </m:oMath>
      </m:oMathPara>
    </w:p>
    <w:p w14:paraId="0C3C6C70" w14:textId="77777777" w:rsidR="002C7ABC" w:rsidRDefault="00A821D5">
      <w:pPr>
        <w:pStyle w:val="NormalWeb"/>
        <w:rPr>
          <w:rStyle w:val="Strong"/>
          <w:b w:val="0"/>
          <w:bCs w:val="0"/>
        </w:rPr>
      </w:pPr>
      <m:oMathPara>
        <m:oMathParaPr>
          <m:jc m:val="left"/>
        </m:oMathParaPr>
        <m:oMath>
          <m:r>
            <w:rPr>
              <w:rStyle w:val="Strong"/>
              <w:rFonts w:ascii="Cambria Math" w:hAnsi="Cambria Math"/>
            </w:rPr>
            <m:t>Critical</m:t>
          </m:r>
          <m:r>
            <w:rPr>
              <w:rStyle w:val="Strong"/>
              <w:rFonts w:ascii="Cambria Math" w:hAnsi="Cambria Math"/>
            </w:rPr>
            <m:t xml:space="preserve"> </m:t>
          </m:r>
          <m:sSup>
            <m:sSupPr>
              <m:ctrlPr>
                <w:rPr>
                  <w:rStyle w:val="Strong"/>
                  <w:rFonts w:ascii="Cambria Math" w:hAnsi="Cambria Math"/>
                  <w:b w:val="0"/>
                  <w:bCs w:val="0"/>
                  <w:i/>
                </w:rPr>
              </m:ctrlPr>
            </m:sSupPr>
            <m:e>
              <m:r>
                <w:rPr>
                  <w:rStyle w:val="Strong"/>
                  <w:rFonts w:ascii="Cambria Math" w:hAnsi="Cambria Math"/>
                </w:rPr>
                <m:t>X</m:t>
              </m:r>
            </m:e>
            <m:sup>
              <m:r>
                <w:rPr>
                  <w:rStyle w:val="Strong"/>
                  <w:rFonts w:ascii="Cambria Math" w:hAnsi="Cambria Math"/>
                </w:rPr>
                <m:t>2</m:t>
              </m:r>
            </m:sup>
          </m:sSup>
          <m:r>
            <w:rPr>
              <w:rStyle w:val="Strong"/>
              <w:rFonts w:ascii="Cambria Math" w:hAnsi="Cambria Math"/>
            </w:rPr>
            <m:t xml:space="preserve">=5.99 </m:t>
          </m:r>
          <m:d>
            <m:dPr>
              <m:ctrlPr>
                <w:rPr>
                  <w:rStyle w:val="Strong"/>
                  <w:rFonts w:ascii="Cambria Math" w:hAnsi="Cambria Math"/>
                  <w:b w:val="0"/>
                  <w:bCs w:val="0"/>
                  <w:i/>
                </w:rPr>
              </m:ctrlPr>
            </m:dPr>
            <m:e>
              <m:r>
                <w:rPr>
                  <w:rStyle w:val="Strong"/>
                  <w:rFonts w:ascii="Cambria Math" w:hAnsi="Cambria Math"/>
                </w:rPr>
                <m:t>at</m:t>
              </m:r>
              <m:r>
                <w:rPr>
                  <w:rStyle w:val="Strong"/>
                  <w:rFonts w:ascii="Cambria Math" w:hAnsi="Cambria Math"/>
                </w:rPr>
                <m:t xml:space="preserve"> 0.05 </m:t>
              </m:r>
              <m:r>
                <w:rPr>
                  <w:rStyle w:val="Strong"/>
                  <w:rFonts w:ascii="Cambria Math" w:hAnsi="Cambria Math"/>
                </w:rPr>
                <m:t>significant</m:t>
              </m:r>
              <m:r>
                <w:rPr>
                  <w:rStyle w:val="Strong"/>
                  <w:rFonts w:ascii="Cambria Math" w:hAnsi="Cambria Math"/>
                </w:rPr>
                <m:t xml:space="preserve"> </m:t>
              </m:r>
              <m:r>
                <w:rPr>
                  <w:rStyle w:val="Strong"/>
                  <w:rFonts w:ascii="Cambria Math" w:hAnsi="Cambria Math"/>
                </w:rPr>
                <m:t>level</m:t>
              </m:r>
            </m:e>
          </m:d>
        </m:oMath>
      </m:oMathPara>
    </w:p>
    <w:p w14:paraId="0518CBF3" w14:textId="77777777" w:rsidR="002C7ABC" w:rsidRDefault="00A821D5">
      <w:pPr>
        <w:pStyle w:val="NormalWeb"/>
        <w:rPr>
          <w:rStyle w:val="Strong"/>
          <w:b w:val="0"/>
          <w:bCs w:val="0"/>
        </w:rPr>
      </w:pPr>
      <m:oMathPara>
        <m:oMathParaPr>
          <m:jc m:val="left"/>
        </m:oMathParaPr>
        <m:oMath>
          <m:r>
            <w:rPr>
              <w:rStyle w:val="Strong"/>
              <w:rFonts w:ascii="Cambria Math" w:hAnsi="Cambria Math"/>
            </w:rPr>
            <m:t>Decision</m:t>
          </m:r>
          <m:r>
            <w:rPr>
              <w:rStyle w:val="Strong"/>
              <w:rFonts w:ascii="Cambria Math" w:hAnsi="Cambria Math"/>
            </w:rPr>
            <m:t>:</m:t>
          </m:r>
          <m:r>
            <w:rPr>
              <w:rStyle w:val="Strong"/>
              <w:rFonts w:ascii="Cambria Math" w:hAnsi="Cambria Math"/>
            </w:rPr>
            <m:t>Since</m:t>
          </m:r>
          <m:r>
            <w:rPr>
              <w:rStyle w:val="Strong"/>
              <w:rFonts w:ascii="Cambria Math" w:hAnsi="Cambria Math"/>
            </w:rPr>
            <m:t xml:space="preserve"> 8.57&gt;5.99, </m:t>
          </m:r>
          <m:r>
            <w:rPr>
              <w:rStyle w:val="Strong"/>
              <w:rFonts w:ascii="Cambria Math" w:hAnsi="Cambria Math"/>
            </w:rPr>
            <m:t>reject</m:t>
          </m:r>
          <m:r>
            <w:rPr>
              <w:rStyle w:val="Strong"/>
              <w:rFonts w:ascii="Cambria Math" w:hAnsi="Cambria Math"/>
            </w:rPr>
            <m:t xml:space="preserve"> </m:t>
          </m:r>
          <m:sSub>
            <m:sSubPr>
              <m:ctrlPr>
                <w:rPr>
                  <w:rStyle w:val="Strong"/>
                  <w:rFonts w:ascii="Cambria Math" w:hAnsi="Cambria Math"/>
                  <w:b w:val="0"/>
                  <w:bCs w:val="0"/>
                  <w:i/>
                </w:rPr>
              </m:ctrlPr>
            </m:sSubPr>
            <m:e>
              <m:r>
                <w:rPr>
                  <w:rStyle w:val="Strong"/>
                  <w:rFonts w:ascii="Cambria Math" w:hAnsi="Cambria Math"/>
                </w:rPr>
                <m:t>H</m:t>
              </m:r>
            </m:e>
            <m:sub>
              <m:r>
                <w:rPr>
                  <w:rStyle w:val="Strong"/>
                  <w:rFonts w:ascii="Cambria Math" w:hAnsi="Cambria Math"/>
                </w:rPr>
                <m:t>01</m:t>
              </m:r>
            </m:sub>
          </m:sSub>
        </m:oMath>
      </m:oMathPara>
    </w:p>
    <w:p w14:paraId="2354D2CA" w14:textId="77777777" w:rsidR="002C7ABC" w:rsidRDefault="002C7ABC">
      <w:pPr>
        <w:pStyle w:val="NormalWeb"/>
        <w:rPr>
          <w:rStyle w:val="Strong"/>
        </w:rPr>
      </w:pPr>
    </w:p>
    <w:p w14:paraId="08275AFD" w14:textId="77777777" w:rsidR="002C7ABC" w:rsidRDefault="00A821D5">
      <w:r>
        <w:rPr>
          <w:rStyle w:val="Strong"/>
        </w:rPr>
        <w:t>Interpretation:</w:t>
      </w:r>
      <w:r>
        <w:br/>
      </w:r>
      <w:r>
        <w:t>The relationship between manpower development and employee productivity is statistically significant in Guinness Nigeria Plc. This means that the more you engage in training programmes, the more you are maximising the output, efficiency, and overall perfor</w:t>
      </w:r>
      <w:r>
        <w:t>mance of the employees.</w:t>
      </w:r>
    </w:p>
    <w:p w14:paraId="68DA59F3" w14:textId="77777777" w:rsidR="002C7ABC" w:rsidRDefault="00A821D5">
      <w:pPr>
        <w:rPr>
          <w:rFonts w:cs="Times New Roman"/>
          <w:b/>
          <w:bCs/>
          <w:color w:val="000000"/>
        </w:rPr>
      </w:pPr>
      <w:r>
        <w:t xml:space="preserve">This result is consistent with the study by Hosen et al. (2023) who determined that the effectiveness of organisational productivity depends on properly organised manpower development programmes. On the same note, Okoye and </w:t>
      </w:r>
      <w:proofErr w:type="spellStart"/>
      <w:r>
        <w:t>Ezejiofo</w:t>
      </w:r>
      <w:r>
        <w:t>r</w:t>
      </w:r>
      <w:proofErr w:type="spellEnd"/>
      <w:r>
        <w:t xml:space="preserve"> (2013) discover that performance improvement in manufacturing companies is positively related to nurse-on-the-job training.</w:t>
      </w:r>
    </w:p>
    <w:p w14:paraId="1BB9A867" w14:textId="77777777" w:rsidR="002C7ABC" w:rsidRDefault="00A821D5">
      <w:pPr>
        <w:pStyle w:val="Heading4"/>
        <w:rPr>
          <w:rFonts w:ascii="Times New Roman" w:hAnsi="Times New Roman"/>
          <w:b/>
          <w:bCs/>
          <w:color w:val="000000"/>
        </w:rPr>
      </w:pPr>
      <w:r>
        <w:rPr>
          <w:rFonts w:ascii="Times New Roman" w:hAnsi="Times New Roman"/>
          <w:b/>
          <w:bCs/>
          <w:color w:val="000000"/>
        </w:rPr>
        <w:t>Hypothesis Two</w:t>
      </w:r>
    </w:p>
    <w:p w14:paraId="3C7E4B30" w14:textId="77777777" w:rsidR="002C7ABC" w:rsidRDefault="00A821D5">
      <w:pPr>
        <w:pStyle w:val="NormalWeb"/>
        <w:spacing w:line="360" w:lineRule="auto"/>
        <w:jc w:val="both"/>
      </w:pPr>
      <w:r>
        <w:rPr>
          <w:rStyle w:val="Strong"/>
        </w:rPr>
        <w:t>H₀₂:</w:t>
      </w:r>
      <w:r>
        <w:t xml:space="preserve"> Employees do not become more skilful and efficient after manpower development.</w:t>
      </w:r>
      <w:r>
        <w:br/>
      </w:r>
      <w:r>
        <w:rPr>
          <w:rStyle w:val="Strong"/>
        </w:rPr>
        <w:t>H₁₂:</w:t>
      </w:r>
      <w:r>
        <w:t xml:space="preserve"> Employees become more skil</w:t>
      </w:r>
      <w:r>
        <w:t>ful and efficient after manpower development.</w:t>
      </w:r>
    </w:p>
    <w:p w14:paraId="54174D1F" w14:textId="77777777" w:rsidR="002C7ABC" w:rsidRDefault="00A821D5">
      <w:pPr>
        <w:pStyle w:val="NormalWeb"/>
        <w:spacing w:line="360" w:lineRule="auto"/>
        <w:jc w:val="both"/>
      </w:pPr>
      <w:r>
        <w:t>Using responses from the questionnaire, the Chi-square test was conducted.</w:t>
      </w:r>
    </w:p>
    <w:p w14:paraId="1CF6928E" w14:textId="7A395F4A" w:rsidR="002C7ABC" w:rsidRDefault="00A821D5">
      <w:pPr>
        <w:pStyle w:val="NormalWeb"/>
        <w:spacing w:line="360" w:lineRule="auto"/>
        <w:jc w:val="both"/>
        <w:rPr>
          <w:b/>
          <w:bCs/>
        </w:rPr>
      </w:pPr>
      <w:r>
        <w:rPr>
          <w:b/>
          <w:bCs/>
        </w:rPr>
        <w:t xml:space="preserve">Table </w:t>
      </w:r>
      <w:r w:rsidR="00A9400D">
        <w:rPr>
          <w:b/>
          <w:bCs/>
        </w:rPr>
        <w:t>3</w:t>
      </w:r>
      <w:r>
        <w:rPr>
          <w:b/>
          <w:bCs/>
        </w:rPr>
        <w:t>: Chi-Square Calculation for Hypothesis Two</w:t>
      </w:r>
    </w:p>
    <w:tbl>
      <w:tblPr>
        <w:tblStyle w:val="TableGrid"/>
        <w:tblW w:w="0" w:type="auto"/>
        <w:tblLook w:val="00A0" w:firstRow="1" w:lastRow="0" w:firstColumn="1" w:lastColumn="0" w:noHBand="0" w:noVBand="0"/>
      </w:tblPr>
      <w:tblGrid>
        <w:gridCol w:w="1256"/>
        <w:gridCol w:w="1610"/>
        <w:gridCol w:w="1543"/>
        <w:gridCol w:w="980"/>
        <w:gridCol w:w="1052"/>
        <w:gridCol w:w="1399"/>
      </w:tblGrid>
      <w:tr w:rsidR="002C7ABC" w14:paraId="00D57F66" w14:textId="77777777">
        <w:tc>
          <w:tcPr>
            <w:tcW w:w="0" w:type="auto"/>
            <w:hideMark/>
          </w:tcPr>
          <w:p w14:paraId="3A610177" w14:textId="77777777" w:rsidR="002C7ABC" w:rsidRDefault="00A821D5">
            <w:pPr>
              <w:jc w:val="center"/>
              <w:rPr>
                <w:b/>
                <w:bCs/>
              </w:rPr>
            </w:pPr>
            <w:r>
              <w:rPr>
                <w:b/>
                <w:bCs/>
              </w:rPr>
              <w:t>Response</w:t>
            </w:r>
          </w:p>
        </w:tc>
        <w:tc>
          <w:tcPr>
            <w:tcW w:w="0" w:type="auto"/>
            <w:hideMark/>
          </w:tcPr>
          <w:p w14:paraId="36820EB1" w14:textId="77777777" w:rsidR="002C7ABC" w:rsidRDefault="00A821D5">
            <w:pPr>
              <w:jc w:val="center"/>
              <w:rPr>
                <w:b/>
                <w:bCs/>
              </w:rPr>
            </w:pPr>
            <w:r>
              <w:rPr>
                <w:b/>
                <w:bCs/>
              </w:rPr>
              <w:t>Observed (O)</w:t>
            </w:r>
          </w:p>
        </w:tc>
        <w:tc>
          <w:tcPr>
            <w:tcW w:w="0" w:type="auto"/>
            <w:hideMark/>
          </w:tcPr>
          <w:p w14:paraId="367A7BAF" w14:textId="77777777" w:rsidR="002C7ABC" w:rsidRDefault="00A821D5">
            <w:pPr>
              <w:jc w:val="center"/>
              <w:rPr>
                <w:b/>
                <w:bCs/>
              </w:rPr>
            </w:pPr>
            <w:r>
              <w:rPr>
                <w:b/>
                <w:bCs/>
              </w:rPr>
              <w:t>Expected (E)</w:t>
            </w:r>
          </w:p>
        </w:tc>
        <w:tc>
          <w:tcPr>
            <w:tcW w:w="0" w:type="auto"/>
            <w:hideMark/>
          </w:tcPr>
          <w:p w14:paraId="13E7CB2F" w14:textId="77777777" w:rsidR="002C7ABC" w:rsidRDefault="00A821D5">
            <w:pPr>
              <w:jc w:val="center"/>
              <w:rPr>
                <w:b/>
                <w:bCs/>
              </w:rPr>
            </w:pPr>
            <w:r>
              <w:rPr>
                <w:b/>
                <w:bCs/>
              </w:rPr>
              <w:t>(O − E)</w:t>
            </w:r>
          </w:p>
        </w:tc>
        <w:tc>
          <w:tcPr>
            <w:tcW w:w="0" w:type="auto"/>
            <w:hideMark/>
          </w:tcPr>
          <w:p w14:paraId="3E6A7F0D" w14:textId="77777777" w:rsidR="002C7ABC" w:rsidRDefault="00A821D5">
            <w:pPr>
              <w:jc w:val="center"/>
              <w:rPr>
                <w:b/>
                <w:bCs/>
              </w:rPr>
            </w:pPr>
            <w:r>
              <w:rPr>
                <w:b/>
                <w:bCs/>
              </w:rPr>
              <w:t xml:space="preserve">(O − </w:t>
            </w:r>
            <w:proofErr w:type="gramStart"/>
            <w:r>
              <w:rPr>
                <w:b/>
                <w:bCs/>
              </w:rPr>
              <w:t>E)²</w:t>
            </w:r>
            <w:proofErr w:type="gramEnd"/>
          </w:p>
        </w:tc>
        <w:tc>
          <w:tcPr>
            <w:tcW w:w="0" w:type="auto"/>
            <w:hideMark/>
          </w:tcPr>
          <w:p w14:paraId="1698D950" w14:textId="77777777" w:rsidR="002C7ABC" w:rsidRDefault="00A821D5">
            <w:pPr>
              <w:jc w:val="center"/>
              <w:rPr>
                <w:b/>
                <w:bCs/>
              </w:rPr>
            </w:pPr>
            <w:r>
              <w:rPr>
                <w:b/>
                <w:bCs/>
              </w:rPr>
              <w:t xml:space="preserve">(O − </w:t>
            </w:r>
            <w:proofErr w:type="gramStart"/>
            <w:r>
              <w:rPr>
                <w:b/>
                <w:bCs/>
              </w:rPr>
              <w:t>E)²</w:t>
            </w:r>
            <w:proofErr w:type="gramEnd"/>
            <w:r>
              <w:rPr>
                <w:b/>
                <w:bCs/>
              </w:rPr>
              <w:t xml:space="preserve"> / E</w:t>
            </w:r>
          </w:p>
        </w:tc>
      </w:tr>
      <w:tr w:rsidR="002C7ABC" w14:paraId="1D16E71C" w14:textId="77777777">
        <w:tc>
          <w:tcPr>
            <w:tcW w:w="0" w:type="auto"/>
            <w:hideMark/>
          </w:tcPr>
          <w:p w14:paraId="19851B69" w14:textId="77777777" w:rsidR="002C7ABC" w:rsidRDefault="00A821D5">
            <w:pPr>
              <w:jc w:val="left"/>
            </w:pPr>
            <w:r>
              <w:t>Agree</w:t>
            </w:r>
          </w:p>
        </w:tc>
        <w:tc>
          <w:tcPr>
            <w:tcW w:w="0" w:type="auto"/>
            <w:hideMark/>
          </w:tcPr>
          <w:p w14:paraId="22795D32" w14:textId="77777777" w:rsidR="002C7ABC" w:rsidRDefault="00A821D5">
            <w:r>
              <w:t>63</w:t>
            </w:r>
          </w:p>
        </w:tc>
        <w:tc>
          <w:tcPr>
            <w:tcW w:w="0" w:type="auto"/>
            <w:hideMark/>
          </w:tcPr>
          <w:p w14:paraId="24F9022C" w14:textId="77777777" w:rsidR="002C7ABC" w:rsidRDefault="00A821D5">
            <w:r>
              <w:t>53.3</w:t>
            </w:r>
          </w:p>
        </w:tc>
        <w:tc>
          <w:tcPr>
            <w:tcW w:w="0" w:type="auto"/>
            <w:hideMark/>
          </w:tcPr>
          <w:p w14:paraId="7FD51A40" w14:textId="77777777" w:rsidR="002C7ABC" w:rsidRDefault="00A821D5">
            <w:r>
              <w:t>9.7</w:t>
            </w:r>
          </w:p>
        </w:tc>
        <w:tc>
          <w:tcPr>
            <w:tcW w:w="0" w:type="auto"/>
            <w:hideMark/>
          </w:tcPr>
          <w:p w14:paraId="2D5CFDA7" w14:textId="77777777" w:rsidR="002C7ABC" w:rsidRDefault="00A821D5">
            <w:r>
              <w:t>94.1</w:t>
            </w:r>
          </w:p>
        </w:tc>
        <w:tc>
          <w:tcPr>
            <w:tcW w:w="0" w:type="auto"/>
            <w:hideMark/>
          </w:tcPr>
          <w:p w14:paraId="637BBD38" w14:textId="77777777" w:rsidR="002C7ABC" w:rsidRDefault="00A821D5">
            <w:r>
              <w:t>1.77</w:t>
            </w:r>
          </w:p>
        </w:tc>
      </w:tr>
      <w:tr w:rsidR="002C7ABC" w14:paraId="219BD836" w14:textId="77777777">
        <w:tc>
          <w:tcPr>
            <w:tcW w:w="0" w:type="auto"/>
            <w:hideMark/>
          </w:tcPr>
          <w:p w14:paraId="12ACE7E1" w14:textId="77777777" w:rsidR="002C7ABC" w:rsidRDefault="00A821D5">
            <w:r>
              <w:t>Undecided</w:t>
            </w:r>
          </w:p>
        </w:tc>
        <w:tc>
          <w:tcPr>
            <w:tcW w:w="0" w:type="auto"/>
            <w:hideMark/>
          </w:tcPr>
          <w:p w14:paraId="0E4859E4" w14:textId="77777777" w:rsidR="002C7ABC" w:rsidRDefault="00A821D5">
            <w:r>
              <w:t>6</w:t>
            </w:r>
          </w:p>
        </w:tc>
        <w:tc>
          <w:tcPr>
            <w:tcW w:w="0" w:type="auto"/>
            <w:hideMark/>
          </w:tcPr>
          <w:p w14:paraId="08AD2752" w14:textId="77777777" w:rsidR="002C7ABC" w:rsidRDefault="00A821D5">
            <w:r>
              <w:t>13.3</w:t>
            </w:r>
          </w:p>
        </w:tc>
        <w:tc>
          <w:tcPr>
            <w:tcW w:w="0" w:type="auto"/>
            <w:hideMark/>
          </w:tcPr>
          <w:p w14:paraId="75CA1DB2" w14:textId="77777777" w:rsidR="002C7ABC" w:rsidRDefault="00A821D5">
            <w:r>
              <w:t>-7.3</w:t>
            </w:r>
          </w:p>
        </w:tc>
        <w:tc>
          <w:tcPr>
            <w:tcW w:w="0" w:type="auto"/>
            <w:hideMark/>
          </w:tcPr>
          <w:p w14:paraId="65E23C9C" w14:textId="77777777" w:rsidR="002C7ABC" w:rsidRDefault="00A821D5">
            <w:r>
              <w:t>53.3</w:t>
            </w:r>
          </w:p>
        </w:tc>
        <w:tc>
          <w:tcPr>
            <w:tcW w:w="0" w:type="auto"/>
            <w:hideMark/>
          </w:tcPr>
          <w:p w14:paraId="333C0BC2" w14:textId="77777777" w:rsidR="002C7ABC" w:rsidRDefault="00A821D5">
            <w:r>
              <w:t>4.01</w:t>
            </w:r>
          </w:p>
        </w:tc>
      </w:tr>
      <w:tr w:rsidR="002C7ABC" w14:paraId="237CE966" w14:textId="77777777">
        <w:tc>
          <w:tcPr>
            <w:tcW w:w="0" w:type="auto"/>
            <w:hideMark/>
          </w:tcPr>
          <w:p w14:paraId="72C25513" w14:textId="77777777" w:rsidR="002C7ABC" w:rsidRDefault="00A821D5">
            <w:r>
              <w:t>Disagree</w:t>
            </w:r>
          </w:p>
        </w:tc>
        <w:tc>
          <w:tcPr>
            <w:tcW w:w="0" w:type="auto"/>
            <w:hideMark/>
          </w:tcPr>
          <w:p w14:paraId="2446A25B" w14:textId="77777777" w:rsidR="002C7ABC" w:rsidRDefault="00A821D5">
            <w:r>
              <w:t>11</w:t>
            </w:r>
          </w:p>
        </w:tc>
        <w:tc>
          <w:tcPr>
            <w:tcW w:w="0" w:type="auto"/>
            <w:hideMark/>
          </w:tcPr>
          <w:p w14:paraId="44CF38A0" w14:textId="77777777" w:rsidR="002C7ABC" w:rsidRDefault="00A821D5">
            <w:r>
              <w:t>13.3</w:t>
            </w:r>
          </w:p>
        </w:tc>
        <w:tc>
          <w:tcPr>
            <w:tcW w:w="0" w:type="auto"/>
            <w:hideMark/>
          </w:tcPr>
          <w:p w14:paraId="5CBC3B79" w14:textId="77777777" w:rsidR="002C7ABC" w:rsidRDefault="00A821D5">
            <w:r>
              <w:t>-2.3</w:t>
            </w:r>
          </w:p>
        </w:tc>
        <w:tc>
          <w:tcPr>
            <w:tcW w:w="0" w:type="auto"/>
            <w:hideMark/>
          </w:tcPr>
          <w:p w14:paraId="3C4279A2" w14:textId="77777777" w:rsidR="002C7ABC" w:rsidRDefault="00A821D5">
            <w:r>
              <w:t>5.3</w:t>
            </w:r>
          </w:p>
        </w:tc>
        <w:tc>
          <w:tcPr>
            <w:tcW w:w="0" w:type="auto"/>
            <w:hideMark/>
          </w:tcPr>
          <w:p w14:paraId="5D410C2C" w14:textId="77777777" w:rsidR="002C7ABC" w:rsidRDefault="00A821D5">
            <w:r>
              <w:t>0.40</w:t>
            </w:r>
          </w:p>
        </w:tc>
      </w:tr>
      <w:tr w:rsidR="002C7ABC" w14:paraId="61B9C06A" w14:textId="77777777">
        <w:tc>
          <w:tcPr>
            <w:tcW w:w="0" w:type="auto"/>
            <w:hideMark/>
          </w:tcPr>
          <w:p w14:paraId="0A12B9BC" w14:textId="77777777" w:rsidR="002C7ABC" w:rsidRDefault="00A821D5">
            <w:r>
              <w:rPr>
                <w:rStyle w:val="Strong"/>
              </w:rPr>
              <w:t>Total</w:t>
            </w:r>
          </w:p>
        </w:tc>
        <w:tc>
          <w:tcPr>
            <w:tcW w:w="0" w:type="auto"/>
            <w:hideMark/>
          </w:tcPr>
          <w:p w14:paraId="0B6C264F" w14:textId="77777777" w:rsidR="002C7ABC" w:rsidRDefault="00A821D5">
            <w:r>
              <w:rPr>
                <w:rStyle w:val="Strong"/>
              </w:rPr>
              <w:t>80</w:t>
            </w:r>
          </w:p>
        </w:tc>
        <w:tc>
          <w:tcPr>
            <w:tcW w:w="0" w:type="auto"/>
            <w:hideMark/>
          </w:tcPr>
          <w:p w14:paraId="4F066357" w14:textId="77777777" w:rsidR="002C7ABC" w:rsidRDefault="002C7ABC"/>
        </w:tc>
        <w:tc>
          <w:tcPr>
            <w:tcW w:w="0" w:type="auto"/>
            <w:hideMark/>
          </w:tcPr>
          <w:p w14:paraId="431DD4C0" w14:textId="77777777" w:rsidR="002C7ABC" w:rsidRDefault="002C7ABC">
            <w:pPr>
              <w:rPr>
                <w:sz w:val="20"/>
                <w:szCs w:val="20"/>
              </w:rPr>
            </w:pPr>
          </w:p>
        </w:tc>
        <w:tc>
          <w:tcPr>
            <w:tcW w:w="0" w:type="auto"/>
            <w:hideMark/>
          </w:tcPr>
          <w:p w14:paraId="6A77A2EA" w14:textId="77777777" w:rsidR="002C7ABC" w:rsidRDefault="002C7ABC">
            <w:pPr>
              <w:rPr>
                <w:sz w:val="20"/>
                <w:szCs w:val="20"/>
              </w:rPr>
            </w:pPr>
          </w:p>
        </w:tc>
        <w:tc>
          <w:tcPr>
            <w:tcW w:w="0" w:type="auto"/>
            <w:hideMark/>
          </w:tcPr>
          <w:p w14:paraId="0AB1CAB2" w14:textId="77777777" w:rsidR="002C7ABC" w:rsidRDefault="00A821D5">
            <w:pPr>
              <w:rPr>
                <w:szCs w:val="24"/>
              </w:rPr>
            </w:pPr>
            <w:r>
              <w:rPr>
                <w:rStyle w:val="Strong"/>
              </w:rPr>
              <w:t>6.18</w:t>
            </w:r>
          </w:p>
        </w:tc>
      </w:tr>
    </w:tbl>
    <w:p w14:paraId="2E1793BA" w14:textId="77777777" w:rsidR="002C7ABC" w:rsidRDefault="00A821D5">
      <m:oMathPara>
        <m:oMathParaPr>
          <m:jc m:val="left"/>
        </m:oMathParaPr>
        <m:oMath>
          <m:r>
            <w:rPr>
              <w:rFonts w:ascii="Cambria Math" w:hAnsi="Cambria Math"/>
            </w:rPr>
            <m:t>Calculated</m:t>
          </m:r>
          <m:r>
            <w:rPr>
              <w:rFonts w:ascii="Cambria Math" w:hAnsi="Cambria Math"/>
            </w:rPr>
            <m:t xml:space="preserve"> </m:t>
          </m:r>
          <m:r>
            <w:rPr>
              <w:rFonts w:ascii="Cambria Math" w:hAnsi="Cambria Math"/>
            </w:rPr>
            <m:t>χ</m:t>
          </m:r>
          <m:r>
            <w:rPr>
              <w:rFonts w:ascii="Cambria Math" w:hAnsi="Cambria Math"/>
            </w:rPr>
            <m:t>² = 6.18</m:t>
          </m:r>
          <m:r>
            <m:rPr>
              <m:sty m:val="p"/>
            </m:rPr>
            <w:rPr>
              <w:rFonts w:ascii="Cambria Math" w:hAnsi="Cambria Math"/>
            </w:rPr>
            <w:br/>
          </m:r>
        </m:oMath>
        <m:oMath>
          <m:r>
            <w:rPr>
              <w:rFonts w:ascii="Cambria Math" w:hAnsi="Cambria Math"/>
            </w:rPr>
            <m:t>df</m:t>
          </m:r>
          <m:r>
            <w:rPr>
              <w:rFonts w:ascii="Cambria Math" w:hAnsi="Cambria Math"/>
            </w:rPr>
            <m:t xml:space="preserve"> = 2</m:t>
          </m:r>
          <m:r>
            <m:rPr>
              <m:sty m:val="p"/>
            </m:rPr>
            <w:rPr>
              <w:rFonts w:ascii="Cambria Math" w:hAnsi="Cambria Math"/>
            </w:rPr>
            <w:br/>
          </m:r>
        </m:oMath>
        <m:oMath>
          <m:r>
            <w:rPr>
              <w:rFonts w:ascii="Cambria Math" w:hAnsi="Cambria Math"/>
            </w:rPr>
            <m:t>Critical</m:t>
          </m:r>
          <m:r>
            <w:rPr>
              <w:rFonts w:ascii="Cambria Math" w:hAnsi="Cambria Math"/>
            </w:rPr>
            <m:t xml:space="preserve"> </m:t>
          </m:r>
          <m:r>
            <w:rPr>
              <w:rFonts w:ascii="Cambria Math" w:hAnsi="Cambria Math"/>
            </w:rPr>
            <m:t>χ</m:t>
          </m:r>
          <m:r>
            <w:rPr>
              <w:rFonts w:ascii="Cambria Math" w:hAnsi="Cambria Math"/>
            </w:rPr>
            <m:t xml:space="preserve">² (0.05, </m:t>
          </m:r>
          <m:r>
            <w:rPr>
              <w:rFonts w:ascii="Cambria Math" w:hAnsi="Cambria Math"/>
            </w:rPr>
            <m:t>df</m:t>
          </m:r>
          <m:r>
            <w:rPr>
              <w:rFonts w:ascii="Cambria Math" w:hAnsi="Cambria Math"/>
            </w:rPr>
            <m:t>=2) = 5.99</m:t>
          </m:r>
        </m:oMath>
      </m:oMathPara>
    </w:p>
    <w:p w14:paraId="598B0BA7" w14:textId="77777777" w:rsidR="002C7ABC" w:rsidRDefault="00A821D5">
      <m:oMathPara>
        <m:oMathParaPr>
          <m:jc m:val="left"/>
        </m:oMathParaPr>
        <m:oMath>
          <m:r>
            <m:rPr>
              <m:sty m:val="bi"/>
            </m:rPr>
            <w:rPr>
              <w:rFonts w:ascii="Cambria Math" w:hAnsi="Cambria Math"/>
            </w:rPr>
            <w:lastRenderedPageBreak/>
            <m:t>Decision</m:t>
          </m:r>
          <m:r>
            <m:rPr>
              <m:sty m:val="bi"/>
            </m:rPr>
            <w:rPr>
              <w:rFonts w:ascii="Cambria Math" w:hAnsi="Cambria Math"/>
            </w:rPr>
            <m:t>:</m:t>
          </m:r>
          <m:r>
            <w:rPr>
              <w:rFonts w:ascii="Cambria Math" w:hAnsi="Cambria Math"/>
            </w:rPr>
            <m:t xml:space="preserve"> </m:t>
          </m:r>
          <m:r>
            <w:rPr>
              <w:rFonts w:ascii="Cambria Math" w:hAnsi="Cambria Math"/>
            </w:rPr>
            <m:t>Since</m:t>
          </m:r>
          <m:r>
            <w:rPr>
              <w:rFonts w:ascii="Cambria Math" w:hAnsi="Cambria Math"/>
            </w:rPr>
            <m:t xml:space="preserve"> </m:t>
          </m:r>
          <m:r>
            <w:rPr>
              <w:rFonts w:ascii="Cambria Math" w:hAnsi="Cambria Math"/>
            </w:rPr>
            <m:t>calculated</m:t>
          </m:r>
          <m:r>
            <w:rPr>
              <w:rFonts w:ascii="Cambria Math" w:hAnsi="Cambria Math"/>
            </w:rPr>
            <m:t xml:space="preserve"> </m:t>
          </m:r>
          <m:r>
            <w:rPr>
              <w:rFonts w:ascii="Cambria Math" w:hAnsi="Cambria Math"/>
            </w:rPr>
            <m:t>χ</m:t>
          </m:r>
          <m:r>
            <w:rPr>
              <w:rFonts w:ascii="Cambria Math" w:hAnsi="Cambria Math"/>
            </w:rPr>
            <m:t xml:space="preserve">² (6.18) &gt; </m:t>
          </m:r>
          <m:r>
            <w:rPr>
              <w:rFonts w:ascii="Cambria Math" w:hAnsi="Cambria Math"/>
            </w:rPr>
            <m:t>critical</m:t>
          </m:r>
          <m:r>
            <w:rPr>
              <w:rFonts w:ascii="Cambria Math" w:hAnsi="Cambria Math"/>
            </w:rPr>
            <m:t xml:space="preserve"> </m:t>
          </m:r>
          <m:r>
            <w:rPr>
              <w:rFonts w:ascii="Cambria Math" w:hAnsi="Cambria Math"/>
            </w:rPr>
            <m:t>χ</m:t>
          </m:r>
          <m:r>
            <w:rPr>
              <w:rFonts w:ascii="Cambria Math" w:hAnsi="Cambria Math"/>
            </w:rPr>
            <m:t xml:space="preserve">² (5.99), </m:t>
          </m:r>
          <m:r>
            <w:rPr>
              <w:rFonts w:ascii="Cambria Math" w:hAnsi="Cambria Math"/>
            </w:rPr>
            <m:t>t</m:t>
          </m:r>
          <m:r>
            <w:rPr>
              <w:rFonts w:ascii="Cambria Math" w:hAnsi="Cambria Math"/>
            </w:rPr>
            <m:t>h</m:t>
          </m:r>
          <m:r>
            <w:rPr>
              <w:rFonts w:ascii="Cambria Math" w:hAnsi="Cambria Math"/>
            </w:rPr>
            <m:t>e</m:t>
          </m:r>
          <m:r>
            <w:rPr>
              <w:rFonts w:ascii="Cambria Math" w:hAnsi="Cambria Math"/>
            </w:rPr>
            <m:t xml:space="preserve"> </m:t>
          </m:r>
          <m:r>
            <w:rPr>
              <w:rFonts w:ascii="Cambria Math" w:hAnsi="Cambria Math"/>
            </w:rPr>
            <m:t>null</m:t>
          </m:r>
          <m:r>
            <w:rPr>
              <w:rFonts w:ascii="Cambria Math" w:hAnsi="Cambria Math"/>
            </w:rPr>
            <m:t xml:space="preserve"> h</m:t>
          </m:r>
          <m:r>
            <w:rPr>
              <w:rFonts w:ascii="Cambria Math" w:hAnsi="Cambria Math"/>
            </w:rPr>
            <m:t>ypot</m:t>
          </m:r>
          <m:r>
            <w:rPr>
              <w:rFonts w:ascii="Cambria Math" w:hAnsi="Cambria Math"/>
            </w:rPr>
            <m:t>h</m:t>
          </m:r>
          <m:r>
            <w:rPr>
              <w:rFonts w:ascii="Cambria Math" w:hAnsi="Cambria Math"/>
            </w:rPr>
            <m:t>esis</m:t>
          </m:r>
          <m:r>
            <w:rPr>
              <w:rFonts w:ascii="Cambria Math" w:hAnsi="Cambria Math"/>
            </w:rPr>
            <m:t xml:space="preserve"> </m:t>
          </m:r>
          <m:r>
            <w:rPr>
              <w:rFonts w:ascii="Cambria Math" w:hAnsi="Cambria Math"/>
            </w:rPr>
            <m:t>is</m:t>
          </m:r>
          <m:r>
            <w:rPr>
              <w:rFonts w:ascii="Cambria Math" w:hAnsi="Cambria Math"/>
            </w:rPr>
            <m:t xml:space="preserve"> </m:t>
          </m:r>
          <m:r>
            <m:rPr>
              <m:sty m:val="bi"/>
            </m:rPr>
            <w:rPr>
              <w:rFonts w:ascii="Cambria Math" w:hAnsi="Cambria Math"/>
            </w:rPr>
            <m:t>r</m:t>
          </m:r>
          <m:r>
            <w:rPr>
              <w:rFonts w:ascii="Cambria Math" w:hAnsi="Cambria Math"/>
            </w:rPr>
            <m:t>ejected</m:t>
          </m:r>
          <m:r>
            <w:rPr>
              <w:rFonts w:ascii="Cambria Math" w:hAnsi="Cambria Math"/>
            </w:rPr>
            <m:t>.</m:t>
          </m:r>
        </m:oMath>
      </m:oMathPara>
    </w:p>
    <w:p w14:paraId="464AF1A4" w14:textId="77777777" w:rsidR="002C7ABC" w:rsidRDefault="00A821D5">
      <w:r>
        <w:rPr>
          <w:rStyle w:val="Strong"/>
        </w:rPr>
        <w:t>Interpretation:</w:t>
      </w:r>
      <w:r>
        <w:br/>
        <w:t>There is a significant relationship between manpower development and skill enhancement among employees. Trai</w:t>
      </w:r>
      <w:r>
        <w:t>ning and professional development enable employees to acquire new competencies that improve job efficiency and adaptability.</w:t>
      </w:r>
    </w:p>
    <w:p w14:paraId="4424F09A" w14:textId="77777777" w:rsidR="002C7ABC" w:rsidRDefault="00A821D5">
      <w:r>
        <w:t xml:space="preserve">This outcome supports the human capital theory Bocciardi </w:t>
      </w:r>
      <w:r>
        <w:rPr>
          <w:i/>
          <w:iCs/>
        </w:rPr>
        <w:t>et al</w:t>
      </w:r>
      <w:r>
        <w:t xml:space="preserve">. (2017) and resonates with empirical findings by </w:t>
      </w:r>
      <w:proofErr w:type="spellStart"/>
      <w:r>
        <w:t>Igudia</w:t>
      </w:r>
      <w:proofErr w:type="spellEnd"/>
      <w:r>
        <w:t xml:space="preserve"> (2022), who </w:t>
      </w:r>
      <w:r>
        <w:t>reported that training contributes significantly to employees’ problem-solving abilities and task efficiency.</w:t>
      </w:r>
    </w:p>
    <w:p w14:paraId="582F1D7C" w14:textId="77777777" w:rsidR="002C7ABC" w:rsidRDefault="00A821D5">
      <w:pPr>
        <w:pStyle w:val="Heading3"/>
        <w:rPr>
          <w:sz w:val="24"/>
          <w:szCs w:val="24"/>
        </w:rPr>
      </w:pPr>
      <w:r>
        <w:rPr>
          <w:sz w:val="24"/>
          <w:szCs w:val="24"/>
        </w:rPr>
        <w:t>Discussion of Major Findings</w:t>
      </w:r>
    </w:p>
    <w:p w14:paraId="228AFA36" w14:textId="77777777" w:rsidR="002C7ABC" w:rsidRDefault="00A821D5">
      <w:pPr>
        <w:pStyle w:val="Heading4"/>
        <w:rPr>
          <w:rFonts w:ascii="Times New Roman" w:hAnsi="Times New Roman"/>
          <w:b/>
          <w:bCs/>
          <w:color w:val="000000"/>
        </w:rPr>
      </w:pPr>
      <w:r>
        <w:rPr>
          <w:rFonts w:ascii="Times New Roman" w:hAnsi="Times New Roman"/>
          <w:b/>
          <w:bCs/>
          <w:color w:val="000000"/>
        </w:rPr>
        <w:t>Manpower Development and Productivity</w:t>
      </w:r>
    </w:p>
    <w:p w14:paraId="48ADAD21" w14:textId="77777777" w:rsidR="002C7ABC" w:rsidRDefault="00A821D5">
      <w:r>
        <w:t>The findings clearly reveal that development of man power can positively affect</w:t>
      </w:r>
      <w:r>
        <w:t xml:space="preserve"> employee productivity. Staff who underwent training also reported increased job performance and quality of work and higher commitment within organisational goals. This is in line with the claim that effective training systems impart workers with the knowl</w:t>
      </w:r>
      <w:r>
        <w:t>edge they require and enhance individual and organisational performance (Armstrong and Taylor, 2023).</w:t>
      </w:r>
    </w:p>
    <w:p w14:paraId="49D797B7" w14:textId="77777777" w:rsidR="002C7ABC" w:rsidRDefault="00A821D5">
      <w:r>
        <w:t>Constant investment in the development of manpower in Guinness Nigeria Plc seems to have made more efficiency in production and the rate of error in the m</w:t>
      </w:r>
      <w:r>
        <w:t>anufacturing operations less. It is consistent with the references of the International Labour Organisation (ILO, 2024), which emphasises that the process of skills development and improvement and increasing human resource capacities are essential to maint</w:t>
      </w:r>
      <w:r>
        <w:t>aining productivity at the industrial level.</w:t>
      </w:r>
    </w:p>
    <w:p w14:paraId="6EE42151" w14:textId="77777777" w:rsidR="002C7ABC" w:rsidRDefault="00A821D5">
      <w:pPr>
        <w:pStyle w:val="Heading4"/>
        <w:rPr>
          <w:rFonts w:ascii="Times New Roman" w:hAnsi="Times New Roman"/>
          <w:b/>
          <w:bCs/>
          <w:color w:val="000000"/>
        </w:rPr>
      </w:pPr>
      <w:r>
        <w:rPr>
          <w:rFonts w:ascii="Times New Roman" w:hAnsi="Times New Roman"/>
          <w:b/>
          <w:bCs/>
          <w:color w:val="000000"/>
        </w:rPr>
        <w:t>Skill Acquisition and Career Development.</w:t>
      </w:r>
    </w:p>
    <w:p w14:paraId="40DF1876" w14:textId="77777777" w:rsidR="002C7ABC" w:rsidRDefault="00A821D5">
      <w:r>
        <w:t xml:space="preserve">According to the research, 79-percent of the participants thought that manpower development will increase their skill level and better prepare them to their positions. </w:t>
      </w:r>
      <w:r>
        <w:t>Workshops and training programmes, as well as mentoring schemes (specifically to enhance development of technical and interpersonal competencies), were identified as a source of building on necessity skills and labour development. It was also recognised by</w:t>
      </w:r>
      <w:r>
        <w:t xml:space="preserve"> employees that training helped them to grow their career or increase their chances of promotion.</w:t>
      </w:r>
    </w:p>
    <w:p w14:paraId="49BA4068" w14:textId="77777777" w:rsidR="002C7ABC" w:rsidRDefault="00A821D5">
      <w:r>
        <w:lastRenderedPageBreak/>
        <w:t>This observation aligns with the study conducted by Hosen et al. (2023), who indicated that frequent training opportunities provide employees with the opportu</w:t>
      </w:r>
      <w:r>
        <w:t>nity to personalise and experience overall job satisfaction. In addition to this, empirical research has indicated that employees having positive perceptions of the ability to grow at work are not as likely to quit their organisations (</w:t>
      </w:r>
      <w:proofErr w:type="spellStart"/>
      <w:r>
        <w:t>Jehanzeb</w:t>
      </w:r>
      <w:proofErr w:type="spellEnd"/>
      <w:r>
        <w:t xml:space="preserve"> &amp; Bashir, 2</w:t>
      </w:r>
      <w:r>
        <w:t>013). Manpower development can therefore be used as a retention and stability tool as well.</w:t>
      </w:r>
    </w:p>
    <w:p w14:paraId="0945B1F2" w14:textId="77777777" w:rsidR="002C7ABC" w:rsidRDefault="00A821D5">
      <w:pPr>
        <w:pStyle w:val="Heading4"/>
        <w:rPr>
          <w:rFonts w:ascii="Times New Roman" w:hAnsi="Times New Roman"/>
          <w:b/>
          <w:bCs/>
          <w:color w:val="000000"/>
        </w:rPr>
      </w:pPr>
      <w:r>
        <w:rPr>
          <w:rFonts w:ascii="Times New Roman" w:hAnsi="Times New Roman"/>
          <w:b/>
          <w:bCs/>
          <w:color w:val="000000"/>
        </w:rPr>
        <w:t>Employee Commitment and Organisational Loyalty</w:t>
      </w:r>
    </w:p>
    <w:p w14:paraId="51C8546C" w14:textId="77777777" w:rsidR="002C7ABC" w:rsidRDefault="00A821D5">
      <w:r>
        <w:t>The study revealed that 69% of respondents felt more committed to their jobs after participating in training. This is</w:t>
      </w:r>
      <w:r>
        <w:t xml:space="preserve"> in line with the argument of Fletcher </w:t>
      </w:r>
      <w:r>
        <w:rPr>
          <w:i/>
          <w:iCs/>
        </w:rPr>
        <w:t>et al</w:t>
      </w:r>
      <w:r>
        <w:t>. (2018) that training generates a sense of belonging and motivation, leading to improved work attitudes and reduced turnover intentions.</w:t>
      </w:r>
    </w:p>
    <w:p w14:paraId="0D5BA654" w14:textId="77777777" w:rsidR="002C7ABC" w:rsidRDefault="00A821D5">
      <w:r>
        <w:t>When employees see that management invests in their development, they reci</w:t>
      </w:r>
      <w:r>
        <w:t xml:space="preserve">procate through loyalty and enhanced productivity (Noe </w:t>
      </w:r>
      <w:r>
        <w:rPr>
          <w:i/>
          <w:iCs/>
        </w:rPr>
        <w:t>et al</w:t>
      </w:r>
      <w:r>
        <w:t>., 2017). In the case of Guinness Nigeria Plc, manpower development programmes appear to strengthen internal cohesion and drive continuous performance improvement.</w:t>
      </w:r>
    </w:p>
    <w:p w14:paraId="100897FF" w14:textId="77777777" w:rsidR="002C7ABC" w:rsidRDefault="00A821D5">
      <w:pPr>
        <w:pStyle w:val="Heading4"/>
        <w:rPr>
          <w:rFonts w:ascii="Times New Roman" w:hAnsi="Times New Roman"/>
          <w:b/>
          <w:bCs/>
          <w:color w:val="000000"/>
        </w:rPr>
      </w:pPr>
      <w:r>
        <w:rPr>
          <w:rFonts w:ascii="Times New Roman" w:hAnsi="Times New Roman"/>
          <w:b/>
          <w:bCs/>
          <w:color w:val="000000"/>
        </w:rPr>
        <w:t xml:space="preserve">Challenges in Manpower </w:t>
      </w:r>
      <w:r>
        <w:rPr>
          <w:rFonts w:ascii="Times New Roman" w:hAnsi="Times New Roman"/>
          <w:b/>
          <w:bCs/>
          <w:color w:val="000000"/>
        </w:rPr>
        <w:t>Development Implementation</w:t>
      </w:r>
    </w:p>
    <w:p w14:paraId="34BBBCF2" w14:textId="77777777" w:rsidR="002C7ABC" w:rsidRDefault="00A821D5">
      <w:r>
        <w:t>Despite the positive outcomes, the study identified several obstacles. Respondents noted that funding limitations, inadequate training needs assessment, and poor follow-up evaluation sometimes hinder programme effectiveness. Some</w:t>
      </w:r>
      <w:r>
        <w:t xml:space="preserve"> employees also perceived training as routine or compulsory rather than developmental.</w:t>
      </w:r>
    </w:p>
    <w:p w14:paraId="214C694E" w14:textId="77777777" w:rsidR="002C7ABC" w:rsidRDefault="00A821D5">
      <w:r>
        <w:t xml:space="preserve">These issues echo the findings of Okoye and </w:t>
      </w:r>
      <w:proofErr w:type="spellStart"/>
      <w:r>
        <w:t>Ezejiofor</w:t>
      </w:r>
      <w:proofErr w:type="spellEnd"/>
      <w:r>
        <w:t xml:space="preserve"> (2013), who observed that many Nigerian organisations lack systematic evaluation frameworks for training programmes</w:t>
      </w:r>
      <w:r>
        <w:t>. To overcome these barriers, organisations should link training needs directly to performance gaps and conduct post-training appraisals to assess impact.</w:t>
      </w:r>
    </w:p>
    <w:p w14:paraId="0B70A391" w14:textId="77777777" w:rsidR="002C7ABC" w:rsidRDefault="00A821D5">
      <w:pPr>
        <w:pStyle w:val="Heading4"/>
        <w:rPr>
          <w:rFonts w:ascii="Times New Roman" w:hAnsi="Times New Roman"/>
          <w:b/>
          <w:bCs/>
          <w:color w:val="000000"/>
        </w:rPr>
      </w:pPr>
      <w:r>
        <w:rPr>
          <w:rFonts w:ascii="Times New Roman" w:hAnsi="Times New Roman"/>
          <w:b/>
          <w:bCs/>
          <w:color w:val="000000"/>
        </w:rPr>
        <w:t>Comparative and Theoretical Implications</w:t>
      </w:r>
    </w:p>
    <w:p w14:paraId="7B3F9710" w14:textId="77777777" w:rsidR="002C7ABC" w:rsidRDefault="00A821D5">
      <w:r>
        <w:t>The results reinforce the Human Capital Theory (Becker, 1975</w:t>
      </w:r>
      <w:r>
        <w:t>), which posits that education and training improve employees’ productivity, leading to increased organisational output. This theory provides a foundation for understanding why manpower development yields long-term economic returns.</w:t>
      </w:r>
    </w:p>
    <w:p w14:paraId="51933327" w14:textId="77777777" w:rsidR="002C7ABC" w:rsidRDefault="00A821D5">
      <w:r>
        <w:lastRenderedPageBreak/>
        <w:t>The findings also align</w:t>
      </w:r>
      <w:r>
        <w:t xml:space="preserve"> with the Resource-Based View (RBV), which identifies human capital as a key strategic resource that contributes to competitive advantage (Barney, 1991). Guinness Nigeria Plc’s success demonstrates how strategic human resource development can enhance overa</w:t>
      </w:r>
      <w:r>
        <w:t>ll performance in a competitive manufacturing environment.</w:t>
      </w:r>
    </w:p>
    <w:p w14:paraId="171E4034" w14:textId="77777777" w:rsidR="002C7ABC" w:rsidRDefault="00A821D5">
      <w:pPr>
        <w:pStyle w:val="Heading2"/>
        <w:rPr>
          <w:sz w:val="28"/>
          <w:szCs w:val="28"/>
        </w:rPr>
      </w:pPr>
      <w:r>
        <w:rPr>
          <w:sz w:val="28"/>
          <w:szCs w:val="28"/>
        </w:rPr>
        <w:t>Conclusion</w:t>
      </w:r>
    </w:p>
    <w:p w14:paraId="7E91C6FB" w14:textId="77777777" w:rsidR="002C7ABC" w:rsidRDefault="00A821D5">
      <w:r>
        <w:t>This study examined the relationship between manpower development and employee productivity in the Nigerian manufacturing sector, using Guinness Nigeria Plc as a case study. The findings</w:t>
      </w:r>
      <w:r>
        <w:t xml:space="preserve"> confirm that manpower development significantly enhances employees’ skills, job commitment, and overall performance. Employees who participated in structured training reported being more effective, career-oriented, and motivated. The results also showed t</w:t>
      </w:r>
      <w:r>
        <w:t>hat organisations benefit directly from improved productivity and competitiveness when manpower development is prioritised.</w:t>
      </w:r>
    </w:p>
    <w:p w14:paraId="398B7EF3" w14:textId="77777777" w:rsidR="002C7ABC" w:rsidRDefault="00A821D5">
      <w:r>
        <w:t>Despite these positive outcomes, the study noted persistent challenges, including inadequate funding, poor identification of trainin</w:t>
      </w:r>
      <w:r>
        <w:t>g needs, and misconceptions of training as leisure. Addressing these challenges requires stronger institutional policies, professional trainers, and systematic evaluation of training outcomes. Overall, the research underscores that manpower development sho</w:t>
      </w:r>
      <w:r>
        <w:t>uld be regarded as a strategic investment in human capital rather than a discretionary cost.</w:t>
      </w:r>
    </w:p>
    <w:p w14:paraId="562E3ED0" w14:textId="77777777" w:rsidR="00CF660D" w:rsidRPr="00CF660D" w:rsidRDefault="00CF660D" w:rsidP="00CF660D">
      <w:pPr>
        <w:pStyle w:val="NormalWeb"/>
      </w:pPr>
      <w:bookmarkStart w:id="0" w:name="_GoBack"/>
      <w:bookmarkEnd w:id="0"/>
      <w:r w:rsidRPr="00CF660D">
        <w:rPr>
          <w:b/>
          <w:bCs/>
        </w:rPr>
        <w:t>COMPETING INTERESTS DISCLAIMER:</w:t>
      </w:r>
    </w:p>
    <w:p w14:paraId="472CA015" w14:textId="77777777" w:rsidR="00CF660D" w:rsidRPr="00CF660D" w:rsidRDefault="00CF660D" w:rsidP="00CF660D">
      <w:pPr>
        <w:pStyle w:val="NormalWeb"/>
      </w:pPr>
      <w:r w:rsidRPr="00CF660D">
        <w:t>Authors have declared that they have no known competing financial interests OR non-financial interests OR personal relationships that could have appeared to influence the work reported in this paper.</w:t>
      </w:r>
    </w:p>
    <w:p w14:paraId="75B3CE3B" w14:textId="77777777" w:rsidR="00CF660D" w:rsidRDefault="00CF660D">
      <w:pPr>
        <w:pStyle w:val="NormalWeb"/>
      </w:pPr>
    </w:p>
    <w:p w14:paraId="00DAD2B2" w14:textId="77777777" w:rsidR="002C7ABC" w:rsidRDefault="00A821D5">
      <w:pPr>
        <w:rPr>
          <w:b/>
          <w:bCs/>
          <w:sz w:val="28"/>
          <w:szCs w:val="28"/>
        </w:rPr>
      </w:pPr>
      <w:r>
        <w:rPr>
          <w:b/>
          <w:bCs/>
          <w:sz w:val="28"/>
          <w:szCs w:val="28"/>
        </w:rPr>
        <w:t>References</w:t>
      </w:r>
    </w:p>
    <w:p w14:paraId="65D1B54D" w14:textId="77777777" w:rsidR="002C7ABC" w:rsidRDefault="00A821D5">
      <w:pPr>
        <w:spacing w:before="240"/>
        <w:rPr>
          <w:rFonts w:cs="Times New Roman"/>
          <w:color w:val="222222"/>
          <w:szCs w:val="24"/>
          <w:shd w:val="clear" w:color="auto" w:fill="FFFFFF"/>
        </w:rPr>
      </w:pPr>
      <w:r>
        <w:rPr>
          <w:rFonts w:cs="Times New Roman"/>
          <w:color w:val="222222"/>
          <w:szCs w:val="24"/>
          <w:shd w:val="clear" w:color="auto" w:fill="FFFFFF"/>
        </w:rPr>
        <w:t>Armstrong, M., &amp; Taylor, S. (2023). </w:t>
      </w:r>
      <w:r>
        <w:rPr>
          <w:rFonts w:cs="Times New Roman"/>
          <w:i/>
          <w:iCs/>
          <w:color w:val="222222"/>
          <w:szCs w:val="24"/>
          <w:shd w:val="clear" w:color="auto" w:fill="FFFFFF"/>
        </w:rPr>
        <w:t xml:space="preserve">Armstrong's </w:t>
      </w:r>
      <w:r>
        <w:rPr>
          <w:rFonts w:cs="Times New Roman"/>
          <w:i/>
          <w:iCs/>
          <w:color w:val="222222"/>
          <w:szCs w:val="24"/>
          <w:shd w:val="clear" w:color="auto" w:fill="FFFFFF"/>
        </w:rPr>
        <w:t>handbook of human resource management practice: A guide to the theory and practice of people management</w:t>
      </w:r>
      <w:r>
        <w:rPr>
          <w:rFonts w:cs="Times New Roman"/>
          <w:color w:val="222222"/>
          <w:szCs w:val="24"/>
          <w:shd w:val="clear" w:color="auto" w:fill="FFFFFF"/>
        </w:rPr>
        <w:t>. Kogan Page Publishers.</w:t>
      </w:r>
    </w:p>
    <w:p w14:paraId="3925457B" w14:textId="77777777" w:rsidR="002C7ABC" w:rsidRDefault="00A821D5">
      <w:pPr>
        <w:spacing w:before="240"/>
        <w:rPr>
          <w:rFonts w:cs="Times New Roman"/>
          <w:szCs w:val="24"/>
        </w:rPr>
      </w:pPr>
      <w:r>
        <w:rPr>
          <w:rFonts w:cs="Times New Roman"/>
          <w:szCs w:val="24"/>
        </w:rPr>
        <w:lastRenderedPageBreak/>
        <w:t xml:space="preserve">Babatunde Akanji, Chima Mordi, Hakeem Adeniyi Ajonbadi; Confronting social dominance ideology: how professional women manage </w:t>
      </w:r>
      <w:r>
        <w:rPr>
          <w:rFonts w:cs="Times New Roman"/>
          <w:szCs w:val="24"/>
        </w:rPr>
        <w:t>career stereotypes in male-dominated occupations. </w:t>
      </w:r>
      <w:r>
        <w:rPr>
          <w:rFonts w:cs="Times New Roman"/>
          <w:i/>
          <w:iCs/>
          <w:szCs w:val="24"/>
        </w:rPr>
        <w:t>Employee Relations: The International Journal</w:t>
      </w:r>
      <w:r>
        <w:rPr>
          <w:rFonts w:cs="Times New Roman"/>
          <w:szCs w:val="24"/>
        </w:rPr>
        <w:t> 19 July 2024; 46 (4): 913–933. </w:t>
      </w:r>
      <w:hyperlink r:id="rId7" w:tgtFrame="_blank" w:history="1">
        <w:r w:rsidR="002C7ABC">
          <w:rPr>
            <w:rStyle w:val="Hyperlink"/>
            <w:rFonts w:cs="Times New Roman"/>
            <w:szCs w:val="24"/>
          </w:rPr>
          <w:t>https://doi.org/10.1108/ER-04-2022-0161</w:t>
        </w:r>
      </w:hyperlink>
    </w:p>
    <w:p w14:paraId="65E7644F" w14:textId="77777777" w:rsidR="002C7ABC" w:rsidRDefault="00A821D5">
      <w:pPr>
        <w:pStyle w:val="NormalWeb"/>
        <w:spacing w:before="240" w:beforeAutospacing="0" w:after="0" w:afterAutospacing="0" w:line="360" w:lineRule="auto"/>
        <w:jc w:val="both"/>
        <w:rPr>
          <w:color w:val="222222"/>
          <w:shd w:val="clear" w:color="auto" w:fill="FFFFFF"/>
        </w:rPr>
      </w:pPr>
      <w:r>
        <w:rPr>
          <w:color w:val="222222"/>
          <w:shd w:val="clear" w:color="auto" w:fill="FFFFFF"/>
        </w:rPr>
        <w:t>Barney, J. (1991). Fi</w:t>
      </w:r>
      <w:r>
        <w:rPr>
          <w:color w:val="222222"/>
          <w:shd w:val="clear" w:color="auto" w:fill="FFFFFF"/>
        </w:rPr>
        <w:t>rm resources and sustained competitive advantage. </w:t>
      </w:r>
      <w:r>
        <w:rPr>
          <w:i/>
          <w:iCs/>
          <w:color w:val="222222"/>
          <w:shd w:val="clear" w:color="auto" w:fill="FFFFFF"/>
        </w:rPr>
        <w:t>Journal of management</w:t>
      </w:r>
      <w:r>
        <w:rPr>
          <w:color w:val="222222"/>
          <w:shd w:val="clear" w:color="auto" w:fill="FFFFFF"/>
        </w:rPr>
        <w:t>, </w:t>
      </w:r>
      <w:r>
        <w:rPr>
          <w:i/>
          <w:iCs/>
          <w:color w:val="222222"/>
          <w:shd w:val="clear" w:color="auto" w:fill="FFFFFF"/>
        </w:rPr>
        <w:t>17</w:t>
      </w:r>
      <w:r>
        <w:rPr>
          <w:color w:val="222222"/>
          <w:shd w:val="clear" w:color="auto" w:fill="FFFFFF"/>
        </w:rPr>
        <w:t>(1), 99-120.</w:t>
      </w:r>
    </w:p>
    <w:p w14:paraId="790028BA" w14:textId="77777777" w:rsidR="002C7ABC" w:rsidRDefault="00A821D5">
      <w:pPr>
        <w:pStyle w:val="NormalWeb"/>
        <w:spacing w:before="240" w:beforeAutospacing="0" w:after="0" w:afterAutospacing="0" w:line="360" w:lineRule="auto"/>
        <w:jc w:val="both"/>
        <w:rPr>
          <w:color w:val="222222"/>
          <w:shd w:val="clear" w:color="auto" w:fill="FFFFFF"/>
        </w:rPr>
      </w:pPr>
      <w:r>
        <w:rPr>
          <w:color w:val="222222"/>
          <w:shd w:val="clear" w:color="auto" w:fill="FFFFFF"/>
        </w:rPr>
        <w:t>Becker, G. S. (1975). </w:t>
      </w:r>
      <w:r>
        <w:rPr>
          <w:i/>
          <w:iCs/>
          <w:color w:val="222222"/>
          <w:shd w:val="clear" w:color="auto" w:fill="FFFFFF"/>
        </w:rPr>
        <w:t>Human capital: A theoretical and empirical analysis</w:t>
      </w:r>
      <w:r>
        <w:rPr>
          <w:color w:val="222222"/>
          <w:shd w:val="clear" w:color="auto" w:fill="FFFFFF"/>
        </w:rPr>
        <w:t>. National Bureau of Economic Research.</w:t>
      </w:r>
    </w:p>
    <w:p w14:paraId="16275558" w14:textId="77777777" w:rsidR="002C7ABC" w:rsidRDefault="00A821D5">
      <w:pPr>
        <w:pStyle w:val="NormalWeb"/>
        <w:spacing w:before="240" w:beforeAutospacing="0" w:after="0" w:afterAutospacing="0" w:line="360" w:lineRule="auto"/>
        <w:jc w:val="both"/>
      </w:pPr>
      <w:r>
        <w:t xml:space="preserve">Bocciardi, F., Caputo, A., </w:t>
      </w:r>
      <w:proofErr w:type="spellStart"/>
      <w:r>
        <w:t>Fregonese</w:t>
      </w:r>
      <w:proofErr w:type="spellEnd"/>
      <w:r>
        <w:t xml:space="preserve">, C., </w:t>
      </w:r>
      <w:proofErr w:type="spellStart"/>
      <w:r>
        <w:t>Langher</w:t>
      </w:r>
      <w:proofErr w:type="spellEnd"/>
      <w:r>
        <w:t xml:space="preserve">, V., </w:t>
      </w:r>
      <w:r>
        <w:t xml:space="preserve">&amp; Sartori, R. (2017). Career adaptability as a strategic competence for career development. </w:t>
      </w:r>
      <w:r>
        <w:rPr>
          <w:i/>
          <w:iCs/>
        </w:rPr>
        <w:t>European Journal of Training and Development</w:t>
      </w:r>
      <w:r>
        <w:t xml:space="preserve">, </w:t>
      </w:r>
      <w:r>
        <w:rPr>
          <w:i/>
          <w:iCs/>
        </w:rPr>
        <w:t>41</w:t>
      </w:r>
      <w:r>
        <w:t>(1), 67–82. https://doi.org/10.1108/ejtd-07-2016-0049</w:t>
      </w:r>
    </w:p>
    <w:p w14:paraId="7E01C87D" w14:textId="77777777" w:rsidR="002C7ABC" w:rsidRDefault="00A821D5">
      <w:pPr>
        <w:spacing w:before="240"/>
        <w:rPr>
          <w:rFonts w:cs="Times New Roman"/>
          <w:color w:val="222222"/>
          <w:szCs w:val="24"/>
          <w:shd w:val="clear" w:color="auto" w:fill="FFFFFF"/>
        </w:rPr>
      </w:pPr>
      <w:r>
        <w:rPr>
          <w:rFonts w:cs="Times New Roman"/>
          <w:color w:val="222222"/>
          <w:szCs w:val="24"/>
          <w:shd w:val="clear" w:color="auto" w:fill="FFFFFF"/>
        </w:rPr>
        <w:t>Bryman, A., &amp; Bell, E. (2011). </w:t>
      </w:r>
      <w:r>
        <w:rPr>
          <w:rFonts w:cs="Times New Roman"/>
          <w:i/>
          <w:iCs/>
          <w:color w:val="222222"/>
          <w:szCs w:val="24"/>
          <w:shd w:val="clear" w:color="auto" w:fill="FFFFFF"/>
        </w:rPr>
        <w:t>Business research methods 3e</w:t>
      </w:r>
      <w:r>
        <w:rPr>
          <w:rFonts w:cs="Times New Roman"/>
          <w:color w:val="222222"/>
          <w:szCs w:val="24"/>
          <w:shd w:val="clear" w:color="auto" w:fill="FFFFFF"/>
        </w:rPr>
        <w:t>. O</w:t>
      </w:r>
      <w:r>
        <w:rPr>
          <w:rFonts w:cs="Times New Roman"/>
          <w:color w:val="222222"/>
          <w:szCs w:val="24"/>
          <w:shd w:val="clear" w:color="auto" w:fill="FFFFFF"/>
        </w:rPr>
        <w:t>xford university press, USA.</w:t>
      </w:r>
    </w:p>
    <w:p w14:paraId="2575541B" w14:textId="77777777" w:rsidR="002C7ABC" w:rsidRDefault="00A821D5">
      <w:pPr>
        <w:pStyle w:val="NormalWeb"/>
        <w:spacing w:before="240" w:beforeAutospacing="0" w:after="0" w:afterAutospacing="0" w:line="360" w:lineRule="auto"/>
        <w:jc w:val="both"/>
      </w:pPr>
      <w:r>
        <w:t xml:space="preserve">Bujang, M. A., Omar, E. D., Foo, D. H. P., &amp; Hon, Y. K. (2024). Sample size determination for conducting a pilot study to assess reliability of a questionnaire. </w:t>
      </w:r>
      <w:r>
        <w:rPr>
          <w:i/>
          <w:iCs/>
        </w:rPr>
        <w:t>Restorative Dentistry and Endodontics</w:t>
      </w:r>
      <w:r>
        <w:t xml:space="preserve">, </w:t>
      </w:r>
      <w:r>
        <w:rPr>
          <w:i/>
          <w:iCs/>
        </w:rPr>
        <w:t>49</w:t>
      </w:r>
      <w:r>
        <w:t>(1). https://doi.org/10.5</w:t>
      </w:r>
      <w:r>
        <w:t>395/rde.2024.49.e3</w:t>
      </w:r>
    </w:p>
    <w:p w14:paraId="21284A7B" w14:textId="77777777" w:rsidR="002C7ABC" w:rsidRDefault="00A821D5">
      <w:pPr>
        <w:spacing w:before="240"/>
        <w:rPr>
          <w:rFonts w:cs="Times New Roman"/>
          <w:color w:val="222222"/>
          <w:szCs w:val="24"/>
          <w:shd w:val="clear" w:color="auto" w:fill="FFFFFF"/>
        </w:rPr>
      </w:pPr>
      <w:r>
        <w:rPr>
          <w:rFonts w:cs="Times New Roman"/>
          <w:color w:val="222222"/>
          <w:szCs w:val="24"/>
          <w:shd w:val="clear" w:color="auto" w:fill="FFFFFF"/>
        </w:rPr>
        <w:t>Creswell, J. W., &amp; Creswell, J. D. (2017). </w:t>
      </w:r>
      <w:r>
        <w:rPr>
          <w:rFonts w:cs="Times New Roman"/>
          <w:i/>
          <w:iCs/>
          <w:color w:val="222222"/>
          <w:szCs w:val="24"/>
          <w:shd w:val="clear" w:color="auto" w:fill="FFFFFF"/>
        </w:rPr>
        <w:t>Research design: Qualitative, quantitative, and mixed methods approaches</w:t>
      </w:r>
      <w:r>
        <w:rPr>
          <w:rFonts w:cs="Times New Roman"/>
          <w:color w:val="222222"/>
          <w:szCs w:val="24"/>
          <w:shd w:val="clear" w:color="auto" w:fill="FFFFFF"/>
        </w:rPr>
        <w:t>. Sage publications.</w:t>
      </w:r>
    </w:p>
    <w:p w14:paraId="21BE0CC7" w14:textId="77777777" w:rsidR="002C7ABC" w:rsidRDefault="00A821D5">
      <w:pPr>
        <w:pStyle w:val="NormalWeb"/>
        <w:spacing w:before="240" w:beforeAutospacing="0" w:after="0" w:afterAutospacing="0" w:line="360" w:lineRule="auto"/>
        <w:jc w:val="both"/>
      </w:pPr>
      <w:r>
        <w:t>Fletcher, L., Alfes, K., &amp; Robinson, D. (2018). The relationship between perceived training and devel</w:t>
      </w:r>
      <w:r>
        <w:t xml:space="preserve">opment and employee retention: the mediating role of work attitudes. </w:t>
      </w:r>
      <w:r>
        <w:rPr>
          <w:i/>
          <w:iCs/>
        </w:rPr>
        <w:t>The International Journal of Human Resource Management</w:t>
      </w:r>
      <w:r>
        <w:t xml:space="preserve">, </w:t>
      </w:r>
      <w:r>
        <w:rPr>
          <w:i/>
          <w:iCs/>
        </w:rPr>
        <w:t>29</w:t>
      </w:r>
      <w:r>
        <w:t>(18), 2701–2728. https://doi.org/10.1080/09585192.2016.1262888</w:t>
      </w:r>
    </w:p>
    <w:p w14:paraId="12FCFBB2" w14:textId="77777777" w:rsidR="002C7ABC" w:rsidRDefault="00A821D5">
      <w:pPr>
        <w:pStyle w:val="NormalWeb"/>
        <w:spacing w:before="240" w:beforeAutospacing="0" w:after="0" w:afterAutospacing="0" w:line="360" w:lineRule="auto"/>
        <w:jc w:val="both"/>
      </w:pPr>
      <w:r>
        <w:t xml:space="preserve">Hosen, S., Hamzah, S. R., Arif Ismail, I., </w:t>
      </w:r>
      <w:proofErr w:type="spellStart"/>
      <w:r>
        <w:t>NoormiAlias</w:t>
      </w:r>
      <w:proofErr w:type="spellEnd"/>
      <w:r>
        <w:t xml:space="preserve">, S., Faiq Abd Aziz, M., &amp; Rahman, M. M. (2023). Training &amp; development, career development, and organizational commitment as the predictor of work performance. </w:t>
      </w:r>
      <w:proofErr w:type="spellStart"/>
      <w:r>
        <w:rPr>
          <w:i/>
          <w:iCs/>
        </w:rPr>
        <w:t>Heliyon</w:t>
      </w:r>
      <w:proofErr w:type="spellEnd"/>
      <w:r>
        <w:t xml:space="preserve">, </w:t>
      </w:r>
      <w:r>
        <w:rPr>
          <w:i/>
          <w:iCs/>
        </w:rPr>
        <w:t>10</w:t>
      </w:r>
      <w:r>
        <w:t>(1), e23903.</w:t>
      </w:r>
    </w:p>
    <w:p w14:paraId="0E50A77F" w14:textId="77777777" w:rsidR="002C7ABC" w:rsidRDefault="00A821D5">
      <w:pPr>
        <w:pStyle w:val="NormalWeb"/>
        <w:spacing w:before="240" w:beforeAutospacing="0" w:after="0" w:afterAutospacing="0" w:line="360" w:lineRule="auto"/>
        <w:jc w:val="both"/>
        <w:rPr>
          <w:color w:val="222222"/>
          <w:shd w:val="clear" w:color="auto" w:fill="FFFFFF"/>
        </w:rPr>
      </w:pPr>
      <w:proofErr w:type="spellStart"/>
      <w:r>
        <w:rPr>
          <w:color w:val="222222"/>
          <w:shd w:val="clear" w:color="auto" w:fill="FFFFFF"/>
        </w:rPr>
        <w:lastRenderedPageBreak/>
        <w:t>Igudia</w:t>
      </w:r>
      <w:proofErr w:type="spellEnd"/>
      <w:r>
        <w:rPr>
          <w:color w:val="222222"/>
          <w:shd w:val="clear" w:color="auto" w:fill="FFFFFF"/>
        </w:rPr>
        <w:t>, P. O. (2022). Employee training and development, and organisati</w:t>
      </w:r>
      <w:r>
        <w:rPr>
          <w:color w:val="222222"/>
          <w:shd w:val="clear" w:color="auto" w:fill="FFFFFF"/>
        </w:rPr>
        <w:t>onal performance: A study of small-scale manufacturing firms in Nigeria. </w:t>
      </w:r>
      <w:r>
        <w:rPr>
          <w:i/>
          <w:iCs/>
          <w:color w:val="222222"/>
          <w:shd w:val="clear" w:color="auto" w:fill="FFFFFF"/>
        </w:rPr>
        <w:t>American Journal of Economics and Business Management</w:t>
      </w:r>
      <w:r>
        <w:rPr>
          <w:color w:val="222222"/>
          <w:shd w:val="clear" w:color="auto" w:fill="FFFFFF"/>
        </w:rPr>
        <w:t>, </w:t>
      </w:r>
      <w:r>
        <w:rPr>
          <w:i/>
          <w:iCs/>
          <w:color w:val="222222"/>
          <w:shd w:val="clear" w:color="auto" w:fill="FFFFFF"/>
        </w:rPr>
        <w:t>5</w:t>
      </w:r>
      <w:r>
        <w:rPr>
          <w:color w:val="222222"/>
          <w:shd w:val="clear" w:color="auto" w:fill="FFFFFF"/>
        </w:rPr>
        <w:t>(5), 38-54.</w:t>
      </w:r>
    </w:p>
    <w:p w14:paraId="47365FB8" w14:textId="77777777" w:rsidR="002C7ABC" w:rsidRDefault="00A821D5">
      <w:pPr>
        <w:pStyle w:val="NormalWeb"/>
        <w:spacing w:before="240" w:beforeAutospacing="0" w:after="0" w:afterAutospacing="0" w:line="360" w:lineRule="auto"/>
        <w:jc w:val="both"/>
      </w:pPr>
      <w:r>
        <w:t xml:space="preserve">International Labour Organization. (2024, January 28). </w:t>
      </w:r>
      <w:r>
        <w:rPr>
          <w:i/>
          <w:iCs/>
        </w:rPr>
        <w:t>Skills and Lifelong Learning</w:t>
      </w:r>
      <w:r>
        <w:t>. International Labour Organizat</w:t>
      </w:r>
      <w:r>
        <w:t>ion. https://www.ilo.org/topics-and-sectors/skills-and-lifelong-learning</w:t>
      </w:r>
    </w:p>
    <w:p w14:paraId="0C02F29C" w14:textId="77777777" w:rsidR="002C7ABC" w:rsidRDefault="00A821D5">
      <w:pPr>
        <w:spacing w:before="240"/>
        <w:rPr>
          <w:rFonts w:cs="Times New Roman"/>
          <w:color w:val="222222"/>
          <w:szCs w:val="24"/>
          <w:shd w:val="clear" w:color="auto" w:fill="FFFFFF"/>
        </w:rPr>
      </w:pPr>
      <w:r>
        <w:rPr>
          <w:rFonts w:cs="Times New Roman"/>
          <w:color w:val="222222"/>
          <w:szCs w:val="24"/>
          <w:shd w:val="clear" w:color="auto" w:fill="FFFFFF"/>
        </w:rPr>
        <w:t>Jehanzeb, K., &amp; Bashir, N. A. (2013). Training and development program and its benefits to employee and organization: A conceptual study. </w:t>
      </w:r>
      <w:r>
        <w:rPr>
          <w:rFonts w:cs="Times New Roman"/>
          <w:i/>
          <w:iCs/>
          <w:color w:val="222222"/>
          <w:szCs w:val="24"/>
          <w:shd w:val="clear" w:color="auto" w:fill="FFFFFF"/>
        </w:rPr>
        <w:t>European Journal of business and management</w:t>
      </w:r>
      <w:r>
        <w:rPr>
          <w:rFonts w:cs="Times New Roman"/>
          <w:color w:val="222222"/>
          <w:szCs w:val="24"/>
          <w:shd w:val="clear" w:color="auto" w:fill="FFFFFF"/>
        </w:rPr>
        <w:t>, </w:t>
      </w:r>
      <w:r>
        <w:rPr>
          <w:rFonts w:cs="Times New Roman"/>
          <w:i/>
          <w:iCs/>
          <w:color w:val="222222"/>
          <w:szCs w:val="24"/>
          <w:shd w:val="clear" w:color="auto" w:fill="FFFFFF"/>
        </w:rPr>
        <w:t>5</w:t>
      </w:r>
      <w:r>
        <w:rPr>
          <w:rFonts w:cs="Times New Roman"/>
          <w:color w:val="222222"/>
          <w:szCs w:val="24"/>
          <w:shd w:val="clear" w:color="auto" w:fill="FFFFFF"/>
        </w:rPr>
        <w:t>(2).</w:t>
      </w:r>
    </w:p>
    <w:p w14:paraId="6821F933" w14:textId="77777777" w:rsidR="002C7ABC" w:rsidRDefault="00A821D5">
      <w:pPr>
        <w:pStyle w:val="NormalWeb"/>
        <w:spacing w:before="240" w:beforeAutospacing="0" w:after="0" w:afterAutospacing="0" w:line="360" w:lineRule="auto"/>
        <w:jc w:val="both"/>
        <w:rPr>
          <w:color w:val="222222"/>
          <w:shd w:val="clear" w:color="auto" w:fill="FFFFFF"/>
        </w:rPr>
      </w:pPr>
      <w:r>
        <w:rPr>
          <w:color w:val="222222"/>
          <w:shd w:val="clear" w:color="auto" w:fill="FFFFFF"/>
        </w:rPr>
        <w:t>Kothari, C. R. (2004). </w:t>
      </w:r>
      <w:r>
        <w:rPr>
          <w:i/>
          <w:iCs/>
          <w:color w:val="222222"/>
          <w:shd w:val="clear" w:color="auto" w:fill="FFFFFF"/>
        </w:rPr>
        <w:t>Research methodology: Methods and techniques</w:t>
      </w:r>
      <w:r>
        <w:rPr>
          <w:color w:val="222222"/>
          <w:shd w:val="clear" w:color="auto" w:fill="FFFFFF"/>
        </w:rPr>
        <w:t>. New Age International.</w:t>
      </w:r>
    </w:p>
    <w:p w14:paraId="7A621202" w14:textId="77777777" w:rsidR="002C7ABC" w:rsidRDefault="00A821D5">
      <w:pPr>
        <w:pStyle w:val="NormalWeb"/>
        <w:spacing w:before="240" w:beforeAutospacing="0" w:after="0" w:afterAutospacing="0" w:line="360" w:lineRule="auto"/>
        <w:jc w:val="both"/>
      </w:pPr>
      <w:r>
        <w:t xml:space="preserve">Leoni, S. (2023). A Historical Review of the Role of Education: From Human Capital to Human Capabilities. </w:t>
      </w:r>
      <w:r>
        <w:rPr>
          <w:i/>
          <w:iCs/>
        </w:rPr>
        <w:t>Review of Political Economy</w:t>
      </w:r>
      <w:r>
        <w:t xml:space="preserve">, </w:t>
      </w:r>
      <w:r>
        <w:rPr>
          <w:i/>
          <w:iCs/>
        </w:rPr>
        <w:t>37</w:t>
      </w:r>
      <w:r>
        <w:t>(1), 1–18. https://do</w:t>
      </w:r>
      <w:r>
        <w:t>i.org/10.1080/09538259.2023.2245233</w:t>
      </w:r>
    </w:p>
    <w:p w14:paraId="1F59D9EE" w14:textId="77777777" w:rsidR="002C7ABC" w:rsidRDefault="00A821D5">
      <w:pPr>
        <w:spacing w:before="240"/>
        <w:rPr>
          <w:rFonts w:cs="Times New Roman"/>
          <w:color w:val="222222"/>
          <w:szCs w:val="24"/>
          <w:shd w:val="clear" w:color="auto" w:fill="FFFFFF"/>
        </w:rPr>
      </w:pPr>
      <w:r>
        <w:rPr>
          <w:rFonts w:cs="Times New Roman"/>
          <w:color w:val="222222"/>
          <w:szCs w:val="24"/>
          <w:shd w:val="clear" w:color="auto" w:fill="FFFFFF"/>
        </w:rPr>
        <w:t>Mugenda, O. M., &amp; Mugenda, A. G. (2003). </w:t>
      </w:r>
      <w:r>
        <w:rPr>
          <w:rFonts w:cs="Times New Roman"/>
          <w:i/>
          <w:iCs/>
          <w:color w:val="222222"/>
          <w:szCs w:val="24"/>
          <w:shd w:val="clear" w:color="auto" w:fill="FFFFFF"/>
        </w:rPr>
        <w:t xml:space="preserve">Research methods: Quantitative &amp; qualitative </w:t>
      </w:r>
      <w:proofErr w:type="spellStart"/>
      <w:r>
        <w:rPr>
          <w:rFonts w:cs="Times New Roman"/>
          <w:i/>
          <w:iCs/>
          <w:color w:val="222222"/>
          <w:szCs w:val="24"/>
          <w:shd w:val="clear" w:color="auto" w:fill="FFFFFF"/>
        </w:rPr>
        <w:t>apporaches</w:t>
      </w:r>
      <w:proofErr w:type="spellEnd"/>
      <w:r>
        <w:rPr>
          <w:rFonts w:cs="Times New Roman"/>
          <w:color w:val="222222"/>
          <w:szCs w:val="24"/>
          <w:shd w:val="clear" w:color="auto" w:fill="FFFFFF"/>
        </w:rPr>
        <w:t> (Vol. 2, No. 2). Nairobi: Acts press.</w:t>
      </w:r>
    </w:p>
    <w:p w14:paraId="550A3509" w14:textId="77777777" w:rsidR="002C7ABC" w:rsidRDefault="00A821D5">
      <w:pPr>
        <w:pStyle w:val="NormalWeb"/>
        <w:spacing w:before="240" w:beforeAutospacing="0" w:after="0" w:afterAutospacing="0" w:line="360" w:lineRule="auto"/>
        <w:jc w:val="both"/>
      </w:pPr>
      <w:r>
        <w:rPr>
          <w:color w:val="222222"/>
          <w:shd w:val="clear" w:color="auto" w:fill="FFFFFF"/>
        </w:rPr>
        <w:t>Noe, R. A., Hollenbeck, J. R., Gerhart, B. A., &amp; Wright, P. M. (2016). </w:t>
      </w:r>
      <w:r>
        <w:rPr>
          <w:i/>
          <w:iCs/>
          <w:color w:val="222222"/>
          <w:shd w:val="clear" w:color="auto" w:fill="FFFFFF"/>
        </w:rPr>
        <w:t>Fundamentals o</w:t>
      </w:r>
      <w:r>
        <w:rPr>
          <w:i/>
          <w:iCs/>
          <w:color w:val="222222"/>
          <w:shd w:val="clear" w:color="auto" w:fill="FFFFFF"/>
        </w:rPr>
        <w:t>f human resource management</w:t>
      </w:r>
      <w:r>
        <w:rPr>
          <w:color w:val="222222"/>
          <w:shd w:val="clear" w:color="auto" w:fill="FFFFFF"/>
        </w:rPr>
        <w:t> (p. 608). New York, NY: McGraw-Hill Education.</w:t>
      </w:r>
      <w:r>
        <w:t xml:space="preserve"> </w:t>
      </w:r>
    </w:p>
    <w:p w14:paraId="03A16F3E" w14:textId="77777777" w:rsidR="002C7ABC" w:rsidRDefault="00A821D5">
      <w:pPr>
        <w:spacing w:before="240"/>
        <w:rPr>
          <w:rFonts w:cs="Times New Roman"/>
          <w:color w:val="222222"/>
          <w:szCs w:val="24"/>
          <w:shd w:val="clear" w:color="auto" w:fill="FFFFFF"/>
        </w:rPr>
      </w:pPr>
      <w:r>
        <w:rPr>
          <w:rFonts w:cs="Times New Roman"/>
          <w:color w:val="222222"/>
          <w:szCs w:val="24"/>
          <w:shd w:val="clear" w:color="auto" w:fill="FFFFFF"/>
        </w:rPr>
        <w:t xml:space="preserve">Okoye, P. V. C., &amp; </w:t>
      </w:r>
      <w:proofErr w:type="spellStart"/>
      <w:r>
        <w:rPr>
          <w:rFonts w:cs="Times New Roman"/>
          <w:color w:val="222222"/>
          <w:szCs w:val="24"/>
          <w:shd w:val="clear" w:color="auto" w:fill="FFFFFF"/>
        </w:rPr>
        <w:t>Ezejiofor</w:t>
      </w:r>
      <w:proofErr w:type="spellEnd"/>
      <w:r>
        <w:rPr>
          <w:rFonts w:cs="Times New Roman"/>
          <w:color w:val="222222"/>
          <w:szCs w:val="24"/>
          <w:shd w:val="clear" w:color="auto" w:fill="FFFFFF"/>
        </w:rPr>
        <w:t>, R. A. (2013). The effect of human resources development on organizational productivity. </w:t>
      </w:r>
      <w:r>
        <w:rPr>
          <w:rFonts w:cs="Times New Roman"/>
          <w:i/>
          <w:iCs/>
          <w:color w:val="222222"/>
          <w:szCs w:val="24"/>
          <w:shd w:val="clear" w:color="auto" w:fill="FFFFFF"/>
        </w:rPr>
        <w:t>International Journal of Academic Research in Business and Soc</w:t>
      </w:r>
      <w:r>
        <w:rPr>
          <w:rFonts w:cs="Times New Roman"/>
          <w:i/>
          <w:iCs/>
          <w:color w:val="222222"/>
          <w:szCs w:val="24"/>
          <w:shd w:val="clear" w:color="auto" w:fill="FFFFFF"/>
        </w:rPr>
        <w:t>ial Sciences</w:t>
      </w:r>
      <w:r>
        <w:rPr>
          <w:rFonts w:cs="Times New Roman"/>
          <w:color w:val="222222"/>
          <w:szCs w:val="24"/>
          <w:shd w:val="clear" w:color="auto" w:fill="FFFFFF"/>
        </w:rPr>
        <w:t>, </w:t>
      </w:r>
      <w:r>
        <w:rPr>
          <w:rFonts w:cs="Times New Roman"/>
          <w:i/>
          <w:iCs/>
          <w:color w:val="222222"/>
          <w:szCs w:val="24"/>
          <w:shd w:val="clear" w:color="auto" w:fill="FFFFFF"/>
        </w:rPr>
        <w:t>3</w:t>
      </w:r>
      <w:r>
        <w:rPr>
          <w:rFonts w:cs="Times New Roman"/>
          <w:color w:val="222222"/>
          <w:szCs w:val="24"/>
          <w:shd w:val="clear" w:color="auto" w:fill="FFFFFF"/>
        </w:rPr>
        <w:t>(10), 250-268.</w:t>
      </w:r>
    </w:p>
    <w:p w14:paraId="63355040" w14:textId="77777777" w:rsidR="002C7ABC" w:rsidRDefault="00A821D5">
      <w:pPr>
        <w:spacing w:before="240"/>
        <w:rPr>
          <w:rFonts w:cs="Times New Roman"/>
          <w:szCs w:val="24"/>
        </w:rPr>
      </w:pPr>
      <w:r>
        <w:rPr>
          <w:rFonts w:cs="Times New Roman"/>
          <w:color w:val="222222"/>
          <w:szCs w:val="24"/>
          <w:shd w:val="clear" w:color="auto" w:fill="FFFFFF"/>
        </w:rPr>
        <w:t>Saunders, M., Lewis, P., &amp; Thornhill, A. (2009). </w:t>
      </w:r>
      <w:r>
        <w:rPr>
          <w:rFonts w:cs="Times New Roman"/>
          <w:i/>
          <w:iCs/>
          <w:color w:val="222222"/>
          <w:szCs w:val="24"/>
          <w:shd w:val="clear" w:color="auto" w:fill="FFFFFF"/>
        </w:rPr>
        <w:t>Research methods for business students</w:t>
      </w:r>
      <w:r>
        <w:rPr>
          <w:rFonts w:cs="Times New Roman"/>
          <w:color w:val="222222"/>
          <w:szCs w:val="24"/>
          <w:shd w:val="clear" w:color="auto" w:fill="FFFFFF"/>
        </w:rPr>
        <w:t>. Pearson education.</w:t>
      </w:r>
    </w:p>
    <w:p w14:paraId="0F547FF8" w14:textId="77777777" w:rsidR="002C7ABC" w:rsidRDefault="00A821D5">
      <w:pPr>
        <w:pStyle w:val="NormalWeb"/>
        <w:spacing w:before="240" w:beforeAutospacing="0" w:after="0" w:afterAutospacing="0" w:line="360" w:lineRule="auto"/>
        <w:jc w:val="both"/>
      </w:pPr>
      <w:r>
        <w:t xml:space="preserve">Silvester, </w:t>
      </w:r>
      <w:proofErr w:type="spellStart"/>
      <w:r>
        <w:t>Vindy</w:t>
      </w:r>
      <w:proofErr w:type="spellEnd"/>
      <w:r>
        <w:t xml:space="preserve"> </w:t>
      </w:r>
      <w:proofErr w:type="spellStart"/>
      <w:r>
        <w:t>Fitriawaty</w:t>
      </w:r>
      <w:proofErr w:type="spellEnd"/>
      <w:r>
        <w:t xml:space="preserve"> </w:t>
      </w:r>
      <w:proofErr w:type="spellStart"/>
      <w:r>
        <w:t>Marhaeni</w:t>
      </w:r>
      <w:proofErr w:type="spellEnd"/>
      <w:r>
        <w:t xml:space="preserve">, </w:t>
      </w:r>
      <w:proofErr w:type="spellStart"/>
      <w:r>
        <w:t>Alvira</w:t>
      </w:r>
      <w:proofErr w:type="spellEnd"/>
      <w:r>
        <w:t>, M., Faiqah Putri, &amp; Anastasya, F. (2024). Impact of Training and Develop</w:t>
      </w:r>
      <w:r>
        <w:t xml:space="preserve">ment Programs on Employee Performance in the Manufacturing Sector. </w:t>
      </w:r>
      <w:r>
        <w:rPr>
          <w:i/>
          <w:iCs/>
        </w:rPr>
        <w:t xml:space="preserve">Acta </w:t>
      </w:r>
      <w:proofErr w:type="spellStart"/>
      <w:r>
        <w:rPr>
          <w:i/>
          <w:iCs/>
        </w:rPr>
        <w:t>Psychologia</w:t>
      </w:r>
      <w:proofErr w:type="spellEnd"/>
      <w:r>
        <w:t xml:space="preserve">, </w:t>
      </w:r>
      <w:r>
        <w:rPr>
          <w:i/>
          <w:iCs/>
        </w:rPr>
        <w:t>3</w:t>
      </w:r>
      <w:r>
        <w:t>(3), 140–151. https://doi.org/10.35335/psychologia.v3i3.68</w:t>
      </w:r>
    </w:p>
    <w:p w14:paraId="37BE02F8" w14:textId="77777777" w:rsidR="002C7ABC" w:rsidRDefault="00A821D5">
      <w:pPr>
        <w:pStyle w:val="NormalWeb"/>
        <w:spacing w:before="240" w:beforeAutospacing="0" w:after="0" w:afterAutospacing="0" w:line="360" w:lineRule="auto"/>
        <w:jc w:val="both"/>
      </w:pPr>
      <w:r>
        <w:lastRenderedPageBreak/>
        <w:t xml:space="preserve">Simpasa, A. (2024). Nigeria: Challenges and Opportunities to Avoid the Middle-Income Trap. </w:t>
      </w:r>
      <w:r>
        <w:rPr>
          <w:i/>
          <w:iCs/>
        </w:rPr>
        <w:t>Springer Nature</w:t>
      </w:r>
      <w:r>
        <w:t xml:space="preserve">, </w:t>
      </w:r>
      <w:r>
        <w:t>169–205. https://doi.org/10.1007/978-3-031-69248-2_6</w:t>
      </w:r>
    </w:p>
    <w:sectPr w:rsidR="002C7AB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F6FD7" w14:textId="77777777" w:rsidR="00A821D5" w:rsidRDefault="00A821D5" w:rsidP="008517D7">
      <w:pPr>
        <w:spacing w:after="0" w:line="240" w:lineRule="auto"/>
      </w:pPr>
      <w:r>
        <w:separator/>
      </w:r>
    </w:p>
  </w:endnote>
  <w:endnote w:type="continuationSeparator" w:id="0">
    <w:p w14:paraId="7E291061" w14:textId="77777777" w:rsidR="00A821D5" w:rsidRDefault="00A821D5" w:rsidP="00851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6539C" w14:textId="77777777" w:rsidR="008517D7" w:rsidRDefault="008517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A1B9" w14:textId="77777777" w:rsidR="008517D7" w:rsidRDefault="008517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926EA" w14:textId="77777777" w:rsidR="008517D7" w:rsidRDefault="008517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F7D28" w14:textId="77777777" w:rsidR="00A821D5" w:rsidRDefault="00A821D5" w:rsidP="008517D7">
      <w:pPr>
        <w:spacing w:after="0" w:line="240" w:lineRule="auto"/>
      </w:pPr>
      <w:r>
        <w:separator/>
      </w:r>
    </w:p>
  </w:footnote>
  <w:footnote w:type="continuationSeparator" w:id="0">
    <w:p w14:paraId="4323DAC7" w14:textId="77777777" w:rsidR="00A821D5" w:rsidRDefault="00A821D5" w:rsidP="00851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77EC4" w14:textId="1EFE4606" w:rsidR="008517D7" w:rsidRDefault="008517D7">
    <w:pPr>
      <w:pStyle w:val="Header"/>
    </w:pPr>
    <w:r>
      <w:rPr>
        <w:noProof/>
      </w:rPr>
      <w:pict w14:anchorId="40C34A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7329"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BC06F" w14:textId="43A775BB" w:rsidR="008517D7" w:rsidRDefault="008517D7">
    <w:pPr>
      <w:pStyle w:val="Header"/>
    </w:pPr>
    <w:r>
      <w:rPr>
        <w:noProof/>
      </w:rPr>
      <w:pict w14:anchorId="2D843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7330"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22FC9" w14:textId="7A7C2147" w:rsidR="008517D7" w:rsidRDefault="008517D7">
    <w:pPr>
      <w:pStyle w:val="Header"/>
    </w:pPr>
    <w:r>
      <w:rPr>
        <w:noProof/>
      </w:rPr>
      <w:pict w14:anchorId="6BB78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7328"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FE2A11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9C0AA2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hybridMultilevel"/>
    <w:tmpl w:val="BD8AE32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000004"/>
    <w:multiLevelType w:val="multilevel"/>
    <w:tmpl w:val="8D5C632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00000005"/>
    <w:multiLevelType w:val="multilevel"/>
    <w:tmpl w:val="D9DC5E6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93D4B3C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7" w15:restartNumberingAfterBreak="0">
    <w:nsid w:val="00000008"/>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8" w15:restartNumberingAfterBreak="0">
    <w:nsid w:val="3B3119A9"/>
    <w:multiLevelType w:val="multilevel"/>
    <w:tmpl w:val="31526A6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4"/>
  </w:num>
  <w:num w:numId="5">
    <w:abstractNumId w:val="8"/>
  </w:num>
  <w:num w:numId="6">
    <w:abstractNumId w:val="0"/>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ABC"/>
    <w:rsid w:val="0008635C"/>
    <w:rsid w:val="002C7ABC"/>
    <w:rsid w:val="00421E13"/>
    <w:rsid w:val="008517D7"/>
    <w:rsid w:val="00A821D5"/>
    <w:rsid w:val="00A9400D"/>
    <w:rsid w:val="00B87733"/>
    <w:rsid w:val="00CF66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086FB3"/>
  <w15:docId w15:val="{D3061132-4848-495D-ABA9-764632E3C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s="Times New Roman"/>
      <w:color w:val="2F5496"/>
      <w:sz w:val="32"/>
      <w:szCs w:val="32"/>
    </w:rPr>
  </w:style>
  <w:style w:type="paragraph" w:styleId="Heading2">
    <w:name w:val="heading 2"/>
    <w:basedOn w:val="Normal"/>
    <w:link w:val="Heading2Char"/>
    <w:uiPriority w:val="9"/>
    <w:unhideWhenUsed/>
    <w:qFormat/>
    <w:pPr>
      <w:spacing w:before="100" w:beforeAutospacing="1" w:after="100" w:afterAutospacing="1" w:line="240" w:lineRule="auto"/>
      <w:jc w:val="left"/>
      <w:outlineLvl w:val="1"/>
    </w:pPr>
    <w:rPr>
      <w:rFonts w:eastAsia="Times New Roman" w:cs="Times New Roman"/>
      <w:b/>
      <w:bCs/>
      <w:sz w:val="36"/>
      <w:szCs w:val="36"/>
      <w:lang w:eastAsia="en-GB"/>
    </w:rPr>
  </w:style>
  <w:style w:type="paragraph" w:styleId="Heading3">
    <w:name w:val="heading 3"/>
    <w:basedOn w:val="Normal"/>
    <w:link w:val="Heading3Char"/>
    <w:uiPriority w:val="9"/>
    <w:unhideWhenUsed/>
    <w:qFormat/>
    <w:pPr>
      <w:spacing w:before="100" w:beforeAutospacing="1" w:after="100" w:afterAutospacing="1" w:line="240" w:lineRule="auto"/>
      <w:jc w:val="left"/>
      <w:outlineLvl w:val="2"/>
    </w:pPr>
    <w:rPr>
      <w:rFonts w:eastAsia="Times New Roman" w:cs="Times New Roman"/>
      <w:b/>
      <w:bCs/>
      <w:sz w:val="27"/>
      <w:szCs w:val="27"/>
      <w:lang w:eastAsia="en-GB"/>
    </w:rPr>
  </w:style>
  <w:style w:type="paragraph" w:styleId="Heading4">
    <w:name w:val="heading 4"/>
    <w:basedOn w:val="Normal"/>
    <w:next w:val="Normal"/>
    <w:link w:val="Heading4Char"/>
    <w:uiPriority w:val="9"/>
    <w:unhideWhenUsed/>
    <w:qFormat/>
    <w:pPr>
      <w:keepNext/>
      <w:keepLines/>
      <w:spacing w:before="40" w:after="0"/>
      <w:outlineLvl w:val="3"/>
    </w:pPr>
    <w:rPr>
      <w:rFonts w:ascii="Calibri Light" w:eastAsia="SimSun" w:hAnsi="Calibri Light" w:cs="Times New Roman"/>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jc w:val="left"/>
    </w:pPr>
    <w:rPr>
      <w:rFonts w:eastAsia="Times New Roman" w:cs="Times New Roman"/>
      <w:szCs w:val="24"/>
      <w:lang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vlist-s">
    <w:name w:val="vlist-s"/>
    <w:basedOn w:val="DefaultParagraphFont"/>
  </w:style>
  <w:style w:type="character" w:customStyle="1" w:styleId="mbin">
    <w:name w:val="mbin"/>
    <w:basedOn w:val="DefaultParagraphFont"/>
  </w:style>
  <w:style w:type="character" w:customStyle="1" w:styleId="mpunct">
    <w:name w:val="mpunct"/>
    <w:basedOn w:val="DefaultParagraphFont"/>
  </w:style>
  <w:style w:type="character" w:styleId="Emphasis">
    <w:name w:val="Emphasis"/>
    <w:basedOn w:val="DefaultParagraphFont"/>
    <w:uiPriority w:val="20"/>
    <w:qFormat/>
    <w:rPr>
      <w:i/>
      <w:iCs/>
    </w:rPr>
  </w:style>
  <w:style w:type="character" w:customStyle="1" w:styleId="Heading1Char">
    <w:name w:val="Heading 1 Char"/>
    <w:basedOn w:val="DefaultParagraphFont"/>
    <w:link w:val="Heading1"/>
    <w:uiPriority w:val="9"/>
    <w:rPr>
      <w:rFonts w:ascii="Calibri Light" w:eastAsia="SimSun" w:hAnsi="Calibri Light" w:cs="Times New Roman"/>
      <w:color w:val="2F5496"/>
      <w:sz w:val="32"/>
      <w:szCs w:val="32"/>
    </w:rPr>
  </w:style>
  <w:style w:type="character" w:customStyle="1" w:styleId="mop">
    <w:name w:val="mop"/>
    <w:basedOn w:val="DefaultParagraphFont"/>
  </w:style>
  <w:style w:type="character" w:customStyle="1" w:styleId="mopen">
    <w:name w:val="mopen"/>
    <w:basedOn w:val="DefaultParagraphFont"/>
  </w:style>
  <w:style w:type="character" w:customStyle="1" w:styleId="mclose">
    <w:name w:val="mclose"/>
    <w:basedOn w:val="DefaultParagraphFont"/>
  </w:style>
  <w:style w:type="character" w:styleId="PlaceholderText">
    <w:name w:val="Placeholder Text"/>
    <w:basedOn w:val="DefaultParagraphFont"/>
    <w:uiPriority w:val="99"/>
    <w:rPr>
      <w:color w:val="808080"/>
    </w:rPr>
  </w:style>
  <w:style w:type="character" w:customStyle="1" w:styleId="Heading4Char">
    <w:name w:val="Heading 4 Char"/>
    <w:basedOn w:val="DefaultParagraphFont"/>
    <w:link w:val="Heading4"/>
    <w:uiPriority w:val="9"/>
    <w:rPr>
      <w:rFonts w:ascii="Calibri Light" w:eastAsia="SimSun" w:hAnsi="Calibri Light" w:cs="Times New Roman"/>
      <w:i/>
      <w:iCs/>
      <w:color w:val="2F5496"/>
      <w:sz w:val="24"/>
    </w:rPr>
  </w:style>
  <w:style w:type="character" w:customStyle="1" w:styleId="al-author-delim">
    <w:name w:val="al-author-delim"/>
    <w:basedOn w:val="DefaultParagraphFont"/>
  </w:style>
  <w:style w:type="character" w:styleId="Hyperlink">
    <w:name w:val="Hyperlink"/>
    <w:basedOn w:val="DefaultParagraphFont"/>
    <w:uiPriority w:val="99"/>
    <w:rPr>
      <w:color w:val="0000FF"/>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9400D"/>
    <w:rPr>
      <w:color w:val="605E5C"/>
      <w:shd w:val="clear" w:color="auto" w:fill="E1DFDD"/>
    </w:rPr>
  </w:style>
  <w:style w:type="paragraph" w:styleId="Header">
    <w:name w:val="header"/>
    <w:basedOn w:val="Normal"/>
    <w:link w:val="HeaderChar"/>
    <w:uiPriority w:val="99"/>
    <w:unhideWhenUsed/>
    <w:rsid w:val="008517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7D7"/>
    <w:rPr>
      <w:rFonts w:ascii="Times New Roman" w:hAnsi="Times New Roman"/>
      <w:sz w:val="24"/>
    </w:rPr>
  </w:style>
  <w:style w:type="paragraph" w:styleId="Footer">
    <w:name w:val="footer"/>
    <w:basedOn w:val="Normal"/>
    <w:link w:val="FooterChar"/>
    <w:uiPriority w:val="99"/>
    <w:unhideWhenUsed/>
    <w:rsid w:val="008517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7D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08/ER-04-2022-016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1737</TotalTime>
  <Pages>15</Pages>
  <Words>4032</Words>
  <Characters>22984</Characters>
  <Application>Microsoft Office Word</Application>
  <DocSecurity>0</DocSecurity>
  <Lines>191</Lines>
  <Paragraphs>53</Paragraphs>
  <ScaleCrop>false</ScaleCrop>
  <Company/>
  <LinksUpToDate>false</LinksUpToDate>
  <CharactersWithSpaces>26963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Mbanuzue</dc:creator>
  <cp:lastModifiedBy>SDI 1084</cp:lastModifiedBy>
  <cp:revision>19</cp:revision>
  <dcterms:created xsi:type="dcterms:W3CDTF">2025-10-03T10:29:00Z</dcterms:created>
  <dcterms:modified xsi:type="dcterms:W3CDTF">2025-10-17T05:51:00Z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9df3274e57724ae59b98f8bc9eafecb2</vt:lpwstr>
  </property>
</Properties>
</file>