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33FCE" w14:textId="77777777" w:rsidR="00691181" w:rsidRPr="00691181" w:rsidRDefault="00691181" w:rsidP="00691181">
      <w:pPr>
        <w:spacing w:after="0" w:line="360" w:lineRule="auto"/>
        <w:jc w:val="center"/>
        <w:outlineLvl w:val="0"/>
        <w:rPr>
          <w:rFonts w:ascii="Times New Roman" w:eastAsia="Times New Roman" w:hAnsi="Times New Roman" w:cs="Times New Roman"/>
          <w:b/>
          <w:bCs/>
          <w:i/>
          <w:iCs/>
          <w:kern w:val="36"/>
          <w:sz w:val="26"/>
          <w:szCs w:val="26"/>
          <w:u w:val="single"/>
        </w:rPr>
      </w:pPr>
      <w:bookmarkStart w:id="0" w:name="_Toc138402095"/>
      <w:bookmarkStart w:id="1" w:name="_Toc159621971"/>
      <w:bookmarkStart w:id="2" w:name="_Toc163294412"/>
      <w:bookmarkStart w:id="3" w:name="_Toc164254118"/>
      <w:bookmarkStart w:id="4" w:name="_Toc191806871"/>
      <w:r w:rsidRPr="00691181">
        <w:rPr>
          <w:rFonts w:ascii="Times New Roman" w:eastAsia="Times New Roman" w:hAnsi="Times New Roman" w:cs="Times New Roman"/>
          <w:b/>
          <w:bCs/>
          <w:i/>
          <w:iCs/>
          <w:kern w:val="36"/>
          <w:sz w:val="26"/>
          <w:szCs w:val="26"/>
          <w:u w:val="single"/>
        </w:rPr>
        <w:t>Short Research Article</w:t>
      </w:r>
    </w:p>
    <w:p w14:paraId="438A0262" w14:textId="77777777" w:rsidR="00691181" w:rsidRDefault="00691181" w:rsidP="00B52658">
      <w:pPr>
        <w:spacing w:after="0" w:line="360" w:lineRule="auto"/>
        <w:jc w:val="center"/>
        <w:outlineLvl w:val="0"/>
        <w:rPr>
          <w:rFonts w:ascii="Times New Roman" w:eastAsia="Times New Roman" w:hAnsi="Times New Roman" w:cs="Times New Roman"/>
          <w:b/>
          <w:bCs/>
          <w:kern w:val="36"/>
          <w:sz w:val="26"/>
          <w:szCs w:val="26"/>
        </w:rPr>
      </w:pPr>
    </w:p>
    <w:p w14:paraId="0F406839" w14:textId="27B77180" w:rsidR="00D6374E" w:rsidRDefault="00D6374E" w:rsidP="00B52658">
      <w:pPr>
        <w:spacing w:after="0" w:line="360" w:lineRule="auto"/>
        <w:jc w:val="center"/>
        <w:outlineLvl w:val="0"/>
        <w:rPr>
          <w:rFonts w:ascii="Times New Roman" w:eastAsia="Times New Roman" w:hAnsi="Times New Roman" w:cs="Times New Roman"/>
          <w:b/>
          <w:bCs/>
          <w:kern w:val="36"/>
          <w:sz w:val="26"/>
          <w:szCs w:val="26"/>
        </w:rPr>
      </w:pPr>
      <w:r w:rsidRPr="00D6374E">
        <w:rPr>
          <w:rFonts w:ascii="Times New Roman" w:eastAsia="Times New Roman" w:hAnsi="Times New Roman" w:cs="Times New Roman"/>
          <w:b/>
          <w:bCs/>
          <w:kern w:val="36"/>
          <w:sz w:val="26"/>
          <w:szCs w:val="26"/>
        </w:rPr>
        <w:t>The Determinants of Cross-Border Economic Zone Development: Empirical Evidence from Lao Cai, Vietnam</w:t>
      </w:r>
    </w:p>
    <w:p w14:paraId="72A8BDC1" w14:textId="77777777" w:rsidR="00B504B3" w:rsidRDefault="00B504B3" w:rsidP="00B52658">
      <w:pPr>
        <w:spacing w:after="0" w:line="360" w:lineRule="auto"/>
        <w:jc w:val="center"/>
        <w:outlineLvl w:val="0"/>
        <w:rPr>
          <w:rFonts w:ascii="Times New Roman" w:eastAsia="Times New Roman" w:hAnsi="Times New Roman" w:cs="Times New Roman"/>
          <w:b/>
          <w:bCs/>
          <w:kern w:val="36"/>
          <w:sz w:val="26"/>
          <w:szCs w:val="26"/>
        </w:rPr>
      </w:pPr>
    </w:p>
    <w:p w14:paraId="7B6FC114" w14:textId="77777777" w:rsidR="00745BD2" w:rsidRDefault="00745BD2" w:rsidP="00B52658">
      <w:pPr>
        <w:spacing w:after="0" w:line="360" w:lineRule="auto"/>
        <w:outlineLvl w:val="1"/>
        <w:rPr>
          <w:rFonts w:ascii="Times New Roman" w:eastAsia="Times New Roman" w:hAnsi="Times New Roman" w:cs="Times New Roman"/>
          <w:b/>
          <w:bCs/>
          <w:sz w:val="26"/>
          <w:szCs w:val="26"/>
        </w:rPr>
      </w:pPr>
    </w:p>
    <w:p w14:paraId="37368C4D" w14:textId="3CA75B8B" w:rsidR="00D6374E" w:rsidRPr="00D6374E" w:rsidRDefault="00D6374E" w:rsidP="00B52658">
      <w:pPr>
        <w:spacing w:after="0" w:line="360" w:lineRule="auto"/>
        <w:outlineLvl w:val="1"/>
        <w:rPr>
          <w:rFonts w:ascii="Times New Roman" w:eastAsia="Times New Roman" w:hAnsi="Times New Roman" w:cs="Times New Roman"/>
          <w:b/>
          <w:bCs/>
          <w:sz w:val="26"/>
          <w:szCs w:val="26"/>
        </w:rPr>
      </w:pPr>
      <w:bookmarkStart w:id="5" w:name="_GoBack"/>
      <w:bookmarkEnd w:id="5"/>
      <w:r w:rsidRPr="00D6374E">
        <w:rPr>
          <w:rFonts w:ascii="Times New Roman" w:eastAsia="Times New Roman" w:hAnsi="Times New Roman" w:cs="Times New Roman"/>
          <w:b/>
          <w:bCs/>
          <w:sz w:val="26"/>
          <w:szCs w:val="26"/>
        </w:rPr>
        <w:t>Abstract</w:t>
      </w:r>
    </w:p>
    <w:p w14:paraId="42B12417" w14:textId="77777777" w:rsidR="00D6374E" w:rsidRPr="00D6374E" w:rsidRDefault="00D6374E" w:rsidP="00B52658">
      <w:pPr>
        <w:pStyle w:val="Muc2"/>
        <w:keepNext w:val="0"/>
        <w:widowControl w:val="0"/>
        <w:ind w:firstLine="720"/>
        <w:jc w:val="both"/>
        <w:rPr>
          <w:b w:val="0"/>
          <w:bCs w:val="0"/>
          <w:i w:val="0"/>
          <w:iCs/>
        </w:rPr>
      </w:pPr>
      <w:r w:rsidRPr="00D6374E">
        <w:rPr>
          <w:b w:val="0"/>
          <w:bCs w:val="0"/>
          <w:i w:val="0"/>
          <w:iCs/>
        </w:rPr>
        <w:t>Cross-border economic zones (CBEZs) play a strategic role in fostering international trade, attracting investment, and promoting socio-economic integration in border regions. This study investigates the determinants of Lao Cai Border-Gate Economic Zone (BGEZ), a critical gateway between Vietnam and China. Based on an extensive literature review, seven potential factors were hypothesized to positively influence BGEZ development: infrastructure, management and preferential policies, international relations and regional cooperation, competitiveness and innovation, global economic environment, human resources, and socio-environmental conditions. A survey of 285 managers and enterprises in Lao Cai was conducted, and quantitative techniques including Cronbach’s Alpha, Exploratory Factor Analysis (EFA), and multiple regression were applied. Results reveal that six out of seven factors significantly contribute to BGEZ development, with human resources emerging as the strongest determinant, followed by socio-environmental conditions and international cooperation. The global economic environment was excluded from the regression model due to multicollinearity. The findings contribute to the theoretical understanding of border economic zone development and provide practical implications for policy-making in emerging economies.</w:t>
      </w:r>
    </w:p>
    <w:p w14:paraId="20C25016" w14:textId="77777777" w:rsidR="00D6374E" w:rsidRPr="00D6374E" w:rsidRDefault="00D6374E" w:rsidP="00B52658">
      <w:pPr>
        <w:spacing w:after="0" w:line="360" w:lineRule="auto"/>
        <w:rPr>
          <w:rFonts w:ascii="Times New Roman" w:eastAsia="Times New Roman" w:hAnsi="Times New Roman" w:cs="Times New Roman"/>
          <w:sz w:val="26"/>
          <w:szCs w:val="26"/>
        </w:rPr>
      </w:pPr>
      <w:r w:rsidRPr="00D6374E">
        <w:rPr>
          <w:rFonts w:ascii="Times New Roman" w:eastAsia="Times New Roman" w:hAnsi="Times New Roman" w:cs="Times New Roman"/>
          <w:b/>
          <w:bCs/>
          <w:sz w:val="26"/>
          <w:szCs w:val="26"/>
        </w:rPr>
        <w:t>Keywords:</w:t>
      </w:r>
      <w:r w:rsidRPr="00D6374E">
        <w:rPr>
          <w:rFonts w:ascii="Times New Roman" w:eastAsia="Times New Roman" w:hAnsi="Times New Roman" w:cs="Times New Roman"/>
          <w:sz w:val="26"/>
          <w:szCs w:val="26"/>
        </w:rPr>
        <w:t xml:space="preserve"> Cross-border economic zone, Lao Cai, Vietnam–China trade, regression analysis, economic development.</w:t>
      </w:r>
    </w:p>
    <w:p w14:paraId="69472E4D" w14:textId="77777777" w:rsidR="00614256" w:rsidRPr="00614256" w:rsidRDefault="00614256" w:rsidP="00614256">
      <w:pPr>
        <w:pStyle w:val="Muc1"/>
        <w:rPr>
          <w:rFonts w:eastAsia="DengXian"/>
        </w:rPr>
      </w:pPr>
      <w:r w:rsidRPr="00614256">
        <w:rPr>
          <w:rFonts w:eastAsia="DengXian"/>
        </w:rPr>
        <w:t>1. Introduction</w:t>
      </w:r>
    </w:p>
    <w:p w14:paraId="3BB8EE01" w14:textId="4A77BFD9" w:rsidR="00614256" w:rsidRPr="00614256" w:rsidRDefault="00614256" w:rsidP="00614256">
      <w:pPr>
        <w:pStyle w:val="Muc2"/>
        <w:keepNext w:val="0"/>
        <w:widowControl w:val="0"/>
        <w:ind w:firstLine="720"/>
        <w:jc w:val="both"/>
        <w:rPr>
          <w:b w:val="0"/>
          <w:bCs w:val="0"/>
          <w:i w:val="0"/>
          <w:iCs/>
        </w:rPr>
      </w:pPr>
      <w:r w:rsidRPr="00614256">
        <w:rPr>
          <w:b w:val="0"/>
          <w:bCs w:val="0"/>
          <w:i w:val="0"/>
          <w:iCs/>
        </w:rPr>
        <w:t xml:space="preserve">Cross-border economic zones (CBEZs) have become strategic instruments for enhancing trade, investment, and integration in many developing economies. Positioned at the interface between national and international markets, they provide unique opportunities to leverage geographic location, preferential policies, and international cooperation. In Vietnam, the Lao Cai Border-Gate Economic Zone (BGEZ) plays a vital role as part of the Kunming–Lao Cai–Hanoi–Hai Phong economic corridor, directly connecting Vietnam </w:t>
      </w:r>
      <w:r w:rsidRPr="00614256">
        <w:rPr>
          <w:b w:val="0"/>
          <w:bCs w:val="0"/>
          <w:i w:val="0"/>
          <w:iCs/>
        </w:rPr>
        <w:lastRenderedPageBreak/>
        <w:t>with China’s Yunnan Province.</w:t>
      </w:r>
    </w:p>
    <w:p w14:paraId="5B7CD1A3" w14:textId="66EABD7D" w:rsidR="00614256" w:rsidRPr="00614256" w:rsidRDefault="00614256" w:rsidP="00614256">
      <w:pPr>
        <w:pStyle w:val="Muc2"/>
        <w:keepNext w:val="0"/>
        <w:widowControl w:val="0"/>
        <w:ind w:firstLine="720"/>
        <w:jc w:val="both"/>
        <w:rPr>
          <w:b w:val="0"/>
          <w:bCs w:val="0"/>
          <w:i w:val="0"/>
          <w:iCs/>
        </w:rPr>
      </w:pPr>
      <w:r w:rsidRPr="00614256">
        <w:rPr>
          <w:b w:val="0"/>
          <w:bCs w:val="0"/>
          <w:i w:val="0"/>
          <w:iCs/>
        </w:rPr>
        <w:t>Despite policy support and initial achievements, the development of BGEZ faces challenges such as limited infrastructure, insufficient competitiveness, and uneven socio-economic conditions. Prior studies on special economic zones (Farole &amp; Akinci, 2011; Wang, 2013; Zeng, 2016) have focused on general determinants of performance but rarely addressed the context of cross-border economic zones in transition economies. Furthermore, little empirical evidence exists on how local factors interact with international cooperation to shape CBEZ development in Vietnam.</w:t>
      </w:r>
    </w:p>
    <w:p w14:paraId="5E834A28" w14:textId="77777777" w:rsidR="00614256" w:rsidRPr="00614256" w:rsidRDefault="00614256" w:rsidP="00614256">
      <w:pPr>
        <w:pStyle w:val="Muc2"/>
        <w:keepNext w:val="0"/>
        <w:widowControl w:val="0"/>
        <w:ind w:firstLine="720"/>
        <w:jc w:val="both"/>
        <w:rPr>
          <w:b w:val="0"/>
          <w:bCs w:val="0"/>
          <w:i w:val="0"/>
          <w:iCs/>
        </w:rPr>
      </w:pPr>
      <w:r w:rsidRPr="00614256">
        <w:rPr>
          <w:b w:val="0"/>
          <w:bCs w:val="0"/>
          <w:i w:val="0"/>
          <w:iCs/>
        </w:rPr>
        <w:t>This study addresses the gap by constructing and empirically testing a model of determinants of BGEZ development in Lao Cai. It aims to:</w:t>
      </w:r>
    </w:p>
    <w:p w14:paraId="6DC0C89B" w14:textId="77777777" w:rsidR="00614256" w:rsidRPr="00614256" w:rsidRDefault="00614256" w:rsidP="00614256">
      <w:pPr>
        <w:pStyle w:val="Muc2"/>
        <w:keepNext w:val="0"/>
        <w:widowControl w:val="0"/>
        <w:ind w:firstLine="720"/>
        <w:jc w:val="both"/>
        <w:rPr>
          <w:b w:val="0"/>
          <w:bCs w:val="0"/>
          <w:i w:val="0"/>
          <w:iCs/>
        </w:rPr>
      </w:pPr>
      <w:r w:rsidRPr="00614256">
        <w:rPr>
          <w:b w:val="0"/>
          <w:bCs w:val="0"/>
          <w:i w:val="0"/>
          <w:iCs/>
        </w:rPr>
        <w:t>(1) Identify key factors influencing the development of BGEZ;</w:t>
      </w:r>
    </w:p>
    <w:p w14:paraId="17DCC79D" w14:textId="77777777" w:rsidR="00614256" w:rsidRPr="00614256" w:rsidRDefault="00614256" w:rsidP="00614256">
      <w:pPr>
        <w:pStyle w:val="Muc2"/>
        <w:keepNext w:val="0"/>
        <w:widowControl w:val="0"/>
        <w:ind w:firstLine="720"/>
        <w:jc w:val="both"/>
        <w:rPr>
          <w:b w:val="0"/>
          <w:bCs w:val="0"/>
          <w:i w:val="0"/>
          <w:iCs/>
        </w:rPr>
      </w:pPr>
      <w:r w:rsidRPr="00614256">
        <w:rPr>
          <w:b w:val="0"/>
          <w:bCs w:val="0"/>
          <w:i w:val="0"/>
          <w:iCs/>
        </w:rPr>
        <w:t>(2) Test hypotheses through empirical data analysis;</w:t>
      </w:r>
    </w:p>
    <w:p w14:paraId="68A3DAF8" w14:textId="0BE29BB1" w:rsidR="00D6374E" w:rsidRPr="00614256" w:rsidRDefault="00614256" w:rsidP="00614256">
      <w:pPr>
        <w:pStyle w:val="Muc2"/>
        <w:keepNext w:val="0"/>
        <w:widowControl w:val="0"/>
        <w:ind w:firstLine="720"/>
        <w:jc w:val="both"/>
        <w:rPr>
          <w:b w:val="0"/>
          <w:bCs w:val="0"/>
          <w:i w:val="0"/>
          <w:iCs/>
        </w:rPr>
      </w:pPr>
      <w:r w:rsidRPr="00614256">
        <w:rPr>
          <w:b w:val="0"/>
          <w:bCs w:val="0"/>
          <w:i w:val="0"/>
          <w:iCs/>
        </w:rPr>
        <w:t>(3) Provide policy implications for enhancing cross-border economic development.</w:t>
      </w:r>
    </w:p>
    <w:p w14:paraId="062224D0" w14:textId="45BEC011" w:rsidR="00761709" w:rsidRPr="00FF64B0" w:rsidRDefault="00614256" w:rsidP="008834FC">
      <w:pPr>
        <w:pStyle w:val="Muc2"/>
        <w:rPr>
          <w:i w:val="0"/>
          <w:iCs/>
        </w:rPr>
      </w:pPr>
      <w:bookmarkStart w:id="6" w:name="_Toc164254119"/>
      <w:bookmarkStart w:id="7" w:name="_Toc191806872"/>
      <w:bookmarkEnd w:id="0"/>
      <w:bookmarkEnd w:id="1"/>
      <w:bookmarkEnd w:id="2"/>
      <w:bookmarkEnd w:id="3"/>
      <w:bookmarkEnd w:id="4"/>
      <w:r w:rsidRPr="00FF64B0">
        <w:rPr>
          <w:i w:val="0"/>
          <w:iCs/>
        </w:rPr>
        <w:t>2</w:t>
      </w:r>
      <w:r w:rsidR="00761709" w:rsidRPr="00FF64B0">
        <w:rPr>
          <w:i w:val="0"/>
          <w:iCs/>
        </w:rPr>
        <w:t xml:space="preserve">. </w:t>
      </w:r>
      <w:r w:rsidR="000A54EF" w:rsidRPr="00FF64B0">
        <w:rPr>
          <w:i w:val="0"/>
          <w:iCs/>
        </w:rPr>
        <w:t>Research Model and Hypotheses</w:t>
      </w:r>
    </w:p>
    <w:bookmarkEnd w:id="6"/>
    <w:bookmarkEnd w:id="7"/>
    <w:p w14:paraId="1755D2D9" w14:textId="77777777" w:rsidR="00AC10A7" w:rsidRPr="00AC10A7" w:rsidRDefault="00AC10A7" w:rsidP="00AC10A7">
      <w:pPr>
        <w:pStyle w:val="Muc1"/>
        <w:rPr>
          <w:rFonts w:eastAsia="DengXian"/>
          <w:i/>
          <w:iCs/>
          <w:lang w:val="en-US"/>
        </w:rPr>
      </w:pPr>
      <w:r w:rsidRPr="00AC10A7">
        <w:rPr>
          <w:rFonts w:eastAsia="DengXian"/>
          <w:i/>
          <w:iCs/>
          <w:lang w:val="en-US"/>
        </w:rPr>
        <w:t>2.1. Infrastructure</w:t>
      </w:r>
    </w:p>
    <w:p w14:paraId="5286951D" w14:textId="77777777" w:rsidR="00AC10A7" w:rsidRPr="00AC10A7" w:rsidRDefault="00AC10A7" w:rsidP="00AC10A7">
      <w:pPr>
        <w:pStyle w:val="Muc2"/>
        <w:keepNext w:val="0"/>
        <w:widowControl w:val="0"/>
        <w:ind w:firstLine="720"/>
        <w:jc w:val="both"/>
        <w:rPr>
          <w:b w:val="0"/>
          <w:bCs w:val="0"/>
          <w:i w:val="0"/>
          <w:iCs/>
        </w:rPr>
      </w:pPr>
      <w:r w:rsidRPr="00AC10A7">
        <w:rPr>
          <w:b w:val="0"/>
          <w:bCs w:val="0"/>
          <w:i w:val="0"/>
          <w:iCs/>
        </w:rPr>
        <w:t>Infrastructure is considered a fundamental pillar for the development of cross-border economic zones (CBEZs). Nguyen Van Phuc (2022) emphasizes that modern transport, logistics, telecommunications, and public utilities are indispensable for enhancing trade flows, attracting investment, and improving the business environment. Efficient multimodal transport systems—including road, railway, ports, and airports—facilitate the rapid movement of goods while simultaneously reinforcing investment attractiveness. Beyond physical infrastructure, the development of logistics services reduces transaction costs and enhances export–import competitiveness. Information and communication technology (ICT) infrastructure also plays a critical role by enabling e-commerce, digital governance, and modern business management. Public utilities such as electricity, water, and waste treatment improve both the living and working environment, thereby sustaining human capital. Importantly, Phuc (2022) highlights that coordinated investment between government, enterprises, and international partners is the key to ensuring sustainable and integrated infrastructure for CBEZ success.</w:t>
      </w:r>
    </w:p>
    <w:p w14:paraId="101361EA" w14:textId="77777777" w:rsidR="00AC10A7" w:rsidRPr="00AC10A7" w:rsidRDefault="00AC10A7" w:rsidP="00AC10A7">
      <w:pPr>
        <w:pStyle w:val="Muc1"/>
        <w:rPr>
          <w:rFonts w:eastAsia="DengXian"/>
          <w:i/>
          <w:iCs/>
          <w:lang w:val="en-US"/>
        </w:rPr>
      </w:pPr>
      <w:r w:rsidRPr="00AC10A7">
        <w:rPr>
          <w:rFonts w:eastAsia="DengXian"/>
          <w:i/>
          <w:iCs/>
          <w:lang w:val="en-US"/>
        </w:rPr>
        <w:t>2.2. Management and Preferential Policies</w:t>
      </w:r>
    </w:p>
    <w:p w14:paraId="52A00275" w14:textId="77777777" w:rsidR="00AC10A7" w:rsidRPr="00AC10A7" w:rsidRDefault="00AC10A7" w:rsidP="00AC10A7">
      <w:pPr>
        <w:pStyle w:val="Muc2"/>
        <w:keepNext w:val="0"/>
        <w:widowControl w:val="0"/>
        <w:ind w:firstLine="720"/>
        <w:jc w:val="both"/>
        <w:rPr>
          <w:b w:val="0"/>
          <w:bCs w:val="0"/>
          <w:i w:val="0"/>
          <w:iCs/>
        </w:rPr>
      </w:pPr>
      <w:r w:rsidRPr="00AC10A7">
        <w:rPr>
          <w:b w:val="0"/>
          <w:bCs w:val="0"/>
          <w:i w:val="0"/>
          <w:iCs/>
        </w:rPr>
        <w:t xml:space="preserve">In the context of globalization, government policies and incentives strongly shape the performance of CBEZs. Nguyen Van Tri (2013) underlines that flexible and attractive </w:t>
      </w:r>
      <w:r w:rsidRPr="00AC10A7">
        <w:rPr>
          <w:b w:val="0"/>
          <w:bCs w:val="0"/>
          <w:i w:val="0"/>
          <w:iCs/>
        </w:rPr>
        <w:lastRenderedPageBreak/>
        <w:t>regulatory frameworks—including tax reductions, preferential land use rights, simplified administrative procedures, and investment promotion measures—are decisive in attracting and retaining investors. Favorable tax policies ease financial burdens, while land incentives provide a solid foundation for enterprises to expand production. Moreover, transparency and digitalization in administrative procedures strengthen efficiency and reduce costs, which in turn foster competitiveness and investor confidence. Additional measures such as financial support, advisory services, and workforce training are also critical to enhancing investment attractiveness. Collectively, the combination of flexible governance, preferential incentives, and transparent administration provides a s</w:t>
      </w:r>
      <w:r w:rsidRPr="00090E98">
        <w:rPr>
          <w:b w:val="0"/>
          <w:bCs w:val="0"/>
          <w:i w:val="0"/>
          <w:iCs/>
        </w:rPr>
        <w:t>table</w:t>
      </w:r>
      <w:r w:rsidRPr="00AC10A7">
        <w:rPr>
          <w:b w:val="0"/>
          <w:bCs w:val="0"/>
          <w:i w:val="0"/>
          <w:iCs/>
        </w:rPr>
        <w:t xml:space="preserve"> environment for economic growth and international integration (Nguyen Van Tri, 2013, 2023).</w:t>
      </w:r>
    </w:p>
    <w:p w14:paraId="5F8B2209" w14:textId="77777777" w:rsidR="00AC10A7" w:rsidRPr="00AC10A7" w:rsidRDefault="00AC10A7" w:rsidP="00AC10A7">
      <w:pPr>
        <w:pStyle w:val="Muc1"/>
        <w:rPr>
          <w:rFonts w:eastAsia="DengXian"/>
          <w:i/>
          <w:iCs/>
          <w:lang w:val="en-US"/>
        </w:rPr>
      </w:pPr>
      <w:r w:rsidRPr="00AC10A7">
        <w:rPr>
          <w:rFonts w:eastAsia="DengXian"/>
          <w:i/>
          <w:iCs/>
          <w:lang w:val="en-US"/>
        </w:rPr>
        <w:t>2.3. International Relations and Regional Cooperation</w:t>
      </w:r>
    </w:p>
    <w:p w14:paraId="77A5A3CF" w14:textId="77777777" w:rsidR="00AC10A7" w:rsidRPr="00AC10A7" w:rsidRDefault="00AC10A7" w:rsidP="00AC10A7">
      <w:pPr>
        <w:pStyle w:val="Muc2"/>
        <w:keepNext w:val="0"/>
        <w:widowControl w:val="0"/>
        <w:ind w:firstLine="720"/>
        <w:jc w:val="both"/>
        <w:rPr>
          <w:b w:val="0"/>
          <w:bCs w:val="0"/>
          <w:i w:val="0"/>
          <w:iCs/>
        </w:rPr>
      </w:pPr>
      <w:r w:rsidRPr="00AC10A7">
        <w:rPr>
          <w:b w:val="0"/>
          <w:bCs w:val="0"/>
          <w:i w:val="0"/>
          <w:iCs/>
        </w:rPr>
        <w:t>International cooperation constitutes a core driver of CBEZ expansion in the era of global integration. Nguyen Huu Toan (2015) argues that bilateral and multilateral economic cooperation not only expands markets but also strengthens competitiveness and encourages FDI inflows. Regional frameworks such as ASEAN and APEC, and initiatives like the Belt and Road, help CBEZs reduce trade and investment barriers, promote industrial clustering, and enhance service sectors. Cross-border cooperation also fosters technology transfer, value chain upgrading, and greater integration into international production networks. By attracting high-tech and value-added FDI projects, CBEZs gain significant growth momentum. However, Toan (2015) cautions that these opportunities come with challenges: zones must enhance human capital, upgrade infrastructure, and ensure transparent governance to maximize the benefits of international cooperation.</w:t>
      </w:r>
    </w:p>
    <w:p w14:paraId="288A35A9" w14:textId="77777777" w:rsidR="00AC10A7" w:rsidRPr="00AC10A7" w:rsidRDefault="00AC10A7" w:rsidP="00AC10A7">
      <w:pPr>
        <w:pStyle w:val="Muc1"/>
        <w:rPr>
          <w:rFonts w:eastAsia="DengXian"/>
          <w:i/>
          <w:iCs/>
          <w:lang w:val="en-US"/>
        </w:rPr>
      </w:pPr>
      <w:r w:rsidRPr="00AC10A7">
        <w:rPr>
          <w:rFonts w:eastAsia="DengXian"/>
          <w:i/>
          <w:iCs/>
          <w:lang w:val="en-US"/>
        </w:rPr>
        <w:t>2.4. Competitiveness and Innovation</w:t>
      </w:r>
    </w:p>
    <w:p w14:paraId="593958CE" w14:textId="77777777" w:rsidR="00AC10A7" w:rsidRPr="00AC10A7" w:rsidRDefault="00AC10A7" w:rsidP="00AC10A7">
      <w:pPr>
        <w:pStyle w:val="Muc2"/>
        <w:keepNext w:val="0"/>
        <w:widowControl w:val="0"/>
        <w:ind w:firstLine="720"/>
        <w:jc w:val="both"/>
        <w:rPr>
          <w:b w:val="0"/>
          <w:bCs w:val="0"/>
          <w:i w:val="0"/>
          <w:iCs/>
        </w:rPr>
      </w:pPr>
      <w:r w:rsidRPr="00AC10A7">
        <w:rPr>
          <w:b w:val="0"/>
          <w:bCs w:val="0"/>
          <w:i w:val="0"/>
          <w:iCs/>
        </w:rPr>
        <w:t>Competitiveness and innovation are central to the long-term development of CBEZs. Bui Mai Phuong (2016) stresses that firms within border zones must continuously innovate—from adopting advanced production technologies and improving supply chain management to developing new market strategies—in order to sustain competitive advantage. Enterprises with greater technological adoption are better positioned to deliver high value-added products and services, which increases attractiveness for both investors and customers. Furthermore, innovation extends beyond technology to include new business models, such as leveraging ICT to expand markets and improve efficiency. As Phuong (2016) notes, innovation also supports sustainable development by enabling eco-</w:t>
      </w:r>
      <w:r w:rsidRPr="00AC10A7">
        <w:rPr>
          <w:b w:val="0"/>
          <w:bCs w:val="0"/>
          <w:i w:val="0"/>
          <w:iCs/>
        </w:rPr>
        <w:lastRenderedPageBreak/>
        <w:t>friendly production and promoting corporate social responsibility.</w:t>
      </w:r>
    </w:p>
    <w:p w14:paraId="0810AA76" w14:textId="77777777" w:rsidR="00AC10A7" w:rsidRPr="00AC10A7" w:rsidRDefault="00AC10A7" w:rsidP="00AC10A7">
      <w:pPr>
        <w:pStyle w:val="Muc1"/>
        <w:rPr>
          <w:rFonts w:eastAsia="DengXian"/>
          <w:i/>
          <w:iCs/>
          <w:lang w:val="en-US"/>
        </w:rPr>
      </w:pPr>
      <w:r w:rsidRPr="00AC10A7">
        <w:rPr>
          <w:rFonts w:eastAsia="DengXian"/>
          <w:i/>
          <w:iCs/>
          <w:lang w:val="en-US"/>
        </w:rPr>
        <w:t>2.5. Global Economic Environment</w:t>
      </w:r>
    </w:p>
    <w:p w14:paraId="02681942" w14:textId="77777777" w:rsidR="00AC10A7" w:rsidRPr="00AC10A7" w:rsidRDefault="00AC10A7" w:rsidP="00AC10A7">
      <w:pPr>
        <w:pStyle w:val="Muc2"/>
        <w:keepNext w:val="0"/>
        <w:widowControl w:val="0"/>
        <w:ind w:firstLine="720"/>
        <w:jc w:val="both"/>
        <w:rPr>
          <w:b w:val="0"/>
          <w:bCs w:val="0"/>
          <w:i w:val="0"/>
          <w:iCs/>
        </w:rPr>
      </w:pPr>
      <w:r w:rsidRPr="00AC10A7">
        <w:rPr>
          <w:b w:val="0"/>
          <w:bCs w:val="0"/>
          <w:i w:val="0"/>
          <w:iCs/>
        </w:rPr>
        <w:t>The global economic environment significantly shapes the prospects of CBEZs. Ho Hong Hanh (2016) highlights that fluctuations in global demand, raw material prices, trade policies, and financial markets directly affect the operation and resilience of border economic zones. A s</w:t>
      </w:r>
      <w:r w:rsidRPr="00090E98">
        <w:rPr>
          <w:b w:val="0"/>
          <w:bCs w:val="0"/>
          <w:i w:val="0"/>
          <w:iCs/>
        </w:rPr>
        <w:t>table</w:t>
      </w:r>
      <w:r w:rsidRPr="00AC10A7">
        <w:rPr>
          <w:b w:val="0"/>
          <w:bCs w:val="0"/>
          <w:i w:val="0"/>
          <w:iCs/>
        </w:rPr>
        <w:t xml:space="preserve"> global environment fosters trade, investment, and innovation, whereas economic crises or volatile exchange rates may increase costs, reduce market access, and constrain capital inflows. To cope with such uncertainties, CBEZs must diversify trade partners, promote resilient industries, and leverage free trade agreements (FTAs) to expand opportunities. Effective macroeconomic policies are also essential to stabilize local economies and buffer against external shocks (Ho, 2016).</w:t>
      </w:r>
    </w:p>
    <w:p w14:paraId="6E9DA8C7" w14:textId="77777777" w:rsidR="00AC10A7" w:rsidRPr="00AC10A7" w:rsidRDefault="00AC10A7" w:rsidP="00AC10A7">
      <w:pPr>
        <w:pStyle w:val="Muc1"/>
        <w:rPr>
          <w:rFonts w:eastAsia="DengXian"/>
          <w:i/>
          <w:iCs/>
          <w:lang w:val="en-US"/>
        </w:rPr>
      </w:pPr>
      <w:r w:rsidRPr="00AC10A7">
        <w:rPr>
          <w:rFonts w:eastAsia="DengXian"/>
          <w:i/>
          <w:iCs/>
          <w:lang w:val="en-US"/>
        </w:rPr>
        <w:t>2.6. Human Resources</w:t>
      </w:r>
    </w:p>
    <w:p w14:paraId="3160D627" w14:textId="77777777" w:rsidR="00AC10A7" w:rsidRPr="00AC10A7" w:rsidRDefault="00AC10A7" w:rsidP="00AC10A7">
      <w:pPr>
        <w:pStyle w:val="Muc2"/>
        <w:keepNext w:val="0"/>
        <w:widowControl w:val="0"/>
        <w:ind w:firstLine="720"/>
        <w:jc w:val="both"/>
        <w:rPr>
          <w:b w:val="0"/>
          <w:bCs w:val="0"/>
          <w:i w:val="0"/>
          <w:iCs/>
        </w:rPr>
      </w:pPr>
      <w:r w:rsidRPr="00AC10A7">
        <w:rPr>
          <w:b w:val="0"/>
          <w:bCs w:val="0"/>
          <w:i w:val="0"/>
          <w:iCs/>
        </w:rPr>
        <w:t>Human capital is a decisive factor for sustainable CBEZ development. Le Trung Dung (2019) argues that beyond quantity, the quality of the workforce—particularly technical skills, ICT competencies, managerial expertise, and foreign language proficiency—determines the ability to attract high-tech investment and foster innovation. Skilled labor is crucial not only for operating existing enterprises but also for developing emerging industries. Investment in education and vocational training, through cooperation between government, enterprises, and educational institutions, ensures alignment between labor supply and industrial demand. Moreover, policies facilitating the mobility and residence of international talents enhance the zone’s innovation capacity and competitiveness (Dung, 2019).</w:t>
      </w:r>
    </w:p>
    <w:p w14:paraId="6B046A4F" w14:textId="77777777" w:rsidR="00AC10A7" w:rsidRPr="00AC10A7" w:rsidRDefault="00AC10A7" w:rsidP="00AC10A7">
      <w:pPr>
        <w:pStyle w:val="Muc1"/>
        <w:rPr>
          <w:rFonts w:eastAsia="DengXian"/>
          <w:i/>
          <w:iCs/>
          <w:lang w:val="en-US"/>
        </w:rPr>
      </w:pPr>
      <w:r w:rsidRPr="00AC10A7">
        <w:rPr>
          <w:rFonts w:eastAsia="DengXian"/>
          <w:i/>
          <w:iCs/>
          <w:lang w:val="en-US"/>
        </w:rPr>
        <w:t>2.7. Socio-Environmental Conditions</w:t>
      </w:r>
    </w:p>
    <w:p w14:paraId="4E8A4DFF" w14:textId="77777777" w:rsidR="006541F8" w:rsidRDefault="00AC10A7" w:rsidP="006541F8">
      <w:pPr>
        <w:pStyle w:val="Muc2"/>
        <w:keepNext w:val="0"/>
        <w:widowControl w:val="0"/>
        <w:ind w:firstLine="720"/>
        <w:jc w:val="both"/>
        <w:rPr>
          <w:b w:val="0"/>
          <w:bCs w:val="0"/>
          <w:i w:val="0"/>
          <w:iCs/>
        </w:rPr>
      </w:pPr>
      <w:r w:rsidRPr="00AC10A7">
        <w:rPr>
          <w:b w:val="0"/>
          <w:bCs w:val="0"/>
          <w:i w:val="0"/>
          <w:iCs/>
        </w:rPr>
        <w:t>The socio-environmental context is also critical for both investors and workers. Nguyen Cao Huan (2015) points out that high-quality living conditions—including housing, healthcare, education, and cultural amenities—contribute to attracting and retaining skilled labor. Strong social welfare systems and political stability foster community well-being and investor confidence. Social equity and transparency further strengthen the zone’s attractiveness. As Nguyen Thi I (2028) emphasizes, political stability not only reassures investors but also underpins the sustainable and long-term growth of CBEZs.</w:t>
      </w:r>
    </w:p>
    <w:p w14:paraId="59BF2EE4" w14:textId="66EDDED4" w:rsidR="006541F8" w:rsidRPr="006541F8" w:rsidRDefault="006541F8" w:rsidP="006541F8">
      <w:pPr>
        <w:pStyle w:val="Muc1"/>
        <w:rPr>
          <w:rFonts w:eastAsia="DengXian"/>
          <w:lang w:val="en-US"/>
        </w:rPr>
      </w:pPr>
      <w:r w:rsidRPr="006541F8">
        <w:rPr>
          <w:rFonts w:eastAsia="DengXian"/>
          <w:lang w:val="en-US"/>
        </w:rPr>
        <w:lastRenderedPageBreak/>
        <w:t>3. Research Model and Hypotheses</w:t>
      </w:r>
    </w:p>
    <w:p w14:paraId="67CC56C9" w14:textId="77777777" w:rsidR="006541F8" w:rsidRPr="006541F8" w:rsidRDefault="006541F8" w:rsidP="00946142">
      <w:pPr>
        <w:pStyle w:val="Muc2"/>
        <w:widowControl w:val="0"/>
        <w:ind w:firstLine="720"/>
        <w:jc w:val="both"/>
        <w:rPr>
          <w:b w:val="0"/>
          <w:bCs w:val="0"/>
          <w:i w:val="0"/>
          <w:iCs/>
          <w:lang w:val="en-US"/>
        </w:rPr>
      </w:pPr>
      <w:r w:rsidRPr="006541F8">
        <w:rPr>
          <w:b w:val="0"/>
          <w:bCs w:val="0"/>
          <w:i w:val="0"/>
          <w:iCs/>
          <w:lang w:val="en-US"/>
        </w:rPr>
        <w:t>Building upon the literature review, this study proposes a conceptual model that incorporates seven determinants influencing the development of border-gate economic zones (BGEZs). These determinants were selected based on both theoretical foundations and empirical findings from prior studies in Vietnam and abroad. The research model assumes that each factor exerts a positive and significant effect on BGEZ development. Figure 1 illustrates the conceptual framework of the study.</w:t>
      </w:r>
    </w:p>
    <w:p w14:paraId="63027F80" w14:textId="77777777" w:rsidR="006541F8" w:rsidRPr="00946142" w:rsidRDefault="006541F8" w:rsidP="006541F8">
      <w:pPr>
        <w:pStyle w:val="Muc2"/>
        <w:widowControl w:val="0"/>
        <w:jc w:val="both"/>
        <w:rPr>
          <w:lang w:val="en-US"/>
        </w:rPr>
      </w:pPr>
      <w:r w:rsidRPr="00946142">
        <w:rPr>
          <w:lang w:val="en-US"/>
        </w:rPr>
        <w:t>3.1. Infrastructure (INF)</w:t>
      </w:r>
    </w:p>
    <w:p w14:paraId="642268D8" w14:textId="510C0E02" w:rsidR="006541F8" w:rsidRPr="006541F8" w:rsidRDefault="006541F8" w:rsidP="00192827">
      <w:pPr>
        <w:pStyle w:val="Muc2"/>
        <w:widowControl w:val="0"/>
        <w:ind w:firstLine="720"/>
        <w:jc w:val="both"/>
        <w:rPr>
          <w:b w:val="0"/>
          <w:bCs w:val="0"/>
          <w:i w:val="0"/>
          <w:iCs/>
          <w:lang w:val="en-US"/>
        </w:rPr>
      </w:pPr>
      <w:r w:rsidRPr="006541F8">
        <w:rPr>
          <w:b w:val="0"/>
          <w:bCs w:val="0"/>
          <w:i w:val="0"/>
          <w:iCs/>
          <w:lang w:val="en-US"/>
        </w:rPr>
        <w:t>Infrastructure has been widely recognized as the backbone of regional and cross-border economic development. Efficient transport networks, logistics services, telecommunications, and utilities reduce transaction costs and improve competitiveness (Nguyen, 2022). Adequate infrastructure enables firms to operate smoothly and investors to perceive the zone as attractive.</w:t>
      </w:r>
    </w:p>
    <w:p w14:paraId="171D136B" w14:textId="77777777" w:rsidR="006541F8" w:rsidRPr="00192827" w:rsidRDefault="006541F8" w:rsidP="00192827">
      <w:pPr>
        <w:pStyle w:val="Muc2"/>
        <w:widowControl w:val="0"/>
        <w:ind w:firstLine="720"/>
        <w:rPr>
          <w:b w:val="0"/>
          <w:bCs w:val="0"/>
          <w:lang w:val="en-US"/>
        </w:rPr>
      </w:pPr>
      <w:r w:rsidRPr="00192827">
        <w:rPr>
          <w:b w:val="0"/>
          <w:bCs w:val="0"/>
          <w:lang w:val="en-US"/>
        </w:rPr>
        <w:t>H1: Infrastructure has a positive impact on the development of the Lao Cai BGEZ.</w:t>
      </w:r>
    </w:p>
    <w:p w14:paraId="02E89806" w14:textId="77777777" w:rsidR="006541F8" w:rsidRPr="00192827" w:rsidRDefault="006541F8" w:rsidP="006541F8">
      <w:pPr>
        <w:pStyle w:val="Muc2"/>
        <w:widowControl w:val="0"/>
        <w:jc w:val="both"/>
        <w:rPr>
          <w:lang w:val="en-US"/>
        </w:rPr>
      </w:pPr>
      <w:r w:rsidRPr="00192827">
        <w:rPr>
          <w:lang w:val="en-US"/>
        </w:rPr>
        <w:t>3.2. Management and Preferential Policies (POL)</w:t>
      </w:r>
    </w:p>
    <w:p w14:paraId="5DB7DF4A" w14:textId="77777777" w:rsidR="006541F8" w:rsidRPr="006541F8" w:rsidRDefault="006541F8" w:rsidP="00192827">
      <w:pPr>
        <w:pStyle w:val="Muc2"/>
        <w:widowControl w:val="0"/>
        <w:ind w:firstLine="720"/>
        <w:jc w:val="both"/>
        <w:rPr>
          <w:b w:val="0"/>
          <w:bCs w:val="0"/>
          <w:i w:val="0"/>
          <w:iCs/>
          <w:lang w:val="en-US"/>
        </w:rPr>
      </w:pPr>
      <w:r w:rsidRPr="006541F8">
        <w:rPr>
          <w:b w:val="0"/>
          <w:bCs w:val="0"/>
          <w:i w:val="0"/>
          <w:iCs/>
          <w:lang w:val="en-US"/>
        </w:rPr>
        <w:t>Transparent and flexible government policies, including tax incentives, land-use rights, and streamlined administrative procedures, play a crucial role in attracting and retaining investors (Nguyen &amp; Nguyen, 2013). Preferential policies reduce entry barriers and foster a favorable business environment.</w:t>
      </w:r>
    </w:p>
    <w:p w14:paraId="38111FA5" w14:textId="77777777" w:rsidR="006541F8" w:rsidRPr="00192827" w:rsidRDefault="006541F8" w:rsidP="00192827">
      <w:pPr>
        <w:pStyle w:val="Muc2"/>
        <w:widowControl w:val="0"/>
        <w:ind w:firstLine="720"/>
        <w:rPr>
          <w:b w:val="0"/>
          <w:bCs w:val="0"/>
          <w:lang w:val="en-US"/>
        </w:rPr>
      </w:pPr>
      <w:r w:rsidRPr="00192827">
        <w:rPr>
          <w:b w:val="0"/>
          <w:bCs w:val="0"/>
          <w:lang w:val="en-US"/>
        </w:rPr>
        <w:t>H2: Management and preferential policies have a positive impact on the development of the Lao Cai BGEZ.</w:t>
      </w:r>
    </w:p>
    <w:p w14:paraId="551192AC" w14:textId="77777777" w:rsidR="006541F8" w:rsidRPr="00192827" w:rsidRDefault="006541F8" w:rsidP="006541F8">
      <w:pPr>
        <w:pStyle w:val="Muc2"/>
        <w:widowControl w:val="0"/>
        <w:jc w:val="both"/>
        <w:rPr>
          <w:lang w:val="en-US"/>
        </w:rPr>
      </w:pPr>
      <w:r w:rsidRPr="00192827">
        <w:rPr>
          <w:lang w:val="en-US"/>
        </w:rPr>
        <w:t>3.3. International Relations and Regional Cooperation (INT)</w:t>
      </w:r>
    </w:p>
    <w:p w14:paraId="68CF9D48" w14:textId="77777777" w:rsidR="006541F8" w:rsidRPr="006541F8" w:rsidRDefault="006541F8" w:rsidP="00192827">
      <w:pPr>
        <w:pStyle w:val="Muc2"/>
        <w:widowControl w:val="0"/>
        <w:ind w:firstLine="720"/>
        <w:jc w:val="both"/>
        <w:rPr>
          <w:b w:val="0"/>
          <w:bCs w:val="0"/>
          <w:i w:val="0"/>
          <w:iCs/>
          <w:lang w:val="en-US"/>
        </w:rPr>
      </w:pPr>
      <w:r w:rsidRPr="006541F8">
        <w:rPr>
          <w:b w:val="0"/>
          <w:bCs w:val="0"/>
          <w:i w:val="0"/>
          <w:iCs/>
          <w:lang w:val="en-US"/>
        </w:rPr>
        <w:t>International cooperation enhances market access, promotes bilateral and multilateral trade, and strengthens regional integration (Nguyen, 2015). For border zones, close economic ties with neighboring countries are critical to stimulating cross-border trade and foreign direct investment.</w:t>
      </w:r>
    </w:p>
    <w:p w14:paraId="2F83C3A6" w14:textId="77777777" w:rsidR="006541F8" w:rsidRPr="00192827" w:rsidRDefault="006541F8" w:rsidP="00192827">
      <w:pPr>
        <w:pStyle w:val="Muc2"/>
        <w:widowControl w:val="0"/>
        <w:ind w:firstLine="720"/>
        <w:jc w:val="both"/>
        <w:rPr>
          <w:b w:val="0"/>
          <w:bCs w:val="0"/>
          <w:lang w:val="en-US"/>
        </w:rPr>
      </w:pPr>
      <w:r w:rsidRPr="00192827">
        <w:rPr>
          <w:b w:val="0"/>
          <w:bCs w:val="0"/>
          <w:lang w:val="en-US"/>
        </w:rPr>
        <w:t>H3: International relations and regional cooperation have a positive impact on the development of the Lao Cai BGEZ.</w:t>
      </w:r>
    </w:p>
    <w:p w14:paraId="1FAC39B5" w14:textId="77777777" w:rsidR="006541F8" w:rsidRPr="00192827" w:rsidRDefault="006541F8" w:rsidP="006541F8">
      <w:pPr>
        <w:pStyle w:val="Muc2"/>
        <w:widowControl w:val="0"/>
        <w:jc w:val="both"/>
        <w:rPr>
          <w:lang w:val="en-US"/>
        </w:rPr>
      </w:pPr>
      <w:r w:rsidRPr="00192827">
        <w:rPr>
          <w:lang w:val="en-US"/>
        </w:rPr>
        <w:t>3.4. Competitiveness and Innovation (COM)</w:t>
      </w:r>
    </w:p>
    <w:p w14:paraId="66ACECE5" w14:textId="75C27DEB" w:rsidR="006541F8" w:rsidRPr="006541F8" w:rsidRDefault="006541F8" w:rsidP="00192827">
      <w:pPr>
        <w:pStyle w:val="Muc2"/>
        <w:widowControl w:val="0"/>
        <w:ind w:firstLine="720"/>
        <w:jc w:val="both"/>
        <w:rPr>
          <w:b w:val="0"/>
          <w:bCs w:val="0"/>
          <w:i w:val="0"/>
          <w:iCs/>
          <w:lang w:val="en-US"/>
        </w:rPr>
      </w:pPr>
      <w:r w:rsidRPr="006541F8">
        <w:rPr>
          <w:b w:val="0"/>
          <w:bCs w:val="0"/>
          <w:i w:val="0"/>
          <w:iCs/>
          <w:lang w:val="en-US"/>
        </w:rPr>
        <w:t xml:space="preserve">Firm-level innovation capacity, technological adoption, and competitiveness are decisive for sustaining long-term growth in special and border economic zones (Bui, 2016). The ability to upgrade industries and create high value-added products enhances the </w:t>
      </w:r>
      <w:r w:rsidRPr="006541F8">
        <w:rPr>
          <w:b w:val="0"/>
          <w:bCs w:val="0"/>
          <w:i w:val="0"/>
          <w:iCs/>
          <w:lang w:val="en-US"/>
        </w:rPr>
        <w:lastRenderedPageBreak/>
        <w:t>attractiveness of the zone.</w:t>
      </w:r>
    </w:p>
    <w:p w14:paraId="1308F32C" w14:textId="77777777" w:rsidR="006541F8" w:rsidRPr="00192827" w:rsidRDefault="006541F8" w:rsidP="00192827">
      <w:pPr>
        <w:pStyle w:val="Muc2"/>
        <w:widowControl w:val="0"/>
        <w:ind w:firstLine="720"/>
        <w:jc w:val="both"/>
        <w:rPr>
          <w:b w:val="0"/>
          <w:bCs w:val="0"/>
          <w:lang w:val="en-US"/>
        </w:rPr>
      </w:pPr>
      <w:r w:rsidRPr="00192827">
        <w:rPr>
          <w:b w:val="0"/>
          <w:bCs w:val="0"/>
          <w:lang w:val="en-US"/>
        </w:rPr>
        <w:t>H4: Competitiveness and innovation have a positive impact on the development of the Lao Cai BGEZ.</w:t>
      </w:r>
    </w:p>
    <w:p w14:paraId="29E9DC72" w14:textId="77777777" w:rsidR="006541F8" w:rsidRPr="00192827" w:rsidRDefault="006541F8" w:rsidP="006541F8">
      <w:pPr>
        <w:pStyle w:val="Muc2"/>
        <w:widowControl w:val="0"/>
        <w:jc w:val="both"/>
        <w:rPr>
          <w:lang w:val="en-US"/>
        </w:rPr>
      </w:pPr>
      <w:r w:rsidRPr="00192827">
        <w:rPr>
          <w:lang w:val="en-US"/>
        </w:rPr>
        <w:t>3.5. Global Economic Environment (GEC)</w:t>
      </w:r>
    </w:p>
    <w:p w14:paraId="16556E02" w14:textId="77777777" w:rsidR="006541F8" w:rsidRPr="006541F8" w:rsidRDefault="006541F8" w:rsidP="00192827">
      <w:pPr>
        <w:pStyle w:val="Muc2"/>
        <w:widowControl w:val="0"/>
        <w:ind w:firstLine="720"/>
        <w:jc w:val="both"/>
        <w:rPr>
          <w:b w:val="0"/>
          <w:bCs w:val="0"/>
          <w:i w:val="0"/>
          <w:iCs/>
          <w:lang w:val="en-US"/>
        </w:rPr>
      </w:pPr>
      <w:r w:rsidRPr="006541F8">
        <w:rPr>
          <w:b w:val="0"/>
          <w:bCs w:val="0"/>
          <w:i w:val="0"/>
          <w:iCs/>
          <w:lang w:val="en-US"/>
        </w:rPr>
        <w:t>External economic conditions, such as global demand, trade liberalization, and financial stability, influence the performance of BGEZs (Ho, 2016). A s</w:t>
      </w:r>
      <w:r w:rsidRPr="00090E98">
        <w:rPr>
          <w:b w:val="0"/>
          <w:bCs w:val="0"/>
          <w:i w:val="0"/>
          <w:iCs/>
          <w:lang w:val="en-US"/>
        </w:rPr>
        <w:t>table</w:t>
      </w:r>
      <w:r w:rsidRPr="006541F8">
        <w:rPr>
          <w:b w:val="0"/>
          <w:bCs w:val="0"/>
          <w:i w:val="0"/>
          <w:iCs/>
          <w:lang w:val="en-US"/>
        </w:rPr>
        <w:t xml:space="preserve"> global economy encourages trade expansion, while uncertainty and crises may constrain investment flows.</w:t>
      </w:r>
    </w:p>
    <w:p w14:paraId="0DB1B10D" w14:textId="77777777" w:rsidR="006541F8" w:rsidRPr="00192827" w:rsidRDefault="006541F8" w:rsidP="00192827">
      <w:pPr>
        <w:pStyle w:val="Muc2"/>
        <w:widowControl w:val="0"/>
        <w:ind w:firstLine="720"/>
        <w:jc w:val="both"/>
        <w:rPr>
          <w:b w:val="0"/>
          <w:bCs w:val="0"/>
          <w:lang w:val="en-US"/>
        </w:rPr>
      </w:pPr>
      <w:r w:rsidRPr="00192827">
        <w:rPr>
          <w:b w:val="0"/>
          <w:bCs w:val="0"/>
          <w:lang w:val="en-US"/>
        </w:rPr>
        <w:t>H5: The global economic environment has a positive impact on the development of the Lao Cai BGEZ.</w:t>
      </w:r>
    </w:p>
    <w:p w14:paraId="1E243BB5" w14:textId="77777777" w:rsidR="006541F8" w:rsidRPr="00192827" w:rsidRDefault="006541F8" w:rsidP="006541F8">
      <w:pPr>
        <w:pStyle w:val="Muc2"/>
        <w:widowControl w:val="0"/>
        <w:jc w:val="both"/>
        <w:rPr>
          <w:lang w:val="en-US"/>
        </w:rPr>
      </w:pPr>
      <w:r w:rsidRPr="00192827">
        <w:rPr>
          <w:lang w:val="en-US"/>
        </w:rPr>
        <w:t>3.6. Human Resources (HR)</w:t>
      </w:r>
    </w:p>
    <w:p w14:paraId="6085AECB" w14:textId="05FC351C" w:rsidR="006541F8" w:rsidRPr="006541F8" w:rsidRDefault="006541F8" w:rsidP="00192827">
      <w:pPr>
        <w:pStyle w:val="Muc2"/>
        <w:widowControl w:val="0"/>
        <w:ind w:firstLine="720"/>
        <w:jc w:val="both"/>
        <w:rPr>
          <w:b w:val="0"/>
          <w:bCs w:val="0"/>
          <w:i w:val="0"/>
          <w:iCs/>
          <w:lang w:val="en-US"/>
        </w:rPr>
      </w:pPr>
      <w:r w:rsidRPr="006541F8">
        <w:rPr>
          <w:b w:val="0"/>
          <w:bCs w:val="0"/>
          <w:i w:val="0"/>
          <w:iCs/>
          <w:lang w:val="en-US"/>
        </w:rPr>
        <w:t>The availability of skilled labor is a key determinant of industrial upgrading and innovation (Le, 2019). A well-trained workforce not only supports existing enterprises but also attracts high-tech and knowledge-intensive industries to the zone.</w:t>
      </w:r>
    </w:p>
    <w:p w14:paraId="359B779A" w14:textId="66D5A1B7" w:rsidR="006541F8" w:rsidRPr="006541F8" w:rsidRDefault="006541F8" w:rsidP="00192827">
      <w:pPr>
        <w:pStyle w:val="Muc2"/>
        <w:widowControl w:val="0"/>
        <w:ind w:firstLine="720"/>
        <w:jc w:val="both"/>
        <w:rPr>
          <w:b w:val="0"/>
          <w:bCs w:val="0"/>
          <w:i w:val="0"/>
          <w:iCs/>
          <w:lang w:val="en-US"/>
        </w:rPr>
      </w:pPr>
      <w:r w:rsidRPr="00192827">
        <w:rPr>
          <w:b w:val="0"/>
          <w:bCs w:val="0"/>
          <w:lang w:val="en-US"/>
        </w:rPr>
        <w:t>H6: Human resources have a positive impact on the development of the Lao Cai BGEZ.</w:t>
      </w:r>
    </w:p>
    <w:p w14:paraId="28481395" w14:textId="77777777" w:rsidR="006541F8" w:rsidRPr="00192827" w:rsidRDefault="006541F8" w:rsidP="006541F8">
      <w:pPr>
        <w:pStyle w:val="Muc2"/>
        <w:widowControl w:val="0"/>
        <w:jc w:val="both"/>
        <w:rPr>
          <w:lang w:val="en-US"/>
        </w:rPr>
      </w:pPr>
      <w:r w:rsidRPr="00192827">
        <w:rPr>
          <w:lang w:val="en-US"/>
        </w:rPr>
        <w:t>3.7. Socio-Environmental Conditions (SOC)</w:t>
      </w:r>
    </w:p>
    <w:p w14:paraId="63C1664B" w14:textId="1952A6B9" w:rsidR="006541F8" w:rsidRPr="006541F8" w:rsidRDefault="006541F8" w:rsidP="00192827">
      <w:pPr>
        <w:pStyle w:val="Muc2"/>
        <w:widowControl w:val="0"/>
        <w:ind w:firstLine="720"/>
        <w:jc w:val="both"/>
        <w:rPr>
          <w:b w:val="0"/>
          <w:bCs w:val="0"/>
          <w:i w:val="0"/>
          <w:iCs/>
          <w:lang w:val="en-US"/>
        </w:rPr>
      </w:pPr>
      <w:r w:rsidRPr="006541F8">
        <w:rPr>
          <w:b w:val="0"/>
          <w:bCs w:val="0"/>
          <w:i w:val="0"/>
          <w:iCs/>
          <w:lang w:val="en-US"/>
        </w:rPr>
        <w:t>High-quality living conditions, social services, and political stability contribute to retaining skilled workers and ensuring sustainable development (Nguyen, 2015). A favorable socio-environment enhances both the livability of the zone and its long-term attractiveness to investors.</w:t>
      </w:r>
    </w:p>
    <w:p w14:paraId="0D7E241D" w14:textId="77777777" w:rsidR="006541F8" w:rsidRPr="00192827" w:rsidRDefault="006541F8" w:rsidP="00192827">
      <w:pPr>
        <w:pStyle w:val="Muc2"/>
        <w:widowControl w:val="0"/>
        <w:ind w:firstLine="720"/>
        <w:jc w:val="both"/>
        <w:rPr>
          <w:b w:val="0"/>
          <w:bCs w:val="0"/>
          <w:lang w:val="en-US"/>
        </w:rPr>
      </w:pPr>
      <w:r w:rsidRPr="00192827">
        <w:rPr>
          <w:b w:val="0"/>
          <w:bCs w:val="0"/>
          <w:lang w:val="en-US"/>
        </w:rPr>
        <w:t>H7: Socio-environmental conditions have a positive impact on the development of the Lao Cai BGEZ.</w:t>
      </w:r>
    </w:p>
    <w:p w14:paraId="0F178892" w14:textId="77777777" w:rsidR="006541F8" w:rsidRPr="00192827" w:rsidRDefault="006541F8" w:rsidP="006541F8">
      <w:pPr>
        <w:pStyle w:val="Muc2"/>
        <w:widowControl w:val="0"/>
        <w:jc w:val="both"/>
        <w:rPr>
          <w:lang w:val="en-US"/>
        </w:rPr>
      </w:pPr>
      <w:r w:rsidRPr="00192827">
        <w:rPr>
          <w:lang w:val="en-US"/>
        </w:rPr>
        <w:t>3.8. Research Model</w:t>
      </w:r>
    </w:p>
    <w:p w14:paraId="61D549A7" w14:textId="4CD17FDD" w:rsidR="006541F8" w:rsidRPr="00AC10A7" w:rsidRDefault="006541F8" w:rsidP="00192827">
      <w:pPr>
        <w:pStyle w:val="Muc2"/>
        <w:keepNext w:val="0"/>
        <w:widowControl w:val="0"/>
        <w:ind w:firstLine="720"/>
        <w:jc w:val="both"/>
        <w:rPr>
          <w:b w:val="0"/>
          <w:bCs w:val="0"/>
          <w:i w:val="0"/>
          <w:iCs/>
          <w:lang w:val="en-US"/>
        </w:rPr>
      </w:pPr>
      <w:r w:rsidRPr="006541F8">
        <w:rPr>
          <w:b w:val="0"/>
          <w:bCs w:val="0"/>
          <w:i w:val="0"/>
          <w:iCs/>
          <w:lang w:val="en-US"/>
        </w:rPr>
        <w:t>Based on the above hypotheses, the proposed model examines the relationships between seven independent variables—Infrastructure, Policies, International Relations, Competitiveness, Global Economic Environment, Human Resources, and Socio-Environmental Conditions—and the dependent variable, BGEZ development.</w:t>
      </w:r>
    </w:p>
    <w:p w14:paraId="64DCF969" w14:textId="77777777" w:rsidR="00FB0000" w:rsidRPr="00AC10A7" w:rsidRDefault="00FB0000" w:rsidP="003C56C3">
      <w:pPr>
        <w:pStyle w:val="Muc1"/>
        <w:rPr>
          <w:rFonts w:eastAsia="DengXian"/>
          <w:lang w:val="en-US"/>
        </w:rPr>
      </w:pPr>
    </w:p>
    <w:p w14:paraId="6F5D4BC9" w14:textId="77777777" w:rsidR="00AE20AC" w:rsidRDefault="00AE20AC" w:rsidP="00012520">
      <w:pPr>
        <w:pStyle w:val="Muc2"/>
        <w:keepNext w:val="0"/>
        <w:widowControl w:val="0"/>
        <w:ind w:firstLine="720"/>
        <w:jc w:val="both"/>
        <w:rPr>
          <w:b w:val="0"/>
          <w:bCs w:val="0"/>
          <w:i w:val="0"/>
          <w:iCs/>
        </w:rPr>
      </w:pPr>
    </w:p>
    <w:p w14:paraId="622999CF" w14:textId="53797DC2" w:rsidR="005810CB" w:rsidRPr="00D6374E" w:rsidRDefault="000712CC" w:rsidP="000712CC">
      <w:pPr>
        <w:pStyle w:val="Muc2"/>
        <w:jc w:val="both"/>
        <w:rPr>
          <w:rFonts w:eastAsia="DengXian"/>
          <w:i w:val="0"/>
          <w:iCs/>
        </w:rPr>
      </w:pPr>
      <w:r w:rsidRPr="00D6374E">
        <w:rPr>
          <w:rFonts w:eastAsia="DengXian"/>
          <w:i w:val="0"/>
          <w:iCs/>
          <w:noProof/>
        </w:rPr>
        <w:lastRenderedPageBreak/>
        <mc:AlternateContent>
          <mc:Choice Requires="wpc">
            <w:drawing>
              <wp:inline distT="0" distB="0" distL="0" distR="0" wp14:anchorId="76DA6041" wp14:editId="725BC506">
                <wp:extent cx="5948045" cy="2865749"/>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Text Box 20"/>
                        <wps:cNvSpPr txBox="1"/>
                        <wps:spPr>
                          <a:xfrm>
                            <a:off x="3667917" y="1773130"/>
                            <a:ext cx="235585" cy="252095"/>
                          </a:xfrm>
                          <a:prstGeom prst="rect">
                            <a:avLst/>
                          </a:prstGeom>
                          <a:solidFill>
                            <a:schemeClr val="lt1"/>
                          </a:solidFill>
                          <a:ln w="6350">
                            <a:noFill/>
                          </a:ln>
                        </wps:spPr>
                        <wps:txbx>
                          <w:txbxContent>
                            <w:p w14:paraId="1963B5F9" w14:textId="77777777" w:rsidR="00F2353E" w:rsidRDefault="00F2353E" w:rsidP="00F2353E">
                              <w:pPr>
                                <w:jc w:val="center"/>
                                <w:rPr>
                                  <w:rFonts w:ascii="Calibri" w:eastAsia="DengXian" w:hAnsi="Calibri"/>
                                  <w:b/>
                                  <w:bCs/>
                                </w:rPr>
                              </w:pPr>
                              <w:r>
                                <w:rPr>
                                  <w:rFonts w:ascii="Calibri" w:eastAsia="DengXian" w:hAnsi="Calibri"/>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20"/>
                        <wps:cNvSpPr txBox="1"/>
                        <wps:spPr>
                          <a:xfrm>
                            <a:off x="3761236" y="1269458"/>
                            <a:ext cx="235585" cy="252730"/>
                          </a:xfrm>
                          <a:prstGeom prst="rect">
                            <a:avLst/>
                          </a:prstGeom>
                          <a:solidFill>
                            <a:schemeClr val="lt1"/>
                          </a:solidFill>
                          <a:ln w="6350">
                            <a:noFill/>
                          </a:ln>
                        </wps:spPr>
                        <wps:txbx>
                          <w:txbxContent>
                            <w:p w14:paraId="36C3B245" w14:textId="77777777" w:rsidR="00F2353E" w:rsidRDefault="00F2353E" w:rsidP="00F2353E">
                              <w:pPr>
                                <w:jc w:val="center"/>
                                <w:rPr>
                                  <w:rFonts w:ascii="Calibri" w:eastAsia="DengXian" w:hAnsi="Calibri"/>
                                  <w:b/>
                                  <w:bCs/>
                                </w:rPr>
                              </w:pPr>
                              <w:r>
                                <w:rPr>
                                  <w:rFonts w:ascii="Calibri" w:eastAsia="DengXian" w:hAnsi="Calibri"/>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Text Box 20"/>
                        <wps:cNvSpPr txBox="1"/>
                        <wps:spPr>
                          <a:xfrm>
                            <a:off x="3667917" y="755035"/>
                            <a:ext cx="235585" cy="253365"/>
                          </a:xfrm>
                          <a:prstGeom prst="rect">
                            <a:avLst/>
                          </a:prstGeom>
                          <a:solidFill>
                            <a:schemeClr val="lt1"/>
                          </a:solidFill>
                          <a:ln w="6350">
                            <a:noFill/>
                          </a:ln>
                        </wps:spPr>
                        <wps:txbx>
                          <w:txbxContent>
                            <w:p w14:paraId="7EF7DAB5" w14:textId="77777777" w:rsidR="00F2353E" w:rsidRDefault="00F2353E" w:rsidP="00F2353E">
                              <w:pPr>
                                <w:jc w:val="center"/>
                                <w:rPr>
                                  <w:rFonts w:ascii="Calibri" w:eastAsia="DengXian" w:hAnsi="Calibri"/>
                                  <w:b/>
                                  <w:bCs/>
                                </w:rPr>
                              </w:pPr>
                              <w:r>
                                <w:rPr>
                                  <w:rFonts w:ascii="Calibri" w:eastAsia="DengXian" w:hAnsi="Calibri"/>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Text Box 20"/>
                        <wps:cNvSpPr txBox="1"/>
                        <wps:spPr>
                          <a:xfrm>
                            <a:off x="2037081" y="1414911"/>
                            <a:ext cx="235585" cy="254000"/>
                          </a:xfrm>
                          <a:prstGeom prst="rect">
                            <a:avLst/>
                          </a:prstGeom>
                          <a:solidFill>
                            <a:schemeClr val="lt1"/>
                          </a:solidFill>
                          <a:ln w="6350">
                            <a:noFill/>
                          </a:ln>
                        </wps:spPr>
                        <wps:txbx>
                          <w:txbxContent>
                            <w:p w14:paraId="3EA78EDE" w14:textId="77777777" w:rsidR="001F743C" w:rsidRDefault="001F743C" w:rsidP="001F743C">
                              <w:pPr>
                                <w:jc w:val="center"/>
                                <w:rPr>
                                  <w:rFonts w:ascii="Calibri" w:eastAsia="DengXian" w:hAnsi="Calibri"/>
                                  <w:b/>
                                  <w:bCs/>
                                </w:rPr>
                              </w:pPr>
                              <w:r>
                                <w:rPr>
                                  <w:rFonts w:ascii="Calibri" w:eastAsia="DengXian" w:hAnsi="Calibri"/>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2205871" y="688087"/>
                            <a:ext cx="235670" cy="254592"/>
                          </a:xfrm>
                          <a:prstGeom prst="rect">
                            <a:avLst/>
                          </a:prstGeom>
                          <a:solidFill>
                            <a:schemeClr val="lt1"/>
                          </a:solidFill>
                          <a:ln w="6350">
                            <a:noFill/>
                          </a:ln>
                        </wps:spPr>
                        <wps:txbx>
                          <w:txbxContent>
                            <w:p w14:paraId="7A2C8162" w14:textId="18318346" w:rsidR="00856846" w:rsidRPr="00856846" w:rsidRDefault="00856846" w:rsidP="00856846">
                              <w:pPr>
                                <w:spacing w:after="0"/>
                                <w:jc w:val="center"/>
                                <w:rPr>
                                  <w:b/>
                                  <w:bCs/>
                                </w:rPr>
                              </w:pPr>
                              <w:r w:rsidRPr="00856846">
                                <w:rPr>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0"/>
                        <wps:cNvSpPr txBox="1"/>
                        <wps:spPr>
                          <a:xfrm>
                            <a:off x="2065361" y="990705"/>
                            <a:ext cx="235585" cy="254000"/>
                          </a:xfrm>
                          <a:prstGeom prst="rect">
                            <a:avLst/>
                          </a:prstGeom>
                          <a:solidFill>
                            <a:schemeClr val="lt1"/>
                          </a:solidFill>
                          <a:ln w="6350">
                            <a:noFill/>
                          </a:ln>
                        </wps:spPr>
                        <wps:txbx>
                          <w:txbxContent>
                            <w:p w14:paraId="22C40DF8" w14:textId="77777777" w:rsidR="001F743C" w:rsidRDefault="001F743C" w:rsidP="001F743C">
                              <w:pPr>
                                <w:jc w:val="center"/>
                                <w:rPr>
                                  <w:rFonts w:ascii="Calibri" w:eastAsia="DengXian" w:hAnsi="Calibri"/>
                                  <w:b/>
                                  <w:bCs/>
                                </w:rPr>
                              </w:pPr>
                              <w:r>
                                <w:rPr>
                                  <w:rFonts w:ascii="Calibri" w:eastAsia="DengXian" w:hAnsi="Calibri"/>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4" name="Text Box 20"/>
                        <wps:cNvSpPr txBox="1"/>
                        <wps:spPr>
                          <a:xfrm>
                            <a:off x="2083342" y="1848544"/>
                            <a:ext cx="235585" cy="254000"/>
                          </a:xfrm>
                          <a:prstGeom prst="rect">
                            <a:avLst/>
                          </a:prstGeom>
                          <a:solidFill>
                            <a:schemeClr val="lt1"/>
                          </a:solidFill>
                          <a:ln w="6350">
                            <a:noFill/>
                          </a:ln>
                        </wps:spPr>
                        <wps:txbx>
                          <w:txbxContent>
                            <w:p w14:paraId="6CEC8536" w14:textId="77777777" w:rsidR="001F743C" w:rsidRDefault="001F743C" w:rsidP="001F743C">
                              <w:pPr>
                                <w:jc w:val="center"/>
                                <w:rPr>
                                  <w:rFonts w:ascii="Calibri" w:eastAsia="DengXian" w:hAnsi="Calibri"/>
                                  <w:b/>
                                  <w:bCs/>
                                </w:rPr>
                              </w:pPr>
                              <w:r>
                                <w:rPr>
                                  <w:rFonts w:ascii="Calibri" w:eastAsia="DengXian" w:hAnsi="Calibri"/>
                                  <w:b/>
                                  <w:bCs/>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 name="Rectangle 2"/>
                        <wps:cNvSpPr/>
                        <wps:spPr>
                          <a:xfrm>
                            <a:off x="216825" y="216818"/>
                            <a:ext cx="1838227" cy="433633"/>
                          </a:xfrm>
                          <a:prstGeom prst="rect">
                            <a:avLst/>
                          </a:prstGeom>
                        </wps:spPr>
                        <wps:style>
                          <a:lnRef idx="2">
                            <a:schemeClr val="dk1"/>
                          </a:lnRef>
                          <a:fillRef idx="1">
                            <a:schemeClr val="lt1"/>
                          </a:fillRef>
                          <a:effectRef idx="0">
                            <a:schemeClr val="dk1"/>
                          </a:effectRef>
                          <a:fontRef idx="minor">
                            <a:schemeClr val="dk1"/>
                          </a:fontRef>
                        </wps:style>
                        <wps:txbx>
                          <w:txbxContent>
                            <w:p w14:paraId="79DDF97F" w14:textId="6EF46FE9" w:rsidR="00D94656" w:rsidRPr="00D94656" w:rsidRDefault="005C6D36" w:rsidP="00D94656">
                              <w:pPr>
                                <w:jc w:val="center"/>
                                <w:rPr>
                                  <w:rFonts w:ascii="Times New Roman" w:hAnsi="Times New Roman" w:cs="Times New Roman"/>
                                  <w:sz w:val="26"/>
                                  <w:szCs w:val="26"/>
                                </w:rPr>
                              </w:pPr>
                              <w:r>
                                <w:t>Infrastructure (INF)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16797" y="772999"/>
                            <a:ext cx="1838227" cy="556181"/>
                          </a:xfrm>
                          <a:prstGeom prst="rect">
                            <a:avLst/>
                          </a:prstGeom>
                        </wps:spPr>
                        <wps:style>
                          <a:lnRef idx="2">
                            <a:schemeClr val="dk1"/>
                          </a:lnRef>
                          <a:fillRef idx="1">
                            <a:schemeClr val="lt1"/>
                          </a:fillRef>
                          <a:effectRef idx="0">
                            <a:schemeClr val="dk1"/>
                          </a:effectRef>
                          <a:fontRef idx="minor">
                            <a:schemeClr val="dk1"/>
                          </a:fontRef>
                        </wps:style>
                        <wps:txbx>
                          <w:txbxContent>
                            <w:p w14:paraId="088B333A" w14:textId="6FB39054" w:rsidR="00D94656" w:rsidRPr="00D94656" w:rsidRDefault="00FC6C60" w:rsidP="00D94656">
                              <w:pPr>
                                <w:jc w:val="center"/>
                                <w:rPr>
                                  <w:rFonts w:ascii="Times New Roman" w:hAnsi="Times New Roman" w:cs="Times New Roman"/>
                                  <w:sz w:val="26"/>
                                  <w:szCs w:val="26"/>
                                </w:rPr>
                              </w:pPr>
                              <w:r>
                                <w:t>Management and Preferential Policies (POL)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16797" y="1432875"/>
                            <a:ext cx="1838227" cy="556181"/>
                          </a:xfrm>
                          <a:prstGeom prst="rect">
                            <a:avLst/>
                          </a:prstGeom>
                        </wps:spPr>
                        <wps:style>
                          <a:lnRef idx="2">
                            <a:schemeClr val="dk1"/>
                          </a:lnRef>
                          <a:fillRef idx="1">
                            <a:schemeClr val="lt1"/>
                          </a:fillRef>
                          <a:effectRef idx="0">
                            <a:schemeClr val="dk1"/>
                          </a:effectRef>
                          <a:fontRef idx="minor">
                            <a:schemeClr val="dk1"/>
                          </a:fontRef>
                        </wps:style>
                        <wps:txbx>
                          <w:txbxContent>
                            <w:p w14:paraId="6A8A6E66" w14:textId="7F85A76D" w:rsidR="009A6526" w:rsidRPr="00D94656" w:rsidRDefault="00FC6C60" w:rsidP="00D94656">
                              <w:pPr>
                                <w:jc w:val="center"/>
                                <w:rPr>
                                  <w:rFonts w:ascii="Times New Roman" w:hAnsi="Times New Roman" w:cs="Times New Roman"/>
                                  <w:sz w:val="26"/>
                                  <w:szCs w:val="26"/>
                                </w:rPr>
                              </w:pPr>
                              <w:r>
                                <w:t>International Relations and Regional Cooperation (INT)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3996821" y="452486"/>
                            <a:ext cx="1838227" cy="575035"/>
                          </a:xfrm>
                          <a:prstGeom prst="rect">
                            <a:avLst/>
                          </a:prstGeom>
                        </wps:spPr>
                        <wps:style>
                          <a:lnRef idx="2">
                            <a:schemeClr val="dk1"/>
                          </a:lnRef>
                          <a:fillRef idx="1">
                            <a:schemeClr val="lt1"/>
                          </a:fillRef>
                          <a:effectRef idx="0">
                            <a:schemeClr val="dk1"/>
                          </a:effectRef>
                          <a:fontRef idx="minor">
                            <a:schemeClr val="dk1"/>
                          </a:fontRef>
                        </wps:style>
                        <wps:txbx>
                          <w:txbxContent>
                            <w:p w14:paraId="750F0FFA" w14:textId="1B833A1D" w:rsidR="009A6526" w:rsidRPr="00D94656" w:rsidRDefault="00FC6C60" w:rsidP="00D94656">
                              <w:pPr>
                                <w:jc w:val="center"/>
                                <w:rPr>
                                  <w:rFonts w:ascii="Times New Roman" w:hAnsi="Times New Roman" w:cs="Times New Roman"/>
                                  <w:sz w:val="26"/>
                                  <w:szCs w:val="26"/>
                                </w:rPr>
                              </w:pPr>
                              <w:r>
                                <w:t>Competitiveness and Innovation (COM)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987394" y="1234910"/>
                            <a:ext cx="1838227" cy="575035"/>
                          </a:xfrm>
                          <a:prstGeom prst="rect">
                            <a:avLst/>
                          </a:prstGeom>
                        </wps:spPr>
                        <wps:style>
                          <a:lnRef idx="2">
                            <a:schemeClr val="dk1"/>
                          </a:lnRef>
                          <a:fillRef idx="1">
                            <a:schemeClr val="lt1"/>
                          </a:fillRef>
                          <a:effectRef idx="0">
                            <a:schemeClr val="dk1"/>
                          </a:effectRef>
                          <a:fontRef idx="minor">
                            <a:schemeClr val="dk1"/>
                          </a:fontRef>
                        </wps:style>
                        <wps:txbx>
                          <w:txbxContent>
                            <w:p w14:paraId="3055BD31" w14:textId="5BC21BF4" w:rsidR="009A6526" w:rsidRPr="00D94656" w:rsidRDefault="00FC6C60" w:rsidP="00D94656">
                              <w:pPr>
                                <w:jc w:val="center"/>
                                <w:rPr>
                                  <w:rFonts w:ascii="Times New Roman" w:hAnsi="Times New Roman" w:cs="Times New Roman"/>
                                  <w:sz w:val="26"/>
                                  <w:szCs w:val="26"/>
                                </w:rPr>
                              </w:pPr>
                              <w:r>
                                <w:t>Global Economic Environment (GEC)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006248" y="1951348"/>
                            <a:ext cx="1838227" cy="575035"/>
                          </a:xfrm>
                          <a:prstGeom prst="rect">
                            <a:avLst/>
                          </a:prstGeom>
                        </wps:spPr>
                        <wps:style>
                          <a:lnRef idx="2">
                            <a:schemeClr val="dk1"/>
                          </a:lnRef>
                          <a:fillRef idx="1">
                            <a:schemeClr val="lt1"/>
                          </a:fillRef>
                          <a:effectRef idx="0">
                            <a:schemeClr val="dk1"/>
                          </a:effectRef>
                          <a:fontRef idx="minor">
                            <a:schemeClr val="dk1"/>
                          </a:fontRef>
                        </wps:style>
                        <wps:txbx>
                          <w:txbxContent>
                            <w:p w14:paraId="56836894" w14:textId="046B2976" w:rsidR="009A6526" w:rsidRPr="00D94656" w:rsidRDefault="00BF00C1" w:rsidP="00D94656">
                              <w:pPr>
                                <w:jc w:val="center"/>
                                <w:rPr>
                                  <w:rFonts w:ascii="Times New Roman" w:hAnsi="Times New Roman" w:cs="Times New Roman"/>
                                  <w:sz w:val="26"/>
                                  <w:szCs w:val="26"/>
                                </w:rPr>
                              </w:pPr>
                              <w:r>
                                <w:t>Human Resources (HR)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245209" y="2158738"/>
                            <a:ext cx="1838227" cy="575035"/>
                          </a:xfrm>
                          <a:prstGeom prst="rect">
                            <a:avLst/>
                          </a:prstGeom>
                        </wps:spPr>
                        <wps:style>
                          <a:lnRef idx="2">
                            <a:schemeClr val="dk1"/>
                          </a:lnRef>
                          <a:fillRef idx="1">
                            <a:schemeClr val="lt1"/>
                          </a:fillRef>
                          <a:effectRef idx="0">
                            <a:schemeClr val="dk1"/>
                          </a:effectRef>
                          <a:fontRef idx="minor">
                            <a:schemeClr val="dk1"/>
                          </a:fontRef>
                        </wps:style>
                        <wps:txbx>
                          <w:txbxContent>
                            <w:p w14:paraId="05401927" w14:textId="5874243E" w:rsidR="009A6526" w:rsidRPr="00D94656" w:rsidRDefault="00BF00C1" w:rsidP="00D94656">
                              <w:pPr>
                                <w:jc w:val="center"/>
                                <w:rPr>
                                  <w:rFonts w:ascii="Times New Roman" w:hAnsi="Times New Roman" w:cs="Times New Roman"/>
                                  <w:sz w:val="26"/>
                                  <w:szCs w:val="26"/>
                                </w:rPr>
                              </w:pPr>
                              <w:r>
                                <w:t>Socio-Environmental Conditions (SOC)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479025" y="395927"/>
                            <a:ext cx="1159722" cy="2111604"/>
                          </a:xfrm>
                          <a:prstGeom prst="ellipse">
                            <a:avLst/>
                          </a:prstGeom>
                        </wps:spPr>
                        <wps:style>
                          <a:lnRef idx="2">
                            <a:schemeClr val="dk1"/>
                          </a:lnRef>
                          <a:fillRef idx="1">
                            <a:schemeClr val="lt1"/>
                          </a:fillRef>
                          <a:effectRef idx="0">
                            <a:schemeClr val="dk1"/>
                          </a:effectRef>
                          <a:fontRef idx="minor">
                            <a:schemeClr val="dk1"/>
                          </a:fontRef>
                        </wps:style>
                        <wps:txbx>
                          <w:txbxContent>
                            <w:p w14:paraId="7341A3F9" w14:textId="69EE9189" w:rsidR="00B13715" w:rsidRPr="00BD496D" w:rsidRDefault="00BD496D" w:rsidP="00B13715">
                              <w:pPr>
                                <w:jc w:val="center"/>
                              </w:pPr>
                              <w:r w:rsidRPr="00BD496D">
                                <w:t>Development of the Lao Cai Border-Gate Economic Zone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a:stCxn id="2" idx="3"/>
                          <a:endCxn id="11" idx="2"/>
                        </wps:cNvCnPr>
                        <wps:spPr>
                          <a:xfrm>
                            <a:off x="2055052" y="433635"/>
                            <a:ext cx="423973" cy="10180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a:stCxn id="5" idx="3"/>
                          <a:endCxn id="11" idx="2"/>
                        </wps:cNvCnPr>
                        <wps:spPr>
                          <a:xfrm>
                            <a:off x="2054931" y="1051090"/>
                            <a:ext cx="423982" cy="4006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a:stCxn id="6" idx="3"/>
                          <a:endCxn id="11" idx="2"/>
                        </wps:cNvCnPr>
                        <wps:spPr>
                          <a:xfrm flipV="1">
                            <a:off x="2054931" y="1451729"/>
                            <a:ext cx="423982" cy="2592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a:stCxn id="10" idx="3"/>
                          <a:endCxn id="11" idx="2"/>
                        </wps:cNvCnPr>
                        <wps:spPr>
                          <a:xfrm flipV="1">
                            <a:off x="2083342" y="1451729"/>
                            <a:ext cx="395571" cy="99452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a:stCxn id="8" idx="1"/>
                          <a:endCxn id="11" idx="6"/>
                        </wps:cNvCnPr>
                        <wps:spPr>
                          <a:xfrm flipH="1" flipV="1">
                            <a:off x="3638583" y="1451729"/>
                            <a:ext cx="348631" cy="706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a:stCxn id="9" idx="1"/>
                          <a:endCxn id="11" idx="6"/>
                        </wps:cNvCnPr>
                        <wps:spPr>
                          <a:xfrm flipH="1" flipV="1">
                            <a:off x="3638583" y="1451729"/>
                            <a:ext cx="367484" cy="7871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a:stCxn id="7" idx="1"/>
                          <a:endCxn id="11" idx="6"/>
                        </wps:cNvCnPr>
                        <wps:spPr>
                          <a:xfrm flipH="1">
                            <a:off x="3638583" y="740004"/>
                            <a:ext cx="358057" cy="711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6DA6041" id="Canvas 1" o:spid="_x0000_s1026" editas="canvas" style="width:468.35pt;height:225.65pt;mso-position-horizontal-relative:char;mso-position-vertical-relative:line" coordsize="59480,28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PAcAAApGAAAOAAAAZHJzL2Uyb0RvYy54bWzsXNty2zYQfe9M/4HD90YEwasmcsZ1m7Yz&#10;mSQTp80zTJEWpxTAgrAl9+u7C5Cgro6dyK5s88WmRPAC8JzF2T2gXr9ZzivnOpdNKfjEJa8818l5&#10;JqYlv5y4f35++1PiOo1ifMoqwfOJe5M37puTH394vajHuS9moprm0oGT8Ga8qCfuTKl6PBo12Syf&#10;s+aVqHMOOwsh50zBR3k5mkq2gLPPq5HvedFoIeS0liLLmwa+/cXsdE/0+Ysiz9SHomhy5VQTF+5N&#10;6b9S/73Av6OT12x8KVk9K7P2Ntg33MWclRwuak/1C1PMuZLl1qnmZSZFIwr1KhPzkSiKMst1H6A3&#10;xNvozRnj16zRnclgdLobhK0DnvfiEu+7EVU5fVtWFX6oZaPOKulcMxi1xaxUOY7TaK3VCO5ijMfi&#10;/wU8xxyaLGp4ik1tn2fzffd5PmN1rrvfjLP31x+lU04nrg+Q4mwOYPqcL5Xzs1g6vn6QeHVodl5D&#10;Q7WE7wGQeOP4fQNfYteWhZzjfxh5B/bTKIpTErvODbSNY0poCwk8cwYNfBqGSeg6GTTwQ99Lw3Yo&#10;uhPhWP2Wi7mDGxNXAuI0ENj1u0aZUeuabI2zRnluR7pS+nbXx5mNK+4sJm5EQ0+fmAt8TObMFYfH&#10;0ncPt9TyYtn2+UJMb2AopDCob+rsbQk3+Y416iOTAHMgBFAX9s6E/Nd1FkCDidv8c8Vk7jrVHxwe&#10;X0qCAHmjPwRhDCPtyNU9F6t7+NX8TABmCJC+zvQmtldVt1lIMf8CjD3Fq8IuxjO49sRV3eaZMuQE&#10;xmf56aluBEypmXrHzxH3RA8CDunn5Rcm63bcFTyw96IDDBtvDL9piw+Ai9MrJYpSPxscMDNK7TgC&#10;eB8LxQC6g6E4johPI4NiP0qDMDGBbQ+KY4NyANoxo1iT3RJ4ALOOwD3wjwrMgL2DgXklJMdh6FEd&#10;cdl4N5YpjZ5CRDYTVzcZDVg+ZizTw2HZ92jsJTAborwISJASHc/2gTnwPC0/nkJgpgOYn4LKAI11&#10;qMDs+16YxAbMUZJ4SbwlMqIYrmekchCmPu5/ClgO7ovlDyCbi0qALBftluught71/aCw/y+F7R8Q&#10;+14U0shgP0292LtVlDylOK470udBQ7ZoM8ujEtjBIbGcUBoAOVCUJEESBjr+PQdREt03kA+lDyyL&#10;6RLSI5Y+Oix/gmIZ45dV7mipgFGord+1Faw9VTufRIkPRTmsycEm2ah2kIQmvg/1FVQiAWSIVIvV&#10;b1UiGwW2Rt1UOcaGin/KC0jssEqoi1Ib5bzp3105T7fEQwqo3NmDTCVr46C+Bti2xcNyXci2B5o6&#10;4MaB/dVsa31FwZU9cF5yIW+/1cK0bzHR9rWrK+osVqu++0wYu0TRkYulTMkXV5AEPplMoWel1QZ3&#10;ZWWcmlJ6HPtpmq6nB2usDMOIQF78HfnBwMo1VuoQOLDy2dkEtrDas9KKnPuykgTUT+KNzGWgJYgQ&#10;mCEfZrLUMXCg5bOjpTXvelpaXXQnWtI0BQ1rCgpB6AeJZnWfg63TMu5skEHDHkTDErte4K5WzCBi&#10;MUAevatul4b0vLTK6I68TGKaQrUFiyM+BcdmY0HIQMyHnC+NPzZMmM9uwky3s0urje5ETKipRzBN&#10;GmKmIaGwDenjMGO2SfQDV32IrdANM+azWocG89tW3aeXR3eipg8C1gOC63IsWMR0YObEfbR6LLn3&#10;SoxByz4JLQtaqGXmB1iI7fTS6I6kjFOvNUloCosxNlZrEBKmsQ8uoF6uQQiJPG0D7s8w86oq6wbX&#10;Y28lArgAurMM9EJrVHAv3SghL2FZyUt0SkALtcQ8V5KVlzPlnEopFs6Z4ByyIyGdXi4BWc+4efcA&#10;XqpY8nYlqPENdegGCcun3R4kfWspojmCPLJn0KTa/R4DLM0KvdB4+trx3KjyBj5NY1jYiGQnHkk8&#10;SHFvNV+atme2S8at3CgAGN6jFYpBQbGy+pVPHXVTw8sZSpba222vs+NVhV0BYqcp2s+lu53Urxii&#10;j+mkqmXnau11Uo2A7p7u49nuIBS+ClurJSzoGMTxDpxgEWpsHhK2QUpNFZR4IfHSjWoL4jZpJynM&#10;AKlOGvfPUQNsYWy+IRU8ZthaY3p/tF01qrejLXhoB4CtU4D8+QvCpxZA7ftjEHd7AAchAd97vSqx&#10;CmAfVBjVMmwAMM4Xh1zBcswAth7ufgCverrbAMYc/eEQvLIacBeCIXkIcdU3SocUXi0zicSA4JeE&#10;YGt37kfwqv25jWCo22oAd6+/7BC8mgK3C14dgn/HELwzGMNCvyRMQOWgyN0JZbBZUW0glGMvMiuU&#10;BiS/JCRbg3A/klcNw20kQ53zGJAcxUECLqVGMryUM8gKXIb7lTzwmelia6nth/KqxbYNZYjqB4Uy&#10;xhH7uwp9KI7xdZiNVwxomHghXF/jl4Bs1gp+CMXHEYphFta/NwIFqLVfNFn9rItT/U+4nPwHAAD/&#10;/wMAUEsDBBQABgAIAAAAIQDA8KgM3QAAAAUBAAAPAAAAZHJzL2Rvd25yZXYueG1sTI/BTsMwEETv&#10;SPyDtZW4UScUWprGqVBRLxwQFFCvbryNo8TrKHbTwNezcIHLSKtZzbzJ16NrxYB9qD0pSKcJCKTS&#10;m5oqBe9v2+t7ECFqMrr1hAo+McC6uLzIdWb8mV5x2MVKcAiFTCuwMXaZlKG06HSY+g6JvaPvnY58&#10;9pU0vT5zuGvlTZLMpdM1cYPVHW4sls3u5Lhk02ybRbl/+rKPL+nz8EF0HEipq8n4sAIRcYx/z/CD&#10;z+hQMNPBn8gE0SrgIfFX2VvO5gsQBwW3d+kMZJHL//TFNwAAAP//AwBQSwECLQAUAAYACAAAACEA&#10;toM4kv4AAADhAQAAEwAAAAAAAAAAAAAAAAAAAAAAW0NvbnRlbnRfVHlwZXNdLnhtbFBLAQItABQA&#10;BgAIAAAAIQA4/SH/1gAAAJQBAAALAAAAAAAAAAAAAAAAAC8BAABfcmVscy8ucmVsc1BLAQItABQA&#10;BgAIAAAAIQC+4NsIPAcAAApGAAAOAAAAAAAAAAAAAAAAAC4CAABkcnMvZTJvRG9jLnhtbFBLAQIt&#10;ABQABgAIAAAAIQDA8KgM3QAAAAUBAAAPAAAAAAAAAAAAAAAAAJYJAABkcnMvZG93bnJldi54bWxQ&#10;SwUGAAAAAAQABADzAAAAo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80;height:28651;visibility:visible;mso-wrap-style:square" filled="t">
                  <v:fill o:detectmouseclick="t"/>
                  <v:path o:connecttype="none"/>
                </v:shape>
                <v:shapetype id="_x0000_t202" coordsize="21600,21600" o:spt="202" path="m,l,21600r21600,l21600,xe">
                  <v:stroke joinstyle="miter"/>
                  <v:path gradientshapeok="t" o:connecttype="rect"/>
                </v:shapetype>
                <v:shape id="Text Box 20" o:spid="_x0000_s1028" type="#_x0000_t202" style="position:absolute;left:36679;top:17731;width:2356;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1963B5F9" w14:textId="77777777" w:rsidR="00F2353E" w:rsidRDefault="00F2353E" w:rsidP="00F2353E">
                        <w:pPr>
                          <w:jc w:val="center"/>
                          <w:rPr>
                            <w:rFonts w:ascii="Calibri" w:eastAsia="DengXian" w:hAnsi="Calibri"/>
                            <w:b/>
                            <w:bCs/>
                          </w:rPr>
                        </w:pPr>
                        <w:r>
                          <w:rPr>
                            <w:rFonts w:ascii="Calibri" w:eastAsia="DengXian" w:hAnsi="Calibri"/>
                            <w:b/>
                            <w:bCs/>
                          </w:rPr>
                          <w:t>+</w:t>
                        </w:r>
                      </w:p>
                    </w:txbxContent>
                  </v:textbox>
                </v:shape>
                <v:shape id="Text Box 20" o:spid="_x0000_s1029" type="#_x0000_t202" style="position:absolute;left:37612;top:12694;width:235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URxQAAANsAAAAPAAAAZHJzL2Rvd25yZXYueG1sRI9Ba8JA&#10;FITvQv/D8oReRDdVqhJdpZTWijeNtnh7ZJ9JaPZtyK5J+u/dguBxmJlvmOW6M6VoqHaFZQUvowgE&#10;cWp1wZmCY/I5nINwHlljaZkU/JGD9eqpt8RY25b31Bx8JgKEXYwKcu+rWEqX5mTQjWxFHLyLrQ36&#10;IOtM6hrbADelHEfRVBosOCzkWNF7Tunv4WoUnAfZz851m1M7eZ1UH19NMvvWiVLP/e5tAcJT5x/h&#10;e3urFYxn8P8l/AC5ugEAAP//AwBQSwECLQAUAAYACAAAACEA2+H2y+4AAACFAQAAEwAAAAAAAAAA&#10;AAAAAAAAAAAAW0NvbnRlbnRfVHlwZXNdLnhtbFBLAQItABQABgAIAAAAIQBa9CxbvwAAABUBAAAL&#10;AAAAAAAAAAAAAAAAAB8BAABfcmVscy8ucmVsc1BLAQItABQABgAIAAAAIQCPZhURxQAAANsAAAAP&#10;AAAAAAAAAAAAAAAAAAcCAABkcnMvZG93bnJldi54bWxQSwUGAAAAAAMAAwC3AAAA+QIAAAAA&#10;" fillcolor="white [3201]" stroked="f" strokeweight=".5pt">
                  <v:textbox>
                    <w:txbxContent>
                      <w:p w14:paraId="36C3B245" w14:textId="77777777" w:rsidR="00F2353E" w:rsidRDefault="00F2353E" w:rsidP="00F2353E">
                        <w:pPr>
                          <w:jc w:val="center"/>
                          <w:rPr>
                            <w:rFonts w:ascii="Calibri" w:eastAsia="DengXian" w:hAnsi="Calibri"/>
                            <w:b/>
                            <w:bCs/>
                          </w:rPr>
                        </w:pPr>
                        <w:r>
                          <w:rPr>
                            <w:rFonts w:ascii="Calibri" w:eastAsia="DengXian" w:hAnsi="Calibri"/>
                            <w:b/>
                            <w:bCs/>
                          </w:rPr>
                          <w:t>+</w:t>
                        </w:r>
                      </w:p>
                    </w:txbxContent>
                  </v:textbox>
                </v:shape>
                <v:shape id="Text Box 20" o:spid="_x0000_s1030" type="#_x0000_t202" style="position:absolute;left:36679;top:7550;width:235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7EF7DAB5" w14:textId="77777777" w:rsidR="00F2353E" w:rsidRDefault="00F2353E" w:rsidP="00F2353E">
                        <w:pPr>
                          <w:jc w:val="center"/>
                          <w:rPr>
                            <w:rFonts w:ascii="Calibri" w:eastAsia="DengXian" w:hAnsi="Calibri"/>
                            <w:b/>
                            <w:bCs/>
                          </w:rPr>
                        </w:pPr>
                        <w:r>
                          <w:rPr>
                            <w:rFonts w:ascii="Calibri" w:eastAsia="DengXian" w:hAnsi="Calibri"/>
                            <w:b/>
                            <w:bCs/>
                          </w:rPr>
                          <w:t>+</w:t>
                        </w:r>
                      </w:p>
                    </w:txbxContent>
                  </v:textbox>
                </v:shape>
                <v:shape id="Text Box 20" o:spid="_x0000_s1031" type="#_x0000_t202" style="position:absolute;left:20370;top:14149;width:23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EA78EDE" w14:textId="77777777" w:rsidR="001F743C" w:rsidRDefault="001F743C" w:rsidP="001F743C">
                        <w:pPr>
                          <w:jc w:val="center"/>
                          <w:rPr>
                            <w:rFonts w:ascii="Calibri" w:eastAsia="DengXian" w:hAnsi="Calibri"/>
                            <w:b/>
                            <w:bCs/>
                          </w:rPr>
                        </w:pPr>
                        <w:r>
                          <w:rPr>
                            <w:rFonts w:ascii="Calibri" w:eastAsia="DengXian" w:hAnsi="Calibri"/>
                            <w:b/>
                            <w:bCs/>
                          </w:rPr>
                          <w:t>+</w:t>
                        </w:r>
                      </w:p>
                    </w:txbxContent>
                  </v:textbox>
                </v:shape>
                <v:shape id="Text Box 20" o:spid="_x0000_s1032" type="#_x0000_t202" style="position:absolute;left:22058;top:6880;width:235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7A2C8162" w14:textId="18318346" w:rsidR="00856846" w:rsidRPr="00856846" w:rsidRDefault="00856846" w:rsidP="00856846">
                        <w:pPr>
                          <w:spacing w:after="0"/>
                          <w:jc w:val="center"/>
                          <w:rPr>
                            <w:b/>
                            <w:bCs/>
                          </w:rPr>
                        </w:pPr>
                        <w:r w:rsidRPr="00856846">
                          <w:rPr>
                            <w:b/>
                            <w:bCs/>
                          </w:rPr>
                          <w:t>+</w:t>
                        </w:r>
                      </w:p>
                    </w:txbxContent>
                  </v:textbox>
                </v:shape>
                <v:shape id="Text Box 20" o:spid="_x0000_s1033" type="#_x0000_t202" style="position:absolute;left:20653;top:9907;width:23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22C40DF8" w14:textId="77777777" w:rsidR="001F743C" w:rsidRDefault="001F743C" w:rsidP="001F743C">
                        <w:pPr>
                          <w:jc w:val="center"/>
                          <w:rPr>
                            <w:rFonts w:ascii="Calibri" w:eastAsia="DengXian" w:hAnsi="Calibri"/>
                            <w:b/>
                            <w:bCs/>
                          </w:rPr>
                        </w:pPr>
                        <w:r>
                          <w:rPr>
                            <w:rFonts w:ascii="Calibri" w:eastAsia="DengXian" w:hAnsi="Calibri"/>
                            <w:b/>
                            <w:bCs/>
                          </w:rPr>
                          <w:t>+</w:t>
                        </w:r>
                      </w:p>
                    </w:txbxContent>
                  </v:textbox>
                </v:shape>
                <v:shape id="Text Box 20" o:spid="_x0000_s1034" type="#_x0000_t202" style="position:absolute;left:20833;top:18485;width:23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6CEC8536" w14:textId="77777777" w:rsidR="001F743C" w:rsidRDefault="001F743C" w:rsidP="001F743C">
                        <w:pPr>
                          <w:jc w:val="center"/>
                          <w:rPr>
                            <w:rFonts w:ascii="Calibri" w:eastAsia="DengXian" w:hAnsi="Calibri"/>
                            <w:b/>
                            <w:bCs/>
                          </w:rPr>
                        </w:pPr>
                        <w:r>
                          <w:rPr>
                            <w:rFonts w:ascii="Calibri" w:eastAsia="DengXian" w:hAnsi="Calibri"/>
                            <w:b/>
                            <w:bCs/>
                          </w:rPr>
                          <w:t>+</w:t>
                        </w:r>
                      </w:p>
                    </w:txbxContent>
                  </v:textbox>
                </v:shape>
                <v:rect id="Rectangle 2" o:spid="_x0000_s1035" style="position:absolute;left:2168;top:2168;width:18382;height:4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14:paraId="79DDF97F" w14:textId="6EF46FE9" w:rsidR="00D94656" w:rsidRPr="00D94656" w:rsidRDefault="005C6D36" w:rsidP="00D94656">
                        <w:pPr>
                          <w:jc w:val="center"/>
                          <w:rPr>
                            <w:rFonts w:ascii="Times New Roman" w:hAnsi="Times New Roman" w:cs="Times New Roman"/>
                            <w:sz w:val="26"/>
                            <w:szCs w:val="26"/>
                          </w:rPr>
                        </w:pPr>
                        <w:r>
                          <w:t>Infrastructure (INF)</w:t>
                        </w:r>
                      </w:p>
                    </w:txbxContent>
                  </v:textbox>
                </v:rect>
                <v:rect id="Rectangle 5" o:spid="_x0000_s1036" style="position:absolute;left:2167;top:7729;width:18383;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088B333A" w14:textId="6FB39054" w:rsidR="00D94656" w:rsidRPr="00D94656" w:rsidRDefault="00FC6C60" w:rsidP="00D94656">
                        <w:pPr>
                          <w:jc w:val="center"/>
                          <w:rPr>
                            <w:rFonts w:ascii="Times New Roman" w:hAnsi="Times New Roman" w:cs="Times New Roman"/>
                            <w:sz w:val="26"/>
                            <w:szCs w:val="26"/>
                          </w:rPr>
                        </w:pPr>
                        <w:r>
                          <w:t>Management and Preferential Policies (POL)</w:t>
                        </w:r>
                      </w:p>
                    </w:txbxContent>
                  </v:textbox>
                </v:rect>
                <v:rect id="Rectangle 6" o:spid="_x0000_s1037" style="position:absolute;left:2167;top:14328;width:18383;height:5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6A8A6E66" w14:textId="7F85A76D" w:rsidR="009A6526" w:rsidRPr="00D94656" w:rsidRDefault="00FC6C60" w:rsidP="00D94656">
                        <w:pPr>
                          <w:jc w:val="center"/>
                          <w:rPr>
                            <w:rFonts w:ascii="Times New Roman" w:hAnsi="Times New Roman" w:cs="Times New Roman"/>
                            <w:sz w:val="26"/>
                            <w:szCs w:val="26"/>
                          </w:rPr>
                        </w:pPr>
                        <w:r>
                          <w:t>International Relations and Regional Cooperation (INT)</w:t>
                        </w:r>
                      </w:p>
                    </w:txbxContent>
                  </v:textbox>
                </v:rect>
                <v:rect id="Rectangle 7" o:spid="_x0000_s1038" style="position:absolute;left:39968;top:4524;width:18382;height:57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750F0FFA" w14:textId="1B833A1D" w:rsidR="009A6526" w:rsidRPr="00D94656" w:rsidRDefault="00FC6C60" w:rsidP="00D94656">
                        <w:pPr>
                          <w:jc w:val="center"/>
                          <w:rPr>
                            <w:rFonts w:ascii="Times New Roman" w:hAnsi="Times New Roman" w:cs="Times New Roman"/>
                            <w:sz w:val="26"/>
                            <w:szCs w:val="26"/>
                          </w:rPr>
                        </w:pPr>
                        <w:r>
                          <w:t>Competitiveness and Innovation (COM)</w:t>
                        </w:r>
                      </w:p>
                    </w:txbxContent>
                  </v:textbox>
                </v:rect>
                <v:rect id="Rectangle 8" o:spid="_x0000_s1039" style="position:absolute;left:39873;top:12349;width:18383;height: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pLwQAAANoAAAAPAAAAZHJzL2Rvd25yZXYueG1sRE+7asMw&#10;FN0D+QdxA90SOR2cxokSTGih0FATt0PGi3Vrm1pXRlL9+PtqKHQ8nPfxPJlODOR8a1nBdpOAIK6s&#10;brlW8Pnxsn4C4QOyxs4yKZjJw/m0XBwx03bkGw1lqEUMYZ+hgiaEPpPSVw0Z9BvbE0fuyzqDIUJX&#10;S+1wjOGmk49JkkqDLceGBnu6NFR9lz9GgS3aucvd/n240u7+VoRknNJnpR5WU34AEWgK/+I/96tW&#10;ELfGK/EGyNMvAAAA//8DAFBLAQItABQABgAIAAAAIQDb4fbL7gAAAIUBAAATAAAAAAAAAAAAAAAA&#10;AAAAAABbQ29udGVudF9UeXBlc10ueG1sUEsBAi0AFAAGAAgAAAAhAFr0LFu/AAAAFQEAAAsAAAAA&#10;AAAAAAAAAAAAHwEAAF9yZWxzLy5yZWxzUEsBAi0AFAAGAAgAAAAhAOn4ekvBAAAA2gAAAA8AAAAA&#10;AAAAAAAAAAAABwIAAGRycy9kb3ducmV2LnhtbFBLBQYAAAAAAwADALcAAAD1AgAAAAA=&#10;" fillcolor="white [3201]" strokecolor="black [3200]" strokeweight="1pt">
                  <v:textbox>
                    <w:txbxContent>
                      <w:p w14:paraId="3055BD31" w14:textId="5BC21BF4" w:rsidR="009A6526" w:rsidRPr="00D94656" w:rsidRDefault="00FC6C60" w:rsidP="00D94656">
                        <w:pPr>
                          <w:jc w:val="center"/>
                          <w:rPr>
                            <w:rFonts w:ascii="Times New Roman" w:hAnsi="Times New Roman" w:cs="Times New Roman"/>
                            <w:sz w:val="26"/>
                            <w:szCs w:val="26"/>
                          </w:rPr>
                        </w:pPr>
                        <w:r>
                          <w:t>Global Economic Environment (GEC)</w:t>
                        </w:r>
                      </w:p>
                    </w:txbxContent>
                  </v:textbox>
                </v:rect>
                <v:rect id="Rectangle 9" o:spid="_x0000_s1040" style="position:absolute;left:40062;top:19513;width:18382;height: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N/QxAAAANoAAAAPAAAAZHJzL2Rvd25yZXYueG1sRI/NasMw&#10;EITvgbyD2EBuidwcnMaNEkxpoJBS0zSHHBdra5taKyOp/nn7KlDocZiZb5j9cTSt6Mn5xrKCh3UC&#10;gri0uuFKwfXztHoE4QOyxtYyKZjIw/Ewn+0x03bgD+ovoRIRwj5DBXUIXSalL2sy6Ne2I47el3UG&#10;Q5SuktrhEOGmlZskSaXBhuNCjR0911R+X36MAls0U5u73Xv/RtvbuQjJMKYvSi0XY/4EItAY/sN/&#10;7VetYAf3K/EGyMMvAAAA//8DAFBLAQItABQABgAIAAAAIQDb4fbL7gAAAIUBAAATAAAAAAAAAAAA&#10;AAAAAAAAAABbQ29udGVudF9UeXBlc10ueG1sUEsBAi0AFAAGAAgAAAAhAFr0LFu/AAAAFQEAAAsA&#10;AAAAAAAAAAAAAAAAHwEAAF9yZWxzLy5yZWxzUEsBAi0AFAAGAAgAAAAhAIa039DEAAAA2gAAAA8A&#10;AAAAAAAAAAAAAAAABwIAAGRycy9kb3ducmV2LnhtbFBLBQYAAAAAAwADALcAAAD4AgAAAAA=&#10;" fillcolor="white [3201]" strokecolor="black [3200]" strokeweight="1pt">
                  <v:textbox>
                    <w:txbxContent>
                      <w:p w14:paraId="56836894" w14:textId="046B2976" w:rsidR="009A6526" w:rsidRPr="00D94656" w:rsidRDefault="00BF00C1" w:rsidP="00D94656">
                        <w:pPr>
                          <w:jc w:val="center"/>
                          <w:rPr>
                            <w:rFonts w:ascii="Times New Roman" w:hAnsi="Times New Roman" w:cs="Times New Roman"/>
                            <w:sz w:val="26"/>
                            <w:szCs w:val="26"/>
                          </w:rPr>
                        </w:pPr>
                        <w:r>
                          <w:t>Human Resources (HR)</w:t>
                        </w:r>
                      </w:p>
                    </w:txbxContent>
                  </v:textbox>
                </v:rect>
                <v:rect id="Rectangle 10" o:spid="_x0000_s1041" style="position:absolute;left:2452;top:21587;width:18382;height:5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cxAAAANsAAAAPAAAAZHJzL2Rvd25yZXYueG1sRI9Ba8JA&#10;EIXvBf/DMoK3urEH20ZXEakgtFSqHjwO2TEJZmfD7prEf985FHqb4b1575vlenCN6ijE2rOB2TQD&#10;RVx4W3Np4HzaPb+BignZYuOZDDwowno1elpibn3PP9QdU6kkhGOOBqqU2lzrWFTkME59Syza1QeH&#10;SdZQahuwl3DX6Jcsm2uHNUtDhS1tKypux7sz4A/1o9mE9+/ui14vn4eU9cP8w5jJeNgsQCUa0r/5&#10;73pvBV/o5RcZQK9+AQAA//8DAFBLAQItABQABgAIAAAAIQDb4fbL7gAAAIUBAAATAAAAAAAAAAAA&#10;AAAAAAAAAABbQ29udGVudF9UeXBlc10ueG1sUEsBAi0AFAAGAAgAAAAhAFr0LFu/AAAAFQEAAAsA&#10;AAAAAAAAAAAAAAAAHwEAAF9yZWxzLy5yZWxzUEsBAi0AFAAGAAgAAAAhAH+yM9zEAAAA2wAAAA8A&#10;AAAAAAAAAAAAAAAABwIAAGRycy9kb3ducmV2LnhtbFBLBQYAAAAAAwADALcAAAD4AgAAAAA=&#10;" fillcolor="white [3201]" strokecolor="black [3200]" strokeweight="1pt">
                  <v:textbox>
                    <w:txbxContent>
                      <w:p w14:paraId="05401927" w14:textId="5874243E" w:rsidR="009A6526" w:rsidRPr="00D94656" w:rsidRDefault="00BF00C1" w:rsidP="00D94656">
                        <w:pPr>
                          <w:jc w:val="center"/>
                          <w:rPr>
                            <w:rFonts w:ascii="Times New Roman" w:hAnsi="Times New Roman" w:cs="Times New Roman"/>
                            <w:sz w:val="26"/>
                            <w:szCs w:val="26"/>
                          </w:rPr>
                        </w:pPr>
                        <w:r>
                          <w:t>Socio-Environmental Conditions (SOC)</w:t>
                        </w:r>
                      </w:p>
                    </w:txbxContent>
                  </v:textbox>
                </v:rect>
                <v:oval id="Oval 11" o:spid="_x0000_s1042" style="position:absolute;left:24790;top:3959;width:11597;height:2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IkwAAAANsAAAAPAAAAZHJzL2Rvd25yZXYueG1sRE9Na8JA&#10;EL0L/Q/LFLxI3U0PRVLXIKUFr42F4m3MjtmQ7GzIbmP017tCwds83uesi8l1YqQhNJ41ZEsFgrjy&#10;puFaw8/+62UFIkRkg51n0nChAMXmabbG3Pgzf9NYxlqkEA45arAx9rmUobLkMCx9T5y4kx8cxgSH&#10;WpoBzyncdfJVqTfpsOHUYLGnD0tVW/45DaVqS5ILvB5GUnZ/7D/5V7Zaz5+n7TuISFN8iP/dO5Pm&#10;Z3D/JR0gNzcAAAD//wMAUEsBAi0AFAAGAAgAAAAhANvh9svuAAAAhQEAABMAAAAAAAAAAAAAAAAA&#10;AAAAAFtDb250ZW50X1R5cGVzXS54bWxQSwECLQAUAAYACAAAACEAWvQsW78AAAAVAQAACwAAAAAA&#10;AAAAAAAAAAAfAQAAX3JlbHMvLnJlbHNQSwECLQAUAAYACAAAACEAv7giJMAAAADbAAAADwAAAAAA&#10;AAAAAAAAAAAHAgAAZHJzL2Rvd25yZXYueG1sUEsFBgAAAAADAAMAtwAAAPQCAAAAAA==&#10;" fillcolor="white [3201]" strokecolor="black [3200]" strokeweight="1pt">
                  <v:stroke joinstyle="miter"/>
                  <v:textbox>
                    <w:txbxContent>
                      <w:p w14:paraId="7341A3F9" w14:textId="69EE9189" w:rsidR="00B13715" w:rsidRPr="00BD496D" w:rsidRDefault="00BD496D" w:rsidP="00B13715">
                        <w:pPr>
                          <w:jc w:val="center"/>
                        </w:pPr>
                        <w:r w:rsidRPr="00BD496D">
                          <w:t>Development of the Lao Cai Border-Gate Economic Zone</w:t>
                        </w:r>
                      </w:p>
                    </w:txbxContent>
                  </v:textbox>
                </v:oval>
                <v:shapetype id="_x0000_t32" coordsize="21600,21600" o:spt="32" o:oned="t" path="m,l21600,21600e" filled="f">
                  <v:path arrowok="t" fillok="f" o:connecttype="none"/>
                  <o:lock v:ext="edit" shapetype="t"/>
                </v:shapetype>
                <v:shape id="Straight Arrow Connector 12" o:spid="_x0000_s1043" type="#_x0000_t32" style="position:absolute;left:20550;top:4336;width:4240;height:101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Straight Arrow Connector 13" o:spid="_x0000_s1044" type="#_x0000_t32" style="position:absolute;left:20549;top:10510;width:4240;height:40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cVwAAAANsAAAAPAAAAZHJzL2Rvd25yZXYueG1sRE9Li8Iw&#10;EL4v+B/CCN7WVEVZa1PxgeDubVU8D83YFptJbaKt/34jCHubj+85ybIzlXhQ40rLCkbDCARxZnXJ&#10;uYLTcff5BcJ5ZI2VZVLwJAfLtPeRYKxty7/0OPhchBB2MSoovK9jKV1WkEE3tDVx4C62MegDbHKp&#10;G2xDuKnkOIpm0mDJoaHAmjYFZdfD3Sho0Z/n61V+26y33/tuWt1mx9OPUoN+t1qA8NT5f/Hbvddh&#10;/gRev4QDZPoHAAD//wMAUEsBAi0AFAAGAAgAAAAhANvh9svuAAAAhQEAABMAAAAAAAAAAAAAAAAA&#10;AAAAAFtDb250ZW50X1R5cGVzXS54bWxQSwECLQAUAAYACAAAACEAWvQsW78AAAAVAQAACwAAAAAA&#10;AAAAAAAAAAAfAQAAX3JlbHMvLnJlbHNQSwECLQAUAAYACAAAACEAwroXFcAAAADbAAAADwAAAAAA&#10;AAAAAAAAAAAHAgAAZHJzL2Rvd25yZXYueG1sUEsFBgAAAAADAAMAtwAAAPQCAAAAAA==&#10;" strokecolor="black [3200]" strokeweight=".5pt">
                  <v:stroke endarrow="block" joinstyle="miter"/>
                </v:shape>
                <v:shape id="Straight Arrow Connector 15" o:spid="_x0000_s1045" type="#_x0000_t32" style="position:absolute;left:20549;top:14517;width:4240;height:25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WyMwgAAANsAAAAPAAAAZHJzL2Rvd25yZXYueG1sRE9La8JA&#10;EL4X+h+WKXgpuqnxReoqRSnt1Siit2l2moRmZ0Nm1fTfdwuF3ubje85y3btGXamT2rOBp1ECirjw&#10;tubSwGH/OlyAkoBssfFMBr5JYL26v1tiZv2Nd3TNQ6liCEuGBqoQ2kxrKSpyKCPfEkfu03cOQ4Rd&#10;qW2HtxjuGj1Okpl2WHNsqLClTUXFV35xBtIwkfFucppLfi4/Hu02TeX4ZszgoX95BhWoD//iP/e7&#10;jfOn8PtLPECvfgAAAP//AwBQSwECLQAUAAYACAAAACEA2+H2y+4AAACFAQAAEwAAAAAAAAAAAAAA&#10;AAAAAAAAW0NvbnRlbnRfVHlwZXNdLnhtbFBLAQItABQABgAIAAAAIQBa9CxbvwAAABUBAAALAAAA&#10;AAAAAAAAAAAAAB8BAABfcmVscy8ucmVsc1BLAQItABQABgAIAAAAIQBjPWyMwgAAANsAAAAPAAAA&#10;AAAAAAAAAAAAAAcCAABkcnMvZG93bnJldi54bWxQSwUGAAAAAAMAAwC3AAAA9gIAAAAA&#10;" strokecolor="black [3200]" strokeweight=".5pt">
                  <v:stroke endarrow="block" joinstyle="miter"/>
                </v:shape>
                <v:shape id="Straight Arrow Connector 16" o:spid="_x0000_s1046" type="#_x0000_t32" style="position:absolute;left:20833;top:14517;width:3956;height:99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shape id="Straight Arrow Connector 17" o:spid="_x0000_s1047" type="#_x0000_t32" style="position:absolute;left:36385;top:14517;width:3487;height:7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FyTwwAAANsAAAAPAAAAZHJzL2Rvd25yZXYueG1sRI/NqsIw&#10;EIX3wn2HMBfciKa68KfXKCIIIi78e4CxmduWNpPSRFt9eiMI7mY453xzZr5sTSnuVLvcsoLhIAJB&#10;nFidc6rgct70pyCcR9ZYWiYFD3KwXPx05hhr2/CR7iefigBhF6OCzPsqltIlGRl0A1sRB+3f1gZ9&#10;WOtU6hqbADelHEXRWBrMOVzIsKJ1RklxuhkFTfE87gvd2wXs9ubPh9l0c50p1f1tV38gPLX+a/6k&#10;tzrUn8D7lzCAXLwAAAD//wMAUEsBAi0AFAAGAAgAAAAhANvh9svuAAAAhQEAABMAAAAAAAAAAAAA&#10;AAAAAAAAAFtDb250ZW50X1R5cGVzXS54bWxQSwECLQAUAAYACAAAACEAWvQsW78AAAAVAQAACwAA&#10;AAAAAAAAAAAAAAAfAQAAX3JlbHMvLnJlbHNQSwECLQAUAAYACAAAACEAmBBck8MAAADbAAAADwAA&#10;AAAAAAAAAAAAAAAHAgAAZHJzL2Rvd25yZXYueG1sUEsFBgAAAAADAAMAtwAAAPcCAAAAAA==&#10;" strokecolor="black [3200]" strokeweight=".5pt">
                  <v:stroke endarrow="block" joinstyle="miter"/>
                </v:shape>
                <v:shape id="Straight Arrow Connector 18" o:spid="_x0000_s1048" type="#_x0000_t32" style="position:absolute;left:36385;top:14517;width:3675;height:78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8jhxAAAANsAAAAPAAAAZHJzL2Rvd25yZXYueG1sRI/NisJA&#10;EITvC77D0IKXRSfrYdHoKCIIsuxh/XmANtMmIZmekBlN9Om3D4K3arr666rlune1ulMbSs8GviYJ&#10;KOLM25JzA+fTbjwDFSKyxdozGXhQgPVq8LHE1PqOD3Q/xlwJhEOKBooYm1TrkBXkMEx8Qyy7q28d&#10;RhnbXNsWO4G7Wk+T5Fs7LFk+FNjQtqCsOt6cga56Hn4r+/kj2P0tnv7ms91lbsxo2G8WoCL18W1+&#10;Xe+txJew0kUE6NU/AAAA//8DAFBLAQItABQABgAIAAAAIQDb4fbL7gAAAIUBAAATAAAAAAAAAAAA&#10;AAAAAAAAAABbQ29udGVudF9UeXBlc10ueG1sUEsBAi0AFAAGAAgAAAAhAFr0LFu/AAAAFQEAAAsA&#10;AAAAAAAAAAAAAAAAHwEAAF9yZWxzLy5yZWxzUEsBAi0AFAAGAAgAAAAhAOmPyOHEAAAA2wAAAA8A&#10;AAAAAAAAAAAAAAAABwIAAGRycy9kb3ducmV2LnhtbFBLBQYAAAAAAwADALcAAAD4AgAAAAA=&#10;" strokecolor="black [3200]" strokeweight=".5pt">
                  <v:stroke endarrow="block" joinstyle="miter"/>
                </v:shape>
                <v:shape id="Straight Arrow Connector 19" o:spid="_x0000_s1049" type="#_x0000_t32" style="position:absolute;left:36385;top:7400;width:3581;height:71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4F6FAC9F" w14:textId="6CC03281" w:rsidR="00F2353E" w:rsidRPr="00D6374E" w:rsidRDefault="00FA6974" w:rsidP="0005366A">
      <w:pPr>
        <w:pStyle w:val="Muc2"/>
        <w:jc w:val="center"/>
        <w:rPr>
          <w:rFonts w:eastAsia="DengXian"/>
          <w:i w:val="0"/>
          <w:iCs/>
        </w:rPr>
      </w:pPr>
      <w:r w:rsidRPr="00FA6974">
        <w:rPr>
          <w:rFonts w:eastAsia="DengXian"/>
          <w:i w:val="0"/>
          <w:iCs/>
          <w:lang w:val="en-US"/>
        </w:rPr>
        <w:t xml:space="preserve">Figure </w:t>
      </w:r>
      <w:r w:rsidR="00146172">
        <w:rPr>
          <w:rFonts w:eastAsia="DengXian"/>
          <w:i w:val="0"/>
          <w:iCs/>
          <w:lang w:val="en-US"/>
        </w:rPr>
        <w:t>1</w:t>
      </w:r>
      <w:r w:rsidRPr="00FA6974">
        <w:rPr>
          <w:rFonts w:eastAsia="DengXian"/>
          <w:i w:val="0"/>
          <w:iCs/>
          <w:lang w:val="en-US"/>
        </w:rPr>
        <w:t>. Proposed research model on determinants of Lao Cai Border-Gate Economic Zone development</w:t>
      </w:r>
    </w:p>
    <w:p w14:paraId="624C4AD0" w14:textId="5322F0F2" w:rsidR="009D1111" w:rsidRDefault="009D1111" w:rsidP="00BC0D7A">
      <w:pPr>
        <w:pStyle w:val="Muc2"/>
        <w:rPr>
          <w:i w:val="0"/>
          <w:iCs/>
        </w:rPr>
      </w:pPr>
      <w:r w:rsidRPr="009D1111">
        <w:rPr>
          <w:i w:val="0"/>
          <w:iCs/>
        </w:rPr>
        <w:t>4. Methodology</w:t>
      </w:r>
    </w:p>
    <w:p w14:paraId="21F31035" w14:textId="77777777" w:rsidR="0083642C" w:rsidRPr="0083642C" w:rsidRDefault="0083642C" w:rsidP="00874927">
      <w:pPr>
        <w:pStyle w:val="Muc2"/>
        <w:widowControl w:val="0"/>
        <w:jc w:val="both"/>
        <w:rPr>
          <w:lang w:val="en-US"/>
        </w:rPr>
      </w:pPr>
      <w:r w:rsidRPr="0083642C">
        <w:rPr>
          <w:lang w:val="en-US"/>
        </w:rPr>
        <w:t>4.1. Reliability Assessment of the Measurement Scales Using Cronbach’s Alpha</w:t>
      </w:r>
    </w:p>
    <w:p w14:paraId="04C175DC"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The reliability of the measurement scales was evaluated using Cronbach’s Alpha, a statistical tool designed to assess whether the observed variables within each construct are internally consistent. This test reflects the degree of correlation among items measuring the same latent construct. It identifies which observed variables contribute effectively to measuring the intended concept and which do not.</w:t>
      </w:r>
    </w:p>
    <w:p w14:paraId="0CD319AB"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 xml:space="preserve">Cronbach’s Alpha ranges from 0 to 1. A value of 0 indicates no correlation among items within the construct, while a value of 1 signifies perfect correlation—both extremes rarely occur in practice. Occasionally, a negative Alpha may appear, which suggests the scale is entirely unreliable and lacks </w:t>
      </w:r>
      <w:proofErr w:type="spellStart"/>
      <w:r w:rsidRPr="0083642C">
        <w:rPr>
          <w:b w:val="0"/>
          <w:bCs w:val="0"/>
          <w:i w:val="0"/>
          <w:iCs/>
          <w:lang w:val="en-US"/>
        </w:rPr>
        <w:t>unidimensionality</w:t>
      </w:r>
      <w:proofErr w:type="spellEnd"/>
      <w:r w:rsidRPr="0083642C">
        <w:rPr>
          <w:b w:val="0"/>
          <w:bCs w:val="0"/>
          <w:i w:val="0"/>
          <w:iCs/>
          <w:lang w:val="en-US"/>
        </w:rPr>
        <w:t>, with items being inversely related.</w:t>
      </w:r>
    </w:p>
    <w:p w14:paraId="198C7710"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According to Nunnally (1978), a Cronbach’s Alpha of 0.7 or higher indicates good reliability. Hair et al. (2009) further note that while 0.7 is an accep</w:t>
      </w:r>
      <w:r w:rsidRPr="00090E98">
        <w:rPr>
          <w:b w:val="0"/>
          <w:bCs w:val="0"/>
          <w:i w:val="0"/>
          <w:iCs/>
          <w:lang w:val="en-US"/>
        </w:rPr>
        <w:t>table</w:t>
      </w:r>
      <w:r w:rsidRPr="0083642C">
        <w:rPr>
          <w:b w:val="0"/>
          <w:bCs w:val="0"/>
          <w:i w:val="0"/>
          <w:iCs/>
          <w:lang w:val="en-US"/>
        </w:rPr>
        <w:t xml:space="preserve"> threshold for established scales, values above 0.6 may be tolerated in exploratory studies. In general, higher Alpha values denote stronger reliability.</w:t>
      </w:r>
    </w:p>
    <w:p w14:paraId="3CC04E4B"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 xml:space="preserve">In addition, the study examined the Corrected Item–Total Correlation (CITC) for each item. This index reflects the degree of correlation between a given item and the sum of the remaining items within the same scale. Higher values indicate better performance of the item in capturing the construct. Cristobal et al. (2007) suggest that CITC values above </w:t>
      </w:r>
      <w:r w:rsidRPr="0083642C">
        <w:rPr>
          <w:b w:val="0"/>
          <w:bCs w:val="0"/>
          <w:i w:val="0"/>
          <w:iCs/>
          <w:lang w:val="en-US"/>
        </w:rPr>
        <w:lastRenderedPageBreak/>
        <w:t>0.3 are accep</w:t>
      </w:r>
      <w:r w:rsidRPr="00090E98">
        <w:rPr>
          <w:b w:val="0"/>
          <w:bCs w:val="0"/>
          <w:i w:val="0"/>
          <w:iCs/>
          <w:lang w:val="en-US"/>
        </w:rPr>
        <w:t>table</w:t>
      </w:r>
      <w:r w:rsidRPr="0083642C">
        <w:rPr>
          <w:b w:val="0"/>
          <w:bCs w:val="0"/>
          <w:i w:val="0"/>
          <w:iCs/>
          <w:lang w:val="en-US"/>
        </w:rPr>
        <w:t>; items with values below this threshold should be considered for removal.</w:t>
      </w:r>
    </w:p>
    <w:p w14:paraId="388876E7"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Based on the Cronbach’s Alpha results (see Appendix), the following conclusions were drawn:</w:t>
      </w:r>
    </w:p>
    <w:p w14:paraId="664645B8"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Infrastructure (INF): Cronbach’s Alpha = 0.719, indicating relatively good reliability. However, item INF5 (“Infrastructure connectivity between Vietnam and China…”) had a low CITC value of 0.129. Removing this item increased Alpha to 0.804.</w:t>
      </w:r>
    </w:p>
    <w:p w14:paraId="30EDA0D3"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Management and Preferential Policies (POL): Alpha = 0.683, accep</w:t>
      </w:r>
      <w:r w:rsidRPr="00090E98">
        <w:rPr>
          <w:b w:val="0"/>
          <w:bCs w:val="0"/>
          <w:i w:val="0"/>
          <w:iCs/>
          <w:lang w:val="en-US"/>
        </w:rPr>
        <w:t>table</w:t>
      </w:r>
      <w:r w:rsidRPr="0083642C">
        <w:rPr>
          <w:b w:val="0"/>
          <w:bCs w:val="0"/>
          <w:i w:val="0"/>
          <w:iCs/>
          <w:lang w:val="en-US"/>
        </w:rPr>
        <w:t xml:space="preserve"> for exploratory research. Item POL5 (“Policy support for technological innovation…”) showed a very low CITC value (0.087). Removing this item improved Alpha to 0.764.</w:t>
      </w:r>
    </w:p>
    <w:p w14:paraId="273F9798"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International Relations and Regional Cooperation (INT): Alpha = 0.808, considered very good. All items had CITC values above 0.5, demonstrating high internal consistency. The entire scale was retained.</w:t>
      </w:r>
    </w:p>
    <w:p w14:paraId="4DA76CFF"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Competitiveness and Innovation (COM): Alpha = 0.611. Item COM4 (“Level of innovation and creativity…”) had a negative correlation (–0.003), showing it did not contribute to reliability. Removing this item increased Alpha to 0.842.</w:t>
      </w:r>
    </w:p>
    <w:p w14:paraId="2B0D571E"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Global Economic Environment (GEC): Alpha = 0.609, relatively low. Item GEC4 (“Shifts in global supply chains…”) had a very low correlation (0.038). Its removal significantly improved reliability.</w:t>
      </w:r>
    </w:p>
    <w:p w14:paraId="39D3E3A1"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Human Resources (HR): Alpha = 0.618. Item HR4 (“Local human resources can meet high-technology industries…”) had a low correlation (0.104). Removing it increased Alpha to 0.760, improving internal consistency.</w:t>
      </w:r>
    </w:p>
    <w:p w14:paraId="10D06724"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Socio-Environmental Conditions (SOC): Alpha = 0.645. Although not optimal, the scale can be retained to ensure content coverage. However, items SOC3 and SOC4 had correlations below 0.3 and should be reconsidered if reliability is prioritized.</w:t>
      </w:r>
    </w:p>
    <w:p w14:paraId="261186C7" w14:textId="77777777" w:rsidR="0083642C" w:rsidRPr="0083642C" w:rsidRDefault="0083642C" w:rsidP="0083642C">
      <w:pPr>
        <w:pStyle w:val="Muc2"/>
        <w:widowControl w:val="0"/>
        <w:ind w:firstLine="720"/>
        <w:jc w:val="both"/>
        <w:rPr>
          <w:b w:val="0"/>
          <w:bCs w:val="0"/>
          <w:i w:val="0"/>
          <w:iCs/>
          <w:lang w:val="en-US"/>
        </w:rPr>
      </w:pPr>
      <w:r w:rsidRPr="0083642C">
        <w:rPr>
          <w:b w:val="0"/>
          <w:bCs w:val="0"/>
          <w:i w:val="0"/>
          <w:iCs/>
          <w:lang w:val="en-US"/>
        </w:rPr>
        <w:t>BGEZ Development (DEV): Alpha = 0.650. Item DEV4 (“Growth rate of enterprises, labor, and population…”) had a very low correlation (0.053). Removing this item would improve the reliability of the scale.</w:t>
      </w:r>
    </w:p>
    <w:p w14:paraId="7570C8D3" w14:textId="77777777" w:rsidR="00300305" w:rsidRPr="00300305" w:rsidRDefault="00300305" w:rsidP="00300305">
      <w:pPr>
        <w:pStyle w:val="Muc2"/>
        <w:widowControl w:val="0"/>
        <w:jc w:val="both"/>
        <w:rPr>
          <w:lang w:val="en-US"/>
        </w:rPr>
      </w:pPr>
      <w:r w:rsidRPr="00300305">
        <w:rPr>
          <w:lang w:val="en-US"/>
        </w:rPr>
        <w:t>4.2. Exploratory Factor Analysis (EFA)</w:t>
      </w:r>
    </w:p>
    <w:p w14:paraId="02D54D9A" w14:textId="77777777" w:rsidR="00300305" w:rsidRPr="00300305" w:rsidRDefault="00300305" w:rsidP="00300305">
      <w:pPr>
        <w:pStyle w:val="Muc2"/>
        <w:widowControl w:val="0"/>
        <w:ind w:firstLine="720"/>
        <w:jc w:val="both"/>
        <w:rPr>
          <w:b w:val="0"/>
          <w:bCs w:val="0"/>
          <w:i w:val="0"/>
          <w:iCs/>
          <w:lang w:val="en-US"/>
        </w:rPr>
      </w:pPr>
      <w:r w:rsidRPr="00300305">
        <w:rPr>
          <w:b w:val="0"/>
          <w:bCs w:val="0"/>
          <w:i w:val="0"/>
          <w:iCs/>
          <w:lang w:val="en-US"/>
        </w:rPr>
        <w:t xml:space="preserve">Exploratory Factor Analysis (EFA) is a multivariate statistical technique used to reduce a set of k observed variables into a smaller set of F underlying factors (F &lt; k) that are more meaningful and parsimonious. The objective of EFA is to identify latent </w:t>
      </w:r>
      <w:r w:rsidRPr="00300305">
        <w:rPr>
          <w:b w:val="0"/>
          <w:bCs w:val="0"/>
          <w:i w:val="0"/>
          <w:iCs/>
          <w:lang w:val="en-US"/>
        </w:rPr>
        <w:lastRenderedPageBreak/>
        <w:t>constructs that can explain the patterns of correlations among observed variables.</w:t>
      </w:r>
    </w:p>
    <w:p w14:paraId="4C0EC5AA" w14:textId="77777777" w:rsidR="00300305" w:rsidRPr="00300305" w:rsidRDefault="00300305" w:rsidP="00300305">
      <w:pPr>
        <w:pStyle w:val="Muc2"/>
        <w:widowControl w:val="0"/>
        <w:ind w:firstLine="720"/>
        <w:jc w:val="both"/>
        <w:rPr>
          <w:b w:val="0"/>
          <w:bCs w:val="0"/>
          <w:i w:val="0"/>
          <w:iCs/>
          <w:lang w:val="en-US"/>
        </w:rPr>
      </w:pPr>
      <w:r w:rsidRPr="00300305">
        <w:rPr>
          <w:b w:val="0"/>
          <w:bCs w:val="0"/>
          <w:i w:val="0"/>
          <w:iCs/>
          <w:lang w:val="en-US"/>
        </w:rPr>
        <w:t>One of the first steps in EFA is to assess sampling adequacy through the Kaiser–Meyer–Olkin (KMO) measure. According to Kaiser (1974), a KMO value of 0.5 or higher (0.5 ≤ KMO ≤ 1.0) indicates that the data are sui</w:t>
      </w:r>
      <w:r w:rsidRPr="00090E98">
        <w:rPr>
          <w:b w:val="0"/>
          <w:bCs w:val="0"/>
          <w:i w:val="0"/>
          <w:iCs/>
          <w:lang w:val="en-US"/>
        </w:rPr>
        <w:t>table</w:t>
      </w:r>
      <w:r w:rsidRPr="00300305">
        <w:rPr>
          <w:b w:val="0"/>
          <w:bCs w:val="0"/>
          <w:i w:val="0"/>
          <w:iCs/>
          <w:lang w:val="en-US"/>
        </w:rPr>
        <w:t xml:space="preserve"> for factor analysis. A value below 0.5 suggests weak correlations among variables, and the researcher should consider collecting additional data or removing less meaningful variables.</w:t>
      </w:r>
    </w:p>
    <w:p w14:paraId="6DC1F7DA" w14:textId="77777777" w:rsidR="00300305" w:rsidRPr="00300305" w:rsidRDefault="00300305" w:rsidP="00300305">
      <w:pPr>
        <w:pStyle w:val="Muc2"/>
        <w:widowControl w:val="0"/>
        <w:ind w:firstLine="720"/>
        <w:jc w:val="both"/>
        <w:rPr>
          <w:b w:val="0"/>
          <w:bCs w:val="0"/>
          <w:i w:val="0"/>
          <w:iCs/>
          <w:lang w:val="en-US"/>
        </w:rPr>
      </w:pPr>
      <w:r w:rsidRPr="00300305">
        <w:rPr>
          <w:b w:val="0"/>
          <w:bCs w:val="0"/>
          <w:i w:val="0"/>
          <w:iCs/>
          <w:lang w:val="en-US"/>
        </w:rPr>
        <w:t>Additionally, Bartlett’s Test of Sphericity is applied to examine whether correlations among variables are statistically significant. If the significance value (sig.) is less than 0.05, it indicates that the observed variables are sufficiently correlated and therefore appropriate for EFA. Conversely, if the significance value is greater than 0.05, the correlation matrix is considered unsui</w:t>
      </w:r>
      <w:r w:rsidRPr="00090E98">
        <w:rPr>
          <w:b w:val="0"/>
          <w:bCs w:val="0"/>
          <w:i w:val="0"/>
          <w:iCs/>
          <w:lang w:val="en-US"/>
        </w:rPr>
        <w:t>table</w:t>
      </w:r>
      <w:r w:rsidRPr="00300305">
        <w:rPr>
          <w:b w:val="0"/>
          <w:bCs w:val="0"/>
          <w:i w:val="0"/>
          <w:iCs/>
          <w:lang w:val="en-US"/>
        </w:rPr>
        <w:t xml:space="preserve"> for factor extraction.</w:t>
      </w:r>
    </w:p>
    <w:p w14:paraId="454E6905" w14:textId="77777777" w:rsidR="00300305" w:rsidRPr="00300305" w:rsidRDefault="00300305" w:rsidP="00300305">
      <w:pPr>
        <w:pStyle w:val="Muc2"/>
        <w:widowControl w:val="0"/>
        <w:ind w:firstLine="720"/>
        <w:jc w:val="both"/>
        <w:rPr>
          <w:b w:val="0"/>
          <w:bCs w:val="0"/>
          <w:i w:val="0"/>
          <w:iCs/>
          <w:lang w:val="en-US"/>
        </w:rPr>
      </w:pPr>
      <w:r w:rsidRPr="00300305">
        <w:rPr>
          <w:b w:val="0"/>
          <w:bCs w:val="0"/>
          <w:i w:val="0"/>
          <w:iCs/>
          <w:lang w:val="en-US"/>
        </w:rPr>
        <w:t>The determination of the number of factors to retain relies on the eigenvalue criterion. Hair et al. (2009) argue that only factors with eigenvalues greater than 1 (also referred to as latent roots) should be considered meaningful and retained for further analysis.</w:t>
      </w:r>
    </w:p>
    <w:p w14:paraId="6C1FC459" w14:textId="77777777" w:rsidR="00300305" w:rsidRDefault="00300305" w:rsidP="00300305">
      <w:pPr>
        <w:pStyle w:val="Muc2"/>
        <w:widowControl w:val="0"/>
        <w:ind w:firstLine="720"/>
        <w:jc w:val="both"/>
        <w:rPr>
          <w:b w:val="0"/>
          <w:bCs w:val="0"/>
          <w:i w:val="0"/>
          <w:iCs/>
          <w:lang w:val="en-US"/>
        </w:rPr>
      </w:pPr>
      <w:r w:rsidRPr="00300305">
        <w:rPr>
          <w:b w:val="0"/>
          <w:bCs w:val="0"/>
          <w:i w:val="0"/>
          <w:iCs/>
          <w:lang w:val="en-US"/>
        </w:rPr>
        <w:t>Factor loadings represent the correlation between an observed variable and its underlying factor. Following Hair et al. (2009), items with factor loadings below 0.30 should be eliminated, those between 0.30 and 0.50 may be considered marginal and subject to removal depending on theoretical justification, while loadings above 0.50 are regarded as practically significant and indicative of strong relationships.</w:t>
      </w:r>
    </w:p>
    <w:p w14:paraId="77AC1895" w14:textId="66F7A3C9" w:rsidR="00A84308" w:rsidRPr="00A84308" w:rsidRDefault="00A84308" w:rsidP="00A84308">
      <w:pPr>
        <w:pStyle w:val="Muc2"/>
        <w:widowControl w:val="0"/>
        <w:ind w:firstLine="720"/>
        <w:jc w:val="both"/>
        <w:rPr>
          <w:b w:val="0"/>
          <w:bCs w:val="0"/>
          <w:i w:val="0"/>
          <w:iCs/>
          <w:lang w:val="en-US"/>
        </w:rPr>
      </w:pPr>
      <w:r w:rsidRPr="00A84308">
        <w:rPr>
          <w:b w:val="0"/>
          <w:bCs w:val="0"/>
          <w:i w:val="0"/>
          <w:iCs/>
          <w:lang w:val="en-US"/>
        </w:rPr>
        <w:t>To validate the measurement scales and reduce data dimensionality, an Exploratory Factor Analysis (EFA) was conducted on the set of independent variables. The extraction method employed was Principal Component Analysis (PCA), combined with Varimax rotation with Kaiser normalization, in order to maximize the discriminant validity among factors.</w:t>
      </w:r>
    </w:p>
    <w:p w14:paraId="208BB2A5" w14:textId="37CD53A3" w:rsidR="00A84308" w:rsidRPr="00A84308" w:rsidRDefault="00A84308" w:rsidP="00A84308">
      <w:pPr>
        <w:pStyle w:val="Muc2"/>
        <w:widowControl w:val="0"/>
        <w:ind w:firstLine="720"/>
        <w:jc w:val="both"/>
        <w:rPr>
          <w:b w:val="0"/>
          <w:bCs w:val="0"/>
          <w:i w:val="0"/>
          <w:iCs/>
          <w:lang w:val="en-US"/>
        </w:rPr>
      </w:pPr>
      <w:r w:rsidRPr="00A84308">
        <w:rPr>
          <w:b w:val="0"/>
          <w:bCs w:val="0"/>
          <w:i w:val="0"/>
          <w:iCs/>
          <w:lang w:val="en-US"/>
        </w:rPr>
        <w:t xml:space="preserve">The results indicate that seven factors were extracted with eigenvalues greater than 1, consistent with Kaiser’s criterion. Specifically, the first factor had an eigenvalue of 5.676 and explained 24.679% of the variance, the second factor had an eigenvalue of 2.685 (11.672%), the third 2.562 (11.140%), followed by 10.225%, 6.219%, 5.442%, and 4.385% of variance explained by the remaining factors. Collectively, the seven extracted factors accounted for 73.763% of the total variance, which is considered highly satisfactory, exceeding the commonly accepted threshold of 50% in social sciences and management </w:t>
      </w:r>
      <w:r w:rsidRPr="00A84308">
        <w:rPr>
          <w:b w:val="0"/>
          <w:bCs w:val="0"/>
          <w:i w:val="0"/>
          <w:iCs/>
          <w:lang w:val="en-US"/>
        </w:rPr>
        <w:lastRenderedPageBreak/>
        <w:t>research.</w:t>
      </w:r>
    </w:p>
    <w:p w14:paraId="08C1DE95" w14:textId="0BFE3CD4" w:rsidR="00A84308" w:rsidRPr="00A84308" w:rsidRDefault="00A84308" w:rsidP="00A84308">
      <w:pPr>
        <w:pStyle w:val="Muc2"/>
        <w:widowControl w:val="0"/>
        <w:ind w:firstLine="720"/>
        <w:jc w:val="both"/>
        <w:rPr>
          <w:b w:val="0"/>
          <w:bCs w:val="0"/>
          <w:i w:val="0"/>
          <w:iCs/>
          <w:lang w:val="en-US"/>
        </w:rPr>
      </w:pPr>
      <w:r w:rsidRPr="00A84308">
        <w:rPr>
          <w:b w:val="0"/>
          <w:bCs w:val="0"/>
          <w:i w:val="0"/>
          <w:iCs/>
          <w:lang w:val="en-US"/>
        </w:rPr>
        <w:t>The Rotated Component Matrix (</w:t>
      </w:r>
      <w:r w:rsidRPr="00090E98">
        <w:rPr>
          <w:b w:val="0"/>
          <w:bCs w:val="0"/>
          <w:i w:val="0"/>
          <w:iCs/>
          <w:lang w:val="en-US"/>
        </w:rPr>
        <w:t>Table</w:t>
      </w:r>
      <w:r w:rsidRPr="00A84308">
        <w:rPr>
          <w:b w:val="0"/>
          <w:bCs w:val="0"/>
          <w:i w:val="0"/>
          <w:iCs/>
          <w:lang w:val="en-US"/>
        </w:rPr>
        <w:t xml:space="preserve"> </w:t>
      </w:r>
      <w:r w:rsidR="00090E98">
        <w:rPr>
          <w:b w:val="0"/>
          <w:bCs w:val="0"/>
          <w:i w:val="0"/>
          <w:iCs/>
          <w:lang w:val="en-US"/>
        </w:rPr>
        <w:t>2</w:t>
      </w:r>
      <w:r w:rsidRPr="00A84308">
        <w:rPr>
          <w:b w:val="0"/>
          <w:bCs w:val="0"/>
          <w:i w:val="0"/>
          <w:iCs/>
          <w:lang w:val="en-US"/>
        </w:rPr>
        <w:t>) demonstrates that most observed variables had factor loadings above 0.50 and loaded clearly onto their respective factors. Four items (INF1–INF4) loaded strongly onto a single factor representing Infrastructure. Items INT1–INT4 grouped together under International Relations and Regional Cooperation. Policy-related variables POL1, POL2, and POL3 clustered into a single factor, while POL4 showed a minor cross-loading but remained within accep</w:t>
      </w:r>
      <w:r w:rsidRPr="00090E98">
        <w:rPr>
          <w:b w:val="0"/>
          <w:bCs w:val="0"/>
          <w:i w:val="0"/>
          <w:iCs/>
          <w:lang w:val="en-US"/>
        </w:rPr>
        <w:t>table</w:t>
      </w:r>
      <w:r w:rsidRPr="00A84308">
        <w:rPr>
          <w:b w:val="0"/>
          <w:bCs w:val="0"/>
          <w:i w:val="0"/>
          <w:iCs/>
          <w:lang w:val="en-US"/>
        </w:rPr>
        <w:t xml:space="preserve"> thresholds, together forming the Management and Incentive Policy factor. Three items (GEC1–GEC3) represented Global Economic Environment, while COM1–COM3 formed Competitiveness and Innovation. Human resources indicators (HR1–HR3) loaded onto a single Human Resources factor. Finally, SOC1 and SOC2 were strongly associated with a distinct factor labeled Living and Social Environment.</w:t>
      </w:r>
    </w:p>
    <w:p w14:paraId="42AE4E14" w14:textId="1084BA6C" w:rsidR="00A84308" w:rsidRDefault="00A84308" w:rsidP="00A84308">
      <w:pPr>
        <w:pStyle w:val="Muc2"/>
        <w:widowControl w:val="0"/>
        <w:ind w:firstLine="720"/>
        <w:jc w:val="both"/>
        <w:rPr>
          <w:b w:val="0"/>
          <w:bCs w:val="0"/>
          <w:i w:val="0"/>
          <w:iCs/>
          <w:lang w:val="en-US"/>
        </w:rPr>
      </w:pPr>
      <w:r w:rsidRPr="00A84308">
        <w:rPr>
          <w:b w:val="0"/>
          <w:bCs w:val="0"/>
          <w:i w:val="0"/>
          <w:iCs/>
          <w:lang w:val="en-US"/>
        </w:rPr>
        <w:t>Overall, the EFA results confirm that the initial measurement structure aligns well with the theoretical constructs. The grouping of observed variables was largely consistent with the proposed framework, with only minor cross-loading observed. Each factor is conceptually meaningful and provides strong support for the validity of the measurement model.</w:t>
      </w:r>
    </w:p>
    <w:p w14:paraId="18C19FB0" w14:textId="5E73609D" w:rsidR="00976609" w:rsidRDefault="00B71791" w:rsidP="00B71791">
      <w:pPr>
        <w:spacing w:after="0" w:line="240" w:lineRule="auto"/>
        <w:jc w:val="center"/>
        <w:rPr>
          <w:rFonts w:ascii="Times New Roman" w:hAnsi="Times New Roman" w:cs="Times New Roman"/>
          <w:b/>
          <w:bCs/>
          <w:sz w:val="26"/>
          <w:szCs w:val="26"/>
        </w:rPr>
      </w:pPr>
      <w:r w:rsidRPr="00090E98">
        <w:rPr>
          <w:rFonts w:ascii="Times New Roman" w:hAnsi="Times New Roman" w:cs="Times New Roman"/>
          <w:b/>
          <w:bCs/>
          <w:sz w:val="26"/>
          <w:szCs w:val="26"/>
        </w:rPr>
        <w:t>Table</w:t>
      </w:r>
      <w:r w:rsidRPr="00B71791">
        <w:rPr>
          <w:rFonts w:ascii="Times New Roman" w:hAnsi="Times New Roman" w:cs="Times New Roman"/>
          <w:b/>
          <w:bCs/>
          <w:sz w:val="26"/>
          <w:szCs w:val="26"/>
        </w:rPr>
        <w:t xml:space="preserve"> </w:t>
      </w:r>
      <w:r w:rsidR="00090E98">
        <w:rPr>
          <w:rFonts w:ascii="Times New Roman" w:hAnsi="Times New Roman" w:cs="Times New Roman"/>
          <w:b/>
          <w:bCs/>
          <w:sz w:val="26"/>
          <w:szCs w:val="26"/>
        </w:rPr>
        <w:t>1</w:t>
      </w:r>
      <w:r w:rsidRPr="00B71791">
        <w:rPr>
          <w:rFonts w:ascii="Times New Roman" w:hAnsi="Times New Roman" w:cs="Times New Roman"/>
          <w:b/>
          <w:bCs/>
          <w:sz w:val="26"/>
          <w:szCs w:val="26"/>
        </w:rPr>
        <w:t>. Extracted Factors after EFA</w:t>
      </w:r>
    </w:p>
    <w:p w14:paraId="3F9318B6" w14:textId="77777777" w:rsidR="00B71791" w:rsidRPr="00B71791" w:rsidRDefault="00B71791" w:rsidP="00B71791">
      <w:pPr>
        <w:spacing w:after="0" w:line="240" w:lineRule="auto"/>
        <w:jc w:val="center"/>
        <w:rPr>
          <w:rFonts w:ascii="Times New Roman" w:hAnsi="Times New Roman" w:cs="Times New Roman"/>
          <w:b/>
          <w:bCs/>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544"/>
        <w:gridCol w:w="4111"/>
      </w:tblGrid>
      <w:tr w:rsidR="00A33CB3" w:rsidRPr="00A33CB3" w14:paraId="156C3781" w14:textId="77777777" w:rsidTr="00C649FF">
        <w:trPr>
          <w:trHeight w:val="300"/>
        </w:trPr>
        <w:tc>
          <w:tcPr>
            <w:tcW w:w="1696" w:type="dxa"/>
            <w:noWrap/>
            <w:hideMark/>
          </w:tcPr>
          <w:p w14:paraId="7D4FE7F7" w14:textId="5583A9AA" w:rsidR="00A33CB3" w:rsidRPr="00A33CB3" w:rsidRDefault="00A33CB3" w:rsidP="00A33CB3">
            <w:pPr>
              <w:spacing w:after="0" w:line="240" w:lineRule="auto"/>
              <w:jc w:val="center"/>
              <w:rPr>
                <w:rFonts w:ascii="Times New Roman" w:eastAsia="Times New Roman" w:hAnsi="Times New Roman" w:cs="Times New Roman"/>
                <w:b/>
                <w:bCs/>
                <w:color w:val="000000"/>
                <w:sz w:val="26"/>
                <w:szCs w:val="26"/>
              </w:rPr>
            </w:pPr>
            <w:r w:rsidRPr="00A33CB3">
              <w:rPr>
                <w:rFonts w:ascii="Times New Roman" w:hAnsi="Times New Roman" w:cs="Times New Roman"/>
                <w:b/>
                <w:bCs/>
                <w:sz w:val="26"/>
                <w:szCs w:val="26"/>
              </w:rPr>
              <w:t>Factor Code</w:t>
            </w:r>
          </w:p>
        </w:tc>
        <w:tc>
          <w:tcPr>
            <w:tcW w:w="3544" w:type="dxa"/>
            <w:noWrap/>
            <w:hideMark/>
          </w:tcPr>
          <w:p w14:paraId="7D82E377" w14:textId="18AEA9F0" w:rsidR="00A33CB3" w:rsidRPr="00A33CB3" w:rsidRDefault="00A33CB3" w:rsidP="00A33CB3">
            <w:pPr>
              <w:spacing w:after="0" w:line="240" w:lineRule="auto"/>
              <w:jc w:val="center"/>
              <w:rPr>
                <w:rFonts w:ascii="Times New Roman" w:eastAsia="Times New Roman" w:hAnsi="Times New Roman" w:cs="Times New Roman"/>
                <w:b/>
                <w:bCs/>
                <w:color w:val="000000"/>
                <w:sz w:val="26"/>
                <w:szCs w:val="26"/>
              </w:rPr>
            </w:pPr>
            <w:r w:rsidRPr="00A33CB3">
              <w:rPr>
                <w:rFonts w:ascii="Times New Roman" w:hAnsi="Times New Roman" w:cs="Times New Roman"/>
                <w:b/>
                <w:bCs/>
                <w:sz w:val="26"/>
                <w:szCs w:val="26"/>
              </w:rPr>
              <w:t>Factor Name</w:t>
            </w:r>
          </w:p>
        </w:tc>
        <w:tc>
          <w:tcPr>
            <w:tcW w:w="4111" w:type="dxa"/>
            <w:noWrap/>
            <w:hideMark/>
          </w:tcPr>
          <w:p w14:paraId="215D5AAC" w14:textId="1F87A37A" w:rsidR="00A33CB3" w:rsidRPr="00A33CB3" w:rsidRDefault="00A33CB3" w:rsidP="00A33CB3">
            <w:pPr>
              <w:spacing w:after="0" w:line="240" w:lineRule="auto"/>
              <w:jc w:val="center"/>
              <w:rPr>
                <w:rFonts w:ascii="Times New Roman" w:eastAsia="Times New Roman" w:hAnsi="Times New Roman" w:cs="Times New Roman"/>
                <w:b/>
                <w:bCs/>
                <w:color w:val="000000"/>
                <w:sz w:val="26"/>
                <w:szCs w:val="26"/>
              </w:rPr>
            </w:pPr>
            <w:r w:rsidRPr="00A33CB3">
              <w:rPr>
                <w:rFonts w:ascii="Times New Roman" w:hAnsi="Times New Roman" w:cs="Times New Roman"/>
                <w:b/>
                <w:bCs/>
                <w:sz w:val="26"/>
                <w:szCs w:val="26"/>
              </w:rPr>
              <w:t>Observed Variables</w:t>
            </w:r>
          </w:p>
        </w:tc>
      </w:tr>
      <w:tr w:rsidR="007929B9" w:rsidRPr="00A33CB3" w14:paraId="29D89B4E" w14:textId="77777777" w:rsidTr="007D6002">
        <w:trPr>
          <w:trHeight w:val="300"/>
        </w:trPr>
        <w:tc>
          <w:tcPr>
            <w:tcW w:w="1696" w:type="dxa"/>
            <w:noWrap/>
            <w:vAlign w:val="bottom"/>
            <w:hideMark/>
          </w:tcPr>
          <w:p w14:paraId="7399FA1F" w14:textId="66FDEA4A"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color w:val="000000"/>
                <w:sz w:val="26"/>
                <w:szCs w:val="26"/>
              </w:rPr>
              <w:t>INF</w:t>
            </w:r>
          </w:p>
        </w:tc>
        <w:tc>
          <w:tcPr>
            <w:tcW w:w="3544" w:type="dxa"/>
            <w:noWrap/>
            <w:hideMark/>
          </w:tcPr>
          <w:p w14:paraId="751D622E" w14:textId="3A8A817C"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Infrastructure</w:t>
            </w:r>
          </w:p>
        </w:tc>
        <w:tc>
          <w:tcPr>
            <w:tcW w:w="4111" w:type="dxa"/>
            <w:noWrap/>
            <w:hideMark/>
          </w:tcPr>
          <w:p w14:paraId="034C86B6" w14:textId="13B125B8"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INF1, INF2, INF3, INF4</w:t>
            </w:r>
          </w:p>
        </w:tc>
      </w:tr>
      <w:tr w:rsidR="007929B9" w:rsidRPr="00A33CB3" w14:paraId="740A4DB6" w14:textId="77777777" w:rsidTr="007D6002">
        <w:trPr>
          <w:trHeight w:val="300"/>
        </w:trPr>
        <w:tc>
          <w:tcPr>
            <w:tcW w:w="1696" w:type="dxa"/>
            <w:noWrap/>
            <w:vAlign w:val="bottom"/>
            <w:hideMark/>
          </w:tcPr>
          <w:p w14:paraId="75CAD919" w14:textId="6F73117F"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color w:val="000000"/>
                <w:sz w:val="26"/>
                <w:szCs w:val="26"/>
              </w:rPr>
              <w:t>INT</w:t>
            </w:r>
          </w:p>
        </w:tc>
        <w:tc>
          <w:tcPr>
            <w:tcW w:w="3544" w:type="dxa"/>
            <w:noWrap/>
            <w:hideMark/>
          </w:tcPr>
          <w:p w14:paraId="01F79C28" w14:textId="50066E1C"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International Relations &amp; Cooperation</w:t>
            </w:r>
          </w:p>
        </w:tc>
        <w:tc>
          <w:tcPr>
            <w:tcW w:w="4111" w:type="dxa"/>
            <w:noWrap/>
            <w:hideMark/>
          </w:tcPr>
          <w:p w14:paraId="132E589D" w14:textId="21009F78"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INT1, INT2, INT3, INT4</w:t>
            </w:r>
          </w:p>
        </w:tc>
      </w:tr>
      <w:tr w:rsidR="007929B9" w:rsidRPr="00A33CB3" w14:paraId="2B6FD1D8" w14:textId="77777777" w:rsidTr="007D6002">
        <w:trPr>
          <w:trHeight w:val="300"/>
        </w:trPr>
        <w:tc>
          <w:tcPr>
            <w:tcW w:w="1696" w:type="dxa"/>
            <w:noWrap/>
            <w:vAlign w:val="bottom"/>
            <w:hideMark/>
          </w:tcPr>
          <w:p w14:paraId="4A542552" w14:textId="5AF1BB01"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color w:val="000000"/>
                <w:sz w:val="26"/>
                <w:szCs w:val="26"/>
              </w:rPr>
              <w:t>POL</w:t>
            </w:r>
          </w:p>
        </w:tc>
        <w:tc>
          <w:tcPr>
            <w:tcW w:w="3544" w:type="dxa"/>
            <w:noWrap/>
            <w:hideMark/>
          </w:tcPr>
          <w:p w14:paraId="19288B57" w14:textId="03036EBB"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Management and Incentive Policy</w:t>
            </w:r>
          </w:p>
        </w:tc>
        <w:tc>
          <w:tcPr>
            <w:tcW w:w="4111" w:type="dxa"/>
            <w:noWrap/>
            <w:hideMark/>
          </w:tcPr>
          <w:p w14:paraId="43764632" w14:textId="7EAC4524"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POL1, POL2, POL3, POL4</w:t>
            </w:r>
          </w:p>
        </w:tc>
      </w:tr>
      <w:tr w:rsidR="007929B9" w:rsidRPr="00A33CB3" w14:paraId="7F2728AF" w14:textId="77777777" w:rsidTr="007D6002">
        <w:trPr>
          <w:trHeight w:val="300"/>
        </w:trPr>
        <w:tc>
          <w:tcPr>
            <w:tcW w:w="1696" w:type="dxa"/>
            <w:noWrap/>
            <w:vAlign w:val="bottom"/>
            <w:hideMark/>
          </w:tcPr>
          <w:p w14:paraId="7BD21199" w14:textId="41A28450"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color w:val="000000"/>
                <w:sz w:val="26"/>
                <w:szCs w:val="26"/>
              </w:rPr>
              <w:t>GEC</w:t>
            </w:r>
          </w:p>
        </w:tc>
        <w:tc>
          <w:tcPr>
            <w:tcW w:w="3544" w:type="dxa"/>
            <w:noWrap/>
            <w:hideMark/>
          </w:tcPr>
          <w:p w14:paraId="44FA1B62" w14:textId="48AA347D"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Global Economic Environment</w:t>
            </w:r>
          </w:p>
        </w:tc>
        <w:tc>
          <w:tcPr>
            <w:tcW w:w="4111" w:type="dxa"/>
            <w:noWrap/>
            <w:hideMark/>
          </w:tcPr>
          <w:p w14:paraId="49F961BB" w14:textId="29D96539"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GEC1, GEC2, GEC3</w:t>
            </w:r>
          </w:p>
        </w:tc>
      </w:tr>
      <w:tr w:rsidR="007929B9" w:rsidRPr="00A33CB3" w14:paraId="43C2A3E8" w14:textId="77777777" w:rsidTr="007D6002">
        <w:trPr>
          <w:trHeight w:val="300"/>
        </w:trPr>
        <w:tc>
          <w:tcPr>
            <w:tcW w:w="1696" w:type="dxa"/>
            <w:noWrap/>
            <w:vAlign w:val="bottom"/>
            <w:hideMark/>
          </w:tcPr>
          <w:p w14:paraId="1C50B50B" w14:textId="20F8C942"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color w:val="000000"/>
                <w:sz w:val="26"/>
                <w:szCs w:val="26"/>
              </w:rPr>
              <w:t>COM</w:t>
            </w:r>
          </w:p>
        </w:tc>
        <w:tc>
          <w:tcPr>
            <w:tcW w:w="3544" w:type="dxa"/>
            <w:noWrap/>
            <w:hideMark/>
          </w:tcPr>
          <w:p w14:paraId="5F3E1706" w14:textId="51F57094"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Competitiveness and Innovation</w:t>
            </w:r>
          </w:p>
        </w:tc>
        <w:tc>
          <w:tcPr>
            <w:tcW w:w="4111" w:type="dxa"/>
            <w:noWrap/>
            <w:hideMark/>
          </w:tcPr>
          <w:p w14:paraId="6C062B93" w14:textId="47DF2062"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COM1, COM2, COM3</w:t>
            </w:r>
          </w:p>
        </w:tc>
      </w:tr>
      <w:tr w:rsidR="007929B9" w:rsidRPr="00A33CB3" w14:paraId="00D4B72A" w14:textId="77777777" w:rsidTr="007D6002">
        <w:trPr>
          <w:trHeight w:val="300"/>
        </w:trPr>
        <w:tc>
          <w:tcPr>
            <w:tcW w:w="1696" w:type="dxa"/>
            <w:noWrap/>
            <w:vAlign w:val="bottom"/>
            <w:hideMark/>
          </w:tcPr>
          <w:p w14:paraId="1D16DEB7" w14:textId="572F5501"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color w:val="000000"/>
                <w:sz w:val="26"/>
                <w:szCs w:val="26"/>
              </w:rPr>
              <w:t>HR</w:t>
            </w:r>
          </w:p>
        </w:tc>
        <w:tc>
          <w:tcPr>
            <w:tcW w:w="3544" w:type="dxa"/>
            <w:noWrap/>
            <w:hideMark/>
          </w:tcPr>
          <w:p w14:paraId="116AC762" w14:textId="1632E3F9"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Human Resources</w:t>
            </w:r>
          </w:p>
        </w:tc>
        <w:tc>
          <w:tcPr>
            <w:tcW w:w="4111" w:type="dxa"/>
            <w:noWrap/>
            <w:hideMark/>
          </w:tcPr>
          <w:p w14:paraId="486FB738" w14:textId="451117BB"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HR1, HR2, HR3</w:t>
            </w:r>
          </w:p>
        </w:tc>
      </w:tr>
      <w:tr w:rsidR="007929B9" w:rsidRPr="00A33CB3" w14:paraId="58A55C43" w14:textId="77777777" w:rsidTr="007D6002">
        <w:trPr>
          <w:trHeight w:val="300"/>
        </w:trPr>
        <w:tc>
          <w:tcPr>
            <w:tcW w:w="1696" w:type="dxa"/>
            <w:noWrap/>
            <w:vAlign w:val="bottom"/>
            <w:hideMark/>
          </w:tcPr>
          <w:p w14:paraId="7B83753C" w14:textId="3033B3FC"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color w:val="000000"/>
                <w:sz w:val="26"/>
                <w:szCs w:val="26"/>
              </w:rPr>
              <w:t>SOC</w:t>
            </w:r>
          </w:p>
        </w:tc>
        <w:tc>
          <w:tcPr>
            <w:tcW w:w="3544" w:type="dxa"/>
            <w:noWrap/>
            <w:hideMark/>
          </w:tcPr>
          <w:p w14:paraId="7D357ABA" w14:textId="09A38534"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Living and Social Environment</w:t>
            </w:r>
          </w:p>
        </w:tc>
        <w:tc>
          <w:tcPr>
            <w:tcW w:w="4111" w:type="dxa"/>
            <w:noWrap/>
            <w:hideMark/>
          </w:tcPr>
          <w:p w14:paraId="07B22796" w14:textId="016ABF9C" w:rsidR="007929B9" w:rsidRPr="00A33CB3" w:rsidRDefault="007929B9" w:rsidP="007929B9">
            <w:pPr>
              <w:spacing w:after="0" w:line="240" w:lineRule="auto"/>
              <w:rPr>
                <w:rFonts w:ascii="Times New Roman" w:eastAsia="Times New Roman" w:hAnsi="Times New Roman" w:cs="Times New Roman"/>
                <w:color w:val="000000"/>
                <w:sz w:val="26"/>
                <w:szCs w:val="26"/>
              </w:rPr>
            </w:pPr>
            <w:r w:rsidRPr="00A33CB3">
              <w:rPr>
                <w:rFonts w:ascii="Times New Roman" w:hAnsi="Times New Roman" w:cs="Times New Roman"/>
                <w:sz w:val="26"/>
                <w:szCs w:val="26"/>
              </w:rPr>
              <w:t>SOC1, SOC2</w:t>
            </w:r>
          </w:p>
        </w:tc>
      </w:tr>
    </w:tbl>
    <w:p w14:paraId="21BCA2EF" w14:textId="77777777" w:rsidR="00810500" w:rsidRPr="007929B9" w:rsidRDefault="00810500" w:rsidP="00AF70FB">
      <w:pPr>
        <w:spacing w:after="0" w:line="360" w:lineRule="auto"/>
        <w:ind w:firstLine="709"/>
        <w:jc w:val="both"/>
        <w:rPr>
          <w:rFonts w:ascii="Times New Roman" w:hAnsi="Times New Roman" w:cs="Times New Roman"/>
          <w:sz w:val="26"/>
          <w:szCs w:val="26"/>
        </w:rPr>
      </w:pPr>
    </w:p>
    <w:p w14:paraId="331E93C5" w14:textId="7198F908" w:rsidR="00957318" w:rsidRPr="00957318" w:rsidRDefault="00C1177A" w:rsidP="00957318">
      <w:pPr>
        <w:pStyle w:val="Muc2"/>
        <w:widowControl w:val="0"/>
        <w:jc w:val="both"/>
        <w:rPr>
          <w:lang w:val="en-US"/>
        </w:rPr>
      </w:pPr>
      <w:r>
        <w:rPr>
          <w:lang w:val="en-US"/>
        </w:rPr>
        <w:t>5.</w:t>
      </w:r>
      <w:r w:rsidR="00957318" w:rsidRPr="00957318">
        <w:rPr>
          <w:lang w:val="en-US"/>
        </w:rPr>
        <w:t xml:space="preserve"> Regression Analysis and Hypothesis Testing</w:t>
      </w:r>
    </w:p>
    <w:p w14:paraId="32E972AE" w14:textId="4EF8FF1C" w:rsidR="00957318" w:rsidRPr="00957318" w:rsidRDefault="00957318" w:rsidP="00957318">
      <w:pPr>
        <w:pStyle w:val="Muc2"/>
        <w:widowControl w:val="0"/>
        <w:ind w:firstLine="720"/>
        <w:jc w:val="both"/>
        <w:rPr>
          <w:b w:val="0"/>
          <w:bCs w:val="0"/>
          <w:i w:val="0"/>
          <w:iCs/>
          <w:lang w:val="en-US"/>
        </w:rPr>
      </w:pPr>
      <w:r w:rsidRPr="00957318">
        <w:rPr>
          <w:b w:val="0"/>
          <w:bCs w:val="0"/>
          <w:i w:val="0"/>
          <w:iCs/>
          <w:lang w:val="en-US"/>
        </w:rPr>
        <w:t xml:space="preserve">In quantitative research, multiple linear regression is a widely applied method to examine the relationship between a dependent variable (outcome) and multiple independent variables (predictors). Through regression modeling, it is possible to quantify the degree of influence exerted by each factor on the outcome, thereby testing the proposed </w:t>
      </w:r>
      <w:r w:rsidRPr="00957318">
        <w:rPr>
          <w:b w:val="0"/>
          <w:bCs w:val="0"/>
          <w:i w:val="0"/>
          <w:iCs/>
          <w:lang w:val="en-US"/>
        </w:rPr>
        <w:lastRenderedPageBreak/>
        <w:t>hypotheses. A robust regression model is expected to demonstrate high explanatory power (R²), statistically significant coefficients, and no violation of key assumptions such as multicollinearity or autocorrelation.</w:t>
      </w:r>
    </w:p>
    <w:p w14:paraId="4B8979D5" w14:textId="77777777" w:rsidR="00957318" w:rsidRPr="00957318" w:rsidRDefault="00957318" w:rsidP="00957318">
      <w:pPr>
        <w:pStyle w:val="Muc2"/>
        <w:widowControl w:val="0"/>
        <w:ind w:firstLine="720"/>
        <w:jc w:val="both"/>
        <w:rPr>
          <w:b w:val="0"/>
          <w:bCs w:val="0"/>
          <w:i w:val="0"/>
          <w:iCs/>
          <w:lang w:val="en-US"/>
        </w:rPr>
      </w:pPr>
      <w:r w:rsidRPr="00957318">
        <w:rPr>
          <w:b w:val="0"/>
          <w:bCs w:val="0"/>
          <w:i w:val="0"/>
          <w:iCs/>
          <w:lang w:val="en-US"/>
        </w:rPr>
        <w:t>Following the EFA, the extracted factors were used as independent variables in the regression model, with the dependent variable being the development of the Lao Cai</w:t>
      </w:r>
      <w:r w:rsidRPr="00957318">
        <w:rPr>
          <w:iCs/>
        </w:rPr>
        <w:t xml:space="preserve"> </w:t>
      </w:r>
      <w:r w:rsidRPr="00957318">
        <w:rPr>
          <w:b w:val="0"/>
          <w:bCs w:val="0"/>
          <w:i w:val="0"/>
          <w:iCs/>
          <w:lang w:val="en-US"/>
        </w:rPr>
        <w:t>Border-Gate Economic Zone (DEV). The regression equation is specified as:</w:t>
      </w:r>
    </w:p>
    <w:p w14:paraId="1FBD7D7E" w14:textId="2857CE13" w:rsidR="008D4F3D" w:rsidRPr="00D6374E" w:rsidRDefault="008D4F3D" w:rsidP="001737B8">
      <w:pPr>
        <w:pStyle w:val="Muc2"/>
        <w:widowControl w:val="0"/>
        <w:ind w:firstLine="720"/>
        <w:jc w:val="center"/>
      </w:pPr>
      <w:r w:rsidRPr="00D6374E">
        <w:t>DEV = β₀ + β₁INF + β₂POL + β₃INT + β₄GEC + β₅COM + β₆HR + β₇SOC + ε</w:t>
      </w:r>
    </w:p>
    <w:p w14:paraId="30340A94" w14:textId="77777777" w:rsidR="00F93492" w:rsidRPr="00F93492" w:rsidRDefault="00F93492" w:rsidP="00F93492">
      <w:pPr>
        <w:pStyle w:val="Muc2"/>
        <w:widowControl w:val="0"/>
        <w:ind w:firstLine="720"/>
        <w:jc w:val="both"/>
        <w:rPr>
          <w:b w:val="0"/>
          <w:bCs w:val="0"/>
          <w:i w:val="0"/>
          <w:iCs/>
          <w:lang w:val="en-US"/>
        </w:rPr>
      </w:pPr>
      <w:r w:rsidRPr="00F93492">
        <w:rPr>
          <w:b w:val="0"/>
          <w:bCs w:val="0"/>
          <w:i w:val="0"/>
          <w:iCs/>
          <w:lang w:val="en-US"/>
        </w:rPr>
        <w:t>The regression results indicate that the model achieved a high level of explanatory power, with an R² value of 0.657, meaning that approximately 65.7% of the variance in the development of the Lao Cai Border-Gate Economic Zone (DEV) is explained by the factors included in the model. The ANOVA test further confirmed the model’s overall significance (F = 88.583, p &lt; 0.001), demonstrating that the independent variables collectively exert a substantial impact on the dependent variable.</w:t>
      </w:r>
    </w:p>
    <w:p w14:paraId="0C3BFE58" w14:textId="1E423C1A" w:rsidR="00042C6B" w:rsidRPr="00F93492" w:rsidRDefault="00F93492" w:rsidP="00F93492">
      <w:pPr>
        <w:pStyle w:val="Muc2"/>
        <w:widowControl w:val="0"/>
        <w:ind w:firstLine="720"/>
        <w:jc w:val="both"/>
        <w:rPr>
          <w:b w:val="0"/>
          <w:bCs w:val="0"/>
          <w:i w:val="0"/>
          <w:iCs/>
          <w:lang w:val="en-US"/>
        </w:rPr>
      </w:pPr>
      <w:r w:rsidRPr="00F93492">
        <w:rPr>
          <w:b w:val="0"/>
          <w:bCs w:val="0"/>
          <w:i w:val="0"/>
          <w:iCs/>
          <w:lang w:val="en-US"/>
        </w:rPr>
        <w:t>The estimated regression equation is expressed as follows:</w:t>
      </w:r>
    </w:p>
    <w:p w14:paraId="2B5E2C5C" w14:textId="58FF2898" w:rsidR="00042C6B" w:rsidRPr="00D6374E" w:rsidRDefault="00B40CE4" w:rsidP="001737B8">
      <w:pPr>
        <w:spacing w:after="0" w:line="360" w:lineRule="auto"/>
        <w:ind w:firstLine="720"/>
        <w:jc w:val="center"/>
        <w:rPr>
          <w:rFonts w:ascii="Times New Roman" w:hAnsi="Times New Roman" w:cs="Times New Roman"/>
          <w:b/>
          <w:bCs/>
          <w:i/>
          <w:iCs/>
          <w:sz w:val="26"/>
          <w:szCs w:val="26"/>
        </w:rPr>
      </w:pPr>
      <w:r w:rsidRPr="00D6374E">
        <w:rPr>
          <w:rFonts w:ascii="Times New Roman" w:hAnsi="Times New Roman" w:cs="Times New Roman"/>
          <w:b/>
          <w:bCs/>
          <w:i/>
          <w:iCs/>
          <w:sz w:val="26"/>
          <w:szCs w:val="26"/>
        </w:rPr>
        <w:t>DEV=0,314</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0,110×INF</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0,157×INT</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0,156×POL</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0,098×COM</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0,265×HR</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w:t>
      </w:r>
      <w:r w:rsidR="00DA211F" w:rsidRPr="00D6374E">
        <w:rPr>
          <w:rFonts w:ascii="Times New Roman" w:hAnsi="Times New Roman" w:cs="Times New Roman"/>
          <w:b/>
          <w:bCs/>
          <w:i/>
          <w:iCs/>
          <w:sz w:val="26"/>
          <w:szCs w:val="26"/>
        </w:rPr>
        <w:t xml:space="preserve"> </w:t>
      </w:r>
      <w:r w:rsidRPr="00D6374E">
        <w:rPr>
          <w:rFonts w:ascii="Times New Roman" w:hAnsi="Times New Roman" w:cs="Times New Roman"/>
          <w:b/>
          <w:bCs/>
          <w:i/>
          <w:iCs/>
          <w:sz w:val="26"/>
          <w:szCs w:val="26"/>
        </w:rPr>
        <w:t>0,121×SOC</w:t>
      </w:r>
    </w:p>
    <w:p w14:paraId="08E3A6B5" w14:textId="77777777" w:rsidR="001737B8" w:rsidRPr="001737B8" w:rsidRDefault="001737B8" w:rsidP="001737B8">
      <w:pPr>
        <w:pStyle w:val="Muc2"/>
        <w:widowControl w:val="0"/>
        <w:ind w:firstLine="720"/>
        <w:jc w:val="both"/>
        <w:rPr>
          <w:b w:val="0"/>
          <w:bCs w:val="0"/>
          <w:i w:val="0"/>
          <w:iCs/>
          <w:lang w:val="en-US"/>
        </w:rPr>
      </w:pPr>
      <w:r w:rsidRPr="001737B8">
        <w:rPr>
          <w:b w:val="0"/>
          <w:bCs w:val="0"/>
          <w:i w:val="0"/>
          <w:iCs/>
          <w:lang w:val="en-US"/>
        </w:rPr>
        <w:t>All independent variables included in the model were statistically significant at the 1% level (p &lt; 0.01). The standardized coefficients provide additional insights into the relative importance of each factor:</w:t>
      </w:r>
    </w:p>
    <w:p w14:paraId="207F1FA9" w14:textId="77777777" w:rsidR="001737B8" w:rsidRPr="001737B8" w:rsidRDefault="001737B8" w:rsidP="001737B8">
      <w:pPr>
        <w:pStyle w:val="Muc2"/>
        <w:widowControl w:val="0"/>
        <w:ind w:firstLine="720"/>
        <w:jc w:val="both"/>
        <w:rPr>
          <w:b w:val="0"/>
          <w:bCs w:val="0"/>
          <w:i w:val="0"/>
          <w:iCs/>
          <w:lang w:val="en-US"/>
        </w:rPr>
      </w:pPr>
      <w:r w:rsidRPr="001737B8">
        <w:rPr>
          <w:b w:val="0"/>
          <w:bCs w:val="0"/>
          <w:i w:val="0"/>
          <w:iCs/>
          <w:lang w:val="en-US"/>
        </w:rPr>
        <w:t>Human Resources (HR) exhibited the strongest effect (β = 0.411), underscoring that improving workforce quality and developing local human capital remain the most critical determinants of border-zone development.</w:t>
      </w:r>
    </w:p>
    <w:p w14:paraId="47EE48D2" w14:textId="77777777" w:rsidR="001737B8" w:rsidRPr="001737B8" w:rsidRDefault="001737B8" w:rsidP="001737B8">
      <w:pPr>
        <w:pStyle w:val="Muc2"/>
        <w:widowControl w:val="0"/>
        <w:ind w:firstLine="720"/>
        <w:jc w:val="both"/>
        <w:rPr>
          <w:b w:val="0"/>
          <w:bCs w:val="0"/>
          <w:i w:val="0"/>
          <w:iCs/>
          <w:lang w:val="en-US"/>
        </w:rPr>
      </w:pPr>
      <w:r w:rsidRPr="001737B8">
        <w:rPr>
          <w:b w:val="0"/>
          <w:bCs w:val="0"/>
          <w:i w:val="0"/>
          <w:iCs/>
          <w:lang w:val="en-US"/>
        </w:rPr>
        <w:t>Social Environment (SOC) was the second most influential factor (β = 0.294), highlighting the role of living conditions, social welfare, and urban services in enhancing the attractiveness and sustainability of the economic zone.</w:t>
      </w:r>
    </w:p>
    <w:p w14:paraId="1B6C837F" w14:textId="77777777" w:rsidR="001737B8" w:rsidRPr="001737B8" w:rsidRDefault="001737B8" w:rsidP="001737B8">
      <w:pPr>
        <w:pStyle w:val="Muc2"/>
        <w:widowControl w:val="0"/>
        <w:ind w:firstLine="720"/>
        <w:jc w:val="both"/>
        <w:rPr>
          <w:b w:val="0"/>
          <w:bCs w:val="0"/>
          <w:i w:val="0"/>
          <w:iCs/>
          <w:lang w:val="en-US"/>
        </w:rPr>
      </w:pPr>
      <w:r w:rsidRPr="001737B8">
        <w:rPr>
          <w:b w:val="0"/>
          <w:bCs w:val="0"/>
          <w:i w:val="0"/>
          <w:iCs/>
          <w:lang w:val="en-US"/>
        </w:rPr>
        <w:t>International Relations and Regional Cooperation (INT) also had a substantial positive influence (β = 0.246), suggesting that cross-border trade linkages and regional integration significantly contribute to development outcomes.</w:t>
      </w:r>
    </w:p>
    <w:p w14:paraId="2CFD657F" w14:textId="77777777" w:rsidR="001737B8" w:rsidRPr="001737B8" w:rsidRDefault="001737B8" w:rsidP="001737B8">
      <w:pPr>
        <w:pStyle w:val="Muc2"/>
        <w:widowControl w:val="0"/>
        <w:ind w:firstLine="720"/>
        <w:jc w:val="both"/>
        <w:rPr>
          <w:b w:val="0"/>
          <w:bCs w:val="0"/>
          <w:i w:val="0"/>
          <w:iCs/>
          <w:lang w:val="en-US"/>
        </w:rPr>
      </w:pPr>
      <w:r w:rsidRPr="001737B8">
        <w:rPr>
          <w:b w:val="0"/>
          <w:bCs w:val="0"/>
          <w:i w:val="0"/>
          <w:iCs/>
          <w:lang w:val="en-US"/>
        </w:rPr>
        <w:t>Policy and Incentives (POL) (β = 0.230), Infrastructure (INF) (β = 0.164), and Competitiveness and Innovation (COM) (β = 0.143) were all statistically significant predictors, confirming their relevance in policy design and development strategies.</w:t>
      </w:r>
    </w:p>
    <w:p w14:paraId="102B821F" w14:textId="77777777" w:rsidR="001737B8" w:rsidRPr="001737B8" w:rsidRDefault="001737B8" w:rsidP="001737B8">
      <w:pPr>
        <w:pStyle w:val="Muc2"/>
        <w:widowControl w:val="0"/>
        <w:ind w:firstLine="720"/>
        <w:jc w:val="both"/>
        <w:rPr>
          <w:b w:val="0"/>
          <w:bCs w:val="0"/>
          <w:i w:val="0"/>
          <w:iCs/>
          <w:lang w:val="en-US"/>
        </w:rPr>
      </w:pPr>
      <w:r w:rsidRPr="001737B8">
        <w:rPr>
          <w:b w:val="0"/>
          <w:bCs w:val="0"/>
          <w:i w:val="0"/>
          <w:iCs/>
          <w:lang w:val="en-US"/>
        </w:rPr>
        <w:t xml:space="preserve">An important observation concerns the variable Global Economic Environment </w:t>
      </w:r>
      <w:r w:rsidRPr="001737B8">
        <w:rPr>
          <w:b w:val="0"/>
          <w:bCs w:val="0"/>
          <w:i w:val="0"/>
          <w:iCs/>
          <w:lang w:val="en-US"/>
        </w:rPr>
        <w:lastRenderedPageBreak/>
        <w:t>(GEC), which was excluded from the final regression model due to perfect multicollinearity (Tolerance = 0). This indicates that the explanatory content of GEC was already captured by other correlated variables, particularly International Relations (INT) and Competitiveness and Innovation (COM). Consequently, GEC did not contribute independent explanatory power and was omitted from the final analysis.</w:t>
      </w:r>
    </w:p>
    <w:p w14:paraId="702B8F96" w14:textId="77777777" w:rsidR="001737B8" w:rsidRPr="001737B8" w:rsidRDefault="001737B8" w:rsidP="001737B8">
      <w:pPr>
        <w:pStyle w:val="Muc2"/>
        <w:widowControl w:val="0"/>
        <w:ind w:firstLine="720"/>
        <w:jc w:val="both"/>
        <w:rPr>
          <w:b w:val="0"/>
          <w:bCs w:val="0"/>
          <w:i w:val="0"/>
          <w:iCs/>
          <w:lang w:val="en-US"/>
        </w:rPr>
      </w:pPr>
      <w:r w:rsidRPr="001737B8">
        <w:rPr>
          <w:b w:val="0"/>
          <w:bCs w:val="0"/>
          <w:i w:val="0"/>
          <w:iCs/>
          <w:lang w:val="en-US"/>
        </w:rPr>
        <w:t>Overall, the results validate the proposed hypotheses and emphasize that human capital development, social infrastructure, international cooperation, and policy frameworks are the most decisive drivers for the sustainable development of the Lao Cai Border-Gate Economic Zone.</w:t>
      </w:r>
    </w:p>
    <w:p w14:paraId="2F62D710" w14:textId="585D1208" w:rsidR="00601BCC" w:rsidRPr="00D6374E" w:rsidRDefault="00E67C6C" w:rsidP="00384DEB">
      <w:pPr>
        <w:spacing w:after="0" w:line="360" w:lineRule="auto"/>
        <w:jc w:val="center"/>
        <w:rPr>
          <w:rFonts w:ascii="Times New Roman" w:hAnsi="Times New Roman" w:cs="Times New Roman"/>
          <w:b/>
          <w:bCs/>
          <w:i/>
          <w:iCs/>
          <w:sz w:val="26"/>
          <w:szCs w:val="26"/>
        </w:rPr>
      </w:pPr>
      <w:r w:rsidRPr="00090E98">
        <w:rPr>
          <w:rFonts w:ascii="Times New Roman" w:hAnsi="Times New Roman" w:cs="Times New Roman"/>
          <w:b/>
          <w:bCs/>
          <w:i/>
          <w:iCs/>
          <w:sz w:val="26"/>
          <w:szCs w:val="26"/>
        </w:rPr>
        <w:t>Table</w:t>
      </w:r>
      <w:r w:rsidRPr="00E67C6C">
        <w:rPr>
          <w:rFonts w:ascii="Times New Roman" w:hAnsi="Times New Roman" w:cs="Times New Roman"/>
          <w:b/>
          <w:bCs/>
          <w:i/>
          <w:iCs/>
          <w:sz w:val="26"/>
          <w:szCs w:val="26"/>
        </w:rPr>
        <w:t xml:space="preserve"> </w:t>
      </w:r>
      <w:r w:rsidR="00090E98">
        <w:rPr>
          <w:rFonts w:ascii="Times New Roman" w:hAnsi="Times New Roman" w:cs="Times New Roman"/>
          <w:b/>
          <w:bCs/>
          <w:i/>
          <w:iCs/>
          <w:sz w:val="26"/>
          <w:szCs w:val="26"/>
        </w:rPr>
        <w:t>2</w:t>
      </w:r>
      <w:r w:rsidRPr="00E67C6C">
        <w:rPr>
          <w:rFonts w:ascii="Times New Roman" w:hAnsi="Times New Roman" w:cs="Times New Roman"/>
          <w:b/>
          <w:bCs/>
          <w:i/>
          <w:iCs/>
          <w:sz w:val="26"/>
          <w:szCs w:val="26"/>
        </w:rPr>
        <w:t>. Summary of Hypothesis Testing Results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3140"/>
        <w:gridCol w:w="1440"/>
        <w:gridCol w:w="838"/>
        <w:gridCol w:w="2492"/>
      </w:tblGrid>
      <w:tr w:rsidR="007529E6" w:rsidRPr="00E67C6C" w14:paraId="37A58CDD" w14:textId="77777777" w:rsidTr="00E5039E">
        <w:trPr>
          <w:trHeight w:val="20"/>
        </w:trPr>
        <w:tc>
          <w:tcPr>
            <w:tcW w:w="1445" w:type="dxa"/>
            <w:vAlign w:val="center"/>
            <w:hideMark/>
          </w:tcPr>
          <w:p w14:paraId="5048FDBC" w14:textId="37185992" w:rsidR="007529E6" w:rsidRPr="00E67C6C" w:rsidRDefault="007529E6" w:rsidP="007529E6">
            <w:pPr>
              <w:spacing w:after="0" w:line="240" w:lineRule="auto"/>
              <w:jc w:val="center"/>
              <w:rPr>
                <w:rFonts w:ascii="Times New Roman" w:eastAsia="Times New Roman" w:hAnsi="Times New Roman" w:cs="Times New Roman"/>
                <w:b/>
                <w:bCs/>
                <w:color w:val="000000"/>
                <w:sz w:val="26"/>
                <w:szCs w:val="26"/>
              </w:rPr>
            </w:pPr>
            <w:r w:rsidRPr="00E67C6C">
              <w:rPr>
                <w:rFonts w:ascii="Times New Roman" w:hAnsi="Times New Roman" w:cs="Times New Roman"/>
                <w:b/>
                <w:bCs/>
                <w:color w:val="000000"/>
                <w:sz w:val="26"/>
                <w:szCs w:val="26"/>
              </w:rPr>
              <w:t>Hypothesis Code</w:t>
            </w:r>
          </w:p>
        </w:tc>
        <w:tc>
          <w:tcPr>
            <w:tcW w:w="3140" w:type="dxa"/>
            <w:vAlign w:val="center"/>
            <w:hideMark/>
          </w:tcPr>
          <w:p w14:paraId="1B3AE297" w14:textId="3E16209F" w:rsidR="007529E6" w:rsidRPr="00E67C6C" w:rsidRDefault="007529E6" w:rsidP="007529E6">
            <w:pPr>
              <w:spacing w:after="0" w:line="240" w:lineRule="auto"/>
              <w:jc w:val="center"/>
              <w:rPr>
                <w:rFonts w:ascii="Times New Roman" w:eastAsia="Times New Roman" w:hAnsi="Times New Roman" w:cs="Times New Roman"/>
                <w:b/>
                <w:bCs/>
                <w:color w:val="000000"/>
                <w:sz w:val="26"/>
                <w:szCs w:val="26"/>
              </w:rPr>
            </w:pPr>
            <w:r w:rsidRPr="00E67C6C">
              <w:rPr>
                <w:rFonts w:ascii="Times New Roman" w:hAnsi="Times New Roman" w:cs="Times New Roman"/>
                <w:b/>
                <w:bCs/>
                <w:color w:val="000000"/>
                <w:sz w:val="26"/>
                <w:szCs w:val="26"/>
              </w:rPr>
              <w:t>Hypothesis Statement</w:t>
            </w:r>
          </w:p>
        </w:tc>
        <w:tc>
          <w:tcPr>
            <w:tcW w:w="1440" w:type="dxa"/>
            <w:vAlign w:val="center"/>
            <w:hideMark/>
          </w:tcPr>
          <w:p w14:paraId="3D136903" w14:textId="5E859A38" w:rsidR="007529E6" w:rsidRPr="00E67C6C" w:rsidRDefault="007529E6" w:rsidP="007529E6">
            <w:pPr>
              <w:spacing w:after="0" w:line="240" w:lineRule="auto"/>
              <w:jc w:val="center"/>
              <w:rPr>
                <w:rFonts w:ascii="Times New Roman" w:eastAsia="Times New Roman" w:hAnsi="Times New Roman" w:cs="Times New Roman"/>
                <w:b/>
                <w:bCs/>
                <w:color w:val="000000"/>
                <w:sz w:val="26"/>
                <w:szCs w:val="26"/>
              </w:rPr>
            </w:pPr>
            <w:r w:rsidRPr="00E67C6C">
              <w:rPr>
                <w:rFonts w:ascii="Times New Roman" w:hAnsi="Times New Roman" w:cs="Times New Roman"/>
                <w:b/>
                <w:bCs/>
                <w:color w:val="000000"/>
                <w:sz w:val="26"/>
                <w:szCs w:val="26"/>
              </w:rPr>
              <w:t>Regression Coefficient (B)</w:t>
            </w:r>
          </w:p>
        </w:tc>
        <w:tc>
          <w:tcPr>
            <w:tcW w:w="838" w:type="dxa"/>
            <w:vAlign w:val="center"/>
            <w:hideMark/>
          </w:tcPr>
          <w:p w14:paraId="2CB06DBC" w14:textId="5A85B680" w:rsidR="007529E6" w:rsidRPr="00E67C6C" w:rsidRDefault="007529E6" w:rsidP="007529E6">
            <w:pPr>
              <w:spacing w:after="0" w:line="240" w:lineRule="auto"/>
              <w:jc w:val="center"/>
              <w:rPr>
                <w:rFonts w:ascii="Times New Roman" w:eastAsia="Times New Roman" w:hAnsi="Times New Roman" w:cs="Times New Roman"/>
                <w:b/>
                <w:bCs/>
                <w:color w:val="000000"/>
                <w:sz w:val="26"/>
                <w:szCs w:val="26"/>
              </w:rPr>
            </w:pPr>
            <w:r w:rsidRPr="00E67C6C">
              <w:rPr>
                <w:rFonts w:ascii="Times New Roman" w:hAnsi="Times New Roman" w:cs="Times New Roman"/>
                <w:b/>
                <w:bCs/>
                <w:color w:val="000000"/>
                <w:sz w:val="26"/>
                <w:szCs w:val="26"/>
              </w:rPr>
              <w:t>Sig.</w:t>
            </w:r>
          </w:p>
        </w:tc>
        <w:tc>
          <w:tcPr>
            <w:tcW w:w="2492" w:type="dxa"/>
            <w:vAlign w:val="center"/>
            <w:hideMark/>
          </w:tcPr>
          <w:p w14:paraId="076E9061" w14:textId="4E37C765" w:rsidR="007529E6" w:rsidRPr="00E67C6C" w:rsidRDefault="007529E6" w:rsidP="007529E6">
            <w:pPr>
              <w:spacing w:after="0" w:line="240" w:lineRule="auto"/>
              <w:jc w:val="center"/>
              <w:rPr>
                <w:rFonts w:ascii="Times New Roman" w:eastAsia="Times New Roman" w:hAnsi="Times New Roman" w:cs="Times New Roman"/>
                <w:b/>
                <w:bCs/>
                <w:color w:val="000000"/>
                <w:sz w:val="26"/>
                <w:szCs w:val="26"/>
              </w:rPr>
            </w:pPr>
            <w:r w:rsidRPr="00E67C6C">
              <w:rPr>
                <w:rFonts w:ascii="Times New Roman" w:hAnsi="Times New Roman" w:cs="Times New Roman"/>
                <w:b/>
                <w:bCs/>
                <w:color w:val="000000"/>
                <w:sz w:val="26"/>
                <w:szCs w:val="26"/>
              </w:rPr>
              <w:t>Test Conclusion</w:t>
            </w:r>
          </w:p>
        </w:tc>
      </w:tr>
      <w:tr w:rsidR="007529E6" w:rsidRPr="00E67C6C" w14:paraId="028EF66E" w14:textId="77777777" w:rsidTr="00E5039E">
        <w:trPr>
          <w:trHeight w:val="20"/>
        </w:trPr>
        <w:tc>
          <w:tcPr>
            <w:tcW w:w="1445" w:type="dxa"/>
            <w:vAlign w:val="center"/>
            <w:hideMark/>
          </w:tcPr>
          <w:p w14:paraId="6519D9E4" w14:textId="2B84086D" w:rsidR="007529E6" w:rsidRPr="00E67C6C" w:rsidRDefault="007529E6" w:rsidP="007529E6">
            <w:pPr>
              <w:spacing w:after="0" w:line="240" w:lineRule="auto"/>
              <w:jc w:val="center"/>
              <w:rPr>
                <w:rFonts w:ascii="Times New Roman" w:eastAsia="Times New Roman" w:hAnsi="Times New Roman" w:cs="Times New Roman"/>
                <w:color w:val="000000"/>
                <w:sz w:val="26"/>
                <w:szCs w:val="26"/>
              </w:rPr>
            </w:pPr>
            <w:r w:rsidRPr="00E67C6C">
              <w:rPr>
                <w:rFonts w:ascii="Times New Roman" w:hAnsi="Times New Roman" w:cs="Times New Roman"/>
                <w:b/>
                <w:bCs/>
                <w:color w:val="000000"/>
                <w:sz w:val="26"/>
                <w:szCs w:val="26"/>
              </w:rPr>
              <w:t>H1</w:t>
            </w:r>
          </w:p>
        </w:tc>
        <w:tc>
          <w:tcPr>
            <w:tcW w:w="3140" w:type="dxa"/>
            <w:vAlign w:val="center"/>
            <w:hideMark/>
          </w:tcPr>
          <w:p w14:paraId="2BC8F757" w14:textId="63DCD109"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Infrastructure (INF) has a positive impact on the development of the Lao Cai Border-Gate Economic Zone.</w:t>
            </w:r>
          </w:p>
        </w:tc>
        <w:tc>
          <w:tcPr>
            <w:tcW w:w="1440" w:type="dxa"/>
            <w:vAlign w:val="center"/>
            <w:hideMark/>
          </w:tcPr>
          <w:p w14:paraId="57C59394" w14:textId="68563C65"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0.110</w:t>
            </w:r>
          </w:p>
        </w:tc>
        <w:tc>
          <w:tcPr>
            <w:tcW w:w="838" w:type="dxa"/>
            <w:vAlign w:val="center"/>
            <w:hideMark/>
          </w:tcPr>
          <w:p w14:paraId="51BB7FD6" w14:textId="7BB0F625"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0.000</w:t>
            </w:r>
          </w:p>
        </w:tc>
        <w:tc>
          <w:tcPr>
            <w:tcW w:w="2492" w:type="dxa"/>
            <w:vAlign w:val="center"/>
            <w:hideMark/>
          </w:tcPr>
          <w:p w14:paraId="2124243D" w14:textId="7D89627A"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Accepted – Positive and statistically significant effect.</w:t>
            </w:r>
          </w:p>
        </w:tc>
      </w:tr>
      <w:tr w:rsidR="007529E6" w:rsidRPr="00E67C6C" w14:paraId="0B1BBFA8" w14:textId="77777777" w:rsidTr="00E5039E">
        <w:trPr>
          <w:trHeight w:val="20"/>
        </w:trPr>
        <w:tc>
          <w:tcPr>
            <w:tcW w:w="1445" w:type="dxa"/>
            <w:vAlign w:val="center"/>
            <w:hideMark/>
          </w:tcPr>
          <w:p w14:paraId="41908B44" w14:textId="36CA9BFA" w:rsidR="007529E6" w:rsidRPr="00E67C6C" w:rsidRDefault="007529E6" w:rsidP="007529E6">
            <w:pPr>
              <w:spacing w:after="0" w:line="240" w:lineRule="auto"/>
              <w:jc w:val="center"/>
              <w:rPr>
                <w:rFonts w:ascii="Times New Roman" w:eastAsia="Times New Roman" w:hAnsi="Times New Roman" w:cs="Times New Roman"/>
                <w:color w:val="000000"/>
                <w:sz w:val="26"/>
                <w:szCs w:val="26"/>
              </w:rPr>
            </w:pPr>
            <w:r w:rsidRPr="00E67C6C">
              <w:rPr>
                <w:rFonts w:ascii="Times New Roman" w:hAnsi="Times New Roman" w:cs="Times New Roman"/>
                <w:b/>
                <w:bCs/>
                <w:color w:val="000000"/>
                <w:sz w:val="26"/>
                <w:szCs w:val="26"/>
              </w:rPr>
              <w:t>H2</w:t>
            </w:r>
          </w:p>
        </w:tc>
        <w:tc>
          <w:tcPr>
            <w:tcW w:w="3140" w:type="dxa"/>
            <w:vAlign w:val="center"/>
            <w:hideMark/>
          </w:tcPr>
          <w:p w14:paraId="613B771C" w14:textId="30772319"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Policy and incentives (POL) positively influence the development of the Lao Cai Border-Gate Economic Zone.</w:t>
            </w:r>
          </w:p>
        </w:tc>
        <w:tc>
          <w:tcPr>
            <w:tcW w:w="1440" w:type="dxa"/>
            <w:vAlign w:val="center"/>
            <w:hideMark/>
          </w:tcPr>
          <w:p w14:paraId="415561FC" w14:textId="02EFE787"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0.156</w:t>
            </w:r>
          </w:p>
        </w:tc>
        <w:tc>
          <w:tcPr>
            <w:tcW w:w="838" w:type="dxa"/>
            <w:vAlign w:val="center"/>
            <w:hideMark/>
          </w:tcPr>
          <w:p w14:paraId="039CE135" w14:textId="1D474105"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0.000</w:t>
            </w:r>
          </w:p>
        </w:tc>
        <w:tc>
          <w:tcPr>
            <w:tcW w:w="2492" w:type="dxa"/>
            <w:vAlign w:val="center"/>
            <w:hideMark/>
          </w:tcPr>
          <w:p w14:paraId="34786DDE" w14:textId="084EB8A4"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Accepted – Positive and significant impact.</w:t>
            </w:r>
          </w:p>
        </w:tc>
      </w:tr>
      <w:tr w:rsidR="007529E6" w:rsidRPr="00E67C6C" w14:paraId="1E64544A" w14:textId="77777777" w:rsidTr="00E5039E">
        <w:trPr>
          <w:trHeight w:val="20"/>
        </w:trPr>
        <w:tc>
          <w:tcPr>
            <w:tcW w:w="1445" w:type="dxa"/>
            <w:vAlign w:val="center"/>
            <w:hideMark/>
          </w:tcPr>
          <w:p w14:paraId="429459FC" w14:textId="6CE3E115" w:rsidR="007529E6" w:rsidRPr="00E67C6C" w:rsidRDefault="007529E6" w:rsidP="007529E6">
            <w:pPr>
              <w:spacing w:after="0" w:line="240" w:lineRule="auto"/>
              <w:jc w:val="center"/>
              <w:rPr>
                <w:rFonts w:ascii="Times New Roman" w:eastAsia="Times New Roman" w:hAnsi="Times New Roman" w:cs="Times New Roman"/>
                <w:color w:val="000000"/>
                <w:sz w:val="26"/>
                <w:szCs w:val="26"/>
              </w:rPr>
            </w:pPr>
            <w:r w:rsidRPr="00E67C6C">
              <w:rPr>
                <w:rFonts w:ascii="Times New Roman" w:hAnsi="Times New Roman" w:cs="Times New Roman"/>
                <w:b/>
                <w:bCs/>
                <w:color w:val="000000"/>
                <w:sz w:val="26"/>
                <w:szCs w:val="26"/>
              </w:rPr>
              <w:t>H3</w:t>
            </w:r>
          </w:p>
        </w:tc>
        <w:tc>
          <w:tcPr>
            <w:tcW w:w="3140" w:type="dxa"/>
            <w:vAlign w:val="center"/>
            <w:hideMark/>
          </w:tcPr>
          <w:p w14:paraId="504CFD1A" w14:textId="6D777AD1"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International relations and regional cooperation (INT) have a positive effect on the development of the Lao Cai Border-Gate Economic Zone.</w:t>
            </w:r>
          </w:p>
        </w:tc>
        <w:tc>
          <w:tcPr>
            <w:tcW w:w="1440" w:type="dxa"/>
            <w:vAlign w:val="center"/>
            <w:hideMark/>
          </w:tcPr>
          <w:p w14:paraId="34969F25" w14:textId="3B2FE3A2"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0.157</w:t>
            </w:r>
          </w:p>
        </w:tc>
        <w:tc>
          <w:tcPr>
            <w:tcW w:w="838" w:type="dxa"/>
            <w:vAlign w:val="center"/>
            <w:hideMark/>
          </w:tcPr>
          <w:p w14:paraId="116419F9" w14:textId="2AE1CF7C"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0.000</w:t>
            </w:r>
          </w:p>
        </w:tc>
        <w:tc>
          <w:tcPr>
            <w:tcW w:w="2492" w:type="dxa"/>
            <w:vAlign w:val="center"/>
            <w:hideMark/>
          </w:tcPr>
          <w:p w14:paraId="48451C87" w14:textId="6CCDEF88"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Accepted – Positive and substantial effect.</w:t>
            </w:r>
          </w:p>
        </w:tc>
      </w:tr>
      <w:tr w:rsidR="007529E6" w:rsidRPr="00E67C6C" w14:paraId="6BBD6651" w14:textId="77777777" w:rsidTr="00E5039E">
        <w:trPr>
          <w:trHeight w:val="20"/>
        </w:trPr>
        <w:tc>
          <w:tcPr>
            <w:tcW w:w="1445" w:type="dxa"/>
            <w:vAlign w:val="center"/>
            <w:hideMark/>
          </w:tcPr>
          <w:p w14:paraId="0A026E48" w14:textId="2DF16E7E" w:rsidR="007529E6" w:rsidRPr="00E67C6C" w:rsidRDefault="007529E6" w:rsidP="007529E6">
            <w:pPr>
              <w:spacing w:after="0" w:line="240" w:lineRule="auto"/>
              <w:jc w:val="center"/>
              <w:rPr>
                <w:rFonts w:ascii="Times New Roman" w:eastAsia="Times New Roman" w:hAnsi="Times New Roman" w:cs="Times New Roman"/>
                <w:color w:val="000000"/>
                <w:sz w:val="26"/>
                <w:szCs w:val="26"/>
              </w:rPr>
            </w:pPr>
            <w:r w:rsidRPr="00E67C6C">
              <w:rPr>
                <w:rFonts w:ascii="Times New Roman" w:hAnsi="Times New Roman" w:cs="Times New Roman"/>
                <w:b/>
                <w:bCs/>
                <w:color w:val="000000"/>
                <w:sz w:val="26"/>
                <w:szCs w:val="26"/>
              </w:rPr>
              <w:t>H4</w:t>
            </w:r>
          </w:p>
        </w:tc>
        <w:tc>
          <w:tcPr>
            <w:tcW w:w="3140" w:type="dxa"/>
            <w:vAlign w:val="center"/>
            <w:hideMark/>
          </w:tcPr>
          <w:p w14:paraId="1A4D7A01" w14:textId="0D6C4EA2"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Competitiveness and innovation (COM) positively influence the development of the Lao Cai Border-Gate Economic Zone.</w:t>
            </w:r>
          </w:p>
        </w:tc>
        <w:tc>
          <w:tcPr>
            <w:tcW w:w="1440" w:type="dxa"/>
            <w:vAlign w:val="center"/>
            <w:hideMark/>
          </w:tcPr>
          <w:p w14:paraId="294E3488" w14:textId="2890BDAD"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0.098</w:t>
            </w:r>
          </w:p>
        </w:tc>
        <w:tc>
          <w:tcPr>
            <w:tcW w:w="838" w:type="dxa"/>
            <w:vAlign w:val="center"/>
            <w:hideMark/>
          </w:tcPr>
          <w:p w14:paraId="384219C7" w14:textId="719DA6CE"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0.001</w:t>
            </w:r>
          </w:p>
        </w:tc>
        <w:tc>
          <w:tcPr>
            <w:tcW w:w="2492" w:type="dxa"/>
            <w:vAlign w:val="center"/>
            <w:hideMark/>
          </w:tcPr>
          <w:p w14:paraId="5AE3AEFF" w14:textId="6E5C9697"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Accepted – Positive and significant effect.</w:t>
            </w:r>
          </w:p>
        </w:tc>
      </w:tr>
      <w:tr w:rsidR="007529E6" w:rsidRPr="00E67C6C" w14:paraId="2C07E32D" w14:textId="77777777" w:rsidTr="00E5039E">
        <w:trPr>
          <w:trHeight w:val="20"/>
        </w:trPr>
        <w:tc>
          <w:tcPr>
            <w:tcW w:w="1445" w:type="dxa"/>
            <w:vAlign w:val="center"/>
            <w:hideMark/>
          </w:tcPr>
          <w:p w14:paraId="5C0B3107" w14:textId="27B329AF" w:rsidR="007529E6" w:rsidRPr="00E67C6C" w:rsidRDefault="007529E6" w:rsidP="007529E6">
            <w:pPr>
              <w:spacing w:after="0" w:line="240" w:lineRule="auto"/>
              <w:jc w:val="center"/>
              <w:rPr>
                <w:rFonts w:ascii="Times New Roman" w:eastAsia="Times New Roman" w:hAnsi="Times New Roman" w:cs="Times New Roman"/>
                <w:color w:val="000000"/>
                <w:sz w:val="26"/>
                <w:szCs w:val="26"/>
              </w:rPr>
            </w:pPr>
            <w:r w:rsidRPr="00E67C6C">
              <w:rPr>
                <w:rFonts w:ascii="Times New Roman" w:hAnsi="Times New Roman" w:cs="Times New Roman"/>
                <w:b/>
                <w:bCs/>
                <w:color w:val="000000"/>
                <w:sz w:val="26"/>
                <w:szCs w:val="26"/>
              </w:rPr>
              <w:t>H5</w:t>
            </w:r>
          </w:p>
        </w:tc>
        <w:tc>
          <w:tcPr>
            <w:tcW w:w="3140" w:type="dxa"/>
            <w:vAlign w:val="center"/>
            <w:hideMark/>
          </w:tcPr>
          <w:p w14:paraId="3464C045" w14:textId="4B72DECD"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The global economic environment (GEC) has a positive effect on the development of the Lao Cai Border-Gate Economic Zone.</w:t>
            </w:r>
          </w:p>
        </w:tc>
        <w:tc>
          <w:tcPr>
            <w:tcW w:w="1440" w:type="dxa"/>
            <w:vAlign w:val="center"/>
            <w:hideMark/>
          </w:tcPr>
          <w:p w14:paraId="1830F208" w14:textId="214FC879"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 (excluded)</w:t>
            </w:r>
          </w:p>
        </w:tc>
        <w:tc>
          <w:tcPr>
            <w:tcW w:w="838" w:type="dxa"/>
            <w:vAlign w:val="center"/>
            <w:hideMark/>
          </w:tcPr>
          <w:p w14:paraId="28C1E404" w14:textId="5420249C"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w:t>
            </w:r>
          </w:p>
        </w:tc>
        <w:tc>
          <w:tcPr>
            <w:tcW w:w="2492" w:type="dxa"/>
            <w:vAlign w:val="center"/>
            <w:hideMark/>
          </w:tcPr>
          <w:p w14:paraId="31552F64" w14:textId="7C95FF2C"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Rejected – Removed from the model due to perfect multicollinearity, thus untes</w:t>
            </w:r>
            <w:r w:rsidRPr="00090E98">
              <w:rPr>
                <w:rFonts w:ascii="Times New Roman" w:hAnsi="Times New Roman" w:cs="Times New Roman"/>
                <w:color w:val="000000"/>
                <w:sz w:val="26"/>
                <w:szCs w:val="26"/>
              </w:rPr>
              <w:t>table</w:t>
            </w:r>
            <w:r w:rsidRPr="00E67C6C">
              <w:rPr>
                <w:rFonts w:ascii="Times New Roman" w:hAnsi="Times New Roman" w:cs="Times New Roman"/>
                <w:color w:val="000000"/>
                <w:sz w:val="26"/>
                <w:szCs w:val="26"/>
              </w:rPr>
              <w:t>.</w:t>
            </w:r>
          </w:p>
        </w:tc>
      </w:tr>
      <w:tr w:rsidR="007529E6" w:rsidRPr="00E67C6C" w14:paraId="56E6B13D" w14:textId="77777777" w:rsidTr="00E5039E">
        <w:trPr>
          <w:trHeight w:val="20"/>
        </w:trPr>
        <w:tc>
          <w:tcPr>
            <w:tcW w:w="1445" w:type="dxa"/>
            <w:vAlign w:val="center"/>
            <w:hideMark/>
          </w:tcPr>
          <w:p w14:paraId="45A2F2A4" w14:textId="278B8C0D" w:rsidR="007529E6" w:rsidRPr="00E67C6C" w:rsidRDefault="007529E6" w:rsidP="007529E6">
            <w:pPr>
              <w:spacing w:after="0" w:line="240" w:lineRule="auto"/>
              <w:jc w:val="center"/>
              <w:rPr>
                <w:rFonts w:ascii="Times New Roman" w:eastAsia="Times New Roman" w:hAnsi="Times New Roman" w:cs="Times New Roman"/>
                <w:color w:val="000000"/>
                <w:sz w:val="26"/>
                <w:szCs w:val="26"/>
              </w:rPr>
            </w:pPr>
            <w:r w:rsidRPr="00E67C6C">
              <w:rPr>
                <w:rFonts w:ascii="Times New Roman" w:hAnsi="Times New Roman" w:cs="Times New Roman"/>
                <w:b/>
                <w:bCs/>
                <w:color w:val="000000"/>
                <w:sz w:val="26"/>
                <w:szCs w:val="26"/>
              </w:rPr>
              <w:lastRenderedPageBreak/>
              <w:t>H6</w:t>
            </w:r>
          </w:p>
        </w:tc>
        <w:tc>
          <w:tcPr>
            <w:tcW w:w="3140" w:type="dxa"/>
            <w:vAlign w:val="center"/>
            <w:hideMark/>
          </w:tcPr>
          <w:p w14:paraId="17434763" w14:textId="26BAA4E0"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Human resources (HR) positively influence the development of the Lao Cai Border-Gate Economic Zone.</w:t>
            </w:r>
          </w:p>
        </w:tc>
        <w:tc>
          <w:tcPr>
            <w:tcW w:w="1440" w:type="dxa"/>
            <w:vAlign w:val="center"/>
            <w:hideMark/>
          </w:tcPr>
          <w:p w14:paraId="0B165139" w14:textId="6E759285"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0.265</w:t>
            </w:r>
          </w:p>
        </w:tc>
        <w:tc>
          <w:tcPr>
            <w:tcW w:w="838" w:type="dxa"/>
            <w:vAlign w:val="center"/>
            <w:hideMark/>
          </w:tcPr>
          <w:p w14:paraId="7236AA48" w14:textId="4DD58007"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0.000</w:t>
            </w:r>
          </w:p>
        </w:tc>
        <w:tc>
          <w:tcPr>
            <w:tcW w:w="2492" w:type="dxa"/>
            <w:vAlign w:val="center"/>
            <w:hideMark/>
          </w:tcPr>
          <w:p w14:paraId="362F7D4D" w14:textId="3AE0B59C"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Accepted – Strongest effect among all factors.</w:t>
            </w:r>
          </w:p>
        </w:tc>
      </w:tr>
      <w:tr w:rsidR="007529E6" w:rsidRPr="00E67C6C" w14:paraId="6C4E1FEB" w14:textId="77777777" w:rsidTr="00E5039E">
        <w:trPr>
          <w:trHeight w:val="20"/>
        </w:trPr>
        <w:tc>
          <w:tcPr>
            <w:tcW w:w="1445" w:type="dxa"/>
            <w:vAlign w:val="center"/>
            <w:hideMark/>
          </w:tcPr>
          <w:p w14:paraId="6B2A48D3" w14:textId="04677195" w:rsidR="007529E6" w:rsidRPr="00E67C6C" w:rsidRDefault="007529E6" w:rsidP="007529E6">
            <w:pPr>
              <w:spacing w:after="0" w:line="240" w:lineRule="auto"/>
              <w:jc w:val="center"/>
              <w:rPr>
                <w:rFonts w:ascii="Times New Roman" w:eastAsia="Times New Roman" w:hAnsi="Times New Roman" w:cs="Times New Roman"/>
                <w:color w:val="000000"/>
                <w:sz w:val="26"/>
                <w:szCs w:val="26"/>
              </w:rPr>
            </w:pPr>
            <w:r w:rsidRPr="00E67C6C">
              <w:rPr>
                <w:rFonts w:ascii="Times New Roman" w:hAnsi="Times New Roman" w:cs="Times New Roman"/>
                <w:b/>
                <w:bCs/>
                <w:color w:val="000000"/>
                <w:sz w:val="26"/>
                <w:szCs w:val="26"/>
              </w:rPr>
              <w:t>H7</w:t>
            </w:r>
          </w:p>
        </w:tc>
        <w:tc>
          <w:tcPr>
            <w:tcW w:w="3140" w:type="dxa"/>
            <w:vAlign w:val="center"/>
            <w:hideMark/>
          </w:tcPr>
          <w:p w14:paraId="5038B46C" w14:textId="4D4CE751"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Social and living environment (SOC) has a positive effect on the development of the Lao Cai Border-Gate Economic Zone.</w:t>
            </w:r>
          </w:p>
        </w:tc>
        <w:tc>
          <w:tcPr>
            <w:tcW w:w="1440" w:type="dxa"/>
            <w:vAlign w:val="center"/>
            <w:hideMark/>
          </w:tcPr>
          <w:p w14:paraId="2A6E711F" w14:textId="7871B836"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0.121</w:t>
            </w:r>
          </w:p>
        </w:tc>
        <w:tc>
          <w:tcPr>
            <w:tcW w:w="838" w:type="dxa"/>
            <w:vAlign w:val="center"/>
            <w:hideMark/>
          </w:tcPr>
          <w:p w14:paraId="69F67C97" w14:textId="5E675F61"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0.000</w:t>
            </w:r>
          </w:p>
        </w:tc>
        <w:tc>
          <w:tcPr>
            <w:tcW w:w="2492" w:type="dxa"/>
            <w:vAlign w:val="center"/>
            <w:hideMark/>
          </w:tcPr>
          <w:p w14:paraId="30168DE4" w14:textId="5AB5C8C0" w:rsidR="007529E6" w:rsidRPr="00E67C6C" w:rsidRDefault="007529E6" w:rsidP="00E5039E">
            <w:pPr>
              <w:spacing w:after="0" w:line="240" w:lineRule="auto"/>
              <w:jc w:val="both"/>
              <w:rPr>
                <w:rFonts w:ascii="Times New Roman" w:eastAsia="Times New Roman" w:hAnsi="Times New Roman" w:cs="Times New Roman"/>
                <w:color w:val="000000"/>
                <w:sz w:val="26"/>
                <w:szCs w:val="26"/>
              </w:rPr>
            </w:pPr>
            <w:r w:rsidRPr="00E67C6C">
              <w:rPr>
                <w:rFonts w:ascii="Times New Roman" w:hAnsi="Times New Roman" w:cs="Times New Roman"/>
                <w:color w:val="000000"/>
                <w:sz w:val="26"/>
                <w:szCs w:val="26"/>
              </w:rPr>
              <w:t>Accepted – Statistically significant and substantial effect.</w:t>
            </w:r>
          </w:p>
        </w:tc>
      </w:tr>
    </w:tbl>
    <w:p w14:paraId="5E7813E6" w14:textId="77777777" w:rsidR="00577D20" w:rsidRPr="00577D20" w:rsidRDefault="00577D20" w:rsidP="00577D20">
      <w:pPr>
        <w:spacing w:after="0" w:line="360" w:lineRule="auto"/>
        <w:ind w:firstLine="720"/>
        <w:jc w:val="both"/>
        <w:rPr>
          <w:rFonts w:ascii="Times New Roman" w:hAnsi="Times New Roman" w:cs="Times New Roman"/>
          <w:sz w:val="26"/>
          <w:szCs w:val="26"/>
        </w:rPr>
      </w:pPr>
      <w:r w:rsidRPr="00577D20">
        <w:rPr>
          <w:rFonts w:ascii="Times New Roman" w:hAnsi="Times New Roman" w:cs="Times New Roman"/>
          <w:sz w:val="26"/>
          <w:szCs w:val="26"/>
        </w:rPr>
        <w:t>Out of the seven proposed hypotheses, six were supported with high statistical significance (p &lt; 0.01). The hypothesis H5 – Global Economic Environment was excluded from the regression model due to perfect multicollinearity (Tolerance = 0). This suggests that the variable was either redundant or linearly dependent on other constructs, particularly International Relations and Regional Cooperation (H3).</w:t>
      </w:r>
    </w:p>
    <w:p w14:paraId="67CD8E54" w14:textId="0557960D" w:rsidR="008F03E5" w:rsidRDefault="00577D20" w:rsidP="00577D20">
      <w:pPr>
        <w:spacing w:after="0" w:line="360" w:lineRule="auto"/>
        <w:ind w:firstLine="720"/>
        <w:jc w:val="both"/>
        <w:rPr>
          <w:rFonts w:ascii="Times New Roman" w:hAnsi="Times New Roman" w:cs="Times New Roman"/>
          <w:sz w:val="26"/>
          <w:szCs w:val="26"/>
        </w:rPr>
      </w:pPr>
      <w:r w:rsidRPr="00577D20">
        <w:rPr>
          <w:rFonts w:ascii="Times New Roman" w:hAnsi="Times New Roman" w:cs="Times New Roman"/>
          <w:sz w:val="26"/>
          <w:szCs w:val="26"/>
        </w:rPr>
        <w:t>Among the accepted hypotheses, Human Resources (H6) emerged as the most influential factor in driving the development of the Lao Cai Border-Gate Economic Zone. This was followed by the Social and Living Environment (H7) and International Relations and Regional Cooperation (H3), highlighting the decisive role of workforce quality, social conditions, and cross-border collaboration in enhancing regional economic performance.</w:t>
      </w:r>
    </w:p>
    <w:p w14:paraId="5E63682B" w14:textId="77777777" w:rsidR="0098303E" w:rsidRPr="0098303E" w:rsidRDefault="00F72838" w:rsidP="0098303E">
      <w:pPr>
        <w:spacing w:after="0" w:line="360" w:lineRule="auto"/>
        <w:jc w:val="both"/>
        <w:rPr>
          <w:rFonts w:ascii="Times New Roman" w:hAnsi="Times New Roman" w:cs="Times New Roman"/>
          <w:b/>
          <w:bCs/>
          <w:sz w:val="26"/>
          <w:szCs w:val="26"/>
        </w:rPr>
      </w:pPr>
      <w:r w:rsidRPr="0098303E">
        <w:rPr>
          <w:rFonts w:ascii="Times New Roman" w:hAnsi="Times New Roman" w:cs="Times New Roman"/>
          <w:b/>
          <w:bCs/>
          <w:sz w:val="26"/>
          <w:szCs w:val="26"/>
        </w:rPr>
        <w:t xml:space="preserve">6. </w:t>
      </w:r>
      <w:r w:rsidR="0098303E" w:rsidRPr="0098303E">
        <w:rPr>
          <w:rFonts w:ascii="Times New Roman" w:hAnsi="Times New Roman" w:cs="Times New Roman"/>
          <w:b/>
          <w:bCs/>
          <w:sz w:val="26"/>
          <w:szCs w:val="26"/>
        </w:rPr>
        <w:t>Discussion</w:t>
      </w:r>
    </w:p>
    <w:p w14:paraId="00CB3143" w14:textId="475A2A04" w:rsidR="0098303E" w:rsidRPr="0098303E" w:rsidRDefault="0098303E" w:rsidP="0098303E">
      <w:pPr>
        <w:spacing w:after="0" w:line="360" w:lineRule="auto"/>
        <w:ind w:firstLine="720"/>
        <w:jc w:val="both"/>
        <w:rPr>
          <w:rFonts w:ascii="Times New Roman" w:hAnsi="Times New Roman" w:cs="Times New Roman"/>
          <w:sz w:val="26"/>
          <w:szCs w:val="26"/>
        </w:rPr>
      </w:pPr>
      <w:r w:rsidRPr="0098303E">
        <w:rPr>
          <w:rFonts w:ascii="Times New Roman" w:hAnsi="Times New Roman" w:cs="Times New Roman"/>
          <w:sz w:val="26"/>
          <w:szCs w:val="26"/>
        </w:rPr>
        <w:t>The empirical findings provide important insights into the development dynamics of the Lao Cai Border-Gate Economic Zone (BGEZ). The regression model demonstrates a strong explanatory power, with six out of seven hypotheses confirmed at a high level of statistical significance (p &lt; 0.01). This indicates that the zone’s development is not driven by a single factor, but rather by a combination of interrelated determinants that reinforce one another.</w:t>
      </w:r>
    </w:p>
    <w:p w14:paraId="11BE9348" w14:textId="77777777" w:rsidR="0098303E" w:rsidRDefault="0098303E" w:rsidP="0098303E">
      <w:pPr>
        <w:spacing w:after="0" w:line="360" w:lineRule="auto"/>
        <w:ind w:firstLine="720"/>
        <w:jc w:val="both"/>
        <w:rPr>
          <w:rFonts w:ascii="Times New Roman" w:hAnsi="Times New Roman" w:cs="Times New Roman"/>
          <w:sz w:val="26"/>
          <w:szCs w:val="26"/>
        </w:rPr>
      </w:pPr>
      <w:r w:rsidRPr="0098303E">
        <w:rPr>
          <w:rFonts w:ascii="Times New Roman" w:hAnsi="Times New Roman" w:cs="Times New Roman"/>
          <w:sz w:val="26"/>
          <w:szCs w:val="26"/>
        </w:rPr>
        <w:t>First, the dominant role of human resources (β = 0.411) underscores the centrality of workforce quality in sustaining the competitiveness of the BGEZ. This finding aligns with human capital theory and previous studies on special economic zones, which emphasize that skilled labor is a prerequisite for attracting investment, facilitating technology adoption, and enhancing productivity (Nguyen &amp; Tran, 2020; World Bank, 2022). It suggests that local authorities should prioritize education, vocational training, and labor market efficiency as strategic pillars of development.</w:t>
      </w:r>
    </w:p>
    <w:p w14:paraId="32DACADE" w14:textId="13932305" w:rsidR="0098303E" w:rsidRPr="0098303E" w:rsidRDefault="0098303E" w:rsidP="0098303E">
      <w:pPr>
        <w:spacing w:after="0" w:line="360" w:lineRule="auto"/>
        <w:ind w:firstLine="720"/>
        <w:jc w:val="both"/>
        <w:rPr>
          <w:rFonts w:ascii="Times New Roman" w:hAnsi="Times New Roman" w:cs="Times New Roman"/>
          <w:sz w:val="26"/>
          <w:szCs w:val="26"/>
        </w:rPr>
      </w:pPr>
      <w:r w:rsidRPr="0098303E">
        <w:rPr>
          <w:rFonts w:ascii="Times New Roman" w:hAnsi="Times New Roman" w:cs="Times New Roman"/>
          <w:sz w:val="26"/>
          <w:szCs w:val="26"/>
        </w:rPr>
        <w:lastRenderedPageBreak/>
        <w:t>Second, the significant effect of the social and living environment (β = 0.294) highlights the broader importance of socio-cultural and welfare conditions in economic zone development. Adequate housing, healthcare, education, and urban amenities not only improve residents’ quality of life but also increase the attractiveness of the zone to investors and skilled workers. This supports Porter’s (1998) argument that quality of life is integral to the competitiveness of regional clusters.</w:t>
      </w:r>
    </w:p>
    <w:p w14:paraId="7B1A314A" w14:textId="7BF8D068" w:rsidR="0098303E" w:rsidRPr="0098303E" w:rsidRDefault="0098303E" w:rsidP="0098303E">
      <w:pPr>
        <w:spacing w:after="0" w:line="360" w:lineRule="auto"/>
        <w:ind w:firstLine="720"/>
        <w:jc w:val="both"/>
        <w:rPr>
          <w:rFonts w:ascii="Times New Roman" w:hAnsi="Times New Roman" w:cs="Times New Roman"/>
          <w:sz w:val="26"/>
          <w:szCs w:val="26"/>
        </w:rPr>
      </w:pPr>
      <w:r w:rsidRPr="0098303E">
        <w:rPr>
          <w:rFonts w:ascii="Times New Roman" w:hAnsi="Times New Roman" w:cs="Times New Roman"/>
          <w:sz w:val="26"/>
          <w:szCs w:val="26"/>
        </w:rPr>
        <w:t>Third, the strong impact of international relations and regional cooperation (β = 0.246) reflects Lao Cai’s strategic geographical location as a gateway for cross-border trade and integration with China and ASEAN. The result confirms the relevance of cluster theory and regional integration literature (Krugman, 1991), showing that external linkages and connectivity can significantly enhance local economic outcomes.</w:t>
      </w:r>
    </w:p>
    <w:p w14:paraId="1359AD58" w14:textId="7E8B0CC2" w:rsidR="0098303E" w:rsidRPr="0098303E" w:rsidRDefault="0098303E" w:rsidP="0098303E">
      <w:pPr>
        <w:spacing w:after="0" w:line="360" w:lineRule="auto"/>
        <w:ind w:firstLine="720"/>
        <w:jc w:val="both"/>
        <w:rPr>
          <w:rFonts w:ascii="Times New Roman" w:hAnsi="Times New Roman" w:cs="Times New Roman"/>
          <w:sz w:val="26"/>
          <w:szCs w:val="26"/>
        </w:rPr>
      </w:pPr>
      <w:r w:rsidRPr="0098303E">
        <w:rPr>
          <w:rFonts w:ascii="Times New Roman" w:hAnsi="Times New Roman" w:cs="Times New Roman"/>
          <w:sz w:val="26"/>
          <w:szCs w:val="26"/>
        </w:rPr>
        <w:t>Other factors, including governance and policy incentives (β = 0.230), infrastructure (β = 0.164), and competitiveness and innovation (β = 0.143), also contribute positively, though to a lesser degree. Their inclusion in the model indicates that while human resources and the social environment play leading roles, transparent governance, efficient infrastructure, and innovation capacity remain necessary enablers of sustainable growth.</w:t>
      </w:r>
    </w:p>
    <w:p w14:paraId="4752F0D0" w14:textId="1792B21D" w:rsidR="0098303E" w:rsidRPr="0098303E" w:rsidRDefault="0098303E" w:rsidP="0098303E">
      <w:pPr>
        <w:spacing w:after="0" w:line="360" w:lineRule="auto"/>
        <w:ind w:firstLine="720"/>
        <w:jc w:val="both"/>
        <w:rPr>
          <w:rFonts w:ascii="Times New Roman" w:hAnsi="Times New Roman" w:cs="Times New Roman"/>
          <w:sz w:val="26"/>
          <w:szCs w:val="26"/>
        </w:rPr>
      </w:pPr>
      <w:r w:rsidRPr="0098303E">
        <w:rPr>
          <w:rFonts w:ascii="Times New Roman" w:hAnsi="Times New Roman" w:cs="Times New Roman"/>
          <w:sz w:val="26"/>
          <w:szCs w:val="26"/>
        </w:rPr>
        <w:t>An interesting finding is the exclusion of the global economic environment variable from the final regression model due to perfect multicollinearity. This suggests that macroeconomic conditions do not exert a direct, independent effect on the BGEZ, but rather manifest through other factors such as international cooperation and competitiveness. This insight is valuable for policymakers: while global dynamics are uncontrollable, strengthening local capacities and cross-border linkages offers a more actionable pathway for resilience and growth.</w:t>
      </w:r>
    </w:p>
    <w:p w14:paraId="56F9912D" w14:textId="53ED497B" w:rsidR="00F72838" w:rsidRDefault="0098303E" w:rsidP="0098303E">
      <w:pPr>
        <w:spacing w:after="0" w:line="360" w:lineRule="auto"/>
        <w:ind w:firstLine="720"/>
        <w:jc w:val="both"/>
        <w:rPr>
          <w:rFonts w:ascii="Times New Roman" w:hAnsi="Times New Roman" w:cs="Times New Roman"/>
          <w:sz w:val="26"/>
          <w:szCs w:val="26"/>
        </w:rPr>
      </w:pPr>
      <w:r w:rsidRPr="0098303E">
        <w:rPr>
          <w:rFonts w:ascii="Times New Roman" w:hAnsi="Times New Roman" w:cs="Times New Roman"/>
          <w:sz w:val="26"/>
          <w:szCs w:val="26"/>
        </w:rPr>
        <w:t>Overall, the study contributes to the literature by empirically confirming the multidimensional nature of border-gate economic zone development. It integrates perspectives from value chain theory, cluster theory, and endogenous growth models, and provides evidence that human capital, social infrastructure, and cross-border cooperation jointly shape the competitiveness of Lao Cai’s BGEZ.</w:t>
      </w:r>
    </w:p>
    <w:p w14:paraId="140674C8" w14:textId="77777777" w:rsidR="00E71ECD" w:rsidRPr="00E71ECD" w:rsidRDefault="00E71ECD" w:rsidP="00E71ECD">
      <w:pPr>
        <w:spacing w:after="0" w:line="360" w:lineRule="auto"/>
        <w:jc w:val="both"/>
        <w:rPr>
          <w:rFonts w:ascii="Times New Roman" w:hAnsi="Times New Roman" w:cs="Times New Roman"/>
          <w:b/>
          <w:bCs/>
          <w:sz w:val="26"/>
          <w:szCs w:val="26"/>
        </w:rPr>
      </w:pPr>
      <w:r w:rsidRPr="00E71ECD">
        <w:rPr>
          <w:rFonts w:ascii="Times New Roman" w:hAnsi="Times New Roman" w:cs="Times New Roman"/>
          <w:b/>
          <w:bCs/>
          <w:sz w:val="26"/>
          <w:szCs w:val="26"/>
        </w:rPr>
        <w:t>7. Conclusion and Policy Implications</w:t>
      </w:r>
    </w:p>
    <w:p w14:paraId="56BADBD2" w14:textId="77777777" w:rsidR="00E71ECD" w:rsidRPr="00E71ECD" w:rsidRDefault="00E71ECD" w:rsidP="00E71ECD">
      <w:pPr>
        <w:spacing w:after="0" w:line="360" w:lineRule="auto"/>
        <w:ind w:firstLine="720"/>
        <w:jc w:val="both"/>
        <w:rPr>
          <w:rFonts w:ascii="Times New Roman" w:hAnsi="Times New Roman" w:cs="Times New Roman"/>
          <w:sz w:val="26"/>
          <w:szCs w:val="26"/>
        </w:rPr>
      </w:pPr>
      <w:r w:rsidRPr="00E71ECD">
        <w:rPr>
          <w:rFonts w:ascii="Times New Roman" w:hAnsi="Times New Roman" w:cs="Times New Roman"/>
          <w:sz w:val="26"/>
          <w:szCs w:val="26"/>
        </w:rPr>
        <w:t>This study examined the determinants of development in the Lao Cai Border-Gate Economic</w:t>
      </w:r>
      <w:r>
        <w:t xml:space="preserve"> </w:t>
      </w:r>
      <w:r w:rsidRPr="00E71ECD">
        <w:rPr>
          <w:rFonts w:ascii="Times New Roman" w:hAnsi="Times New Roman" w:cs="Times New Roman"/>
          <w:sz w:val="26"/>
          <w:szCs w:val="26"/>
        </w:rPr>
        <w:t xml:space="preserve">Zone (BGEZ) using a quantitative approach with survey data and multivariate regression analysis. The results demonstrate that six out of seven proposed hypotheses </w:t>
      </w:r>
      <w:r w:rsidRPr="00E71ECD">
        <w:rPr>
          <w:rFonts w:ascii="Times New Roman" w:hAnsi="Times New Roman" w:cs="Times New Roman"/>
          <w:sz w:val="26"/>
          <w:szCs w:val="26"/>
        </w:rPr>
        <w:lastRenderedPageBreak/>
        <w:t>were supported, highlighting the significant and positive influence of human resources, the social and living environment, international relations and cooperation, governance and policy incentives, infrastructure, and competitiveness and innovation on the BGEZ’s growth. Among these, human resources emerged as the most influential factor, followed by the social environment and cross-border cooperation. The global economic environment was excluded from the final model due to multicollinearity, indicating that its effects are indirectly embedded in other determinants.</w:t>
      </w:r>
    </w:p>
    <w:p w14:paraId="598FE5D9" w14:textId="77777777" w:rsidR="00E71ECD" w:rsidRPr="00D27AD1" w:rsidRDefault="00E71ECD" w:rsidP="00E71ECD">
      <w:pPr>
        <w:spacing w:after="0" w:line="360" w:lineRule="auto"/>
        <w:ind w:firstLine="720"/>
        <w:jc w:val="both"/>
        <w:rPr>
          <w:rFonts w:ascii="Times New Roman" w:hAnsi="Times New Roman" w:cs="Times New Roman"/>
          <w:sz w:val="26"/>
          <w:szCs w:val="26"/>
        </w:rPr>
      </w:pPr>
      <w:r w:rsidRPr="00D27AD1">
        <w:rPr>
          <w:rFonts w:ascii="Times New Roman" w:hAnsi="Times New Roman" w:cs="Times New Roman"/>
          <w:sz w:val="26"/>
          <w:szCs w:val="26"/>
        </w:rPr>
        <w:t>The findings provide several key policy implications:</w:t>
      </w:r>
    </w:p>
    <w:p w14:paraId="00719884" w14:textId="19704A0D" w:rsidR="00E71ECD" w:rsidRPr="00D27AD1" w:rsidRDefault="00545CE8" w:rsidP="00E71EC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E71ECD" w:rsidRPr="00D27AD1">
        <w:rPr>
          <w:rFonts w:ascii="Times New Roman" w:hAnsi="Times New Roman" w:cs="Times New Roman"/>
          <w:sz w:val="26"/>
          <w:szCs w:val="26"/>
        </w:rPr>
        <w:t xml:space="preserve"> As workforce quality is the strongest driver, policymakers should prioritize vocational training, technical education, and skill development tailored to the needs of investors and industries operating in the BGEZ.</w:t>
      </w:r>
    </w:p>
    <w:p w14:paraId="20F4BBE6" w14:textId="3585B3C8" w:rsidR="00E71ECD" w:rsidRPr="00D27AD1" w:rsidRDefault="00545CE8" w:rsidP="00E71EC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E71ECD" w:rsidRPr="00D27AD1">
        <w:rPr>
          <w:rFonts w:ascii="Times New Roman" w:hAnsi="Times New Roman" w:cs="Times New Roman"/>
          <w:sz w:val="26"/>
          <w:szCs w:val="26"/>
        </w:rPr>
        <w:t xml:space="preserve"> Improving housing, healthcare, education, and urban amenities will strengthen both the quality of life for residents and the attractiveness of the zone for businesses and skilled labor.</w:t>
      </w:r>
    </w:p>
    <w:p w14:paraId="67D92605" w14:textId="1B907F1B" w:rsidR="00E71ECD" w:rsidRPr="00D27AD1" w:rsidRDefault="00545CE8" w:rsidP="00E71EC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E71ECD" w:rsidRPr="00D27AD1">
        <w:rPr>
          <w:rFonts w:ascii="Times New Roman" w:hAnsi="Times New Roman" w:cs="Times New Roman"/>
          <w:sz w:val="26"/>
          <w:szCs w:val="26"/>
        </w:rPr>
        <w:t xml:space="preserve"> Leveraging Lao Cai’s strategic location requires deepening trade, investment, and cultural ties with China and ASEAN partners, while ensuring efficient customs and logistics procedures.</w:t>
      </w:r>
    </w:p>
    <w:p w14:paraId="10946D64" w14:textId="02C03989" w:rsidR="00E71ECD" w:rsidRPr="00D27AD1" w:rsidRDefault="00545CE8" w:rsidP="00E71EC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E71ECD" w:rsidRPr="00D27AD1">
        <w:rPr>
          <w:rFonts w:ascii="Times New Roman" w:hAnsi="Times New Roman" w:cs="Times New Roman"/>
          <w:sz w:val="26"/>
          <w:szCs w:val="26"/>
        </w:rPr>
        <w:t xml:space="preserve"> Transparent, predic</w:t>
      </w:r>
      <w:r w:rsidR="00E71ECD" w:rsidRPr="00090E98">
        <w:rPr>
          <w:rFonts w:ascii="Times New Roman" w:hAnsi="Times New Roman" w:cs="Times New Roman"/>
          <w:sz w:val="26"/>
          <w:szCs w:val="26"/>
        </w:rPr>
        <w:t>table</w:t>
      </w:r>
      <w:r w:rsidR="00E71ECD" w:rsidRPr="00D27AD1">
        <w:rPr>
          <w:rFonts w:ascii="Times New Roman" w:hAnsi="Times New Roman" w:cs="Times New Roman"/>
          <w:sz w:val="26"/>
          <w:szCs w:val="26"/>
        </w:rPr>
        <w:t>, and investor-friendly policies should be maintained, complemented by targeted incentives that encourage innovation and long-term investment.</w:t>
      </w:r>
    </w:p>
    <w:p w14:paraId="29354FC6" w14:textId="0011A560" w:rsidR="00E71ECD" w:rsidRPr="00D27AD1" w:rsidRDefault="00545CE8" w:rsidP="00E71EC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E71ECD" w:rsidRPr="00D27AD1">
        <w:rPr>
          <w:rFonts w:ascii="Times New Roman" w:hAnsi="Times New Roman" w:cs="Times New Roman"/>
          <w:sz w:val="26"/>
          <w:szCs w:val="26"/>
        </w:rPr>
        <w:t xml:space="preserve"> Investments in transportation, digital connectivity, and logistics systems are essential to support trade flows and enhance firms’ innovation capacity.</w:t>
      </w:r>
    </w:p>
    <w:p w14:paraId="7D422C7A" w14:textId="26C191D0" w:rsidR="00E71ECD" w:rsidRPr="00D27AD1" w:rsidRDefault="00545CE8" w:rsidP="00E71EC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E71ECD" w:rsidRPr="00D27AD1">
        <w:rPr>
          <w:rFonts w:ascii="Times New Roman" w:hAnsi="Times New Roman" w:cs="Times New Roman"/>
          <w:sz w:val="26"/>
          <w:szCs w:val="26"/>
        </w:rPr>
        <w:t xml:space="preserve"> Given the indirect role of global economic dynamics, local authorities should focus on building adaptive capacity through diversification of industries and proactive integration into regional supply chains.</w:t>
      </w:r>
    </w:p>
    <w:p w14:paraId="54BF38A8" w14:textId="0774D87B" w:rsidR="00B45A18" w:rsidRDefault="00E71ECD" w:rsidP="00AA1A96">
      <w:pPr>
        <w:spacing w:after="0" w:line="360" w:lineRule="auto"/>
        <w:ind w:firstLine="720"/>
        <w:jc w:val="both"/>
        <w:rPr>
          <w:rFonts w:ascii="Times New Roman" w:hAnsi="Times New Roman" w:cs="Times New Roman"/>
          <w:sz w:val="26"/>
          <w:szCs w:val="26"/>
        </w:rPr>
      </w:pPr>
      <w:r w:rsidRPr="00E71ECD">
        <w:rPr>
          <w:rFonts w:ascii="Times New Roman" w:hAnsi="Times New Roman" w:cs="Times New Roman"/>
          <w:sz w:val="26"/>
          <w:szCs w:val="26"/>
        </w:rPr>
        <w:t>In conclusion, the development of Lao Cai’s BGEZ depends on a balanced strategy that combines human capital development, improved social conditions, and strengthened cross-border linkages, supported by sound governance and infrastructure. These insights not only advance academic understanding of border-gate economic zones but also provide a practical roadmap for policymakers seeking to transform Lao Cai into a dynamic hub of regional integration and sustainable growth.</w:t>
      </w:r>
    </w:p>
    <w:p w14:paraId="59D4F1E0" w14:textId="77777777" w:rsidR="00D34C48" w:rsidRDefault="00D34C48" w:rsidP="00AA1A96">
      <w:pPr>
        <w:spacing w:after="0" w:line="360" w:lineRule="auto"/>
        <w:ind w:firstLine="720"/>
        <w:jc w:val="both"/>
        <w:rPr>
          <w:rFonts w:ascii="Times New Roman" w:hAnsi="Times New Roman" w:cs="Times New Roman"/>
          <w:sz w:val="26"/>
          <w:szCs w:val="26"/>
        </w:rPr>
      </w:pPr>
    </w:p>
    <w:p w14:paraId="4BADF0C9" w14:textId="15CB2202" w:rsidR="00E45B0B" w:rsidRPr="00B45A18" w:rsidRDefault="00B45A18" w:rsidP="00AA1A96">
      <w:pPr>
        <w:spacing w:after="0" w:line="360" w:lineRule="auto"/>
        <w:ind w:firstLine="720"/>
        <w:jc w:val="both"/>
        <w:rPr>
          <w:rFonts w:ascii="Times New Roman" w:hAnsi="Times New Roman" w:cs="Times New Roman"/>
          <w:b/>
          <w:bCs/>
          <w:sz w:val="26"/>
          <w:szCs w:val="26"/>
        </w:rPr>
      </w:pPr>
      <w:r w:rsidRPr="00B45A18">
        <w:rPr>
          <w:rFonts w:ascii="Times New Roman" w:hAnsi="Times New Roman" w:cs="Times New Roman"/>
          <w:b/>
          <w:bCs/>
          <w:sz w:val="26"/>
          <w:szCs w:val="26"/>
        </w:rPr>
        <w:t>References</w:t>
      </w:r>
    </w:p>
    <w:p w14:paraId="6E99C37F"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lastRenderedPageBreak/>
        <w:t xml:space="preserve">Bui, M. P. (2016). </w:t>
      </w:r>
      <w:r w:rsidRPr="00E45B0B">
        <w:rPr>
          <w:rFonts w:ascii="Times New Roman" w:hAnsi="Times New Roman" w:cs="Times New Roman"/>
          <w:i/>
          <w:iCs/>
          <w:sz w:val="26"/>
          <w:szCs w:val="26"/>
        </w:rPr>
        <w:t>Investment in the development of Lao Cai border-gate economic zone</w:t>
      </w:r>
      <w:r w:rsidRPr="00E45B0B">
        <w:rPr>
          <w:rFonts w:ascii="Times New Roman" w:hAnsi="Times New Roman" w:cs="Times New Roman"/>
          <w:sz w:val="26"/>
          <w:szCs w:val="26"/>
        </w:rPr>
        <w:t xml:space="preserve"> [Master’s thesis, National Economics University].</w:t>
      </w:r>
    </w:p>
    <w:p w14:paraId="1BEDD65A"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Cu, C. L. (Ed.). (2013). </w:t>
      </w:r>
      <w:r w:rsidRPr="00E45B0B">
        <w:rPr>
          <w:rFonts w:ascii="Times New Roman" w:hAnsi="Times New Roman" w:cs="Times New Roman"/>
          <w:i/>
          <w:iCs/>
          <w:sz w:val="26"/>
          <w:szCs w:val="26"/>
        </w:rPr>
        <w:t>Free economic zones: Theoretical and practical issues</w:t>
      </w:r>
      <w:r w:rsidRPr="00E45B0B">
        <w:rPr>
          <w:rFonts w:ascii="Times New Roman" w:hAnsi="Times New Roman" w:cs="Times New Roman"/>
          <w:sz w:val="26"/>
          <w:szCs w:val="26"/>
        </w:rPr>
        <w:t>. Hanoi: Social Sciences Publishing House.</w:t>
      </w:r>
    </w:p>
    <w:p w14:paraId="0E44EDE0"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Dang, T. P. H. (2012). </w:t>
      </w:r>
      <w:r w:rsidRPr="00E45B0B">
        <w:rPr>
          <w:rFonts w:ascii="Times New Roman" w:hAnsi="Times New Roman" w:cs="Times New Roman"/>
          <w:i/>
          <w:iCs/>
          <w:sz w:val="26"/>
          <w:szCs w:val="26"/>
        </w:rPr>
        <w:t>Free economic zones: Development practices in China and India</w:t>
      </w:r>
      <w:r w:rsidRPr="00E45B0B">
        <w:rPr>
          <w:rFonts w:ascii="Times New Roman" w:hAnsi="Times New Roman" w:cs="Times New Roman"/>
          <w:sz w:val="26"/>
          <w:szCs w:val="26"/>
        </w:rPr>
        <w:t>. Hanoi: Social Sciences Publishing House.</w:t>
      </w:r>
    </w:p>
    <w:p w14:paraId="0566602D"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Dong Dang–Lang Son Border-Gate Economic Zone Authority. (2023, December 22). Lessons from the successful establishment of the Dong Dang–Lang Son border-gate economic zone. </w:t>
      </w:r>
      <w:r w:rsidRPr="00E45B0B">
        <w:rPr>
          <w:rFonts w:ascii="Times New Roman" w:hAnsi="Times New Roman" w:cs="Times New Roman"/>
          <w:i/>
          <w:iCs/>
          <w:sz w:val="26"/>
          <w:szCs w:val="26"/>
        </w:rPr>
        <w:t>Economic and Forecast Journal Online</w:t>
      </w:r>
      <w:r w:rsidRPr="00E45B0B">
        <w:rPr>
          <w:rFonts w:ascii="Times New Roman" w:hAnsi="Times New Roman" w:cs="Times New Roman"/>
          <w:sz w:val="26"/>
          <w:szCs w:val="26"/>
        </w:rPr>
        <w:t>.</w:t>
      </w:r>
    </w:p>
    <w:p w14:paraId="438461DC"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Fan, H. (2011). China’s “Look South”: China–Myanmar transport corridor. </w:t>
      </w:r>
      <w:proofErr w:type="spellStart"/>
      <w:r w:rsidRPr="00E45B0B">
        <w:rPr>
          <w:rFonts w:ascii="Times New Roman" w:hAnsi="Times New Roman" w:cs="Times New Roman"/>
          <w:i/>
          <w:iCs/>
          <w:sz w:val="26"/>
          <w:szCs w:val="26"/>
        </w:rPr>
        <w:t>Ritsumeikan</w:t>
      </w:r>
      <w:proofErr w:type="spellEnd"/>
      <w:r w:rsidRPr="00E45B0B">
        <w:rPr>
          <w:rFonts w:ascii="Times New Roman" w:hAnsi="Times New Roman" w:cs="Times New Roman"/>
          <w:i/>
          <w:iCs/>
          <w:sz w:val="26"/>
          <w:szCs w:val="26"/>
        </w:rPr>
        <w:t xml:space="preserve"> International Affairs, 10</w:t>
      </w:r>
      <w:r w:rsidRPr="00E45B0B">
        <w:rPr>
          <w:rFonts w:ascii="Times New Roman" w:hAnsi="Times New Roman" w:cs="Times New Roman"/>
          <w:sz w:val="26"/>
          <w:szCs w:val="26"/>
        </w:rPr>
        <w:t>, 79–104.</w:t>
      </w:r>
    </w:p>
    <w:p w14:paraId="48AB01A6"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Ha, V. H. (Ed.). (2018). </w:t>
      </w:r>
      <w:r w:rsidRPr="00E45B0B">
        <w:rPr>
          <w:rFonts w:ascii="Times New Roman" w:hAnsi="Times New Roman" w:cs="Times New Roman"/>
          <w:i/>
          <w:iCs/>
          <w:sz w:val="26"/>
          <w:szCs w:val="26"/>
        </w:rPr>
        <w:t>Development and management of border trade in the Northwest region: Theory and practice</w:t>
      </w:r>
      <w:r w:rsidRPr="00E45B0B">
        <w:rPr>
          <w:rFonts w:ascii="Times New Roman" w:hAnsi="Times New Roman" w:cs="Times New Roman"/>
          <w:sz w:val="26"/>
          <w:szCs w:val="26"/>
        </w:rPr>
        <w:t>. Hanoi: Information and Communications Publishing House.</w:t>
      </w:r>
    </w:p>
    <w:p w14:paraId="636B1724"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Ho, H. H. (2019). </w:t>
      </w:r>
      <w:r w:rsidRPr="00E45B0B">
        <w:rPr>
          <w:rFonts w:ascii="Times New Roman" w:hAnsi="Times New Roman" w:cs="Times New Roman"/>
          <w:i/>
          <w:iCs/>
          <w:sz w:val="26"/>
          <w:szCs w:val="26"/>
        </w:rPr>
        <w:t>Management of the Lao Cai–Lang Son border-gate economic zone authority in promoting the development of the Dong Dang–Lang Son border-gate economic zone</w:t>
      </w:r>
      <w:r w:rsidRPr="00E45B0B">
        <w:rPr>
          <w:rFonts w:ascii="Times New Roman" w:hAnsi="Times New Roman" w:cs="Times New Roman"/>
          <w:sz w:val="26"/>
          <w:szCs w:val="26"/>
        </w:rPr>
        <w:t xml:space="preserve"> [Master’s thesis, National Economics University].</w:t>
      </w:r>
    </w:p>
    <w:p w14:paraId="1E63B81E"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Hoang, S. D. (2010). Study on the establishment of a border economic cooperation zone in Lao Cai province, Vietnam, along the five-province economic corridor. </w:t>
      </w:r>
      <w:r w:rsidRPr="00E45B0B">
        <w:rPr>
          <w:rFonts w:ascii="Times New Roman" w:hAnsi="Times New Roman" w:cs="Times New Roman"/>
          <w:i/>
          <w:iCs/>
          <w:sz w:val="26"/>
          <w:szCs w:val="26"/>
        </w:rPr>
        <w:t>China Studies Journal, 12</w:t>
      </w:r>
      <w:r w:rsidRPr="00E45B0B">
        <w:rPr>
          <w:rFonts w:ascii="Times New Roman" w:hAnsi="Times New Roman" w:cs="Times New Roman"/>
          <w:sz w:val="26"/>
          <w:szCs w:val="26"/>
        </w:rPr>
        <w:t>(112).</w:t>
      </w:r>
    </w:p>
    <w:p w14:paraId="729B09EC"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Luke, H. L. (2011). Functions of the cross-border economic cooperation zone. </w:t>
      </w:r>
      <w:r w:rsidRPr="00E45B0B">
        <w:rPr>
          <w:rFonts w:ascii="Times New Roman" w:hAnsi="Times New Roman" w:cs="Times New Roman"/>
          <w:i/>
          <w:iCs/>
          <w:sz w:val="26"/>
          <w:szCs w:val="26"/>
        </w:rPr>
        <w:t>Study &amp; Exploration, 2</w:t>
      </w:r>
      <w:r w:rsidRPr="00E45B0B">
        <w:rPr>
          <w:rFonts w:ascii="Times New Roman" w:hAnsi="Times New Roman" w:cs="Times New Roman"/>
          <w:sz w:val="26"/>
          <w:szCs w:val="26"/>
        </w:rPr>
        <w:t>, 112–120.</w:t>
      </w:r>
    </w:p>
    <w:p w14:paraId="40D89753"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Nguyen, B. A. (2002). Analysis of some internal and external factors affecting the development of the northern mountainous border belt of Vietnam [Ministry-level research project].</w:t>
      </w:r>
    </w:p>
    <w:p w14:paraId="503216E7"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Nguyen, T. M., &amp; Ha, V. H. (2019). Development experience of Thailand’s border special economic zones and policy implications for Vietnam in developing border-gate economic zones. </w:t>
      </w:r>
      <w:r w:rsidRPr="00E45B0B">
        <w:rPr>
          <w:rFonts w:ascii="Times New Roman" w:hAnsi="Times New Roman" w:cs="Times New Roman"/>
          <w:i/>
          <w:iCs/>
          <w:sz w:val="26"/>
          <w:szCs w:val="26"/>
        </w:rPr>
        <w:t>VNU Journal of Science: Economics and Business, 35</w:t>
      </w:r>
      <w:r w:rsidRPr="00E45B0B">
        <w:rPr>
          <w:rFonts w:ascii="Times New Roman" w:hAnsi="Times New Roman" w:cs="Times New Roman"/>
          <w:sz w:val="26"/>
          <w:szCs w:val="26"/>
        </w:rPr>
        <w:t>(4), 18–29.</w:t>
      </w:r>
    </w:p>
    <w:p w14:paraId="2CA58E43"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Nguyen, V. H. (2018). </w:t>
      </w:r>
      <w:r w:rsidRPr="00E45B0B">
        <w:rPr>
          <w:rFonts w:ascii="Times New Roman" w:hAnsi="Times New Roman" w:cs="Times New Roman"/>
          <w:i/>
          <w:iCs/>
          <w:sz w:val="26"/>
          <w:szCs w:val="26"/>
        </w:rPr>
        <w:t>Vietnam’s competitive advantage in exporting goods through Vietnam–China border gates</w:t>
      </w:r>
      <w:r w:rsidRPr="00E45B0B">
        <w:rPr>
          <w:rFonts w:ascii="Times New Roman" w:hAnsi="Times New Roman" w:cs="Times New Roman"/>
          <w:sz w:val="26"/>
          <w:szCs w:val="26"/>
        </w:rPr>
        <w:t xml:space="preserve"> [Doctoral dissertation, National Economics University].</w:t>
      </w:r>
    </w:p>
    <w:p w14:paraId="664F5ADB"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lastRenderedPageBreak/>
        <w:t>Nguyen, V. H. (n.d.). Fundamental economic issues for the sustainable development of the Northwest region of Vietnam to 2015 and vision to 2020 [Ministry-level research project, Vietnam Institute of Economics].</w:t>
      </w:r>
    </w:p>
    <w:p w14:paraId="0D5D7E72"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Nguyen, V. P. (2022). Planning model for the construction of Vietnam’s border-gate economic zones. </w:t>
      </w:r>
      <w:r w:rsidRPr="00E45B0B">
        <w:rPr>
          <w:rFonts w:ascii="Times New Roman" w:hAnsi="Times New Roman" w:cs="Times New Roman"/>
          <w:i/>
          <w:iCs/>
          <w:sz w:val="26"/>
          <w:szCs w:val="26"/>
        </w:rPr>
        <w:t>Construction Journal</w:t>
      </w:r>
      <w:r w:rsidRPr="00E45B0B">
        <w:rPr>
          <w:rFonts w:ascii="Times New Roman" w:hAnsi="Times New Roman" w:cs="Times New Roman"/>
          <w:sz w:val="26"/>
          <w:szCs w:val="26"/>
        </w:rPr>
        <w:t>, October 2022 issue.</w:t>
      </w:r>
    </w:p>
    <w:p w14:paraId="56C88AB1"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Nguyen, V. T., &amp; Nguyen, X. T. (2013). Current status and some environmental factors at </w:t>
      </w:r>
      <w:proofErr w:type="spellStart"/>
      <w:r w:rsidRPr="00E45B0B">
        <w:rPr>
          <w:rFonts w:ascii="Times New Roman" w:hAnsi="Times New Roman" w:cs="Times New Roman"/>
          <w:sz w:val="26"/>
          <w:szCs w:val="26"/>
        </w:rPr>
        <w:t>Cau</w:t>
      </w:r>
      <w:proofErr w:type="spellEnd"/>
      <w:r w:rsidRPr="00E45B0B">
        <w:rPr>
          <w:rFonts w:ascii="Times New Roman" w:hAnsi="Times New Roman" w:cs="Times New Roman"/>
          <w:sz w:val="26"/>
          <w:szCs w:val="26"/>
        </w:rPr>
        <w:t xml:space="preserve"> Treo international border-gate economic zone – Ha </w:t>
      </w:r>
      <w:proofErr w:type="spellStart"/>
      <w:r w:rsidRPr="00E45B0B">
        <w:rPr>
          <w:rFonts w:ascii="Times New Roman" w:hAnsi="Times New Roman" w:cs="Times New Roman"/>
          <w:sz w:val="26"/>
          <w:szCs w:val="26"/>
        </w:rPr>
        <w:t>Tinh</w:t>
      </w:r>
      <w:proofErr w:type="spellEnd"/>
      <w:r w:rsidRPr="00E45B0B">
        <w:rPr>
          <w:rFonts w:ascii="Times New Roman" w:hAnsi="Times New Roman" w:cs="Times New Roman"/>
          <w:sz w:val="26"/>
          <w:szCs w:val="26"/>
        </w:rPr>
        <w:t xml:space="preserve">. </w:t>
      </w:r>
      <w:r w:rsidRPr="00E45B0B">
        <w:rPr>
          <w:rFonts w:ascii="Times New Roman" w:hAnsi="Times New Roman" w:cs="Times New Roman"/>
          <w:i/>
          <w:iCs/>
          <w:sz w:val="26"/>
          <w:szCs w:val="26"/>
        </w:rPr>
        <w:t>Journal of Science and Development, 11</w:t>
      </w:r>
      <w:r w:rsidRPr="00E45B0B">
        <w:rPr>
          <w:rFonts w:ascii="Times New Roman" w:hAnsi="Times New Roman" w:cs="Times New Roman"/>
          <w:sz w:val="26"/>
          <w:szCs w:val="26"/>
        </w:rPr>
        <w:t>(5), 704–712.</w:t>
      </w:r>
    </w:p>
    <w:p w14:paraId="667D99BD"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Pham, T. C. (2003). Solutions to promote Vietnam–China border trade in goods by land until 2005 [Ministry-level research project, Ministry of Trade].</w:t>
      </w:r>
    </w:p>
    <w:p w14:paraId="7B7FE802"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Quan, H., Yang, L., Long, N., &amp; Li, Q. (2012). Strategic options of periphery opening: A study on the China–Myanmar cross-border economic cooperation zone. </w:t>
      </w:r>
      <w:r w:rsidRPr="00E45B0B">
        <w:rPr>
          <w:rFonts w:ascii="Times New Roman" w:hAnsi="Times New Roman" w:cs="Times New Roman"/>
          <w:i/>
          <w:iCs/>
          <w:sz w:val="26"/>
          <w:szCs w:val="26"/>
        </w:rPr>
        <w:t>Asian Economic Review, 24</w:t>
      </w:r>
      <w:r w:rsidRPr="00E45B0B">
        <w:rPr>
          <w:rFonts w:ascii="Times New Roman" w:hAnsi="Times New Roman" w:cs="Times New Roman"/>
          <w:sz w:val="26"/>
          <w:szCs w:val="26"/>
        </w:rPr>
        <w:t>(3), 45–61.</w:t>
      </w:r>
    </w:p>
    <w:p w14:paraId="74F49AB2"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Sun, X. (2014). Building a legal mechanism for the cross-border economic cooperation zone under the analytical economic jurisprudence view: A case study of China’s </w:t>
      </w:r>
      <w:proofErr w:type="spellStart"/>
      <w:r w:rsidRPr="00E45B0B">
        <w:rPr>
          <w:rFonts w:ascii="Times New Roman" w:hAnsi="Times New Roman" w:cs="Times New Roman"/>
          <w:sz w:val="26"/>
          <w:szCs w:val="26"/>
        </w:rPr>
        <w:t>Khorgos</w:t>
      </w:r>
      <w:proofErr w:type="spellEnd"/>
      <w:r w:rsidRPr="00E45B0B">
        <w:rPr>
          <w:rFonts w:ascii="Times New Roman" w:hAnsi="Times New Roman" w:cs="Times New Roman"/>
          <w:sz w:val="26"/>
          <w:szCs w:val="26"/>
        </w:rPr>
        <w:t xml:space="preserve"> Center for International Border Cooperation. </w:t>
      </w:r>
      <w:r w:rsidRPr="00E45B0B">
        <w:rPr>
          <w:rFonts w:ascii="Times New Roman" w:hAnsi="Times New Roman" w:cs="Times New Roman"/>
          <w:i/>
          <w:iCs/>
          <w:sz w:val="26"/>
          <w:szCs w:val="26"/>
        </w:rPr>
        <w:t>Theoretical Horizon, 8</w:t>
      </w:r>
      <w:r w:rsidRPr="00E45B0B">
        <w:rPr>
          <w:rFonts w:ascii="Times New Roman" w:hAnsi="Times New Roman" w:cs="Times New Roman"/>
          <w:sz w:val="26"/>
          <w:szCs w:val="26"/>
        </w:rPr>
        <w:t>(2), 33–40.</w:t>
      </w:r>
    </w:p>
    <w:p w14:paraId="66DF962C"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Vu, D. M. (2015). The position and role of the Vietnam–China border in the socio-economic development of Ha </w:t>
      </w:r>
      <w:proofErr w:type="spellStart"/>
      <w:r w:rsidRPr="00E45B0B">
        <w:rPr>
          <w:rFonts w:ascii="Times New Roman" w:hAnsi="Times New Roman" w:cs="Times New Roman"/>
          <w:sz w:val="26"/>
          <w:szCs w:val="26"/>
        </w:rPr>
        <w:t>Giang</w:t>
      </w:r>
      <w:proofErr w:type="spellEnd"/>
      <w:r w:rsidRPr="00E45B0B">
        <w:rPr>
          <w:rFonts w:ascii="Times New Roman" w:hAnsi="Times New Roman" w:cs="Times New Roman"/>
          <w:sz w:val="26"/>
          <w:szCs w:val="26"/>
        </w:rPr>
        <w:t xml:space="preserve"> province. In Northwest Steering Committee, Central Economic Commission &amp; Ha </w:t>
      </w:r>
      <w:proofErr w:type="spellStart"/>
      <w:r w:rsidRPr="00E45B0B">
        <w:rPr>
          <w:rFonts w:ascii="Times New Roman" w:hAnsi="Times New Roman" w:cs="Times New Roman"/>
          <w:sz w:val="26"/>
          <w:szCs w:val="26"/>
        </w:rPr>
        <w:t>Giang</w:t>
      </w:r>
      <w:proofErr w:type="spellEnd"/>
      <w:r w:rsidRPr="00E45B0B">
        <w:rPr>
          <w:rFonts w:ascii="Times New Roman" w:hAnsi="Times New Roman" w:cs="Times New Roman"/>
          <w:sz w:val="26"/>
          <w:szCs w:val="26"/>
        </w:rPr>
        <w:t xml:space="preserve"> Province (Eds.), </w:t>
      </w:r>
      <w:r w:rsidRPr="00E45B0B">
        <w:rPr>
          <w:rFonts w:ascii="Times New Roman" w:hAnsi="Times New Roman" w:cs="Times New Roman"/>
          <w:i/>
          <w:iCs/>
          <w:sz w:val="26"/>
          <w:szCs w:val="26"/>
        </w:rPr>
        <w:t xml:space="preserve">Proceedings of the Conference on Socio-Economic Development of Ha </w:t>
      </w:r>
      <w:proofErr w:type="spellStart"/>
      <w:r w:rsidRPr="00E45B0B">
        <w:rPr>
          <w:rFonts w:ascii="Times New Roman" w:hAnsi="Times New Roman" w:cs="Times New Roman"/>
          <w:i/>
          <w:iCs/>
          <w:sz w:val="26"/>
          <w:szCs w:val="26"/>
        </w:rPr>
        <w:t>Giang</w:t>
      </w:r>
      <w:proofErr w:type="spellEnd"/>
      <w:r w:rsidRPr="00E45B0B">
        <w:rPr>
          <w:rFonts w:ascii="Times New Roman" w:hAnsi="Times New Roman" w:cs="Times New Roman"/>
          <w:i/>
          <w:iCs/>
          <w:sz w:val="26"/>
          <w:szCs w:val="26"/>
        </w:rPr>
        <w:t xml:space="preserve"> Province in the Northeast and Northwest Regional Linkage</w:t>
      </w:r>
      <w:r w:rsidRPr="00E45B0B">
        <w:rPr>
          <w:rFonts w:ascii="Times New Roman" w:hAnsi="Times New Roman" w:cs="Times New Roman"/>
          <w:sz w:val="26"/>
          <w:szCs w:val="26"/>
        </w:rPr>
        <w:t xml:space="preserve"> (March 2015). Ha </w:t>
      </w:r>
      <w:proofErr w:type="spellStart"/>
      <w:r w:rsidRPr="00E45B0B">
        <w:rPr>
          <w:rFonts w:ascii="Times New Roman" w:hAnsi="Times New Roman" w:cs="Times New Roman"/>
          <w:sz w:val="26"/>
          <w:szCs w:val="26"/>
        </w:rPr>
        <w:t>Giang</w:t>
      </w:r>
      <w:proofErr w:type="spellEnd"/>
      <w:r w:rsidRPr="00E45B0B">
        <w:rPr>
          <w:rFonts w:ascii="Times New Roman" w:hAnsi="Times New Roman" w:cs="Times New Roman"/>
          <w:sz w:val="26"/>
          <w:szCs w:val="26"/>
        </w:rPr>
        <w:t>.</w:t>
      </w:r>
    </w:p>
    <w:p w14:paraId="2A910B66" w14:textId="77777777" w:rsidR="00E45B0B" w:rsidRPr="00E45B0B" w:rsidRDefault="00E45B0B" w:rsidP="00E45B0B">
      <w:pPr>
        <w:spacing w:after="0" w:line="360" w:lineRule="auto"/>
        <w:ind w:firstLine="720"/>
        <w:jc w:val="both"/>
        <w:rPr>
          <w:rFonts w:ascii="Times New Roman" w:hAnsi="Times New Roman" w:cs="Times New Roman"/>
          <w:sz w:val="26"/>
          <w:szCs w:val="26"/>
        </w:rPr>
      </w:pPr>
      <w:r w:rsidRPr="00E45B0B">
        <w:rPr>
          <w:rFonts w:ascii="Times New Roman" w:hAnsi="Times New Roman" w:cs="Times New Roman"/>
          <w:sz w:val="26"/>
          <w:szCs w:val="26"/>
        </w:rPr>
        <w:t xml:space="preserve">Zhang, R. (2009). Yunnan–Laos economic cooperation in the framework of Sino–Laos cooperation. </w:t>
      </w:r>
      <w:r w:rsidRPr="00E45B0B">
        <w:rPr>
          <w:rFonts w:ascii="Times New Roman" w:hAnsi="Times New Roman" w:cs="Times New Roman"/>
          <w:i/>
          <w:iCs/>
          <w:sz w:val="26"/>
          <w:szCs w:val="26"/>
        </w:rPr>
        <w:t>Southeast Asian Studies, 4</w:t>
      </w:r>
      <w:r w:rsidRPr="00E45B0B">
        <w:rPr>
          <w:rFonts w:ascii="Times New Roman" w:hAnsi="Times New Roman" w:cs="Times New Roman"/>
          <w:sz w:val="26"/>
          <w:szCs w:val="26"/>
        </w:rPr>
        <w:t>(2009), 88–101.</w:t>
      </w:r>
    </w:p>
    <w:p w14:paraId="3E6CE7D7" w14:textId="77777777" w:rsidR="00E45B0B" w:rsidRPr="00D6374E" w:rsidRDefault="00E45B0B" w:rsidP="00AA1A96">
      <w:pPr>
        <w:spacing w:after="0" w:line="360" w:lineRule="auto"/>
        <w:ind w:firstLine="720"/>
        <w:jc w:val="both"/>
        <w:rPr>
          <w:rFonts w:ascii="Times New Roman" w:hAnsi="Times New Roman" w:cs="Times New Roman"/>
          <w:sz w:val="26"/>
          <w:szCs w:val="26"/>
        </w:rPr>
      </w:pPr>
    </w:p>
    <w:p w14:paraId="727CB153" w14:textId="77777777" w:rsidR="008F03E5" w:rsidRPr="00D6374E" w:rsidRDefault="008F03E5" w:rsidP="00805C81">
      <w:pPr>
        <w:spacing w:after="0" w:line="360" w:lineRule="auto"/>
        <w:ind w:firstLine="720"/>
        <w:jc w:val="both"/>
        <w:rPr>
          <w:rFonts w:ascii="Times New Roman" w:hAnsi="Times New Roman" w:cs="Times New Roman"/>
          <w:sz w:val="26"/>
          <w:szCs w:val="26"/>
        </w:rPr>
      </w:pPr>
    </w:p>
    <w:p w14:paraId="468B2AEE" w14:textId="77777777" w:rsidR="00601BCC" w:rsidRPr="00D6374E" w:rsidRDefault="00601BCC" w:rsidP="00805C81">
      <w:pPr>
        <w:spacing w:after="0" w:line="360" w:lineRule="auto"/>
        <w:ind w:firstLine="720"/>
        <w:jc w:val="both"/>
        <w:rPr>
          <w:rFonts w:ascii="Times New Roman" w:hAnsi="Times New Roman" w:cs="Times New Roman"/>
          <w:sz w:val="26"/>
          <w:szCs w:val="26"/>
        </w:rPr>
      </w:pPr>
    </w:p>
    <w:p w14:paraId="18E159DF" w14:textId="77777777" w:rsidR="00810500" w:rsidRPr="00D6374E" w:rsidRDefault="00810500" w:rsidP="00810500">
      <w:pPr>
        <w:spacing w:after="0" w:line="360" w:lineRule="auto"/>
        <w:jc w:val="both"/>
        <w:rPr>
          <w:rFonts w:ascii="Times New Roman" w:hAnsi="Times New Roman" w:cs="Times New Roman"/>
          <w:sz w:val="26"/>
          <w:szCs w:val="26"/>
        </w:rPr>
      </w:pPr>
    </w:p>
    <w:p w14:paraId="54164526" w14:textId="77777777" w:rsidR="000F2F83" w:rsidRPr="00D6374E" w:rsidRDefault="000F2F83" w:rsidP="000F2F83">
      <w:pPr>
        <w:spacing w:after="0" w:line="360" w:lineRule="auto"/>
        <w:ind w:firstLine="709"/>
        <w:jc w:val="both"/>
        <w:rPr>
          <w:rFonts w:ascii="Times New Roman" w:hAnsi="Times New Roman" w:cs="Times New Roman"/>
          <w:sz w:val="26"/>
          <w:szCs w:val="26"/>
        </w:rPr>
      </w:pPr>
    </w:p>
    <w:p w14:paraId="029FD04F" w14:textId="77777777" w:rsidR="00AD7893" w:rsidRPr="00D6374E" w:rsidRDefault="00AD7893" w:rsidP="0038131B">
      <w:pPr>
        <w:pStyle w:val="Muc2"/>
        <w:ind w:firstLine="720"/>
        <w:jc w:val="right"/>
        <w:rPr>
          <w:b w:val="0"/>
          <w:bCs w:val="0"/>
          <w:i w:val="0"/>
          <w:iCs/>
          <w:lang w:val="en-US"/>
        </w:rPr>
      </w:pPr>
    </w:p>
    <w:sectPr w:rsidR="00AD7893" w:rsidRPr="00D6374E" w:rsidSect="00157FF7">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27270" w14:textId="77777777" w:rsidR="006A4915" w:rsidRDefault="006A4915" w:rsidP="00745BD2">
      <w:pPr>
        <w:spacing w:after="0" w:line="240" w:lineRule="auto"/>
      </w:pPr>
      <w:r>
        <w:separator/>
      </w:r>
    </w:p>
  </w:endnote>
  <w:endnote w:type="continuationSeparator" w:id="0">
    <w:p w14:paraId="34BCD059" w14:textId="77777777" w:rsidR="006A4915" w:rsidRDefault="006A4915" w:rsidP="0074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4DF82" w14:textId="77777777" w:rsidR="00745BD2" w:rsidRDefault="00745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794F5" w14:textId="77777777" w:rsidR="00745BD2" w:rsidRDefault="00745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B6E67" w14:textId="77777777" w:rsidR="00745BD2" w:rsidRDefault="00745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A7527" w14:textId="77777777" w:rsidR="006A4915" w:rsidRDefault="006A4915" w:rsidP="00745BD2">
      <w:pPr>
        <w:spacing w:after="0" w:line="240" w:lineRule="auto"/>
      </w:pPr>
      <w:r>
        <w:separator/>
      </w:r>
    </w:p>
  </w:footnote>
  <w:footnote w:type="continuationSeparator" w:id="0">
    <w:p w14:paraId="53A74D66" w14:textId="77777777" w:rsidR="006A4915" w:rsidRDefault="006A4915" w:rsidP="0074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0C012" w14:textId="05C485D9" w:rsidR="00745BD2" w:rsidRDefault="00745BD2">
    <w:pPr>
      <w:pStyle w:val="Header"/>
    </w:pPr>
    <w:r>
      <w:rPr>
        <w:noProof/>
      </w:rPr>
      <w:pict w14:anchorId="6536E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23719" o:spid="_x0000_s2050" type="#_x0000_t136" style="position:absolute;margin-left:0;margin-top:0;width:555.45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963C5" w14:textId="62BDCEE5" w:rsidR="00745BD2" w:rsidRDefault="00745BD2">
    <w:pPr>
      <w:pStyle w:val="Header"/>
    </w:pPr>
    <w:r>
      <w:rPr>
        <w:noProof/>
      </w:rPr>
      <w:pict w14:anchorId="72708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23720" o:spid="_x0000_s2051" type="#_x0000_t136" style="position:absolute;margin-left:0;margin-top:0;width:555.45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58FC" w14:textId="55282D0B" w:rsidR="00745BD2" w:rsidRDefault="00745BD2">
    <w:pPr>
      <w:pStyle w:val="Header"/>
    </w:pPr>
    <w:r>
      <w:rPr>
        <w:noProof/>
      </w:rPr>
      <w:pict w14:anchorId="1391A3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23718" o:spid="_x0000_s2049" type="#_x0000_t136" style="position:absolute;margin-left:0;margin-top:0;width:555.45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1D4"/>
    <w:multiLevelType w:val="multilevel"/>
    <w:tmpl w:val="D8002134"/>
    <w:lvl w:ilvl="0">
      <w:start w:val="1"/>
      <w:numFmt w:val="bullet"/>
      <w:lvlText w:val="-"/>
      <w:lvlJc w:val="left"/>
      <w:pPr>
        <w:tabs>
          <w:tab w:val="num" w:pos="720"/>
        </w:tabs>
        <w:ind w:left="720" w:hanging="360"/>
      </w:pPr>
      <w:rPr>
        <w:rFonts w:ascii="DengXian" w:eastAsia="DengXian" w:hAnsi="DengXian"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C52B0"/>
    <w:multiLevelType w:val="multilevel"/>
    <w:tmpl w:val="F26C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E700CC"/>
    <w:multiLevelType w:val="multilevel"/>
    <w:tmpl w:val="A4E8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851A8"/>
    <w:multiLevelType w:val="multilevel"/>
    <w:tmpl w:val="9E72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A757B1"/>
    <w:multiLevelType w:val="multilevel"/>
    <w:tmpl w:val="C194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CC34DE"/>
    <w:multiLevelType w:val="multilevel"/>
    <w:tmpl w:val="C862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9E4E78"/>
    <w:multiLevelType w:val="multilevel"/>
    <w:tmpl w:val="4BD4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3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8F8"/>
    <w:rsid w:val="00012518"/>
    <w:rsid w:val="00012520"/>
    <w:rsid w:val="00042C6B"/>
    <w:rsid w:val="0005366A"/>
    <w:rsid w:val="000712CC"/>
    <w:rsid w:val="00090E98"/>
    <w:rsid w:val="000A54EF"/>
    <w:rsid w:val="000F2F83"/>
    <w:rsid w:val="001122BC"/>
    <w:rsid w:val="00124325"/>
    <w:rsid w:val="00130886"/>
    <w:rsid w:val="00146172"/>
    <w:rsid w:val="00157FF7"/>
    <w:rsid w:val="00170652"/>
    <w:rsid w:val="001737B8"/>
    <w:rsid w:val="00186FF6"/>
    <w:rsid w:val="00192827"/>
    <w:rsid w:val="001D0475"/>
    <w:rsid w:val="001E7069"/>
    <w:rsid w:val="001F743C"/>
    <w:rsid w:val="00221BC6"/>
    <w:rsid w:val="002245C5"/>
    <w:rsid w:val="0023225A"/>
    <w:rsid w:val="00245A4F"/>
    <w:rsid w:val="00257D5E"/>
    <w:rsid w:val="0029394A"/>
    <w:rsid w:val="002D000D"/>
    <w:rsid w:val="002E5BF2"/>
    <w:rsid w:val="002F07E2"/>
    <w:rsid w:val="00300305"/>
    <w:rsid w:val="0038131B"/>
    <w:rsid w:val="00384DEB"/>
    <w:rsid w:val="0038728B"/>
    <w:rsid w:val="003C56C3"/>
    <w:rsid w:val="003D62D5"/>
    <w:rsid w:val="003D74A9"/>
    <w:rsid w:val="003E5E71"/>
    <w:rsid w:val="003E780C"/>
    <w:rsid w:val="004068AC"/>
    <w:rsid w:val="004169B0"/>
    <w:rsid w:val="00417480"/>
    <w:rsid w:val="004255F9"/>
    <w:rsid w:val="004444C6"/>
    <w:rsid w:val="00477E3F"/>
    <w:rsid w:val="00490BA4"/>
    <w:rsid w:val="00545CE8"/>
    <w:rsid w:val="005678A7"/>
    <w:rsid w:val="005701DC"/>
    <w:rsid w:val="00577D20"/>
    <w:rsid w:val="005810CB"/>
    <w:rsid w:val="00590B12"/>
    <w:rsid w:val="005A7AC7"/>
    <w:rsid w:val="005C610D"/>
    <w:rsid w:val="005C6D36"/>
    <w:rsid w:val="005C716D"/>
    <w:rsid w:val="005D4150"/>
    <w:rsid w:val="00601BCC"/>
    <w:rsid w:val="00614256"/>
    <w:rsid w:val="006541F8"/>
    <w:rsid w:val="00691181"/>
    <w:rsid w:val="006A4915"/>
    <w:rsid w:val="006E0021"/>
    <w:rsid w:val="00701B00"/>
    <w:rsid w:val="00745BD2"/>
    <w:rsid w:val="007529E6"/>
    <w:rsid w:val="00761709"/>
    <w:rsid w:val="00785596"/>
    <w:rsid w:val="007865E8"/>
    <w:rsid w:val="007929B9"/>
    <w:rsid w:val="007C3436"/>
    <w:rsid w:val="007E2BF6"/>
    <w:rsid w:val="00805C81"/>
    <w:rsid w:val="00805E55"/>
    <w:rsid w:val="00810500"/>
    <w:rsid w:val="0083642C"/>
    <w:rsid w:val="00856846"/>
    <w:rsid w:val="00874927"/>
    <w:rsid w:val="008834FC"/>
    <w:rsid w:val="008D4F3D"/>
    <w:rsid w:val="008F03E5"/>
    <w:rsid w:val="008F348A"/>
    <w:rsid w:val="00940650"/>
    <w:rsid w:val="00946142"/>
    <w:rsid w:val="00957318"/>
    <w:rsid w:val="00976609"/>
    <w:rsid w:val="0098303E"/>
    <w:rsid w:val="00987141"/>
    <w:rsid w:val="009A6526"/>
    <w:rsid w:val="009B3BAE"/>
    <w:rsid w:val="009D1111"/>
    <w:rsid w:val="009D5F45"/>
    <w:rsid w:val="009F2806"/>
    <w:rsid w:val="00A33CB3"/>
    <w:rsid w:val="00A44819"/>
    <w:rsid w:val="00A8220F"/>
    <w:rsid w:val="00A84308"/>
    <w:rsid w:val="00A95D3A"/>
    <w:rsid w:val="00AA1A96"/>
    <w:rsid w:val="00AC10A7"/>
    <w:rsid w:val="00AC54C0"/>
    <w:rsid w:val="00AD7893"/>
    <w:rsid w:val="00AE20AC"/>
    <w:rsid w:val="00AF60D7"/>
    <w:rsid w:val="00AF70FB"/>
    <w:rsid w:val="00B13715"/>
    <w:rsid w:val="00B24EEA"/>
    <w:rsid w:val="00B348C1"/>
    <w:rsid w:val="00B40CE4"/>
    <w:rsid w:val="00B45A18"/>
    <w:rsid w:val="00B504B3"/>
    <w:rsid w:val="00B52658"/>
    <w:rsid w:val="00B67535"/>
    <w:rsid w:val="00B71791"/>
    <w:rsid w:val="00B80E5C"/>
    <w:rsid w:val="00BA088F"/>
    <w:rsid w:val="00BB17DE"/>
    <w:rsid w:val="00BC0D7A"/>
    <w:rsid w:val="00BC6F41"/>
    <w:rsid w:val="00BD496D"/>
    <w:rsid w:val="00BF00C1"/>
    <w:rsid w:val="00BF16D1"/>
    <w:rsid w:val="00C1177A"/>
    <w:rsid w:val="00C572C8"/>
    <w:rsid w:val="00C61840"/>
    <w:rsid w:val="00C649FF"/>
    <w:rsid w:val="00CB791F"/>
    <w:rsid w:val="00CC0693"/>
    <w:rsid w:val="00CC1311"/>
    <w:rsid w:val="00CE0370"/>
    <w:rsid w:val="00D27AD1"/>
    <w:rsid w:val="00D34C48"/>
    <w:rsid w:val="00D62042"/>
    <w:rsid w:val="00D6374E"/>
    <w:rsid w:val="00D926D7"/>
    <w:rsid w:val="00D94656"/>
    <w:rsid w:val="00DA211F"/>
    <w:rsid w:val="00DA5177"/>
    <w:rsid w:val="00E4459D"/>
    <w:rsid w:val="00E45B0B"/>
    <w:rsid w:val="00E5039E"/>
    <w:rsid w:val="00E52CFE"/>
    <w:rsid w:val="00E565E6"/>
    <w:rsid w:val="00E64C57"/>
    <w:rsid w:val="00E67C6C"/>
    <w:rsid w:val="00E71ECD"/>
    <w:rsid w:val="00E951CC"/>
    <w:rsid w:val="00E96115"/>
    <w:rsid w:val="00F2353E"/>
    <w:rsid w:val="00F508F8"/>
    <w:rsid w:val="00F710AB"/>
    <w:rsid w:val="00F72838"/>
    <w:rsid w:val="00F93492"/>
    <w:rsid w:val="00F94D22"/>
    <w:rsid w:val="00FA6974"/>
    <w:rsid w:val="00FB0000"/>
    <w:rsid w:val="00FC4ED0"/>
    <w:rsid w:val="00FC6C60"/>
    <w:rsid w:val="00FF6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D9808F"/>
  <w15:chartTrackingRefBased/>
  <w15:docId w15:val="{A09F43EE-9E8D-4C96-BCC5-72D41EE0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6"/>
        <w:szCs w:val="26"/>
        <w:lang w:val="en-US" w:eastAsia="zh-CN"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4FC"/>
    <w:pPr>
      <w:spacing w:after="200" w:line="276" w:lineRule="auto"/>
      <w:jc w:val="left"/>
    </w:pPr>
    <w:rPr>
      <w:rFonts w:asciiTheme="minorHAnsi" w:hAnsiTheme="minorHAnsi" w:cstheme="minorBidi"/>
      <w:sz w:val="22"/>
      <w:szCs w:val="22"/>
    </w:rPr>
  </w:style>
  <w:style w:type="paragraph" w:styleId="Heading1">
    <w:name w:val="heading 1"/>
    <w:basedOn w:val="Normal"/>
    <w:link w:val="Heading1Char"/>
    <w:uiPriority w:val="9"/>
    <w:qFormat/>
    <w:rsid w:val="00D637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87141"/>
    <w:pPr>
      <w:spacing w:before="100" w:beforeAutospacing="1" w:after="100" w:afterAutospacing="1" w:line="240" w:lineRule="auto"/>
      <w:jc w:val="both"/>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C10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7141"/>
    <w:rPr>
      <w:rFonts w:ascii="Times New Roman" w:eastAsia="Times New Roman" w:hAnsi="Times New Roman" w:cs="Times New Roman"/>
      <w:b/>
      <w:bCs/>
      <w:sz w:val="36"/>
      <w:szCs w:val="36"/>
    </w:rPr>
  </w:style>
  <w:style w:type="character" w:styleId="Strong">
    <w:name w:val="Strong"/>
    <w:basedOn w:val="DefaultParagraphFont"/>
    <w:uiPriority w:val="22"/>
    <w:qFormat/>
    <w:rsid w:val="00987141"/>
    <w:rPr>
      <w:b/>
      <w:bCs/>
    </w:rPr>
  </w:style>
  <w:style w:type="character" w:styleId="Emphasis">
    <w:name w:val="Emphasis"/>
    <w:basedOn w:val="DefaultParagraphFont"/>
    <w:uiPriority w:val="20"/>
    <w:qFormat/>
    <w:rsid w:val="00987141"/>
    <w:rPr>
      <w:i/>
      <w:iCs/>
    </w:rPr>
  </w:style>
  <w:style w:type="paragraph" w:styleId="ListParagraph">
    <w:name w:val="List Paragraph"/>
    <w:basedOn w:val="Normal"/>
    <w:uiPriority w:val="34"/>
    <w:qFormat/>
    <w:rsid w:val="00987141"/>
    <w:pPr>
      <w:spacing w:after="0" w:line="360" w:lineRule="auto"/>
      <w:ind w:left="720"/>
      <w:contextualSpacing/>
      <w:jc w:val="both"/>
    </w:pPr>
    <w:rPr>
      <w:rFonts w:ascii="Times New Roman" w:hAnsi="Times New Roman" w:cs="Times New Roman"/>
      <w:sz w:val="26"/>
      <w:szCs w:val="26"/>
    </w:rPr>
  </w:style>
  <w:style w:type="paragraph" w:customStyle="1" w:styleId="Muc1">
    <w:name w:val="Muc 1"/>
    <w:basedOn w:val="Normal"/>
    <w:qFormat/>
    <w:rsid w:val="008834FC"/>
    <w:pPr>
      <w:keepNext/>
      <w:spacing w:after="0" w:line="360" w:lineRule="auto"/>
      <w:outlineLvl w:val="0"/>
    </w:pPr>
    <w:rPr>
      <w:rFonts w:ascii="Times New Roman" w:eastAsia="Times New Roman" w:hAnsi="Times New Roman" w:cs="Times New Roman"/>
      <w:b/>
      <w:bCs/>
      <w:kern w:val="32"/>
      <w:sz w:val="26"/>
      <w:szCs w:val="26"/>
      <w:lang w:val="tr-TR"/>
    </w:rPr>
  </w:style>
  <w:style w:type="paragraph" w:customStyle="1" w:styleId="Muc2">
    <w:name w:val="Muc2"/>
    <w:basedOn w:val="Normal"/>
    <w:qFormat/>
    <w:rsid w:val="008834FC"/>
    <w:pPr>
      <w:keepNext/>
      <w:spacing w:after="0" w:line="360" w:lineRule="auto"/>
      <w:outlineLvl w:val="0"/>
    </w:pPr>
    <w:rPr>
      <w:rFonts w:ascii="Times New Roman" w:eastAsia="Times New Roman" w:hAnsi="Times New Roman" w:cs="Times New Roman"/>
      <w:b/>
      <w:bCs/>
      <w:i/>
      <w:kern w:val="32"/>
      <w:sz w:val="26"/>
      <w:szCs w:val="26"/>
      <w:lang w:val="tr-TR"/>
    </w:rPr>
  </w:style>
  <w:style w:type="paragraph" w:styleId="NormalWeb">
    <w:name w:val="Normal (Web)"/>
    <w:basedOn w:val="Normal"/>
    <w:uiPriority w:val="99"/>
    <w:semiHidden/>
    <w:unhideWhenUsed/>
    <w:rsid w:val="00A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6374E"/>
    <w:rPr>
      <w:rFonts w:eastAsia="Times New Roman"/>
      <w:b/>
      <w:bCs/>
      <w:kern w:val="36"/>
      <w:sz w:val="48"/>
      <w:szCs w:val="48"/>
    </w:rPr>
  </w:style>
  <w:style w:type="character" w:customStyle="1" w:styleId="Heading3Char">
    <w:name w:val="Heading 3 Char"/>
    <w:basedOn w:val="DefaultParagraphFont"/>
    <w:link w:val="Heading3"/>
    <w:uiPriority w:val="9"/>
    <w:semiHidden/>
    <w:rsid w:val="00AC10A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504B3"/>
    <w:rPr>
      <w:color w:val="0563C1" w:themeColor="hyperlink"/>
      <w:u w:val="single"/>
    </w:rPr>
  </w:style>
  <w:style w:type="character" w:styleId="UnresolvedMention">
    <w:name w:val="Unresolved Mention"/>
    <w:basedOn w:val="DefaultParagraphFont"/>
    <w:uiPriority w:val="99"/>
    <w:semiHidden/>
    <w:unhideWhenUsed/>
    <w:rsid w:val="00B504B3"/>
    <w:rPr>
      <w:color w:val="605E5C"/>
      <w:shd w:val="clear" w:color="auto" w:fill="E1DFDD"/>
    </w:rPr>
  </w:style>
  <w:style w:type="paragraph" w:styleId="Header">
    <w:name w:val="header"/>
    <w:basedOn w:val="Normal"/>
    <w:link w:val="HeaderChar"/>
    <w:uiPriority w:val="99"/>
    <w:unhideWhenUsed/>
    <w:rsid w:val="00745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BD2"/>
    <w:rPr>
      <w:rFonts w:asciiTheme="minorHAnsi" w:hAnsiTheme="minorHAnsi" w:cstheme="minorBidi"/>
      <w:sz w:val="22"/>
      <w:szCs w:val="22"/>
    </w:rPr>
  </w:style>
  <w:style w:type="paragraph" w:styleId="Footer">
    <w:name w:val="footer"/>
    <w:basedOn w:val="Normal"/>
    <w:link w:val="FooterChar"/>
    <w:uiPriority w:val="99"/>
    <w:unhideWhenUsed/>
    <w:rsid w:val="00745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BD2"/>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256">
      <w:bodyDiv w:val="1"/>
      <w:marLeft w:val="0"/>
      <w:marRight w:val="0"/>
      <w:marTop w:val="0"/>
      <w:marBottom w:val="0"/>
      <w:divBdr>
        <w:top w:val="none" w:sz="0" w:space="0" w:color="auto"/>
        <w:left w:val="none" w:sz="0" w:space="0" w:color="auto"/>
        <w:bottom w:val="none" w:sz="0" w:space="0" w:color="auto"/>
        <w:right w:val="none" w:sz="0" w:space="0" w:color="auto"/>
      </w:divBdr>
    </w:div>
    <w:div w:id="197862936">
      <w:bodyDiv w:val="1"/>
      <w:marLeft w:val="0"/>
      <w:marRight w:val="0"/>
      <w:marTop w:val="0"/>
      <w:marBottom w:val="0"/>
      <w:divBdr>
        <w:top w:val="none" w:sz="0" w:space="0" w:color="auto"/>
        <w:left w:val="none" w:sz="0" w:space="0" w:color="auto"/>
        <w:bottom w:val="none" w:sz="0" w:space="0" w:color="auto"/>
        <w:right w:val="none" w:sz="0" w:space="0" w:color="auto"/>
      </w:divBdr>
    </w:div>
    <w:div w:id="249900296">
      <w:bodyDiv w:val="1"/>
      <w:marLeft w:val="0"/>
      <w:marRight w:val="0"/>
      <w:marTop w:val="0"/>
      <w:marBottom w:val="0"/>
      <w:divBdr>
        <w:top w:val="none" w:sz="0" w:space="0" w:color="auto"/>
        <w:left w:val="none" w:sz="0" w:space="0" w:color="auto"/>
        <w:bottom w:val="none" w:sz="0" w:space="0" w:color="auto"/>
        <w:right w:val="none" w:sz="0" w:space="0" w:color="auto"/>
      </w:divBdr>
    </w:div>
    <w:div w:id="288902244">
      <w:bodyDiv w:val="1"/>
      <w:marLeft w:val="0"/>
      <w:marRight w:val="0"/>
      <w:marTop w:val="0"/>
      <w:marBottom w:val="0"/>
      <w:divBdr>
        <w:top w:val="none" w:sz="0" w:space="0" w:color="auto"/>
        <w:left w:val="none" w:sz="0" w:space="0" w:color="auto"/>
        <w:bottom w:val="none" w:sz="0" w:space="0" w:color="auto"/>
        <w:right w:val="none" w:sz="0" w:space="0" w:color="auto"/>
      </w:divBdr>
    </w:div>
    <w:div w:id="308944145">
      <w:bodyDiv w:val="1"/>
      <w:marLeft w:val="0"/>
      <w:marRight w:val="0"/>
      <w:marTop w:val="0"/>
      <w:marBottom w:val="0"/>
      <w:divBdr>
        <w:top w:val="none" w:sz="0" w:space="0" w:color="auto"/>
        <w:left w:val="none" w:sz="0" w:space="0" w:color="auto"/>
        <w:bottom w:val="none" w:sz="0" w:space="0" w:color="auto"/>
        <w:right w:val="none" w:sz="0" w:space="0" w:color="auto"/>
      </w:divBdr>
    </w:div>
    <w:div w:id="382557524">
      <w:bodyDiv w:val="1"/>
      <w:marLeft w:val="0"/>
      <w:marRight w:val="0"/>
      <w:marTop w:val="0"/>
      <w:marBottom w:val="0"/>
      <w:divBdr>
        <w:top w:val="none" w:sz="0" w:space="0" w:color="auto"/>
        <w:left w:val="none" w:sz="0" w:space="0" w:color="auto"/>
        <w:bottom w:val="none" w:sz="0" w:space="0" w:color="auto"/>
        <w:right w:val="none" w:sz="0" w:space="0" w:color="auto"/>
      </w:divBdr>
    </w:div>
    <w:div w:id="449982757">
      <w:bodyDiv w:val="1"/>
      <w:marLeft w:val="0"/>
      <w:marRight w:val="0"/>
      <w:marTop w:val="0"/>
      <w:marBottom w:val="0"/>
      <w:divBdr>
        <w:top w:val="none" w:sz="0" w:space="0" w:color="auto"/>
        <w:left w:val="none" w:sz="0" w:space="0" w:color="auto"/>
        <w:bottom w:val="none" w:sz="0" w:space="0" w:color="auto"/>
        <w:right w:val="none" w:sz="0" w:space="0" w:color="auto"/>
      </w:divBdr>
    </w:div>
    <w:div w:id="475073962">
      <w:bodyDiv w:val="1"/>
      <w:marLeft w:val="0"/>
      <w:marRight w:val="0"/>
      <w:marTop w:val="0"/>
      <w:marBottom w:val="0"/>
      <w:divBdr>
        <w:top w:val="none" w:sz="0" w:space="0" w:color="auto"/>
        <w:left w:val="none" w:sz="0" w:space="0" w:color="auto"/>
        <w:bottom w:val="none" w:sz="0" w:space="0" w:color="auto"/>
        <w:right w:val="none" w:sz="0" w:space="0" w:color="auto"/>
      </w:divBdr>
    </w:div>
    <w:div w:id="630789126">
      <w:bodyDiv w:val="1"/>
      <w:marLeft w:val="0"/>
      <w:marRight w:val="0"/>
      <w:marTop w:val="0"/>
      <w:marBottom w:val="0"/>
      <w:divBdr>
        <w:top w:val="none" w:sz="0" w:space="0" w:color="auto"/>
        <w:left w:val="none" w:sz="0" w:space="0" w:color="auto"/>
        <w:bottom w:val="none" w:sz="0" w:space="0" w:color="auto"/>
        <w:right w:val="none" w:sz="0" w:space="0" w:color="auto"/>
      </w:divBdr>
      <w:divsChild>
        <w:div w:id="805120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74726">
      <w:bodyDiv w:val="1"/>
      <w:marLeft w:val="0"/>
      <w:marRight w:val="0"/>
      <w:marTop w:val="0"/>
      <w:marBottom w:val="0"/>
      <w:divBdr>
        <w:top w:val="none" w:sz="0" w:space="0" w:color="auto"/>
        <w:left w:val="none" w:sz="0" w:space="0" w:color="auto"/>
        <w:bottom w:val="none" w:sz="0" w:space="0" w:color="auto"/>
        <w:right w:val="none" w:sz="0" w:space="0" w:color="auto"/>
      </w:divBdr>
    </w:div>
    <w:div w:id="829515664">
      <w:bodyDiv w:val="1"/>
      <w:marLeft w:val="0"/>
      <w:marRight w:val="0"/>
      <w:marTop w:val="0"/>
      <w:marBottom w:val="0"/>
      <w:divBdr>
        <w:top w:val="none" w:sz="0" w:space="0" w:color="auto"/>
        <w:left w:val="none" w:sz="0" w:space="0" w:color="auto"/>
        <w:bottom w:val="none" w:sz="0" w:space="0" w:color="auto"/>
        <w:right w:val="none" w:sz="0" w:space="0" w:color="auto"/>
      </w:divBdr>
    </w:div>
    <w:div w:id="857737584">
      <w:bodyDiv w:val="1"/>
      <w:marLeft w:val="0"/>
      <w:marRight w:val="0"/>
      <w:marTop w:val="0"/>
      <w:marBottom w:val="0"/>
      <w:divBdr>
        <w:top w:val="none" w:sz="0" w:space="0" w:color="auto"/>
        <w:left w:val="none" w:sz="0" w:space="0" w:color="auto"/>
        <w:bottom w:val="none" w:sz="0" w:space="0" w:color="auto"/>
        <w:right w:val="none" w:sz="0" w:space="0" w:color="auto"/>
      </w:divBdr>
    </w:div>
    <w:div w:id="871578570">
      <w:bodyDiv w:val="1"/>
      <w:marLeft w:val="0"/>
      <w:marRight w:val="0"/>
      <w:marTop w:val="0"/>
      <w:marBottom w:val="0"/>
      <w:divBdr>
        <w:top w:val="none" w:sz="0" w:space="0" w:color="auto"/>
        <w:left w:val="none" w:sz="0" w:space="0" w:color="auto"/>
        <w:bottom w:val="none" w:sz="0" w:space="0" w:color="auto"/>
        <w:right w:val="none" w:sz="0" w:space="0" w:color="auto"/>
      </w:divBdr>
    </w:div>
    <w:div w:id="971902287">
      <w:bodyDiv w:val="1"/>
      <w:marLeft w:val="0"/>
      <w:marRight w:val="0"/>
      <w:marTop w:val="0"/>
      <w:marBottom w:val="0"/>
      <w:divBdr>
        <w:top w:val="none" w:sz="0" w:space="0" w:color="auto"/>
        <w:left w:val="none" w:sz="0" w:space="0" w:color="auto"/>
        <w:bottom w:val="none" w:sz="0" w:space="0" w:color="auto"/>
        <w:right w:val="none" w:sz="0" w:space="0" w:color="auto"/>
      </w:divBdr>
    </w:div>
    <w:div w:id="988940356">
      <w:bodyDiv w:val="1"/>
      <w:marLeft w:val="0"/>
      <w:marRight w:val="0"/>
      <w:marTop w:val="0"/>
      <w:marBottom w:val="0"/>
      <w:divBdr>
        <w:top w:val="none" w:sz="0" w:space="0" w:color="auto"/>
        <w:left w:val="none" w:sz="0" w:space="0" w:color="auto"/>
        <w:bottom w:val="none" w:sz="0" w:space="0" w:color="auto"/>
        <w:right w:val="none" w:sz="0" w:space="0" w:color="auto"/>
      </w:divBdr>
    </w:div>
    <w:div w:id="1001588637">
      <w:bodyDiv w:val="1"/>
      <w:marLeft w:val="0"/>
      <w:marRight w:val="0"/>
      <w:marTop w:val="0"/>
      <w:marBottom w:val="0"/>
      <w:divBdr>
        <w:top w:val="none" w:sz="0" w:space="0" w:color="auto"/>
        <w:left w:val="none" w:sz="0" w:space="0" w:color="auto"/>
        <w:bottom w:val="none" w:sz="0" w:space="0" w:color="auto"/>
        <w:right w:val="none" w:sz="0" w:space="0" w:color="auto"/>
      </w:divBdr>
    </w:div>
    <w:div w:id="1048607412">
      <w:bodyDiv w:val="1"/>
      <w:marLeft w:val="0"/>
      <w:marRight w:val="0"/>
      <w:marTop w:val="0"/>
      <w:marBottom w:val="0"/>
      <w:divBdr>
        <w:top w:val="none" w:sz="0" w:space="0" w:color="auto"/>
        <w:left w:val="none" w:sz="0" w:space="0" w:color="auto"/>
        <w:bottom w:val="none" w:sz="0" w:space="0" w:color="auto"/>
        <w:right w:val="none" w:sz="0" w:space="0" w:color="auto"/>
      </w:divBdr>
    </w:div>
    <w:div w:id="1071000159">
      <w:bodyDiv w:val="1"/>
      <w:marLeft w:val="0"/>
      <w:marRight w:val="0"/>
      <w:marTop w:val="0"/>
      <w:marBottom w:val="0"/>
      <w:divBdr>
        <w:top w:val="none" w:sz="0" w:space="0" w:color="auto"/>
        <w:left w:val="none" w:sz="0" w:space="0" w:color="auto"/>
        <w:bottom w:val="none" w:sz="0" w:space="0" w:color="auto"/>
        <w:right w:val="none" w:sz="0" w:space="0" w:color="auto"/>
      </w:divBdr>
    </w:div>
    <w:div w:id="1139491208">
      <w:bodyDiv w:val="1"/>
      <w:marLeft w:val="0"/>
      <w:marRight w:val="0"/>
      <w:marTop w:val="0"/>
      <w:marBottom w:val="0"/>
      <w:divBdr>
        <w:top w:val="none" w:sz="0" w:space="0" w:color="auto"/>
        <w:left w:val="none" w:sz="0" w:space="0" w:color="auto"/>
        <w:bottom w:val="none" w:sz="0" w:space="0" w:color="auto"/>
        <w:right w:val="none" w:sz="0" w:space="0" w:color="auto"/>
      </w:divBdr>
    </w:div>
    <w:div w:id="1152061404">
      <w:bodyDiv w:val="1"/>
      <w:marLeft w:val="0"/>
      <w:marRight w:val="0"/>
      <w:marTop w:val="0"/>
      <w:marBottom w:val="0"/>
      <w:divBdr>
        <w:top w:val="none" w:sz="0" w:space="0" w:color="auto"/>
        <w:left w:val="none" w:sz="0" w:space="0" w:color="auto"/>
        <w:bottom w:val="none" w:sz="0" w:space="0" w:color="auto"/>
        <w:right w:val="none" w:sz="0" w:space="0" w:color="auto"/>
      </w:divBdr>
    </w:div>
    <w:div w:id="1313679038">
      <w:bodyDiv w:val="1"/>
      <w:marLeft w:val="0"/>
      <w:marRight w:val="0"/>
      <w:marTop w:val="0"/>
      <w:marBottom w:val="0"/>
      <w:divBdr>
        <w:top w:val="none" w:sz="0" w:space="0" w:color="auto"/>
        <w:left w:val="none" w:sz="0" w:space="0" w:color="auto"/>
        <w:bottom w:val="none" w:sz="0" w:space="0" w:color="auto"/>
        <w:right w:val="none" w:sz="0" w:space="0" w:color="auto"/>
      </w:divBdr>
    </w:div>
    <w:div w:id="1360088120">
      <w:bodyDiv w:val="1"/>
      <w:marLeft w:val="0"/>
      <w:marRight w:val="0"/>
      <w:marTop w:val="0"/>
      <w:marBottom w:val="0"/>
      <w:divBdr>
        <w:top w:val="none" w:sz="0" w:space="0" w:color="auto"/>
        <w:left w:val="none" w:sz="0" w:space="0" w:color="auto"/>
        <w:bottom w:val="none" w:sz="0" w:space="0" w:color="auto"/>
        <w:right w:val="none" w:sz="0" w:space="0" w:color="auto"/>
      </w:divBdr>
    </w:div>
    <w:div w:id="1518546242">
      <w:bodyDiv w:val="1"/>
      <w:marLeft w:val="0"/>
      <w:marRight w:val="0"/>
      <w:marTop w:val="0"/>
      <w:marBottom w:val="0"/>
      <w:divBdr>
        <w:top w:val="none" w:sz="0" w:space="0" w:color="auto"/>
        <w:left w:val="none" w:sz="0" w:space="0" w:color="auto"/>
        <w:bottom w:val="none" w:sz="0" w:space="0" w:color="auto"/>
        <w:right w:val="none" w:sz="0" w:space="0" w:color="auto"/>
      </w:divBdr>
    </w:div>
    <w:div w:id="1561358546">
      <w:bodyDiv w:val="1"/>
      <w:marLeft w:val="0"/>
      <w:marRight w:val="0"/>
      <w:marTop w:val="0"/>
      <w:marBottom w:val="0"/>
      <w:divBdr>
        <w:top w:val="none" w:sz="0" w:space="0" w:color="auto"/>
        <w:left w:val="none" w:sz="0" w:space="0" w:color="auto"/>
        <w:bottom w:val="none" w:sz="0" w:space="0" w:color="auto"/>
        <w:right w:val="none" w:sz="0" w:space="0" w:color="auto"/>
      </w:divBdr>
    </w:div>
    <w:div w:id="1603146397">
      <w:bodyDiv w:val="1"/>
      <w:marLeft w:val="0"/>
      <w:marRight w:val="0"/>
      <w:marTop w:val="0"/>
      <w:marBottom w:val="0"/>
      <w:divBdr>
        <w:top w:val="none" w:sz="0" w:space="0" w:color="auto"/>
        <w:left w:val="none" w:sz="0" w:space="0" w:color="auto"/>
        <w:bottom w:val="none" w:sz="0" w:space="0" w:color="auto"/>
        <w:right w:val="none" w:sz="0" w:space="0" w:color="auto"/>
      </w:divBdr>
    </w:div>
    <w:div w:id="1851289555">
      <w:bodyDiv w:val="1"/>
      <w:marLeft w:val="0"/>
      <w:marRight w:val="0"/>
      <w:marTop w:val="0"/>
      <w:marBottom w:val="0"/>
      <w:divBdr>
        <w:top w:val="none" w:sz="0" w:space="0" w:color="auto"/>
        <w:left w:val="none" w:sz="0" w:space="0" w:color="auto"/>
        <w:bottom w:val="none" w:sz="0" w:space="0" w:color="auto"/>
        <w:right w:val="none" w:sz="0" w:space="0" w:color="auto"/>
      </w:divBdr>
    </w:div>
    <w:div w:id="1853110113">
      <w:bodyDiv w:val="1"/>
      <w:marLeft w:val="0"/>
      <w:marRight w:val="0"/>
      <w:marTop w:val="0"/>
      <w:marBottom w:val="0"/>
      <w:divBdr>
        <w:top w:val="none" w:sz="0" w:space="0" w:color="auto"/>
        <w:left w:val="none" w:sz="0" w:space="0" w:color="auto"/>
        <w:bottom w:val="none" w:sz="0" w:space="0" w:color="auto"/>
        <w:right w:val="none" w:sz="0" w:space="0" w:color="auto"/>
      </w:divBdr>
    </w:div>
    <w:div w:id="2028749609">
      <w:bodyDiv w:val="1"/>
      <w:marLeft w:val="0"/>
      <w:marRight w:val="0"/>
      <w:marTop w:val="0"/>
      <w:marBottom w:val="0"/>
      <w:divBdr>
        <w:top w:val="none" w:sz="0" w:space="0" w:color="auto"/>
        <w:left w:val="none" w:sz="0" w:space="0" w:color="auto"/>
        <w:bottom w:val="none" w:sz="0" w:space="0" w:color="auto"/>
        <w:right w:val="none" w:sz="0" w:space="0" w:color="auto"/>
      </w:divBdr>
    </w:div>
    <w:div w:id="2047638700">
      <w:bodyDiv w:val="1"/>
      <w:marLeft w:val="0"/>
      <w:marRight w:val="0"/>
      <w:marTop w:val="0"/>
      <w:marBottom w:val="0"/>
      <w:divBdr>
        <w:top w:val="none" w:sz="0" w:space="0" w:color="auto"/>
        <w:left w:val="none" w:sz="0" w:space="0" w:color="auto"/>
        <w:bottom w:val="none" w:sz="0" w:space="0" w:color="auto"/>
        <w:right w:val="none" w:sz="0" w:space="0" w:color="auto"/>
      </w:divBdr>
    </w:div>
    <w:div w:id="2059428094">
      <w:bodyDiv w:val="1"/>
      <w:marLeft w:val="0"/>
      <w:marRight w:val="0"/>
      <w:marTop w:val="0"/>
      <w:marBottom w:val="0"/>
      <w:divBdr>
        <w:top w:val="none" w:sz="0" w:space="0" w:color="auto"/>
        <w:left w:val="none" w:sz="0" w:space="0" w:color="auto"/>
        <w:bottom w:val="none" w:sz="0" w:space="0" w:color="auto"/>
        <w:right w:val="none" w:sz="0" w:space="0" w:color="auto"/>
      </w:divBdr>
      <w:divsChild>
        <w:div w:id="527378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8631-3E0B-4DED-B6B5-79D81B33C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17</Pages>
  <Words>5456</Words>
  <Characters>31102</Characters>
  <Application>Microsoft Office Word</Application>
  <DocSecurity>0</DocSecurity>
  <Lines>259</Lines>
  <Paragraphs>72</Paragraphs>
  <ScaleCrop>false</ScaleCrop>
  <Company/>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D</dc:creator>
  <cp:keywords/>
  <dc:description/>
  <cp:lastModifiedBy>SDI 1084</cp:lastModifiedBy>
  <cp:revision>153</cp:revision>
  <dcterms:created xsi:type="dcterms:W3CDTF">2025-05-19T04:09:00Z</dcterms:created>
  <dcterms:modified xsi:type="dcterms:W3CDTF">2025-09-17T14:05:00Z</dcterms:modified>
</cp:coreProperties>
</file>